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A743" w14:textId="75E5DBA4" w:rsidR="00B90514" w:rsidRPr="00BE2099" w:rsidRDefault="00B90514" w:rsidP="00BC05B4">
      <w:pPr>
        <w:pStyle w:val="Lille"/>
        <w:framePr w:w="1883" w:h="2821" w:hRule="exact" w:hSpace="181" w:wrap="notBeside" w:vAnchor="page" w:hAnchor="page" w:x="9410" w:y="4843" w:anchorLock="1"/>
      </w:pPr>
      <w:r w:rsidRPr="00BE2099">
        <w:rPr>
          <w:szCs w:val="20"/>
        </w:rPr>
        <w:t>2</w:t>
      </w:r>
      <w:r w:rsidR="00BD41A1">
        <w:rPr>
          <w:szCs w:val="20"/>
        </w:rPr>
        <w:t>2</w:t>
      </w:r>
      <w:r w:rsidRPr="00BE2099">
        <w:rPr>
          <w:szCs w:val="20"/>
        </w:rPr>
        <w:t>-03-2024</w:t>
      </w:r>
    </w:p>
    <w:p w14:paraId="56C17853" w14:textId="77777777" w:rsidR="00B90514" w:rsidRPr="00BE2099" w:rsidRDefault="00B90514" w:rsidP="00BC05B4">
      <w:pPr>
        <w:pStyle w:val="Lille"/>
        <w:framePr w:w="1883" w:h="2821" w:hRule="exact" w:hSpace="181" w:wrap="notBeside" w:vAnchor="page" w:hAnchor="page" w:x="9410" w:y="4843" w:anchorLock="1"/>
      </w:pPr>
      <w:proofErr w:type="gramStart"/>
      <w:r w:rsidRPr="00BE2099">
        <w:t>Sags nr.</w:t>
      </w:r>
      <w:proofErr w:type="gramEnd"/>
      <w:r w:rsidR="009C02CA" w:rsidRPr="00BE2099">
        <w:t>:</w:t>
      </w:r>
      <w:r w:rsidRPr="00BE2099">
        <w:t xml:space="preserve"> 2023 - 3503  </w:t>
      </w:r>
    </w:p>
    <w:p w14:paraId="5731F0D3" w14:textId="77777777" w:rsidR="00465A30" w:rsidRPr="00BE2099" w:rsidRDefault="009C02CA" w:rsidP="00BC05B4">
      <w:pPr>
        <w:pStyle w:val="Lille"/>
        <w:framePr w:w="1883" w:h="2821" w:hRule="exact" w:hSpace="181" w:wrap="notBeside" w:vAnchor="page" w:hAnchor="page" w:x="9410" w:y="4843" w:anchorLock="1"/>
      </w:pPr>
      <w:r w:rsidRPr="00BE2099">
        <w:t>Akt</w:t>
      </w:r>
      <w:r w:rsidR="00B90514" w:rsidRPr="00BE2099">
        <w:t xml:space="preserve"> nr.</w:t>
      </w:r>
      <w:r w:rsidRPr="00BE2099">
        <w:t>:</w:t>
      </w:r>
      <w:r w:rsidR="00B90514" w:rsidRPr="00BE2099">
        <w:t xml:space="preserve"> 24018450</w:t>
      </w:r>
      <w:r w:rsidR="00465A30" w:rsidRPr="00BE2099">
        <w:t xml:space="preserve"> </w:t>
      </w:r>
    </w:p>
    <w:p w14:paraId="31F0C557" w14:textId="77777777" w:rsidR="00465A30" w:rsidRPr="00BE2099" w:rsidRDefault="00465A30" w:rsidP="00BC05B4">
      <w:pPr>
        <w:pStyle w:val="Lille"/>
        <w:framePr w:w="1883" w:h="2821" w:hRule="exact" w:hSpace="181" w:wrap="notBeside" w:vAnchor="page" w:hAnchor="page" w:x="9410" w:y="4843" w:anchorLock="1"/>
      </w:pPr>
    </w:p>
    <w:p w14:paraId="7CCF69A7" w14:textId="77777777" w:rsidR="00943261" w:rsidRPr="00BE2099" w:rsidRDefault="007E01D0" w:rsidP="00BC05B4">
      <w:pPr>
        <w:pStyle w:val="Lille"/>
        <w:framePr w:w="1883" w:h="2821" w:hRule="exact" w:hSpace="181" w:wrap="notBeside" w:vAnchor="page" w:hAnchor="page" w:x="9410" w:y="4843" w:anchorLock="1"/>
      </w:pPr>
      <w:r w:rsidRPr="00BE2099">
        <w:t>Postboks</w:t>
      </w:r>
      <w:r w:rsidR="00465A30" w:rsidRPr="00BE2099">
        <w:t xml:space="preserve"> </w:t>
      </w:r>
      <w:r w:rsidR="00943261" w:rsidRPr="00BE2099">
        <w:t>269</w:t>
      </w:r>
    </w:p>
    <w:p w14:paraId="3C151DB6" w14:textId="77777777" w:rsidR="00943261" w:rsidRPr="00B90514" w:rsidRDefault="00943261" w:rsidP="00BC05B4">
      <w:pPr>
        <w:pStyle w:val="Lille"/>
        <w:framePr w:w="1883" w:h="2821" w:hRule="exact" w:hSpace="181" w:wrap="notBeside" w:vAnchor="page" w:hAnchor="page" w:x="9410" w:y="4843" w:anchorLock="1"/>
        <w:rPr>
          <w:lang w:val="en-US"/>
        </w:rPr>
      </w:pPr>
      <w:r w:rsidRPr="00B90514">
        <w:rPr>
          <w:lang w:val="en-US"/>
        </w:rPr>
        <w:t>3900 Nuuk</w:t>
      </w:r>
    </w:p>
    <w:p w14:paraId="11219447" w14:textId="77777777" w:rsidR="00943261" w:rsidRPr="00B90514" w:rsidRDefault="00943261" w:rsidP="00BC05B4">
      <w:pPr>
        <w:pStyle w:val="Lille"/>
        <w:framePr w:w="1883" w:h="2821" w:hRule="exact" w:hSpace="181" w:wrap="notBeside" w:vAnchor="page" w:hAnchor="page" w:x="9410" w:y="4843" w:anchorLock="1"/>
        <w:rPr>
          <w:lang w:val="en-US"/>
        </w:rPr>
      </w:pPr>
      <w:proofErr w:type="spellStart"/>
      <w:r w:rsidRPr="00B90514">
        <w:rPr>
          <w:lang w:val="en-US"/>
        </w:rPr>
        <w:t>Tlf</w:t>
      </w:r>
      <w:proofErr w:type="spellEnd"/>
      <w:r w:rsidRPr="00B90514">
        <w:rPr>
          <w:lang w:val="en-US"/>
        </w:rPr>
        <w:t>. (+299) 34 50 00</w:t>
      </w:r>
    </w:p>
    <w:p w14:paraId="5042345E" w14:textId="77777777" w:rsidR="00943261" w:rsidRPr="00B90514" w:rsidRDefault="00943261" w:rsidP="00BC05B4">
      <w:pPr>
        <w:pStyle w:val="Lille"/>
        <w:framePr w:w="1883" w:h="2821" w:hRule="exact" w:hSpace="181" w:wrap="notBeside" w:vAnchor="page" w:hAnchor="page" w:x="9410" w:y="4843" w:anchorLock="1"/>
        <w:rPr>
          <w:lang w:val="en-US"/>
        </w:rPr>
      </w:pPr>
      <w:r w:rsidRPr="00B90514">
        <w:rPr>
          <w:lang w:val="en-US"/>
        </w:rPr>
        <w:t>Fax (+299) 34 63 55</w:t>
      </w:r>
    </w:p>
    <w:p w14:paraId="16DFEC6B" w14:textId="77777777" w:rsidR="00465A30" w:rsidRPr="00710C16" w:rsidRDefault="00943261" w:rsidP="00BC05B4">
      <w:pPr>
        <w:pStyle w:val="Lille"/>
        <w:framePr w:w="1883" w:h="2821" w:hRule="exact" w:hSpace="181" w:wrap="notBeside" w:vAnchor="page" w:hAnchor="page" w:x="9410" w:y="4843" w:anchorLock="1"/>
        <w:rPr>
          <w:lang w:val="en-US"/>
        </w:rPr>
      </w:pPr>
      <w:r>
        <w:rPr>
          <w:lang w:val="en-GB"/>
        </w:rPr>
        <w:t xml:space="preserve">E-mail: </w:t>
      </w:r>
      <w:proofErr w:type="spellStart"/>
      <w:r>
        <w:rPr>
          <w:lang w:val="en-GB"/>
        </w:rPr>
        <w:t>apn</w:t>
      </w:r>
      <w:proofErr w:type="spellEnd"/>
      <w:r w:rsidR="00465A30" w:rsidRPr="00710C16">
        <w:rPr>
          <w:lang w:val="en-US"/>
        </w:rPr>
        <w:t>@</w:t>
      </w:r>
      <w:r w:rsidR="00465A30" w:rsidRPr="007D3B61">
        <w:rPr>
          <w:lang w:val="en-US"/>
        </w:rPr>
        <w:t>nanoq</w:t>
      </w:r>
      <w:r w:rsidR="00465A30" w:rsidRPr="00710C16">
        <w:rPr>
          <w:lang w:val="en-US"/>
        </w:rPr>
        <w:t>.gl</w:t>
      </w:r>
    </w:p>
    <w:p w14:paraId="277D786C" w14:textId="77777777" w:rsidR="00465A30" w:rsidRPr="00710C16" w:rsidRDefault="00EA4BEF" w:rsidP="00BC05B4">
      <w:pPr>
        <w:pStyle w:val="Lille"/>
        <w:framePr w:w="1883" w:h="2821" w:hRule="exact" w:hSpace="181" w:wrap="notBeside" w:vAnchor="page" w:hAnchor="page" w:x="9410" w:y="4843" w:anchorLock="1"/>
        <w:rPr>
          <w:lang w:val="en-US"/>
        </w:rPr>
      </w:pPr>
      <w:r>
        <w:rPr>
          <w:lang w:val="en-US"/>
        </w:rPr>
        <w:t>www.naalakkersuisut</w:t>
      </w:r>
      <w:r w:rsidR="00465A30" w:rsidRPr="00710C16">
        <w:rPr>
          <w:lang w:val="en-US"/>
        </w:rPr>
        <w:t>.gl</w:t>
      </w:r>
    </w:p>
    <w:p w14:paraId="13819FE1" w14:textId="77777777" w:rsidR="00465A30" w:rsidRPr="00710C16" w:rsidRDefault="00465A30" w:rsidP="00BC05B4">
      <w:pPr>
        <w:pStyle w:val="Lille"/>
        <w:framePr w:w="1883" w:h="2821" w:hRule="exact" w:hSpace="181" w:wrap="notBeside" w:vAnchor="page" w:hAnchor="page" w:x="9410" w:y="4843" w:anchorLock="1"/>
        <w:rPr>
          <w:lang w:val="en-US"/>
        </w:rPr>
      </w:pPr>
    </w:p>
    <w:p w14:paraId="6EDF29A4" w14:textId="77777777" w:rsidR="00465A30" w:rsidRPr="00710C16" w:rsidRDefault="00465A30" w:rsidP="00BC05B4">
      <w:pPr>
        <w:pStyle w:val="Lille"/>
        <w:framePr w:w="1883" w:h="2821" w:hRule="exact" w:hSpace="181" w:wrap="notBeside" w:vAnchor="page" w:hAnchor="page" w:x="9410" w:y="4843" w:anchorLock="1"/>
        <w:rPr>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tblGrid>
      <w:tr w:rsidR="00400FE0" w:rsidRPr="009C02CA" w14:paraId="3ECCDE2E" w14:textId="77777777" w:rsidTr="00BE2099">
        <w:trPr>
          <w:trHeight w:val="705"/>
        </w:trPr>
        <w:tc>
          <w:tcPr>
            <w:tcW w:w="7824" w:type="dxa"/>
          </w:tcPr>
          <w:p w14:paraId="6F7035CD" w14:textId="2CD9F622" w:rsidR="00400FE0" w:rsidRPr="00BE2099" w:rsidRDefault="00BE2099" w:rsidP="00400FE0">
            <w:pPr>
              <w:rPr>
                <w:rFonts w:ascii="Arial" w:hAnsi="Arial" w:cs="Arial"/>
                <w:b/>
                <w:bCs/>
                <w:sz w:val="28"/>
                <w:szCs w:val="28"/>
              </w:rPr>
            </w:pPr>
            <w:r w:rsidRPr="00BE2099">
              <w:rPr>
                <w:rFonts w:ascii="Arial" w:hAnsi="Arial" w:cs="Arial"/>
                <w:b/>
                <w:bCs/>
                <w:sz w:val="28"/>
                <w:szCs w:val="28"/>
              </w:rPr>
              <w:t>Spørgsmål og svar om fiskerilovsforslag, FM24/35</w:t>
            </w:r>
          </w:p>
        </w:tc>
      </w:tr>
    </w:tbl>
    <w:p w14:paraId="257F39C9" w14:textId="77777777" w:rsidR="00DD09CF" w:rsidRDefault="00DD09CF" w:rsidP="00B75A84">
      <w:pPr>
        <w:spacing w:after="0"/>
        <w:rPr>
          <w:rFonts w:ascii="Arial" w:hAnsi="Arial" w:cs="Arial"/>
          <w:sz w:val="20"/>
          <w:szCs w:val="20"/>
        </w:rPr>
      </w:pPr>
    </w:p>
    <w:p w14:paraId="291108AD" w14:textId="3F4BDC86" w:rsidR="00BE2099" w:rsidRPr="00BE2099" w:rsidRDefault="00BE2099" w:rsidP="00BE2099">
      <w:pPr>
        <w:spacing w:after="0"/>
        <w:jc w:val="both"/>
        <w:rPr>
          <w:rFonts w:ascii="Arial" w:hAnsi="Arial" w:cs="Arial"/>
          <w:i/>
          <w:iCs/>
        </w:rPr>
      </w:pPr>
      <w:r w:rsidRPr="00BE2099">
        <w:rPr>
          <w:rFonts w:ascii="Arial" w:hAnsi="Arial" w:cs="Arial"/>
          <w:i/>
          <w:iCs/>
        </w:rPr>
        <w:t>Der har været en række spørgsmål omkring lovforslaget til en ny fiskerilov både i forbindelse med høringsprocessen og i dialogen med organisationer, kommuner og fiskere. Derfor har Departementet for Fiskeri og Fangst udarbejdet nedenstående spørgsmål og svar omkring fiskerilovsforslaget som dække</w:t>
      </w:r>
      <w:r w:rsidR="001C3723">
        <w:rPr>
          <w:rFonts w:ascii="Arial" w:hAnsi="Arial" w:cs="Arial"/>
          <w:i/>
          <w:iCs/>
        </w:rPr>
        <w:t>r</w:t>
      </w:r>
      <w:r w:rsidRPr="00BE2099">
        <w:rPr>
          <w:rFonts w:ascii="Arial" w:hAnsi="Arial" w:cs="Arial"/>
          <w:i/>
          <w:iCs/>
        </w:rPr>
        <w:t xml:space="preserve"> de mest stillede spørgsmål eller misforståelser omkring lovforslaget</w:t>
      </w:r>
      <w:r w:rsidR="004B667A">
        <w:rPr>
          <w:rFonts w:ascii="Arial" w:hAnsi="Arial" w:cs="Arial"/>
          <w:i/>
          <w:iCs/>
        </w:rPr>
        <w:t xml:space="preserve"> for at sikre en oplyst dialog om lovforslaget.</w:t>
      </w:r>
    </w:p>
    <w:p w14:paraId="595ED144" w14:textId="77777777" w:rsidR="00BE2099" w:rsidRDefault="00BE2099" w:rsidP="00B75A84">
      <w:pPr>
        <w:spacing w:after="0"/>
        <w:rPr>
          <w:rFonts w:ascii="Arial" w:hAnsi="Arial" w:cs="Arial"/>
        </w:rPr>
      </w:pPr>
    </w:p>
    <w:p w14:paraId="72FDF7C2" w14:textId="77777777" w:rsidR="004B667A" w:rsidRPr="00DC750C" w:rsidRDefault="004B667A" w:rsidP="004B667A">
      <w:pPr>
        <w:pStyle w:val="Listeafsnit"/>
        <w:numPr>
          <w:ilvl w:val="0"/>
          <w:numId w:val="5"/>
        </w:numPr>
        <w:spacing w:after="0"/>
        <w:jc w:val="both"/>
        <w:rPr>
          <w:rFonts w:ascii="Arial" w:hAnsi="Arial" w:cs="Arial"/>
          <w:b/>
          <w:bCs/>
        </w:rPr>
      </w:pPr>
      <w:r w:rsidRPr="00DC750C">
        <w:rPr>
          <w:rFonts w:ascii="Arial" w:hAnsi="Arial" w:cs="Arial"/>
          <w:b/>
          <w:bCs/>
        </w:rPr>
        <w:t>Indfører Fiskeriloven krav om mindstepriser for indhandling?</w:t>
      </w:r>
    </w:p>
    <w:p w14:paraId="1416BD93" w14:textId="77777777" w:rsidR="004B667A" w:rsidRDefault="004B667A" w:rsidP="004B667A">
      <w:pPr>
        <w:spacing w:after="0"/>
        <w:rPr>
          <w:rFonts w:ascii="Arial" w:hAnsi="Arial" w:cs="Arial"/>
        </w:rPr>
      </w:pPr>
      <w:r>
        <w:rPr>
          <w:rFonts w:ascii="Arial" w:hAnsi="Arial" w:cs="Arial"/>
        </w:rPr>
        <w:t>Nej, fiskeriloven er en ressource-forvaltningslov og berører derfor ikke priser eller lignende (det kan den ikke). Naalakkersuisut er i gang med at se på dette i anden sammenhæng i dialog med fiskeriets aktører.</w:t>
      </w:r>
    </w:p>
    <w:p w14:paraId="477359B0" w14:textId="77777777" w:rsidR="004B667A" w:rsidRDefault="004B667A" w:rsidP="004B667A">
      <w:pPr>
        <w:spacing w:after="0"/>
        <w:rPr>
          <w:rFonts w:ascii="Arial" w:hAnsi="Arial" w:cs="Arial"/>
        </w:rPr>
      </w:pPr>
    </w:p>
    <w:p w14:paraId="2F449200" w14:textId="77777777" w:rsidR="004B667A" w:rsidRDefault="004B667A" w:rsidP="004B667A">
      <w:pPr>
        <w:pStyle w:val="Listeafsnit"/>
        <w:numPr>
          <w:ilvl w:val="0"/>
          <w:numId w:val="5"/>
        </w:numPr>
        <w:spacing w:after="0"/>
        <w:rPr>
          <w:rFonts w:ascii="Arial" w:hAnsi="Arial" w:cs="Arial"/>
          <w:b/>
          <w:bCs/>
        </w:rPr>
      </w:pPr>
      <w:r w:rsidRPr="00DC750C">
        <w:rPr>
          <w:rFonts w:ascii="Arial" w:hAnsi="Arial" w:cs="Arial"/>
          <w:b/>
          <w:bCs/>
        </w:rPr>
        <w:t>Indfører Fiskeriloven støttemuligheder for de kystnære fiskere?</w:t>
      </w:r>
    </w:p>
    <w:p w14:paraId="74A1D467" w14:textId="77777777" w:rsidR="004B667A" w:rsidRPr="00DC750C" w:rsidRDefault="004B667A" w:rsidP="004B667A">
      <w:pPr>
        <w:spacing w:after="0"/>
        <w:jc w:val="both"/>
        <w:rPr>
          <w:rFonts w:ascii="Arial" w:hAnsi="Arial" w:cs="Arial"/>
        </w:rPr>
      </w:pPr>
      <w:r>
        <w:rPr>
          <w:rFonts w:ascii="Arial" w:hAnsi="Arial" w:cs="Arial"/>
        </w:rPr>
        <w:t>Nej, støtte til erhvervsfiskeri reguleres igennem loven om erhvervsstøtte (ESU). Naalakkersuisut er i gang med at revidere denne lovgivning.</w:t>
      </w:r>
    </w:p>
    <w:p w14:paraId="7F5E5B6A" w14:textId="77777777" w:rsidR="004B667A" w:rsidRDefault="004B667A" w:rsidP="004B667A">
      <w:pPr>
        <w:spacing w:after="0"/>
        <w:rPr>
          <w:rFonts w:ascii="Arial" w:hAnsi="Arial" w:cs="Arial"/>
        </w:rPr>
      </w:pPr>
    </w:p>
    <w:p w14:paraId="61E5F634" w14:textId="77777777" w:rsidR="004B667A" w:rsidRPr="0040058F" w:rsidRDefault="004B667A" w:rsidP="004B667A">
      <w:pPr>
        <w:pStyle w:val="Listeafsnit"/>
        <w:numPr>
          <w:ilvl w:val="0"/>
          <w:numId w:val="5"/>
        </w:numPr>
        <w:spacing w:after="0"/>
        <w:rPr>
          <w:rFonts w:ascii="Arial" w:hAnsi="Arial" w:cs="Arial"/>
          <w:b/>
          <w:bCs/>
        </w:rPr>
      </w:pPr>
      <w:r w:rsidRPr="0040058F">
        <w:rPr>
          <w:rFonts w:ascii="Arial" w:hAnsi="Arial" w:cs="Arial"/>
          <w:b/>
          <w:bCs/>
        </w:rPr>
        <w:t xml:space="preserve">Vil der blive </w:t>
      </w:r>
      <w:r>
        <w:rPr>
          <w:rFonts w:ascii="Arial" w:hAnsi="Arial" w:cs="Arial"/>
          <w:b/>
          <w:bCs/>
        </w:rPr>
        <w:t>etableret</w:t>
      </w:r>
      <w:r w:rsidRPr="0040058F">
        <w:rPr>
          <w:rFonts w:ascii="Arial" w:hAnsi="Arial" w:cs="Arial"/>
          <w:b/>
          <w:bCs/>
        </w:rPr>
        <w:t xml:space="preserve"> en Licensstyrelse som vil fastsætte og fordele kvoter?</w:t>
      </w:r>
    </w:p>
    <w:p w14:paraId="4E231D1B" w14:textId="77777777" w:rsidR="004B667A" w:rsidRPr="0040058F" w:rsidRDefault="004B667A" w:rsidP="004B667A">
      <w:pPr>
        <w:spacing w:after="0"/>
        <w:jc w:val="both"/>
        <w:rPr>
          <w:rFonts w:ascii="Arial" w:hAnsi="Arial" w:cs="Arial"/>
        </w:rPr>
      </w:pPr>
      <w:r w:rsidRPr="0040058F">
        <w:rPr>
          <w:rFonts w:ascii="Arial" w:hAnsi="Arial" w:cs="Arial"/>
        </w:rPr>
        <w:t xml:space="preserve">Nej, der etableres ingen Licensstyrelse med det nye fiskerilovsforslag. Det vil fortsat være Naalakkersuisut som fastsætter den Totale Tilladte Fangstmængde (TAC) og som fordeler kvoter for fiskerier som ikke er IOK. </w:t>
      </w:r>
    </w:p>
    <w:p w14:paraId="34206415" w14:textId="77777777" w:rsidR="004B667A" w:rsidRPr="0040058F" w:rsidRDefault="004B667A" w:rsidP="004B667A">
      <w:pPr>
        <w:spacing w:after="0"/>
        <w:rPr>
          <w:rFonts w:ascii="Arial" w:hAnsi="Arial" w:cs="Arial"/>
        </w:rPr>
      </w:pPr>
    </w:p>
    <w:p w14:paraId="59AC5A36" w14:textId="77777777" w:rsidR="004B667A" w:rsidRDefault="004B667A" w:rsidP="004B667A">
      <w:pPr>
        <w:spacing w:after="0"/>
        <w:rPr>
          <w:rFonts w:ascii="Arial" w:hAnsi="Arial" w:cs="Arial"/>
        </w:rPr>
      </w:pPr>
      <w:r w:rsidRPr="0040058F">
        <w:rPr>
          <w:rFonts w:ascii="Arial" w:hAnsi="Arial" w:cs="Arial"/>
        </w:rPr>
        <w:t>Naalakkersuisut skal dog iagttage eventuelle forvaltningsplaner, internationale aftaler og den videnskabelige rådgivning ved fastsættelse af TAC</w:t>
      </w:r>
      <w:r>
        <w:rPr>
          <w:rFonts w:ascii="Arial" w:hAnsi="Arial" w:cs="Arial"/>
        </w:rPr>
        <w:t xml:space="preserve"> – samt i øvrigt forvaltningsretlige regler</w:t>
      </w:r>
      <w:r w:rsidRPr="0040058F">
        <w:rPr>
          <w:rFonts w:ascii="Arial" w:hAnsi="Arial" w:cs="Arial"/>
        </w:rPr>
        <w:t xml:space="preserve">. Men i praksis ændres processen for fastsættelse af TAC ikke ift. i dag og forslag til TAC vil fortsat blive sendt i offentlig høring og i høring i Fiskerirådet. </w:t>
      </w:r>
      <w:r>
        <w:rPr>
          <w:rFonts w:ascii="Arial" w:hAnsi="Arial" w:cs="Arial"/>
        </w:rPr>
        <w:t xml:space="preserve"> Repræsentanter fra Fiskerirådet vil også fortsat være med i udarbejdelsen af forvaltningsplaner.</w:t>
      </w:r>
    </w:p>
    <w:p w14:paraId="2722CC5E" w14:textId="77777777" w:rsidR="0053477C" w:rsidRDefault="0053477C" w:rsidP="004B667A">
      <w:pPr>
        <w:spacing w:after="0"/>
        <w:rPr>
          <w:rFonts w:ascii="Arial" w:hAnsi="Arial" w:cs="Arial"/>
        </w:rPr>
      </w:pPr>
    </w:p>
    <w:p w14:paraId="3EB7284B" w14:textId="77777777" w:rsidR="0053477C" w:rsidRPr="00C4605C" w:rsidRDefault="0053477C" w:rsidP="0053477C">
      <w:pPr>
        <w:pStyle w:val="Listeafsnit"/>
        <w:numPr>
          <w:ilvl w:val="0"/>
          <w:numId w:val="5"/>
        </w:numPr>
        <w:spacing w:after="0"/>
        <w:rPr>
          <w:rFonts w:ascii="Arial" w:hAnsi="Arial" w:cs="Arial"/>
          <w:b/>
          <w:bCs/>
        </w:rPr>
      </w:pPr>
      <w:r w:rsidRPr="00C4605C">
        <w:rPr>
          <w:rFonts w:ascii="Arial" w:hAnsi="Arial" w:cs="Arial"/>
          <w:b/>
          <w:bCs/>
        </w:rPr>
        <w:t>Kan kommunerne fortsat lave kommunale vedtægter?</w:t>
      </w:r>
    </w:p>
    <w:p w14:paraId="13919905" w14:textId="77777777" w:rsidR="0053477C" w:rsidRDefault="0053477C" w:rsidP="0053477C">
      <w:pPr>
        <w:spacing w:after="0"/>
        <w:jc w:val="both"/>
        <w:rPr>
          <w:rFonts w:ascii="Arial" w:hAnsi="Arial" w:cs="Arial"/>
        </w:rPr>
      </w:pPr>
      <w:r w:rsidRPr="00C4605C">
        <w:rPr>
          <w:rFonts w:ascii="Arial" w:hAnsi="Arial" w:cs="Arial"/>
        </w:rPr>
        <w:t>Ja, der er ingen ændring i lovforslaget ift. den nuværende lov på dette punkt. Kommunerne kan fortsat udarbejde kommunale vedtægter.</w:t>
      </w:r>
    </w:p>
    <w:p w14:paraId="11A49BE9" w14:textId="77777777" w:rsidR="004B667A" w:rsidRPr="004B667A" w:rsidRDefault="004B667A" w:rsidP="004B667A">
      <w:pPr>
        <w:spacing w:after="0"/>
        <w:rPr>
          <w:rFonts w:ascii="Arial" w:hAnsi="Arial" w:cs="Arial"/>
          <w:b/>
          <w:bCs/>
        </w:rPr>
      </w:pPr>
    </w:p>
    <w:p w14:paraId="254FDA9D" w14:textId="6CABB0A5" w:rsidR="00630217" w:rsidRDefault="00630217" w:rsidP="0053477C">
      <w:pPr>
        <w:pStyle w:val="Listeafsnit"/>
        <w:numPr>
          <w:ilvl w:val="0"/>
          <w:numId w:val="5"/>
        </w:numPr>
        <w:spacing w:after="0"/>
        <w:rPr>
          <w:rFonts w:ascii="Arial" w:hAnsi="Arial" w:cs="Arial"/>
          <w:b/>
          <w:bCs/>
        </w:rPr>
      </w:pPr>
      <w:r>
        <w:rPr>
          <w:rFonts w:ascii="Arial" w:hAnsi="Arial" w:cs="Arial"/>
          <w:b/>
          <w:bCs/>
        </w:rPr>
        <w:t>Skal alle overgå til Individuelle Omsættelige Kvoter (IOK) i forvaltningsområde 47?</w:t>
      </w:r>
    </w:p>
    <w:p w14:paraId="330E8CBD" w14:textId="644454D7" w:rsidR="00630217" w:rsidRDefault="00630217" w:rsidP="00C62922">
      <w:pPr>
        <w:spacing w:after="0"/>
        <w:jc w:val="both"/>
        <w:rPr>
          <w:rFonts w:ascii="Arial" w:hAnsi="Arial" w:cs="Arial"/>
        </w:rPr>
      </w:pPr>
      <w:r>
        <w:rPr>
          <w:rFonts w:ascii="Arial" w:hAnsi="Arial" w:cs="Arial"/>
        </w:rPr>
        <w:t>Nej, det er helt frivilligt om man ønsker at få tildelt Individuelle Omsættelige Kvoter (IOK) i forvaltningsområde 47 (Diskobugt, Uummannaq, Upernavik). Hvis man ønsker at overgå til IOK skal man sende en ansøgning til Departementet for Fiskeri og Fangst. Ens kvoteandel vil så gælde fra det førstkommende årsskifte. Man kan også fortsætte med at fiske olympisk, hvis man ønsker.</w:t>
      </w:r>
      <w:r w:rsidR="00A91B79">
        <w:rPr>
          <w:rFonts w:ascii="Arial" w:hAnsi="Arial" w:cs="Arial"/>
        </w:rPr>
        <w:t xml:space="preserve"> Muligheden findes alene i område 47.</w:t>
      </w:r>
    </w:p>
    <w:p w14:paraId="02202452" w14:textId="77777777" w:rsidR="00916ACF" w:rsidRDefault="00916ACF" w:rsidP="00C62922">
      <w:pPr>
        <w:spacing w:after="0"/>
        <w:jc w:val="both"/>
        <w:rPr>
          <w:rFonts w:ascii="Arial" w:hAnsi="Arial" w:cs="Arial"/>
        </w:rPr>
      </w:pPr>
    </w:p>
    <w:p w14:paraId="4F55CF5C" w14:textId="77777777" w:rsidR="00630217" w:rsidRPr="00630217" w:rsidRDefault="00630217" w:rsidP="00630217">
      <w:pPr>
        <w:spacing w:after="0"/>
        <w:rPr>
          <w:rFonts w:ascii="Arial" w:hAnsi="Arial" w:cs="Arial"/>
        </w:rPr>
      </w:pPr>
    </w:p>
    <w:p w14:paraId="51233B4F" w14:textId="2A196E9D" w:rsidR="00630217" w:rsidRDefault="008A064A" w:rsidP="0053477C">
      <w:pPr>
        <w:pStyle w:val="Listeafsnit"/>
        <w:numPr>
          <w:ilvl w:val="0"/>
          <w:numId w:val="5"/>
        </w:numPr>
        <w:spacing w:after="0"/>
        <w:rPr>
          <w:rFonts w:ascii="Arial" w:hAnsi="Arial" w:cs="Arial"/>
          <w:b/>
          <w:bCs/>
        </w:rPr>
      </w:pPr>
      <w:r>
        <w:rPr>
          <w:rFonts w:ascii="Arial" w:hAnsi="Arial" w:cs="Arial"/>
          <w:b/>
          <w:bCs/>
        </w:rPr>
        <w:lastRenderedPageBreak/>
        <w:t>Er der krav om kvotestørrelse ved overgang til IOK</w:t>
      </w:r>
    </w:p>
    <w:p w14:paraId="42A1EEC1" w14:textId="73F37114" w:rsidR="008A064A" w:rsidRDefault="008A064A" w:rsidP="00C62922">
      <w:pPr>
        <w:spacing w:after="0"/>
        <w:jc w:val="both"/>
        <w:rPr>
          <w:rFonts w:ascii="Arial" w:hAnsi="Arial" w:cs="Arial"/>
        </w:rPr>
      </w:pPr>
      <w:r>
        <w:rPr>
          <w:rFonts w:ascii="Arial" w:hAnsi="Arial" w:cs="Arial"/>
        </w:rPr>
        <w:t xml:space="preserve">Nej. Når du ansøger om overgang til IOK, så vil din kvoteandel blive beregnet på basis af dine bedste 3 års fiskeri ud af de seneste 5 år. Der er ingen krav om at din kvoteandel skal have en bestemt størrelse. </w:t>
      </w:r>
      <w:r w:rsidR="00E3648B">
        <w:rPr>
          <w:rFonts w:ascii="Arial" w:hAnsi="Arial" w:cs="Arial"/>
        </w:rPr>
        <w:t>Hvis</w:t>
      </w:r>
      <w:r>
        <w:rPr>
          <w:rFonts w:ascii="Arial" w:hAnsi="Arial" w:cs="Arial"/>
        </w:rPr>
        <w:t xml:space="preserve"> du er overgået til IOK kan du købe og sælge kvote som du selv ønsker.</w:t>
      </w:r>
    </w:p>
    <w:p w14:paraId="1096AFC5" w14:textId="77777777" w:rsidR="008A064A" w:rsidRPr="008A064A" w:rsidRDefault="008A064A" w:rsidP="008A064A">
      <w:pPr>
        <w:spacing w:after="0"/>
        <w:rPr>
          <w:rFonts w:ascii="Arial" w:hAnsi="Arial" w:cs="Arial"/>
        </w:rPr>
      </w:pPr>
    </w:p>
    <w:p w14:paraId="7B958051" w14:textId="20E37599" w:rsidR="00BE2099" w:rsidRPr="00D822A5" w:rsidRDefault="00D822A5" w:rsidP="0053477C">
      <w:pPr>
        <w:pStyle w:val="Listeafsnit"/>
        <w:numPr>
          <w:ilvl w:val="0"/>
          <w:numId w:val="5"/>
        </w:numPr>
        <w:spacing w:after="0"/>
        <w:rPr>
          <w:rFonts w:ascii="Arial" w:hAnsi="Arial" w:cs="Arial"/>
          <w:b/>
          <w:bCs/>
        </w:rPr>
      </w:pPr>
      <w:r w:rsidRPr="00D822A5">
        <w:rPr>
          <w:rFonts w:ascii="Arial" w:hAnsi="Arial" w:cs="Arial"/>
          <w:b/>
          <w:bCs/>
        </w:rPr>
        <w:t>Vil der blive tvunget fiskere ud af fiskeriet?</w:t>
      </w:r>
    </w:p>
    <w:p w14:paraId="3E9E4D96" w14:textId="357F64C7" w:rsidR="00465A30" w:rsidRDefault="00D822A5" w:rsidP="00C62922">
      <w:pPr>
        <w:spacing w:after="0"/>
        <w:jc w:val="both"/>
        <w:rPr>
          <w:rFonts w:ascii="Arial" w:hAnsi="Arial" w:cs="Arial"/>
        </w:rPr>
      </w:pPr>
      <w:r w:rsidRPr="008A064A">
        <w:rPr>
          <w:rFonts w:ascii="Arial" w:hAnsi="Arial" w:cs="Arial"/>
        </w:rPr>
        <w:t>Nej, ingen vil blive tvunget ud af fiskeriet. Overgang til IOK for kystnær hellefisk i forvaltningsområde 47 er frivilligt. Man kan også vælge at fortsætte sit olympiske fiskeri.</w:t>
      </w:r>
    </w:p>
    <w:p w14:paraId="767D1F45" w14:textId="77777777" w:rsidR="00DC750C" w:rsidRDefault="00DC750C" w:rsidP="00C62922">
      <w:pPr>
        <w:spacing w:after="0"/>
        <w:jc w:val="both"/>
        <w:rPr>
          <w:rFonts w:ascii="Arial" w:hAnsi="Arial" w:cs="Arial"/>
        </w:rPr>
      </w:pPr>
    </w:p>
    <w:p w14:paraId="1DCCD802" w14:textId="57139546" w:rsidR="00E3648B" w:rsidRDefault="00E3648B" w:rsidP="00E3648B">
      <w:pPr>
        <w:spacing w:after="0"/>
        <w:jc w:val="both"/>
        <w:rPr>
          <w:rFonts w:ascii="Arial" w:hAnsi="Arial" w:cs="Arial"/>
        </w:rPr>
      </w:pPr>
      <w:r>
        <w:rPr>
          <w:rFonts w:ascii="Arial" w:hAnsi="Arial" w:cs="Arial"/>
        </w:rPr>
        <w:t>Hvis du er overgået til IOK kan du købe og sælge kvote som du selv ønsker. Ingen vil blive tvunget til at sælge kvote medmindre de ikke har udnyttet den over en treårig periode</w:t>
      </w:r>
      <w:r w:rsidR="0050512E">
        <w:rPr>
          <w:rFonts w:ascii="Arial" w:hAnsi="Arial" w:cs="Arial"/>
        </w:rPr>
        <w:t>. Hvis kvoten ikke er udnyttet pga. f.eks. sygdom eller havari kan man modtage dispensation.</w:t>
      </w:r>
    </w:p>
    <w:p w14:paraId="6891D897" w14:textId="77777777" w:rsidR="0050512E" w:rsidRDefault="0050512E" w:rsidP="00E3648B">
      <w:pPr>
        <w:spacing w:after="0"/>
        <w:jc w:val="both"/>
        <w:rPr>
          <w:rFonts w:ascii="Arial" w:hAnsi="Arial" w:cs="Arial"/>
        </w:rPr>
      </w:pPr>
    </w:p>
    <w:p w14:paraId="2B6639B9" w14:textId="3A0CC7D5" w:rsidR="0050512E" w:rsidRDefault="0050512E" w:rsidP="0053477C">
      <w:pPr>
        <w:pStyle w:val="Listeafsnit"/>
        <w:numPr>
          <w:ilvl w:val="0"/>
          <w:numId w:val="5"/>
        </w:numPr>
        <w:spacing w:after="0"/>
        <w:jc w:val="both"/>
        <w:rPr>
          <w:rFonts w:ascii="Arial" w:hAnsi="Arial" w:cs="Arial"/>
          <w:b/>
          <w:bCs/>
        </w:rPr>
      </w:pPr>
      <w:r w:rsidRPr="0050512E">
        <w:rPr>
          <w:rFonts w:ascii="Arial" w:hAnsi="Arial" w:cs="Arial"/>
          <w:b/>
          <w:bCs/>
        </w:rPr>
        <w:t>Hvad betyder det for mig at der indføres 85% udnyttelsespligt i IOK-fiskeri?</w:t>
      </w:r>
    </w:p>
    <w:p w14:paraId="1967EA0E" w14:textId="28870196" w:rsidR="0050512E" w:rsidRDefault="00F85D90" w:rsidP="0050512E">
      <w:pPr>
        <w:spacing w:after="0"/>
        <w:jc w:val="both"/>
        <w:rPr>
          <w:rFonts w:ascii="Arial" w:hAnsi="Arial" w:cs="Arial"/>
        </w:rPr>
      </w:pPr>
      <w:r>
        <w:rPr>
          <w:rFonts w:ascii="Arial" w:hAnsi="Arial" w:cs="Arial"/>
        </w:rPr>
        <w:t>I fiskerilovsforslaget foreslås det at indføre 85% udnyttelsespligt for de fiskerier som har IOK. Det betyder at man hvert år skal opfiske 85% af ens kvote. Man kan dermed frasælge en del af kvoten til andre inden for året (max. 8%) og overføre op til 15% til året efter. Dette er for at sikre at ingen ejer en kvoteandel som de ikke fisker på, så kvoterne kan komme samfundet til gode.</w:t>
      </w:r>
    </w:p>
    <w:p w14:paraId="0708AC39" w14:textId="77777777" w:rsidR="00F85D90" w:rsidRDefault="00F85D90" w:rsidP="0050512E">
      <w:pPr>
        <w:spacing w:after="0"/>
        <w:jc w:val="both"/>
        <w:rPr>
          <w:rFonts w:ascii="Arial" w:hAnsi="Arial" w:cs="Arial"/>
        </w:rPr>
      </w:pPr>
    </w:p>
    <w:p w14:paraId="583DC098" w14:textId="0234D1C8" w:rsidR="00F85D90" w:rsidRPr="0050512E" w:rsidRDefault="00F85D90" w:rsidP="0050512E">
      <w:pPr>
        <w:spacing w:after="0"/>
        <w:jc w:val="both"/>
        <w:rPr>
          <w:rFonts w:ascii="Arial" w:hAnsi="Arial" w:cs="Arial"/>
        </w:rPr>
      </w:pPr>
      <w:r>
        <w:rPr>
          <w:rFonts w:ascii="Arial" w:hAnsi="Arial" w:cs="Arial"/>
        </w:rPr>
        <w:t>Hvis man ikke har udnyttet 85% af sin kvoteandel over en treårig periode kan man blive tvunget til at sælge den del af ens kvote</w:t>
      </w:r>
      <w:r w:rsidR="00392120">
        <w:rPr>
          <w:rFonts w:ascii="Arial" w:hAnsi="Arial" w:cs="Arial"/>
        </w:rPr>
        <w:t>andel,</w:t>
      </w:r>
      <w:r>
        <w:rPr>
          <w:rFonts w:ascii="Arial" w:hAnsi="Arial" w:cs="Arial"/>
        </w:rPr>
        <w:t xml:space="preserve"> som man ikke </w:t>
      </w:r>
      <w:r w:rsidR="00392120">
        <w:rPr>
          <w:rFonts w:ascii="Arial" w:hAnsi="Arial" w:cs="Arial"/>
        </w:rPr>
        <w:t>kan</w:t>
      </w:r>
      <w:r>
        <w:rPr>
          <w:rFonts w:ascii="Arial" w:hAnsi="Arial" w:cs="Arial"/>
        </w:rPr>
        <w:t xml:space="preserve"> fiske. Hvis man ikke har kunnet udnytte sin kvote pga. af f.eks. sygdom eller havari, så kan man få dispensation</w:t>
      </w:r>
      <w:r w:rsidR="00C618BF">
        <w:rPr>
          <w:rFonts w:ascii="Arial" w:hAnsi="Arial" w:cs="Arial"/>
        </w:rPr>
        <w:t xml:space="preserve"> til at sælge en større andel en 8%</w:t>
      </w:r>
      <w:r w:rsidR="00392120">
        <w:rPr>
          <w:rFonts w:ascii="Arial" w:hAnsi="Arial" w:cs="Arial"/>
        </w:rPr>
        <w:t xml:space="preserve"> som årskvote</w:t>
      </w:r>
      <w:r w:rsidR="00C618BF">
        <w:rPr>
          <w:rFonts w:ascii="Arial" w:hAnsi="Arial" w:cs="Arial"/>
        </w:rPr>
        <w:t>, så kvoten kan udnyttes af andre.</w:t>
      </w:r>
      <w:r w:rsidR="00392120">
        <w:rPr>
          <w:rFonts w:ascii="Arial" w:hAnsi="Arial" w:cs="Arial"/>
        </w:rPr>
        <w:t xml:space="preserve"> I det tilfælde beholder man sin kvoteandel.</w:t>
      </w:r>
    </w:p>
    <w:p w14:paraId="6BD32204" w14:textId="77777777" w:rsidR="00E3648B" w:rsidRDefault="00E3648B" w:rsidP="00C62922">
      <w:pPr>
        <w:spacing w:after="0"/>
        <w:jc w:val="both"/>
        <w:rPr>
          <w:rFonts w:ascii="Arial" w:hAnsi="Arial" w:cs="Arial"/>
        </w:rPr>
      </w:pPr>
    </w:p>
    <w:p w14:paraId="720F4139" w14:textId="51834934" w:rsidR="00DC750C" w:rsidRDefault="00DC750C" w:rsidP="0053477C">
      <w:pPr>
        <w:pStyle w:val="Listeafsnit"/>
        <w:numPr>
          <w:ilvl w:val="0"/>
          <w:numId w:val="5"/>
        </w:numPr>
        <w:spacing w:after="0"/>
        <w:jc w:val="both"/>
        <w:rPr>
          <w:rFonts w:ascii="Arial" w:hAnsi="Arial" w:cs="Arial"/>
          <w:b/>
          <w:bCs/>
        </w:rPr>
      </w:pPr>
      <w:r w:rsidRPr="00DC750C">
        <w:rPr>
          <w:rFonts w:ascii="Arial" w:hAnsi="Arial" w:cs="Arial"/>
          <w:b/>
          <w:bCs/>
        </w:rPr>
        <w:t>Indfører Fiskeriloven ændringer i forvaltningsområderne for kystnær hellefisk?</w:t>
      </w:r>
    </w:p>
    <w:p w14:paraId="66E57200" w14:textId="5E6123CE" w:rsidR="00DC750C" w:rsidRDefault="00DC750C" w:rsidP="00DC750C">
      <w:pPr>
        <w:spacing w:after="0"/>
        <w:jc w:val="both"/>
        <w:rPr>
          <w:rFonts w:ascii="Arial" w:hAnsi="Arial" w:cs="Arial"/>
        </w:rPr>
      </w:pPr>
      <w:r>
        <w:rPr>
          <w:rFonts w:ascii="Arial" w:hAnsi="Arial" w:cs="Arial"/>
        </w:rPr>
        <w:t>Nej, fiskerilovsforslaget indfører ikke ændringer ift. forvaltningsområder for de forskellige fiskerier. Dette gøres via bekendtgørelser og arbejdet med forvaltningsplaner. Ønskes der ændringer i forvaltningsområder, vil dette derfor blive behandlet i arbejdet med forvaltningsplan og bekendtgørelse og dermed i tæt samarbejde med fiskeriets aktører.</w:t>
      </w:r>
    </w:p>
    <w:p w14:paraId="5CB3DF1C" w14:textId="77777777" w:rsidR="00E17A73" w:rsidRDefault="00E17A73" w:rsidP="00DC750C">
      <w:pPr>
        <w:spacing w:after="0"/>
        <w:jc w:val="both"/>
        <w:rPr>
          <w:rFonts w:ascii="Arial" w:hAnsi="Arial" w:cs="Arial"/>
        </w:rPr>
      </w:pPr>
    </w:p>
    <w:p w14:paraId="6E5F5233" w14:textId="077CBB37" w:rsidR="00E17A73" w:rsidRDefault="004E5C2C" w:rsidP="0053477C">
      <w:pPr>
        <w:pStyle w:val="Listeafsnit"/>
        <w:numPr>
          <w:ilvl w:val="0"/>
          <w:numId w:val="5"/>
        </w:numPr>
        <w:spacing w:after="0"/>
        <w:jc w:val="both"/>
        <w:rPr>
          <w:rFonts w:ascii="Arial" w:hAnsi="Arial" w:cs="Arial"/>
          <w:b/>
          <w:bCs/>
        </w:rPr>
      </w:pPr>
      <w:r w:rsidRPr="004E5C2C">
        <w:rPr>
          <w:rFonts w:ascii="Arial" w:hAnsi="Arial" w:cs="Arial"/>
          <w:b/>
          <w:bCs/>
        </w:rPr>
        <w:t>Hvor lang tid vil en IOK-kvoteandel være gældende og er de fortsat arvelige?</w:t>
      </w:r>
    </w:p>
    <w:p w14:paraId="095E1B9A" w14:textId="5E54A1E5" w:rsidR="004E5C2C" w:rsidRDefault="00FE63E7" w:rsidP="004E5C2C">
      <w:pPr>
        <w:spacing w:after="0"/>
        <w:jc w:val="both"/>
        <w:rPr>
          <w:rFonts w:ascii="Arial" w:hAnsi="Arial" w:cs="Arial"/>
        </w:rPr>
      </w:pPr>
      <w:r>
        <w:rPr>
          <w:rFonts w:ascii="Arial" w:hAnsi="Arial" w:cs="Arial"/>
        </w:rPr>
        <w:t>En IOK kvoteandel vil gælde for 10 år ad gangen. Tildelingen vil være rullende, dvs. at man hvert år får en ny licens (årskvotemeddelelse) som gælder for 10 år ad gangen. Naalakkersuisut kan tilbagekalde en del af din kvoteandel med ét 10 års varsel. Men aldrig hele kvoteandelen på en gang.</w:t>
      </w:r>
    </w:p>
    <w:p w14:paraId="2325A76A" w14:textId="77777777" w:rsidR="00FE63E7" w:rsidRDefault="00FE63E7" w:rsidP="004E5C2C">
      <w:pPr>
        <w:spacing w:after="0"/>
        <w:jc w:val="both"/>
        <w:rPr>
          <w:rFonts w:ascii="Arial" w:hAnsi="Arial" w:cs="Arial"/>
        </w:rPr>
      </w:pPr>
    </w:p>
    <w:p w14:paraId="34848791" w14:textId="6FD3B630" w:rsidR="00FE63E7" w:rsidRPr="004E5C2C" w:rsidRDefault="00FE63E7" w:rsidP="004E5C2C">
      <w:pPr>
        <w:spacing w:after="0"/>
        <w:jc w:val="both"/>
        <w:rPr>
          <w:rFonts w:ascii="Arial" w:hAnsi="Arial" w:cs="Arial"/>
        </w:rPr>
      </w:pPr>
      <w:r>
        <w:rPr>
          <w:rFonts w:ascii="Arial" w:hAnsi="Arial" w:cs="Arial"/>
        </w:rPr>
        <w:t xml:space="preserve">Kvoteandelen vil fortsat være arvelig. </w:t>
      </w:r>
    </w:p>
    <w:p w14:paraId="66749DA8" w14:textId="77777777" w:rsidR="00DC750C" w:rsidRDefault="00DC750C" w:rsidP="00DC750C">
      <w:pPr>
        <w:spacing w:after="0"/>
        <w:jc w:val="both"/>
        <w:rPr>
          <w:rFonts w:ascii="Arial" w:hAnsi="Arial" w:cs="Arial"/>
        </w:rPr>
      </w:pPr>
    </w:p>
    <w:p w14:paraId="1CD1D71B" w14:textId="77777777" w:rsidR="00C62922" w:rsidRDefault="00C62922" w:rsidP="00D822A5">
      <w:pPr>
        <w:spacing w:after="0"/>
        <w:rPr>
          <w:rFonts w:ascii="Arial" w:hAnsi="Arial" w:cs="Arial"/>
        </w:rPr>
      </w:pPr>
    </w:p>
    <w:p w14:paraId="2EB0EF0E" w14:textId="0F9EDA83" w:rsidR="00223718" w:rsidRDefault="00916ACF" w:rsidP="0053477C">
      <w:pPr>
        <w:pStyle w:val="Listeafsnit"/>
        <w:numPr>
          <w:ilvl w:val="0"/>
          <w:numId w:val="5"/>
        </w:numPr>
        <w:spacing w:after="0"/>
        <w:jc w:val="both"/>
        <w:rPr>
          <w:rFonts w:ascii="Arial" w:hAnsi="Arial" w:cs="Arial"/>
          <w:b/>
          <w:bCs/>
        </w:rPr>
      </w:pPr>
      <w:r>
        <w:rPr>
          <w:rFonts w:ascii="Arial" w:hAnsi="Arial" w:cs="Arial"/>
          <w:b/>
          <w:bCs/>
        </w:rPr>
        <w:t>Hvad betyder lovforslaget for unge fiskere som gerne vil ind i fiskeriet og generationsskifte?</w:t>
      </w:r>
    </w:p>
    <w:p w14:paraId="790581FD" w14:textId="77777777" w:rsidR="00E07088" w:rsidRDefault="00223718" w:rsidP="00223718">
      <w:pPr>
        <w:spacing w:after="0"/>
        <w:jc w:val="both"/>
        <w:rPr>
          <w:rFonts w:ascii="Arial" w:hAnsi="Arial" w:cs="Arial"/>
        </w:rPr>
      </w:pPr>
      <w:r>
        <w:rPr>
          <w:rFonts w:ascii="Arial" w:hAnsi="Arial" w:cs="Arial"/>
        </w:rPr>
        <w:t>Unge fiskere vil kunne indgå i den del af fiskeriet, som er olympisk, helt ligesom de hidtil har kunnet.</w:t>
      </w:r>
      <w:r w:rsidR="00916ACF">
        <w:rPr>
          <w:rFonts w:ascii="Arial" w:hAnsi="Arial" w:cs="Arial"/>
        </w:rPr>
        <w:t xml:space="preserve"> </w:t>
      </w:r>
    </w:p>
    <w:p w14:paraId="5EC781B2" w14:textId="77777777" w:rsidR="00E07088" w:rsidRDefault="00E07088" w:rsidP="00223718">
      <w:pPr>
        <w:spacing w:after="0"/>
        <w:jc w:val="both"/>
        <w:rPr>
          <w:rFonts w:ascii="Arial" w:hAnsi="Arial" w:cs="Arial"/>
        </w:rPr>
      </w:pPr>
    </w:p>
    <w:p w14:paraId="45A6FD69" w14:textId="6358BFEB" w:rsidR="00223718" w:rsidRDefault="00223718" w:rsidP="00223718">
      <w:pPr>
        <w:spacing w:after="0"/>
        <w:jc w:val="both"/>
        <w:rPr>
          <w:rFonts w:ascii="Arial" w:hAnsi="Arial" w:cs="Arial"/>
        </w:rPr>
      </w:pPr>
      <w:r>
        <w:rPr>
          <w:rFonts w:ascii="Arial" w:hAnsi="Arial" w:cs="Arial"/>
        </w:rPr>
        <w:t>I det fiskeri, der er omfattet af IOK-ordningen</w:t>
      </w:r>
      <w:r w:rsidR="00916ACF">
        <w:rPr>
          <w:rFonts w:ascii="Arial" w:hAnsi="Arial" w:cs="Arial"/>
        </w:rPr>
        <w:t xml:space="preserve"> (hellefisk område 47 og krabber)</w:t>
      </w:r>
      <w:r>
        <w:rPr>
          <w:rFonts w:ascii="Arial" w:hAnsi="Arial" w:cs="Arial"/>
        </w:rPr>
        <w:t xml:space="preserve"> vil de kunne købe sig ind i fiskeriet på linje med andre, de vil kunne arve kvoteandele, og de vil kunne få det som gave, for eksempel i forbindelse med generationsskifte. </w:t>
      </w:r>
    </w:p>
    <w:p w14:paraId="4867BA55" w14:textId="77777777" w:rsidR="004F4A91" w:rsidRDefault="004F4A91" w:rsidP="00223718">
      <w:pPr>
        <w:spacing w:after="0"/>
        <w:jc w:val="both"/>
        <w:rPr>
          <w:rFonts w:ascii="Arial" w:hAnsi="Arial" w:cs="Arial"/>
        </w:rPr>
      </w:pPr>
    </w:p>
    <w:p w14:paraId="7323CC4E" w14:textId="66AE5109" w:rsidR="00223718" w:rsidRDefault="00223718" w:rsidP="00223718">
      <w:pPr>
        <w:spacing w:after="0"/>
        <w:jc w:val="both"/>
        <w:rPr>
          <w:rFonts w:ascii="Arial" w:hAnsi="Arial" w:cs="Arial"/>
        </w:rPr>
      </w:pPr>
      <w:r>
        <w:rPr>
          <w:rFonts w:ascii="Arial" w:hAnsi="Arial" w:cs="Arial"/>
        </w:rPr>
        <w:t>Når kvoteandele tilfalder Naalakkersuisut, kan andelene blive fordelt ud fra særlige hensyn, for eksempel hensynet til at give unge fiskere eller nye aktører adgang.</w:t>
      </w:r>
    </w:p>
    <w:p w14:paraId="37D9E770" w14:textId="77777777" w:rsidR="00223718" w:rsidRPr="001C3723" w:rsidRDefault="00223718" w:rsidP="001C3723">
      <w:pPr>
        <w:spacing w:after="0"/>
        <w:jc w:val="both"/>
        <w:rPr>
          <w:rFonts w:ascii="Arial" w:hAnsi="Arial" w:cs="Arial"/>
        </w:rPr>
      </w:pPr>
    </w:p>
    <w:p w14:paraId="022C7870" w14:textId="172CD9EC" w:rsidR="00A91B79" w:rsidRPr="001C3723" w:rsidRDefault="00A91B79" w:rsidP="0053477C">
      <w:pPr>
        <w:pStyle w:val="Listeafsnit"/>
        <w:numPr>
          <w:ilvl w:val="0"/>
          <w:numId w:val="5"/>
        </w:numPr>
        <w:spacing w:after="0"/>
        <w:jc w:val="both"/>
        <w:rPr>
          <w:rFonts w:ascii="Arial" w:hAnsi="Arial" w:cs="Arial"/>
          <w:b/>
          <w:bCs/>
        </w:rPr>
      </w:pPr>
      <w:r>
        <w:rPr>
          <w:rFonts w:ascii="Arial" w:hAnsi="Arial" w:cs="Arial"/>
          <w:b/>
          <w:bCs/>
        </w:rPr>
        <w:t>Hvorfor er Royal Greenland undtaget fra de almindelige regler om kvoteloft?</w:t>
      </w:r>
    </w:p>
    <w:p w14:paraId="2C1B9893" w14:textId="1C9E84CC" w:rsidR="00A91B79" w:rsidRDefault="00A91B79" w:rsidP="00A91B79">
      <w:pPr>
        <w:spacing w:after="0"/>
        <w:jc w:val="both"/>
        <w:rPr>
          <w:rFonts w:ascii="Arial" w:hAnsi="Arial" w:cs="Arial"/>
        </w:rPr>
      </w:pPr>
      <w:r w:rsidRPr="001C3723">
        <w:rPr>
          <w:rFonts w:ascii="Arial" w:hAnsi="Arial" w:cs="Arial"/>
        </w:rPr>
        <w:t xml:space="preserve">Royal Greenland </w:t>
      </w:r>
      <w:r>
        <w:rPr>
          <w:rFonts w:ascii="Arial" w:hAnsi="Arial" w:cs="Arial"/>
        </w:rPr>
        <w:t xml:space="preserve">ejes af den grønlandske befolkning, og en reduktion af selskabets kvoteandel vil ikke indebære en spredning af ejerskabet – tværtimod. Desuden varetager </w:t>
      </w:r>
      <w:r w:rsidR="00950017">
        <w:rPr>
          <w:rFonts w:ascii="Arial" w:hAnsi="Arial" w:cs="Arial"/>
        </w:rPr>
        <w:t>R</w:t>
      </w:r>
      <w:r>
        <w:rPr>
          <w:rFonts w:ascii="Arial" w:hAnsi="Arial" w:cs="Arial"/>
        </w:rPr>
        <w:t>oyal Greenland</w:t>
      </w:r>
      <w:r w:rsidR="00950017">
        <w:rPr>
          <w:rFonts w:ascii="Arial" w:hAnsi="Arial" w:cs="Arial"/>
        </w:rPr>
        <w:t xml:space="preserve"> A/S</w:t>
      </w:r>
      <w:r>
        <w:rPr>
          <w:rFonts w:ascii="Arial" w:hAnsi="Arial" w:cs="Arial"/>
        </w:rPr>
        <w:t xml:space="preserve"> en række samfundsmæssige opgaver, som ikke pålægges de private selskaber. Hvis man fratager selskabet kvoteandele, vil det ikke kunne varetage disse opgaver</w:t>
      </w:r>
      <w:r w:rsidR="00DB31FC">
        <w:rPr>
          <w:rFonts w:ascii="Arial" w:hAnsi="Arial" w:cs="Arial"/>
        </w:rPr>
        <w:t xml:space="preserve"> for samfundet og fiskeriet.</w:t>
      </w:r>
    </w:p>
    <w:p w14:paraId="2653AF33" w14:textId="77777777" w:rsidR="00223718" w:rsidRDefault="00223718" w:rsidP="00A91B79">
      <w:pPr>
        <w:spacing w:after="0"/>
        <w:jc w:val="both"/>
        <w:rPr>
          <w:rFonts w:ascii="Arial" w:hAnsi="Arial" w:cs="Arial"/>
        </w:rPr>
      </w:pPr>
    </w:p>
    <w:p w14:paraId="1D8300F3" w14:textId="3F44559E" w:rsidR="00223718" w:rsidRPr="00686347" w:rsidRDefault="00686347" w:rsidP="00686347">
      <w:pPr>
        <w:pStyle w:val="Listeafsnit"/>
        <w:numPr>
          <w:ilvl w:val="0"/>
          <w:numId w:val="5"/>
        </w:numPr>
        <w:spacing w:after="0"/>
        <w:jc w:val="both"/>
        <w:rPr>
          <w:rFonts w:ascii="Arial" w:hAnsi="Arial" w:cs="Arial"/>
          <w:b/>
          <w:bCs/>
        </w:rPr>
      </w:pPr>
      <w:r w:rsidRPr="00686347">
        <w:rPr>
          <w:rFonts w:ascii="Arial" w:hAnsi="Arial" w:cs="Arial"/>
          <w:b/>
          <w:bCs/>
        </w:rPr>
        <w:t>Hvad betyder det at der indføres 75% produktionstilladelse for alle rejefartøjer?</w:t>
      </w:r>
    </w:p>
    <w:p w14:paraId="6AF85E6B" w14:textId="01A63CF6" w:rsidR="00686347" w:rsidRDefault="00686347" w:rsidP="00686347">
      <w:pPr>
        <w:spacing w:after="0"/>
        <w:jc w:val="both"/>
        <w:rPr>
          <w:rFonts w:ascii="Arial" w:hAnsi="Arial" w:cs="Arial"/>
        </w:rPr>
      </w:pPr>
      <w:r>
        <w:rPr>
          <w:rFonts w:ascii="Arial" w:hAnsi="Arial" w:cs="Arial"/>
        </w:rPr>
        <w:t>Indførsel af 75% produktionstilladelse og 25% indhandlingspligt for alle rejefartøjer, både i det havgående og det kystnære segment betyder at fartøjsejerne får en større fleksibilitet til at kunne planlægge deres udvikling. 25% indhandlingspligt er et minimum, dvs. at alle rejefartøjer skal indhandle minimum 25% af deres kvoter til indhandlingsanlæg. Men de må gerne indhandle mere end 25%, lige som de gerne må producere mindre end 75% af fangsten. De må bare maksimum producere 75%. I dag indhandler fartøjer med 25% indhandlingspligt allerede mere end de 25%. Dette kommer bl.a. an på fiskeriet og markedet.</w:t>
      </w:r>
    </w:p>
    <w:p w14:paraId="2FD52C95" w14:textId="77777777" w:rsidR="00BD78BD" w:rsidRDefault="00BD78BD" w:rsidP="00686347">
      <w:pPr>
        <w:spacing w:after="0"/>
        <w:jc w:val="both"/>
        <w:rPr>
          <w:rFonts w:ascii="Arial" w:hAnsi="Arial" w:cs="Arial"/>
        </w:rPr>
      </w:pPr>
    </w:p>
    <w:p w14:paraId="72C8092B" w14:textId="72004E10" w:rsidR="00BD78BD" w:rsidRDefault="00BD78BD" w:rsidP="00686347">
      <w:pPr>
        <w:spacing w:after="0"/>
        <w:jc w:val="both"/>
        <w:rPr>
          <w:rFonts w:ascii="Arial" w:hAnsi="Arial" w:cs="Arial"/>
        </w:rPr>
      </w:pPr>
      <w:r>
        <w:rPr>
          <w:rFonts w:ascii="Arial" w:hAnsi="Arial" w:cs="Arial"/>
        </w:rPr>
        <w:t>Fartøjsejere kan derfor fortsat med den nye fiskerilov vælge at satse på at indhandle 100% af deres fangst, hvis de ønsker. Og de behøves ikke investere i et produktionsfartøj, de har bare tilladelse til at producere op til 75%, hvis de ønsker.</w:t>
      </w:r>
    </w:p>
    <w:p w14:paraId="4213FA16" w14:textId="77777777" w:rsidR="00686347" w:rsidRDefault="00686347" w:rsidP="00686347">
      <w:pPr>
        <w:spacing w:after="0"/>
        <w:jc w:val="both"/>
        <w:rPr>
          <w:rFonts w:ascii="Arial" w:hAnsi="Arial" w:cs="Arial"/>
        </w:rPr>
      </w:pPr>
    </w:p>
    <w:p w14:paraId="7D2853C8" w14:textId="0A1369EE" w:rsidR="00686347" w:rsidRPr="00686347" w:rsidRDefault="00686347" w:rsidP="00686347">
      <w:pPr>
        <w:spacing w:after="0"/>
        <w:jc w:val="both"/>
        <w:rPr>
          <w:rFonts w:ascii="Arial" w:hAnsi="Arial" w:cs="Arial"/>
        </w:rPr>
      </w:pPr>
    </w:p>
    <w:sectPr w:rsidR="00686347" w:rsidRPr="00686347" w:rsidSect="00695279">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F37C" w14:textId="77777777" w:rsidR="00695279" w:rsidRDefault="00695279" w:rsidP="00FA2B29">
      <w:pPr>
        <w:spacing w:after="0" w:line="240" w:lineRule="auto"/>
      </w:pPr>
      <w:r>
        <w:separator/>
      </w:r>
    </w:p>
  </w:endnote>
  <w:endnote w:type="continuationSeparator" w:id="0">
    <w:p w14:paraId="2F9F94F5" w14:textId="77777777" w:rsidR="00695279" w:rsidRDefault="00695279"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FFA5" w14:textId="77777777" w:rsidR="00895C7C" w:rsidRDefault="00895C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Content>
      <w:p w14:paraId="7A83F542" w14:textId="77777777" w:rsidR="00986E1B" w:rsidRDefault="00986E1B">
        <w:pPr>
          <w:pStyle w:val="Sidefod"/>
          <w:jc w:val="right"/>
        </w:pPr>
        <w:r>
          <w:fldChar w:fldCharType="begin"/>
        </w:r>
        <w:r>
          <w:instrText>PAGE   \* MERGEFORMAT</w:instrText>
        </w:r>
        <w:r>
          <w:fldChar w:fldCharType="separate"/>
        </w:r>
        <w:r>
          <w:rPr>
            <w:noProof/>
          </w:rPr>
          <w:t>2</w:t>
        </w:r>
        <w:r>
          <w:fldChar w:fldCharType="end"/>
        </w:r>
      </w:p>
    </w:sdtContent>
  </w:sdt>
  <w:p w14:paraId="3364DAD7" w14:textId="77777777" w:rsidR="00874C50" w:rsidRDefault="00874C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1982"/>
      <w:docPartObj>
        <w:docPartGallery w:val="Page Numbers (Bottom of Page)"/>
        <w:docPartUnique/>
      </w:docPartObj>
    </w:sdtPr>
    <w:sdtContent>
      <w:p w14:paraId="52FF7754" w14:textId="77777777" w:rsidR="00986E1B" w:rsidRDefault="00986E1B">
        <w:pPr>
          <w:pStyle w:val="Sidefod"/>
          <w:jc w:val="right"/>
        </w:pPr>
        <w:r>
          <w:fldChar w:fldCharType="begin"/>
        </w:r>
        <w:r>
          <w:instrText xml:space="preserve"> PAGE  \* MERGEFORMAT </w:instrText>
        </w:r>
        <w:r>
          <w:fldChar w:fldCharType="separate"/>
        </w:r>
        <w:r w:rsidR="001B135D">
          <w:rPr>
            <w:noProof/>
          </w:rPr>
          <w:t>1</w:t>
        </w:r>
        <w:r>
          <w:fldChar w:fldCharType="end"/>
        </w:r>
      </w:p>
    </w:sdtContent>
  </w:sdt>
  <w:p w14:paraId="2D91B4F2"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BD83" w14:textId="77777777" w:rsidR="00695279" w:rsidRDefault="00695279" w:rsidP="00FA2B29">
      <w:pPr>
        <w:spacing w:after="0" w:line="240" w:lineRule="auto"/>
      </w:pPr>
      <w:r>
        <w:separator/>
      </w:r>
    </w:p>
  </w:footnote>
  <w:footnote w:type="continuationSeparator" w:id="0">
    <w:p w14:paraId="219AD38E" w14:textId="77777777" w:rsidR="00695279" w:rsidRDefault="00695279"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7D4D" w14:textId="77777777" w:rsidR="00895C7C" w:rsidRDefault="00895C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F84" w14:textId="77777777" w:rsidR="00895C7C" w:rsidRDefault="00895C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EF4" w14:textId="77777777" w:rsidR="005A226D" w:rsidRDefault="00000000" w:rsidP="00FA2B29">
    <w:pPr>
      <w:pStyle w:val="Lillev"/>
    </w:pPr>
    <w:sdt>
      <w:sdtPr>
        <w:id w:val="1009559856"/>
        <w:docPartObj>
          <w:docPartGallery w:val="Watermarks"/>
          <w:docPartUnique/>
        </w:docPartObj>
      </w:sdtPr>
      <w:sdtContent>
        <w:r w:rsidR="00040CA4">
          <w:rPr>
            <w:noProof/>
            <w:lang w:eastAsia="da-DK"/>
          </w:rPr>
          <w:drawing>
            <wp:anchor distT="0" distB="0" distL="114300" distR="114300" simplePos="0" relativeHeight="251715584" behindDoc="1" locked="1" layoutInCell="1" allowOverlap="1" wp14:anchorId="2E0DC655" wp14:editId="617E8038">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5A226D">
      <w:t xml:space="preserve">   </w:t>
    </w:r>
  </w:p>
  <w:p w14:paraId="5E3ED368" w14:textId="77777777" w:rsidR="005A226D" w:rsidRPr="00AB566E" w:rsidRDefault="005A226D" w:rsidP="00FA2B29">
    <w:pPr>
      <w:pStyle w:val="Lillev"/>
    </w:pPr>
    <w:r>
      <w:rPr>
        <w:noProof/>
        <w:lang w:eastAsia="da-DK"/>
      </w:rPr>
      <w:drawing>
        <wp:anchor distT="0" distB="0" distL="114300" distR="114300" simplePos="0" relativeHeight="251657216" behindDoc="0" locked="1" layoutInCell="1" allowOverlap="1" wp14:anchorId="4D09E046" wp14:editId="0EEDC7E8">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C352C" w:rsidRPr="003F14E0">
      <w:t>Aalisarnermut</w:t>
    </w:r>
    <w:proofErr w:type="spellEnd"/>
    <w:r w:rsidR="004C352C" w:rsidRPr="003F14E0">
      <w:t xml:space="preserve"> </w:t>
    </w:r>
    <w:proofErr w:type="spellStart"/>
    <w:r w:rsidR="004C352C" w:rsidRPr="003F14E0">
      <w:t>Piniarnermu</w:t>
    </w:r>
    <w:r w:rsidR="00895C7C">
      <w:t>llu</w:t>
    </w:r>
    <w:proofErr w:type="spellEnd"/>
    <w:r w:rsidR="004C352C" w:rsidRPr="003F14E0">
      <w:t xml:space="preserve"> </w:t>
    </w:r>
    <w:proofErr w:type="spellStart"/>
    <w:r w:rsidR="004C352C" w:rsidRPr="003F14E0">
      <w:t>Naalakkersuisoqarfik</w:t>
    </w:r>
    <w:proofErr w:type="spellEnd"/>
  </w:p>
  <w:p w14:paraId="2B412289" w14:textId="77777777" w:rsidR="005A226D" w:rsidRDefault="007E01D0" w:rsidP="00895C7C">
    <w:pPr>
      <w:pStyle w:val="Lillev"/>
    </w:pPr>
    <w:r>
      <w:t>Departementet</w:t>
    </w:r>
    <w:r w:rsidR="004C352C">
      <w:t xml:space="preserve"> for Fiskeri</w:t>
    </w:r>
    <w:r w:rsidR="00895C7C">
      <w:t xml:space="preserve"> og Fangst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549"/>
    <w:multiLevelType w:val="hybridMultilevel"/>
    <w:tmpl w:val="547EEC9E"/>
    <w:lvl w:ilvl="0" w:tplc="FAB6B992">
      <w:start w:val="1"/>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 w15:restartNumberingAfterBreak="0">
    <w:nsid w:val="194F2862"/>
    <w:multiLevelType w:val="hybridMultilevel"/>
    <w:tmpl w:val="B6789BBE"/>
    <w:lvl w:ilvl="0" w:tplc="72940D20">
      <w:start w:val="4"/>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1C0775E0"/>
    <w:multiLevelType w:val="hybridMultilevel"/>
    <w:tmpl w:val="736686D2"/>
    <w:lvl w:ilvl="0" w:tplc="85F6CD22">
      <w:start w:val="5"/>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4BC042B6"/>
    <w:multiLevelType w:val="hybridMultilevel"/>
    <w:tmpl w:val="E612D1AE"/>
    <w:lvl w:ilvl="0" w:tplc="E7681388">
      <w:start w:val="1"/>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15:restartNumberingAfterBreak="0">
    <w:nsid w:val="76C0718B"/>
    <w:multiLevelType w:val="hybridMultilevel"/>
    <w:tmpl w:val="12861DE6"/>
    <w:lvl w:ilvl="0" w:tplc="5776B976">
      <w:start w:val="4"/>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15:restartNumberingAfterBreak="0">
    <w:nsid w:val="7DD816A1"/>
    <w:multiLevelType w:val="hybridMultilevel"/>
    <w:tmpl w:val="EA8820E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5422020">
    <w:abstractNumId w:val="0"/>
  </w:num>
  <w:num w:numId="2" w16cid:durableId="2004817024">
    <w:abstractNumId w:val="1"/>
  </w:num>
  <w:num w:numId="3" w16cid:durableId="1523395256">
    <w:abstractNumId w:val="4"/>
  </w:num>
  <w:num w:numId="4" w16cid:durableId="848832871">
    <w:abstractNumId w:val="2"/>
  </w:num>
  <w:num w:numId="5" w16cid:durableId="222567079">
    <w:abstractNumId w:val="3"/>
  </w:num>
  <w:num w:numId="6" w16cid:durableId="1141968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2A"/>
    <w:rsid w:val="00027D8E"/>
    <w:rsid w:val="00040CA4"/>
    <w:rsid w:val="00043F24"/>
    <w:rsid w:val="000D7EE7"/>
    <w:rsid w:val="00120B0A"/>
    <w:rsid w:val="001B135D"/>
    <w:rsid w:val="001C3723"/>
    <w:rsid w:val="001F3B9C"/>
    <w:rsid w:val="00223718"/>
    <w:rsid w:val="002467BD"/>
    <w:rsid w:val="002E55C8"/>
    <w:rsid w:val="00392120"/>
    <w:rsid w:val="003C1321"/>
    <w:rsid w:val="0040058F"/>
    <w:rsid w:val="00400FE0"/>
    <w:rsid w:val="004402D4"/>
    <w:rsid w:val="00465A30"/>
    <w:rsid w:val="004B667A"/>
    <w:rsid w:val="004C352C"/>
    <w:rsid w:val="004C5B51"/>
    <w:rsid w:val="004E5C2C"/>
    <w:rsid w:val="004F4A91"/>
    <w:rsid w:val="0050512E"/>
    <w:rsid w:val="005062CF"/>
    <w:rsid w:val="0053477C"/>
    <w:rsid w:val="00582554"/>
    <w:rsid w:val="005A226D"/>
    <w:rsid w:val="005F5B74"/>
    <w:rsid w:val="00630217"/>
    <w:rsid w:val="00686347"/>
    <w:rsid w:val="00695279"/>
    <w:rsid w:val="006A4BB2"/>
    <w:rsid w:val="007708AE"/>
    <w:rsid w:val="007D212A"/>
    <w:rsid w:val="007D3B61"/>
    <w:rsid w:val="007E01D0"/>
    <w:rsid w:val="007F3259"/>
    <w:rsid w:val="00860D86"/>
    <w:rsid w:val="00874C50"/>
    <w:rsid w:val="00895C7C"/>
    <w:rsid w:val="008A064A"/>
    <w:rsid w:val="008B5055"/>
    <w:rsid w:val="00916ACF"/>
    <w:rsid w:val="00923E90"/>
    <w:rsid w:val="00943261"/>
    <w:rsid w:val="00950017"/>
    <w:rsid w:val="00986E1B"/>
    <w:rsid w:val="009974DA"/>
    <w:rsid w:val="009A4E91"/>
    <w:rsid w:val="009C02CA"/>
    <w:rsid w:val="009C65C3"/>
    <w:rsid w:val="00A64DE6"/>
    <w:rsid w:val="00A91B79"/>
    <w:rsid w:val="00AC5738"/>
    <w:rsid w:val="00AD6333"/>
    <w:rsid w:val="00B75A84"/>
    <w:rsid w:val="00B8227D"/>
    <w:rsid w:val="00B90514"/>
    <w:rsid w:val="00BC05B4"/>
    <w:rsid w:val="00BD41A1"/>
    <w:rsid w:val="00BD59E1"/>
    <w:rsid w:val="00BD78BD"/>
    <w:rsid w:val="00BE2099"/>
    <w:rsid w:val="00BF5044"/>
    <w:rsid w:val="00C30FB6"/>
    <w:rsid w:val="00C4605C"/>
    <w:rsid w:val="00C618BF"/>
    <w:rsid w:val="00C62922"/>
    <w:rsid w:val="00C63E01"/>
    <w:rsid w:val="00D822A5"/>
    <w:rsid w:val="00DB31FC"/>
    <w:rsid w:val="00DC4504"/>
    <w:rsid w:val="00DC750C"/>
    <w:rsid w:val="00DD09CF"/>
    <w:rsid w:val="00E07088"/>
    <w:rsid w:val="00E17A73"/>
    <w:rsid w:val="00E3648B"/>
    <w:rsid w:val="00EA4BEF"/>
    <w:rsid w:val="00EB1679"/>
    <w:rsid w:val="00EC7FD8"/>
    <w:rsid w:val="00EE48FC"/>
    <w:rsid w:val="00F24F75"/>
    <w:rsid w:val="00F40C79"/>
    <w:rsid w:val="00F43414"/>
    <w:rsid w:val="00F85D90"/>
    <w:rsid w:val="00FA2B29"/>
    <w:rsid w:val="00FE6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44F5"/>
  <w15:docId w15:val="{48E0E413-C029-4603-A5AD-262BA70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paragraph" w:styleId="Listeafsnit">
    <w:name w:val="List Paragraph"/>
    <w:basedOn w:val="Normal"/>
    <w:uiPriority w:val="34"/>
    <w:qFormat/>
    <w:rsid w:val="00BE2099"/>
    <w:pPr>
      <w:ind w:left="720"/>
      <w:contextualSpacing/>
    </w:pPr>
  </w:style>
  <w:style w:type="paragraph" w:styleId="Korrektur">
    <w:name w:val="Revision"/>
    <w:hidden/>
    <w:uiPriority w:val="99"/>
    <w:semiHidden/>
    <w:rsid w:val="00A91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k\AppData\Local\cBrain\F2\.tmp\b687f6ee7731463ab5b154375e98912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8913-F597-4911-99A9-1CEDE0E9A92D}">
  <ds:schemaRefs>
    <ds:schemaRef ds:uri="Captia"/>
  </ds:schemaRefs>
</ds:datastoreItem>
</file>

<file path=customXml/itemProps2.xml><?xml version="1.0" encoding="utf-8"?>
<ds:datastoreItem xmlns:ds="http://schemas.openxmlformats.org/officeDocument/2006/customXml" ds:itemID="{300EEB05-B881-4C83-805C-3D1120BC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b687f6ee7731463ab5b154375e989128.dotx</Template>
  <TotalTime>184</TotalTime>
  <Pages>3</Pages>
  <Words>1059</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Kærgaard</dc:creator>
  <cp:lastModifiedBy>Katrine Kærgaard</cp:lastModifiedBy>
  <cp:revision>47</cp:revision>
  <dcterms:created xsi:type="dcterms:W3CDTF">2024-03-20T11:55:00Z</dcterms:created>
  <dcterms:modified xsi:type="dcterms:W3CDTF">2024-03-22T16:57:00Z</dcterms:modified>
</cp:coreProperties>
</file>