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8842" w14:textId="1D77AAF6" w:rsidR="00813002" w:rsidRPr="00F365BE" w:rsidRDefault="00813002" w:rsidP="00813002">
      <w:pPr>
        <w:pStyle w:val="Lille"/>
        <w:framePr w:w="1985" w:h="3493" w:hRule="exact" w:hSpace="181" w:wrap="notBeside" w:vAnchor="page" w:hAnchor="page" w:x="9317" w:y="4843" w:anchorLock="1"/>
      </w:pPr>
      <w:r w:rsidRPr="00F365BE">
        <w:t xml:space="preserve">Brevdato: </w:t>
      </w:r>
      <w:r w:rsidR="00A6048E">
        <w:t>09</w:t>
      </w:r>
      <w:r w:rsidR="00454CF5">
        <w:t>-</w:t>
      </w:r>
      <w:r w:rsidR="00A6048E">
        <w:t>02</w:t>
      </w:r>
      <w:r w:rsidRPr="00F365BE">
        <w:t>-202</w:t>
      </w:r>
      <w:r w:rsidR="00A6048E">
        <w:t>3</w:t>
      </w:r>
    </w:p>
    <w:p w14:paraId="79811242" w14:textId="0AEED632" w:rsidR="00813002" w:rsidRPr="00F365BE" w:rsidRDefault="00813002" w:rsidP="00813002">
      <w:pPr>
        <w:pStyle w:val="Lille"/>
        <w:framePr w:w="1985" w:h="3493" w:hRule="exact" w:hSpace="181" w:wrap="notBeside" w:vAnchor="page" w:hAnchor="page" w:x="9317" w:y="4843" w:anchorLock="1"/>
      </w:pPr>
      <w:r w:rsidRPr="00F365BE">
        <w:t>Sagsnr.</w:t>
      </w:r>
      <w:r w:rsidR="00F365BE">
        <w:t>2019-</w:t>
      </w:r>
      <w:r w:rsidR="00E43419">
        <w:t>2423</w:t>
      </w:r>
      <w:r w:rsidRPr="00F365BE">
        <w:t xml:space="preserve"> </w:t>
      </w:r>
    </w:p>
    <w:p w14:paraId="67A65659" w14:textId="77777777" w:rsidR="00813002" w:rsidRPr="00F365BE" w:rsidRDefault="00813002" w:rsidP="00813002">
      <w:pPr>
        <w:pStyle w:val="Lille"/>
        <w:framePr w:w="1985" w:h="3493" w:hRule="exact" w:hSpace="181" w:wrap="notBeside" w:vAnchor="page" w:hAnchor="page" w:x="9317" w:y="4843" w:anchorLock="1"/>
      </w:pPr>
      <w:r w:rsidRPr="00F365BE">
        <w:t>Akt id. 21061697</w:t>
      </w:r>
    </w:p>
    <w:p w14:paraId="734B9595" w14:textId="77777777" w:rsidR="00813002" w:rsidRPr="00F365BE" w:rsidRDefault="00813002" w:rsidP="00813002">
      <w:pPr>
        <w:pStyle w:val="Lille"/>
        <w:framePr w:w="1985" w:h="3493" w:hRule="exact" w:hSpace="181" w:wrap="notBeside" w:vAnchor="page" w:hAnchor="page" w:x="9317" w:y="4843" w:anchorLock="1"/>
      </w:pPr>
    </w:p>
    <w:p w14:paraId="35B65BA2" w14:textId="77777777" w:rsidR="00465A30" w:rsidRPr="00F365BE" w:rsidRDefault="00465A30" w:rsidP="00465A30">
      <w:pPr>
        <w:pStyle w:val="Lille"/>
        <w:framePr w:w="1985" w:h="3493" w:hRule="exact" w:hSpace="181" w:wrap="notBeside" w:vAnchor="page" w:hAnchor="page" w:x="9317" w:y="4843" w:anchorLock="1"/>
      </w:pPr>
      <w:r w:rsidRPr="00F365BE">
        <w:t>P. O. Box 1037</w:t>
      </w:r>
    </w:p>
    <w:p w14:paraId="2FE61BE9" w14:textId="77777777" w:rsidR="00465A30" w:rsidRPr="00A67472" w:rsidRDefault="00465A30" w:rsidP="00465A30">
      <w:pPr>
        <w:pStyle w:val="Lille"/>
        <w:framePr w:w="1985" w:h="3493" w:hRule="exact" w:hSpace="181" w:wrap="notBeside" w:vAnchor="page" w:hAnchor="page" w:x="9317" w:y="4843" w:anchorLock="1"/>
        <w:rPr>
          <w:lang w:val="en-US"/>
        </w:rPr>
      </w:pPr>
      <w:r w:rsidRPr="00A67472">
        <w:rPr>
          <w:lang w:val="en-US"/>
        </w:rPr>
        <w:t>3900 Nuuk</w:t>
      </w:r>
    </w:p>
    <w:p w14:paraId="29C98D1E" w14:textId="77777777" w:rsidR="00465A30" w:rsidRPr="00A67472" w:rsidRDefault="00465A30" w:rsidP="00465A30">
      <w:pPr>
        <w:pStyle w:val="Lille"/>
        <w:framePr w:w="1985" w:h="3493" w:hRule="exact" w:hSpace="181" w:wrap="notBeside" w:vAnchor="page" w:hAnchor="page" w:x="9317" w:y="4843" w:anchorLock="1"/>
        <w:rPr>
          <w:lang w:val="en-US"/>
        </w:rPr>
      </w:pPr>
      <w:r w:rsidRPr="00A67472">
        <w:rPr>
          <w:lang w:val="en-US"/>
        </w:rPr>
        <w:t>Tel. (+299) 34 50 00</w:t>
      </w:r>
    </w:p>
    <w:p w14:paraId="343778B6" w14:textId="77777777" w:rsidR="00465A30" w:rsidRPr="00710C16" w:rsidRDefault="00465A30" w:rsidP="00465A30">
      <w:pPr>
        <w:pStyle w:val="Lille"/>
        <w:framePr w:w="1985" w:h="3493" w:hRule="exact" w:hSpace="181" w:wrap="notBeside" w:vAnchor="page" w:hAnchor="page" w:x="9317" w:y="4843" w:anchorLock="1"/>
        <w:rPr>
          <w:lang w:val="en-US"/>
        </w:rPr>
      </w:pPr>
      <w:r w:rsidRPr="00465A30">
        <w:rPr>
          <w:lang w:val="en-US"/>
        </w:rPr>
        <w:t>Fax (+299) 34</w:t>
      </w:r>
      <w:r w:rsidRPr="00710C16">
        <w:rPr>
          <w:lang w:val="en-US"/>
        </w:rPr>
        <w:t xml:space="preserve"> </w:t>
      </w:r>
      <w:r>
        <w:rPr>
          <w:lang w:val="en-US"/>
        </w:rPr>
        <w:t>63 50</w:t>
      </w:r>
    </w:p>
    <w:p w14:paraId="4F1EBC87" w14:textId="77777777" w:rsidR="00465A30" w:rsidRPr="00710C16" w:rsidRDefault="00465A30" w:rsidP="00465A30">
      <w:pPr>
        <w:pStyle w:val="Lille"/>
        <w:framePr w:w="1985" w:h="3493" w:hRule="exact" w:hSpace="181" w:wrap="notBeside" w:vAnchor="page" w:hAnchor="page" w:x="9317" w:y="4843" w:anchorLock="1"/>
        <w:rPr>
          <w:lang w:val="en-US"/>
        </w:rPr>
      </w:pPr>
      <w:r w:rsidRPr="00710C16">
        <w:rPr>
          <w:lang w:val="en-US"/>
        </w:rPr>
        <w:t>E-mail: oed@</w:t>
      </w:r>
      <w:r w:rsidRPr="007D3B61">
        <w:rPr>
          <w:lang w:val="en-US"/>
        </w:rPr>
        <w:t>nanoq</w:t>
      </w:r>
      <w:r w:rsidRPr="00710C16">
        <w:rPr>
          <w:lang w:val="en-US"/>
        </w:rPr>
        <w:t>.gl</w:t>
      </w:r>
    </w:p>
    <w:p w14:paraId="69335BC9" w14:textId="77777777" w:rsidR="00465A30" w:rsidRPr="00710C16" w:rsidRDefault="00385EA0" w:rsidP="00465A30">
      <w:pPr>
        <w:pStyle w:val="Lille"/>
        <w:framePr w:w="1985" w:h="3493" w:hRule="exact" w:hSpace="181" w:wrap="notBeside" w:vAnchor="page" w:hAnchor="page" w:x="9317" w:y="4843" w:anchorLock="1"/>
        <w:rPr>
          <w:lang w:val="en-US"/>
        </w:rPr>
      </w:pPr>
      <w:r>
        <w:rPr>
          <w:lang w:val="en-US"/>
        </w:rPr>
        <w:t>www.naalakkersuisut</w:t>
      </w:r>
      <w:r w:rsidR="00465A30" w:rsidRPr="00710C16">
        <w:rPr>
          <w:lang w:val="en-US"/>
        </w:rPr>
        <w:t>.gl</w:t>
      </w:r>
    </w:p>
    <w:p w14:paraId="72551891" w14:textId="77777777" w:rsidR="00465A30" w:rsidRPr="00710C16" w:rsidRDefault="00465A30" w:rsidP="00465A30">
      <w:pPr>
        <w:pStyle w:val="Lille"/>
        <w:framePr w:w="1985" w:h="3493" w:hRule="exact" w:hSpace="181" w:wrap="notBeside" w:vAnchor="page" w:hAnchor="page" w:x="9317" w:y="4843" w:anchorLock="1"/>
        <w:rPr>
          <w:lang w:val="en-US"/>
        </w:rPr>
      </w:pPr>
    </w:p>
    <w:p w14:paraId="459C57C1" w14:textId="77777777" w:rsidR="00465A30" w:rsidRPr="00710C16" w:rsidRDefault="00465A30" w:rsidP="00465A30">
      <w:pPr>
        <w:pStyle w:val="Lille"/>
        <w:framePr w:w="1985" w:h="3493" w:hRule="exact" w:hSpace="181" w:wrap="notBeside" w:vAnchor="page" w:hAnchor="page" w:x="9317"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1019EC" w:rsidRPr="0007352A" w14:paraId="235CC4DE" w14:textId="77777777" w:rsidTr="00963600">
        <w:trPr>
          <w:trHeight w:val="2551"/>
        </w:trPr>
        <w:tc>
          <w:tcPr>
            <w:tcW w:w="7824" w:type="dxa"/>
            <w:gridSpan w:val="2"/>
          </w:tcPr>
          <w:p w14:paraId="0D7A19FF" w14:textId="77777777" w:rsidR="001019EC" w:rsidRPr="00963600" w:rsidRDefault="001019EC" w:rsidP="00963600">
            <w:pPr>
              <w:pStyle w:val="Notat"/>
              <w:rPr>
                <w:rFonts w:ascii="Times New Roman" w:hAnsi="Times New Roman"/>
              </w:rPr>
            </w:pPr>
            <w:proofErr w:type="spellStart"/>
            <w:r w:rsidRPr="00963600">
              <w:rPr>
                <w:rFonts w:ascii="Times New Roman" w:hAnsi="Times New Roman"/>
              </w:rPr>
              <w:t>Allakkiaq</w:t>
            </w:r>
            <w:proofErr w:type="spellEnd"/>
          </w:p>
          <w:p w14:paraId="2043F7B2" w14:textId="77777777" w:rsidR="001019EC" w:rsidRPr="00B75A84" w:rsidRDefault="001019EC" w:rsidP="00963600">
            <w:pPr>
              <w:rPr>
                <w:rFonts w:ascii="Arial" w:hAnsi="Arial" w:cs="Arial"/>
                <w:sz w:val="20"/>
                <w:szCs w:val="20"/>
              </w:rPr>
            </w:pPr>
            <w:r w:rsidRPr="00963600">
              <w:rPr>
                <w:rFonts w:ascii="Times New Roman" w:eastAsia="Times New Roman" w:hAnsi="Times New Roman" w:cs="Times New Roman"/>
                <w:b/>
                <w:sz w:val="28"/>
                <w:szCs w:val="24"/>
              </w:rPr>
              <w:t>Notat</w:t>
            </w:r>
            <w:r>
              <w:rPr>
                <w:rFonts w:ascii="Arial" w:hAnsi="Arial" w:cs="Arial"/>
                <w:sz w:val="20"/>
                <w:szCs w:val="20"/>
              </w:rPr>
              <w:t xml:space="preserve"> </w:t>
            </w:r>
          </w:p>
          <w:p w14:paraId="6A823A02" w14:textId="77777777" w:rsidR="001019EC" w:rsidRDefault="001019EC" w:rsidP="00963600">
            <w:pPr>
              <w:rPr>
                <w:rFonts w:ascii="Arial" w:hAnsi="Arial" w:cs="Arial"/>
                <w:sz w:val="20"/>
                <w:szCs w:val="20"/>
              </w:rPr>
            </w:pPr>
          </w:p>
          <w:p w14:paraId="20F85078" w14:textId="77777777" w:rsidR="001019EC" w:rsidRDefault="001019EC" w:rsidP="00963600">
            <w:pPr>
              <w:rPr>
                <w:rFonts w:ascii="Arial" w:hAnsi="Arial" w:cs="Arial"/>
                <w:sz w:val="20"/>
                <w:szCs w:val="20"/>
              </w:rPr>
            </w:pPr>
          </w:p>
          <w:p w14:paraId="7133DB17" w14:textId="77777777" w:rsidR="001019EC" w:rsidRDefault="001019EC" w:rsidP="00963600">
            <w:pPr>
              <w:rPr>
                <w:rFonts w:ascii="Arial" w:hAnsi="Arial" w:cs="Arial"/>
                <w:sz w:val="20"/>
                <w:szCs w:val="20"/>
              </w:rPr>
            </w:pPr>
          </w:p>
          <w:p w14:paraId="6D68F6D7" w14:textId="77777777" w:rsidR="001019EC" w:rsidRDefault="001019EC" w:rsidP="00963600">
            <w:pPr>
              <w:rPr>
                <w:rFonts w:ascii="Arial" w:hAnsi="Arial" w:cs="Arial"/>
                <w:sz w:val="20"/>
                <w:szCs w:val="20"/>
              </w:rPr>
            </w:pPr>
          </w:p>
          <w:p w14:paraId="4E801970" w14:textId="0ED399E0" w:rsidR="001019EC" w:rsidRPr="0007352A" w:rsidRDefault="001019EC" w:rsidP="00963600">
            <w:pPr>
              <w:tabs>
                <w:tab w:val="left" w:pos="6270"/>
              </w:tabs>
              <w:rPr>
                <w:rFonts w:ascii="Times New Roman" w:hAnsi="Times New Roman" w:cs="Times New Roman"/>
                <w:sz w:val="20"/>
                <w:szCs w:val="20"/>
              </w:rPr>
            </w:pPr>
          </w:p>
        </w:tc>
      </w:tr>
      <w:tr w:rsidR="001019EC" w:rsidRPr="0007352A" w14:paraId="59B30D54" w14:textId="77777777" w:rsidTr="00963600">
        <w:tc>
          <w:tcPr>
            <w:tcW w:w="3119" w:type="dxa"/>
          </w:tcPr>
          <w:p w14:paraId="38F930B2" w14:textId="77777777" w:rsidR="001019EC" w:rsidRPr="005F7586" w:rsidRDefault="001019EC" w:rsidP="00963600">
            <w:pPr>
              <w:jc w:val="both"/>
              <w:rPr>
                <w:sz w:val="20"/>
                <w:szCs w:val="20"/>
              </w:rPr>
            </w:pPr>
          </w:p>
        </w:tc>
        <w:tc>
          <w:tcPr>
            <w:tcW w:w="4705" w:type="dxa"/>
          </w:tcPr>
          <w:p w14:paraId="4ACDF168" w14:textId="77777777" w:rsidR="001019EC" w:rsidRPr="0007352A" w:rsidRDefault="001019EC" w:rsidP="00963600">
            <w:pPr>
              <w:jc w:val="both"/>
              <w:rPr>
                <w:rFonts w:ascii="Times New Roman" w:hAnsi="Times New Roman" w:cs="Times New Roman"/>
                <w:sz w:val="20"/>
                <w:szCs w:val="20"/>
              </w:rPr>
            </w:pPr>
          </w:p>
        </w:tc>
      </w:tr>
      <w:tr w:rsidR="001019EC" w:rsidRPr="0007352A" w14:paraId="768F3FEB" w14:textId="77777777" w:rsidTr="00963600">
        <w:tc>
          <w:tcPr>
            <w:tcW w:w="3119" w:type="dxa"/>
          </w:tcPr>
          <w:p w14:paraId="45133498" w14:textId="77777777" w:rsidR="001019EC" w:rsidRPr="0007352A" w:rsidRDefault="001019EC" w:rsidP="00963600">
            <w:pPr>
              <w:jc w:val="both"/>
              <w:rPr>
                <w:rFonts w:ascii="Times New Roman" w:hAnsi="Times New Roman" w:cs="Times New Roman"/>
                <w:sz w:val="20"/>
                <w:szCs w:val="20"/>
              </w:rPr>
            </w:pPr>
          </w:p>
        </w:tc>
        <w:tc>
          <w:tcPr>
            <w:tcW w:w="4705" w:type="dxa"/>
          </w:tcPr>
          <w:p w14:paraId="0CD58656" w14:textId="77777777" w:rsidR="001019EC" w:rsidRPr="0007352A" w:rsidRDefault="001019EC" w:rsidP="00963600">
            <w:pPr>
              <w:jc w:val="both"/>
              <w:rPr>
                <w:rFonts w:ascii="Times New Roman" w:hAnsi="Times New Roman" w:cs="Times New Roman"/>
                <w:sz w:val="20"/>
                <w:szCs w:val="20"/>
              </w:rPr>
            </w:pPr>
          </w:p>
        </w:tc>
      </w:tr>
      <w:tr w:rsidR="001019EC" w:rsidRPr="0007352A" w14:paraId="05430609" w14:textId="77777777" w:rsidTr="00963600">
        <w:tc>
          <w:tcPr>
            <w:tcW w:w="3119" w:type="dxa"/>
          </w:tcPr>
          <w:p w14:paraId="709420CA" w14:textId="77777777" w:rsidR="001019EC" w:rsidRPr="0007352A" w:rsidRDefault="001019EC" w:rsidP="00963600">
            <w:pPr>
              <w:jc w:val="both"/>
              <w:rPr>
                <w:rFonts w:ascii="Times New Roman" w:hAnsi="Times New Roman" w:cs="Times New Roman"/>
                <w:sz w:val="20"/>
                <w:szCs w:val="20"/>
              </w:rPr>
            </w:pPr>
          </w:p>
        </w:tc>
        <w:tc>
          <w:tcPr>
            <w:tcW w:w="4705" w:type="dxa"/>
          </w:tcPr>
          <w:p w14:paraId="7DBAE07D" w14:textId="77777777" w:rsidR="001019EC" w:rsidRPr="0007352A" w:rsidRDefault="001019EC" w:rsidP="00963600">
            <w:pPr>
              <w:jc w:val="both"/>
              <w:rPr>
                <w:rFonts w:ascii="Times New Roman" w:hAnsi="Times New Roman" w:cs="Times New Roman"/>
                <w:sz w:val="20"/>
                <w:szCs w:val="20"/>
              </w:rPr>
            </w:pPr>
          </w:p>
        </w:tc>
      </w:tr>
      <w:tr w:rsidR="001019EC" w:rsidRPr="00963600" w14:paraId="34E29D50" w14:textId="77777777" w:rsidTr="00963600">
        <w:tc>
          <w:tcPr>
            <w:tcW w:w="3119" w:type="dxa"/>
          </w:tcPr>
          <w:p w14:paraId="774B4D06" w14:textId="77777777" w:rsidR="001019EC" w:rsidRPr="00963600" w:rsidRDefault="001019EC" w:rsidP="00963600">
            <w:pPr>
              <w:jc w:val="both"/>
              <w:rPr>
                <w:rFonts w:ascii="Times New Roman" w:hAnsi="Times New Roman" w:cs="Times New Roman"/>
                <w:b/>
                <w:bCs/>
                <w:sz w:val="20"/>
                <w:szCs w:val="20"/>
              </w:rPr>
            </w:pPr>
          </w:p>
        </w:tc>
        <w:tc>
          <w:tcPr>
            <w:tcW w:w="4705" w:type="dxa"/>
          </w:tcPr>
          <w:p w14:paraId="1ED6E381" w14:textId="77777777" w:rsidR="001019EC" w:rsidRPr="00963600" w:rsidRDefault="001019EC" w:rsidP="00963600">
            <w:pPr>
              <w:jc w:val="both"/>
              <w:rPr>
                <w:rFonts w:ascii="Times New Roman" w:hAnsi="Times New Roman" w:cs="Times New Roman"/>
                <w:b/>
                <w:bCs/>
                <w:sz w:val="20"/>
                <w:szCs w:val="20"/>
              </w:rPr>
            </w:pPr>
          </w:p>
        </w:tc>
      </w:tr>
    </w:tbl>
    <w:p w14:paraId="74B9CA8B" w14:textId="05770655" w:rsidR="001019EC" w:rsidRPr="00963600" w:rsidRDefault="001019EC" w:rsidP="001019EC">
      <w:pPr>
        <w:spacing w:after="0"/>
        <w:jc w:val="both"/>
        <w:rPr>
          <w:rFonts w:ascii="Times New Roman" w:eastAsia="Times New Roman" w:hAnsi="Times New Roman" w:cs="Times New Roman"/>
          <w:b/>
          <w:bCs/>
          <w:color w:val="000000"/>
          <w:sz w:val="28"/>
          <w:szCs w:val="28"/>
          <w:lang w:eastAsia="da-DK"/>
        </w:rPr>
      </w:pPr>
      <w:r w:rsidRPr="00963600">
        <w:rPr>
          <w:rFonts w:ascii="Times New Roman" w:eastAsia="Times New Roman" w:hAnsi="Times New Roman" w:cs="Times New Roman"/>
          <w:b/>
          <w:bCs/>
          <w:color w:val="000000"/>
          <w:sz w:val="28"/>
          <w:szCs w:val="28"/>
          <w:lang w:eastAsia="da-DK"/>
        </w:rPr>
        <w:t>Notat</w:t>
      </w:r>
      <w:r>
        <w:rPr>
          <w:rFonts w:ascii="Times New Roman" w:eastAsia="Times New Roman" w:hAnsi="Times New Roman" w:cs="Times New Roman"/>
          <w:b/>
          <w:bCs/>
          <w:color w:val="000000"/>
          <w:sz w:val="28"/>
          <w:szCs w:val="28"/>
          <w:lang w:eastAsia="da-DK"/>
        </w:rPr>
        <w:t xml:space="preserve"> </w:t>
      </w:r>
      <w:r w:rsidR="00143333">
        <w:rPr>
          <w:rFonts w:ascii="Times New Roman" w:eastAsia="Times New Roman" w:hAnsi="Times New Roman" w:cs="Times New Roman"/>
          <w:b/>
          <w:bCs/>
          <w:color w:val="000000"/>
          <w:sz w:val="28"/>
          <w:szCs w:val="28"/>
          <w:lang w:eastAsia="da-DK"/>
        </w:rPr>
        <w:t>vedr.</w:t>
      </w:r>
      <w:r w:rsidR="00143333" w:rsidRPr="00963600">
        <w:rPr>
          <w:rFonts w:ascii="Times New Roman" w:eastAsia="Times New Roman" w:hAnsi="Times New Roman" w:cs="Times New Roman"/>
          <w:b/>
          <w:bCs/>
          <w:color w:val="000000"/>
          <w:sz w:val="28"/>
          <w:szCs w:val="28"/>
          <w:lang w:eastAsia="da-DK"/>
        </w:rPr>
        <w:t xml:space="preserve"> </w:t>
      </w:r>
      <w:r w:rsidRPr="00963600">
        <w:rPr>
          <w:rFonts w:ascii="Times New Roman" w:eastAsia="Times New Roman" w:hAnsi="Times New Roman" w:cs="Times New Roman"/>
          <w:b/>
          <w:bCs/>
          <w:color w:val="000000"/>
          <w:sz w:val="28"/>
          <w:szCs w:val="28"/>
          <w:lang w:eastAsia="da-DK"/>
        </w:rPr>
        <w:t>”Arbejdsgruppen</w:t>
      </w:r>
      <w:r>
        <w:rPr>
          <w:rFonts w:ascii="Times New Roman" w:eastAsia="Times New Roman" w:hAnsi="Times New Roman" w:cs="Times New Roman"/>
          <w:b/>
          <w:bCs/>
          <w:color w:val="000000"/>
          <w:sz w:val="28"/>
          <w:szCs w:val="28"/>
          <w:lang w:eastAsia="da-DK"/>
        </w:rPr>
        <w:t>s rapport om</w:t>
      </w:r>
      <w:r w:rsidRPr="00963600">
        <w:rPr>
          <w:rFonts w:ascii="Times New Roman" w:eastAsia="Times New Roman" w:hAnsi="Times New Roman" w:cs="Times New Roman"/>
          <w:b/>
          <w:bCs/>
          <w:color w:val="000000"/>
          <w:sz w:val="28"/>
          <w:szCs w:val="28"/>
          <w:lang w:eastAsia="da-DK"/>
        </w:rPr>
        <w:t xml:space="preserve"> Kangerlussuaqs fremtid”</w:t>
      </w:r>
    </w:p>
    <w:p w14:paraId="169C3773" w14:textId="77777777" w:rsidR="001019EC" w:rsidRDefault="001019EC" w:rsidP="001019EC">
      <w:pPr>
        <w:spacing w:after="0"/>
        <w:jc w:val="both"/>
        <w:rPr>
          <w:rFonts w:ascii="Times New Roman" w:eastAsia="Times New Roman" w:hAnsi="Times New Roman" w:cs="Times New Roman"/>
          <w:b/>
          <w:bCs/>
          <w:color w:val="000000"/>
          <w:sz w:val="24"/>
          <w:szCs w:val="24"/>
          <w:u w:val="single"/>
          <w:lang w:eastAsia="da-DK"/>
        </w:rPr>
      </w:pPr>
    </w:p>
    <w:p w14:paraId="02E19D71" w14:textId="77777777" w:rsidR="001019EC" w:rsidRDefault="001019EC" w:rsidP="001019EC">
      <w:pPr>
        <w:spacing w:after="0"/>
        <w:jc w:val="both"/>
        <w:rPr>
          <w:rFonts w:ascii="Times New Roman" w:eastAsia="Times New Roman" w:hAnsi="Times New Roman" w:cs="Times New Roman"/>
          <w:color w:val="000000"/>
          <w:sz w:val="24"/>
          <w:szCs w:val="24"/>
          <w:lang w:eastAsia="da-DK"/>
        </w:rPr>
      </w:pPr>
    </w:p>
    <w:p w14:paraId="5293A4FE" w14:textId="77777777" w:rsidR="001019EC" w:rsidRDefault="001019EC" w:rsidP="001019EC">
      <w:pPr>
        <w:spacing w:after="0"/>
        <w:jc w:val="both"/>
        <w:rPr>
          <w:rFonts w:ascii="Times New Roman" w:eastAsia="Times New Roman" w:hAnsi="Times New Roman" w:cs="Times New Roman"/>
          <w:color w:val="000000"/>
          <w:sz w:val="24"/>
          <w:szCs w:val="24"/>
          <w:lang w:eastAsia="da-DK"/>
        </w:rPr>
      </w:pPr>
    </w:p>
    <w:p w14:paraId="3D4ED014" w14:textId="77777777" w:rsidR="001019EC" w:rsidRDefault="001019EC" w:rsidP="001019EC">
      <w:pPr>
        <w:spacing w:after="0"/>
        <w:jc w:val="both"/>
        <w:rPr>
          <w:rFonts w:ascii="Times New Roman" w:eastAsia="Times New Roman" w:hAnsi="Times New Roman" w:cs="Times New Roman"/>
          <w:color w:val="000000"/>
          <w:sz w:val="24"/>
          <w:szCs w:val="24"/>
          <w:lang w:eastAsia="da-DK"/>
        </w:rPr>
      </w:pPr>
    </w:p>
    <w:p w14:paraId="09794EEB" w14:textId="0687C298" w:rsidR="00654027" w:rsidRDefault="00654027" w:rsidP="00645198">
      <w:pPr>
        <w:spacing w:after="0"/>
        <w:jc w:val="both"/>
        <w:rPr>
          <w:rFonts w:ascii="Times New Roman" w:eastAsia="Times New Roman" w:hAnsi="Times New Roman" w:cs="Times New Roman"/>
          <w:b/>
          <w:bCs/>
          <w:color w:val="000000"/>
          <w:sz w:val="24"/>
          <w:szCs w:val="24"/>
          <w:u w:val="single"/>
          <w:lang w:eastAsia="da-DK"/>
        </w:rPr>
      </w:pPr>
    </w:p>
    <w:p w14:paraId="35F482A4" w14:textId="3078A096" w:rsidR="00F50E2F" w:rsidRDefault="00F50E2F" w:rsidP="00645198">
      <w:pPr>
        <w:spacing w:after="0"/>
        <w:jc w:val="both"/>
        <w:rPr>
          <w:rFonts w:ascii="Times New Roman" w:eastAsia="Times New Roman" w:hAnsi="Times New Roman" w:cs="Times New Roman"/>
          <w:b/>
          <w:bCs/>
          <w:color w:val="000000"/>
          <w:sz w:val="24"/>
          <w:szCs w:val="24"/>
          <w:u w:val="single"/>
          <w:lang w:eastAsia="da-DK"/>
        </w:rPr>
      </w:pPr>
      <w:r>
        <w:rPr>
          <w:rFonts w:ascii="Times New Roman" w:eastAsia="Times New Roman" w:hAnsi="Times New Roman" w:cs="Times New Roman"/>
          <w:b/>
          <w:bCs/>
          <w:color w:val="000000"/>
          <w:sz w:val="24"/>
          <w:szCs w:val="24"/>
          <w:u w:val="single"/>
          <w:lang w:eastAsia="da-DK"/>
        </w:rPr>
        <w:t xml:space="preserve">Notat </w:t>
      </w:r>
      <w:r w:rsidR="00D824CE">
        <w:rPr>
          <w:rFonts w:ascii="Times New Roman" w:eastAsia="Times New Roman" w:hAnsi="Times New Roman" w:cs="Times New Roman"/>
          <w:b/>
          <w:bCs/>
          <w:color w:val="000000"/>
          <w:sz w:val="24"/>
          <w:szCs w:val="24"/>
          <w:u w:val="single"/>
          <w:lang w:eastAsia="da-DK"/>
        </w:rPr>
        <w:t>om ”Rapporten fra Arbejdsgruppen</w:t>
      </w:r>
      <w:r>
        <w:rPr>
          <w:rFonts w:ascii="Times New Roman" w:eastAsia="Times New Roman" w:hAnsi="Times New Roman" w:cs="Times New Roman"/>
          <w:b/>
          <w:bCs/>
          <w:color w:val="000000"/>
          <w:sz w:val="24"/>
          <w:szCs w:val="24"/>
          <w:u w:val="single"/>
          <w:lang w:eastAsia="da-DK"/>
        </w:rPr>
        <w:t xml:space="preserve"> om Kangerlussuaqs fremtid</w:t>
      </w:r>
      <w:r w:rsidR="00D824CE">
        <w:rPr>
          <w:rFonts w:ascii="Times New Roman" w:eastAsia="Times New Roman" w:hAnsi="Times New Roman" w:cs="Times New Roman"/>
          <w:b/>
          <w:bCs/>
          <w:color w:val="000000"/>
          <w:sz w:val="24"/>
          <w:szCs w:val="24"/>
          <w:u w:val="single"/>
          <w:lang w:eastAsia="da-DK"/>
        </w:rPr>
        <w:t>”</w:t>
      </w:r>
    </w:p>
    <w:p w14:paraId="14835FF6" w14:textId="77777777" w:rsidR="00F50E2F" w:rsidRDefault="00F50E2F" w:rsidP="00645198">
      <w:pPr>
        <w:spacing w:after="0"/>
        <w:jc w:val="both"/>
        <w:rPr>
          <w:rFonts w:ascii="Times New Roman" w:eastAsia="Times New Roman" w:hAnsi="Times New Roman" w:cs="Times New Roman"/>
          <w:b/>
          <w:bCs/>
          <w:color w:val="000000"/>
          <w:sz w:val="24"/>
          <w:szCs w:val="24"/>
          <w:u w:val="single"/>
          <w:lang w:eastAsia="da-DK"/>
        </w:rPr>
      </w:pPr>
    </w:p>
    <w:p w14:paraId="01B01C7F" w14:textId="0DB82BC3" w:rsidR="007E5746" w:rsidRDefault="007E5746" w:rsidP="00645198">
      <w:pPr>
        <w:spacing w:after="0"/>
        <w:jc w:val="both"/>
        <w:rPr>
          <w:rFonts w:ascii="Times New Roman" w:eastAsia="Times New Roman" w:hAnsi="Times New Roman" w:cs="Times New Roman"/>
          <w:b/>
          <w:bCs/>
          <w:color w:val="000000"/>
          <w:sz w:val="24"/>
          <w:szCs w:val="24"/>
          <w:u w:val="single"/>
          <w:lang w:eastAsia="da-DK"/>
        </w:rPr>
      </w:pPr>
      <w:r w:rsidRPr="007E5746">
        <w:rPr>
          <w:rFonts w:ascii="Times New Roman" w:eastAsia="Times New Roman" w:hAnsi="Times New Roman" w:cs="Times New Roman"/>
          <w:b/>
          <w:bCs/>
          <w:color w:val="000000"/>
          <w:sz w:val="24"/>
          <w:szCs w:val="24"/>
          <w:u w:val="single"/>
          <w:lang w:eastAsia="da-DK"/>
        </w:rPr>
        <w:t>Resume</w:t>
      </w:r>
    </w:p>
    <w:p w14:paraId="2506B387" w14:textId="3833DC11" w:rsidR="00DC430D" w:rsidRDefault="004F4918" w:rsidP="00DC430D">
      <w:pPr>
        <w:spacing w:after="0"/>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E</w:t>
      </w:r>
      <w:r w:rsidR="00654027" w:rsidRPr="00437A5A">
        <w:rPr>
          <w:rFonts w:ascii="Times New Roman" w:eastAsia="Times New Roman" w:hAnsi="Times New Roman" w:cs="Times New Roman"/>
          <w:color w:val="000000"/>
          <w:sz w:val="24"/>
          <w:szCs w:val="24"/>
          <w:lang w:eastAsia="da-DK"/>
        </w:rPr>
        <w:t xml:space="preserve">n tværdepartemental </w:t>
      </w:r>
      <w:r w:rsidR="00536D93">
        <w:rPr>
          <w:rFonts w:ascii="Times New Roman" w:eastAsia="Times New Roman" w:hAnsi="Times New Roman" w:cs="Times New Roman"/>
          <w:color w:val="000000"/>
          <w:sz w:val="24"/>
          <w:szCs w:val="24"/>
          <w:lang w:eastAsia="da-DK"/>
        </w:rPr>
        <w:t>embedsmands</w:t>
      </w:r>
      <w:r w:rsidR="00654027" w:rsidRPr="00437A5A">
        <w:rPr>
          <w:rFonts w:ascii="Times New Roman" w:eastAsia="Times New Roman" w:hAnsi="Times New Roman" w:cs="Times New Roman"/>
          <w:color w:val="000000"/>
          <w:sz w:val="24"/>
          <w:szCs w:val="24"/>
          <w:lang w:eastAsia="da-DK"/>
        </w:rPr>
        <w:t>arbejdsgruppe</w:t>
      </w:r>
      <w:r w:rsidR="00046629" w:rsidRPr="00437A5A">
        <w:rPr>
          <w:rFonts w:ascii="Times New Roman" w:eastAsia="Times New Roman" w:hAnsi="Times New Roman" w:cs="Times New Roman"/>
          <w:color w:val="000000"/>
          <w:sz w:val="24"/>
          <w:szCs w:val="24"/>
          <w:lang w:eastAsia="da-DK"/>
        </w:rPr>
        <w:t xml:space="preserve"> </w:t>
      </w:r>
      <w:r>
        <w:rPr>
          <w:rFonts w:ascii="Times New Roman" w:eastAsia="Times New Roman" w:hAnsi="Times New Roman" w:cs="Times New Roman"/>
          <w:color w:val="000000"/>
          <w:sz w:val="24"/>
          <w:szCs w:val="24"/>
          <w:lang w:eastAsia="da-DK"/>
        </w:rPr>
        <w:t xml:space="preserve">har </w:t>
      </w:r>
      <w:r w:rsidR="00046629" w:rsidRPr="00437A5A">
        <w:rPr>
          <w:rFonts w:ascii="Times New Roman" w:eastAsia="Times New Roman" w:hAnsi="Times New Roman" w:cs="Times New Roman"/>
          <w:color w:val="000000"/>
          <w:sz w:val="24"/>
          <w:szCs w:val="24"/>
          <w:lang w:eastAsia="da-DK"/>
        </w:rPr>
        <w:t xml:space="preserve">gennem en længere periode arbejdet med en samlende analyse med afsæt i Kangerlussuaqs fremtid.  </w:t>
      </w:r>
      <w:r>
        <w:rPr>
          <w:rFonts w:ascii="Times New Roman" w:eastAsia="Times New Roman" w:hAnsi="Times New Roman" w:cs="Times New Roman"/>
          <w:color w:val="000000"/>
          <w:sz w:val="24"/>
          <w:szCs w:val="24"/>
          <w:lang w:eastAsia="da-DK"/>
        </w:rPr>
        <w:t xml:space="preserve">Rapporten foreligger nu reelt i en færdig form. </w:t>
      </w:r>
      <w:r w:rsidR="0084461D">
        <w:rPr>
          <w:rFonts w:ascii="Times New Roman" w:eastAsia="Times New Roman" w:hAnsi="Times New Roman" w:cs="Times New Roman"/>
          <w:color w:val="000000"/>
          <w:sz w:val="24"/>
          <w:szCs w:val="24"/>
          <w:lang w:eastAsia="da-DK"/>
        </w:rPr>
        <w:t xml:space="preserve">Departement for Finanser og Ligestilling bifalder at rapporten nu udgives i sin nuværende form, </w:t>
      </w:r>
      <w:r w:rsidR="00E34952">
        <w:rPr>
          <w:rFonts w:ascii="Times New Roman" w:eastAsia="Times New Roman" w:hAnsi="Times New Roman" w:cs="Times New Roman"/>
          <w:color w:val="000000"/>
          <w:sz w:val="24"/>
          <w:szCs w:val="24"/>
          <w:lang w:eastAsia="da-DK"/>
        </w:rPr>
        <w:t xml:space="preserve">og vil med nærværende </w:t>
      </w:r>
      <w:r w:rsidR="00536D93">
        <w:rPr>
          <w:rFonts w:ascii="Times New Roman" w:eastAsia="Times New Roman" w:hAnsi="Times New Roman" w:cs="Times New Roman"/>
          <w:color w:val="000000"/>
          <w:sz w:val="24"/>
          <w:szCs w:val="24"/>
          <w:lang w:eastAsia="da-DK"/>
        </w:rPr>
        <w:t xml:space="preserve">notat bidrage til at perspektivere de økonomiske forudsætninger og vurderinger, som </w:t>
      </w:r>
      <w:r w:rsidR="00990DCB">
        <w:rPr>
          <w:rFonts w:ascii="Times New Roman" w:eastAsia="Times New Roman" w:hAnsi="Times New Roman" w:cs="Times New Roman"/>
          <w:color w:val="000000"/>
          <w:sz w:val="24"/>
          <w:szCs w:val="24"/>
          <w:lang w:eastAsia="da-DK"/>
        </w:rPr>
        <w:t xml:space="preserve">anføres i rapporten. </w:t>
      </w:r>
    </w:p>
    <w:p w14:paraId="0F2462CC" w14:textId="77777777" w:rsidR="005F7586" w:rsidRDefault="005F7586" w:rsidP="00DC430D">
      <w:pPr>
        <w:spacing w:after="0"/>
        <w:jc w:val="both"/>
        <w:rPr>
          <w:rFonts w:ascii="Times New Roman" w:eastAsia="Times New Roman" w:hAnsi="Times New Roman" w:cs="Times New Roman"/>
          <w:color w:val="000000"/>
          <w:sz w:val="24"/>
          <w:szCs w:val="24"/>
          <w:lang w:eastAsia="da-DK"/>
        </w:rPr>
      </w:pPr>
    </w:p>
    <w:p w14:paraId="1226DA45" w14:textId="56BCEDA7" w:rsidR="00F365BE" w:rsidRDefault="00F365BE" w:rsidP="00DC430D">
      <w:pPr>
        <w:spacing w:after="0"/>
        <w:jc w:val="both"/>
        <w:rPr>
          <w:rFonts w:ascii="Times New Roman" w:eastAsia="Times New Roman" w:hAnsi="Times New Roman" w:cs="Times New Roman"/>
          <w:color w:val="000000"/>
          <w:sz w:val="24"/>
          <w:szCs w:val="24"/>
          <w:lang w:eastAsia="da-DK"/>
        </w:rPr>
      </w:pPr>
      <w:r w:rsidRPr="0007352A">
        <w:rPr>
          <w:rFonts w:ascii="Times New Roman" w:eastAsia="Times New Roman" w:hAnsi="Times New Roman" w:cs="Times New Roman"/>
          <w:color w:val="000000"/>
          <w:sz w:val="24"/>
          <w:szCs w:val="24"/>
          <w:lang w:eastAsia="da-DK"/>
        </w:rPr>
        <w:t xml:space="preserve">Departementet for Finanser og Ligestilling </w:t>
      </w:r>
      <w:r w:rsidR="0016170A">
        <w:rPr>
          <w:rFonts w:ascii="Times New Roman" w:eastAsia="Times New Roman" w:hAnsi="Times New Roman" w:cs="Times New Roman"/>
          <w:color w:val="000000"/>
          <w:sz w:val="24"/>
          <w:szCs w:val="24"/>
          <w:lang w:eastAsia="da-DK"/>
        </w:rPr>
        <w:t xml:space="preserve">anerkender, </w:t>
      </w:r>
      <w:r w:rsidRPr="0007352A">
        <w:rPr>
          <w:rFonts w:ascii="Times New Roman" w:eastAsia="Times New Roman" w:hAnsi="Times New Roman" w:cs="Times New Roman"/>
          <w:color w:val="000000"/>
          <w:sz w:val="24"/>
          <w:szCs w:val="24"/>
          <w:lang w:eastAsia="da-DK"/>
        </w:rPr>
        <w:t xml:space="preserve">at rapporten </w:t>
      </w:r>
      <w:r w:rsidR="0016170A">
        <w:rPr>
          <w:rFonts w:ascii="Times New Roman" w:eastAsia="Times New Roman" w:hAnsi="Times New Roman" w:cs="Times New Roman"/>
          <w:color w:val="000000"/>
          <w:sz w:val="24"/>
          <w:szCs w:val="24"/>
          <w:lang w:eastAsia="da-DK"/>
        </w:rPr>
        <w:t xml:space="preserve">som udtryk for opfattelserne i en sammensat arbejdsgruppe </w:t>
      </w:r>
      <w:r w:rsidR="00990DCB">
        <w:rPr>
          <w:rFonts w:ascii="Times New Roman" w:eastAsia="Times New Roman" w:hAnsi="Times New Roman" w:cs="Times New Roman"/>
          <w:color w:val="000000"/>
          <w:sz w:val="24"/>
          <w:szCs w:val="24"/>
          <w:lang w:eastAsia="da-DK"/>
        </w:rPr>
        <w:t xml:space="preserve">giver et bredt perspektiveret indtryk af potentialerne i området. </w:t>
      </w:r>
      <w:r w:rsidR="00CB0A34">
        <w:rPr>
          <w:rFonts w:ascii="Times New Roman" w:eastAsia="Times New Roman" w:hAnsi="Times New Roman" w:cs="Times New Roman"/>
          <w:color w:val="000000"/>
          <w:sz w:val="24"/>
          <w:szCs w:val="24"/>
          <w:lang w:eastAsia="da-DK"/>
        </w:rPr>
        <w:t xml:space="preserve">Dette har en utvivlsom værdi. </w:t>
      </w:r>
      <w:r w:rsidR="00990DCB">
        <w:rPr>
          <w:rFonts w:ascii="Times New Roman" w:eastAsia="Times New Roman" w:hAnsi="Times New Roman" w:cs="Times New Roman"/>
          <w:color w:val="000000"/>
          <w:sz w:val="24"/>
          <w:szCs w:val="24"/>
          <w:lang w:eastAsia="da-DK"/>
        </w:rPr>
        <w:t>R</w:t>
      </w:r>
      <w:r w:rsidR="0084461D">
        <w:rPr>
          <w:rFonts w:ascii="Times New Roman" w:eastAsia="Times New Roman" w:hAnsi="Times New Roman" w:cs="Times New Roman"/>
          <w:color w:val="000000"/>
          <w:sz w:val="24"/>
          <w:szCs w:val="24"/>
          <w:lang w:eastAsia="da-DK"/>
        </w:rPr>
        <w:t xml:space="preserve">apporten bør </w:t>
      </w:r>
      <w:r w:rsidR="00990DCB">
        <w:rPr>
          <w:rFonts w:ascii="Times New Roman" w:eastAsia="Times New Roman" w:hAnsi="Times New Roman" w:cs="Times New Roman"/>
          <w:color w:val="000000"/>
          <w:sz w:val="24"/>
          <w:szCs w:val="24"/>
          <w:lang w:eastAsia="da-DK"/>
        </w:rPr>
        <w:t>dog ikke anses som e</w:t>
      </w:r>
      <w:r w:rsidR="00CB0A34">
        <w:rPr>
          <w:rFonts w:ascii="Times New Roman" w:eastAsia="Times New Roman" w:hAnsi="Times New Roman" w:cs="Times New Roman"/>
          <w:color w:val="000000"/>
          <w:sz w:val="24"/>
          <w:szCs w:val="24"/>
          <w:lang w:eastAsia="da-DK"/>
        </w:rPr>
        <w:t xml:space="preserve">n sammenhængende og </w:t>
      </w:r>
      <w:r w:rsidR="00990DCB">
        <w:rPr>
          <w:rFonts w:ascii="Times New Roman" w:eastAsia="Times New Roman" w:hAnsi="Times New Roman" w:cs="Times New Roman"/>
          <w:color w:val="000000"/>
          <w:sz w:val="24"/>
          <w:szCs w:val="24"/>
          <w:lang w:eastAsia="da-DK"/>
        </w:rPr>
        <w:t xml:space="preserve">samlet samfundsøkonomisk analyse, </w:t>
      </w:r>
      <w:r w:rsidR="00CB0A34">
        <w:rPr>
          <w:rFonts w:ascii="Times New Roman" w:eastAsia="Times New Roman" w:hAnsi="Times New Roman" w:cs="Times New Roman"/>
          <w:color w:val="000000"/>
          <w:sz w:val="24"/>
          <w:szCs w:val="24"/>
          <w:lang w:eastAsia="da-DK"/>
        </w:rPr>
        <w:t xml:space="preserve">der kan udgøre et selvstændigt </w:t>
      </w:r>
      <w:r w:rsidR="0084461D">
        <w:rPr>
          <w:rFonts w:ascii="Times New Roman" w:eastAsia="Times New Roman" w:hAnsi="Times New Roman" w:cs="Times New Roman"/>
          <w:color w:val="000000"/>
          <w:sz w:val="24"/>
          <w:szCs w:val="24"/>
          <w:lang w:eastAsia="da-DK"/>
        </w:rPr>
        <w:t>beslutningsgrundlag for egentlig</w:t>
      </w:r>
      <w:r w:rsidR="00CB0A34">
        <w:rPr>
          <w:rFonts w:ascii="Times New Roman" w:eastAsia="Times New Roman" w:hAnsi="Times New Roman" w:cs="Times New Roman"/>
          <w:color w:val="000000"/>
          <w:sz w:val="24"/>
          <w:szCs w:val="24"/>
          <w:lang w:eastAsia="da-DK"/>
        </w:rPr>
        <w:t>e</w:t>
      </w:r>
      <w:r w:rsidR="0084461D">
        <w:rPr>
          <w:rFonts w:ascii="Times New Roman" w:eastAsia="Times New Roman" w:hAnsi="Times New Roman" w:cs="Times New Roman"/>
          <w:color w:val="000000"/>
          <w:sz w:val="24"/>
          <w:szCs w:val="24"/>
          <w:lang w:eastAsia="da-DK"/>
        </w:rPr>
        <w:t xml:space="preserve"> investeringsbeslutninger. </w:t>
      </w:r>
      <w:r w:rsidR="00046629">
        <w:rPr>
          <w:rFonts w:ascii="Times New Roman" w:eastAsia="Times New Roman" w:hAnsi="Times New Roman" w:cs="Times New Roman"/>
          <w:color w:val="000000"/>
          <w:sz w:val="24"/>
          <w:szCs w:val="24"/>
          <w:lang w:eastAsia="da-DK"/>
        </w:rPr>
        <w:t xml:space="preserve">Med dette bilagsnotat gør </w:t>
      </w:r>
      <w:r w:rsidR="00675771">
        <w:rPr>
          <w:rFonts w:ascii="Times New Roman" w:eastAsia="Times New Roman" w:hAnsi="Times New Roman" w:cs="Times New Roman"/>
          <w:color w:val="000000"/>
          <w:sz w:val="24"/>
          <w:szCs w:val="24"/>
          <w:lang w:eastAsia="da-DK"/>
        </w:rPr>
        <w:t>D</w:t>
      </w:r>
      <w:r w:rsidR="00046629">
        <w:rPr>
          <w:rFonts w:ascii="Times New Roman" w:eastAsia="Times New Roman" w:hAnsi="Times New Roman" w:cs="Times New Roman"/>
          <w:color w:val="000000"/>
          <w:sz w:val="24"/>
          <w:szCs w:val="24"/>
          <w:lang w:eastAsia="da-DK"/>
        </w:rPr>
        <w:t xml:space="preserve">epartement for </w:t>
      </w:r>
      <w:r w:rsidR="00675771">
        <w:rPr>
          <w:rFonts w:ascii="Times New Roman" w:eastAsia="Times New Roman" w:hAnsi="Times New Roman" w:cs="Times New Roman"/>
          <w:color w:val="000000"/>
          <w:sz w:val="24"/>
          <w:szCs w:val="24"/>
          <w:lang w:eastAsia="da-DK"/>
        </w:rPr>
        <w:t>F</w:t>
      </w:r>
      <w:r w:rsidR="00046629">
        <w:rPr>
          <w:rFonts w:ascii="Times New Roman" w:eastAsia="Times New Roman" w:hAnsi="Times New Roman" w:cs="Times New Roman"/>
          <w:color w:val="000000"/>
          <w:sz w:val="24"/>
          <w:szCs w:val="24"/>
          <w:lang w:eastAsia="da-DK"/>
        </w:rPr>
        <w:t>inanser</w:t>
      </w:r>
      <w:r w:rsidR="00675771">
        <w:rPr>
          <w:rFonts w:ascii="Times New Roman" w:eastAsia="Times New Roman" w:hAnsi="Times New Roman" w:cs="Times New Roman"/>
          <w:color w:val="000000"/>
          <w:sz w:val="24"/>
          <w:szCs w:val="24"/>
          <w:lang w:eastAsia="da-DK"/>
        </w:rPr>
        <w:t xml:space="preserve"> og Ligestilling</w:t>
      </w:r>
      <w:r w:rsidR="00D824CE">
        <w:rPr>
          <w:rFonts w:ascii="Times New Roman" w:eastAsia="Times New Roman" w:hAnsi="Times New Roman" w:cs="Times New Roman"/>
          <w:color w:val="000000"/>
          <w:sz w:val="24"/>
          <w:szCs w:val="24"/>
          <w:lang w:eastAsia="da-DK"/>
        </w:rPr>
        <w:t xml:space="preserve">, ud fra </w:t>
      </w:r>
      <w:r w:rsidR="0084461D">
        <w:rPr>
          <w:rFonts w:ascii="Times New Roman" w:eastAsia="Times New Roman" w:hAnsi="Times New Roman" w:cs="Times New Roman"/>
          <w:color w:val="000000"/>
          <w:sz w:val="24"/>
          <w:szCs w:val="24"/>
          <w:lang w:eastAsia="da-DK"/>
        </w:rPr>
        <w:t xml:space="preserve">rent </w:t>
      </w:r>
      <w:r w:rsidR="00D824CE">
        <w:rPr>
          <w:rFonts w:ascii="Times New Roman" w:eastAsia="Times New Roman" w:hAnsi="Times New Roman" w:cs="Times New Roman"/>
          <w:color w:val="000000"/>
          <w:sz w:val="24"/>
          <w:szCs w:val="24"/>
          <w:lang w:eastAsia="da-DK"/>
        </w:rPr>
        <w:t>fagøkonomiske overvejelser,</w:t>
      </w:r>
      <w:r w:rsidR="00046629">
        <w:rPr>
          <w:rFonts w:ascii="Times New Roman" w:eastAsia="Times New Roman" w:hAnsi="Times New Roman" w:cs="Times New Roman"/>
          <w:color w:val="000000"/>
          <w:sz w:val="24"/>
          <w:szCs w:val="24"/>
          <w:lang w:eastAsia="da-DK"/>
        </w:rPr>
        <w:t xml:space="preserve"> </w:t>
      </w:r>
      <w:r w:rsidR="00675771">
        <w:rPr>
          <w:rFonts w:ascii="Times New Roman" w:eastAsia="Times New Roman" w:hAnsi="Times New Roman" w:cs="Times New Roman"/>
          <w:color w:val="000000"/>
          <w:sz w:val="24"/>
          <w:szCs w:val="24"/>
          <w:lang w:eastAsia="da-DK"/>
        </w:rPr>
        <w:t>status over områder</w:t>
      </w:r>
      <w:r w:rsidR="005F7586">
        <w:rPr>
          <w:rFonts w:ascii="Times New Roman" w:eastAsia="Times New Roman" w:hAnsi="Times New Roman" w:cs="Times New Roman"/>
          <w:color w:val="000000"/>
          <w:sz w:val="24"/>
          <w:szCs w:val="24"/>
          <w:lang w:eastAsia="da-DK"/>
        </w:rPr>
        <w:t>,</w:t>
      </w:r>
      <w:r w:rsidR="00675771">
        <w:rPr>
          <w:rFonts w:ascii="Times New Roman" w:eastAsia="Times New Roman" w:hAnsi="Times New Roman" w:cs="Times New Roman"/>
          <w:color w:val="000000"/>
          <w:sz w:val="24"/>
          <w:szCs w:val="24"/>
          <w:lang w:eastAsia="da-DK"/>
        </w:rPr>
        <w:t xml:space="preserve"> hvor </w:t>
      </w:r>
      <w:r w:rsidR="005F7586">
        <w:rPr>
          <w:rFonts w:ascii="Times New Roman" w:eastAsia="Times New Roman" w:hAnsi="Times New Roman" w:cs="Times New Roman"/>
          <w:color w:val="000000"/>
          <w:sz w:val="24"/>
          <w:szCs w:val="24"/>
          <w:lang w:eastAsia="da-DK"/>
        </w:rPr>
        <w:t xml:space="preserve">forudsætninger og anbefalinger i </w:t>
      </w:r>
      <w:r w:rsidR="00675771">
        <w:rPr>
          <w:rFonts w:ascii="Times New Roman" w:eastAsia="Times New Roman" w:hAnsi="Times New Roman" w:cs="Times New Roman"/>
          <w:color w:val="000000"/>
          <w:sz w:val="24"/>
          <w:szCs w:val="24"/>
          <w:lang w:eastAsia="da-DK"/>
        </w:rPr>
        <w:t xml:space="preserve">rapporten </w:t>
      </w:r>
      <w:r w:rsidR="005F7586">
        <w:rPr>
          <w:rFonts w:ascii="Times New Roman" w:eastAsia="Times New Roman" w:hAnsi="Times New Roman" w:cs="Times New Roman"/>
          <w:color w:val="000000"/>
          <w:sz w:val="24"/>
          <w:szCs w:val="24"/>
          <w:lang w:eastAsia="da-DK"/>
        </w:rPr>
        <w:t xml:space="preserve">med fordel kan </w:t>
      </w:r>
      <w:r w:rsidR="004F4918">
        <w:rPr>
          <w:rFonts w:ascii="Times New Roman" w:eastAsia="Times New Roman" w:hAnsi="Times New Roman" w:cs="Times New Roman"/>
          <w:color w:val="000000"/>
          <w:sz w:val="24"/>
          <w:szCs w:val="24"/>
          <w:lang w:eastAsia="da-DK"/>
        </w:rPr>
        <w:t xml:space="preserve">– og visse tilfælde bør – </w:t>
      </w:r>
      <w:r w:rsidR="005F7586">
        <w:rPr>
          <w:rFonts w:ascii="Times New Roman" w:eastAsia="Times New Roman" w:hAnsi="Times New Roman" w:cs="Times New Roman"/>
          <w:color w:val="000000"/>
          <w:sz w:val="24"/>
          <w:szCs w:val="24"/>
          <w:lang w:eastAsia="da-DK"/>
        </w:rPr>
        <w:t>perspektiveres</w:t>
      </w:r>
      <w:r w:rsidR="004F4918">
        <w:rPr>
          <w:rFonts w:ascii="Times New Roman" w:eastAsia="Times New Roman" w:hAnsi="Times New Roman" w:cs="Times New Roman"/>
          <w:color w:val="000000"/>
          <w:sz w:val="24"/>
          <w:szCs w:val="24"/>
          <w:lang w:eastAsia="da-DK"/>
        </w:rPr>
        <w:t xml:space="preserve"> og udbygges</w:t>
      </w:r>
      <w:r w:rsidR="0084461D">
        <w:rPr>
          <w:rFonts w:ascii="Times New Roman" w:eastAsia="Times New Roman" w:hAnsi="Times New Roman" w:cs="Times New Roman"/>
          <w:color w:val="000000"/>
          <w:sz w:val="24"/>
          <w:szCs w:val="24"/>
          <w:lang w:eastAsia="da-DK"/>
        </w:rPr>
        <w:t xml:space="preserve">, inden egentlige investeringsbeslutninger træffes. </w:t>
      </w:r>
      <w:r w:rsidR="004F4918">
        <w:rPr>
          <w:rFonts w:ascii="Times New Roman" w:eastAsia="Times New Roman" w:hAnsi="Times New Roman" w:cs="Times New Roman"/>
          <w:color w:val="000000"/>
          <w:sz w:val="24"/>
          <w:szCs w:val="24"/>
          <w:lang w:eastAsia="da-DK"/>
        </w:rPr>
        <w:t xml:space="preserve"> </w:t>
      </w:r>
    </w:p>
    <w:p w14:paraId="530A08A9" w14:textId="77777777" w:rsidR="00474912" w:rsidRDefault="00474912" w:rsidP="00DC430D">
      <w:pPr>
        <w:spacing w:after="0"/>
        <w:jc w:val="both"/>
        <w:rPr>
          <w:rFonts w:ascii="Times New Roman" w:eastAsia="Times New Roman" w:hAnsi="Times New Roman" w:cs="Times New Roman"/>
          <w:color w:val="000000"/>
          <w:sz w:val="24"/>
          <w:szCs w:val="24"/>
          <w:lang w:eastAsia="da-DK"/>
        </w:rPr>
      </w:pPr>
    </w:p>
    <w:p w14:paraId="35FF3334" w14:textId="58C75AE9" w:rsidR="007E5746" w:rsidRPr="007E5746" w:rsidRDefault="007E5746" w:rsidP="00C61F7A">
      <w:p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Baggrund</w:t>
      </w:r>
    </w:p>
    <w:p w14:paraId="7F390C3A" w14:textId="0F6DFE3B" w:rsidR="00675771" w:rsidRDefault="00F365BE" w:rsidP="00C61F7A">
      <w:pPr>
        <w:spacing w:after="0"/>
        <w:jc w:val="both"/>
        <w:rPr>
          <w:rFonts w:ascii="Times New Roman" w:eastAsia="Times New Roman" w:hAnsi="Times New Roman" w:cs="Times New Roman"/>
          <w:color w:val="000000"/>
          <w:sz w:val="24"/>
          <w:szCs w:val="24"/>
          <w:lang w:eastAsia="da-DK"/>
        </w:rPr>
      </w:pPr>
      <w:r w:rsidRPr="00C61F7A">
        <w:rPr>
          <w:rFonts w:ascii="Times New Roman" w:eastAsia="Times New Roman" w:hAnsi="Times New Roman" w:cs="Times New Roman"/>
          <w:i/>
          <w:color w:val="000000"/>
          <w:sz w:val="24"/>
          <w:szCs w:val="24"/>
          <w:lang w:eastAsia="da-DK"/>
        </w:rPr>
        <w:t>Rapporten fra Arbejdsgruppen om Kangerlussuaqs fremtid</w:t>
      </w:r>
      <w:r w:rsidR="00194B8B" w:rsidRPr="00C61F7A">
        <w:rPr>
          <w:rFonts w:ascii="Times New Roman" w:eastAsia="Times New Roman" w:hAnsi="Times New Roman" w:cs="Times New Roman"/>
          <w:color w:val="000000"/>
          <w:sz w:val="24"/>
          <w:szCs w:val="24"/>
          <w:lang w:eastAsia="da-DK"/>
        </w:rPr>
        <w:t xml:space="preserve"> må nødvendigvis</w:t>
      </w:r>
      <w:r w:rsidRPr="00C61F7A">
        <w:rPr>
          <w:rFonts w:ascii="Times New Roman" w:eastAsia="Times New Roman" w:hAnsi="Times New Roman" w:cs="Times New Roman"/>
          <w:color w:val="000000"/>
          <w:sz w:val="24"/>
          <w:szCs w:val="24"/>
          <w:lang w:eastAsia="da-DK"/>
        </w:rPr>
        <w:t xml:space="preserve"> forholde sig til omfanget af de budgetmæssige konsekvenser, som bliver resultatet af et skaleringsvalg i forhold til den fremadrettede civile lufthavnsstruktur i </w:t>
      </w:r>
      <w:r w:rsidRPr="00C61F7A">
        <w:rPr>
          <w:rFonts w:ascii="Times New Roman" w:eastAsia="Times New Roman" w:hAnsi="Times New Roman" w:cs="Times New Roman"/>
          <w:color w:val="000000"/>
          <w:sz w:val="24"/>
          <w:szCs w:val="24"/>
          <w:lang w:eastAsia="da-DK"/>
        </w:rPr>
        <w:lastRenderedPageBreak/>
        <w:t>Kangerlussuaq</w:t>
      </w:r>
      <w:r w:rsidR="00A373A0" w:rsidRPr="00C61F7A">
        <w:rPr>
          <w:rFonts w:ascii="Times New Roman" w:eastAsia="Times New Roman" w:hAnsi="Times New Roman" w:cs="Times New Roman"/>
          <w:color w:val="000000"/>
          <w:sz w:val="24"/>
          <w:szCs w:val="24"/>
          <w:lang w:eastAsia="da-DK"/>
        </w:rPr>
        <w:t>.</w:t>
      </w:r>
      <w:r w:rsidR="00194B8B" w:rsidRPr="00C61F7A">
        <w:rPr>
          <w:rFonts w:ascii="Times New Roman" w:eastAsia="Times New Roman" w:hAnsi="Times New Roman" w:cs="Times New Roman"/>
          <w:color w:val="000000"/>
          <w:sz w:val="24"/>
          <w:szCs w:val="24"/>
          <w:lang w:eastAsia="da-DK"/>
        </w:rPr>
        <w:t xml:space="preserve"> Budgetmæssige konsekvenser må</w:t>
      </w:r>
      <w:r w:rsidR="00D23FB7" w:rsidRPr="00C61F7A">
        <w:rPr>
          <w:rFonts w:ascii="Times New Roman" w:eastAsia="Times New Roman" w:hAnsi="Times New Roman" w:cs="Times New Roman"/>
          <w:color w:val="000000"/>
          <w:sz w:val="24"/>
          <w:szCs w:val="24"/>
          <w:lang w:eastAsia="da-DK"/>
        </w:rPr>
        <w:t xml:space="preserve"> hertil</w:t>
      </w:r>
      <w:r w:rsidR="00194B8B" w:rsidRPr="00C61F7A">
        <w:rPr>
          <w:rFonts w:ascii="Times New Roman" w:eastAsia="Times New Roman" w:hAnsi="Times New Roman" w:cs="Times New Roman"/>
          <w:color w:val="000000"/>
          <w:sz w:val="24"/>
          <w:szCs w:val="24"/>
          <w:lang w:eastAsia="da-DK"/>
        </w:rPr>
        <w:t xml:space="preserve"> </w:t>
      </w:r>
      <w:r w:rsidR="00454CF5" w:rsidRPr="00C61F7A">
        <w:rPr>
          <w:rFonts w:ascii="Times New Roman" w:eastAsia="Times New Roman" w:hAnsi="Times New Roman" w:cs="Times New Roman"/>
          <w:color w:val="000000"/>
          <w:sz w:val="24"/>
          <w:szCs w:val="24"/>
          <w:lang w:eastAsia="da-DK"/>
        </w:rPr>
        <w:t xml:space="preserve">belyses </w:t>
      </w:r>
      <w:r w:rsidR="00194B8B" w:rsidRPr="00C61F7A">
        <w:rPr>
          <w:rFonts w:ascii="Times New Roman" w:eastAsia="Times New Roman" w:hAnsi="Times New Roman" w:cs="Times New Roman"/>
          <w:color w:val="000000"/>
          <w:sz w:val="24"/>
          <w:szCs w:val="24"/>
          <w:lang w:eastAsia="da-DK"/>
        </w:rPr>
        <w:t>ud fra en metode som formår at løfte</w:t>
      </w:r>
      <w:r w:rsidR="00D23FB7" w:rsidRPr="00C61F7A">
        <w:rPr>
          <w:rFonts w:ascii="Times New Roman" w:eastAsia="Times New Roman" w:hAnsi="Times New Roman" w:cs="Times New Roman"/>
          <w:color w:val="000000"/>
          <w:sz w:val="24"/>
          <w:szCs w:val="24"/>
          <w:lang w:eastAsia="da-DK"/>
        </w:rPr>
        <w:t xml:space="preserve"> stående krav</w:t>
      </w:r>
      <w:r w:rsidR="00194B8B" w:rsidRPr="00C61F7A">
        <w:rPr>
          <w:rFonts w:ascii="Times New Roman" w:eastAsia="Times New Roman" w:hAnsi="Times New Roman" w:cs="Times New Roman"/>
          <w:color w:val="000000"/>
          <w:sz w:val="24"/>
          <w:szCs w:val="24"/>
          <w:lang w:eastAsia="da-DK"/>
        </w:rPr>
        <w:t xml:space="preserve"> </w:t>
      </w:r>
      <w:r w:rsidR="00D23FB7" w:rsidRPr="00C61F7A">
        <w:rPr>
          <w:rFonts w:ascii="Times New Roman" w:eastAsia="Times New Roman" w:hAnsi="Times New Roman" w:cs="Times New Roman"/>
          <w:color w:val="000000"/>
          <w:sz w:val="24"/>
          <w:szCs w:val="24"/>
          <w:lang w:eastAsia="da-DK"/>
        </w:rPr>
        <w:t>i</w:t>
      </w:r>
      <w:r w:rsidR="00194B8B" w:rsidRPr="00C61F7A">
        <w:rPr>
          <w:rFonts w:ascii="Times New Roman" w:eastAsia="Times New Roman" w:hAnsi="Times New Roman" w:cs="Times New Roman"/>
          <w:color w:val="000000"/>
          <w:sz w:val="24"/>
          <w:szCs w:val="24"/>
          <w:lang w:eastAsia="da-DK"/>
        </w:rPr>
        <w:t xml:space="preserve"> selvstyre</w:t>
      </w:r>
      <w:r w:rsidR="00454CF5" w:rsidRPr="00C61F7A">
        <w:rPr>
          <w:rFonts w:ascii="Times New Roman" w:eastAsia="Times New Roman" w:hAnsi="Times New Roman" w:cs="Times New Roman"/>
          <w:color w:val="000000"/>
          <w:sz w:val="24"/>
          <w:szCs w:val="24"/>
          <w:lang w:eastAsia="da-DK"/>
        </w:rPr>
        <w:t>vejledning</w:t>
      </w:r>
      <w:r w:rsidR="00D23FB7" w:rsidRPr="00C61F7A">
        <w:rPr>
          <w:rFonts w:ascii="Times New Roman" w:eastAsia="Times New Roman" w:hAnsi="Times New Roman" w:cs="Times New Roman"/>
          <w:color w:val="000000"/>
          <w:sz w:val="24"/>
          <w:szCs w:val="24"/>
          <w:lang w:eastAsia="da-DK"/>
        </w:rPr>
        <w:t>en</w:t>
      </w:r>
      <w:r w:rsidR="00454CF5" w:rsidRPr="00C61F7A">
        <w:rPr>
          <w:rFonts w:ascii="Times New Roman" w:eastAsia="Times New Roman" w:hAnsi="Times New Roman" w:cs="Times New Roman"/>
          <w:color w:val="000000"/>
          <w:sz w:val="24"/>
          <w:szCs w:val="24"/>
          <w:lang w:eastAsia="da-DK"/>
        </w:rPr>
        <w:t xml:space="preserve"> </w:t>
      </w:r>
      <w:r w:rsidR="00194B8B" w:rsidRPr="00C61F7A">
        <w:rPr>
          <w:rFonts w:ascii="Times New Roman" w:eastAsia="Times New Roman" w:hAnsi="Times New Roman" w:cs="Times New Roman"/>
          <w:color w:val="000000"/>
          <w:sz w:val="24"/>
          <w:szCs w:val="24"/>
          <w:lang w:eastAsia="da-DK"/>
        </w:rPr>
        <w:t>til udarbejdelse af</w:t>
      </w:r>
      <w:r w:rsidR="00454CF5" w:rsidRPr="00C61F7A">
        <w:rPr>
          <w:rFonts w:ascii="Times New Roman" w:eastAsia="Times New Roman" w:hAnsi="Times New Roman" w:cs="Times New Roman"/>
          <w:color w:val="000000"/>
          <w:sz w:val="24"/>
          <w:szCs w:val="24"/>
          <w:lang w:eastAsia="da-DK"/>
        </w:rPr>
        <w:t xml:space="preserve"> samfundsøkonomiske konsekvensvurderinger.</w:t>
      </w:r>
      <w:r w:rsidR="006A4CED">
        <w:rPr>
          <w:rFonts w:ascii="Times New Roman" w:eastAsia="Times New Roman" w:hAnsi="Times New Roman" w:cs="Times New Roman"/>
          <w:color w:val="000000"/>
          <w:sz w:val="24"/>
          <w:szCs w:val="24"/>
          <w:lang w:eastAsia="da-DK"/>
        </w:rPr>
        <w:t xml:space="preserve"> Dette har heller ikke været det direkte formål med rapporten, og anføres blot her til baggrund.</w:t>
      </w:r>
    </w:p>
    <w:p w14:paraId="623A8FD7" w14:textId="77777777" w:rsidR="00073297" w:rsidRPr="00C61F7A" w:rsidRDefault="00073297" w:rsidP="00C61F7A">
      <w:pPr>
        <w:spacing w:after="0"/>
        <w:jc w:val="both"/>
        <w:rPr>
          <w:rFonts w:ascii="Times New Roman" w:eastAsia="Times New Roman" w:hAnsi="Times New Roman" w:cs="Times New Roman"/>
          <w:color w:val="000000"/>
          <w:sz w:val="24"/>
          <w:szCs w:val="24"/>
          <w:lang w:eastAsia="da-DK"/>
        </w:rPr>
      </w:pPr>
    </w:p>
    <w:p w14:paraId="7618B384" w14:textId="12E650BF" w:rsidR="00F365BE" w:rsidRPr="00C5737B" w:rsidRDefault="004777A1" w:rsidP="00C61F7A">
      <w:pPr>
        <w:jc w:val="both"/>
        <w:rPr>
          <w:rFonts w:ascii="Times New Roman" w:hAnsi="Times New Roman" w:cs="Times New Roman"/>
          <w:sz w:val="24"/>
          <w:szCs w:val="24"/>
        </w:rPr>
      </w:pPr>
      <w:r>
        <w:rPr>
          <w:rFonts w:ascii="Times New Roman" w:hAnsi="Times New Roman" w:cs="Times New Roman"/>
          <w:sz w:val="24"/>
          <w:szCs w:val="24"/>
        </w:rPr>
        <w:t xml:space="preserve">Som et konkret eksempel herpå fremstår </w:t>
      </w:r>
      <w:r w:rsidRPr="00C5737B">
        <w:rPr>
          <w:rFonts w:ascii="Times New Roman" w:hAnsi="Times New Roman" w:cs="Times New Roman"/>
          <w:sz w:val="24"/>
          <w:szCs w:val="24"/>
        </w:rPr>
        <w:t>r</w:t>
      </w:r>
      <w:r w:rsidR="003E71F5" w:rsidRPr="00C5737B">
        <w:rPr>
          <w:rFonts w:ascii="Times New Roman" w:hAnsi="Times New Roman" w:cs="Times New Roman"/>
          <w:sz w:val="24"/>
          <w:szCs w:val="24"/>
        </w:rPr>
        <w:t>apport</w:t>
      </w:r>
      <w:r w:rsidRPr="00C5737B">
        <w:rPr>
          <w:rFonts w:ascii="Times New Roman" w:hAnsi="Times New Roman" w:cs="Times New Roman"/>
          <w:sz w:val="24"/>
          <w:szCs w:val="24"/>
        </w:rPr>
        <w:t>bidraget</w:t>
      </w:r>
      <w:r w:rsidR="003E71F5" w:rsidRPr="00C5737B">
        <w:rPr>
          <w:rFonts w:ascii="Times New Roman" w:hAnsi="Times New Roman" w:cs="Times New Roman"/>
          <w:sz w:val="24"/>
          <w:szCs w:val="24"/>
        </w:rPr>
        <w:t xml:space="preserve"> om anlæggelse af ny havn i Kangerlussuaq</w:t>
      </w:r>
      <w:r w:rsidRPr="00C5737B">
        <w:rPr>
          <w:rFonts w:ascii="Times New Roman" w:hAnsi="Times New Roman" w:cs="Times New Roman"/>
          <w:sz w:val="24"/>
          <w:szCs w:val="24"/>
        </w:rPr>
        <w:t>, som</w:t>
      </w:r>
      <w:r w:rsidR="003E71F5" w:rsidRPr="00C5737B">
        <w:rPr>
          <w:rFonts w:ascii="Times New Roman" w:hAnsi="Times New Roman" w:cs="Times New Roman"/>
          <w:sz w:val="24"/>
          <w:szCs w:val="24"/>
        </w:rPr>
        <w:t xml:space="preserve"> er udarbejdet af Rambøll i 2014</w:t>
      </w:r>
      <w:r w:rsidRPr="00C5737B">
        <w:rPr>
          <w:rFonts w:ascii="Times New Roman" w:hAnsi="Times New Roman" w:cs="Times New Roman"/>
          <w:sz w:val="24"/>
          <w:szCs w:val="24"/>
        </w:rPr>
        <w:t>, med</w:t>
      </w:r>
      <w:r w:rsidR="003E71F5" w:rsidRPr="00C5737B">
        <w:rPr>
          <w:rFonts w:ascii="Times New Roman" w:hAnsi="Times New Roman" w:cs="Times New Roman"/>
          <w:sz w:val="24"/>
          <w:szCs w:val="24"/>
        </w:rPr>
        <w:t xml:space="preserve"> skøn og forudsætninger </w:t>
      </w:r>
      <w:r w:rsidRPr="00C5737B">
        <w:rPr>
          <w:rFonts w:ascii="Times New Roman" w:hAnsi="Times New Roman" w:cs="Times New Roman"/>
          <w:sz w:val="24"/>
          <w:szCs w:val="24"/>
        </w:rPr>
        <w:t>som ikke fremstår som</w:t>
      </w:r>
      <w:r w:rsidR="003E71F5" w:rsidRPr="00C5737B">
        <w:rPr>
          <w:rFonts w:ascii="Times New Roman" w:hAnsi="Times New Roman" w:cs="Times New Roman"/>
          <w:sz w:val="24"/>
          <w:szCs w:val="24"/>
        </w:rPr>
        <w:t xml:space="preserve"> retvisende. </w:t>
      </w:r>
      <w:r w:rsidR="00106081">
        <w:rPr>
          <w:rFonts w:ascii="Times New Roman" w:hAnsi="Times New Roman" w:cs="Times New Roman"/>
          <w:sz w:val="24"/>
          <w:szCs w:val="24"/>
        </w:rPr>
        <w:t>D</w:t>
      </w:r>
      <w:r w:rsidR="003E71F5" w:rsidRPr="00C5737B">
        <w:rPr>
          <w:rFonts w:ascii="Times New Roman" w:hAnsi="Times New Roman" w:cs="Times New Roman"/>
          <w:sz w:val="24"/>
          <w:szCs w:val="24"/>
        </w:rPr>
        <w:t>epartemente</w:t>
      </w:r>
      <w:r w:rsidR="00106081">
        <w:rPr>
          <w:rFonts w:ascii="Times New Roman" w:hAnsi="Times New Roman" w:cs="Times New Roman"/>
          <w:sz w:val="24"/>
          <w:szCs w:val="24"/>
        </w:rPr>
        <w:t>t for Finanser og Ligestilling</w:t>
      </w:r>
      <w:r w:rsidR="003E71F5" w:rsidRPr="00C5737B">
        <w:rPr>
          <w:rFonts w:ascii="Times New Roman" w:hAnsi="Times New Roman" w:cs="Times New Roman"/>
          <w:sz w:val="24"/>
          <w:szCs w:val="24"/>
        </w:rPr>
        <w:t xml:space="preserve"> er bekendt med, at Rambøll i 2020 blev anmodet om at opdatere rapporten fra 2014. Udkastet til en opdateret rapport blev imidlertid mødt med en betydelig faglig kritik</w:t>
      </w:r>
      <w:r w:rsidR="00CD2ED2">
        <w:rPr>
          <w:rFonts w:ascii="Times New Roman" w:hAnsi="Times New Roman" w:cs="Times New Roman"/>
          <w:sz w:val="24"/>
          <w:szCs w:val="24"/>
        </w:rPr>
        <w:t xml:space="preserve"> </w:t>
      </w:r>
      <w:r w:rsidR="006A4CED">
        <w:rPr>
          <w:rFonts w:ascii="Times New Roman" w:hAnsi="Times New Roman" w:cs="Times New Roman"/>
          <w:sz w:val="24"/>
          <w:szCs w:val="24"/>
        </w:rPr>
        <w:t xml:space="preserve">fra såvel kommuner som departementer, herunder </w:t>
      </w:r>
      <w:r w:rsidR="00CD2ED2">
        <w:rPr>
          <w:rFonts w:ascii="Times New Roman" w:hAnsi="Times New Roman" w:cs="Times New Roman"/>
          <w:sz w:val="24"/>
          <w:szCs w:val="24"/>
        </w:rPr>
        <w:t>Departementet for Bolig og Infrastruktur</w:t>
      </w:r>
      <w:r w:rsidR="003E71F5" w:rsidRPr="00C5737B">
        <w:rPr>
          <w:rFonts w:ascii="Times New Roman" w:hAnsi="Times New Roman" w:cs="Times New Roman"/>
          <w:sz w:val="24"/>
          <w:szCs w:val="24"/>
        </w:rPr>
        <w:t xml:space="preserve">, og rapporten blev </w:t>
      </w:r>
      <w:r w:rsidR="00064DB5">
        <w:rPr>
          <w:rFonts w:ascii="Times New Roman" w:hAnsi="Times New Roman" w:cs="Times New Roman"/>
          <w:sz w:val="24"/>
          <w:szCs w:val="24"/>
        </w:rPr>
        <w:t xml:space="preserve">departementet bekendt </w:t>
      </w:r>
      <w:r w:rsidR="003E71F5" w:rsidRPr="00C5737B">
        <w:rPr>
          <w:rFonts w:ascii="Times New Roman" w:hAnsi="Times New Roman" w:cs="Times New Roman"/>
          <w:sz w:val="24"/>
          <w:szCs w:val="24"/>
        </w:rPr>
        <w:t xml:space="preserve">derfor aldrig færdiggjort. Det er forståelsen, at rapportens generelle </w:t>
      </w:r>
      <w:r w:rsidRPr="00C5737B">
        <w:rPr>
          <w:rFonts w:ascii="Times New Roman" w:hAnsi="Times New Roman" w:cs="Times New Roman"/>
          <w:sz w:val="24"/>
          <w:szCs w:val="24"/>
        </w:rPr>
        <w:t>undersøgelses</w:t>
      </w:r>
      <w:r w:rsidR="003E71F5" w:rsidRPr="00C5737B">
        <w:rPr>
          <w:rFonts w:ascii="Times New Roman" w:hAnsi="Times New Roman" w:cs="Times New Roman"/>
          <w:sz w:val="24"/>
          <w:szCs w:val="24"/>
        </w:rPr>
        <w:t xml:space="preserve">-setup blev anset som fejlbehæftet i en grad, som gjorde rapporten uanvendelig. </w:t>
      </w:r>
      <w:r w:rsidR="006A4CED">
        <w:rPr>
          <w:rFonts w:ascii="Times New Roman" w:hAnsi="Times New Roman" w:cs="Times New Roman"/>
          <w:sz w:val="24"/>
          <w:szCs w:val="24"/>
        </w:rPr>
        <w:t xml:space="preserve">Egentlige konklusioner på denne baggrund kan derfor med fordel afvente en færdig rapport på </w:t>
      </w:r>
      <w:r w:rsidR="004C5507">
        <w:rPr>
          <w:rFonts w:ascii="Times New Roman" w:hAnsi="Times New Roman" w:cs="Times New Roman"/>
          <w:sz w:val="24"/>
          <w:szCs w:val="24"/>
        </w:rPr>
        <w:t>om</w:t>
      </w:r>
      <w:r w:rsidR="006A4CED">
        <w:rPr>
          <w:rFonts w:ascii="Times New Roman" w:hAnsi="Times New Roman" w:cs="Times New Roman"/>
          <w:sz w:val="24"/>
          <w:szCs w:val="24"/>
        </w:rPr>
        <w:t>rådet</w:t>
      </w:r>
      <w:r w:rsidR="00064DB5">
        <w:rPr>
          <w:rFonts w:ascii="Times New Roman" w:hAnsi="Times New Roman" w:cs="Times New Roman"/>
          <w:sz w:val="24"/>
          <w:szCs w:val="24"/>
        </w:rPr>
        <w:t>.</w:t>
      </w:r>
    </w:p>
    <w:p w14:paraId="2CABBD2D" w14:textId="10BD2C95" w:rsidR="00F365BE" w:rsidRDefault="00680289" w:rsidP="00645198">
      <w:pPr>
        <w:jc w:val="both"/>
        <w:rPr>
          <w:rFonts w:ascii="Times New Roman" w:hAnsi="Times New Roman" w:cs="Times New Roman"/>
          <w:sz w:val="24"/>
          <w:szCs w:val="24"/>
        </w:rPr>
      </w:pPr>
      <w:r>
        <w:rPr>
          <w:rFonts w:ascii="Times New Roman" w:hAnsi="Times New Roman" w:cs="Times New Roman"/>
          <w:sz w:val="24"/>
          <w:szCs w:val="24"/>
        </w:rPr>
        <w:t>R</w:t>
      </w:r>
      <w:r w:rsidR="007E5746">
        <w:rPr>
          <w:rFonts w:ascii="Times New Roman" w:hAnsi="Times New Roman" w:cs="Times New Roman"/>
          <w:sz w:val="24"/>
          <w:szCs w:val="24"/>
        </w:rPr>
        <w:t xml:space="preserve">apporten </w:t>
      </w:r>
      <w:r>
        <w:rPr>
          <w:rFonts w:ascii="Times New Roman" w:hAnsi="Times New Roman" w:cs="Times New Roman"/>
          <w:sz w:val="24"/>
          <w:szCs w:val="24"/>
        </w:rPr>
        <w:t xml:space="preserve">kunne med fordel nærmere have indeholdt </w:t>
      </w:r>
      <w:r w:rsidR="00F365BE" w:rsidRPr="0007352A">
        <w:rPr>
          <w:rFonts w:ascii="Times New Roman" w:hAnsi="Times New Roman" w:cs="Times New Roman"/>
          <w:sz w:val="24"/>
          <w:szCs w:val="24"/>
        </w:rPr>
        <w:t>overvejelse</w:t>
      </w:r>
      <w:r w:rsidR="00C5737B">
        <w:rPr>
          <w:rFonts w:ascii="Times New Roman" w:hAnsi="Times New Roman" w:cs="Times New Roman"/>
          <w:sz w:val="24"/>
          <w:szCs w:val="24"/>
        </w:rPr>
        <w:t>r</w:t>
      </w:r>
      <w:r w:rsidR="00F365BE" w:rsidRPr="0007352A">
        <w:rPr>
          <w:rFonts w:ascii="Times New Roman" w:hAnsi="Times New Roman" w:cs="Times New Roman"/>
          <w:sz w:val="24"/>
          <w:szCs w:val="24"/>
        </w:rPr>
        <w:t xml:space="preserve"> </w:t>
      </w:r>
      <w:r w:rsidR="00C5737B">
        <w:rPr>
          <w:rFonts w:ascii="Times New Roman" w:hAnsi="Times New Roman" w:cs="Times New Roman"/>
          <w:sz w:val="24"/>
          <w:szCs w:val="24"/>
        </w:rPr>
        <w:t>om</w:t>
      </w:r>
      <w:r w:rsidR="00F365BE" w:rsidRPr="0007352A">
        <w:rPr>
          <w:rFonts w:ascii="Times New Roman" w:hAnsi="Times New Roman" w:cs="Times New Roman"/>
          <w:sz w:val="24"/>
          <w:szCs w:val="24"/>
        </w:rPr>
        <w:t xml:space="preserve"> havne- og vejbyggeri</w:t>
      </w:r>
      <w:r w:rsidR="00C5737B">
        <w:rPr>
          <w:rFonts w:ascii="Times New Roman" w:hAnsi="Times New Roman" w:cs="Times New Roman"/>
          <w:sz w:val="24"/>
          <w:szCs w:val="24"/>
        </w:rPr>
        <w:t>ets</w:t>
      </w:r>
      <w:r w:rsidR="00DB6AE3">
        <w:rPr>
          <w:rFonts w:ascii="Times New Roman" w:hAnsi="Times New Roman" w:cs="Times New Roman"/>
          <w:sz w:val="24"/>
          <w:szCs w:val="24"/>
        </w:rPr>
        <w:t xml:space="preserve"> indbyrdes afhængighed.</w:t>
      </w:r>
      <w:r w:rsidR="00F365BE" w:rsidRPr="0007352A">
        <w:rPr>
          <w:rFonts w:ascii="Times New Roman" w:hAnsi="Times New Roman" w:cs="Times New Roman"/>
          <w:sz w:val="24"/>
          <w:szCs w:val="24"/>
        </w:rPr>
        <w:t xml:space="preserve"> </w:t>
      </w:r>
    </w:p>
    <w:p w14:paraId="5D9FC20C" w14:textId="026DC4DF" w:rsidR="00E34952" w:rsidRDefault="00E34952" w:rsidP="00645198">
      <w:pPr>
        <w:jc w:val="both"/>
        <w:rPr>
          <w:rFonts w:ascii="Times New Roman" w:hAnsi="Times New Roman" w:cs="Times New Roman"/>
          <w:sz w:val="24"/>
          <w:szCs w:val="24"/>
        </w:rPr>
      </w:pPr>
      <w:r>
        <w:rPr>
          <w:rFonts w:ascii="Times New Roman" w:hAnsi="Times New Roman" w:cs="Times New Roman"/>
          <w:sz w:val="24"/>
          <w:szCs w:val="24"/>
        </w:rPr>
        <w:t xml:space="preserve">Den mulige økonomiske betydning af regeringens kapacitetsaftale i forhold til </w:t>
      </w:r>
      <w:r w:rsidR="00720100">
        <w:rPr>
          <w:rFonts w:ascii="Times New Roman" w:hAnsi="Times New Roman" w:cs="Times New Roman"/>
          <w:sz w:val="24"/>
          <w:szCs w:val="24"/>
        </w:rPr>
        <w:t>Kangerlussuaq</w:t>
      </w:r>
      <w:r>
        <w:rPr>
          <w:rFonts w:ascii="Times New Roman" w:hAnsi="Times New Roman" w:cs="Times New Roman"/>
          <w:sz w:val="24"/>
          <w:szCs w:val="24"/>
        </w:rPr>
        <w:t xml:space="preserve"> lufthavn og forsvaret fortsatte brug heraf er </w:t>
      </w:r>
      <w:r w:rsidR="004D490C">
        <w:rPr>
          <w:rFonts w:ascii="Times New Roman" w:hAnsi="Times New Roman" w:cs="Times New Roman"/>
          <w:sz w:val="24"/>
          <w:szCs w:val="24"/>
        </w:rPr>
        <w:t xml:space="preserve">endnu ikke endelig afklaret. Dette forhold medfører selvsagt, at </w:t>
      </w:r>
      <w:r w:rsidR="00D362C7">
        <w:rPr>
          <w:rFonts w:ascii="Times New Roman" w:hAnsi="Times New Roman" w:cs="Times New Roman"/>
          <w:sz w:val="24"/>
          <w:szCs w:val="24"/>
        </w:rPr>
        <w:t xml:space="preserve">man bør være varsom med at drage konklusioner </w:t>
      </w:r>
      <w:r w:rsidR="004D490C">
        <w:rPr>
          <w:rFonts w:ascii="Times New Roman" w:hAnsi="Times New Roman" w:cs="Times New Roman"/>
          <w:sz w:val="24"/>
          <w:szCs w:val="24"/>
        </w:rPr>
        <w:t xml:space="preserve">særligt fsva. udgifter til offentlige servicekontraktbetalinger. </w:t>
      </w:r>
    </w:p>
    <w:p w14:paraId="016E741A" w14:textId="52997731" w:rsidR="007E5746" w:rsidRDefault="007E5746" w:rsidP="00645198">
      <w:pPr>
        <w:jc w:val="both"/>
        <w:rPr>
          <w:rFonts w:ascii="Times New Roman" w:hAnsi="Times New Roman" w:cs="Times New Roman"/>
          <w:sz w:val="24"/>
          <w:szCs w:val="24"/>
        </w:rPr>
      </w:pPr>
      <w:r>
        <w:rPr>
          <w:rFonts w:ascii="Times New Roman" w:hAnsi="Times New Roman" w:cs="Times New Roman"/>
          <w:sz w:val="24"/>
          <w:szCs w:val="24"/>
        </w:rPr>
        <w:t xml:space="preserve">Disse </w:t>
      </w:r>
      <w:r w:rsidR="004D490C">
        <w:rPr>
          <w:rFonts w:ascii="Times New Roman" w:hAnsi="Times New Roman" w:cs="Times New Roman"/>
          <w:sz w:val="24"/>
          <w:szCs w:val="24"/>
        </w:rPr>
        <w:t xml:space="preserve">forhold </w:t>
      </w:r>
      <w:r>
        <w:rPr>
          <w:rFonts w:ascii="Times New Roman" w:hAnsi="Times New Roman" w:cs="Times New Roman"/>
          <w:sz w:val="24"/>
          <w:szCs w:val="24"/>
        </w:rPr>
        <w:t xml:space="preserve">bør </w:t>
      </w:r>
      <w:r w:rsidR="004D490C">
        <w:rPr>
          <w:rFonts w:ascii="Times New Roman" w:hAnsi="Times New Roman" w:cs="Times New Roman"/>
          <w:sz w:val="24"/>
          <w:szCs w:val="24"/>
        </w:rPr>
        <w:t>adresseres</w:t>
      </w:r>
      <w:r>
        <w:rPr>
          <w:rFonts w:ascii="Times New Roman" w:hAnsi="Times New Roman" w:cs="Times New Roman"/>
          <w:sz w:val="24"/>
          <w:szCs w:val="24"/>
        </w:rPr>
        <w:t xml:space="preserve">, før rapporten lægges til grund for større offentlige investeringer. </w:t>
      </w:r>
    </w:p>
    <w:p w14:paraId="3B2EC4ED" w14:textId="75F54098" w:rsidR="00F365BE" w:rsidRPr="0007352A" w:rsidRDefault="00F365BE" w:rsidP="00645198">
      <w:pPr>
        <w:spacing w:after="0"/>
        <w:jc w:val="both"/>
        <w:rPr>
          <w:rFonts w:ascii="Times New Roman" w:hAnsi="Times New Roman" w:cs="Times New Roman"/>
          <w:sz w:val="24"/>
          <w:szCs w:val="24"/>
        </w:rPr>
      </w:pPr>
      <w:r w:rsidRPr="00C61F7A">
        <w:rPr>
          <w:rFonts w:ascii="Times New Roman" w:hAnsi="Times New Roman" w:cs="Times New Roman"/>
          <w:b/>
          <w:sz w:val="24"/>
          <w:szCs w:val="24"/>
          <w:u w:val="single"/>
        </w:rPr>
        <w:t xml:space="preserve">Overvejelser der bør indgå og beskrives i et </w:t>
      </w:r>
      <w:r w:rsidR="00C61F7A">
        <w:rPr>
          <w:rFonts w:ascii="Times New Roman" w:hAnsi="Times New Roman" w:cs="Times New Roman"/>
          <w:b/>
          <w:sz w:val="24"/>
          <w:szCs w:val="24"/>
          <w:u w:val="single"/>
        </w:rPr>
        <w:t>kommende</w:t>
      </w:r>
      <w:r w:rsidRPr="00C61F7A">
        <w:rPr>
          <w:rFonts w:ascii="Times New Roman" w:hAnsi="Times New Roman" w:cs="Times New Roman"/>
          <w:b/>
          <w:sz w:val="24"/>
          <w:szCs w:val="24"/>
          <w:u w:val="single"/>
        </w:rPr>
        <w:t xml:space="preserve"> beslutningsgrundlag</w:t>
      </w:r>
    </w:p>
    <w:p w14:paraId="26068B0F" w14:textId="54E4E592" w:rsidR="00021810" w:rsidRDefault="00021810" w:rsidP="00645198">
      <w:pPr>
        <w:pStyle w:val="Listeafsnit"/>
        <w:numPr>
          <w:ilvl w:val="0"/>
          <w:numId w:val="1"/>
        </w:numPr>
        <w:spacing w:after="0"/>
        <w:jc w:val="both"/>
        <w:rPr>
          <w:rFonts w:ascii="Times New Roman" w:hAnsi="Times New Roman" w:cs="Times New Roman"/>
          <w:sz w:val="24"/>
          <w:szCs w:val="24"/>
        </w:rPr>
      </w:pPr>
      <w:r w:rsidRPr="001F791A">
        <w:rPr>
          <w:rFonts w:ascii="Times New Roman" w:hAnsi="Times New Roman" w:cs="Times New Roman"/>
          <w:sz w:val="24"/>
          <w:szCs w:val="24"/>
        </w:rPr>
        <w:t>Basisscenariet</w:t>
      </w:r>
      <w:r w:rsidR="001F791A" w:rsidRPr="001F791A">
        <w:rPr>
          <w:rFonts w:ascii="Times New Roman" w:hAnsi="Times New Roman" w:cs="Times New Roman"/>
          <w:sz w:val="24"/>
          <w:szCs w:val="24"/>
        </w:rPr>
        <w:t xml:space="preserve"> for en fremadrettet civil brug af </w:t>
      </w:r>
      <w:r w:rsidRPr="001F791A">
        <w:rPr>
          <w:rFonts w:ascii="Times New Roman" w:hAnsi="Times New Roman" w:cs="Times New Roman"/>
          <w:sz w:val="24"/>
          <w:szCs w:val="24"/>
        </w:rPr>
        <w:t>Kangerlussuaq</w:t>
      </w:r>
      <w:r w:rsidR="001F791A" w:rsidRPr="001F791A">
        <w:rPr>
          <w:rFonts w:ascii="Times New Roman" w:hAnsi="Times New Roman" w:cs="Times New Roman"/>
          <w:sz w:val="24"/>
          <w:szCs w:val="24"/>
        </w:rPr>
        <w:t xml:space="preserve"> lufthavn er en bane</w:t>
      </w:r>
      <w:r w:rsidR="00F408D0">
        <w:rPr>
          <w:rFonts w:ascii="Times New Roman" w:hAnsi="Times New Roman" w:cs="Times New Roman"/>
          <w:sz w:val="24"/>
          <w:szCs w:val="24"/>
        </w:rPr>
        <w:t xml:space="preserve"> med afsæt i regional beflyvning</w:t>
      </w:r>
      <w:r w:rsidRPr="001F791A">
        <w:rPr>
          <w:rFonts w:ascii="Times New Roman" w:hAnsi="Times New Roman" w:cs="Times New Roman"/>
          <w:sz w:val="24"/>
          <w:szCs w:val="24"/>
        </w:rPr>
        <w:t xml:space="preserve">, som det er beskrevet i </w:t>
      </w:r>
      <w:r w:rsidR="00106081" w:rsidRPr="001F791A">
        <w:rPr>
          <w:rFonts w:ascii="Times New Roman" w:hAnsi="Times New Roman" w:cs="Times New Roman"/>
          <w:sz w:val="24"/>
          <w:szCs w:val="24"/>
        </w:rPr>
        <w:t>bemær</w:t>
      </w:r>
      <w:r w:rsidR="00106081">
        <w:rPr>
          <w:rFonts w:ascii="Times New Roman" w:hAnsi="Times New Roman" w:cs="Times New Roman"/>
          <w:sz w:val="24"/>
          <w:szCs w:val="24"/>
        </w:rPr>
        <w:t>kninger</w:t>
      </w:r>
      <w:r w:rsidR="009C2F50">
        <w:rPr>
          <w:rFonts w:ascii="Times New Roman" w:hAnsi="Times New Roman" w:cs="Times New Roman"/>
          <w:sz w:val="24"/>
          <w:szCs w:val="24"/>
        </w:rPr>
        <w:t xml:space="preserve"> til Inatsisartutlov om </w:t>
      </w:r>
      <w:r w:rsidR="00926B37">
        <w:rPr>
          <w:rFonts w:ascii="Times New Roman" w:hAnsi="Times New Roman" w:cs="Times New Roman"/>
          <w:sz w:val="24"/>
          <w:szCs w:val="24"/>
        </w:rPr>
        <w:t>Mittarfeqarfiit</w:t>
      </w:r>
      <w:r w:rsidR="009C2F50">
        <w:rPr>
          <w:rFonts w:ascii="Times New Roman" w:hAnsi="Times New Roman" w:cs="Times New Roman"/>
          <w:sz w:val="24"/>
          <w:szCs w:val="24"/>
        </w:rPr>
        <w:t xml:space="preserve"> A/S. </w:t>
      </w:r>
      <w:r w:rsidRPr="00C5737B">
        <w:rPr>
          <w:rFonts w:ascii="Times New Roman" w:hAnsi="Times New Roman" w:cs="Times New Roman"/>
          <w:sz w:val="24"/>
          <w:szCs w:val="24"/>
        </w:rPr>
        <w:t>Herunder</w:t>
      </w:r>
      <w:r w:rsidR="001F791A">
        <w:rPr>
          <w:rFonts w:ascii="Times New Roman" w:hAnsi="Times New Roman" w:cs="Times New Roman"/>
          <w:sz w:val="24"/>
          <w:szCs w:val="24"/>
        </w:rPr>
        <w:t xml:space="preserve"> bør der tilvejebringes en kvalificeret afklaring af</w:t>
      </w:r>
      <w:r w:rsidRPr="00C5737B">
        <w:rPr>
          <w:rFonts w:ascii="Times New Roman" w:hAnsi="Times New Roman" w:cs="Times New Roman"/>
          <w:sz w:val="24"/>
          <w:szCs w:val="24"/>
        </w:rPr>
        <w:t xml:space="preserve"> hvilke</w:t>
      </w:r>
      <w:r w:rsidR="001F791A">
        <w:rPr>
          <w:rFonts w:ascii="Times New Roman" w:hAnsi="Times New Roman" w:cs="Times New Roman"/>
          <w:sz w:val="24"/>
          <w:szCs w:val="24"/>
        </w:rPr>
        <w:t>t</w:t>
      </w:r>
      <w:r w:rsidRPr="00C5737B">
        <w:rPr>
          <w:rFonts w:ascii="Times New Roman" w:hAnsi="Times New Roman" w:cs="Times New Roman"/>
          <w:sz w:val="24"/>
          <w:szCs w:val="24"/>
        </w:rPr>
        <w:t xml:space="preserve"> niveau af turister der forventes i dette scenarie</w:t>
      </w:r>
      <w:r w:rsidR="001F791A">
        <w:rPr>
          <w:rFonts w:ascii="Times New Roman" w:hAnsi="Times New Roman" w:cs="Times New Roman"/>
          <w:sz w:val="24"/>
          <w:szCs w:val="24"/>
        </w:rPr>
        <w:t xml:space="preserve"> og hvilken påvirkning fraværet af en fortsat atlantoption for beflyvning af Kangerlussuaq vil have for rentabilitetsovervejelserne for henholdsvis havne og vejprojektet? </w:t>
      </w:r>
      <w:r w:rsidR="001F791A" w:rsidRPr="00C5737B">
        <w:rPr>
          <w:rFonts w:ascii="Times New Roman" w:hAnsi="Times New Roman" w:cs="Times New Roman"/>
          <w:sz w:val="24"/>
          <w:szCs w:val="24"/>
        </w:rPr>
        <w:t xml:space="preserve"> </w:t>
      </w:r>
    </w:p>
    <w:p w14:paraId="0614A11C" w14:textId="77777777" w:rsidR="00915816" w:rsidRDefault="00915816" w:rsidP="00B3516C">
      <w:pPr>
        <w:pStyle w:val="Listeafsnit"/>
        <w:spacing w:after="0"/>
        <w:jc w:val="both"/>
        <w:rPr>
          <w:rFonts w:ascii="Times New Roman" w:hAnsi="Times New Roman" w:cs="Times New Roman"/>
          <w:sz w:val="24"/>
          <w:szCs w:val="24"/>
        </w:rPr>
      </w:pPr>
    </w:p>
    <w:p w14:paraId="0B910335" w14:textId="2314880E" w:rsidR="00295744" w:rsidRDefault="00073297" w:rsidP="002A6E87">
      <w:pPr>
        <w:pStyle w:val="Listeafsnit"/>
        <w:spacing w:after="0"/>
        <w:jc w:val="both"/>
        <w:rPr>
          <w:rFonts w:ascii="Times New Roman" w:hAnsi="Times New Roman" w:cs="Times New Roman"/>
          <w:sz w:val="24"/>
          <w:szCs w:val="24"/>
        </w:rPr>
      </w:pPr>
      <w:r>
        <w:rPr>
          <w:rFonts w:ascii="Times New Roman" w:hAnsi="Times New Roman" w:cs="Times New Roman"/>
          <w:sz w:val="24"/>
          <w:szCs w:val="24"/>
        </w:rPr>
        <w:t>Dette hænger tæt sammen med, at K</w:t>
      </w:r>
      <w:r w:rsidR="00F933FF">
        <w:rPr>
          <w:rFonts w:ascii="Times New Roman" w:hAnsi="Times New Roman" w:cs="Times New Roman"/>
          <w:sz w:val="24"/>
          <w:szCs w:val="24"/>
        </w:rPr>
        <w:t>onsulenthuset</w:t>
      </w:r>
      <w:r w:rsidR="00A42ED3" w:rsidRPr="00F933FF">
        <w:rPr>
          <w:rFonts w:ascii="Times New Roman" w:hAnsi="Times New Roman" w:cs="Times New Roman"/>
          <w:sz w:val="24"/>
          <w:szCs w:val="24"/>
        </w:rPr>
        <w:t xml:space="preserve"> Oxfor</w:t>
      </w:r>
      <w:r w:rsidR="00F933FF">
        <w:rPr>
          <w:rFonts w:ascii="Times New Roman" w:hAnsi="Times New Roman" w:cs="Times New Roman"/>
          <w:sz w:val="24"/>
          <w:szCs w:val="24"/>
        </w:rPr>
        <w:t>d</w:t>
      </w:r>
      <w:r w:rsidR="00A42ED3" w:rsidRPr="00F933FF">
        <w:rPr>
          <w:rFonts w:ascii="Times New Roman" w:hAnsi="Times New Roman" w:cs="Times New Roman"/>
          <w:sz w:val="24"/>
          <w:szCs w:val="24"/>
        </w:rPr>
        <w:t xml:space="preserve"> Global Projects i sin analyse</w:t>
      </w:r>
      <w:r w:rsidR="00F933FF">
        <w:rPr>
          <w:rFonts w:ascii="Times New Roman" w:hAnsi="Times New Roman" w:cs="Times New Roman"/>
          <w:sz w:val="24"/>
          <w:szCs w:val="24"/>
        </w:rPr>
        <w:t xml:space="preserve"> af et muligt vejprojekt mellem Sisimiut og Kangerlussuaq</w:t>
      </w:r>
      <w:r w:rsidR="00A42ED3" w:rsidRPr="00F933FF">
        <w:rPr>
          <w:rFonts w:ascii="Times New Roman" w:hAnsi="Times New Roman" w:cs="Times New Roman"/>
          <w:sz w:val="24"/>
          <w:szCs w:val="24"/>
        </w:rPr>
        <w:t xml:space="preserve"> </w:t>
      </w:r>
      <w:r>
        <w:rPr>
          <w:rFonts w:ascii="Times New Roman" w:hAnsi="Times New Roman" w:cs="Times New Roman"/>
          <w:sz w:val="24"/>
          <w:szCs w:val="24"/>
        </w:rPr>
        <w:t xml:space="preserve">anfører </w:t>
      </w:r>
      <w:r w:rsidR="00A42ED3" w:rsidRPr="00F933FF">
        <w:rPr>
          <w:rFonts w:ascii="Times New Roman" w:hAnsi="Times New Roman" w:cs="Times New Roman"/>
          <w:sz w:val="24"/>
          <w:szCs w:val="24"/>
        </w:rPr>
        <w:t>følgende</w:t>
      </w:r>
      <w:r w:rsidR="00F933FF" w:rsidRPr="00F933FF">
        <w:rPr>
          <w:rFonts w:ascii="Times New Roman" w:hAnsi="Times New Roman" w:cs="Times New Roman"/>
          <w:sz w:val="24"/>
          <w:szCs w:val="24"/>
        </w:rPr>
        <w:t>: ”</w:t>
      </w:r>
      <w:r w:rsidR="00F933FF" w:rsidRPr="00B3516C">
        <w:rPr>
          <w:rFonts w:ascii="Times New Roman" w:hAnsi="Times New Roman" w:cs="Times New Roman"/>
          <w:i/>
          <w:iCs/>
          <w:sz w:val="24"/>
          <w:szCs w:val="24"/>
        </w:rPr>
        <w:t>På baggrund af den statistiske analyse finder OGP, at Arctic Circle-vejen sandsynligvis vil opnå en positiv cost/benefit-relation – selv i et konservativt scenarie.</w:t>
      </w:r>
      <w:r w:rsidR="00F933FF">
        <w:rPr>
          <w:rFonts w:ascii="Times New Roman" w:hAnsi="Times New Roman" w:cs="Times New Roman"/>
          <w:i/>
          <w:iCs/>
          <w:sz w:val="24"/>
          <w:szCs w:val="24"/>
        </w:rPr>
        <w:t xml:space="preserve">” </w:t>
      </w:r>
      <w:r w:rsidR="00F933FF">
        <w:rPr>
          <w:rFonts w:ascii="Times New Roman" w:hAnsi="Times New Roman" w:cs="Times New Roman"/>
          <w:sz w:val="24"/>
          <w:szCs w:val="24"/>
        </w:rPr>
        <w:t>Denne vurdering er imidlertid forudsætningsbetinget af stabil fremadrettet civil kommerciel atlantbeflyvning af Kangerlussuaq. Ændres forudsætningsantagelsen</w:t>
      </w:r>
      <w:r w:rsidR="002A6E87">
        <w:rPr>
          <w:rFonts w:ascii="Times New Roman" w:hAnsi="Times New Roman" w:cs="Times New Roman"/>
          <w:sz w:val="24"/>
          <w:szCs w:val="24"/>
        </w:rPr>
        <w:t xml:space="preserve"> som </w:t>
      </w:r>
      <w:r w:rsidR="002A6E87">
        <w:rPr>
          <w:rFonts w:ascii="Times New Roman" w:hAnsi="Times New Roman" w:cs="Times New Roman"/>
          <w:sz w:val="24"/>
          <w:szCs w:val="24"/>
        </w:rPr>
        <w:lastRenderedPageBreak/>
        <w:t>OGP har arbejdet efter</w:t>
      </w:r>
      <w:r w:rsidR="00F933FF">
        <w:rPr>
          <w:rFonts w:ascii="Times New Roman" w:hAnsi="Times New Roman" w:cs="Times New Roman"/>
          <w:sz w:val="24"/>
          <w:szCs w:val="24"/>
        </w:rPr>
        <w:t xml:space="preserve"> til</w:t>
      </w:r>
      <w:r w:rsidR="002A6E87">
        <w:rPr>
          <w:rFonts w:ascii="Times New Roman" w:hAnsi="Times New Roman" w:cs="Times New Roman"/>
          <w:sz w:val="24"/>
          <w:szCs w:val="24"/>
        </w:rPr>
        <w:t xml:space="preserve"> udelukkende at omfatte</w:t>
      </w:r>
      <w:r w:rsidR="00F933FF">
        <w:rPr>
          <w:rFonts w:ascii="Times New Roman" w:hAnsi="Times New Roman" w:cs="Times New Roman"/>
          <w:sz w:val="24"/>
          <w:szCs w:val="24"/>
        </w:rPr>
        <w:t xml:space="preserve"> en civil regional beflyvning,</w:t>
      </w:r>
      <w:r w:rsidR="002A6E87">
        <w:rPr>
          <w:rFonts w:ascii="Times New Roman" w:hAnsi="Times New Roman" w:cs="Times New Roman"/>
          <w:sz w:val="24"/>
          <w:szCs w:val="24"/>
        </w:rPr>
        <w:t xml:space="preserve"> da</w:t>
      </w:r>
      <w:r w:rsidR="00F933FF">
        <w:rPr>
          <w:rFonts w:ascii="Times New Roman" w:hAnsi="Times New Roman" w:cs="Times New Roman"/>
          <w:sz w:val="24"/>
          <w:szCs w:val="24"/>
        </w:rPr>
        <w:t xml:space="preserve"> falder</w:t>
      </w:r>
      <w:r w:rsidR="002A6E87">
        <w:rPr>
          <w:rFonts w:ascii="Times New Roman" w:hAnsi="Times New Roman" w:cs="Times New Roman"/>
          <w:sz w:val="24"/>
          <w:szCs w:val="24"/>
        </w:rPr>
        <w:t xml:space="preserve"> den sandsynlige positive cost/benefit relation bort og en forretningsplan for såvel </w:t>
      </w:r>
      <w:r w:rsidR="002A6E87" w:rsidRPr="00B3516C">
        <w:rPr>
          <w:rFonts w:ascii="Times New Roman" w:hAnsi="Times New Roman" w:cs="Times New Roman"/>
          <w:sz w:val="24"/>
          <w:szCs w:val="24"/>
        </w:rPr>
        <w:t xml:space="preserve">vej- som </w:t>
      </w:r>
      <w:r w:rsidR="002A6E87" w:rsidRPr="002A6E87">
        <w:rPr>
          <w:rFonts w:ascii="Times New Roman" w:hAnsi="Times New Roman" w:cs="Times New Roman"/>
          <w:sz w:val="24"/>
          <w:szCs w:val="24"/>
        </w:rPr>
        <w:t>havn</w:t>
      </w:r>
      <w:r w:rsidR="002A6E87">
        <w:rPr>
          <w:rFonts w:ascii="Times New Roman" w:hAnsi="Times New Roman" w:cs="Times New Roman"/>
          <w:sz w:val="24"/>
          <w:szCs w:val="24"/>
        </w:rPr>
        <w:t>eudvidelse vil d</w:t>
      </w:r>
      <w:r>
        <w:rPr>
          <w:rFonts w:ascii="Times New Roman" w:hAnsi="Times New Roman" w:cs="Times New Roman"/>
          <w:sz w:val="24"/>
          <w:szCs w:val="24"/>
        </w:rPr>
        <w:t xml:space="preserve">erved tilsvarende </w:t>
      </w:r>
      <w:r w:rsidR="002A6E87">
        <w:rPr>
          <w:rFonts w:ascii="Times New Roman" w:hAnsi="Times New Roman" w:cs="Times New Roman"/>
          <w:sz w:val="24"/>
          <w:szCs w:val="24"/>
        </w:rPr>
        <w:t>udfordre</w:t>
      </w:r>
      <w:r>
        <w:rPr>
          <w:rFonts w:ascii="Times New Roman" w:hAnsi="Times New Roman" w:cs="Times New Roman"/>
          <w:sz w:val="24"/>
          <w:szCs w:val="24"/>
        </w:rPr>
        <w:t>s</w:t>
      </w:r>
      <w:r w:rsidR="00392D93">
        <w:rPr>
          <w:rStyle w:val="Fodnotehenvisning"/>
          <w:rFonts w:ascii="Times New Roman" w:hAnsi="Times New Roman" w:cs="Times New Roman"/>
          <w:sz w:val="24"/>
          <w:szCs w:val="24"/>
        </w:rPr>
        <w:footnoteReference w:id="1"/>
      </w:r>
      <w:r w:rsidR="002A6E87">
        <w:rPr>
          <w:rFonts w:ascii="Times New Roman" w:hAnsi="Times New Roman" w:cs="Times New Roman"/>
          <w:sz w:val="24"/>
          <w:szCs w:val="24"/>
        </w:rPr>
        <w:t xml:space="preserve">.  </w:t>
      </w:r>
    </w:p>
    <w:p w14:paraId="26D4A910" w14:textId="5A6CA982" w:rsidR="00DB6AE3" w:rsidRDefault="00F933FF" w:rsidP="00C5737B">
      <w:pPr>
        <w:pStyle w:val="Listeafsnit"/>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14:paraId="0C457E62" w14:textId="15AFCCCD" w:rsidR="00F365BE" w:rsidRDefault="00F365BE" w:rsidP="00536D93">
      <w:pPr>
        <w:pStyle w:val="Listeafsnit"/>
        <w:numPr>
          <w:ilvl w:val="0"/>
          <w:numId w:val="1"/>
        </w:numPr>
        <w:spacing w:after="0"/>
        <w:jc w:val="both"/>
        <w:rPr>
          <w:rFonts w:ascii="Times New Roman" w:hAnsi="Times New Roman" w:cs="Times New Roman"/>
          <w:sz w:val="24"/>
          <w:szCs w:val="24"/>
        </w:rPr>
      </w:pPr>
      <w:r w:rsidRPr="0007352A">
        <w:rPr>
          <w:rFonts w:ascii="Times New Roman" w:hAnsi="Times New Roman" w:cs="Times New Roman"/>
          <w:sz w:val="24"/>
          <w:szCs w:val="24"/>
        </w:rPr>
        <w:t xml:space="preserve">Hvilke budgetmæssige konsekvenser får det for landskassen at opretholde en type lufthavnsservicekontrakt i Kangerlussuaq frem for et anden? </w:t>
      </w:r>
      <w:r w:rsidR="00064DB5">
        <w:rPr>
          <w:rFonts w:ascii="Times New Roman" w:hAnsi="Times New Roman" w:cs="Times New Roman"/>
          <w:sz w:val="24"/>
          <w:szCs w:val="24"/>
        </w:rPr>
        <w:t>Og hvorledes finansieres de</w:t>
      </w:r>
      <w:r w:rsidR="00915816">
        <w:rPr>
          <w:rFonts w:ascii="Times New Roman" w:hAnsi="Times New Roman" w:cs="Times New Roman"/>
          <w:sz w:val="24"/>
          <w:szCs w:val="24"/>
        </w:rPr>
        <w:t>nn</w:t>
      </w:r>
      <w:r w:rsidR="00064DB5">
        <w:rPr>
          <w:rFonts w:ascii="Times New Roman" w:hAnsi="Times New Roman" w:cs="Times New Roman"/>
          <w:sz w:val="24"/>
          <w:szCs w:val="24"/>
        </w:rPr>
        <w:t>e</w:t>
      </w:r>
      <w:r w:rsidR="001F791A">
        <w:rPr>
          <w:rFonts w:ascii="Times New Roman" w:hAnsi="Times New Roman" w:cs="Times New Roman"/>
          <w:sz w:val="24"/>
          <w:szCs w:val="24"/>
        </w:rPr>
        <w:t>?</w:t>
      </w:r>
      <w:r w:rsidRPr="0007352A">
        <w:rPr>
          <w:rFonts w:ascii="Times New Roman" w:hAnsi="Times New Roman" w:cs="Times New Roman"/>
          <w:sz w:val="24"/>
          <w:szCs w:val="24"/>
        </w:rPr>
        <w:t xml:space="preserve">  </w:t>
      </w:r>
    </w:p>
    <w:p w14:paraId="5FC46A9C" w14:textId="3F6C1F62" w:rsidR="00915816" w:rsidRDefault="00915816" w:rsidP="00B3516C">
      <w:pPr>
        <w:pStyle w:val="Listeafsnit"/>
        <w:spacing w:after="0"/>
        <w:jc w:val="both"/>
        <w:rPr>
          <w:rFonts w:ascii="Times New Roman" w:hAnsi="Times New Roman" w:cs="Times New Roman"/>
          <w:sz w:val="24"/>
          <w:szCs w:val="24"/>
        </w:rPr>
      </w:pPr>
    </w:p>
    <w:p w14:paraId="0FF79F55" w14:textId="74440127" w:rsidR="005B1E11" w:rsidRDefault="00915816" w:rsidP="00B3516C">
      <w:pPr>
        <w:pStyle w:val="Listeafsnit"/>
        <w:spacing w:after="0"/>
        <w:jc w:val="both"/>
        <w:rPr>
          <w:rFonts w:ascii="Times New Roman" w:hAnsi="Times New Roman" w:cs="Times New Roman"/>
          <w:sz w:val="24"/>
          <w:szCs w:val="24"/>
        </w:rPr>
      </w:pPr>
      <w:r>
        <w:rPr>
          <w:rFonts w:ascii="Times New Roman" w:hAnsi="Times New Roman" w:cs="Times New Roman"/>
          <w:sz w:val="24"/>
          <w:szCs w:val="24"/>
        </w:rPr>
        <w:t xml:space="preserve">Dette spørgsmål er naturligvis relevant som en ren budgetovervejelse i forhold til såvel finansloven som de kommunale budgetter. Spørgsmålet kan med fordel dog også analyses i et bredere perspektiv. Det kan </w:t>
      </w:r>
      <w:proofErr w:type="gramStart"/>
      <w:r w:rsidR="005B1E11">
        <w:rPr>
          <w:rFonts w:ascii="Times New Roman" w:hAnsi="Times New Roman" w:cs="Times New Roman"/>
          <w:sz w:val="24"/>
          <w:szCs w:val="24"/>
        </w:rPr>
        <w:t>eksempelvis</w:t>
      </w:r>
      <w:proofErr w:type="gramEnd"/>
      <w:r w:rsidR="005B1E11">
        <w:rPr>
          <w:rFonts w:ascii="Times New Roman" w:hAnsi="Times New Roman" w:cs="Times New Roman"/>
          <w:sz w:val="24"/>
          <w:szCs w:val="24"/>
        </w:rPr>
        <w:t xml:space="preserve"> </w:t>
      </w:r>
      <w:r>
        <w:rPr>
          <w:rFonts w:ascii="Times New Roman" w:hAnsi="Times New Roman" w:cs="Times New Roman"/>
          <w:sz w:val="24"/>
          <w:szCs w:val="24"/>
        </w:rPr>
        <w:t xml:space="preserve">være relevant at overveje betydningen af etableringen en mulig storskala vandkraft- og industriproduktion i Qeqqata Kommune og de hertil hørende behov for arbejdskraft. </w:t>
      </w:r>
      <w:r w:rsidR="005B1E11">
        <w:rPr>
          <w:rFonts w:ascii="Times New Roman" w:hAnsi="Times New Roman" w:cs="Times New Roman"/>
          <w:sz w:val="24"/>
          <w:szCs w:val="24"/>
        </w:rPr>
        <w:t xml:space="preserve">Ligeledes kan det være relevant at afdække de afledte effekter af en mulig øget fraflytning og regional tilbagegang i Qeqqata Kommune, </w:t>
      </w:r>
      <w:proofErr w:type="gramStart"/>
      <w:r w:rsidR="005B1E11">
        <w:rPr>
          <w:rFonts w:ascii="Times New Roman" w:hAnsi="Times New Roman" w:cs="Times New Roman"/>
          <w:sz w:val="24"/>
          <w:szCs w:val="24"/>
        </w:rPr>
        <w:t>såfremt</w:t>
      </w:r>
      <w:proofErr w:type="gramEnd"/>
      <w:r w:rsidR="005B1E11">
        <w:rPr>
          <w:rFonts w:ascii="Times New Roman" w:hAnsi="Times New Roman" w:cs="Times New Roman"/>
          <w:sz w:val="24"/>
          <w:szCs w:val="24"/>
        </w:rPr>
        <w:t xml:space="preserve"> regionen i forbindelse med ibrugtagningen af en ny lufthavnsstruktur </w:t>
      </w:r>
      <w:r w:rsidR="005F7AB3">
        <w:rPr>
          <w:rFonts w:ascii="Times New Roman" w:hAnsi="Times New Roman" w:cs="Times New Roman"/>
          <w:sz w:val="24"/>
          <w:szCs w:val="24"/>
        </w:rPr>
        <w:t xml:space="preserve">oplever en større økonomisk tilbagegang. </w:t>
      </w:r>
    </w:p>
    <w:p w14:paraId="198ED05E" w14:textId="77777777" w:rsidR="00F365BE" w:rsidRPr="0007352A" w:rsidRDefault="00F365BE" w:rsidP="00645198">
      <w:pPr>
        <w:spacing w:after="0"/>
        <w:jc w:val="both"/>
        <w:rPr>
          <w:rFonts w:ascii="Times New Roman" w:hAnsi="Times New Roman" w:cs="Times New Roman"/>
          <w:sz w:val="24"/>
          <w:szCs w:val="24"/>
        </w:rPr>
      </w:pPr>
    </w:p>
    <w:p w14:paraId="16DC7068" w14:textId="1132E8E4" w:rsidR="00F365BE" w:rsidRDefault="00F365BE" w:rsidP="00443BCF">
      <w:pPr>
        <w:pStyle w:val="Listeafsnit"/>
        <w:numPr>
          <w:ilvl w:val="0"/>
          <w:numId w:val="1"/>
        </w:numPr>
        <w:spacing w:after="0"/>
        <w:jc w:val="both"/>
        <w:rPr>
          <w:rFonts w:ascii="Times New Roman" w:hAnsi="Times New Roman" w:cs="Times New Roman"/>
          <w:sz w:val="24"/>
          <w:szCs w:val="24"/>
        </w:rPr>
      </w:pPr>
      <w:r w:rsidRPr="0007352A">
        <w:rPr>
          <w:rFonts w:ascii="Times New Roman" w:hAnsi="Times New Roman" w:cs="Times New Roman"/>
          <w:sz w:val="24"/>
          <w:szCs w:val="24"/>
        </w:rPr>
        <w:t xml:space="preserve">Hvilken grad af usikkerhed er acceptabel, </w:t>
      </w:r>
      <w:r w:rsidR="00D9774E" w:rsidRPr="0007352A">
        <w:rPr>
          <w:rFonts w:ascii="Times New Roman" w:hAnsi="Times New Roman" w:cs="Times New Roman"/>
          <w:sz w:val="24"/>
          <w:szCs w:val="24"/>
        </w:rPr>
        <w:t>f.eks.</w:t>
      </w:r>
      <w:r w:rsidRPr="0007352A">
        <w:rPr>
          <w:rFonts w:ascii="Times New Roman" w:hAnsi="Times New Roman" w:cs="Times New Roman"/>
          <w:sz w:val="24"/>
          <w:szCs w:val="24"/>
        </w:rPr>
        <w:t xml:space="preserve"> i forhold til den endnu ikke </w:t>
      </w:r>
      <w:r w:rsidR="00454CF5">
        <w:rPr>
          <w:rFonts w:ascii="Times New Roman" w:hAnsi="Times New Roman" w:cs="Times New Roman"/>
          <w:sz w:val="24"/>
          <w:szCs w:val="24"/>
        </w:rPr>
        <w:t>færdigforhan</w:t>
      </w:r>
      <w:r w:rsidR="001F791A">
        <w:rPr>
          <w:rFonts w:ascii="Times New Roman" w:hAnsi="Times New Roman" w:cs="Times New Roman"/>
          <w:sz w:val="24"/>
          <w:szCs w:val="24"/>
        </w:rPr>
        <w:t>d</w:t>
      </w:r>
      <w:r w:rsidR="00454CF5">
        <w:rPr>
          <w:rFonts w:ascii="Times New Roman" w:hAnsi="Times New Roman" w:cs="Times New Roman"/>
          <w:sz w:val="24"/>
          <w:szCs w:val="24"/>
        </w:rPr>
        <w:t xml:space="preserve">lede </w:t>
      </w:r>
      <w:r w:rsidRPr="0007352A">
        <w:rPr>
          <w:rFonts w:ascii="Times New Roman" w:hAnsi="Times New Roman" w:cs="Times New Roman"/>
          <w:sz w:val="24"/>
          <w:szCs w:val="24"/>
        </w:rPr>
        <w:t>aftale om præmisserne for det danske forsvars fortsatte militære brug af Kangerlussuaq lufthavn</w:t>
      </w:r>
      <w:r w:rsidR="00D9774E">
        <w:rPr>
          <w:rFonts w:ascii="Times New Roman" w:hAnsi="Times New Roman" w:cs="Times New Roman"/>
          <w:sz w:val="24"/>
          <w:szCs w:val="24"/>
        </w:rPr>
        <w:t>?</w:t>
      </w:r>
      <w:r w:rsidR="00454CF5">
        <w:rPr>
          <w:rFonts w:ascii="Times New Roman" w:hAnsi="Times New Roman" w:cs="Times New Roman"/>
          <w:sz w:val="24"/>
          <w:szCs w:val="24"/>
        </w:rPr>
        <w:t xml:space="preserve"> Hvad er de mulige udfaldsrum af d</w:t>
      </w:r>
      <w:r w:rsidR="00ED1CA6">
        <w:rPr>
          <w:rFonts w:ascii="Times New Roman" w:hAnsi="Times New Roman" w:cs="Times New Roman"/>
          <w:sz w:val="24"/>
          <w:szCs w:val="24"/>
        </w:rPr>
        <w:t>isse forhandlinger og hvilken indvirkning har d</w:t>
      </w:r>
      <w:r w:rsidR="009C2F50">
        <w:rPr>
          <w:rFonts w:ascii="Times New Roman" w:hAnsi="Times New Roman" w:cs="Times New Roman"/>
          <w:sz w:val="24"/>
          <w:szCs w:val="24"/>
        </w:rPr>
        <w:t>isse</w:t>
      </w:r>
      <w:r w:rsidR="00ED1CA6">
        <w:rPr>
          <w:rFonts w:ascii="Times New Roman" w:hAnsi="Times New Roman" w:cs="Times New Roman"/>
          <w:sz w:val="24"/>
          <w:szCs w:val="24"/>
        </w:rPr>
        <w:t xml:space="preserve"> </w:t>
      </w:r>
      <w:r w:rsidR="009C2F50">
        <w:rPr>
          <w:rFonts w:ascii="Times New Roman" w:hAnsi="Times New Roman" w:cs="Times New Roman"/>
          <w:sz w:val="24"/>
          <w:szCs w:val="24"/>
        </w:rPr>
        <w:t xml:space="preserve">på </w:t>
      </w:r>
      <w:r w:rsidR="00ED1CA6">
        <w:rPr>
          <w:rFonts w:ascii="Times New Roman" w:hAnsi="Times New Roman" w:cs="Times New Roman"/>
          <w:sz w:val="24"/>
          <w:szCs w:val="24"/>
        </w:rPr>
        <w:t>pt. uafklarede usikkerhed</w:t>
      </w:r>
      <w:r w:rsidR="009C2F50">
        <w:rPr>
          <w:rFonts w:ascii="Times New Roman" w:hAnsi="Times New Roman" w:cs="Times New Roman"/>
          <w:sz w:val="24"/>
          <w:szCs w:val="24"/>
        </w:rPr>
        <w:t>er</w:t>
      </w:r>
      <w:r w:rsidR="00ED1CA6">
        <w:rPr>
          <w:rFonts w:ascii="Times New Roman" w:hAnsi="Times New Roman" w:cs="Times New Roman"/>
          <w:sz w:val="24"/>
          <w:szCs w:val="24"/>
        </w:rPr>
        <w:t xml:space="preserve"> på en samfundsøkonomisk konsekvensanalyse </w:t>
      </w:r>
      <w:r w:rsidR="00BA45E4">
        <w:rPr>
          <w:rFonts w:ascii="Times New Roman" w:hAnsi="Times New Roman" w:cs="Times New Roman"/>
          <w:sz w:val="24"/>
          <w:szCs w:val="24"/>
        </w:rPr>
        <w:t>rettet mod</w:t>
      </w:r>
      <w:r w:rsidR="00ED1CA6">
        <w:rPr>
          <w:rFonts w:ascii="Times New Roman" w:hAnsi="Times New Roman" w:cs="Times New Roman"/>
          <w:sz w:val="24"/>
          <w:szCs w:val="24"/>
        </w:rPr>
        <w:t xml:space="preserve"> henholdsvis vej</w:t>
      </w:r>
      <w:r w:rsidR="00167443">
        <w:rPr>
          <w:rFonts w:ascii="Times New Roman" w:hAnsi="Times New Roman" w:cs="Times New Roman"/>
          <w:sz w:val="24"/>
          <w:szCs w:val="24"/>
        </w:rPr>
        <w:t>-</w:t>
      </w:r>
      <w:r w:rsidR="00ED1CA6">
        <w:rPr>
          <w:rFonts w:ascii="Times New Roman" w:hAnsi="Times New Roman" w:cs="Times New Roman"/>
          <w:sz w:val="24"/>
          <w:szCs w:val="24"/>
        </w:rPr>
        <w:t xml:space="preserve"> og havne</w:t>
      </w:r>
      <w:r w:rsidR="00167443">
        <w:rPr>
          <w:rFonts w:ascii="Times New Roman" w:hAnsi="Times New Roman" w:cs="Times New Roman"/>
          <w:sz w:val="24"/>
          <w:szCs w:val="24"/>
        </w:rPr>
        <w:t>-</w:t>
      </w:r>
      <w:r w:rsidR="00ED1CA6">
        <w:rPr>
          <w:rFonts w:ascii="Times New Roman" w:hAnsi="Times New Roman" w:cs="Times New Roman"/>
          <w:sz w:val="24"/>
          <w:szCs w:val="24"/>
        </w:rPr>
        <w:t xml:space="preserve">overvejelserne? </w:t>
      </w:r>
      <w:r w:rsidR="004F774C">
        <w:rPr>
          <w:rFonts w:ascii="Times New Roman" w:hAnsi="Times New Roman" w:cs="Times New Roman"/>
          <w:sz w:val="24"/>
          <w:szCs w:val="24"/>
        </w:rPr>
        <w:t>Og hvilken betydning har denne usikkerhed i fh.t. private investorers investeringsbeslutninger og mulighed for at rejse fremmedfinansiering?</w:t>
      </w:r>
      <w:r w:rsidR="00ED1CA6">
        <w:rPr>
          <w:rFonts w:ascii="Times New Roman" w:hAnsi="Times New Roman" w:cs="Times New Roman"/>
          <w:sz w:val="24"/>
          <w:szCs w:val="24"/>
        </w:rPr>
        <w:t xml:space="preserve">   </w:t>
      </w:r>
    </w:p>
    <w:p w14:paraId="21D0F97C" w14:textId="6E729C01" w:rsidR="00F365BE" w:rsidRPr="0007352A" w:rsidRDefault="00F365BE" w:rsidP="00645198">
      <w:pPr>
        <w:pStyle w:val="Listeafsnit"/>
        <w:spacing w:after="0"/>
        <w:jc w:val="both"/>
        <w:rPr>
          <w:rFonts w:ascii="Times New Roman" w:hAnsi="Times New Roman" w:cs="Times New Roman"/>
          <w:sz w:val="24"/>
          <w:szCs w:val="24"/>
        </w:rPr>
      </w:pPr>
    </w:p>
    <w:p w14:paraId="37FF395E" w14:textId="5E8A8D1E" w:rsidR="00F365BE" w:rsidRPr="00374A39" w:rsidRDefault="00F365BE" w:rsidP="0049553D">
      <w:pPr>
        <w:pStyle w:val="Listeafsnit"/>
        <w:numPr>
          <w:ilvl w:val="0"/>
          <w:numId w:val="1"/>
        </w:numPr>
        <w:spacing w:after="0"/>
        <w:jc w:val="both"/>
        <w:rPr>
          <w:rFonts w:ascii="Times New Roman" w:hAnsi="Times New Roman" w:cs="Times New Roman"/>
          <w:sz w:val="24"/>
          <w:szCs w:val="24"/>
        </w:rPr>
      </w:pPr>
      <w:r w:rsidRPr="00374A39">
        <w:rPr>
          <w:rFonts w:ascii="Times New Roman" w:hAnsi="Times New Roman" w:cs="Times New Roman"/>
          <w:sz w:val="24"/>
          <w:szCs w:val="24"/>
        </w:rPr>
        <w:t xml:space="preserve">En forudsætningsantagelse på investeringssiden </w:t>
      </w:r>
      <w:r w:rsidR="000F41BF" w:rsidRPr="00374A39">
        <w:rPr>
          <w:rFonts w:ascii="Times New Roman" w:hAnsi="Times New Roman" w:cs="Times New Roman"/>
          <w:sz w:val="24"/>
          <w:szCs w:val="24"/>
        </w:rPr>
        <w:t xml:space="preserve">vil </w:t>
      </w:r>
      <w:r w:rsidRPr="00374A39">
        <w:rPr>
          <w:rFonts w:ascii="Times New Roman" w:hAnsi="Times New Roman" w:cs="Times New Roman"/>
          <w:sz w:val="24"/>
          <w:szCs w:val="24"/>
        </w:rPr>
        <w:t>give</w:t>
      </w:r>
      <w:r w:rsidR="00ED1CA6" w:rsidRPr="00374A39">
        <w:rPr>
          <w:rFonts w:ascii="Times New Roman" w:hAnsi="Times New Roman" w:cs="Times New Roman"/>
          <w:sz w:val="24"/>
          <w:szCs w:val="24"/>
        </w:rPr>
        <w:t>t</w:t>
      </w:r>
      <w:r w:rsidRPr="00374A39">
        <w:rPr>
          <w:rFonts w:ascii="Times New Roman" w:hAnsi="Times New Roman" w:cs="Times New Roman"/>
          <w:sz w:val="24"/>
          <w:szCs w:val="24"/>
        </w:rPr>
        <w:t xml:space="preserve"> </w:t>
      </w:r>
      <w:r w:rsidR="00ED1CA6" w:rsidRPr="00374A39">
        <w:rPr>
          <w:rFonts w:ascii="Times New Roman" w:hAnsi="Times New Roman" w:cs="Times New Roman"/>
          <w:sz w:val="24"/>
          <w:szCs w:val="24"/>
        </w:rPr>
        <w:t>skulle</w:t>
      </w:r>
      <w:r w:rsidR="00167443">
        <w:rPr>
          <w:rFonts w:ascii="Times New Roman" w:hAnsi="Times New Roman" w:cs="Times New Roman"/>
          <w:sz w:val="24"/>
          <w:szCs w:val="24"/>
        </w:rPr>
        <w:t xml:space="preserve"> ske ud fra oplagte scenarier.</w:t>
      </w:r>
      <w:r w:rsidR="000F41BF" w:rsidRPr="00374A39">
        <w:rPr>
          <w:rFonts w:ascii="Times New Roman" w:hAnsi="Times New Roman" w:cs="Times New Roman"/>
          <w:sz w:val="24"/>
          <w:szCs w:val="24"/>
        </w:rPr>
        <w:t xml:space="preserve"> </w:t>
      </w:r>
      <w:r w:rsidR="00167443">
        <w:rPr>
          <w:rFonts w:ascii="Times New Roman" w:hAnsi="Times New Roman" w:cs="Times New Roman"/>
          <w:sz w:val="24"/>
          <w:szCs w:val="24"/>
        </w:rPr>
        <w:t>M</w:t>
      </w:r>
      <w:r w:rsidR="000F41BF" w:rsidRPr="00374A39">
        <w:rPr>
          <w:rFonts w:ascii="Times New Roman" w:hAnsi="Times New Roman" w:cs="Times New Roman"/>
          <w:sz w:val="24"/>
          <w:szCs w:val="24"/>
        </w:rPr>
        <w:t>est oplagt</w:t>
      </w:r>
      <w:r w:rsidR="00163E04" w:rsidRPr="00374A39">
        <w:rPr>
          <w:rFonts w:ascii="Times New Roman" w:hAnsi="Times New Roman" w:cs="Times New Roman"/>
          <w:sz w:val="24"/>
          <w:szCs w:val="24"/>
        </w:rPr>
        <w:t xml:space="preserve"> fremstår</w:t>
      </w:r>
      <w:r w:rsidR="000F41BF" w:rsidRPr="00374A39">
        <w:rPr>
          <w:rFonts w:ascii="Times New Roman" w:hAnsi="Times New Roman" w:cs="Times New Roman"/>
          <w:sz w:val="24"/>
          <w:szCs w:val="24"/>
        </w:rPr>
        <w:t xml:space="preserve"> </w:t>
      </w:r>
      <w:r w:rsidRPr="00374A39">
        <w:rPr>
          <w:rFonts w:ascii="Times New Roman" w:hAnsi="Times New Roman" w:cs="Times New Roman"/>
          <w:sz w:val="24"/>
          <w:szCs w:val="24"/>
        </w:rPr>
        <w:t xml:space="preserve">en 799 meter civil regional </w:t>
      </w:r>
      <w:r w:rsidR="000F41BF" w:rsidRPr="00374A39">
        <w:rPr>
          <w:rFonts w:ascii="Times New Roman" w:hAnsi="Times New Roman" w:cs="Times New Roman"/>
          <w:sz w:val="24"/>
          <w:szCs w:val="24"/>
        </w:rPr>
        <w:t>beflyvning</w:t>
      </w:r>
      <w:r w:rsidR="00163E04" w:rsidRPr="00374A39">
        <w:rPr>
          <w:rFonts w:ascii="Times New Roman" w:hAnsi="Times New Roman" w:cs="Times New Roman"/>
          <w:sz w:val="24"/>
          <w:szCs w:val="24"/>
        </w:rPr>
        <w:t>,</w:t>
      </w:r>
      <w:r w:rsidR="000F41BF" w:rsidRPr="00374A39">
        <w:rPr>
          <w:rFonts w:ascii="Times New Roman" w:hAnsi="Times New Roman" w:cs="Times New Roman"/>
          <w:sz w:val="24"/>
          <w:szCs w:val="24"/>
        </w:rPr>
        <w:t xml:space="preserve"> henholdsvis </w:t>
      </w:r>
      <w:r w:rsidRPr="00374A39">
        <w:rPr>
          <w:rFonts w:ascii="Times New Roman" w:hAnsi="Times New Roman" w:cs="Times New Roman"/>
          <w:sz w:val="24"/>
          <w:szCs w:val="24"/>
        </w:rPr>
        <w:t>en 2500 meter</w:t>
      </w:r>
      <w:r w:rsidR="009C2F50" w:rsidRPr="00374A39">
        <w:rPr>
          <w:rFonts w:ascii="Times New Roman" w:hAnsi="Times New Roman" w:cs="Times New Roman"/>
          <w:sz w:val="24"/>
          <w:szCs w:val="24"/>
        </w:rPr>
        <w:t xml:space="preserve"> </w:t>
      </w:r>
      <w:r w:rsidRPr="00374A39">
        <w:rPr>
          <w:rFonts w:ascii="Times New Roman" w:hAnsi="Times New Roman" w:cs="Times New Roman"/>
          <w:sz w:val="24"/>
          <w:szCs w:val="24"/>
        </w:rPr>
        <w:t>atlantbeflyvning</w:t>
      </w:r>
      <w:r w:rsidR="000F41BF" w:rsidRPr="00374A39">
        <w:rPr>
          <w:rFonts w:ascii="Times New Roman" w:hAnsi="Times New Roman" w:cs="Times New Roman"/>
          <w:sz w:val="24"/>
          <w:szCs w:val="24"/>
        </w:rPr>
        <w:t xml:space="preserve"> – med og uden rutetrafik</w:t>
      </w:r>
      <w:r w:rsidR="004F4918" w:rsidRPr="00374A39">
        <w:rPr>
          <w:rFonts w:ascii="Times New Roman" w:hAnsi="Times New Roman" w:cs="Times New Roman"/>
          <w:sz w:val="24"/>
          <w:szCs w:val="24"/>
        </w:rPr>
        <w:t>–</w:t>
      </w:r>
      <w:r w:rsidR="004F4918">
        <w:rPr>
          <w:rFonts w:ascii="Times New Roman" w:hAnsi="Times New Roman" w:cs="Times New Roman"/>
          <w:sz w:val="24"/>
          <w:szCs w:val="24"/>
        </w:rPr>
        <w:t xml:space="preserve"> baseret på forsvarets opretholdelse af landingsbanen og tilhørende for forsvaret nødvendige faciliteter</w:t>
      </w:r>
      <w:r w:rsidRPr="00374A39">
        <w:rPr>
          <w:rFonts w:ascii="Times New Roman" w:hAnsi="Times New Roman" w:cs="Times New Roman"/>
          <w:sz w:val="24"/>
          <w:szCs w:val="24"/>
        </w:rPr>
        <w:t>.</w:t>
      </w:r>
      <w:r w:rsidR="00163E04" w:rsidRPr="00374A39">
        <w:rPr>
          <w:rFonts w:ascii="Times New Roman" w:hAnsi="Times New Roman" w:cs="Times New Roman"/>
          <w:sz w:val="24"/>
          <w:szCs w:val="24"/>
        </w:rPr>
        <w:t xml:space="preserve"> Uden fortsat </w:t>
      </w:r>
      <w:r w:rsidR="00BA45E4" w:rsidRPr="00374A39">
        <w:rPr>
          <w:rFonts w:ascii="Times New Roman" w:hAnsi="Times New Roman" w:cs="Times New Roman"/>
          <w:sz w:val="24"/>
          <w:szCs w:val="24"/>
        </w:rPr>
        <w:t xml:space="preserve">langtidssikret </w:t>
      </w:r>
      <w:r w:rsidR="00163E04" w:rsidRPr="00374A39">
        <w:rPr>
          <w:rFonts w:ascii="Times New Roman" w:hAnsi="Times New Roman" w:cs="Times New Roman"/>
          <w:sz w:val="24"/>
          <w:szCs w:val="24"/>
        </w:rPr>
        <w:t xml:space="preserve">atlantbeflyvning vil </w:t>
      </w:r>
      <w:r w:rsidR="005F7AB3">
        <w:rPr>
          <w:rFonts w:ascii="Times New Roman" w:hAnsi="Times New Roman" w:cs="Times New Roman"/>
          <w:sz w:val="24"/>
          <w:szCs w:val="24"/>
        </w:rPr>
        <w:t xml:space="preserve">det rent økonomiske </w:t>
      </w:r>
      <w:r w:rsidR="00BA45E4" w:rsidRPr="00374A39">
        <w:rPr>
          <w:rFonts w:ascii="Times New Roman" w:hAnsi="Times New Roman" w:cs="Times New Roman"/>
          <w:sz w:val="24"/>
          <w:szCs w:val="24"/>
        </w:rPr>
        <w:t>rationale</w:t>
      </w:r>
      <w:r w:rsidR="00163E04" w:rsidRPr="00374A39">
        <w:rPr>
          <w:rFonts w:ascii="Times New Roman" w:hAnsi="Times New Roman" w:cs="Times New Roman"/>
          <w:sz w:val="24"/>
          <w:szCs w:val="24"/>
        </w:rPr>
        <w:t xml:space="preserve"> for</w:t>
      </w:r>
      <w:r w:rsidR="00BA45E4" w:rsidRPr="00374A39">
        <w:rPr>
          <w:rFonts w:ascii="Times New Roman" w:hAnsi="Times New Roman" w:cs="Times New Roman"/>
          <w:sz w:val="24"/>
          <w:szCs w:val="24"/>
        </w:rPr>
        <w:t xml:space="preserve"> investering i</w:t>
      </w:r>
      <w:r w:rsidR="00163E04" w:rsidRPr="00374A39">
        <w:rPr>
          <w:rFonts w:ascii="Times New Roman" w:hAnsi="Times New Roman" w:cs="Times New Roman"/>
          <w:sz w:val="24"/>
          <w:szCs w:val="24"/>
        </w:rPr>
        <w:t xml:space="preserve"> såvel </w:t>
      </w:r>
      <w:r w:rsidR="00163E04" w:rsidRPr="00374A39">
        <w:rPr>
          <w:rFonts w:ascii="Times New Roman" w:hAnsi="Times New Roman" w:cs="Times New Roman"/>
          <w:sz w:val="24"/>
          <w:szCs w:val="24"/>
        </w:rPr>
        <w:lastRenderedPageBreak/>
        <w:t>en vejføring mellem Sisimiut o</w:t>
      </w:r>
      <w:r w:rsidR="00BA45E4" w:rsidRPr="00374A39">
        <w:rPr>
          <w:rFonts w:ascii="Times New Roman" w:hAnsi="Times New Roman" w:cs="Times New Roman"/>
          <w:sz w:val="24"/>
          <w:szCs w:val="24"/>
        </w:rPr>
        <w:t>g</w:t>
      </w:r>
      <w:r w:rsidR="00163E04" w:rsidRPr="00374A39">
        <w:rPr>
          <w:rFonts w:ascii="Times New Roman" w:hAnsi="Times New Roman" w:cs="Times New Roman"/>
          <w:sz w:val="24"/>
          <w:szCs w:val="24"/>
        </w:rPr>
        <w:t xml:space="preserve"> Kangerlussuaq</w:t>
      </w:r>
      <w:r w:rsidR="00BA45E4" w:rsidRPr="00374A39">
        <w:rPr>
          <w:rFonts w:ascii="Times New Roman" w:hAnsi="Times New Roman" w:cs="Times New Roman"/>
          <w:sz w:val="24"/>
          <w:szCs w:val="24"/>
        </w:rPr>
        <w:t>, som</w:t>
      </w:r>
      <w:r w:rsidR="00402325" w:rsidRPr="00374A39">
        <w:rPr>
          <w:rFonts w:ascii="Times New Roman" w:hAnsi="Times New Roman" w:cs="Times New Roman"/>
          <w:sz w:val="24"/>
          <w:szCs w:val="24"/>
        </w:rPr>
        <w:t xml:space="preserve"> i</w:t>
      </w:r>
      <w:r w:rsidR="00163E04" w:rsidRPr="00374A39">
        <w:rPr>
          <w:rFonts w:ascii="Times New Roman" w:hAnsi="Times New Roman" w:cs="Times New Roman"/>
          <w:sz w:val="24"/>
          <w:szCs w:val="24"/>
        </w:rPr>
        <w:t xml:space="preserve"> en opgraderet havnefacilitet i Kangerlussuaq</w:t>
      </w:r>
      <w:r w:rsidR="00BA45E4" w:rsidRPr="00374A39">
        <w:rPr>
          <w:rFonts w:ascii="Times New Roman" w:hAnsi="Times New Roman" w:cs="Times New Roman"/>
          <w:sz w:val="24"/>
          <w:szCs w:val="24"/>
        </w:rPr>
        <w:t xml:space="preserve"> svække</w:t>
      </w:r>
      <w:r w:rsidR="005F7AB3">
        <w:rPr>
          <w:rFonts w:ascii="Times New Roman" w:hAnsi="Times New Roman" w:cs="Times New Roman"/>
          <w:sz w:val="24"/>
          <w:szCs w:val="24"/>
        </w:rPr>
        <w:t>s</w:t>
      </w:r>
      <w:r w:rsidR="00BA45E4" w:rsidRPr="00374A39">
        <w:rPr>
          <w:rFonts w:ascii="Times New Roman" w:hAnsi="Times New Roman" w:cs="Times New Roman"/>
          <w:sz w:val="24"/>
          <w:szCs w:val="24"/>
        </w:rPr>
        <w:t>.</w:t>
      </w:r>
      <w:r w:rsidR="00163E04" w:rsidRPr="00374A39">
        <w:rPr>
          <w:rFonts w:ascii="Times New Roman" w:hAnsi="Times New Roman" w:cs="Times New Roman"/>
          <w:sz w:val="24"/>
          <w:szCs w:val="24"/>
        </w:rPr>
        <w:t xml:space="preserve"> </w:t>
      </w:r>
    </w:p>
    <w:p w14:paraId="2F8830DB" w14:textId="77777777" w:rsidR="00C834EA" w:rsidRPr="0007352A" w:rsidRDefault="00C834EA" w:rsidP="00645198">
      <w:pPr>
        <w:pStyle w:val="Listeafsnit"/>
        <w:jc w:val="both"/>
        <w:rPr>
          <w:rFonts w:ascii="Times New Roman" w:hAnsi="Times New Roman" w:cs="Times New Roman"/>
          <w:sz w:val="24"/>
          <w:szCs w:val="24"/>
        </w:rPr>
      </w:pPr>
    </w:p>
    <w:p w14:paraId="55489A7F" w14:textId="1C4228E3" w:rsidR="00F365BE" w:rsidRPr="0007352A" w:rsidRDefault="00F365BE" w:rsidP="00645198">
      <w:pPr>
        <w:pStyle w:val="Listeafsnit"/>
        <w:numPr>
          <w:ilvl w:val="0"/>
          <w:numId w:val="1"/>
        </w:numPr>
        <w:spacing w:after="0"/>
        <w:jc w:val="both"/>
        <w:rPr>
          <w:rFonts w:ascii="Times New Roman" w:hAnsi="Times New Roman" w:cs="Times New Roman"/>
          <w:sz w:val="24"/>
          <w:szCs w:val="24"/>
        </w:rPr>
      </w:pPr>
      <w:r w:rsidRPr="0007352A">
        <w:rPr>
          <w:rFonts w:ascii="Times New Roman" w:hAnsi="Times New Roman" w:cs="Times New Roman"/>
          <w:sz w:val="24"/>
          <w:szCs w:val="24"/>
        </w:rPr>
        <w:t xml:space="preserve">Der bør etableres en klar formulering af hvorledes </w:t>
      </w:r>
      <w:r w:rsidR="00106081">
        <w:rPr>
          <w:rFonts w:ascii="Times New Roman" w:hAnsi="Times New Roman" w:cs="Times New Roman"/>
          <w:sz w:val="24"/>
          <w:szCs w:val="24"/>
        </w:rPr>
        <w:t>risici</w:t>
      </w:r>
      <w:r w:rsidRPr="0007352A">
        <w:rPr>
          <w:rFonts w:ascii="Times New Roman" w:hAnsi="Times New Roman" w:cs="Times New Roman"/>
          <w:sz w:val="24"/>
          <w:szCs w:val="24"/>
        </w:rPr>
        <w:t xml:space="preserve">, som opstår i forbindelse </w:t>
      </w:r>
      <w:r w:rsidR="00167443">
        <w:rPr>
          <w:rFonts w:ascii="Times New Roman" w:hAnsi="Times New Roman" w:cs="Times New Roman"/>
          <w:sz w:val="24"/>
          <w:szCs w:val="24"/>
        </w:rPr>
        <w:t xml:space="preserve">med </w:t>
      </w:r>
      <w:r w:rsidRPr="0007352A">
        <w:rPr>
          <w:rFonts w:ascii="Times New Roman" w:hAnsi="Times New Roman" w:cs="Times New Roman"/>
          <w:sz w:val="24"/>
          <w:szCs w:val="24"/>
        </w:rPr>
        <w:t xml:space="preserve">forskellige projektscenarier, forestilles delt mellem selvstyret, kommune og aktører fra det private erhvervsliv.  </w:t>
      </w:r>
    </w:p>
    <w:p w14:paraId="66BA48C1" w14:textId="77777777" w:rsidR="00EF2EF5" w:rsidRPr="00323843" w:rsidRDefault="00EF2EF5" w:rsidP="00437A5A">
      <w:pPr>
        <w:pStyle w:val="Listeafsnit"/>
        <w:spacing w:after="0"/>
        <w:jc w:val="both"/>
        <w:rPr>
          <w:rFonts w:ascii="Times New Roman" w:hAnsi="Times New Roman" w:cs="Times New Roman"/>
          <w:sz w:val="24"/>
          <w:szCs w:val="24"/>
        </w:rPr>
      </w:pPr>
    </w:p>
    <w:p w14:paraId="5FA15359" w14:textId="1B095E2F" w:rsidR="004B4F28" w:rsidRDefault="00F365BE" w:rsidP="00645198">
      <w:pPr>
        <w:jc w:val="both"/>
        <w:rPr>
          <w:rFonts w:ascii="Times New Roman" w:eastAsia="Times New Roman" w:hAnsi="Times New Roman" w:cs="Times New Roman"/>
          <w:color w:val="000000"/>
          <w:sz w:val="24"/>
          <w:szCs w:val="24"/>
          <w:lang w:eastAsia="da-DK"/>
        </w:rPr>
      </w:pPr>
      <w:r w:rsidRPr="0007352A">
        <w:rPr>
          <w:rFonts w:ascii="Times New Roman" w:eastAsia="Times New Roman" w:hAnsi="Times New Roman" w:cs="Times New Roman"/>
          <w:color w:val="000000"/>
          <w:sz w:val="24"/>
          <w:szCs w:val="24"/>
          <w:lang w:eastAsia="da-DK"/>
        </w:rPr>
        <w:t>Departement for Finanser og Ligestilling</w:t>
      </w:r>
      <w:r w:rsidR="00AB6BC8" w:rsidRPr="0007352A">
        <w:rPr>
          <w:rFonts w:ascii="Times New Roman" w:eastAsia="Times New Roman" w:hAnsi="Times New Roman" w:cs="Times New Roman"/>
          <w:color w:val="000000"/>
          <w:sz w:val="24"/>
          <w:szCs w:val="24"/>
          <w:lang w:eastAsia="da-DK"/>
        </w:rPr>
        <w:t xml:space="preserve"> har i løbet af 2022</w:t>
      </w:r>
      <w:r w:rsidRPr="0007352A">
        <w:rPr>
          <w:rFonts w:ascii="Times New Roman" w:eastAsia="Times New Roman" w:hAnsi="Times New Roman" w:cs="Times New Roman"/>
          <w:color w:val="000000"/>
          <w:sz w:val="24"/>
          <w:szCs w:val="24"/>
          <w:lang w:eastAsia="da-DK"/>
        </w:rPr>
        <w:t xml:space="preserve"> afholdt </w:t>
      </w:r>
      <w:r w:rsidR="00AB6BC8" w:rsidRPr="0007352A">
        <w:rPr>
          <w:rFonts w:ascii="Times New Roman" w:eastAsia="Times New Roman" w:hAnsi="Times New Roman" w:cs="Times New Roman"/>
          <w:color w:val="000000"/>
          <w:sz w:val="24"/>
          <w:szCs w:val="24"/>
          <w:lang w:eastAsia="da-DK"/>
        </w:rPr>
        <w:t>flere</w:t>
      </w:r>
      <w:r w:rsidRPr="0007352A">
        <w:rPr>
          <w:rFonts w:ascii="Times New Roman" w:eastAsia="Times New Roman" w:hAnsi="Times New Roman" w:cs="Times New Roman"/>
          <w:color w:val="000000"/>
          <w:sz w:val="24"/>
          <w:szCs w:val="24"/>
          <w:lang w:eastAsia="da-DK"/>
        </w:rPr>
        <w:t xml:space="preserve"> møde</w:t>
      </w:r>
      <w:r w:rsidR="00AB6BC8" w:rsidRPr="0007352A">
        <w:rPr>
          <w:rFonts w:ascii="Times New Roman" w:eastAsia="Times New Roman" w:hAnsi="Times New Roman" w:cs="Times New Roman"/>
          <w:color w:val="000000"/>
          <w:sz w:val="24"/>
          <w:szCs w:val="24"/>
          <w:lang w:eastAsia="da-DK"/>
        </w:rPr>
        <w:t>r</w:t>
      </w:r>
      <w:r w:rsidRPr="0007352A">
        <w:rPr>
          <w:rFonts w:ascii="Times New Roman" w:eastAsia="Times New Roman" w:hAnsi="Times New Roman" w:cs="Times New Roman"/>
          <w:color w:val="000000"/>
          <w:sz w:val="24"/>
          <w:szCs w:val="24"/>
          <w:lang w:eastAsia="da-DK"/>
        </w:rPr>
        <w:t xml:space="preserve"> med</w:t>
      </w:r>
      <w:r w:rsidR="00AB6BC8" w:rsidRPr="0007352A">
        <w:rPr>
          <w:rFonts w:ascii="Times New Roman" w:eastAsia="Times New Roman" w:hAnsi="Times New Roman" w:cs="Times New Roman"/>
          <w:color w:val="000000"/>
          <w:sz w:val="24"/>
          <w:szCs w:val="24"/>
          <w:lang w:eastAsia="da-DK"/>
        </w:rPr>
        <w:t xml:space="preserve"> Departement for Bolig og Infrastruktur.</w:t>
      </w:r>
      <w:r w:rsidRPr="0007352A">
        <w:rPr>
          <w:rFonts w:ascii="Times New Roman" w:eastAsia="Times New Roman" w:hAnsi="Times New Roman" w:cs="Times New Roman"/>
          <w:color w:val="000000"/>
          <w:sz w:val="24"/>
          <w:szCs w:val="24"/>
          <w:lang w:eastAsia="da-DK"/>
        </w:rPr>
        <w:t xml:space="preserve"> </w:t>
      </w:r>
      <w:r w:rsidR="00AB6BC8" w:rsidRPr="0007352A">
        <w:rPr>
          <w:rFonts w:ascii="Times New Roman" w:eastAsia="Times New Roman" w:hAnsi="Times New Roman" w:cs="Times New Roman"/>
          <w:color w:val="000000"/>
          <w:sz w:val="24"/>
          <w:szCs w:val="24"/>
          <w:lang w:eastAsia="da-DK"/>
        </w:rPr>
        <w:t>Disse møder har</w:t>
      </w:r>
      <w:r w:rsidRPr="0007352A">
        <w:rPr>
          <w:rFonts w:ascii="Times New Roman" w:eastAsia="Times New Roman" w:hAnsi="Times New Roman" w:cs="Times New Roman"/>
          <w:color w:val="000000"/>
          <w:sz w:val="24"/>
          <w:szCs w:val="24"/>
          <w:lang w:eastAsia="da-DK"/>
        </w:rPr>
        <w:t xml:space="preserve"> </w:t>
      </w:r>
      <w:r w:rsidR="00402325">
        <w:rPr>
          <w:rFonts w:ascii="Times New Roman" w:eastAsia="Times New Roman" w:hAnsi="Times New Roman" w:cs="Times New Roman"/>
          <w:color w:val="000000"/>
          <w:sz w:val="24"/>
          <w:szCs w:val="24"/>
          <w:lang w:eastAsia="da-DK"/>
        </w:rPr>
        <w:t>stadfæstet</w:t>
      </w:r>
      <w:r w:rsidR="00E218AC">
        <w:rPr>
          <w:rFonts w:ascii="Times New Roman" w:eastAsia="Times New Roman" w:hAnsi="Times New Roman" w:cs="Times New Roman"/>
          <w:color w:val="000000"/>
          <w:sz w:val="24"/>
          <w:szCs w:val="24"/>
          <w:lang w:eastAsia="da-DK"/>
        </w:rPr>
        <w:t xml:space="preserve"> </w:t>
      </w:r>
      <w:r w:rsidR="00402325">
        <w:rPr>
          <w:rFonts w:ascii="Times New Roman" w:eastAsia="Times New Roman" w:hAnsi="Times New Roman" w:cs="Times New Roman"/>
          <w:color w:val="000000"/>
          <w:sz w:val="24"/>
          <w:szCs w:val="24"/>
          <w:lang w:eastAsia="da-DK"/>
        </w:rPr>
        <w:t>en</w:t>
      </w:r>
      <w:r w:rsidR="00BA45E4">
        <w:rPr>
          <w:rFonts w:ascii="Times New Roman" w:eastAsia="Times New Roman" w:hAnsi="Times New Roman" w:cs="Times New Roman"/>
          <w:color w:val="000000"/>
          <w:sz w:val="24"/>
          <w:szCs w:val="24"/>
          <w:lang w:eastAsia="da-DK"/>
        </w:rPr>
        <w:t xml:space="preserve"> </w:t>
      </w:r>
      <w:r w:rsidR="006C0D2F">
        <w:rPr>
          <w:rFonts w:ascii="Times New Roman" w:eastAsia="Times New Roman" w:hAnsi="Times New Roman" w:cs="Times New Roman"/>
          <w:color w:val="000000"/>
          <w:sz w:val="24"/>
          <w:szCs w:val="24"/>
          <w:lang w:eastAsia="da-DK"/>
        </w:rPr>
        <w:t xml:space="preserve">delt </w:t>
      </w:r>
      <w:r w:rsidR="001C2650" w:rsidRPr="0007352A">
        <w:rPr>
          <w:rFonts w:ascii="Times New Roman" w:eastAsia="Times New Roman" w:hAnsi="Times New Roman" w:cs="Times New Roman"/>
          <w:color w:val="000000"/>
          <w:sz w:val="24"/>
          <w:szCs w:val="24"/>
          <w:lang w:eastAsia="da-DK"/>
        </w:rPr>
        <w:t>erkend</w:t>
      </w:r>
      <w:r w:rsidR="004B4F28" w:rsidRPr="0007352A">
        <w:rPr>
          <w:rFonts w:ascii="Times New Roman" w:eastAsia="Times New Roman" w:hAnsi="Times New Roman" w:cs="Times New Roman"/>
          <w:color w:val="000000"/>
          <w:sz w:val="24"/>
          <w:szCs w:val="24"/>
          <w:lang w:eastAsia="da-DK"/>
        </w:rPr>
        <w:t>els</w:t>
      </w:r>
      <w:r w:rsidR="006C0D2F">
        <w:rPr>
          <w:rFonts w:ascii="Times New Roman" w:eastAsia="Times New Roman" w:hAnsi="Times New Roman" w:cs="Times New Roman"/>
          <w:color w:val="000000"/>
          <w:sz w:val="24"/>
          <w:szCs w:val="24"/>
          <w:lang w:eastAsia="da-DK"/>
        </w:rPr>
        <w:t xml:space="preserve">e </w:t>
      </w:r>
      <w:r w:rsidR="004B4F28" w:rsidRPr="0007352A">
        <w:rPr>
          <w:rFonts w:ascii="Times New Roman" w:eastAsia="Times New Roman" w:hAnsi="Times New Roman" w:cs="Times New Roman"/>
          <w:color w:val="000000"/>
          <w:sz w:val="24"/>
          <w:szCs w:val="24"/>
          <w:lang w:eastAsia="da-DK"/>
        </w:rPr>
        <w:t xml:space="preserve">af </w:t>
      </w:r>
      <w:r w:rsidRPr="0007352A">
        <w:rPr>
          <w:rFonts w:ascii="Times New Roman" w:eastAsia="Times New Roman" w:hAnsi="Times New Roman" w:cs="Times New Roman"/>
          <w:color w:val="000000"/>
          <w:sz w:val="24"/>
          <w:szCs w:val="24"/>
          <w:lang w:eastAsia="da-DK"/>
        </w:rPr>
        <w:t xml:space="preserve">usikkerhed i forhold til en række væsentlige parametre </w:t>
      </w:r>
      <w:r w:rsidR="00106081">
        <w:rPr>
          <w:rFonts w:ascii="Times New Roman" w:eastAsia="Times New Roman" w:hAnsi="Times New Roman" w:cs="Times New Roman"/>
          <w:color w:val="000000"/>
          <w:sz w:val="24"/>
          <w:szCs w:val="24"/>
          <w:lang w:eastAsia="da-DK"/>
        </w:rPr>
        <w:t>og</w:t>
      </w:r>
      <w:r w:rsidRPr="0007352A">
        <w:rPr>
          <w:rFonts w:ascii="Times New Roman" w:eastAsia="Times New Roman" w:hAnsi="Times New Roman" w:cs="Times New Roman"/>
          <w:color w:val="000000"/>
          <w:sz w:val="24"/>
          <w:szCs w:val="24"/>
          <w:lang w:eastAsia="da-DK"/>
        </w:rPr>
        <w:t xml:space="preserve"> forudsætning</w:t>
      </w:r>
      <w:r w:rsidR="00106081">
        <w:rPr>
          <w:rFonts w:ascii="Times New Roman" w:eastAsia="Times New Roman" w:hAnsi="Times New Roman" w:cs="Times New Roman"/>
          <w:color w:val="000000"/>
          <w:sz w:val="24"/>
          <w:szCs w:val="24"/>
          <w:lang w:eastAsia="da-DK"/>
        </w:rPr>
        <w:t>er</w:t>
      </w:r>
      <w:r w:rsidRPr="0007352A">
        <w:rPr>
          <w:rFonts w:ascii="Times New Roman" w:eastAsia="Times New Roman" w:hAnsi="Times New Roman" w:cs="Times New Roman"/>
          <w:color w:val="000000"/>
          <w:sz w:val="24"/>
          <w:szCs w:val="24"/>
          <w:lang w:eastAsia="da-DK"/>
        </w:rPr>
        <w:t xml:space="preserve">. </w:t>
      </w:r>
      <w:r w:rsidR="008579A7">
        <w:rPr>
          <w:rFonts w:ascii="Times New Roman" w:eastAsia="Times New Roman" w:hAnsi="Times New Roman" w:cs="Times New Roman"/>
          <w:color w:val="000000"/>
          <w:sz w:val="24"/>
          <w:szCs w:val="24"/>
          <w:lang w:eastAsia="da-DK"/>
        </w:rPr>
        <w:t>Det gælder:</w:t>
      </w:r>
    </w:p>
    <w:p w14:paraId="5CA0BFDB" w14:textId="2641583D" w:rsidR="008579A7" w:rsidRDefault="008579A7" w:rsidP="008579A7">
      <w:pPr>
        <w:pStyle w:val="Listeafsnit"/>
        <w:numPr>
          <w:ilvl w:val="0"/>
          <w:numId w:val="14"/>
        </w:numPr>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Et troværdigt talgrundlag</w:t>
      </w:r>
    </w:p>
    <w:p w14:paraId="33E2E0F2" w14:textId="703FE3D6" w:rsidR="008579A7" w:rsidRPr="008579A7" w:rsidRDefault="008579A7" w:rsidP="008579A7">
      <w:pPr>
        <w:pStyle w:val="Listeafsnit"/>
        <w:numPr>
          <w:ilvl w:val="0"/>
          <w:numId w:val="14"/>
        </w:numPr>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Tiltag, som kan reducere usikkerhederne ved de forskellige projekter</w:t>
      </w:r>
    </w:p>
    <w:p w14:paraId="0726EB52" w14:textId="7DB991DD" w:rsidR="004E3650" w:rsidRDefault="004E3650" w:rsidP="00645198">
      <w:pPr>
        <w:spacing w:after="0"/>
        <w:jc w:val="both"/>
        <w:rPr>
          <w:rFonts w:ascii="Times New Roman" w:eastAsia="Times New Roman" w:hAnsi="Times New Roman" w:cs="Times New Roman"/>
          <w:b/>
          <w:bCs/>
          <w:color w:val="000000"/>
          <w:sz w:val="24"/>
          <w:szCs w:val="24"/>
          <w:lang w:eastAsia="da-DK"/>
        </w:rPr>
      </w:pPr>
      <w:r w:rsidRPr="004E3650">
        <w:rPr>
          <w:rFonts w:ascii="Times New Roman" w:eastAsia="Times New Roman" w:hAnsi="Times New Roman" w:cs="Times New Roman"/>
          <w:bCs/>
          <w:color w:val="000000"/>
          <w:sz w:val="24"/>
          <w:szCs w:val="24"/>
          <w:lang w:eastAsia="da-DK"/>
        </w:rPr>
        <w:t>Departementet for Boliger og Infrastruktur har specifikt anført, at der bør gennemføre en samlet konsekvensanalyse af de forskellige fremtidsscenarier i Kangerlussuaq, som med fordel kan designes nu, mens selve udførelsen er</w:t>
      </w:r>
      <w:r>
        <w:rPr>
          <w:rFonts w:ascii="Times New Roman" w:eastAsia="Times New Roman" w:hAnsi="Times New Roman" w:cs="Times New Roman"/>
          <w:bCs/>
          <w:color w:val="000000"/>
          <w:sz w:val="24"/>
          <w:szCs w:val="24"/>
          <w:lang w:eastAsia="da-DK"/>
        </w:rPr>
        <w:t xml:space="preserve"> </w:t>
      </w:r>
      <w:r w:rsidRPr="004E3650">
        <w:rPr>
          <w:rFonts w:ascii="Times New Roman" w:eastAsia="Times New Roman" w:hAnsi="Times New Roman" w:cs="Times New Roman"/>
          <w:bCs/>
          <w:color w:val="000000"/>
          <w:sz w:val="24"/>
          <w:szCs w:val="24"/>
          <w:lang w:eastAsia="da-DK"/>
        </w:rPr>
        <w:t>afhængig af de kommende års afklaringer.</w:t>
      </w:r>
      <w:r>
        <w:rPr>
          <w:rFonts w:ascii="Times New Roman" w:eastAsia="Times New Roman" w:hAnsi="Times New Roman" w:cs="Times New Roman"/>
          <w:bCs/>
          <w:color w:val="000000"/>
          <w:sz w:val="24"/>
          <w:szCs w:val="24"/>
          <w:lang w:eastAsia="da-DK"/>
        </w:rPr>
        <w:t xml:space="preserve"> </w:t>
      </w:r>
      <w:r w:rsidRPr="0007352A">
        <w:rPr>
          <w:rFonts w:ascii="Times New Roman" w:eastAsia="Times New Roman" w:hAnsi="Times New Roman" w:cs="Times New Roman"/>
          <w:color w:val="000000"/>
          <w:sz w:val="24"/>
          <w:szCs w:val="24"/>
          <w:lang w:eastAsia="da-DK"/>
        </w:rPr>
        <w:t>Departement for Finanser og Ligestilling</w:t>
      </w:r>
      <w:r>
        <w:rPr>
          <w:rFonts w:ascii="Times New Roman" w:eastAsia="Times New Roman" w:hAnsi="Times New Roman" w:cs="Times New Roman"/>
          <w:color w:val="000000"/>
          <w:sz w:val="24"/>
          <w:szCs w:val="24"/>
          <w:lang w:eastAsia="da-DK"/>
        </w:rPr>
        <w:t xml:space="preserve"> er helt enig i dette</w:t>
      </w:r>
      <w:r w:rsidR="00355644">
        <w:rPr>
          <w:rFonts w:ascii="Times New Roman" w:eastAsia="Times New Roman" w:hAnsi="Times New Roman" w:cs="Times New Roman"/>
          <w:color w:val="000000"/>
          <w:sz w:val="24"/>
          <w:szCs w:val="24"/>
          <w:lang w:eastAsia="da-DK"/>
        </w:rPr>
        <w:t>, og bakker derfor også op om rapportens anbefaling om igangsætning af en strategisk investordialog som et egnet redskab til at afdække usikkerheder og fordeling af risici</w:t>
      </w:r>
      <w:r>
        <w:rPr>
          <w:rFonts w:ascii="Times New Roman" w:eastAsia="Times New Roman" w:hAnsi="Times New Roman" w:cs="Times New Roman"/>
          <w:color w:val="000000"/>
          <w:sz w:val="24"/>
          <w:szCs w:val="24"/>
          <w:lang w:eastAsia="da-DK"/>
        </w:rPr>
        <w:t xml:space="preserve">. </w:t>
      </w:r>
    </w:p>
    <w:p w14:paraId="4E8142FA" w14:textId="77777777" w:rsidR="00A6048E" w:rsidRDefault="00A6048E" w:rsidP="00645198">
      <w:pPr>
        <w:spacing w:after="0"/>
        <w:jc w:val="both"/>
        <w:rPr>
          <w:rFonts w:ascii="Times New Roman" w:eastAsia="Times New Roman" w:hAnsi="Times New Roman" w:cs="Times New Roman"/>
          <w:b/>
          <w:bCs/>
          <w:color w:val="000000"/>
          <w:sz w:val="24"/>
          <w:szCs w:val="24"/>
          <w:lang w:eastAsia="da-DK"/>
        </w:rPr>
      </w:pPr>
    </w:p>
    <w:p w14:paraId="02D228E7" w14:textId="3BA42E9E" w:rsidR="001B54CE" w:rsidRPr="00651BE9" w:rsidRDefault="005F7AB3" w:rsidP="00645198">
      <w:pPr>
        <w:spacing w:after="120"/>
        <w:jc w:val="both"/>
        <w:rPr>
          <w:rFonts w:ascii="Times New Roman" w:eastAsia="Times New Roman" w:hAnsi="Times New Roman" w:cs="Times New Roman"/>
          <w:b/>
          <w:bCs/>
          <w:color w:val="000000"/>
          <w:sz w:val="24"/>
          <w:szCs w:val="24"/>
          <w:lang w:eastAsia="da-DK"/>
        </w:rPr>
      </w:pPr>
      <w:r>
        <w:rPr>
          <w:rFonts w:ascii="Times New Roman" w:eastAsia="Times New Roman" w:hAnsi="Times New Roman" w:cs="Times New Roman"/>
          <w:b/>
          <w:bCs/>
          <w:color w:val="000000"/>
          <w:sz w:val="24"/>
          <w:szCs w:val="24"/>
          <w:lang w:eastAsia="da-DK"/>
        </w:rPr>
        <w:t>Departementets økonomiske-faglige ambition må således være, at</w:t>
      </w:r>
      <w:r w:rsidR="001B54CE" w:rsidRPr="00651BE9">
        <w:rPr>
          <w:rFonts w:ascii="Times New Roman" w:eastAsia="Times New Roman" w:hAnsi="Times New Roman" w:cs="Times New Roman"/>
          <w:b/>
          <w:bCs/>
          <w:color w:val="000000"/>
          <w:sz w:val="24"/>
          <w:szCs w:val="24"/>
          <w:lang w:eastAsia="da-DK"/>
        </w:rPr>
        <w:t>:</w:t>
      </w:r>
    </w:p>
    <w:p w14:paraId="7C9B4677" w14:textId="3BF5A89C" w:rsidR="001B54CE" w:rsidRPr="00374A39" w:rsidRDefault="001B54CE" w:rsidP="00645198">
      <w:pPr>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t xml:space="preserve">a) </w:t>
      </w:r>
      <w:r w:rsidR="001D25B1" w:rsidRPr="00374A39">
        <w:rPr>
          <w:rFonts w:ascii="Times New Roman" w:eastAsia="Times New Roman" w:hAnsi="Times New Roman" w:cs="Times New Roman"/>
          <w:color w:val="000000"/>
          <w:sz w:val="24"/>
          <w:szCs w:val="24"/>
          <w:lang w:eastAsia="da-DK"/>
        </w:rPr>
        <w:t xml:space="preserve">Få </w:t>
      </w:r>
      <w:r w:rsidR="00374A39">
        <w:rPr>
          <w:rFonts w:ascii="Times New Roman" w:eastAsia="Times New Roman" w:hAnsi="Times New Roman" w:cs="Times New Roman"/>
          <w:color w:val="000000"/>
          <w:sz w:val="24"/>
          <w:szCs w:val="24"/>
          <w:lang w:eastAsia="da-DK"/>
        </w:rPr>
        <w:t>k</w:t>
      </w:r>
      <w:r w:rsidR="001D25B1" w:rsidRPr="00374A39">
        <w:rPr>
          <w:rFonts w:ascii="Times New Roman" w:eastAsia="Times New Roman" w:hAnsi="Times New Roman" w:cs="Times New Roman"/>
          <w:color w:val="000000"/>
          <w:sz w:val="24"/>
          <w:szCs w:val="24"/>
          <w:lang w:eastAsia="da-DK"/>
        </w:rPr>
        <w:t xml:space="preserve">valificeret de afledte indtægter fra især turisme for kommunen og </w:t>
      </w:r>
      <w:r w:rsidR="008579A7">
        <w:rPr>
          <w:rFonts w:ascii="Times New Roman" w:eastAsia="Times New Roman" w:hAnsi="Times New Roman" w:cs="Times New Roman"/>
          <w:color w:val="000000"/>
          <w:sz w:val="24"/>
          <w:szCs w:val="24"/>
          <w:lang w:eastAsia="da-DK"/>
        </w:rPr>
        <w:t xml:space="preserve">Landskassen </w:t>
      </w:r>
      <w:r w:rsidR="001D25B1" w:rsidRPr="00374A39">
        <w:rPr>
          <w:rFonts w:ascii="Times New Roman" w:eastAsia="Times New Roman" w:hAnsi="Times New Roman" w:cs="Times New Roman"/>
          <w:color w:val="000000"/>
          <w:sz w:val="24"/>
          <w:szCs w:val="24"/>
          <w:lang w:eastAsia="da-DK"/>
        </w:rPr>
        <w:t>for de forskellige investeringer</w:t>
      </w:r>
      <w:r w:rsidR="007153CA" w:rsidRPr="00374A39">
        <w:rPr>
          <w:rFonts w:ascii="Times New Roman" w:eastAsia="Times New Roman" w:hAnsi="Times New Roman" w:cs="Times New Roman"/>
          <w:color w:val="000000"/>
          <w:sz w:val="24"/>
          <w:szCs w:val="24"/>
          <w:lang w:eastAsia="da-DK"/>
        </w:rPr>
        <w:t>.</w:t>
      </w:r>
    </w:p>
    <w:p w14:paraId="1AE77464" w14:textId="6EF79E0F" w:rsidR="003556B4" w:rsidRPr="00374A39" w:rsidRDefault="001B54CE" w:rsidP="00645198">
      <w:pPr>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t xml:space="preserve">b) </w:t>
      </w:r>
      <w:r w:rsidR="005F7AB3">
        <w:rPr>
          <w:rFonts w:ascii="Times New Roman" w:eastAsia="Times New Roman" w:hAnsi="Times New Roman" w:cs="Times New Roman"/>
          <w:color w:val="000000"/>
          <w:sz w:val="24"/>
          <w:szCs w:val="24"/>
          <w:lang w:eastAsia="da-DK"/>
        </w:rPr>
        <w:t xml:space="preserve">Tilsikre at der foreligger et gennemarbejdet beslutningsgrundlag forinden der træffes </w:t>
      </w:r>
      <w:r w:rsidR="00C61930" w:rsidRPr="00374A39">
        <w:rPr>
          <w:rFonts w:ascii="Times New Roman" w:eastAsia="Times New Roman" w:hAnsi="Times New Roman" w:cs="Times New Roman"/>
          <w:color w:val="000000"/>
          <w:sz w:val="24"/>
          <w:szCs w:val="24"/>
          <w:lang w:eastAsia="da-DK"/>
        </w:rPr>
        <w:t>store investeringsbeslutninger</w:t>
      </w:r>
      <w:r w:rsidR="0007352A" w:rsidRPr="00374A39">
        <w:rPr>
          <w:rFonts w:ascii="Times New Roman" w:eastAsia="Times New Roman" w:hAnsi="Times New Roman" w:cs="Times New Roman"/>
          <w:color w:val="000000"/>
          <w:sz w:val="24"/>
          <w:szCs w:val="24"/>
          <w:lang w:eastAsia="da-DK"/>
        </w:rPr>
        <w:t xml:space="preserve">. </w:t>
      </w:r>
    </w:p>
    <w:p w14:paraId="0224178C" w14:textId="13FDE6BA" w:rsidR="00AA2E4B" w:rsidRPr="00C5737B" w:rsidRDefault="00AA2E4B" w:rsidP="00C61F7A">
      <w:pPr>
        <w:keepNext/>
        <w:spacing w:after="0"/>
        <w:jc w:val="both"/>
        <w:rPr>
          <w:rFonts w:ascii="Times New Roman" w:eastAsia="Times New Roman" w:hAnsi="Times New Roman" w:cs="Times New Roman"/>
          <w:b/>
          <w:bCs/>
          <w:color w:val="000000"/>
          <w:sz w:val="24"/>
          <w:szCs w:val="24"/>
          <w:lang w:eastAsia="da-DK"/>
        </w:rPr>
      </w:pPr>
      <w:r w:rsidRPr="00C5737B">
        <w:rPr>
          <w:rFonts w:ascii="Times New Roman" w:eastAsia="Times New Roman" w:hAnsi="Times New Roman" w:cs="Times New Roman"/>
          <w:b/>
          <w:bCs/>
          <w:color w:val="000000"/>
          <w:sz w:val="24"/>
          <w:szCs w:val="24"/>
          <w:lang w:eastAsia="da-DK"/>
        </w:rPr>
        <w:t xml:space="preserve">Anbefaling: </w:t>
      </w:r>
    </w:p>
    <w:p w14:paraId="223502B7" w14:textId="5A3914F5" w:rsidR="008579A7" w:rsidRDefault="00AA2E4B" w:rsidP="00645198">
      <w:pPr>
        <w:spacing w:after="0"/>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Departement for Finanser og Ligestilling</w:t>
      </w:r>
      <w:r w:rsidR="005B415D">
        <w:rPr>
          <w:rFonts w:ascii="Times New Roman" w:eastAsia="Times New Roman" w:hAnsi="Times New Roman" w:cs="Times New Roman"/>
          <w:color w:val="000000"/>
          <w:sz w:val="24"/>
          <w:szCs w:val="24"/>
          <w:lang w:eastAsia="da-DK"/>
        </w:rPr>
        <w:t xml:space="preserve"> er på baggrund af ovenstående af den opfattelse</w:t>
      </w:r>
      <w:r w:rsidR="008579A7">
        <w:rPr>
          <w:rFonts w:ascii="Times New Roman" w:eastAsia="Times New Roman" w:hAnsi="Times New Roman" w:cs="Times New Roman"/>
          <w:color w:val="000000"/>
          <w:sz w:val="24"/>
          <w:szCs w:val="24"/>
          <w:lang w:eastAsia="da-DK"/>
        </w:rPr>
        <w:t>,</w:t>
      </w:r>
      <w:r w:rsidR="005B415D">
        <w:rPr>
          <w:rFonts w:ascii="Times New Roman" w:eastAsia="Times New Roman" w:hAnsi="Times New Roman" w:cs="Times New Roman"/>
          <w:color w:val="000000"/>
          <w:sz w:val="24"/>
          <w:szCs w:val="24"/>
          <w:lang w:eastAsia="da-DK"/>
        </w:rPr>
        <w:t xml:space="preserve"> at arbejdet med at kvalificere forskellige scenarier for Kangerlussuaqs fremtid bør fortsætte</w:t>
      </w:r>
      <w:r w:rsidR="00443BCF">
        <w:rPr>
          <w:rFonts w:ascii="Times New Roman" w:eastAsia="Times New Roman" w:hAnsi="Times New Roman" w:cs="Times New Roman"/>
          <w:color w:val="000000"/>
          <w:sz w:val="24"/>
          <w:szCs w:val="24"/>
          <w:lang w:eastAsia="da-DK"/>
        </w:rPr>
        <w:t>, men</w:t>
      </w:r>
      <w:r w:rsidR="00AB6047">
        <w:rPr>
          <w:rFonts w:ascii="Times New Roman" w:eastAsia="Times New Roman" w:hAnsi="Times New Roman" w:cs="Times New Roman"/>
          <w:color w:val="000000"/>
          <w:sz w:val="24"/>
          <w:szCs w:val="24"/>
          <w:lang w:eastAsia="da-DK"/>
        </w:rPr>
        <w:t xml:space="preserve"> </w:t>
      </w:r>
      <w:r w:rsidR="00443BCF">
        <w:rPr>
          <w:rFonts w:ascii="Times New Roman" w:eastAsia="Times New Roman" w:hAnsi="Times New Roman" w:cs="Times New Roman"/>
          <w:color w:val="000000"/>
          <w:sz w:val="24"/>
          <w:szCs w:val="24"/>
          <w:lang w:eastAsia="da-DK"/>
        </w:rPr>
        <w:t xml:space="preserve">ikke kun </w:t>
      </w:r>
      <w:r w:rsidR="00AB6047">
        <w:rPr>
          <w:rFonts w:ascii="Times New Roman" w:eastAsia="Times New Roman" w:hAnsi="Times New Roman" w:cs="Times New Roman"/>
          <w:color w:val="000000"/>
          <w:sz w:val="24"/>
          <w:szCs w:val="24"/>
          <w:lang w:eastAsia="da-DK"/>
        </w:rPr>
        <w:t>med afsæt i</w:t>
      </w:r>
      <w:r w:rsidR="00BD3E39">
        <w:rPr>
          <w:rFonts w:ascii="Times New Roman" w:eastAsia="Times New Roman" w:hAnsi="Times New Roman" w:cs="Times New Roman"/>
          <w:color w:val="000000"/>
          <w:sz w:val="24"/>
          <w:szCs w:val="24"/>
          <w:lang w:eastAsia="da-DK"/>
        </w:rPr>
        <w:t xml:space="preserve"> den nu afsluttede</w:t>
      </w:r>
      <w:r w:rsidR="00AB6047">
        <w:rPr>
          <w:rFonts w:ascii="Times New Roman" w:eastAsia="Times New Roman" w:hAnsi="Times New Roman" w:cs="Times New Roman"/>
          <w:color w:val="000000"/>
          <w:sz w:val="24"/>
          <w:szCs w:val="24"/>
          <w:lang w:eastAsia="da-DK"/>
        </w:rPr>
        <w:t xml:space="preserve"> rapport</w:t>
      </w:r>
      <w:r w:rsidR="005B415D">
        <w:rPr>
          <w:rFonts w:ascii="Times New Roman" w:eastAsia="Times New Roman" w:hAnsi="Times New Roman" w:cs="Times New Roman"/>
          <w:color w:val="000000"/>
          <w:sz w:val="24"/>
          <w:szCs w:val="24"/>
          <w:lang w:eastAsia="da-DK"/>
        </w:rPr>
        <w:t>.</w:t>
      </w:r>
      <w:r w:rsidR="00BD3E39">
        <w:rPr>
          <w:rFonts w:ascii="Times New Roman" w:eastAsia="Times New Roman" w:hAnsi="Times New Roman" w:cs="Times New Roman"/>
          <w:color w:val="000000"/>
          <w:sz w:val="24"/>
          <w:szCs w:val="24"/>
          <w:lang w:eastAsia="da-DK"/>
        </w:rPr>
        <w:t xml:space="preserve"> </w:t>
      </w:r>
      <w:r w:rsidR="00753655">
        <w:rPr>
          <w:rFonts w:ascii="Times New Roman" w:eastAsia="Times New Roman" w:hAnsi="Times New Roman" w:cs="Times New Roman"/>
          <w:color w:val="000000"/>
          <w:sz w:val="24"/>
          <w:szCs w:val="24"/>
          <w:lang w:eastAsia="da-DK"/>
        </w:rPr>
        <w:t xml:space="preserve">Rapporten fremstår som en vigtig milepæl og er samtidig kulminationen på et langt arbejdsforløb med bred deltagelse af interessenter. Det økonomiske perspektiv er i den sammenhæng blot et blandt flere, men </w:t>
      </w:r>
      <w:r w:rsidR="00536D93">
        <w:rPr>
          <w:rFonts w:ascii="Times New Roman" w:eastAsia="Times New Roman" w:hAnsi="Times New Roman" w:cs="Times New Roman"/>
          <w:color w:val="000000"/>
          <w:sz w:val="24"/>
          <w:szCs w:val="24"/>
          <w:lang w:eastAsia="da-DK"/>
        </w:rPr>
        <w:t>samtidig</w:t>
      </w:r>
      <w:r w:rsidR="00753655">
        <w:rPr>
          <w:rFonts w:ascii="Times New Roman" w:eastAsia="Times New Roman" w:hAnsi="Times New Roman" w:cs="Times New Roman"/>
          <w:color w:val="000000"/>
          <w:sz w:val="24"/>
          <w:szCs w:val="24"/>
          <w:lang w:eastAsia="da-DK"/>
        </w:rPr>
        <w:t xml:space="preserve"> det perspektiv som </w:t>
      </w:r>
      <w:r w:rsidR="00536D93">
        <w:rPr>
          <w:rFonts w:ascii="Times New Roman" w:eastAsia="Times New Roman" w:hAnsi="Times New Roman" w:cs="Times New Roman"/>
          <w:color w:val="000000"/>
          <w:sz w:val="24"/>
          <w:szCs w:val="24"/>
          <w:lang w:eastAsia="da-DK"/>
        </w:rPr>
        <w:t>D</w:t>
      </w:r>
      <w:r w:rsidR="00753655">
        <w:rPr>
          <w:rFonts w:ascii="Times New Roman" w:eastAsia="Times New Roman" w:hAnsi="Times New Roman" w:cs="Times New Roman"/>
          <w:color w:val="000000"/>
          <w:sz w:val="24"/>
          <w:szCs w:val="24"/>
          <w:lang w:eastAsia="da-DK"/>
        </w:rPr>
        <w:t xml:space="preserve">epartement for </w:t>
      </w:r>
      <w:r w:rsidR="00536D93">
        <w:rPr>
          <w:rFonts w:ascii="Times New Roman" w:eastAsia="Times New Roman" w:hAnsi="Times New Roman" w:cs="Times New Roman"/>
          <w:color w:val="000000"/>
          <w:sz w:val="24"/>
          <w:szCs w:val="24"/>
          <w:lang w:eastAsia="da-DK"/>
        </w:rPr>
        <w:t>F</w:t>
      </w:r>
      <w:r w:rsidR="00753655">
        <w:rPr>
          <w:rFonts w:ascii="Times New Roman" w:eastAsia="Times New Roman" w:hAnsi="Times New Roman" w:cs="Times New Roman"/>
          <w:color w:val="000000"/>
          <w:sz w:val="24"/>
          <w:szCs w:val="24"/>
          <w:lang w:eastAsia="da-DK"/>
        </w:rPr>
        <w:t xml:space="preserve">inanser og </w:t>
      </w:r>
      <w:r w:rsidR="00536D93">
        <w:rPr>
          <w:rFonts w:ascii="Times New Roman" w:eastAsia="Times New Roman" w:hAnsi="Times New Roman" w:cs="Times New Roman"/>
          <w:color w:val="000000"/>
          <w:sz w:val="24"/>
          <w:szCs w:val="24"/>
          <w:lang w:eastAsia="da-DK"/>
        </w:rPr>
        <w:t>L</w:t>
      </w:r>
      <w:r w:rsidR="00753655">
        <w:rPr>
          <w:rFonts w:ascii="Times New Roman" w:eastAsia="Times New Roman" w:hAnsi="Times New Roman" w:cs="Times New Roman"/>
          <w:color w:val="000000"/>
          <w:sz w:val="24"/>
          <w:szCs w:val="24"/>
          <w:lang w:eastAsia="da-DK"/>
        </w:rPr>
        <w:t>igestilling professionsbetinget er forankret i.</w:t>
      </w:r>
      <w:r w:rsidR="00536D93">
        <w:rPr>
          <w:rFonts w:ascii="Times New Roman" w:eastAsia="Times New Roman" w:hAnsi="Times New Roman" w:cs="Times New Roman"/>
          <w:color w:val="000000"/>
          <w:sz w:val="24"/>
          <w:szCs w:val="24"/>
          <w:lang w:eastAsia="da-DK"/>
        </w:rPr>
        <w:t xml:space="preserve"> </w:t>
      </w:r>
    </w:p>
    <w:p w14:paraId="7F2B1A9D" w14:textId="77777777" w:rsidR="008579A7" w:rsidRDefault="008579A7" w:rsidP="00645198">
      <w:pPr>
        <w:spacing w:after="0"/>
        <w:jc w:val="both"/>
        <w:rPr>
          <w:rFonts w:ascii="Times New Roman" w:eastAsia="Times New Roman" w:hAnsi="Times New Roman" w:cs="Times New Roman"/>
          <w:color w:val="000000"/>
          <w:sz w:val="24"/>
          <w:szCs w:val="24"/>
          <w:lang w:eastAsia="da-DK"/>
        </w:rPr>
      </w:pPr>
    </w:p>
    <w:p w14:paraId="037813FC" w14:textId="4826406E" w:rsidR="008579A7" w:rsidRDefault="008579A7" w:rsidP="00645198">
      <w:pPr>
        <w:spacing w:after="0"/>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I</w:t>
      </w:r>
      <w:r w:rsidR="005B415D">
        <w:rPr>
          <w:rFonts w:ascii="Times New Roman" w:eastAsia="Times New Roman" w:hAnsi="Times New Roman" w:cs="Times New Roman"/>
          <w:color w:val="000000"/>
          <w:sz w:val="24"/>
          <w:szCs w:val="24"/>
          <w:lang w:eastAsia="da-DK"/>
        </w:rPr>
        <w:t>gangsætte</w:t>
      </w:r>
      <w:r>
        <w:rPr>
          <w:rFonts w:ascii="Times New Roman" w:eastAsia="Times New Roman" w:hAnsi="Times New Roman" w:cs="Times New Roman"/>
          <w:color w:val="000000"/>
          <w:sz w:val="24"/>
          <w:szCs w:val="24"/>
          <w:lang w:eastAsia="da-DK"/>
        </w:rPr>
        <w:t xml:space="preserve">lsen af </w:t>
      </w:r>
      <w:r w:rsidR="005B415D">
        <w:rPr>
          <w:rFonts w:ascii="Times New Roman" w:eastAsia="Times New Roman" w:hAnsi="Times New Roman" w:cs="Times New Roman"/>
          <w:color w:val="000000"/>
          <w:sz w:val="24"/>
          <w:szCs w:val="24"/>
          <w:lang w:eastAsia="da-DK"/>
        </w:rPr>
        <w:t>større investeringsprojekter, herunder havn, vej samt</w:t>
      </w:r>
      <w:r w:rsidR="00724CC0">
        <w:rPr>
          <w:rFonts w:ascii="Times New Roman" w:eastAsia="Times New Roman" w:hAnsi="Times New Roman" w:cs="Times New Roman"/>
          <w:color w:val="000000"/>
          <w:sz w:val="24"/>
          <w:szCs w:val="24"/>
          <w:lang w:eastAsia="da-DK"/>
        </w:rPr>
        <w:t xml:space="preserve"> investering i</w:t>
      </w:r>
      <w:r w:rsidR="005B415D">
        <w:rPr>
          <w:rFonts w:ascii="Times New Roman" w:eastAsia="Times New Roman" w:hAnsi="Times New Roman" w:cs="Times New Roman"/>
          <w:color w:val="000000"/>
          <w:sz w:val="24"/>
          <w:szCs w:val="24"/>
          <w:lang w:eastAsia="da-DK"/>
        </w:rPr>
        <w:t xml:space="preserve"> offentlig infrastruktur i o</w:t>
      </w:r>
      <w:r>
        <w:rPr>
          <w:rFonts w:ascii="Times New Roman" w:eastAsia="Times New Roman" w:hAnsi="Times New Roman" w:cs="Times New Roman"/>
          <w:color w:val="000000"/>
          <w:sz w:val="24"/>
          <w:szCs w:val="24"/>
          <w:lang w:eastAsia="da-DK"/>
        </w:rPr>
        <w:t>g omkring Kangerlussuaq, bør afvente</w:t>
      </w:r>
      <w:r w:rsidR="005B415D">
        <w:rPr>
          <w:rFonts w:ascii="Times New Roman" w:eastAsia="Times New Roman" w:hAnsi="Times New Roman" w:cs="Times New Roman"/>
          <w:color w:val="000000"/>
          <w:sz w:val="24"/>
          <w:szCs w:val="24"/>
          <w:lang w:eastAsia="da-DK"/>
        </w:rPr>
        <w:t xml:space="preserve"> den </w:t>
      </w:r>
      <w:r w:rsidR="00724CC0">
        <w:rPr>
          <w:rFonts w:ascii="Times New Roman" w:eastAsia="Times New Roman" w:hAnsi="Times New Roman" w:cs="Times New Roman"/>
          <w:color w:val="000000"/>
          <w:sz w:val="24"/>
          <w:szCs w:val="24"/>
          <w:lang w:eastAsia="da-DK"/>
        </w:rPr>
        <w:t>nødvendige</w:t>
      </w:r>
      <w:r w:rsidR="005B415D">
        <w:rPr>
          <w:rFonts w:ascii="Times New Roman" w:eastAsia="Times New Roman" w:hAnsi="Times New Roman" w:cs="Times New Roman"/>
          <w:color w:val="000000"/>
          <w:sz w:val="24"/>
          <w:szCs w:val="24"/>
          <w:lang w:eastAsia="da-DK"/>
        </w:rPr>
        <w:t xml:space="preserve"> afklaring omkring forsvar</w:t>
      </w:r>
      <w:r w:rsidR="00053D6F">
        <w:rPr>
          <w:rFonts w:ascii="Times New Roman" w:eastAsia="Times New Roman" w:hAnsi="Times New Roman" w:cs="Times New Roman"/>
          <w:color w:val="000000"/>
          <w:sz w:val="24"/>
          <w:szCs w:val="24"/>
          <w:lang w:eastAsia="da-DK"/>
        </w:rPr>
        <w:t>et</w:t>
      </w:r>
      <w:r w:rsidR="005B415D">
        <w:rPr>
          <w:rFonts w:ascii="Times New Roman" w:eastAsia="Times New Roman" w:hAnsi="Times New Roman" w:cs="Times New Roman"/>
          <w:color w:val="000000"/>
          <w:sz w:val="24"/>
          <w:szCs w:val="24"/>
          <w:lang w:eastAsia="da-DK"/>
        </w:rPr>
        <w:t>s engagement</w:t>
      </w:r>
      <w:r>
        <w:rPr>
          <w:rFonts w:ascii="Times New Roman" w:eastAsia="Times New Roman" w:hAnsi="Times New Roman" w:cs="Times New Roman"/>
          <w:color w:val="000000"/>
          <w:sz w:val="24"/>
          <w:szCs w:val="24"/>
          <w:lang w:eastAsia="da-DK"/>
        </w:rPr>
        <w:t xml:space="preserve"> i Kangerlussuaq</w:t>
      </w:r>
      <w:r w:rsidR="005B415D">
        <w:rPr>
          <w:rFonts w:ascii="Times New Roman" w:eastAsia="Times New Roman" w:hAnsi="Times New Roman" w:cs="Times New Roman"/>
          <w:color w:val="000000"/>
          <w:sz w:val="24"/>
          <w:szCs w:val="24"/>
          <w:lang w:eastAsia="da-DK"/>
        </w:rPr>
        <w:t xml:space="preserve">. </w:t>
      </w:r>
    </w:p>
    <w:p w14:paraId="658093F3" w14:textId="2DD3BF25" w:rsidR="006A4985" w:rsidRDefault="006A4985" w:rsidP="00645198">
      <w:pPr>
        <w:spacing w:after="0"/>
        <w:jc w:val="both"/>
        <w:rPr>
          <w:rFonts w:ascii="Times New Roman" w:eastAsia="Times New Roman" w:hAnsi="Times New Roman" w:cs="Times New Roman"/>
          <w:color w:val="000000"/>
          <w:sz w:val="24"/>
          <w:szCs w:val="24"/>
          <w:lang w:eastAsia="da-DK"/>
        </w:rPr>
      </w:pPr>
    </w:p>
    <w:p w14:paraId="2F58C9B5" w14:textId="74ED8323" w:rsidR="006A4985" w:rsidRDefault="006A4985" w:rsidP="00645198">
      <w:pPr>
        <w:spacing w:after="0"/>
        <w:jc w:val="both"/>
        <w:rPr>
          <w:rFonts w:ascii="Times New Roman" w:eastAsia="Times New Roman" w:hAnsi="Times New Roman" w:cs="Times New Roman"/>
          <w:color w:val="000000"/>
          <w:sz w:val="24"/>
          <w:szCs w:val="24"/>
          <w:lang w:eastAsia="da-DK"/>
        </w:rPr>
      </w:pPr>
    </w:p>
    <w:p w14:paraId="56CCC163" w14:textId="77777777" w:rsidR="006A4985" w:rsidRDefault="006A4985" w:rsidP="00645198">
      <w:pPr>
        <w:spacing w:after="0"/>
        <w:jc w:val="both"/>
        <w:rPr>
          <w:rFonts w:ascii="Times New Roman" w:eastAsia="Times New Roman" w:hAnsi="Times New Roman" w:cs="Times New Roman"/>
          <w:color w:val="000000"/>
          <w:sz w:val="24"/>
          <w:szCs w:val="24"/>
          <w:lang w:eastAsia="da-DK"/>
        </w:rPr>
      </w:pPr>
    </w:p>
    <w:p w14:paraId="21118626" w14:textId="5E3AD4F5" w:rsidR="006A4985" w:rsidRDefault="006A4985" w:rsidP="00645198">
      <w:pPr>
        <w:spacing w:after="0"/>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Ovenstående anbefalinger nuanceres i to appendiks til dette notat:</w:t>
      </w:r>
    </w:p>
    <w:p w14:paraId="77EA1FA1" w14:textId="51DD2163" w:rsidR="006A4985" w:rsidRDefault="006A4985" w:rsidP="00B3516C">
      <w:pPr>
        <w:pStyle w:val="Listeafsnit"/>
        <w:numPr>
          <w:ilvl w:val="0"/>
          <w:numId w:val="18"/>
        </w:numPr>
        <w:spacing w:after="0"/>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Tekstnære bemærkninger til rapporten.</w:t>
      </w:r>
    </w:p>
    <w:p w14:paraId="37D1A11F" w14:textId="4B2DE76E" w:rsidR="006A4985" w:rsidRPr="00B3516C" w:rsidRDefault="006A4985" w:rsidP="00B3516C">
      <w:pPr>
        <w:pStyle w:val="Listeafsnit"/>
        <w:numPr>
          <w:ilvl w:val="0"/>
          <w:numId w:val="18"/>
        </w:numPr>
        <w:spacing w:after="0"/>
        <w:jc w:val="both"/>
        <w:rPr>
          <w:rFonts w:ascii="Times New Roman" w:eastAsia="Times New Roman" w:hAnsi="Times New Roman" w:cs="Times New Roman"/>
          <w:color w:val="000000"/>
          <w:sz w:val="24"/>
          <w:szCs w:val="24"/>
          <w:lang w:eastAsia="da-DK"/>
        </w:rPr>
      </w:pPr>
      <w:r w:rsidRPr="006A4985">
        <w:rPr>
          <w:rFonts w:ascii="Times New Roman" w:eastAsia="Times New Roman" w:hAnsi="Times New Roman" w:cs="Times New Roman"/>
          <w:color w:val="000000"/>
          <w:sz w:val="24"/>
          <w:szCs w:val="24"/>
          <w:lang w:eastAsia="da-DK"/>
        </w:rPr>
        <w:t>Risikoeksponering</w:t>
      </w:r>
    </w:p>
    <w:p w14:paraId="01FE6D1C" w14:textId="131B0C8F" w:rsidR="005B317A" w:rsidRDefault="005B317A" w:rsidP="00645198">
      <w:pPr>
        <w:spacing w:after="0"/>
        <w:jc w:val="both"/>
        <w:rPr>
          <w:rFonts w:ascii="Times New Roman" w:eastAsia="Times New Roman" w:hAnsi="Times New Roman" w:cs="Times New Roman"/>
          <w:color w:val="000000"/>
          <w:sz w:val="24"/>
          <w:szCs w:val="24"/>
          <w:lang w:eastAsia="da-DK"/>
        </w:rPr>
      </w:pPr>
    </w:p>
    <w:p w14:paraId="0FBD7A95" w14:textId="23ED799E" w:rsidR="006A4985" w:rsidRDefault="006A4985">
      <w:pPr>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br w:type="page"/>
      </w:r>
    </w:p>
    <w:p w14:paraId="685F6814" w14:textId="77777777" w:rsidR="002604EC" w:rsidRDefault="002604EC">
      <w:pPr>
        <w:rPr>
          <w:rFonts w:ascii="Times New Roman" w:eastAsia="Times New Roman" w:hAnsi="Times New Roman" w:cs="Times New Roman"/>
          <w:color w:val="000000"/>
          <w:sz w:val="24"/>
          <w:szCs w:val="24"/>
          <w:lang w:eastAsia="da-DK"/>
        </w:rPr>
      </w:pPr>
    </w:p>
    <w:p w14:paraId="32257EA6" w14:textId="5AE5DE6F" w:rsidR="00DD2988" w:rsidRPr="00C5737B" w:rsidRDefault="00DD2988" w:rsidP="00DD2988">
      <w:pPr>
        <w:spacing w:after="0"/>
        <w:jc w:val="both"/>
        <w:rPr>
          <w:rFonts w:ascii="Times New Roman" w:hAnsi="Times New Roman" w:cs="Times New Roman"/>
          <w:b/>
          <w:bCs/>
          <w:sz w:val="28"/>
          <w:szCs w:val="28"/>
        </w:rPr>
      </w:pPr>
      <w:r w:rsidRPr="00C5737B">
        <w:rPr>
          <w:rFonts w:ascii="Times New Roman" w:hAnsi="Times New Roman" w:cs="Times New Roman"/>
          <w:b/>
          <w:bCs/>
          <w:sz w:val="28"/>
          <w:szCs w:val="28"/>
        </w:rPr>
        <w:t>Appendiks</w:t>
      </w:r>
      <w:r>
        <w:rPr>
          <w:rFonts w:ascii="Times New Roman" w:hAnsi="Times New Roman" w:cs="Times New Roman"/>
          <w:b/>
          <w:bCs/>
          <w:sz w:val="28"/>
          <w:szCs w:val="28"/>
        </w:rPr>
        <w:t xml:space="preserve"> 1</w:t>
      </w:r>
      <w:r w:rsidRPr="00C5737B">
        <w:rPr>
          <w:rFonts w:ascii="Times New Roman" w:hAnsi="Times New Roman" w:cs="Times New Roman"/>
          <w:b/>
          <w:bCs/>
          <w:sz w:val="28"/>
          <w:szCs w:val="28"/>
        </w:rPr>
        <w:t>:</w:t>
      </w:r>
      <w:r>
        <w:rPr>
          <w:rFonts w:ascii="Times New Roman" w:hAnsi="Times New Roman" w:cs="Times New Roman"/>
          <w:b/>
          <w:bCs/>
          <w:sz w:val="28"/>
          <w:szCs w:val="28"/>
        </w:rPr>
        <w:t xml:space="preserve"> (</w:t>
      </w:r>
      <w:r w:rsidR="006A4985">
        <w:rPr>
          <w:rFonts w:ascii="Times New Roman" w:hAnsi="Times New Roman" w:cs="Times New Roman"/>
          <w:b/>
          <w:bCs/>
          <w:sz w:val="28"/>
          <w:szCs w:val="28"/>
        </w:rPr>
        <w:t>T</w:t>
      </w:r>
      <w:r w:rsidRPr="00DD2988">
        <w:rPr>
          <w:rFonts w:ascii="Times New Roman" w:hAnsi="Times New Roman" w:cs="Times New Roman"/>
          <w:b/>
          <w:bCs/>
          <w:sz w:val="28"/>
          <w:szCs w:val="28"/>
        </w:rPr>
        <w:t>ekstnære bemærkninger til rapporten</w:t>
      </w:r>
      <w:r>
        <w:rPr>
          <w:rFonts w:ascii="Times New Roman" w:hAnsi="Times New Roman" w:cs="Times New Roman"/>
          <w:b/>
          <w:bCs/>
          <w:sz w:val="28"/>
          <w:szCs w:val="28"/>
        </w:rPr>
        <w:t>)</w:t>
      </w:r>
      <w:r w:rsidRPr="00C5737B">
        <w:rPr>
          <w:rFonts w:ascii="Times New Roman" w:hAnsi="Times New Roman" w:cs="Times New Roman"/>
          <w:b/>
          <w:bCs/>
          <w:sz w:val="28"/>
          <w:szCs w:val="28"/>
        </w:rPr>
        <w:t xml:space="preserve"> </w:t>
      </w:r>
    </w:p>
    <w:p w14:paraId="69FC369B" w14:textId="77777777" w:rsidR="00DD2988" w:rsidRPr="00BD1BE3" w:rsidRDefault="00DD2988" w:rsidP="00DD2988">
      <w:pPr>
        <w:spacing w:after="0"/>
        <w:rPr>
          <w:rFonts w:ascii="Arial" w:hAnsi="Arial" w:cs="Arial"/>
          <w:sz w:val="20"/>
          <w:szCs w:val="20"/>
        </w:rPr>
      </w:pPr>
    </w:p>
    <w:p w14:paraId="0B27779C" w14:textId="5188E2B4" w:rsidR="00DD2988" w:rsidRDefault="00C45BFE" w:rsidP="00DD2988">
      <w:pPr>
        <w:spacing w:after="0"/>
        <w:rPr>
          <w:rFonts w:ascii="Times New Roman" w:hAnsi="Times New Roman" w:cs="Times New Roman"/>
          <w:sz w:val="24"/>
          <w:szCs w:val="24"/>
        </w:rPr>
      </w:pPr>
      <w:r>
        <w:rPr>
          <w:rFonts w:ascii="Times New Roman" w:hAnsi="Times New Roman" w:cs="Times New Roman"/>
          <w:sz w:val="24"/>
          <w:szCs w:val="24"/>
        </w:rPr>
        <w:t xml:space="preserve">I nærværende er anført visse tekstnære kommentarer til rapporten. </w:t>
      </w:r>
    </w:p>
    <w:p w14:paraId="6ACDB9F4" w14:textId="77777777" w:rsidR="00DD2988" w:rsidRPr="00B3516C" w:rsidRDefault="00DD2988" w:rsidP="00DD2988">
      <w:pPr>
        <w:spacing w:after="0"/>
        <w:rPr>
          <w:rFonts w:ascii="Times New Roman" w:hAnsi="Times New Roman" w:cs="Times New Roman"/>
          <w:sz w:val="24"/>
          <w:szCs w:val="24"/>
        </w:rPr>
      </w:pPr>
    </w:p>
    <w:p w14:paraId="7163C28B" w14:textId="63F930E5" w:rsidR="00DD2988" w:rsidRPr="00B3516C" w:rsidRDefault="00DD2988" w:rsidP="00DD2988">
      <w:pPr>
        <w:pStyle w:val="Listeafsnit"/>
        <w:numPr>
          <w:ilvl w:val="0"/>
          <w:numId w:val="16"/>
        </w:numPr>
        <w:spacing w:after="0"/>
        <w:rPr>
          <w:rFonts w:ascii="Times New Roman" w:hAnsi="Times New Roman" w:cs="Times New Roman"/>
          <w:sz w:val="24"/>
          <w:szCs w:val="24"/>
        </w:rPr>
      </w:pPr>
      <w:r w:rsidRPr="00B3516C">
        <w:rPr>
          <w:rFonts w:ascii="Times New Roman" w:hAnsi="Times New Roman" w:cs="Times New Roman"/>
          <w:b/>
          <w:bCs/>
          <w:sz w:val="24"/>
          <w:szCs w:val="24"/>
        </w:rPr>
        <w:t>Side 4</w:t>
      </w:r>
      <w:r w:rsidRPr="00B3516C">
        <w:rPr>
          <w:rFonts w:ascii="Times New Roman" w:hAnsi="Times New Roman" w:cs="Times New Roman"/>
          <w:sz w:val="24"/>
          <w:szCs w:val="24"/>
        </w:rPr>
        <w:t xml:space="preserve"> Vejrapporten om Oxford Global Projects </w:t>
      </w:r>
      <w:r w:rsidR="00C45BFE">
        <w:rPr>
          <w:rFonts w:ascii="Times New Roman" w:hAnsi="Times New Roman" w:cs="Times New Roman"/>
          <w:sz w:val="24"/>
          <w:szCs w:val="24"/>
        </w:rPr>
        <w:t xml:space="preserve">bør omtales mere nuanceret end blot som </w:t>
      </w:r>
      <w:r w:rsidRPr="00B3516C">
        <w:rPr>
          <w:rFonts w:ascii="Times New Roman" w:hAnsi="Times New Roman" w:cs="Times New Roman"/>
          <w:sz w:val="24"/>
          <w:szCs w:val="24"/>
        </w:rPr>
        <w:t>en positiv samfundsøkonomiske analyse. Rapporten kommer med 13 anbefalinger</w:t>
      </w:r>
      <w:r w:rsidR="00C45BFE">
        <w:rPr>
          <w:rFonts w:ascii="Times New Roman" w:hAnsi="Times New Roman" w:cs="Times New Roman"/>
          <w:sz w:val="24"/>
          <w:szCs w:val="24"/>
        </w:rPr>
        <w:t xml:space="preserve">, men anerkendes pba. </w:t>
      </w:r>
      <w:r w:rsidRPr="00B3516C">
        <w:rPr>
          <w:rFonts w:ascii="Times New Roman" w:hAnsi="Times New Roman" w:cs="Times New Roman"/>
          <w:sz w:val="24"/>
          <w:szCs w:val="24"/>
        </w:rPr>
        <w:t xml:space="preserve">et begrænset datagrundlag </w:t>
      </w:r>
      <w:r w:rsidR="00C45BFE">
        <w:rPr>
          <w:rFonts w:ascii="Times New Roman" w:hAnsi="Times New Roman" w:cs="Times New Roman"/>
          <w:sz w:val="24"/>
          <w:szCs w:val="24"/>
        </w:rPr>
        <w:t xml:space="preserve">som en </w:t>
      </w:r>
      <w:r w:rsidRPr="00B3516C">
        <w:rPr>
          <w:rFonts w:ascii="Times New Roman" w:hAnsi="Times New Roman" w:cs="Times New Roman"/>
          <w:sz w:val="24"/>
          <w:szCs w:val="24"/>
        </w:rPr>
        <w:t>kvalitativ analyse (interessentinterviews, mm).</w:t>
      </w:r>
    </w:p>
    <w:p w14:paraId="1B2B46E9" w14:textId="77777777" w:rsidR="00DD2988" w:rsidRPr="00B3516C" w:rsidRDefault="00DD2988" w:rsidP="00DD2988">
      <w:pPr>
        <w:pStyle w:val="Listeafsnit"/>
        <w:numPr>
          <w:ilvl w:val="0"/>
          <w:numId w:val="16"/>
        </w:numPr>
        <w:spacing w:after="0"/>
        <w:rPr>
          <w:rFonts w:ascii="Times New Roman" w:hAnsi="Times New Roman" w:cs="Times New Roman"/>
          <w:sz w:val="24"/>
          <w:szCs w:val="24"/>
        </w:rPr>
      </w:pPr>
      <w:r w:rsidRPr="00B3516C">
        <w:rPr>
          <w:rFonts w:ascii="Times New Roman" w:hAnsi="Times New Roman" w:cs="Times New Roman"/>
          <w:b/>
          <w:bCs/>
          <w:sz w:val="24"/>
          <w:szCs w:val="24"/>
        </w:rPr>
        <w:t>Side 5</w:t>
      </w:r>
      <w:r w:rsidRPr="00B3516C">
        <w:rPr>
          <w:rFonts w:ascii="Times New Roman" w:hAnsi="Times New Roman" w:cs="Times New Roman"/>
          <w:sz w:val="24"/>
          <w:szCs w:val="24"/>
        </w:rPr>
        <w:t xml:space="preserve">. ”byrdefordelingsspørgsmålet mellem de offentlige parter afklares politisk.”. Der blev i efteråret 2022 nedsat en arbejdsgruppe, som undersøger dette nærmere. Det skal efterfølgende give anledning til et oplæg til politisk behandling. </w:t>
      </w:r>
    </w:p>
    <w:p w14:paraId="0C5071E7" w14:textId="77777777" w:rsidR="00DD2988" w:rsidRPr="00B3516C" w:rsidRDefault="00DD2988" w:rsidP="00DD2988">
      <w:pPr>
        <w:pStyle w:val="Listeafsnit"/>
        <w:numPr>
          <w:ilvl w:val="0"/>
          <w:numId w:val="16"/>
        </w:numPr>
        <w:spacing w:after="0"/>
        <w:rPr>
          <w:rFonts w:ascii="Times New Roman" w:hAnsi="Times New Roman" w:cs="Times New Roman"/>
          <w:sz w:val="24"/>
          <w:szCs w:val="24"/>
        </w:rPr>
      </w:pPr>
      <w:r w:rsidRPr="00B3516C">
        <w:rPr>
          <w:rFonts w:ascii="Times New Roman" w:hAnsi="Times New Roman" w:cs="Times New Roman"/>
          <w:b/>
          <w:bCs/>
          <w:sz w:val="24"/>
          <w:szCs w:val="24"/>
        </w:rPr>
        <w:t>Side 10.</w:t>
      </w:r>
      <w:r w:rsidRPr="00B3516C">
        <w:rPr>
          <w:rFonts w:ascii="Times New Roman" w:hAnsi="Times New Roman" w:cs="Times New Roman"/>
          <w:sz w:val="24"/>
          <w:szCs w:val="24"/>
        </w:rPr>
        <w:t xml:space="preserve"> Qeqqata Kommunia har indhentet bidrag fra Integra i to rapporter. Departement for Finanser og Ligestilling har ikke forholdt sig til indholdet i disse rapporter. </w:t>
      </w:r>
    </w:p>
    <w:p w14:paraId="052E65AA" w14:textId="785D16B1" w:rsidR="00DD2988" w:rsidRPr="00B3516C" w:rsidRDefault="00DD2988" w:rsidP="00DD2988">
      <w:pPr>
        <w:pStyle w:val="Listeafsnit"/>
        <w:numPr>
          <w:ilvl w:val="0"/>
          <w:numId w:val="16"/>
        </w:numPr>
        <w:rPr>
          <w:rFonts w:ascii="Times New Roman" w:hAnsi="Times New Roman" w:cs="Times New Roman"/>
          <w:sz w:val="24"/>
          <w:szCs w:val="24"/>
        </w:rPr>
      </w:pPr>
      <w:r w:rsidRPr="00B3516C">
        <w:rPr>
          <w:rFonts w:ascii="Times New Roman" w:hAnsi="Times New Roman" w:cs="Times New Roman"/>
          <w:b/>
          <w:bCs/>
          <w:sz w:val="24"/>
          <w:szCs w:val="24"/>
        </w:rPr>
        <w:t xml:space="preserve">Side 11. </w:t>
      </w:r>
      <w:r w:rsidR="00627D4D">
        <w:rPr>
          <w:rFonts w:ascii="Times New Roman" w:hAnsi="Times New Roman" w:cs="Times New Roman"/>
          <w:sz w:val="24"/>
          <w:szCs w:val="24"/>
        </w:rPr>
        <w:t>E</w:t>
      </w:r>
      <w:r w:rsidRPr="00B3516C">
        <w:rPr>
          <w:rFonts w:ascii="Times New Roman" w:hAnsi="Times New Roman" w:cs="Times New Roman"/>
          <w:sz w:val="24"/>
          <w:szCs w:val="24"/>
        </w:rPr>
        <w:t xml:space="preserve">n endelig Samfundsøkonomisk konsekvensanalyse af ny havn ved Kangerlussuaq foreligger </w:t>
      </w:r>
      <w:r w:rsidR="00627D4D" w:rsidRPr="00B3516C">
        <w:rPr>
          <w:rFonts w:ascii="Times New Roman" w:hAnsi="Times New Roman" w:cs="Times New Roman"/>
          <w:sz w:val="24"/>
          <w:szCs w:val="24"/>
        </w:rPr>
        <w:t xml:space="preserve">ikke </w:t>
      </w:r>
      <w:r w:rsidRPr="00B3516C">
        <w:rPr>
          <w:rFonts w:ascii="Times New Roman" w:hAnsi="Times New Roman" w:cs="Times New Roman"/>
          <w:sz w:val="24"/>
          <w:szCs w:val="24"/>
        </w:rPr>
        <w:t xml:space="preserve">i en endelig godkendt udgave. </w:t>
      </w:r>
    </w:p>
    <w:p w14:paraId="03621F2C" w14:textId="38E0E97B" w:rsidR="00DD2988" w:rsidRDefault="00DD2988" w:rsidP="00DD2988">
      <w:pPr>
        <w:pStyle w:val="Listeafsnit"/>
        <w:numPr>
          <w:ilvl w:val="0"/>
          <w:numId w:val="16"/>
        </w:numPr>
        <w:spacing w:after="0"/>
        <w:rPr>
          <w:rFonts w:ascii="Times New Roman" w:hAnsi="Times New Roman" w:cs="Times New Roman"/>
          <w:sz w:val="24"/>
          <w:szCs w:val="24"/>
        </w:rPr>
      </w:pPr>
      <w:r w:rsidRPr="00B3516C">
        <w:rPr>
          <w:rFonts w:ascii="Times New Roman" w:hAnsi="Times New Roman" w:cs="Times New Roman"/>
          <w:b/>
          <w:bCs/>
          <w:sz w:val="24"/>
          <w:szCs w:val="24"/>
        </w:rPr>
        <w:t>Side 29.</w:t>
      </w:r>
      <w:r w:rsidRPr="00B3516C">
        <w:rPr>
          <w:rFonts w:ascii="Times New Roman" w:hAnsi="Times New Roman" w:cs="Times New Roman"/>
          <w:sz w:val="24"/>
          <w:szCs w:val="24"/>
        </w:rPr>
        <w:t xml:space="preserve"> Rapporten orienterer om en uvildig undersøgelse af vejrapporten mellem Sisimiut og Kangerlussuaq. Denne er foretaget af Oxford Global Projects</w:t>
      </w:r>
      <w:r w:rsidR="00363E39">
        <w:rPr>
          <w:rFonts w:ascii="Times New Roman" w:hAnsi="Times New Roman" w:cs="Times New Roman"/>
          <w:sz w:val="24"/>
          <w:szCs w:val="24"/>
        </w:rPr>
        <w:t>, som normalt (som anført)</w:t>
      </w:r>
      <w:r w:rsidRPr="00B3516C">
        <w:rPr>
          <w:rFonts w:ascii="Times New Roman" w:hAnsi="Times New Roman" w:cs="Times New Roman"/>
          <w:sz w:val="24"/>
          <w:szCs w:val="24"/>
        </w:rPr>
        <w:t xml:space="preserve"> anvender en referenceklasse baseret prognose (Reference Class Forecast (RFC)). </w:t>
      </w:r>
      <w:r w:rsidR="00363E39">
        <w:rPr>
          <w:rFonts w:ascii="Times New Roman" w:hAnsi="Times New Roman" w:cs="Times New Roman"/>
          <w:sz w:val="24"/>
          <w:szCs w:val="24"/>
        </w:rPr>
        <w:t>Det bør dog oplyses, at rapporten</w:t>
      </w:r>
      <w:r w:rsidR="00F32CE4">
        <w:rPr>
          <w:rFonts w:ascii="Times New Roman" w:hAnsi="Times New Roman" w:cs="Times New Roman"/>
          <w:sz w:val="24"/>
          <w:szCs w:val="24"/>
        </w:rPr>
        <w:t xml:space="preserve"> fra</w:t>
      </w:r>
      <w:r w:rsidR="00363E39">
        <w:rPr>
          <w:rFonts w:ascii="Times New Roman" w:hAnsi="Times New Roman" w:cs="Times New Roman"/>
          <w:sz w:val="24"/>
          <w:szCs w:val="24"/>
        </w:rPr>
        <w:t xml:space="preserve"> OGP i praksis fravælger denne </w:t>
      </w:r>
      <w:r w:rsidRPr="00B3516C">
        <w:rPr>
          <w:rFonts w:ascii="Times New Roman" w:hAnsi="Times New Roman" w:cs="Times New Roman"/>
          <w:sz w:val="24"/>
          <w:szCs w:val="24"/>
        </w:rPr>
        <w:t>metodikken pga. et begrænset datagrundlag.</w:t>
      </w:r>
    </w:p>
    <w:p w14:paraId="1636D5E1" w14:textId="37FD6472" w:rsidR="00E92829" w:rsidRDefault="00CD2484" w:rsidP="00CD2484">
      <w:pPr>
        <w:pStyle w:val="Listeafsnit"/>
        <w:numPr>
          <w:ilvl w:val="0"/>
          <w:numId w:val="16"/>
        </w:numPr>
        <w:rPr>
          <w:rFonts w:ascii="Times New Roman" w:hAnsi="Times New Roman" w:cs="Times New Roman"/>
          <w:sz w:val="24"/>
          <w:szCs w:val="24"/>
        </w:rPr>
      </w:pPr>
      <w:r w:rsidRPr="00CD2484">
        <w:rPr>
          <w:rFonts w:ascii="Times New Roman" w:hAnsi="Times New Roman" w:cs="Times New Roman"/>
          <w:b/>
          <w:bCs/>
          <w:sz w:val="24"/>
          <w:szCs w:val="24"/>
        </w:rPr>
        <w:t>Side 4</w:t>
      </w:r>
      <w:r w:rsidR="00E92829">
        <w:rPr>
          <w:rFonts w:ascii="Times New Roman" w:hAnsi="Times New Roman" w:cs="Times New Roman"/>
          <w:b/>
          <w:bCs/>
          <w:sz w:val="24"/>
          <w:szCs w:val="24"/>
        </w:rPr>
        <w:t>6</w:t>
      </w:r>
      <w:r w:rsidRPr="00CD2484">
        <w:rPr>
          <w:rFonts w:ascii="Times New Roman" w:hAnsi="Times New Roman" w:cs="Times New Roman"/>
          <w:b/>
          <w:bCs/>
          <w:sz w:val="24"/>
          <w:szCs w:val="24"/>
        </w:rPr>
        <w:t>.</w:t>
      </w:r>
      <w:r w:rsidRPr="00CD2484">
        <w:rPr>
          <w:rFonts w:ascii="Times New Roman" w:hAnsi="Times New Roman" w:cs="Times New Roman"/>
          <w:sz w:val="24"/>
          <w:szCs w:val="24"/>
        </w:rPr>
        <w:t xml:space="preserve"> </w:t>
      </w:r>
      <w:r w:rsidR="00E92829">
        <w:rPr>
          <w:rFonts w:ascii="Times New Roman" w:hAnsi="Times New Roman" w:cs="Times New Roman"/>
          <w:sz w:val="24"/>
          <w:szCs w:val="24"/>
        </w:rPr>
        <w:t>Her er</w:t>
      </w:r>
      <w:r w:rsidRPr="00CD2484">
        <w:rPr>
          <w:rFonts w:ascii="Times New Roman" w:hAnsi="Times New Roman" w:cs="Times New Roman"/>
          <w:sz w:val="24"/>
          <w:szCs w:val="24"/>
        </w:rPr>
        <w:t xml:space="preserve"> </w:t>
      </w:r>
      <w:r w:rsidR="00E92829">
        <w:rPr>
          <w:rFonts w:ascii="Times New Roman" w:hAnsi="Times New Roman" w:cs="Times New Roman"/>
          <w:sz w:val="24"/>
          <w:szCs w:val="24"/>
        </w:rPr>
        <w:t>nævnt en mulig fremadrettet driftsrolle for Mittarfeqarfiit, som dog ikke går i dybden med f.eks. et opdateret skøn for omfanget af den servicekontraktøkonomi</w:t>
      </w:r>
      <w:r w:rsidR="002528CA">
        <w:rPr>
          <w:rFonts w:ascii="Times New Roman" w:hAnsi="Times New Roman" w:cs="Times New Roman"/>
          <w:sz w:val="24"/>
          <w:szCs w:val="24"/>
        </w:rPr>
        <w:t>,</w:t>
      </w:r>
      <w:r w:rsidR="00E92829">
        <w:rPr>
          <w:rFonts w:ascii="Times New Roman" w:hAnsi="Times New Roman" w:cs="Times New Roman"/>
          <w:sz w:val="24"/>
          <w:szCs w:val="24"/>
        </w:rPr>
        <w:t xml:space="preserve"> som en forsat drift i Mittarfeqarfiit regi under forskellige beflyvningsscenarier vil fører med sig.</w:t>
      </w:r>
      <w:r w:rsidR="002528CA">
        <w:rPr>
          <w:rFonts w:ascii="Times New Roman" w:hAnsi="Times New Roman" w:cs="Times New Roman"/>
          <w:sz w:val="24"/>
          <w:szCs w:val="24"/>
        </w:rPr>
        <w:t xml:space="preserve"> En større grad af afklarethed på dette område vil positivt påvirke selvstyrets evne til at </w:t>
      </w:r>
      <w:r w:rsidR="004705F3">
        <w:rPr>
          <w:rFonts w:ascii="Times New Roman" w:hAnsi="Times New Roman" w:cs="Times New Roman"/>
          <w:sz w:val="24"/>
          <w:szCs w:val="24"/>
        </w:rPr>
        <w:t>lave retvisende</w:t>
      </w:r>
      <w:r w:rsidR="002528CA">
        <w:rPr>
          <w:rFonts w:ascii="Times New Roman" w:hAnsi="Times New Roman" w:cs="Times New Roman"/>
          <w:sz w:val="24"/>
          <w:szCs w:val="24"/>
        </w:rPr>
        <w:t xml:space="preserve"> konsekvensberegninger.   </w:t>
      </w:r>
      <w:r w:rsidR="00E92829">
        <w:rPr>
          <w:rFonts w:ascii="Times New Roman" w:hAnsi="Times New Roman" w:cs="Times New Roman"/>
          <w:sz w:val="24"/>
          <w:szCs w:val="24"/>
        </w:rPr>
        <w:t xml:space="preserve">  </w:t>
      </w:r>
    </w:p>
    <w:p w14:paraId="2A162FC6" w14:textId="77777777" w:rsidR="00E92829" w:rsidRDefault="00E92829" w:rsidP="007D6102">
      <w:pPr>
        <w:pStyle w:val="Listeafsnit"/>
        <w:rPr>
          <w:rFonts w:ascii="Times New Roman" w:hAnsi="Times New Roman" w:cs="Times New Roman"/>
          <w:sz w:val="24"/>
          <w:szCs w:val="24"/>
        </w:rPr>
      </w:pPr>
    </w:p>
    <w:p w14:paraId="14E5ABE0" w14:textId="77777777" w:rsidR="002604EC" w:rsidRDefault="002604EC">
      <w:pPr>
        <w:rPr>
          <w:rFonts w:ascii="Times New Roman" w:hAnsi="Times New Roman" w:cs="Times New Roman"/>
          <w:sz w:val="24"/>
          <w:szCs w:val="24"/>
        </w:rPr>
      </w:pPr>
      <w:r>
        <w:rPr>
          <w:rFonts w:ascii="Times New Roman" w:hAnsi="Times New Roman" w:cs="Times New Roman"/>
          <w:sz w:val="24"/>
          <w:szCs w:val="24"/>
        </w:rPr>
        <w:br w:type="page"/>
      </w:r>
    </w:p>
    <w:p w14:paraId="0E1F5EAC" w14:textId="4084824D" w:rsidR="00707D3A" w:rsidRPr="00C5737B" w:rsidRDefault="00707D3A" w:rsidP="00645198">
      <w:pPr>
        <w:spacing w:after="0"/>
        <w:jc w:val="both"/>
        <w:rPr>
          <w:rFonts w:ascii="Times New Roman" w:hAnsi="Times New Roman" w:cs="Times New Roman"/>
          <w:b/>
          <w:bCs/>
          <w:sz w:val="28"/>
          <w:szCs w:val="28"/>
        </w:rPr>
      </w:pPr>
      <w:r w:rsidRPr="00C5737B">
        <w:rPr>
          <w:rFonts w:ascii="Times New Roman" w:hAnsi="Times New Roman" w:cs="Times New Roman"/>
          <w:b/>
          <w:bCs/>
          <w:sz w:val="28"/>
          <w:szCs w:val="28"/>
        </w:rPr>
        <w:lastRenderedPageBreak/>
        <w:t>Appendiks</w:t>
      </w:r>
      <w:r w:rsidR="00DD2988">
        <w:rPr>
          <w:rFonts w:ascii="Times New Roman" w:hAnsi="Times New Roman" w:cs="Times New Roman"/>
          <w:b/>
          <w:bCs/>
          <w:sz w:val="28"/>
          <w:szCs w:val="28"/>
        </w:rPr>
        <w:t xml:space="preserve"> 2</w:t>
      </w:r>
      <w:r w:rsidRPr="00C5737B">
        <w:rPr>
          <w:rFonts w:ascii="Times New Roman" w:hAnsi="Times New Roman" w:cs="Times New Roman"/>
          <w:b/>
          <w:bCs/>
          <w:sz w:val="28"/>
          <w:szCs w:val="28"/>
        </w:rPr>
        <w:t>:</w:t>
      </w:r>
      <w:r w:rsidR="0051006C">
        <w:rPr>
          <w:rFonts w:ascii="Times New Roman" w:hAnsi="Times New Roman" w:cs="Times New Roman"/>
          <w:b/>
          <w:bCs/>
          <w:sz w:val="28"/>
          <w:szCs w:val="28"/>
        </w:rPr>
        <w:t xml:space="preserve"> (Risikoeksponering)</w:t>
      </w:r>
      <w:r w:rsidRPr="00C5737B">
        <w:rPr>
          <w:rFonts w:ascii="Times New Roman" w:hAnsi="Times New Roman" w:cs="Times New Roman"/>
          <w:b/>
          <w:bCs/>
          <w:sz w:val="28"/>
          <w:szCs w:val="28"/>
        </w:rPr>
        <w:t xml:space="preserve"> </w:t>
      </w:r>
    </w:p>
    <w:p w14:paraId="03EE7306" w14:textId="11937401" w:rsidR="00707D3A" w:rsidRDefault="00707D3A" w:rsidP="00645198">
      <w:pPr>
        <w:spacing w:after="0"/>
        <w:jc w:val="both"/>
        <w:rPr>
          <w:rFonts w:ascii="Times New Roman" w:hAnsi="Times New Roman" w:cs="Times New Roman"/>
          <w:sz w:val="20"/>
          <w:szCs w:val="20"/>
        </w:rPr>
      </w:pPr>
    </w:p>
    <w:p w14:paraId="60D5F273" w14:textId="5310B2B1" w:rsidR="0035615A" w:rsidRDefault="0035615A" w:rsidP="00645198">
      <w:pPr>
        <w:spacing w:after="0"/>
        <w:jc w:val="both"/>
        <w:rPr>
          <w:rFonts w:ascii="Times New Roman" w:hAnsi="Times New Roman" w:cs="Times New Roman"/>
          <w:sz w:val="20"/>
          <w:szCs w:val="20"/>
        </w:rPr>
      </w:pPr>
    </w:p>
    <w:p w14:paraId="6239B740" w14:textId="14520B06" w:rsidR="00AA2E4B" w:rsidRDefault="00AA2E4B" w:rsidP="00645198">
      <w:pPr>
        <w:spacing w:after="0"/>
        <w:jc w:val="both"/>
        <w:rPr>
          <w:rFonts w:ascii="Times New Roman" w:hAnsi="Times New Roman" w:cs="Times New Roman"/>
          <w:sz w:val="20"/>
          <w:szCs w:val="20"/>
        </w:rPr>
      </w:pPr>
    </w:p>
    <w:p w14:paraId="59933529" w14:textId="77777777" w:rsidR="00744354" w:rsidRPr="00573ACD" w:rsidRDefault="00744354" w:rsidP="00744354">
      <w:pPr>
        <w:spacing w:after="0"/>
        <w:jc w:val="both"/>
        <w:rPr>
          <w:rFonts w:ascii="Times New Roman" w:hAnsi="Times New Roman" w:cs="Times New Roman"/>
          <w:b/>
          <w:bCs/>
          <w:sz w:val="24"/>
          <w:szCs w:val="24"/>
        </w:rPr>
      </w:pPr>
      <w:r w:rsidRPr="00573ACD">
        <w:rPr>
          <w:rFonts w:ascii="Times New Roman" w:hAnsi="Times New Roman" w:cs="Times New Roman"/>
          <w:b/>
          <w:bCs/>
          <w:sz w:val="24"/>
          <w:szCs w:val="24"/>
        </w:rPr>
        <w:t>2. Risikoeksponering</w:t>
      </w:r>
      <w:r>
        <w:rPr>
          <w:rFonts w:ascii="Times New Roman" w:hAnsi="Times New Roman" w:cs="Times New Roman"/>
          <w:b/>
          <w:bCs/>
          <w:sz w:val="24"/>
          <w:szCs w:val="24"/>
        </w:rPr>
        <w:t>:</w:t>
      </w:r>
    </w:p>
    <w:p w14:paraId="7F6B3936" w14:textId="77777777" w:rsidR="00744354" w:rsidRPr="003E3D09" w:rsidRDefault="00744354" w:rsidP="00744354">
      <w:pPr>
        <w:tabs>
          <w:tab w:val="left" w:pos="2177"/>
        </w:tabs>
        <w:rPr>
          <w:rFonts w:ascii="Times New Roman" w:eastAsia="Times New Roman" w:hAnsi="Times New Roman" w:cs="Times New Roman"/>
          <w:color w:val="000000"/>
          <w:sz w:val="24"/>
          <w:szCs w:val="24"/>
          <w:lang w:eastAsia="da-DK"/>
        </w:rPr>
      </w:pPr>
    </w:p>
    <w:p w14:paraId="4F7ECC38" w14:textId="0C08845F" w:rsidR="00744354" w:rsidRPr="00573ACD" w:rsidRDefault="00744354" w:rsidP="00744354">
      <w:pPr>
        <w:rPr>
          <w:rFonts w:ascii="Times New Roman" w:hAnsi="Times New Roman" w:cs="Times New Roman"/>
          <w:b/>
          <w:bCs/>
          <w:sz w:val="24"/>
          <w:szCs w:val="24"/>
          <w:lang w:eastAsia="da-DK"/>
        </w:rPr>
      </w:pPr>
      <w:r>
        <w:rPr>
          <w:rFonts w:ascii="Times New Roman" w:eastAsia="Times New Roman" w:hAnsi="Times New Roman" w:cs="Times New Roman"/>
          <w:b/>
          <w:bCs/>
          <w:color w:val="000000"/>
          <w:sz w:val="24"/>
          <w:szCs w:val="24"/>
          <w:lang w:eastAsia="da-DK"/>
        </w:rPr>
        <w:t xml:space="preserve">2.1 </w:t>
      </w:r>
      <w:r w:rsidR="00D07F04">
        <w:rPr>
          <w:rFonts w:ascii="Times New Roman" w:hAnsi="Times New Roman" w:cs="Times New Roman"/>
          <w:b/>
          <w:bCs/>
          <w:sz w:val="24"/>
          <w:szCs w:val="24"/>
          <w:lang w:eastAsia="da-DK"/>
        </w:rPr>
        <w:t>Økonomiske beregnin</w:t>
      </w:r>
      <w:r w:rsidR="006A0110">
        <w:rPr>
          <w:rFonts w:ascii="Times New Roman" w:hAnsi="Times New Roman" w:cs="Times New Roman"/>
          <w:b/>
          <w:bCs/>
          <w:sz w:val="24"/>
          <w:szCs w:val="24"/>
          <w:lang w:eastAsia="da-DK"/>
        </w:rPr>
        <w:t>ger</w:t>
      </w:r>
      <w:r w:rsidR="00D07F04" w:rsidRPr="00573ACD">
        <w:rPr>
          <w:rFonts w:ascii="Times New Roman" w:hAnsi="Times New Roman" w:cs="Times New Roman"/>
          <w:b/>
          <w:bCs/>
          <w:sz w:val="24"/>
          <w:szCs w:val="24"/>
          <w:lang w:eastAsia="da-DK"/>
        </w:rPr>
        <w:t xml:space="preserve"> </w:t>
      </w:r>
      <w:r w:rsidRPr="00573ACD">
        <w:rPr>
          <w:rFonts w:ascii="Times New Roman" w:hAnsi="Times New Roman" w:cs="Times New Roman"/>
          <w:b/>
          <w:bCs/>
          <w:sz w:val="24"/>
          <w:szCs w:val="24"/>
          <w:lang w:eastAsia="da-DK"/>
        </w:rPr>
        <w:t xml:space="preserve">ved Kangerlussuaq </w:t>
      </w:r>
      <w:r w:rsidR="00D07F04">
        <w:rPr>
          <w:rFonts w:ascii="Times New Roman" w:hAnsi="Times New Roman" w:cs="Times New Roman"/>
          <w:b/>
          <w:bCs/>
          <w:sz w:val="24"/>
          <w:szCs w:val="24"/>
          <w:lang w:eastAsia="da-DK"/>
        </w:rPr>
        <w:t>atlant</w:t>
      </w:r>
      <w:r w:rsidRPr="00573ACD">
        <w:rPr>
          <w:rFonts w:ascii="Times New Roman" w:hAnsi="Times New Roman" w:cs="Times New Roman"/>
          <w:b/>
          <w:bCs/>
          <w:sz w:val="24"/>
          <w:szCs w:val="24"/>
          <w:lang w:eastAsia="da-DK"/>
        </w:rPr>
        <w:t>lufthavn</w:t>
      </w:r>
      <w:r>
        <w:rPr>
          <w:rFonts w:ascii="Times New Roman" w:hAnsi="Times New Roman" w:cs="Times New Roman"/>
          <w:b/>
          <w:bCs/>
          <w:sz w:val="24"/>
          <w:szCs w:val="24"/>
          <w:lang w:eastAsia="da-DK"/>
        </w:rPr>
        <w:t>:</w:t>
      </w:r>
    </w:p>
    <w:p w14:paraId="4E6D6712" w14:textId="77777777" w:rsidR="00744354" w:rsidRPr="00E1682F" w:rsidRDefault="00744354" w:rsidP="00374A39">
      <w:pPr>
        <w:pStyle w:val="Listeafsnit"/>
        <w:numPr>
          <w:ilvl w:val="0"/>
          <w:numId w:val="6"/>
        </w:numPr>
        <w:ind w:left="360"/>
        <w:jc w:val="both"/>
        <w:rPr>
          <w:rFonts w:ascii="Times New Roman" w:eastAsia="Times New Roman" w:hAnsi="Times New Roman" w:cs="Times New Roman"/>
          <w:color w:val="000000"/>
          <w:sz w:val="24"/>
          <w:szCs w:val="24"/>
          <w:lang w:eastAsia="da-DK"/>
        </w:rPr>
      </w:pPr>
      <w:r w:rsidRPr="003E3D09">
        <w:rPr>
          <w:rFonts w:ascii="Times New Roman" w:eastAsia="Times New Roman" w:hAnsi="Times New Roman" w:cs="Times New Roman"/>
          <w:color w:val="000000"/>
          <w:sz w:val="24"/>
          <w:szCs w:val="24"/>
          <w:lang w:eastAsia="da-DK"/>
        </w:rPr>
        <w:t>Landskassen kan potentielt påføres ekstra omkostninger i form af servicekontraktforpligtigelser</w:t>
      </w:r>
      <w:r w:rsidRPr="00E1682F">
        <w:rPr>
          <w:rFonts w:ascii="Times New Roman" w:eastAsia="Times New Roman" w:hAnsi="Times New Roman" w:cs="Times New Roman"/>
          <w:color w:val="000000"/>
          <w:sz w:val="24"/>
          <w:szCs w:val="24"/>
          <w:lang w:eastAsia="da-DK"/>
        </w:rPr>
        <w:t xml:space="preserve"> som ikke står i rimeligt forhold til kapacitetsbehovet i forbindelse med en fortsat civile beflyvning af Kangerlussuaq.  </w:t>
      </w:r>
    </w:p>
    <w:p w14:paraId="5617F880" w14:textId="77777777" w:rsidR="00744354" w:rsidRPr="00E1682F" w:rsidRDefault="00744354" w:rsidP="00374A39">
      <w:pPr>
        <w:pStyle w:val="Listeafsnit"/>
        <w:ind w:left="0"/>
        <w:jc w:val="both"/>
        <w:rPr>
          <w:rFonts w:ascii="Times New Roman" w:eastAsia="Times New Roman" w:hAnsi="Times New Roman" w:cs="Times New Roman"/>
          <w:color w:val="000000"/>
          <w:sz w:val="24"/>
          <w:szCs w:val="24"/>
          <w:lang w:eastAsia="da-DK"/>
        </w:rPr>
      </w:pPr>
    </w:p>
    <w:p w14:paraId="70A533F8" w14:textId="5776A179" w:rsidR="00744354" w:rsidRPr="00E1682F" w:rsidRDefault="00744354" w:rsidP="00374A39">
      <w:pPr>
        <w:pStyle w:val="Listeafsnit"/>
        <w:numPr>
          <w:ilvl w:val="0"/>
          <w:numId w:val="6"/>
        </w:numPr>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Civil atlantbeflyvning fremstår samtidig som en grundforudsætning for krydstogtsforetningen og som kritisk kilde til turisme</w:t>
      </w:r>
      <w:r w:rsidR="00C61930">
        <w:rPr>
          <w:rFonts w:ascii="Times New Roman" w:eastAsia="Times New Roman" w:hAnsi="Times New Roman" w:cs="Times New Roman"/>
          <w:color w:val="000000"/>
          <w:sz w:val="24"/>
          <w:szCs w:val="24"/>
          <w:lang w:eastAsia="da-DK"/>
        </w:rPr>
        <w:t>n.</w:t>
      </w:r>
      <w:r w:rsidRPr="00E1682F">
        <w:rPr>
          <w:rFonts w:ascii="Times New Roman" w:eastAsia="Times New Roman" w:hAnsi="Times New Roman" w:cs="Times New Roman"/>
          <w:color w:val="000000"/>
          <w:sz w:val="24"/>
          <w:szCs w:val="24"/>
          <w:lang w:eastAsia="da-DK"/>
        </w:rPr>
        <w:t xml:space="preserve"> </w:t>
      </w:r>
      <w:r w:rsidR="00C61930">
        <w:rPr>
          <w:rFonts w:ascii="Times New Roman" w:eastAsia="Times New Roman" w:hAnsi="Times New Roman" w:cs="Times New Roman"/>
          <w:color w:val="000000"/>
          <w:sz w:val="24"/>
          <w:szCs w:val="24"/>
          <w:lang w:eastAsia="da-DK"/>
        </w:rPr>
        <w:t>Hvad betyder</w:t>
      </w:r>
      <w:r w:rsidR="00F54AAE">
        <w:rPr>
          <w:rFonts w:ascii="Times New Roman" w:eastAsia="Times New Roman" w:hAnsi="Times New Roman" w:cs="Times New Roman"/>
          <w:color w:val="000000"/>
          <w:sz w:val="24"/>
          <w:szCs w:val="24"/>
          <w:lang w:eastAsia="da-DK"/>
        </w:rPr>
        <w:t xml:space="preserve"> en</w:t>
      </w:r>
      <w:r w:rsidR="00C61930">
        <w:rPr>
          <w:rFonts w:ascii="Times New Roman" w:eastAsia="Times New Roman" w:hAnsi="Times New Roman" w:cs="Times New Roman"/>
          <w:color w:val="000000"/>
          <w:sz w:val="24"/>
          <w:szCs w:val="24"/>
          <w:lang w:eastAsia="da-DK"/>
        </w:rPr>
        <w:t xml:space="preserve"> afvigelser fra dette for </w:t>
      </w:r>
      <w:r w:rsidRPr="00E1682F">
        <w:rPr>
          <w:rFonts w:ascii="Times New Roman" w:eastAsia="Times New Roman" w:hAnsi="Times New Roman" w:cs="Times New Roman"/>
          <w:color w:val="000000"/>
          <w:sz w:val="24"/>
          <w:szCs w:val="24"/>
          <w:lang w:eastAsia="da-DK"/>
        </w:rPr>
        <w:t>privat</w:t>
      </w:r>
      <w:r w:rsidR="00C61930">
        <w:rPr>
          <w:rFonts w:ascii="Times New Roman" w:eastAsia="Times New Roman" w:hAnsi="Times New Roman" w:cs="Times New Roman"/>
          <w:color w:val="000000"/>
          <w:sz w:val="24"/>
          <w:szCs w:val="24"/>
          <w:lang w:eastAsia="da-DK"/>
        </w:rPr>
        <w:t>e</w:t>
      </w:r>
      <w:r w:rsidR="00374A39">
        <w:rPr>
          <w:rFonts w:ascii="Times New Roman" w:eastAsia="Times New Roman" w:hAnsi="Times New Roman" w:cs="Times New Roman"/>
          <w:color w:val="000000"/>
          <w:sz w:val="24"/>
          <w:szCs w:val="24"/>
          <w:lang w:eastAsia="da-DK"/>
        </w:rPr>
        <w:t xml:space="preserve"> </w:t>
      </w:r>
      <w:r w:rsidRPr="00E1682F">
        <w:rPr>
          <w:rFonts w:ascii="Times New Roman" w:eastAsia="Times New Roman" w:hAnsi="Times New Roman" w:cs="Times New Roman"/>
          <w:color w:val="000000"/>
          <w:sz w:val="24"/>
          <w:szCs w:val="24"/>
          <w:lang w:eastAsia="da-DK"/>
        </w:rPr>
        <w:t>invest</w:t>
      </w:r>
      <w:r w:rsidR="00C61930">
        <w:rPr>
          <w:rFonts w:ascii="Times New Roman" w:eastAsia="Times New Roman" w:hAnsi="Times New Roman" w:cs="Times New Roman"/>
          <w:color w:val="000000"/>
          <w:sz w:val="24"/>
          <w:szCs w:val="24"/>
          <w:lang w:eastAsia="da-DK"/>
        </w:rPr>
        <w:t>eringer</w:t>
      </w:r>
      <w:r w:rsidR="00374A39">
        <w:rPr>
          <w:rFonts w:ascii="Times New Roman" w:eastAsia="Times New Roman" w:hAnsi="Times New Roman" w:cs="Times New Roman"/>
          <w:color w:val="000000"/>
          <w:sz w:val="24"/>
          <w:szCs w:val="24"/>
          <w:lang w:eastAsia="da-DK"/>
        </w:rPr>
        <w:t xml:space="preserve"> </w:t>
      </w:r>
      <w:r w:rsidRPr="00E1682F">
        <w:rPr>
          <w:rFonts w:ascii="Times New Roman" w:eastAsia="Times New Roman" w:hAnsi="Times New Roman" w:cs="Times New Roman"/>
          <w:color w:val="000000"/>
          <w:sz w:val="24"/>
          <w:szCs w:val="24"/>
          <w:lang w:eastAsia="da-DK"/>
        </w:rPr>
        <w:t>langs en mulig helårsvej for biler mellem Kangerlussuaq og Sisimiut.</w:t>
      </w:r>
    </w:p>
    <w:p w14:paraId="0CC79966" w14:textId="77777777" w:rsidR="00744354" w:rsidRPr="00E1682F" w:rsidRDefault="00744354" w:rsidP="00374A39">
      <w:pPr>
        <w:pStyle w:val="Listeafsnit"/>
        <w:ind w:left="0"/>
        <w:jc w:val="both"/>
        <w:rPr>
          <w:rFonts w:ascii="Times New Roman" w:eastAsia="Times New Roman" w:hAnsi="Times New Roman" w:cs="Times New Roman"/>
          <w:color w:val="000000"/>
          <w:sz w:val="24"/>
          <w:szCs w:val="24"/>
          <w:lang w:eastAsia="da-DK"/>
        </w:rPr>
      </w:pPr>
    </w:p>
    <w:p w14:paraId="60548B89" w14:textId="753B5926" w:rsidR="00744354" w:rsidRPr="00E1682F" w:rsidRDefault="00744354" w:rsidP="00374A39">
      <w:pPr>
        <w:pStyle w:val="Listeafsnit"/>
        <w:numPr>
          <w:ilvl w:val="0"/>
          <w:numId w:val="6"/>
        </w:numPr>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Hvis der etableres overkapacitet i atlantbeflyvningen til Grønland, i forhold til et faktuelt realiserbart turistgrundlag, så kan det medføre </w:t>
      </w:r>
      <w:r w:rsidR="00F54AAE" w:rsidRPr="00E1682F">
        <w:rPr>
          <w:rFonts w:ascii="Times New Roman" w:eastAsia="Times New Roman" w:hAnsi="Times New Roman" w:cs="Times New Roman"/>
          <w:color w:val="000000"/>
          <w:sz w:val="24"/>
          <w:szCs w:val="24"/>
          <w:lang w:eastAsia="da-DK"/>
        </w:rPr>
        <w:t>e</w:t>
      </w:r>
      <w:r w:rsidR="00F54AAE">
        <w:rPr>
          <w:rFonts w:ascii="Times New Roman" w:eastAsia="Times New Roman" w:hAnsi="Times New Roman" w:cs="Times New Roman"/>
          <w:color w:val="000000"/>
          <w:sz w:val="24"/>
          <w:szCs w:val="24"/>
          <w:lang w:eastAsia="da-DK"/>
        </w:rPr>
        <w:t>t</w:t>
      </w:r>
      <w:r w:rsidR="00F54AAE" w:rsidRPr="00E1682F">
        <w:rPr>
          <w:rFonts w:ascii="Times New Roman" w:eastAsia="Times New Roman" w:hAnsi="Times New Roman" w:cs="Times New Roman"/>
          <w:color w:val="000000"/>
          <w:sz w:val="24"/>
          <w:szCs w:val="24"/>
          <w:lang w:eastAsia="da-DK"/>
        </w:rPr>
        <w:t xml:space="preserve"> unødigt overskudskapacitetsbetinget pris</w:t>
      </w:r>
      <w:r w:rsidRPr="00E1682F">
        <w:rPr>
          <w:rFonts w:ascii="Times New Roman" w:eastAsia="Times New Roman" w:hAnsi="Times New Roman" w:cs="Times New Roman"/>
          <w:color w:val="000000"/>
          <w:sz w:val="24"/>
          <w:szCs w:val="24"/>
          <w:lang w:eastAsia="da-DK"/>
        </w:rPr>
        <w:t>pres</w:t>
      </w:r>
      <w:r w:rsidR="00F54AAE">
        <w:rPr>
          <w:rFonts w:ascii="Times New Roman" w:eastAsia="Times New Roman" w:hAnsi="Times New Roman" w:cs="Times New Roman"/>
          <w:color w:val="000000"/>
          <w:sz w:val="24"/>
          <w:szCs w:val="24"/>
          <w:lang w:eastAsia="da-DK"/>
        </w:rPr>
        <w:t xml:space="preserve"> for lufthavnsoperatører. </w:t>
      </w:r>
    </w:p>
    <w:p w14:paraId="2679EA6D" w14:textId="77777777" w:rsidR="00744354" w:rsidRPr="00E1682F" w:rsidRDefault="00744354" w:rsidP="00374A39">
      <w:pPr>
        <w:pStyle w:val="Listeafsnit"/>
        <w:ind w:left="0"/>
        <w:rPr>
          <w:rFonts w:ascii="Times New Roman" w:eastAsia="Times New Roman" w:hAnsi="Times New Roman" w:cs="Times New Roman"/>
          <w:color w:val="000000"/>
          <w:sz w:val="24"/>
          <w:szCs w:val="24"/>
          <w:lang w:eastAsia="da-DK"/>
        </w:rPr>
      </w:pPr>
    </w:p>
    <w:p w14:paraId="6EA98935" w14:textId="143A26E8" w:rsidR="00744354" w:rsidRPr="003E3D09" w:rsidRDefault="00744354" w:rsidP="00744354">
      <w:pPr>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b/>
          <w:bCs/>
          <w:color w:val="000000"/>
          <w:sz w:val="24"/>
          <w:szCs w:val="24"/>
          <w:lang w:eastAsia="da-DK"/>
        </w:rPr>
        <w:t>2.2</w:t>
      </w:r>
      <w:r w:rsidR="006A0110" w:rsidRPr="006A0110">
        <w:rPr>
          <w:rFonts w:ascii="Times New Roman" w:eastAsia="Times New Roman" w:hAnsi="Times New Roman" w:cs="Times New Roman"/>
          <w:color w:val="000000"/>
          <w:sz w:val="24"/>
          <w:szCs w:val="24"/>
          <w:lang w:eastAsia="da-DK"/>
        </w:rPr>
        <w:t xml:space="preserve"> </w:t>
      </w:r>
      <w:r w:rsidR="006A0110">
        <w:rPr>
          <w:rFonts w:ascii="Times New Roman" w:eastAsia="Times New Roman" w:hAnsi="Times New Roman" w:cs="Times New Roman"/>
          <w:color w:val="000000"/>
          <w:sz w:val="24"/>
          <w:szCs w:val="24"/>
          <w:lang w:eastAsia="da-DK"/>
        </w:rPr>
        <w:t>Afledte indtægter</w:t>
      </w:r>
      <w:r w:rsidR="00F54AAE">
        <w:rPr>
          <w:rFonts w:ascii="Times New Roman" w:eastAsia="Times New Roman" w:hAnsi="Times New Roman" w:cs="Times New Roman"/>
          <w:color w:val="000000"/>
          <w:sz w:val="24"/>
          <w:szCs w:val="24"/>
          <w:lang w:eastAsia="da-DK"/>
        </w:rPr>
        <w:t xml:space="preserve"> </w:t>
      </w:r>
      <w:r w:rsidRPr="003E3D09">
        <w:rPr>
          <w:rFonts w:ascii="Times New Roman" w:eastAsia="Times New Roman" w:hAnsi="Times New Roman" w:cs="Times New Roman"/>
          <w:b/>
          <w:bCs/>
          <w:color w:val="000000"/>
          <w:sz w:val="24"/>
          <w:szCs w:val="24"/>
          <w:lang w:eastAsia="da-DK"/>
        </w:rPr>
        <w:t>ved Kangerlussuaq Havn:</w:t>
      </w:r>
    </w:p>
    <w:p w14:paraId="7901A764" w14:textId="77777777" w:rsidR="00744354" w:rsidRPr="00E1682F" w:rsidRDefault="00744354" w:rsidP="00374A39">
      <w:pPr>
        <w:pStyle w:val="Listeafsnit"/>
        <w:numPr>
          <w:ilvl w:val="0"/>
          <w:numId w:val="7"/>
        </w:numPr>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Havnefunktionen i Kangerlussuaq er en væsentlig parameter, for at den eksisterende krydstogtsforretning kan udvikle sig. Spørgsmålet er, hvorledes krydstogtsmarkedet vil reagere på de nye to alternative turn-around destinationer i Ilulissat og Nuuk. </w:t>
      </w:r>
    </w:p>
    <w:p w14:paraId="4F7FB252" w14:textId="77777777" w:rsidR="00744354" w:rsidRPr="00E1682F" w:rsidRDefault="00744354" w:rsidP="00374A39">
      <w:pPr>
        <w:pStyle w:val="Listeafsnit"/>
        <w:ind w:left="360"/>
        <w:jc w:val="both"/>
        <w:rPr>
          <w:rFonts w:ascii="Times New Roman" w:eastAsia="Times New Roman" w:hAnsi="Times New Roman" w:cs="Times New Roman"/>
          <w:color w:val="000000"/>
          <w:sz w:val="24"/>
          <w:szCs w:val="24"/>
          <w:lang w:eastAsia="da-DK"/>
        </w:rPr>
      </w:pPr>
    </w:p>
    <w:p w14:paraId="70E8CB87" w14:textId="77777777" w:rsidR="00744354" w:rsidRPr="00E1682F" w:rsidRDefault="00744354" w:rsidP="00374A39">
      <w:pPr>
        <w:pStyle w:val="Listeafsnit"/>
        <w:numPr>
          <w:ilvl w:val="0"/>
          <w:numId w:val="7"/>
        </w:numPr>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Det er risikabelt at stadfæste det fremtidige efterspørgselsbehov alene på baggrund af en spørgeskemaundersøgelse.</w:t>
      </w:r>
    </w:p>
    <w:p w14:paraId="2DD4EEC8" w14:textId="77777777" w:rsidR="00744354" w:rsidRPr="00E1682F" w:rsidRDefault="00744354" w:rsidP="00374A39">
      <w:pPr>
        <w:pStyle w:val="Listeafsnit"/>
        <w:ind w:left="0"/>
        <w:jc w:val="both"/>
        <w:rPr>
          <w:rFonts w:ascii="Times New Roman" w:eastAsia="Times New Roman" w:hAnsi="Times New Roman" w:cs="Times New Roman"/>
          <w:color w:val="000000"/>
          <w:sz w:val="24"/>
          <w:szCs w:val="24"/>
          <w:lang w:eastAsia="da-DK"/>
        </w:rPr>
      </w:pPr>
    </w:p>
    <w:p w14:paraId="16BF01D0" w14:textId="1CFE3E17" w:rsidR="00744354" w:rsidRPr="00374A39" w:rsidRDefault="00744354" w:rsidP="00374A39">
      <w:pPr>
        <w:pStyle w:val="Listeafsnit"/>
        <w:numPr>
          <w:ilvl w:val="0"/>
          <w:numId w:val="7"/>
        </w:numPr>
        <w:ind w:left="360"/>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t xml:space="preserve">Rationelle markedsaktører i krydstogtsindustrien må forventes løbende at tage bestik af markedsudviklingen for mulige anløb i Grønland og tilpasse sig til de forhold som aktuelt er gældende.  </w:t>
      </w:r>
    </w:p>
    <w:p w14:paraId="38B53B97" w14:textId="77777777" w:rsidR="00744354" w:rsidRPr="00E1682F" w:rsidRDefault="00744354" w:rsidP="00374A39">
      <w:pPr>
        <w:pStyle w:val="Listeafsnit"/>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 </w:t>
      </w:r>
    </w:p>
    <w:p w14:paraId="11439762" w14:textId="3FD32DF1" w:rsidR="00744354" w:rsidRPr="00374A39" w:rsidRDefault="00744354" w:rsidP="00374A39">
      <w:pPr>
        <w:pStyle w:val="Listeafsnit"/>
        <w:numPr>
          <w:ilvl w:val="0"/>
          <w:numId w:val="7"/>
        </w:numPr>
        <w:ind w:left="360"/>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t xml:space="preserve">En præmis om at besøgsvolumenet for krydstogsanløb i Kangerlussuaq kan øges markant, parallelt med at der tilføres markedet betydelig mere turn-around kapacitet andetsteds, virker ikke umiddelbart overbevisende. Ikke udnyttet kapacitet på den anden side er en omkostning i sig selv. </w:t>
      </w:r>
    </w:p>
    <w:p w14:paraId="69135694" w14:textId="15F34BFB" w:rsidR="00744354" w:rsidRPr="003E3D09" w:rsidRDefault="00744354" w:rsidP="00744354">
      <w:pPr>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b/>
          <w:bCs/>
          <w:color w:val="000000"/>
          <w:sz w:val="24"/>
          <w:szCs w:val="24"/>
          <w:lang w:eastAsia="da-DK"/>
        </w:rPr>
        <w:t xml:space="preserve">2.3 </w:t>
      </w:r>
      <w:r w:rsidR="006A0110">
        <w:rPr>
          <w:rFonts w:ascii="Times New Roman" w:eastAsia="Times New Roman" w:hAnsi="Times New Roman" w:cs="Times New Roman"/>
          <w:color w:val="000000"/>
          <w:sz w:val="24"/>
          <w:szCs w:val="24"/>
          <w:lang w:eastAsia="da-DK"/>
        </w:rPr>
        <w:t>Afledte indtægter</w:t>
      </w:r>
      <w:r w:rsidRPr="003E3D09">
        <w:rPr>
          <w:rFonts w:ascii="Times New Roman" w:eastAsia="Times New Roman" w:hAnsi="Times New Roman" w:cs="Times New Roman"/>
          <w:b/>
          <w:bCs/>
          <w:color w:val="000000"/>
          <w:sz w:val="24"/>
          <w:szCs w:val="24"/>
          <w:lang w:eastAsia="da-DK"/>
        </w:rPr>
        <w:t xml:space="preserve"> ved Sisimiut og Kangerluss</w:t>
      </w:r>
      <w:r w:rsidRPr="00573ACD">
        <w:rPr>
          <w:rFonts w:ascii="Times New Roman" w:eastAsia="Times New Roman" w:hAnsi="Times New Roman" w:cs="Times New Roman"/>
          <w:b/>
          <w:bCs/>
          <w:color w:val="000000"/>
          <w:sz w:val="24"/>
          <w:szCs w:val="24"/>
          <w:lang w:eastAsia="da-DK"/>
        </w:rPr>
        <w:t>u</w:t>
      </w:r>
      <w:r w:rsidRPr="003E3D09">
        <w:rPr>
          <w:rFonts w:ascii="Times New Roman" w:eastAsia="Times New Roman" w:hAnsi="Times New Roman" w:cs="Times New Roman"/>
          <w:b/>
          <w:bCs/>
          <w:color w:val="000000"/>
          <w:sz w:val="24"/>
          <w:szCs w:val="24"/>
          <w:lang w:eastAsia="da-DK"/>
        </w:rPr>
        <w:t>aq</w:t>
      </w:r>
      <w:r>
        <w:rPr>
          <w:rFonts w:ascii="Times New Roman" w:eastAsia="Times New Roman" w:hAnsi="Times New Roman" w:cs="Times New Roman"/>
          <w:b/>
          <w:bCs/>
          <w:color w:val="000000"/>
          <w:sz w:val="24"/>
          <w:szCs w:val="24"/>
          <w:lang w:eastAsia="da-DK"/>
        </w:rPr>
        <w:t xml:space="preserve"> vej</w:t>
      </w:r>
    </w:p>
    <w:p w14:paraId="0E540616" w14:textId="0C04F0AB" w:rsidR="00627D4D" w:rsidRDefault="00627D4D" w:rsidP="00627D4D">
      <w:pPr>
        <w:pStyle w:val="Listeafsnit"/>
        <w:numPr>
          <w:ilvl w:val="0"/>
          <w:numId w:val="8"/>
        </w:numPr>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lastRenderedPageBreak/>
        <w:t xml:space="preserve">De tre projekter, civil lufthavn, havnefaciliteter, og en mulig helårsvej for biltrafik kan ikke forstås isoleret, da de hver for sig er del af de øvrige projekters eksistensberettigelse. Fejler den ene fejler de potentielt alle på grund af dette skæbnefællesskab. </w:t>
      </w:r>
    </w:p>
    <w:p w14:paraId="34918519" w14:textId="77777777" w:rsidR="00627D4D" w:rsidRPr="00374A39" w:rsidRDefault="00627D4D" w:rsidP="007D6102">
      <w:pPr>
        <w:pStyle w:val="Listeafsnit"/>
        <w:ind w:left="360"/>
        <w:jc w:val="both"/>
        <w:rPr>
          <w:rFonts w:ascii="Times New Roman" w:eastAsia="Times New Roman" w:hAnsi="Times New Roman" w:cs="Times New Roman"/>
          <w:color w:val="000000"/>
          <w:sz w:val="24"/>
          <w:szCs w:val="24"/>
          <w:lang w:eastAsia="da-DK"/>
        </w:rPr>
      </w:pPr>
    </w:p>
    <w:p w14:paraId="25ED4CA6" w14:textId="09F0A9FA" w:rsidR="00744354" w:rsidRDefault="00744354" w:rsidP="00744354">
      <w:pPr>
        <w:pStyle w:val="Listeafsnit"/>
        <w:numPr>
          <w:ilvl w:val="0"/>
          <w:numId w:val="8"/>
        </w:numPr>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Rentabiliteten af vejen er betinget af der via en fortsat atlantbeflyvning og en forventet stigningstakt i krydstogtturisme forretningen</w:t>
      </w:r>
      <w:r w:rsidR="006A0110">
        <w:rPr>
          <w:rFonts w:ascii="Times New Roman" w:eastAsia="Times New Roman" w:hAnsi="Times New Roman" w:cs="Times New Roman"/>
          <w:color w:val="000000"/>
          <w:sz w:val="24"/>
          <w:szCs w:val="24"/>
          <w:lang w:eastAsia="da-DK"/>
        </w:rPr>
        <w:t xml:space="preserve"> Dette antager</w:t>
      </w:r>
      <w:r w:rsidRPr="00E1682F">
        <w:rPr>
          <w:rFonts w:ascii="Times New Roman" w:eastAsia="Times New Roman" w:hAnsi="Times New Roman" w:cs="Times New Roman"/>
          <w:color w:val="000000"/>
          <w:sz w:val="24"/>
          <w:szCs w:val="24"/>
          <w:lang w:eastAsia="da-DK"/>
        </w:rPr>
        <w:t xml:space="preserve"> en privatfinansieret oplevelsesindustri</w:t>
      </w:r>
      <w:r w:rsidR="00627D4D">
        <w:rPr>
          <w:rFonts w:ascii="Times New Roman" w:eastAsia="Times New Roman" w:hAnsi="Times New Roman" w:cs="Times New Roman"/>
          <w:color w:val="000000"/>
          <w:sz w:val="24"/>
          <w:szCs w:val="24"/>
          <w:lang w:eastAsia="da-DK"/>
        </w:rPr>
        <w:t>,</w:t>
      </w:r>
      <w:r w:rsidRPr="00E1682F">
        <w:rPr>
          <w:rFonts w:ascii="Times New Roman" w:eastAsia="Times New Roman" w:hAnsi="Times New Roman" w:cs="Times New Roman"/>
          <w:color w:val="000000"/>
          <w:sz w:val="24"/>
          <w:szCs w:val="24"/>
          <w:lang w:eastAsia="da-DK"/>
        </w:rPr>
        <w:t xml:space="preserve"> som knytter sig til udstrækningen af vejen.</w:t>
      </w:r>
    </w:p>
    <w:p w14:paraId="455EF356" w14:textId="77777777" w:rsidR="00627D4D" w:rsidRPr="00E1682F" w:rsidRDefault="00627D4D" w:rsidP="007D6102">
      <w:pPr>
        <w:pStyle w:val="Listeafsnit"/>
        <w:ind w:left="360"/>
        <w:jc w:val="both"/>
        <w:rPr>
          <w:rFonts w:ascii="Times New Roman" w:eastAsia="Times New Roman" w:hAnsi="Times New Roman" w:cs="Times New Roman"/>
          <w:color w:val="000000"/>
          <w:sz w:val="24"/>
          <w:szCs w:val="24"/>
          <w:lang w:eastAsia="da-DK"/>
        </w:rPr>
      </w:pPr>
    </w:p>
    <w:p w14:paraId="4AF722B0" w14:textId="74F741A8" w:rsidR="00744354" w:rsidRDefault="00744354" w:rsidP="00374A39">
      <w:pPr>
        <w:pStyle w:val="Listeafsnit"/>
        <w:numPr>
          <w:ilvl w:val="0"/>
          <w:numId w:val="8"/>
        </w:numPr>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t xml:space="preserve">Det må anses som tvivlsomt om et vejprojekt mellem Kangerlussuaq og Sisimiut alene kan finansieres ved hjælp af simpel brugerbetaling.  Hermed bliver vejens rentabilitet en funktion af om der kan skabes tilstrækkeligt indtægtsgenererende aktivitet omkring vejen. </w:t>
      </w:r>
    </w:p>
    <w:p w14:paraId="0298F35C" w14:textId="77777777" w:rsidR="00627D4D" w:rsidRPr="007D6102" w:rsidRDefault="00627D4D" w:rsidP="007D6102">
      <w:pPr>
        <w:pStyle w:val="Listeafsnit"/>
        <w:rPr>
          <w:rFonts w:ascii="Times New Roman" w:eastAsia="Times New Roman" w:hAnsi="Times New Roman" w:cs="Times New Roman"/>
          <w:color w:val="000000"/>
          <w:sz w:val="24"/>
          <w:szCs w:val="24"/>
          <w:lang w:eastAsia="da-DK"/>
        </w:rPr>
      </w:pPr>
    </w:p>
    <w:p w14:paraId="7909CAB4" w14:textId="1C1B4C67" w:rsidR="00744354" w:rsidRDefault="00744354" w:rsidP="00374A39">
      <w:pPr>
        <w:pStyle w:val="Listeafsnit"/>
        <w:numPr>
          <w:ilvl w:val="0"/>
          <w:numId w:val="8"/>
        </w:numPr>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color w:val="000000"/>
          <w:sz w:val="24"/>
          <w:szCs w:val="24"/>
          <w:lang w:eastAsia="da-DK"/>
        </w:rPr>
        <w:t>Vejprojektets gangbarhed bliver på den vis koblet på de nævnte risikofaktorer forbundet med beflyvningsgrundlaget og udviklingen i antal af fremtidige krydstogtanløb</w:t>
      </w:r>
      <w:r w:rsidR="006A0110" w:rsidRPr="00374A39">
        <w:rPr>
          <w:rFonts w:ascii="Times New Roman" w:eastAsia="Times New Roman" w:hAnsi="Times New Roman" w:cs="Times New Roman"/>
          <w:color w:val="000000"/>
          <w:sz w:val="24"/>
          <w:szCs w:val="24"/>
          <w:lang w:eastAsia="da-DK"/>
        </w:rPr>
        <w:t xml:space="preserve"> og oplevelsesindustri</w:t>
      </w:r>
      <w:r w:rsidRPr="00374A39">
        <w:rPr>
          <w:rFonts w:ascii="Times New Roman" w:eastAsia="Times New Roman" w:hAnsi="Times New Roman" w:cs="Times New Roman"/>
          <w:color w:val="000000"/>
          <w:sz w:val="24"/>
          <w:szCs w:val="24"/>
          <w:lang w:eastAsia="da-DK"/>
        </w:rPr>
        <w:t xml:space="preserve">. </w:t>
      </w:r>
    </w:p>
    <w:p w14:paraId="5E4EC9D5" w14:textId="77777777" w:rsidR="00627D4D" w:rsidRPr="00374A39" w:rsidRDefault="00627D4D" w:rsidP="007D6102">
      <w:pPr>
        <w:pStyle w:val="Listeafsnit"/>
        <w:ind w:left="360"/>
        <w:jc w:val="both"/>
        <w:rPr>
          <w:rFonts w:ascii="Times New Roman" w:eastAsia="Times New Roman" w:hAnsi="Times New Roman" w:cs="Times New Roman"/>
          <w:color w:val="000000"/>
          <w:sz w:val="24"/>
          <w:szCs w:val="24"/>
          <w:lang w:eastAsia="da-DK"/>
        </w:rPr>
      </w:pPr>
    </w:p>
    <w:p w14:paraId="434E2B65" w14:textId="77777777" w:rsidR="00744354" w:rsidRPr="00E1682F" w:rsidRDefault="00744354" w:rsidP="00744354">
      <w:pPr>
        <w:pStyle w:val="Listeafsnit"/>
        <w:ind w:left="600"/>
        <w:jc w:val="both"/>
        <w:rPr>
          <w:rFonts w:ascii="Times New Roman" w:eastAsia="Times New Roman" w:hAnsi="Times New Roman" w:cs="Times New Roman"/>
          <w:color w:val="000000"/>
          <w:sz w:val="24"/>
          <w:szCs w:val="24"/>
          <w:lang w:eastAsia="da-DK"/>
        </w:rPr>
      </w:pPr>
    </w:p>
    <w:p w14:paraId="28E38C8C" w14:textId="77777777" w:rsidR="00744354" w:rsidRPr="00E1682F" w:rsidRDefault="00744354" w:rsidP="00744354">
      <w:pPr>
        <w:jc w:val="both"/>
        <w:rPr>
          <w:rFonts w:ascii="Times New Roman" w:eastAsia="Times New Roman" w:hAnsi="Times New Roman" w:cs="Times New Roman"/>
          <w:b/>
          <w:bCs/>
          <w:color w:val="000000"/>
          <w:sz w:val="24"/>
          <w:szCs w:val="24"/>
          <w:lang w:eastAsia="da-DK"/>
        </w:rPr>
      </w:pPr>
      <w:r w:rsidRPr="00573ACD">
        <w:rPr>
          <w:rFonts w:ascii="Times New Roman" w:eastAsia="Times New Roman" w:hAnsi="Times New Roman" w:cs="Times New Roman"/>
          <w:b/>
          <w:bCs/>
          <w:color w:val="000000"/>
          <w:sz w:val="24"/>
          <w:szCs w:val="24"/>
          <w:lang w:eastAsia="da-DK"/>
        </w:rPr>
        <w:t xml:space="preserve">2.4 </w:t>
      </w:r>
      <w:r w:rsidRPr="00E1682F">
        <w:rPr>
          <w:rFonts w:ascii="Times New Roman" w:eastAsia="Times New Roman" w:hAnsi="Times New Roman" w:cs="Times New Roman"/>
          <w:b/>
          <w:bCs/>
          <w:color w:val="000000"/>
          <w:sz w:val="24"/>
          <w:szCs w:val="24"/>
          <w:lang w:eastAsia="da-DK"/>
        </w:rPr>
        <w:t>De private investorer</w:t>
      </w:r>
    </w:p>
    <w:p w14:paraId="5769A644" w14:textId="36005FD6" w:rsidR="00F54AAE" w:rsidRDefault="006A0110" w:rsidP="006A0110">
      <w:pPr>
        <w:pStyle w:val="Listeafsnit"/>
        <w:numPr>
          <w:ilvl w:val="0"/>
          <w:numId w:val="8"/>
        </w:numPr>
        <w:jc w:val="both"/>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w:t>
      </w:r>
      <w:r w:rsidR="00323843">
        <w:rPr>
          <w:rFonts w:ascii="Times New Roman" w:eastAsia="Times New Roman" w:hAnsi="Times New Roman" w:cs="Times New Roman"/>
          <w:color w:val="000000"/>
          <w:sz w:val="24"/>
          <w:szCs w:val="24"/>
          <w:lang w:eastAsia="da-DK"/>
        </w:rPr>
        <w:t>et er</w:t>
      </w:r>
      <w:r>
        <w:rPr>
          <w:rFonts w:ascii="Times New Roman" w:eastAsia="Times New Roman" w:hAnsi="Times New Roman" w:cs="Times New Roman"/>
          <w:color w:val="000000"/>
          <w:sz w:val="24"/>
          <w:szCs w:val="24"/>
          <w:lang w:eastAsia="da-DK"/>
        </w:rPr>
        <w:t xml:space="preserve"> ikke </w:t>
      </w:r>
      <w:r w:rsidR="009E0DB3">
        <w:rPr>
          <w:rFonts w:ascii="Times New Roman" w:eastAsia="Times New Roman" w:hAnsi="Times New Roman" w:cs="Times New Roman"/>
          <w:color w:val="000000"/>
          <w:sz w:val="24"/>
          <w:szCs w:val="24"/>
          <w:lang w:eastAsia="da-DK"/>
        </w:rPr>
        <w:t xml:space="preserve">reelt </w:t>
      </w:r>
      <w:r>
        <w:rPr>
          <w:rFonts w:ascii="Times New Roman" w:eastAsia="Times New Roman" w:hAnsi="Times New Roman" w:cs="Times New Roman"/>
          <w:color w:val="000000"/>
          <w:sz w:val="24"/>
          <w:szCs w:val="24"/>
          <w:lang w:eastAsia="da-DK"/>
        </w:rPr>
        <w:t>sandsynliggjort</w:t>
      </w:r>
      <w:r w:rsidR="009E0DB3">
        <w:rPr>
          <w:rFonts w:ascii="Times New Roman" w:eastAsia="Times New Roman" w:hAnsi="Times New Roman" w:cs="Times New Roman"/>
          <w:color w:val="000000"/>
          <w:sz w:val="24"/>
          <w:szCs w:val="24"/>
          <w:lang w:eastAsia="da-DK"/>
        </w:rPr>
        <w:t>,</w:t>
      </w:r>
      <w:r>
        <w:rPr>
          <w:rFonts w:ascii="Times New Roman" w:eastAsia="Times New Roman" w:hAnsi="Times New Roman" w:cs="Times New Roman"/>
          <w:color w:val="000000"/>
          <w:sz w:val="24"/>
          <w:szCs w:val="24"/>
          <w:lang w:eastAsia="da-DK"/>
        </w:rPr>
        <w:t xml:space="preserve"> at der kommer private investeringer. </w:t>
      </w:r>
      <w:r w:rsidR="00744354" w:rsidRPr="006A0110">
        <w:rPr>
          <w:rFonts w:ascii="Times New Roman" w:eastAsia="Times New Roman" w:hAnsi="Times New Roman" w:cs="Times New Roman"/>
          <w:color w:val="000000"/>
          <w:sz w:val="24"/>
          <w:szCs w:val="24"/>
          <w:lang w:eastAsia="da-DK"/>
        </w:rPr>
        <w:t xml:space="preserve">Der er ikke indgået forpligtende aftaler omkring private aktørers engagement, samtidig med at investeringsbehovet for etablering af oplevelsesindustrien omkring </w:t>
      </w:r>
      <w:proofErr w:type="gramStart"/>
      <w:r w:rsidR="00744354" w:rsidRPr="006A0110">
        <w:rPr>
          <w:rFonts w:ascii="Times New Roman" w:eastAsia="Times New Roman" w:hAnsi="Times New Roman" w:cs="Times New Roman"/>
          <w:color w:val="000000"/>
          <w:sz w:val="24"/>
          <w:szCs w:val="24"/>
          <w:lang w:eastAsia="da-DK"/>
        </w:rPr>
        <w:t>eksempelvis</w:t>
      </w:r>
      <w:proofErr w:type="gramEnd"/>
      <w:r w:rsidR="00744354" w:rsidRPr="006A0110">
        <w:rPr>
          <w:rFonts w:ascii="Times New Roman" w:eastAsia="Times New Roman" w:hAnsi="Times New Roman" w:cs="Times New Roman"/>
          <w:color w:val="000000"/>
          <w:sz w:val="24"/>
          <w:szCs w:val="24"/>
          <w:lang w:eastAsia="da-DK"/>
        </w:rPr>
        <w:t xml:space="preserve"> vejen er betydeligt, </w:t>
      </w:r>
      <w:r w:rsidR="009E0DB3">
        <w:rPr>
          <w:rFonts w:ascii="Times New Roman" w:eastAsia="Times New Roman" w:hAnsi="Times New Roman" w:cs="Times New Roman"/>
          <w:color w:val="000000"/>
          <w:sz w:val="24"/>
          <w:szCs w:val="24"/>
          <w:lang w:eastAsia="da-DK"/>
        </w:rPr>
        <w:t>og måske endda større</w:t>
      </w:r>
      <w:r w:rsidR="00744354" w:rsidRPr="006A0110">
        <w:rPr>
          <w:rFonts w:ascii="Times New Roman" w:eastAsia="Times New Roman" w:hAnsi="Times New Roman" w:cs="Times New Roman"/>
          <w:color w:val="000000"/>
          <w:sz w:val="24"/>
          <w:szCs w:val="24"/>
          <w:lang w:eastAsia="da-DK"/>
        </w:rPr>
        <w:t xml:space="preserve"> end anlægsomkostningerne for selve vejen. Der foreligger heller ikke nogen fællesforståelse mellem kommune, private investorer og selvstyre omkring hvorledes risiko og afkast parterne imellem vejes op mod hinanden. </w:t>
      </w:r>
    </w:p>
    <w:p w14:paraId="05D25887" w14:textId="77777777" w:rsidR="00744354" w:rsidRPr="006A0110" w:rsidRDefault="00744354" w:rsidP="00F54AAE">
      <w:pPr>
        <w:pStyle w:val="Listeafsnit"/>
        <w:ind w:left="1320"/>
        <w:jc w:val="both"/>
        <w:rPr>
          <w:rFonts w:ascii="Times New Roman" w:eastAsia="Times New Roman" w:hAnsi="Times New Roman" w:cs="Times New Roman"/>
          <w:color w:val="000000"/>
          <w:sz w:val="24"/>
          <w:szCs w:val="24"/>
          <w:lang w:eastAsia="da-DK"/>
        </w:rPr>
      </w:pPr>
    </w:p>
    <w:p w14:paraId="0BC178F7" w14:textId="74EFD9B3" w:rsidR="00F54AAE" w:rsidRDefault="00744354" w:rsidP="00374A39">
      <w:pPr>
        <w:pStyle w:val="Listeafsnit"/>
        <w:numPr>
          <w:ilvl w:val="0"/>
          <w:numId w:val="8"/>
        </w:numPr>
        <w:jc w:val="both"/>
        <w:rPr>
          <w:rFonts w:ascii="Times New Roman" w:eastAsia="Times New Roman" w:hAnsi="Times New Roman" w:cs="Times New Roman"/>
          <w:color w:val="000000"/>
          <w:sz w:val="24"/>
          <w:szCs w:val="24"/>
          <w:lang w:eastAsia="da-DK"/>
        </w:rPr>
      </w:pPr>
      <w:r w:rsidRPr="004E4874">
        <w:rPr>
          <w:rFonts w:ascii="Times New Roman" w:eastAsia="Times New Roman" w:hAnsi="Times New Roman" w:cs="Times New Roman"/>
          <w:color w:val="000000"/>
          <w:sz w:val="24"/>
          <w:szCs w:val="24"/>
          <w:lang w:eastAsia="da-DK"/>
        </w:rPr>
        <w:t xml:space="preserve">En situation kunne i princippet opstå hvor infrastrukturen er på plads </w:t>
      </w:r>
      <w:r w:rsidR="00922F3B">
        <w:rPr>
          <w:rFonts w:ascii="Times New Roman" w:eastAsia="Times New Roman" w:hAnsi="Times New Roman" w:cs="Times New Roman"/>
          <w:color w:val="000000"/>
          <w:sz w:val="24"/>
          <w:szCs w:val="24"/>
          <w:lang w:eastAsia="da-DK"/>
        </w:rPr>
        <w:t>på basis af</w:t>
      </w:r>
      <w:r w:rsidRPr="004E4874">
        <w:rPr>
          <w:rFonts w:ascii="Times New Roman" w:eastAsia="Times New Roman" w:hAnsi="Times New Roman" w:cs="Times New Roman"/>
          <w:color w:val="000000"/>
          <w:sz w:val="24"/>
          <w:szCs w:val="24"/>
          <w:lang w:eastAsia="da-DK"/>
        </w:rPr>
        <w:t xml:space="preserve"> offentlige investeringer, mens de private investorer</w:t>
      </w:r>
      <w:r w:rsidR="00922F3B">
        <w:rPr>
          <w:rFonts w:ascii="Times New Roman" w:eastAsia="Times New Roman" w:hAnsi="Times New Roman" w:cs="Times New Roman"/>
          <w:color w:val="000000"/>
          <w:sz w:val="24"/>
          <w:szCs w:val="24"/>
          <w:lang w:eastAsia="da-DK"/>
        </w:rPr>
        <w:t>,</w:t>
      </w:r>
      <w:r w:rsidRPr="004E4874">
        <w:rPr>
          <w:rFonts w:ascii="Times New Roman" w:eastAsia="Times New Roman" w:hAnsi="Times New Roman" w:cs="Times New Roman"/>
          <w:color w:val="000000"/>
          <w:sz w:val="24"/>
          <w:szCs w:val="24"/>
          <w:lang w:eastAsia="da-DK"/>
        </w:rPr>
        <w:t xml:space="preserve"> so</w:t>
      </w:r>
      <w:r w:rsidR="00922F3B">
        <w:rPr>
          <w:rFonts w:ascii="Times New Roman" w:eastAsia="Times New Roman" w:hAnsi="Times New Roman" w:cs="Times New Roman"/>
          <w:color w:val="000000"/>
          <w:sz w:val="24"/>
          <w:szCs w:val="24"/>
          <w:lang w:eastAsia="da-DK"/>
        </w:rPr>
        <w:t>m der var sat lid til, alligevel</w:t>
      </w:r>
      <w:r w:rsidRPr="004E4874">
        <w:rPr>
          <w:rFonts w:ascii="Times New Roman" w:eastAsia="Times New Roman" w:hAnsi="Times New Roman" w:cs="Times New Roman"/>
          <w:color w:val="000000"/>
          <w:sz w:val="24"/>
          <w:szCs w:val="24"/>
          <w:lang w:eastAsia="da-DK"/>
        </w:rPr>
        <w:t xml:space="preserve"> ikke føler sig parat</w:t>
      </w:r>
      <w:r w:rsidR="00922F3B">
        <w:rPr>
          <w:rFonts w:ascii="Times New Roman" w:eastAsia="Times New Roman" w:hAnsi="Times New Roman" w:cs="Times New Roman"/>
          <w:color w:val="000000"/>
          <w:sz w:val="24"/>
          <w:szCs w:val="24"/>
          <w:lang w:eastAsia="da-DK"/>
        </w:rPr>
        <w:t xml:space="preserve"> eller i stand til </w:t>
      </w:r>
      <w:r w:rsidRPr="004E4874">
        <w:rPr>
          <w:rFonts w:ascii="Times New Roman" w:eastAsia="Times New Roman" w:hAnsi="Times New Roman" w:cs="Times New Roman"/>
          <w:color w:val="000000"/>
          <w:sz w:val="24"/>
          <w:szCs w:val="24"/>
          <w:lang w:eastAsia="da-DK"/>
        </w:rPr>
        <w:t>at investere</w:t>
      </w:r>
      <w:r w:rsidR="00922F3B">
        <w:rPr>
          <w:rFonts w:ascii="Times New Roman" w:eastAsia="Times New Roman" w:hAnsi="Times New Roman" w:cs="Times New Roman"/>
          <w:color w:val="000000"/>
          <w:sz w:val="24"/>
          <w:szCs w:val="24"/>
          <w:lang w:eastAsia="da-DK"/>
        </w:rPr>
        <w:t>,</w:t>
      </w:r>
      <w:r w:rsidRPr="004E4874">
        <w:rPr>
          <w:rFonts w:ascii="Times New Roman" w:eastAsia="Times New Roman" w:hAnsi="Times New Roman" w:cs="Times New Roman"/>
          <w:color w:val="000000"/>
          <w:sz w:val="24"/>
          <w:szCs w:val="24"/>
          <w:lang w:eastAsia="da-DK"/>
        </w:rPr>
        <w:t xml:space="preserve"> når det kommer til stykket. Det fremstår som en klar risiko for </w:t>
      </w:r>
      <w:proofErr w:type="gramStart"/>
      <w:r w:rsidRPr="004E4874">
        <w:rPr>
          <w:rFonts w:ascii="Times New Roman" w:eastAsia="Times New Roman" w:hAnsi="Times New Roman" w:cs="Times New Roman"/>
          <w:color w:val="000000"/>
          <w:sz w:val="24"/>
          <w:szCs w:val="24"/>
          <w:lang w:eastAsia="da-DK"/>
        </w:rPr>
        <w:t>eksempelvis</w:t>
      </w:r>
      <w:proofErr w:type="gramEnd"/>
      <w:r w:rsidRPr="004E4874">
        <w:rPr>
          <w:rFonts w:ascii="Times New Roman" w:eastAsia="Times New Roman" w:hAnsi="Times New Roman" w:cs="Times New Roman"/>
          <w:color w:val="000000"/>
          <w:sz w:val="24"/>
          <w:szCs w:val="24"/>
          <w:lang w:eastAsia="da-DK"/>
        </w:rPr>
        <w:t xml:space="preserve"> vejprojekt</w:t>
      </w:r>
      <w:r w:rsidR="00922F3B">
        <w:rPr>
          <w:rFonts w:ascii="Times New Roman" w:eastAsia="Times New Roman" w:hAnsi="Times New Roman" w:cs="Times New Roman"/>
          <w:color w:val="000000"/>
          <w:sz w:val="24"/>
          <w:szCs w:val="24"/>
          <w:lang w:eastAsia="da-DK"/>
        </w:rPr>
        <w:t>et</w:t>
      </w:r>
      <w:r w:rsidRPr="004E4874">
        <w:rPr>
          <w:rFonts w:ascii="Times New Roman" w:eastAsia="Times New Roman" w:hAnsi="Times New Roman" w:cs="Times New Roman"/>
          <w:color w:val="000000"/>
          <w:sz w:val="24"/>
          <w:szCs w:val="24"/>
          <w:lang w:eastAsia="da-DK"/>
        </w:rPr>
        <w:t xml:space="preserve">, eller </w:t>
      </w:r>
      <w:r w:rsidR="00922F3B">
        <w:rPr>
          <w:rFonts w:ascii="Times New Roman" w:eastAsia="Times New Roman" w:hAnsi="Times New Roman" w:cs="Times New Roman"/>
          <w:color w:val="000000"/>
          <w:sz w:val="24"/>
          <w:szCs w:val="24"/>
          <w:lang w:eastAsia="da-DK"/>
        </w:rPr>
        <w:t xml:space="preserve">en </w:t>
      </w:r>
      <w:r w:rsidRPr="004E4874">
        <w:rPr>
          <w:rFonts w:ascii="Times New Roman" w:eastAsia="Times New Roman" w:hAnsi="Times New Roman" w:cs="Times New Roman"/>
          <w:color w:val="000000"/>
          <w:sz w:val="24"/>
          <w:szCs w:val="24"/>
          <w:lang w:eastAsia="da-DK"/>
        </w:rPr>
        <w:t xml:space="preserve">krydstogshavn, hvis rentabilitet er hårdt bundet op på den private sektors </w:t>
      </w:r>
      <w:r w:rsidR="00922F3B">
        <w:rPr>
          <w:rFonts w:ascii="Times New Roman" w:eastAsia="Times New Roman" w:hAnsi="Times New Roman" w:cs="Times New Roman"/>
          <w:color w:val="000000"/>
          <w:sz w:val="24"/>
          <w:szCs w:val="24"/>
          <w:lang w:eastAsia="da-DK"/>
        </w:rPr>
        <w:t xml:space="preserve">tidligere tilkendegivelser om et formodet </w:t>
      </w:r>
      <w:r w:rsidRPr="004E4874">
        <w:rPr>
          <w:rFonts w:ascii="Times New Roman" w:eastAsia="Times New Roman" w:hAnsi="Times New Roman" w:cs="Times New Roman"/>
          <w:color w:val="000000"/>
          <w:sz w:val="24"/>
          <w:szCs w:val="24"/>
          <w:lang w:eastAsia="da-DK"/>
        </w:rPr>
        <w:t xml:space="preserve">forretningsgrundlag. </w:t>
      </w:r>
      <w:r w:rsidR="004942FB">
        <w:rPr>
          <w:rFonts w:ascii="Times New Roman" w:eastAsia="Times New Roman" w:hAnsi="Times New Roman" w:cs="Times New Roman"/>
          <w:color w:val="000000"/>
          <w:sz w:val="24"/>
          <w:szCs w:val="24"/>
          <w:lang w:eastAsia="da-DK"/>
        </w:rPr>
        <w:t xml:space="preserve">De offentlige kasser vil indenfor rammerne af gældende lovgivning næppe have mulighed for at afdække private investorers økonomiske risici via garantier eller lign. </w:t>
      </w:r>
    </w:p>
    <w:p w14:paraId="6F008D31" w14:textId="77777777" w:rsidR="00922F3B" w:rsidRPr="00922F3B" w:rsidRDefault="00922F3B" w:rsidP="00922F3B">
      <w:pPr>
        <w:pStyle w:val="Listeafsnit"/>
        <w:rPr>
          <w:rFonts w:ascii="Times New Roman" w:eastAsia="Times New Roman" w:hAnsi="Times New Roman" w:cs="Times New Roman"/>
          <w:color w:val="000000"/>
          <w:sz w:val="24"/>
          <w:szCs w:val="24"/>
          <w:lang w:eastAsia="da-DK"/>
        </w:rPr>
      </w:pPr>
    </w:p>
    <w:p w14:paraId="47A238D5" w14:textId="154204A8" w:rsidR="00744354" w:rsidRPr="00374A39" w:rsidRDefault="00744354" w:rsidP="00C61F7A">
      <w:pPr>
        <w:keepNext/>
        <w:jc w:val="both"/>
        <w:rPr>
          <w:rFonts w:ascii="Times New Roman" w:eastAsia="Times New Roman" w:hAnsi="Times New Roman" w:cs="Times New Roman"/>
          <w:color w:val="000000"/>
          <w:sz w:val="24"/>
          <w:szCs w:val="24"/>
          <w:lang w:eastAsia="da-DK"/>
        </w:rPr>
      </w:pPr>
      <w:r w:rsidRPr="00374A39">
        <w:rPr>
          <w:rFonts w:ascii="Times New Roman" w:eastAsia="Times New Roman" w:hAnsi="Times New Roman" w:cs="Times New Roman"/>
          <w:b/>
          <w:bCs/>
          <w:color w:val="000000"/>
          <w:sz w:val="24"/>
          <w:szCs w:val="24"/>
          <w:lang w:eastAsia="da-DK"/>
        </w:rPr>
        <w:lastRenderedPageBreak/>
        <w:t>2.5 Kommunal risiko og eksponering</w:t>
      </w:r>
    </w:p>
    <w:p w14:paraId="695B1E5E" w14:textId="50858D1C" w:rsidR="00744354" w:rsidRPr="00573ACD" w:rsidRDefault="00744354" w:rsidP="00DC430D">
      <w:pPr>
        <w:pStyle w:val="Listeafsnit"/>
        <w:numPr>
          <w:ilvl w:val="0"/>
          <w:numId w:val="12"/>
        </w:numPr>
        <w:ind w:left="360"/>
        <w:rPr>
          <w:rFonts w:ascii="Times New Roman" w:eastAsia="Times New Roman" w:hAnsi="Times New Roman" w:cs="Times New Roman"/>
          <w:color w:val="000000"/>
          <w:sz w:val="24"/>
          <w:szCs w:val="24"/>
          <w:lang w:eastAsia="da-DK"/>
        </w:rPr>
      </w:pPr>
      <w:r w:rsidRPr="00573ACD">
        <w:rPr>
          <w:rFonts w:ascii="Times New Roman" w:eastAsia="Times New Roman" w:hAnsi="Times New Roman" w:cs="Times New Roman"/>
          <w:color w:val="000000"/>
          <w:sz w:val="24"/>
          <w:szCs w:val="24"/>
          <w:lang w:eastAsia="da-DK"/>
        </w:rPr>
        <w:t>Hvis de påtænkte projekttiltag virkeliggøres opstå</w:t>
      </w:r>
      <w:r w:rsidR="00505BF2">
        <w:rPr>
          <w:rFonts w:ascii="Times New Roman" w:eastAsia="Times New Roman" w:hAnsi="Times New Roman" w:cs="Times New Roman"/>
          <w:color w:val="000000"/>
          <w:sz w:val="24"/>
          <w:szCs w:val="24"/>
          <w:lang w:eastAsia="da-DK"/>
        </w:rPr>
        <w:t>r</w:t>
      </w:r>
      <w:r w:rsidRPr="00573ACD">
        <w:rPr>
          <w:rFonts w:ascii="Times New Roman" w:eastAsia="Times New Roman" w:hAnsi="Times New Roman" w:cs="Times New Roman"/>
          <w:color w:val="000000"/>
          <w:sz w:val="24"/>
          <w:szCs w:val="24"/>
          <w:lang w:eastAsia="da-DK"/>
        </w:rPr>
        <w:t xml:space="preserve"> der forventeligt et markant tilsvarende kommunalt investeringsbehov i form af en nødvendig udvidelse af det offentlige service apparat i Kangerlussuaq, herunder, skoler, institutioner, boliger, sundhed og mere til.</w:t>
      </w:r>
      <w:r w:rsidR="004E4874">
        <w:rPr>
          <w:rFonts w:ascii="Times New Roman" w:eastAsia="Times New Roman" w:hAnsi="Times New Roman" w:cs="Times New Roman"/>
          <w:color w:val="000000"/>
          <w:sz w:val="24"/>
          <w:szCs w:val="24"/>
          <w:lang w:eastAsia="da-DK"/>
        </w:rPr>
        <w:t xml:space="preserve"> Hermed kan der opstå forventninger om betydelige kommunale økonomiske forpligtelser.</w:t>
      </w:r>
      <w:r w:rsidR="00505BF2">
        <w:rPr>
          <w:rFonts w:ascii="Times New Roman" w:eastAsia="Times New Roman" w:hAnsi="Times New Roman" w:cs="Times New Roman"/>
          <w:color w:val="000000"/>
          <w:sz w:val="24"/>
          <w:szCs w:val="24"/>
          <w:lang w:eastAsia="da-DK"/>
        </w:rPr>
        <w:t xml:space="preserve"> Kommunen har siden bloktilskudsaftalen i 2002 haft ansvaret for infrastrukturanlæg i Kangerlussuaq, men har senest vægret sig ved blot at løfte opgaven med dagrenovation. Det er ikke umiddelbart klart, hvorledes kommunen vil kunne honorere disse nye forpligtelser. </w:t>
      </w:r>
    </w:p>
    <w:p w14:paraId="55BE1EB5" w14:textId="77777777" w:rsidR="00744354" w:rsidRPr="00E1682F" w:rsidRDefault="00744354" w:rsidP="00DC430D">
      <w:pPr>
        <w:pStyle w:val="Listeafsnit"/>
        <w:ind w:left="960"/>
        <w:jc w:val="both"/>
        <w:rPr>
          <w:rFonts w:ascii="Times New Roman" w:eastAsia="Times New Roman" w:hAnsi="Times New Roman" w:cs="Times New Roman"/>
          <w:color w:val="000000"/>
          <w:sz w:val="24"/>
          <w:szCs w:val="24"/>
          <w:lang w:eastAsia="da-DK"/>
        </w:rPr>
      </w:pPr>
    </w:p>
    <w:p w14:paraId="79ACE642" w14:textId="6D916AA6" w:rsidR="00744354" w:rsidRPr="00E1682F" w:rsidRDefault="00744354" w:rsidP="00DC430D">
      <w:pPr>
        <w:pStyle w:val="Listeafsnit"/>
        <w:numPr>
          <w:ilvl w:val="0"/>
          <w:numId w:val="9"/>
        </w:numPr>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Det vil kunne resultere i et behov for e</w:t>
      </w:r>
      <w:r>
        <w:rPr>
          <w:rFonts w:ascii="Times New Roman" w:eastAsia="Times New Roman" w:hAnsi="Times New Roman" w:cs="Times New Roman"/>
          <w:color w:val="000000"/>
          <w:sz w:val="24"/>
          <w:szCs w:val="24"/>
          <w:lang w:eastAsia="da-DK"/>
        </w:rPr>
        <w:t>n</w:t>
      </w:r>
      <w:r w:rsidRPr="00E1682F">
        <w:rPr>
          <w:rFonts w:ascii="Times New Roman" w:eastAsia="Times New Roman" w:hAnsi="Times New Roman" w:cs="Times New Roman"/>
          <w:color w:val="000000"/>
          <w:sz w:val="24"/>
          <w:szCs w:val="24"/>
          <w:lang w:eastAsia="da-DK"/>
        </w:rPr>
        <w:t xml:space="preserve"> betydelig byggemodning</w:t>
      </w:r>
      <w:r>
        <w:rPr>
          <w:rFonts w:ascii="Times New Roman" w:eastAsia="Times New Roman" w:hAnsi="Times New Roman" w:cs="Times New Roman"/>
          <w:color w:val="000000"/>
          <w:sz w:val="24"/>
          <w:szCs w:val="24"/>
          <w:lang w:eastAsia="da-DK"/>
        </w:rPr>
        <w:t>sindsats</w:t>
      </w:r>
      <w:r w:rsidRPr="00E1682F">
        <w:rPr>
          <w:rFonts w:ascii="Times New Roman" w:eastAsia="Times New Roman" w:hAnsi="Times New Roman" w:cs="Times New Roman"/>
          <w:color w:val="000000"/>
          <w:sz w:val="24"/>
          <w:szCs w:val="24"/>
          <w:lang w:eastAsia="da-DK"/>
        </w:rPr>
        <w:t>, byggeri af boliger, udvidelse af det offentlige service apparat og øget institutionskapacitet i tråd med forventningerne til de nye befolkningstal. I det omfang at byggemodning retter sig mod den private sektor kan det</w:t>
      </w:r>
      <w:r>
        <w:rPr>
          <w:rFonts w:ascii="Times New Roman" w:eastAsia="Times New Roman" w:hAnsi="Times New Roman" w:cs="Times New Roman"/>
          <w:color w:val="000000"/>
          <w:sz w:val="24"/>
          <w:szCs w:val="24"/>
          <w:lang w:eastAsia="da-DK"/>
        </w:rPr>
        <w:t xml:space="preserve"> over tid</w:t>
      </w:r>
      <w:r w:rsidRPr="00E1682F">
        <w:rPr>
          <w:rFonts w:ascii="Times New Roman" w:eastAsia="Times New Roman" w:hAnsi="Times New Roman" w:cs="Times New Roman"/>
          <w:color w:val="000000"/>
          <w:sz w:val="24"/>
          <w:szCs w:val="24"/>
          <w:lang w:eastAsia="da-DK"/>
        </w:rPr>
        <w:t xml:space="preserve"> forventes, at udgifter hertil </w:t>
      </w:r>
      <w:r w:rsidR="007D6102">
        <w:rPr>
          <w:rFonts w:ascii="Times New Roman" w:eastAsia="Times New Roman" w:hAnsi="Times New Roman" w:cs="Times New Roman"/>
          <w:color w:val="000000"/>
          <w:sz w:val="24"/>
          <w:szCs w:val="24"/>
          <w:lang w:eastAsia="da-DK"/>
        </w:rPr>
        <w:t>kommer tilbage</w:t>
      </w:r>
      <w:r w:rsidRPr="00E1682F">
        <w:rPr>
          <w:rFonts w:ascii="Times New Roman" w:eastAsia="Times New Roman" w:hAnsi="Times New Roman" w:cs="Times New Roman"/>
          <w:color w:val="000000"/>
          <w:sz w:val="24"/>
          <w:szCs w:val="24"/>
          <w:lang w:eastAsia="da-DK"/>
        </w:rPr>
        <w:t xml:space="preserve"> i form af brugerbetaling fra private. </w:t>
      </w:r>
    </w:p>
    <w:p w14:paraId="790A7061" w14:textId="77777777" w:rsidR="00744354" w:rsidRPr="00E1682F" w:rsidRDefault="00744354" w:rsidP="00DC430D">
      <w:pPr>
        <w:pStyle w:val="Listeafsnit"/>
        <w:ind w:left="0"/>
        <w:jc w:val="both"/>
        <w:rPr>
          <w:rFonts w:ascii="Times New Roman" w:eastAsia="Times New Roman" w:hAnsi="Times New Roman" w:cs="Times New Roman"/>
          <w:color w:val="000000"/>
          <w:sz w:val="24"/>
          <w:szCs w:val="24"/>
          <w:lang w:eastAsia="da-DK"/>
        </w:rPr>
      </w:pPr>
    </w:p>
    <w:p w14:paraId="20862390" w14:textId="6FE5728E" w:rsidR="00744354" w:rsidRPr="00E1682F" w:rsidRDefault="00744354" w:rsidP="00DC430D">
      <w:pPr>
        <w:pStyle w:val="Listeafsnit"/>
        <w:numPr>
          <w:ilvl w:val="0"/>
          <w:numId w:val="9"/>
        </w:numPr>
        <w:ind w:left="360"/>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Dette rejser spørgsmålet om kommunen er i stand til at løfte det betydelige investeringsbehov som således er sandsynliggjort. Dette enten via anlægsbudgetter og/eller låntagning. For så vidt angår en tilgang forankret i lånoptag, så bør der ske en sikring af at der reelt er långivere som vil påtage sig kreditgiverrollen</w:t>
      </w:r>
      <w:r w:rsidR="00505BF2">
        <w:rPr>
          <w:rFonts w:ascii="Times New Roman" w:eastAsia="Times New Roman" w:hAnsi="Times New Roman" w:cs="Times New Roman"/>
          <w:color w:val="000000"/>
          <w:sz w:val="24"/>
          <w:szCs w:val="24"/>
          <w:lang w:eastAsia="da-DK"/>
        </w:rPr>
        <w:t>. B</w:t>
      </w:r>
      <w:r w:rsidRPr="00E1682F">
        <w:rPr>
          <w:rFonts w:ascii="Times New Roman" w:eastAsia="Times New Roman" w:hAnsi="Times New Roman" w:cs="Times New Roman"/>
          <w:color w:val="000000"/>
          <w:sz w:val="24"/>
          <w:szCs w:val="24"/>
          <w:lang w:eastAsia="da-DK"/>
        </w:rPr>
        <w:t xml:space="preserve">emyndigelse til denne type kommunale lånoptag </w:t>
      </w:r>
      <w:r w:rsidR="00505BF2">
        <w:rPr>
          <w:rFonts w:ascii="Times New Roman" w:eastAsia="Times New Roman" w:hAnsi="Times New Roman" w:cs="Times New Roman"/>
          <w:color w:val="000000"/>
          <w:sz w:val="24"/>
          <w:szCs w:val="24"/>
          <w:lang w:eastAsia="da-DK"/>
        </w:rPr>
        <w:t xml:space="preserve">kræver </w:t>
      </w:r>
      <w:r w:rsidRPr="00E1682F">
        <w:rPr>
          <w:rFonts w:ascii="Times New Roman" w:eastAsia="Times New Roman" w:hAnsi="Times New Roman" w:cs="Times New Roman"/>
          <w:color w:val="000000"/>
          <w:sz w:val="24"/>
          <w:szCs w:val="24"/>
          <w:lang w:eastAsia="da-DK"/>
        </w:rPr>
        <w:t xml:space="preserve">forudgående dialog med Department for Finanser og Ligestilling. En sådan dialog skal være afstemt i forhold til budget- og regnskabslovens § 6 og § 24 bestemmelser og fremstå med endelig godkendelse til </w:t>
      </w:r>
      <w:r>
        <w:rPr>
          <w:rFonts w:ascii="Times New Roman" w:eastAsia="Times New Roman" w:hAnsi="Times New Roman" w:cs="Times New Roman"/>
          <w:color w:val="000000"/>
          <w:sz w:val="24"/>
          <w:szCs w:val="24"/>
          <w:lang w:eastAsia="da-DK"/>
        </w:rPr>
        <w:t>ansøger</w:t>
      </w:r>
      <w:r w:rsidRPr="00E1682F">
        <w:rPr>
          <w:rFonts w:ascii="Times New Roman" w:eastAsia="Times New Roman" w:hAnsi="Times New Roman" w:cs="Times New Roman"/>
          <w:color w:val="000000"/>
          <w:sz w:val="24"/>
          <w:szCs w:val="24"/>
          <w:lang w:eastAsia="da-DK"/>
        </w:rPr>
        <w:t xml:space="preserve"> indhentet fra departementets Naalakkersuisoq. </w:t>
      </w:r>
    </w:p>
    <w:p w14:paraId="550F1B8F" w14:textId="77777777" w:rsidR="00744354" w:rsidRPr="00E1682F" w:rsidRDefault="00744354" w:rsidP="00744354">
      <w:pPr>
        <w:jc w:val="both"/>
        <w:rPr>
          <w:rFonts w:ascii="Times New Roman" w:eastAsia="Times New Roman" w:hAnsi="Times New Roman" w:cs="Times New Roman"/>
          <w:b/>
          <w:bCs/>
          <w:color w:val="000000"/>
          <w:sz w:val="24"/>
          <w:szCs w:val="24"/>
          <w:lang w:eastAsia="da-DK"/>
        </w:rPr>
      </w:pPr>
      <w:r>
        <w:rPr>
          <w:rFonts w:ascii="Times New Roman" w:eastAsia="Times New Roman" w:hAnsi="Times New Roman" w:cs="Times New Roman"/>
          <w:b/>
          <w:bCs/>
          <w:color w:val="000000"/>
          <w:sz w:val="24"/>
          <w:szCs w:val="24"/>
          <w:lang w:eastAsia="da-DK"/>
        </w:rPr>
        <w:t xml:space="preserve">2.6 </w:t>
      </w:r>
      <w:r w:rsidRPr="00E1682F">
        <w:rPr>
          <w:rFonts w:ascii="Times New Roman" w:eastAsia="Times New Roman" w:hAnsi="Times New Roman" w:cs="Times New Roman"/>
          <w:b/>
          <w:bCs/>
          <w:color w:val="000000"/>
          <w:sz w:val="24"/>
          <w:szCs w:val="24"/>
          <w:lang w:eastAsia="da-DK"/>
        </w:rPr>
        <w:t>Selvstyrets endelige aftale med det danske forsvar udestår</w:t>
      </w:r>
    </w:p>
    <w:p w14:paraId="3FA12B65" w14:textId="22430A5B" w:rsidR="00744354" w:rsidRDefault="00744354" w:rsidP="00744354">
      <w:pPr>
        <w:pStyle w:val="Listeafsnit"/>
        <w:numPr>
          <w:ilvl w:val="0"/>
          <w:numId w:val="11"/>
        </w:numPr>
        <w:jc w:val="both"/>
        <w:rPr>
          <w:rFonts w:ascii="Times New Roman" w:eastAsia="Times New Roman" w:hAnsi="Times New Roman" w:cs="Times New Roman"/>
          <w:sz w:val="24"/>
          <w:szCs w:val="24"/>
          <w:lang w:eastAsia="da-DK"/>
        </w:rPr>
      </w:pPr>
      <w:r w:rsidRPr="00374A39">
        <w:rPr>
          <w:rFonts w:ascii="Times New Roman" w:eastAsia="Times New Roman" w:hAnsi="Times New Roman" w:cs="Times New Roman"/>
          <w:sz w:val="24"/>
          <w:szCs w:val="24"/>
          <w:lang w:eastAsia="da-DK"/>
        </w:rPr>
        <w:t>Selvstyrets kommende aftale med det danske forsvar, herunder byrdefordeling og tidslinjer, samt en teknisk tilgang til renovation af banelegemet og fremtidigt ansvar i forhold til vedligehold og nyinvesteringer, er endnu ikke vedtaget</w:t>
      </w:r>
      <w:r w:rsidR="004942FB">
        <w:rPr>
          <w:rFonts w:ascii="Times New Roman" w:eastAsia="Times New Roman" w:hAnsi="Times New Roman" w:cs="Times New Roman"/>
          <w:sz w:val="24"/>
          <w:szCs w:val="24"/>
          <w:lang w:eastAsia="da-DK"/>
        </w:rPr>
        <w:t>, og en endelig tidsplan herfor afventes</w:t>
      </w:r>
      <w:r w:rsidRPr="00374A39">
        <w:rPr>
          <w:rFonts w:ascii="Times New Roman" w:eastAsia="Times New Roman" w:hAnsi="Times New Roman" w:cs="Times New Roman"/>
          <w:sz w:val="24"/>
          <w:szCs w:val="24"/>
          <w:lang w:eastAsia="da-DK"/>
        </w:rPr>
        <w:t xml:space="preserve">. Der skal </w:t>
      </w:r>
      <w:r w:rsidR="004942FB">
        <w:rPr>
          <w:rFonts w:ascii="Times New Roman" w:eastAsia="Times New Roman" w:hAnsi="Times New Roman" w:cs="Times New Roman"/>
          <w:sz w:val="24"/>
          <w:szCs w:val="24"/>
          <w:lang w:eastAsia="da-DK"/>
        </w:rPr>
        <w:t>i denne forbindelse også</w:t>
      </w:r>
      <w:r w:rsidR="004942FB" w:rsidRPr="00374A39">
        <w:rPr>
          <w:rFonts w:ascii="Times New Roman" w:eastAsia="Times New Roman" w:hAnsi="Times New Roman" w:cs="Times New Roman"/>
          <w:sz w:val="24"/>
          <w:szCs w:val="24"/>
          <w:lang w:eastAsia="da-DK"/>
        </w:rPr>
        <w:t xml:space="preserve"> </w:t>
      </w:r>
      <w:r w:rsidRPr="00374A39">
        <w:rPr>
          <w:rFonts w:ascii="Times New Roman" w:eastAsia="Times New Roman" w:hAnsi="Times New Roman" w:cs="Times New Roman"/>
          <w:sz w:val="24"/>
          <w:szCs w:val="24"/>
          <w:lang w:eastAsia="da-DK"/>
        </w:rPr>
        <w:t xml:space="preserve">opnås enighed om omfanget af forsvarets eventuelle bidrag til finansiering af servicekontrakten med Kangerlussuaq lufthavn.  </w:t>
      </w:r>
    </w:p>
    <w:p w14:paraId="270C24A9" w14:textId="77777777" w:rsidR="00505BF2" w:rsidRPr="00374A39" w:rsidRDefault="00505BF2" w:rsidP="00505BF2">
      <w:pPr>
        <w:pStyle w:val="Listeafsnit"/>
        <w:ind w:left="360"/>
        <w:jc w:val="both"/>
        <w:rPr>
          <w:rFonts w:ascii="Times New Roman" w:eastAsia="Times New Roman" w:hAnsi="Times New Roman" w:cs="Times New Roman"/>
          <w:sz w:val="24"/>
          <w:szCs w:val="24"/>
          <w:lang w:eastAsia="da-DK"/>
        </w:rPr>
      </w:pPr>
    </w:p>
    <w:p w14:paraId="250A917E" w14:textId="00F0FAC9" w:rsidR="00744354" w:rsidRDefault="00744354" w:rsidP="00744354">
      <w:pPr>
        <w:pStyle w:val="Listeafsnit"/>
        <w:numPr>
          <w:ilvl w:val="0"/>
          <w:numId w:val="11"/>
        </w:numPr>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Det er pt. ikke muligt at sige noget endelig sikkert mht. omkostningskonsekvens, i form af offentlige udgifter til en </w:t>
      </w:r>
      <w:r w:rsidR="00900164">
        <w:rPr>
          <w:rFonts w:ascii="Times New Roman" w:eastAsia="Times New Roman" w:hAnsi="Times New Roman" w:cs="Times New Roman"/>
          <w:color w:val="000000"/>
          <w:sz w:val="24"/>
          <w:szCs w:val="24"/>
          <w:lang w:eastAsia="da-DK"/>
        </w:rPr>
        <w:t xml:space="preserve">eller flere </w:t>
      </w:r>
      <w:r w:rsidRPr="00E1682F">
        <w:rPr>
          <w:rFonts w:ascii="Times New Roman" w:eastAsia="Times New Roman" w:hAnsi="Times New Roman" w:cs="Times New Roman"/>
          <w:color w:val="000000"/>
          <w:sz w:val="24"/>
          <w:szCs w:val="24"/>
          <w:lang w:eastAsia="da-DK"/>
        </w:rPr>
        <w:t>fremtidig</w:t>
      </w:r>
      <w:r w:rsidR="004942FB">
        <w:rPr>
          <w:rFonts w:ascii="Times New Roman" w:eastAsia="Times New Roman" w:hAnsi="Times New Roman" w:cs="Times New Roman"/>
          <w:color w:val="000000"/>
          <w:sz w:val="24"/>
          <w:szCs w:val="24"/>
          <w:lang w:eastAsia="da-DK"/>
        </w:rPr>
        <w:t>e</w:t>
      </w:r>
      <w:r w:rsidRPr="00E1682F">
        <w:rPr>
          <w:rFonts w:ascii="Times New Roman" w:eastAsia="Times New Roman" w:hAnsi="Times New Roman" w:cs="Times New Roman"/>
          <w:color w:val="000000"/>
          <w:sz w:val="24"/>
          <w:szCs w:val="24"/>
          <w:lang w:eastAsia="da-DK"/>
        </w:rPr>
        <w:t xml:space="preserve"> selvstyreservicekontrakt</w:t>
      </w:r>
      <w:r w:rsidR="00900164">
        <w:rPr>
          <w:rFonts w:ascii="Times New Roman" w:eastAsia="Times New Roman" w:hAnsi="Times New Roman" w:cs="Times New Roman"/>
          <w:color w:val="000000"/>
          <w:sz w:val="24"/>
          <w:szCs w:val="24"/>
          <w:lang w:eastAsia="da-DK"/>
        </w:rPr>
        <w:t>(er)</w:t>
      </w:r>
      <w:r w:rsidRPr="00E1682F">
        <w:rPr>
          <w:rFonts w:ascii="Times New Roman" w:eastAsia="Times New Roman" w:hAnsi="Times New Roman" w:cs="Times New Roman"/>
          <w:color w:val="000000"/>
          <w:sz w:val="24"/>
          <w:szCs w:val="24"/>
          <w:lang w:eastAsia="da-DK"/>
        </w:rPr>
        <w:t xml:space="preserve"> for </w:t>
      </w:r>
      <w:r w:rsidR="00900164">
        <w:rPr>
          <w:rFonts w:ascii="Times New Roman" w:eastAsia="Times New Roman" w:hAnsi="Times New Roman" w:cs="Times New Roman"/>
          <w:color w:val="000000"/>
          <w:sz w:val="24"/>
          <w:szCs w:val="24"/>
          <w:lang w:eastAsia="da-DK"/>
        </w:rPr>
        <w:t xml:space="preserve">trafik og infrastruktur i </w:t>
      </w:r>
      <w:r w:rsidRPr="00E1682F">
        <w:rPr>
          <w:rFonts w:ascii="Times New Roman" w:eastAsia="Times New Roman" w:hAnsi="Times New Roman" w:cs="Times New Roman"/>
          <w:color w:val="000000"/>
          <w:sz w:val="24"/>
          <w:szCs w:val="24"/>
          <w:lang w:eastAsia="da-DK"/>
        </w:rPr>
        <w:t xml:space="preserve">Kangerlussuaq. Tilsvarende er en endeligt vedtaget plan samt tidslinje for renovering </w:t>
      </w:r>
      <w:r w:rsidR="00900164">
        <w:rPr>
          <w:rFonts w:ascii="Times New Roman" w:eastAsia="Times New Roman" w:hAnsi="Times New Roman" w:cs="Times New Roman"/>
          <w:color w:val="000000"/>
          <w:sz w:val="24"/>
          <w:szCs w:val="24"/>
          <w:lang w:eastAsia="da-DK"/>
        </w:rPr>
        <w:t xml:space="preserve">af </w:t>
      </w:r>
      <w:r w:rsidRPr="00E1682F">
        <w:rPr>
          <w:rFonts w:ascii="Times New Roman" w:eastAsia="Times New Roman" w:hAnsi="Times New Roman" w:cs="Times New Roman"/>
          <w:color w:val="000000"/>
          <w:sz w:val="24"/>
          <w:szCs w:val="24"/>
          <w:lang w:eastAsia="da-DK"/>
        </w:rPr>
        <w:t xml:space="preserve">landingsbanen en forudsætning for at der kan laves egentlige konsekvensberegninger henvendt på drift, vedligehold og nyinvesteringer. Der </w:t>
      </w:r>
      <w:r w:rsidRPr="00E1682F">
        <w:rPr>
          <w:rFonts w:ascii="Times New Roman" w:eastAsia="Times New Roman" w:hAnsi="Times New Roman" w:cs="Times New Roman"/>
          <w:color w:val="000000"/>
          <w:sz w:val="24"/>
          <w:szCs w:val="24"/>
          <w:lang w:eastAsia="da-DK"/>
        </w:rPr>
        <w:lastRenderedPageBreak/>
        <w:t xml:space="preserve">udestår med andre ord vigtige elementer, hvis afklaring er en forudsætning for seriøse konsekvensberegninger. Denne usikkerhed forplanter sig også til scenarie tilgange for forskellige civile beflyvningsoptioner, hvor specielt et regionalt setup naturligt bør holdes op mod en international civil atlantlufthavns tilgang. </w:t>
      </w:r>
    </w:p>
    <w:p w14:paraId="20FFDA32" w14:textId="77777777" w:rsidR="00505BF2" w:rsidRPr="00E1682F" w:rsidRDefault="00505BF2" w:rsidP="00505BF2">
      <w:pPr>
        <w:pStyle w:val="Listeafsnit"/>
        <w:ind w:left="360"/>
        <w:jc w:val="both"/>
        <w:rPr>
          <w:rFonts w:ascii="Times New Roman" w:eastAsia="Times New Roman" w:hAnsi="Times New Roman" w:cs="Times New Roman"/>
          <w:color w:val="000000"/>
          <w:sz w:val="24"/>
          <w:szCs w:val="24"/>
          <w:lang w:eastAsia="da-DK"/>
        </w:rPr>
      </w:pPr>
    </w:p>
    <w:p w14:paraId="217C5369" w14:textId="468AFAF6" w:rsidR="00744354" w:rsidRPr="00E1682F" w:rsidRDefault="00744354" w:rsidP="00744354">
      <w:pPr>
        <w:pStyle w:val="Listeafsnit"/>
        <w:numPr>
          <w:ilvl w:val="0"/>
          <w:numId w:val="11"/>
        </w:numPr>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En endeligt underskrevet afklaring og forståelse </w:t>
      </w:r>
      <w:r w:rsidR="00900164" w:rsidRPr="00E1682F">
        <w:rPr>
          <w:rFonts w:ascii="Times New Roman" w:eastAsia="Times New Roman" w:hAnsi="Times New Roman" w:cs="Times New Roman"/>
          <w:color w:val="000000"/>
          <w:sz w:val="24"/>
          <w:szCs w:val="24"/>
          <w:lang w:eastAsia="da-DK"/>
        </w:rPr>
        <w:t xml:space="preserve">imellem </w:t>
      </w:r>
      <w:r w:rsidRPr="00E1682F">
        <w:rPr>
          <w:rFonts w:ascii="Times New Roman" w:eastAsia="Times New Roman" w:hAnsi="Times New Roman" w:cs="Times New Roman"/>
          <w:color w:val="000000"/>
          <w:sz w:val="24"/>
          <w:szCs w:val="24"/>
          <w:lang w:eastAsia="da-DK"/>
        </w:rPr>
        <w:t xml:space="preserve">Selvstyret og Forsvaret vil derfor markant styrke vurderingsgrundlaget for at lave </w:t>
      </w:r>
      <w:r w:rsidR="00900164">
        <w:rPr>
          <w:rFonts w:ascii="Times New Roman" w:eastAsia="Times New Roman" w:hAnsi="Times New Roman" w:cs="Times New Roman"/>
          <w:color w:val="000000"/>
          <w:sz w:val="24"/>
          <w:szCs w:val="24"/>
          <w:lang w:eastAsia="da-DK"/>
        </w:rPr>
        <w:t xml:space="preserve">relevante </w:t>
      </w:r>
      <w:r w:rsidRPr="00E1682F">
        <w:rPr>
          <w:rFonts w:ascii="Times New Roman" w:eastAsia="Times New Roman" w:hAnsi="Times New Roman" w:cs="Times New Roman"/>
          <w:color w:val="000000"/>
          <w:sz w:val="24"/>
          <w:szCs w:val="24"/>
          <w:lang w:eastAsia="da-DK"/>
        </w:rPr>
        <w:t>konsekvensberegninger med afsæt i de antagelser som forskellige sammenligningsscenarier knytter sig til.</w:t>
      </w:r>
    </w:p>
    <w:p w14:paraId="3998A54F" w14:textId="77777777" w:rsidR="00744354" w:rsidRPr="00E1682F" w:rsidRDefault="00744354" w:rsidP="00744354">
      <w:pPr>
        <w:jc w:val="both"/>
        <w:rPr>
          <w:rFonts w:ascii="Times New Roman" w:eastAsia="Times New Roman" w:hAnsi="Times New Roman" w:cs="Times New Roman"/>
          <w:b/>
          <w:bCs/>
          <w:color w:val="000000"/>
          <w:sz w:val="24"/>
          <w:szCs w:val="24"/>
          <w:lang w:eastAsia="da-DK"/>
        </w:rPr>
      </w:pPr>
      <w:bookmarkStart w:id="0" w:name="_Hlk110871184"/>
      <w:r>
        <w:rPr>
          <w:rFonts w:ascii="Times New Roman" w:eastAsia="Times New Roman" w:hAnsi="Times New Roman" w:cs="Times New Roman"/>
          <w:b/>
          <w:bCs/>
          <w:color w:val="000000"/>
          <w:sz w:val="24"/>
          <w:szCs w:val="24"/>
          <w:lang w:eastAsia="da-DK"/>
        </w:rPr>
        <w:t xml:space="preserve">2.7 </w:t>
      </w:r>
      <w:r w:rsidRPr="00E1682F">
        <w:rPr>
          <w:rFonts w:ascii="Times New Roman" w:eastAsia="Times New Roman" w:hAnsi="Times New Roman" w:cs="Times New Roman"/>
          <w:b/>
          <w:bCs/>
          <w:color w:val="000000"/>
          <w:sz w:val="24"/>
          <w:szCs w:val="24"/>
          <w:lang w:eastAsia="da-DK"/>
        </w:rPr>
        <w:t xml:space="preserve">Præcedens </w:t>
      </w:r>
    </w:p>
    <w:bookmarkEnd w:id="0"/>
    <w:p w14:paraId="300A8A16" w14:textId="6162800A" w:rsidR="00744354" w:rsidRPr="00E1682F" w:rsidRDefault="00744354" w:rsidP="00374A39">
      <w:pPr>
        <w:pStyle w:val="Listeafsnit"/>
        <w:numPr>
          <w:ilvl w:val="0"/>
          <w:numId w:val="13"/>
        </w:numPr>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En afledt risiko kan opstå hvis der træffes beslutning på baggrund af et teknisk betragtet ufuldstændigt beslutningsgrundlag. En sådan proces kan danne skole og i værste fald afstedkomme en forventning i øvrige kommuner om at </w:t>
      </w:r>
      <w:r w:rsidR="004E4874">
        <w:rPr>
          <w:rFonts w:ascii="Times New Roman" w:eastAsia="Times New Roman" w:hAnsi="Times New Roman" w:cs="Times New Roman"/>
          <w:color w:val="000000"/>
          <w:sz w:val="24"/>
          <w:szCs w:val="24"/>
          <w:lang w:eastAsia="da-DK"/>
        </w:rPr>
        <w:t>store investeringer på tyndt økonomisk grundlag er en gangbar metode</w:t>
      </w:r>
      <w:r w:rsidRPr="00E1682F">
        <w:rPr>
          <w:rFonts w:ascii="Times New Roman" w:eastAsia="Times New Roman" w:hAnsi="Times New Roman" w:cs="Times New Roman"/>
          <w:color w:val="000000"/>
          <w:sz w:val="24"/>
          <w:szCs w:val="24"/>
          <w:lang w:eastAsia="da-DK"/>
        </w:rPr>
        <w:t xml:space="preserve">.  </w:t>
      </w:r>
    </w:p>
    <w:p w14:paraId="1F604549" w14:textId="380C0CD1" w:rsidR="00744354" w:rsidRPr="00E1682F" w:rsidRDefault="00744354" w:rsidP="00744354">
      <w:pPr>
        <w:jc w:val="both"/>
        <w:rPr>
          <w:rFonts w:ascii="Times New Roman" w:eastAsia="Times New Roman" w:hAnsi="Times New Roman" w:cs="Times New Roman"/>
          <w:color w:val="000000"/>
          <w:sz w:val="24"/>
          <w:szCs w:val="24"/>
          <w:lang w:eastAsia="da-DK"/>
        </w:rPr>
      </w:pPr>
      <w:bookmarkStart w:id="1" w:name="_Hlk110871249"/>
      <w:r>
        <w:rPr>
          <w:rFonts w:ascii="Times New Roman" w:eastAsia="Times New Roman" w:hAnsi="Times New Roman" w:cs="Times New Roman"/>
          <w:b/>
          <w:bCs/>
          <w:color w:val="000000"/>
          <w:sz w:val="24"/>
          <w:szCs w:val="24"/>
          <w:lang w:eastAsia="da-DK"/>
        </w:rPr>
        <w:t xml:space="preserve">2.8 </w:t>
      </w:r>
      <w:r w:rsidRPr="00E1682F">
        <w:rPr>
          <w:rFonts w:ascii="Times New Roman" w:eastAsia="Times New Roman" w:hAnsi="Times New Roman" w:cs="Times New Roman"/>
          <w:b/>
          <w:bCs/>
          <w:color w:val="000000"/>
          <w:sz w:val="24"/>
          <w:szCs w:val="24"/>
          <w:lang w:eastAsia="da-DK"/>
        </w:rPr>
        <w:t>Risiko i gensidigt afhængige projekttiltag</w:t>
      </w:r>
    </w:p>
    <w:bookmarkEnd w:id="1"/>
    <w:p w14:paraId="4B4ECC73" w14:textId="27B18495" w:rsidR="00744354" w:rsidRDefault="00744354" w:rsidP="00900164">
      <w:pPr>
        <w:pStyle w:val="Listeafsnit"/>
        <w:numPr>
          <w:ilvl w:val="0"/>
          <w:numId w:val="11"/>
        </w:numPr>
        <w:jc w:val="both"/>
        <w:rPr>
          <w:rFonts w:ascii="Times New Roman" w:eastAsia="Times New Roman" w:hAnsi="Times New Roman" w:cs="Times New Roman"/>
          <w:color w:val="000000"/>
          <w:sz w:val="24"/>
          <w:szCs w:val="24"/>
          <w:lang w:eastAsia="da-DK"/>
        </w:rPr>
      </w:pPr>
      <w:r w:rsidRPr="00E1682F">
        <w:rPr>
          <w:rFonts w:ascii="Times New Roman" w:eastAsia="Times New Roman" w:hAnsi="Times New Roman" w:cs="Times New Roman"/>
          <w:color w:val="000000"/>
          <w:sz w:val="24"/>
          <w:szCs w:val="24"/>
          <w:lang w:eastAsia="da-DK"/>
        </w:rPr>
        <w:t xml:space="preserve">En af de væsentligste risikofaktorer har </w:t>
      </w:r>
      <w:r w:rsidR="00900164">
        <w:rPr>
          <w:rFonts w:ascii="Times New Roman" w:eastAsia="Times New Roman" w:hAnsi="Times New Roman" w:cs="Times New Roman"/>
          <w:color w:val="000000"/>
          <w:sz w:val="24"/>
          <w:szCs w:val="24"/>
          <w:lang w:eastAsia="da-DK"/>
        </w:rPr>
        <w:t xml:space="preserve">at gøre </w:t>
      </w:r>
      <w:r w:rsidRPr="00E1682F">
        <w:rPr>
          <w:rFonts w:ascii="Times New Roman" w:eastAsia="Times New Roman" w:hAnsi="Times New Roman" w:cs="Times New Roman"/>
          <w:color w:val="000000"/>
          <w:sz w:val="24"/>
          <w:szCs w:val="24"/>
          <w:lang w:eastAsia="da-DK"/>
        </w:rPr>
        <w:t>med den eksponering som ligger i at der er et gensidigt afhængighedsforhold mellem de principielle investeringstiltag som nævnes i rapporten. Kommer et projekt i uføre</w:t>
      </w:r>
      <w:r w:rsidR="00900164">
        <w:rPr>
          <w:rFonts w:ascii="Times New Roman" w:eastAsia="Times New Roman" w:hAnsi="Times New Roman" w:cs="Times New Roman"/>
          <w:color w:val="000000"/>
          <w:sz w:val="24"/>
          <w:szCs w:val="24"/>
          <w:lang w:eastAsia="da-DK"/>
        </w:rPr>
        <w:t>,</w:t>
      </w:r>
      <w:r w:rsidRPr="00E1682F">
        <w:rPr>
          <w:rFonts w:ascii="Times New Roman" w:eastAsia="Times New Roman" w:hAnsi="Times New Roman" w:cs="Times New Roman"/>
          <w:color w:val="000000"/>
          <w:sz w:val="24"/>
          <w:szCs w:val="24"/>
          <w:lang w:eastAsia="da-DK"/>
        </w:rPr>
        <w:t xml:space="preserve"> og kan </w:t>
      </w:r>
      <w:r w:rsidR="00900164">
        <w:rPr>
          <w:rFonts w:ascii="Times New Roman" w:eastAsia="Times New Roman" w:hAnsi="Times New Roman" w:cs="Times New Roman"/>
          <w:color w:val="000000"/>
          <w:sz w:val="24"/>
          <w:szCs w:val="24"/>
          <w:lang w:eastAsia="da-DK"/>
        </w:rPr>
        <w:t xml:space="preserve">de derfor </w:t>
      </w:r>
      <w:r w:rsidRPr="00E1682F">
        <w:rPr>
          <w:rFonts w:ascii="Times New Roman" w:eastAsia="Times New Roman" w:hAnsi="Times New Roman" w:cs="Times New Roman"/>
          <w:color w:val="000000"/>
          <w:sz w:val="24"/>
          <w:szCs w:val="24"/>
          <w:lang w:eastAsia="da-DK"/>
        </w:rPr>
        <w:t xml:space="preserve">ikke levere synergieffekter til de øvrige så fremstår de øvrige projekter potentielt hurtigt udfordret. </w:t>
      </w:r>
    </w:p>
    <w:p w14:paraId="12D4CA8C" w14:textId="77777777" w:rsidR="00900164" w:rsidRPr="00E1682F" w:rsidRDefault="00900164" w:rsidP="00900164">
      <w:pPr>
        <w:pStyle w:val="Listeafsnit"/>
        <w:ind w:left="360"/>
        <w:jc w:val="both"/>
        <w:rPr>
          <w:rFonts w:ascii="Times New Roman" w:eastAsia="Times New Roman" w:hAnsi="Times New Roman" w:cs="Times New Roman"/>
          <w:color w:val="000000"/>
          <w:sz w:val="24"/>
          <w:szCs w:val="24"/>
          <w:lang w:eastAsia="da-DK"/>
        </w:rPr>
      </w:pPr>
    </w:p>
    <w:p w14:paraId="5553F0CA" w14:textId="70AE684F" w:rsidR="00AA2E4B" w:rsidRDefault="00AA2E4B" w:rsidP="00645198">
      <w:pPr>
        <w:spacing w:after="0"/>
        <w:jc w:val="both"/>
        <w:rPr>
          <w:rFonts w:ascii="Times New Roman" w:hAnsi="Times New Roman" w:cs="Times New Roman"/>
          <w:sz w:val="20"/>
          <w:szCs w:val="20"/>
        </w:rPr>
      </w:pPr>
    </w:p>
    <w:p w14:paraId="6C4B2744" w14:textId="447577A9" w:rsidR="00EE64E8" w:rsidRPr="00A47F9E" w:rsidRDefault="0035615A" w:rsidP="00645198">
      <w:pPr>
        <w:spacing w:after="0"/>
        <w:jc w:val="both"/>
        <w:rPr>
          <w:rFonts w:ascii="Times New Roman" w:hAnsi="Times New Roman" w:cs="Times New Roman"/>
          <w:sz w:val="16"/>
          <w:szCs w:val="16"/>
        </w:rPr>
      </w:pPr>
      <w:r>
        <w:rPr>
          <w:rFonts w:ascii="Times New Roman" w:hAnsi="Times New Roman" w:cs="Times New Roman"/>
          <w:sz w:val="20"/>
          <w:szCs w:val="20"/>
        </w:rPr>
        <w:t xml:space="preserve">   </w:t>
      </w:r>
    </w:p>
    <w:sectPr w:rsidR="00EE64E8" w:rsidRPr="00A47F9E"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837F" w14:textId="77777777" w:rsidR="007C6215" w:rsidRDefault="007C6215" w:rsidP="00FA2B29">
      <w:pPr>
        <w:spacing w:after="0" w:line="240" w:lineRule="auto"/>
      </w:pPr>
      <w:r>
        <w:separator/>
      </w:r>
    </w:p>
  </w:endnote>
  <w:endnote w:type="continuationSeparator" w:id="0">
    <w:p w14:paraId="28509F25" w14:textId="77777777" w:rsidR="007C6215" w:rsidRDefault="007C6215"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425CBB3F" w14:textId="5968006C" w:rsidR="00986E1B" w:rsidRDefault="00986E1B">
        <w:pPr>
          <w:pStyle w:val="Sidefod"/>
          <w:jc w:val="right"/>
        </w:pPr>
        <w:r>
          <w:fldChar w:fldCharType="begin"/>
        </w:r>
        <w:r>
          <w:instrText>PAGE   \* MERGEFORMAT</w:instrText>
        </w:r>
        <w:r>
          <w:fldChar w:fldCharType="separate"/>
        </w:r>
        <w:r w:rsidR="006D4F9F">
          <w:rPr>
            <w:noProof/>
          </w:rPr>
          <w:t>10</w:t>
        </w:r>
        <w:r>
          <w:fldChar w:fldCharType="end"/>
        </w:r>
      </w:p>
    </w:sdtContent>
  </w:sdt>
  <w:p w14:paraId="7A882A23"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Content>
      <w:p w14:paraId="2BFD557A" w14:textId="30F96E22" w:rsidR="00986E1B" w:rsidRDefault="00986E1B">
        <w:pPr>
          <w:pStyle w:val="Sidefod"/>
          <w:jc w:val="right"/>
        </w:pPr>
        <w:r>
          <w:fldChar w:fldCharType="begin"/>
        </w:r>
        <w:r>
          <w:instrText xml:space="preserve"> PAGE  \* MERGEFORMAT </w:instrText>
        </w:r>
        <w:r>
          <w:fldChar w:fldCharType="separate"/>
        </w:r>
        <w:r w:rsidR="00E46FC4">
          <w:rPr>
            <w:noProof/>
          </w:rPr>
          <w:t>1</w:t>
        </w:r>
        <w:r>
          <w:fldChar w:fldCharType="end"/>
        </w:r>
      </w:p>
    </w:sdtContent>
  </w:sdt>
  <w:p w14:paraId="30C4E3C4"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0F09" w14:textId="77777777" w:rsidR="007C6215" w:rsidRDefault="007C6215" w:rsidP="00FA2B29">
      <w:pPr>
        <w:spacing w:after="0" w:line="240" w:lineRule="auto"/>
      </w:pPr>
      <w:r>
        <w:separator/>
      </w:r>
    </w:p>
  </w:footnote>
  <w:footnote w:type="continuationSeparator" w:id="0">
    <w:p w14:paraId="708FF369" w14:textId="77777777" w:rsidR="007C6215" w:rsidRDefault="007C6215" w:rsidP="00FA2B29">
      <w:pPr>
        <w:spacing w:after="0" w:line="240" w:lineRule="auto"/>
      </w:pPr>
      <w:r>
        <w:continuationSeparator/>
      </w:r>
    </w:p>
  </w:footnote>
  <w:footnote w:id="1">
    <w:p w14:paraId="55A42014" w14:textId="12CB959A" w:rsidR="00392D93" w:rsidRPr="00B3516C" w:rsidRDefault="00392D93">
      <w:pPr>
        <w:pStyle w:val="Fodnotetekst"/>
        <w:rPr>
          <w:rFonts w:ascii="Times New Roman" w:hAnsi="Times New Roman" w:cs="Times New Roman"/>
        </w:rPr>
      </w:pPr>
      <w:r w:rsidRPr="00B3516C">
        <w:rPr>
          <w:rStyle w:val="Fodnotehenvisning"/>
          <w:rFonts w:ascii="Times New Roman" w:hAnsi="Times New Roman" w:cs="Times New Roman"/>
        </w:rPr>
        <w:footnoteRef/>
      </w:r>
      <w:r w:rsidRPr="00B3516C">
        <w:rPr>
          <w:rFonts w:ascii="Times New Roman" w:hAnsi="Times New Roman" w:cs="Times New Roman"/>
        </w:rPr>
        <w:t xml:space="preserve"> OGP blev oprindeligt hyret til at udføre en såkaldt reference class forecast analyse (RCF). Det er en analysemetode, hvor forventninger og outcome for forskellige tidligere gennemførte anlægsprojekter sammenholdes med det undersøgte projekt. Metoden er umiddelbart forenelig med den i Grønland anvendte samfundsøkonomiske analyse, som bygger på Finansministeriets vejledning om samme. Grundet mangel på sammenligningsgrundlag blev rapporten imidlertid gennemført med en mixed-method tilgang som indbefatter litteratur studier, spørgeskemabidrag og stakeholder interviews og dermed (overvejende kvalitative) bidrag.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28CE" w14:textId="77777777" w:rsidR="005A226D" w:rsidRDefault="00000000" w:rsidP="00FA2B29">
    <w:pPr>
      <w:pStyle w:val="Lillev"/>
    </w:pPr>
    <w:sdt>
      <w:sdtPr>
        <w:id w:val="-1972428623"/>
        <w:docPartObj>
          <w:docPartGallery w:val="Watermarks"/>
          <w:docPartUnique/>
        </w:docPartObj>
      </w:sdtPr>
      <w:sdtContent>
        <w:r w:rsidR="004F4993">
          <w:rPr>
            <w:noProof/>
            <w:lang w:eastAsia="da-DK"/>
          </w:rPr>
          <w:drawing>
            <wp:anchor distT="0" distB="0" distL="114300" distR="114300" simplePos="0" relativeHeight="251660288" behindDoc="1" locked="1" layoutInCell="1" allowOverlap="1" wp14:anchorId="55620E71" wp14:editId="2DD0E290">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464241CC" w14:textId="77777777" w:rsidR="005C5F34" w:rsidRDefault="005A226D" w:rsidP="005C5F34">
    <w:pPr>
      <w:pStyle w:val="Lillev"/>
    </w:pPr>
    <w:r>
      <w:rPr>
        <w:noProof/>
        <w:lang w:eastAsia="da-DK"/>
      </w:rPr>
      <w:drawing>
        <wp:anchor distT="0" distB="0" distL="114300" distR="114300" simplePos="0" relativeHeight="251657216" behindDoc="0" locked="1" layoutInCell="1" allowOverlap="1" wp14:anchorId="41907C2A" wp14:editId="5EF82688">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F86EDD" w:rsidRPr="00F86EDD">
      <w:rPr>
        <w:lang w:val="kl-GL"/>
      </w:rPr>
      <w:t>Aningaasaqarnermut Naligiissitaanermullu Naalakkersuisoqarfik</w:t>
    </w:r>
    <w:r w:rsidR="005C5F34">
      <w:t xml:space="preserve"> </w:t>
    </w:r>
  </w:p>
  <w:p w14:paraId="76E31C94" w14:textId="77777777" w:rsidR="00C53CCF" w:rsidRDefault="00F86EDD" w:rsidP="00FA2B29">
    <w:pPr>
      <w:pStyle w:val="Lillev"/>
    </w:pPr>
    <w:r w:rsidRPr="00F86EDD">
      <w:t>Departementet for Finanser og Ligestilling</w:t>
    </w:r>
  </w:p>
  <w:p w14:paraId="01CC4212" w14:textId="77777777" w:rsidR="005A226D" w:rsidRDefault="005A22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CD"/>
    <w:multiLevelType w:val="hybridMultilevel"/>
    <w:tmpl w:val="3F7C03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2CC443D"/>
    <w:multiLevelType w:val="hybridMultilevel"/>
    <w:tmpl w:val="773A831A"/>
    <w:lvl w:ilvl="0" w:tplc="A6FEF9A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E46632"/>
    <w:multiLevelType w:val="hybridMultilevel"/>
    <w:tmpl w:val="B6D48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86A16"/>
    <w:multiLevelType w:val="hybridMultilevel"/>
    <w:tmpl w:val="39C0F5DA"/>
    <w:lvl w:ilvl="0" w:tplc="816C9F00">
      <w:start w:val="1"/>
      <w:numFmt w:val="decimal"/>
      <w:lvlText w:val="%1)"/>
      <w:lvlJc w:val="left"/>
      <w:pPr>
        <w:ind w:left="720" w:hanging="360"/>
      </w:pPr>
      <w:rPr>
        <w:b w:val="0"/>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7C77BD"/>
    <w:multiLevelType w:val="hybridMultilevel"/>
    <w:tmpl w:val="DA3E3C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74B19AB"/>
    <w:multiLevelType w:val="hybridMultilevel"/>
    <w:tmpl w:val="7F0C750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9D463DD"/>
    <w:multiLevelType w:val="hybridMultilevel"/>
    <w:tmpl w:val="10F4DA84"/>
    <w:lvl w:ilvl="0" w:tplc="C55014C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94189F"/>
    <w:multiLevelType w:val="hybridMultilevel"/>
    <w:tmpl w:val="789A1B3A"/>
    <w:lvl w:ilvl="0" w:tplc="D434651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5653498"/>
    <w:multiLevelType w:val="hybridMultilevel"/>
    <w:tmpl w:val="D72A19BC"/>
    <w:lvl w:ilvl="0" w:tplc="233AAEFE">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9" w15:restartNumberingAfterBreak="0">
    <w:nsid w:val="40245DF8"/>
    <w:multiLevelType w:val="hybridMultilevel"/>
    <w:tmpl w:val="8CFC1E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AB6336"/>
    <w:multiLevelType w:val="hybridMultilevel"/>
    <w:tmpl w:val="16528F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57A70E7"/>
    <w:multiLevelType w:val="hybridMultilevel"/>
    <w:tmpl w:val="3D241FC2"/>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12" w15:restartNumberingAfterBreak="0">
    <w:nsid w:val="61105EC2"/>
    <w:multiLevelType w:val="hybridMultilevel"/>
    <w:tmpl w:val="1D3CD162"/>
    <w:lvl w:ilvl="0" w:tplc="04060011">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16E0BCB"/>
    <w:multiLevelType w:val="hybridMultilevel"/>
    <w:tmpl w:val="238E78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646EFE"/>
    <w:multiLevelType w:val="hybridMultilevel"/>
    <w:tmpl w:val="C8FCFE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6E5B5D83"/>
    <w:multiLevelType w:val="hybridMultilevel"/>
    <w:tmpl w:val="D72A19BC"/>
    <w:lvl w:ilvl="0" w:tplc="233AAEFE">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7EB10E54"/>
    <w:multiLevelType w:val="hybridMultilevel"/>
    <w:tmpl w:val="B74AFFDE"/>
    <w:lvl w:ilvl="0" w:tplc="0406000F">
      <w:start w:val="1"/>
      <w:numFmt w:val="decimal"/>
      <w:lvlText w:val="%1."/>
      <w:lvlJc w:val="left"/>
      <w:pPr>
        <w:ind w:left="2024" w:hanging="360"/>
      </w:pPr>
    </w:lvl>
    <w:lvl w:ilvl="1" w:tplc="04060019">
      <w:start w:val="1"/>
      <w:numFmt w:val="lowerLetter"/>
      <w:lvlText w:val="%2."/>
      <w:lvlJc w:val="left"/>
      <w:pPr>
        <w:ind w:left="2744" w:hanging="360"/>
      </w:pPr>
    </w:lvl>
    <w:lvl w:ilvl="2" w:tplc="0406001B">
      <w:start w:val="1"/>
      <w:numFmt w:val="lowerRoman"/>
      <w:lvlText w:val="%3."/>
      <w:lvlJc w:val="right"/>
      <w:pPr>
        <w:ind w:left="3464" w:hanging="180"/>
      </w:pPr>
    </w:lvl>
    <w:lvl w:ilvl="3" w:tplc="0406000F">
      <w:start w:val="1"/>
      <w:numFmt w:val="decimal"/>
      <w:lvlText w:val="%4."/>
      <w:lvlJc w:val="left"/>
      <w:pPr>
        <w:ind w:left="4184" w:hanging="360"/>
      </w:pPr>
    </w:lvl>
    <w:lvl w:ilvl="4" w:tplc="04060019">
      <w:start w:val="1"/>
      <w:numFmt w:val="lowerLetter"/>
      <w:lvlText w:val="%5."/>
      <w:lvlJc w:val="left"/>
      <w:pPr>
        <w:ind w:left="4904" w:hanging="360"/>
      </w:pPr>
    </w:lvl>
    <w:lvl w:ilvl="5" w:tplc="0406001B">
      <w:start w:val="1"/>
      <w:numFmt w:val="lowerRoman"/>
      <w:lvlText w:val="%6."/>
      <w:lvlJc w:val="right"/>
      <w:pPr>
        <w:ind w:left="5624" w:hanging="180"/>
      </w:pPr>
    </w:lvl>
    <w:lvl w:ilvl="6" w:tplc="0406000F">
      <w:start w:val="1"/>
      <w:numFmt w:val="decimal"/>
      <w:lvlText w:val="%7."/>
      <w:lvlJc w:val="left"/>
      <w:pPr>
        <w:ind w:left="6344" w:hanging="360"/>
      </w:pPr>
    </w:lvl>
    <w:lvl w:ilvl="7" w:tplc="04060019">
      <w:start w:val="1"/>
      <w:numFmt w:val="lowerLetter"/>
      <w:lvlText w:val="%8."/>
      <w:lvlJc w:val="left"/>
      <w:pPr>
        <w:ind w:left="7064" w:hanging="360"/>
      </w:pPr>
    </w:lvl>
    <w:lvl w:ilvl="8" w:tplc="0406001B">
      <w:start w:val="1"/>
      <w:numFmt w:val="lowerRoman"/>
      <w:lvlText w:val="%9."/>
      <w:lvlJc w:val="right"/>
      <w:pPr>
        <w:ind w:left="7784" w:hanging="180"/>
      </w:pPr>
    </w:lvl>
  </w:abstractNum>
  <w:num w:numId="1" w16cid:durableId="2109957921">
    <w:abstractNumId w:val="15"/>
  </w:num>
  <w:num w:numId="2" w16cid:durableId="129832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532214">
    <w:abstractNumId w:val="12"/>
  </w:num>
  <w:num w:numId="4" w16cid:durableId="1971399803">
    <w:abstractNumId w:val="9"/>
  </w:num>
  <w:num w:numId="5" w16cid:durableId="111822283">
    <w:abstractNumId w:val="7"/>
  </w:num>
  <w:num w:numId="6" w16cid:durableId="1523595149">
    <w:abstractNumId w:val="14"/>
  </w:num>
  <w:num w:numId="7" w16cid:durableId="1170564968">
    <w:abstractNumId w:val="5"/>
  </w:num>
  <w:num w:numId="8" w16cid:durableId="1241140411">
    <w:abstractNumId w:val="10"/>
  </w:num>
  <w:num w:numId="9" w16cid:durableId="2121871824">
    <w:abstractNumId w:val="11"/>
  </w:num>
  <w:num w:numId="10" w16cid:durableId="955599492">
    <w:abstractNumId w:val="13"/>
  </w:num>
  <w:num w:numId="11" w16cid:durableId="1828670809">
    <w:abstractNumId w:val="0"/>
  </w:num>
  <w:num w:numId="12" w16cid:durableId="1448115088">
    <w:abstractNumId w:val="2"/>
  </w:num>
  <w:num w:numId="13" w16cid:durableId="1485706522">
    <w:abstractNumId w:val="4"/>
  </w:num>
  <w:num w:numId="14" w16cid:durableId="34352718">
    <w:abstractNumId w:val="6"/>
  </w:num>
  <w:num w:numId="15" w16cid:durableId="1436704408">
    <w:abstractNumId w:val="15"/>
  </w:num>
  <w:num w:numId="16" w16cid:durableId="1689520366">
    <w:abstractNumId w:val="3"/>
  </w:num>
  <w:num w:numId="17" w16cid:durableId="1670910314">
    <w:abstractNumId w:val="1"/>
  </w:num>
  <w:num w:numId="18" w16cid:durableId="1561283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CF"/>
    <w:rsid w:val="00006939"/>
    <w:rsid w:val="0000762A"/>
    <w:rsid w:val="00013EFC"/>
    <w:rsid w:val="00021810"/>
    <w:rsid w:val="00024A8D"/>
    <w:rsid w:val="00027D8E"/>
    <w:rsid w:val="0003124E"/>
    <w:rsid w:val="00035B47"/>
    <w:rsid w:val="00040EB6"/>
    <w:rsid w:val="00046629"/>
    <w:rsid w:val="00053D6F"/>
    <w:rsid w:val="00056588"/>
    <w:rsid w:val="00064DB5"/>
    <w:rsid w:val="000707B2"/>
    <w:rsid w:val="00073297"/>
    <w:rsid w:val="0007352A"/>
    <w:rsid w:val="000766AF"/>
    <w:rsid w:val="000859B0"/>
    <w:rsid w:val="000B3194"/>
    <w:rsid w:val="000D1011"/>
    <w:rsid w:val="000F41BF"/>
    <w:rsid w:val="001019EC"/>
    <w:rsid w:val="00106081"/>
    <w:rsid w:val="00125E66"/>
    <w:rsid w:val="001365AD"/>
    <w:rsid w:val="00141AA0"/>
    <w:rsid w:val="00143333"/>
    <w:rsid w:val="00152A8F"/>
    <w:rsid w:val="00161662"/>
    <w:rsid w:val="0016170A"/>
    <w:rsid w:val="0016281B"/>
    <w:rsid w:val="00163E04"/>
    <w:rsid w:val="00167443"/>
    <w:rsid w:val="00194B8B"/>
    <w:rsid w:val="001976E4"/>
    <w:rsid w:val="001B2F97"/>
    <w:rsid w:val="001B34CF"/>
    <w:rsid w:val="001B54CE"/>
    <w:rsid w:val="001C0ADA"/>
    <w:rsid w:val="001C2650"/>
    <w:rsid w:val="001C286F"/>
    <w:rsid w:val="001D25B1"/>
    <w:rsid w:val="001F3B9C"/>
    <w:rsid w:val="001F791A"/>
    <w:rsid w:val="002467BD"/>
    <w:rsid w:val="00251F13"/>
    <w:rsid w:val="0025251E"/>
    <w:rsid w:val="002528CA"/>
    <w:rsid w:val="002604EC"/>
    <w:rsid w:val="00262444"/>
    <w:rsid w:val="002757E8"/>
    <w:rsid w:val="00295744"/>
    <w:rsid w:val="00297FB0"/>
    <w:rsid w:val="002A6E87"/>
    <w:rsid w:val="002B62FC"/>
    <w:rsid w:val="002E162F"/>
    <w:rsid w:val="002F2039"/>
    <w:rsid w:val="0030555D"/>
    <w:rsid w:val="00323843"/>
    <w:rsid w:val="00324EDF"/>
    <w:rsid w:val="00355644"/>
    <w:rsid w:val="003556B4"/>
    <w:rsid w:val="0035615A"/>
    <w:rsid w:val="003622D5"/>
    <w:rsid w:val="00363E39"/>
    <w:rsid w:val="00374A39"/>
    <w:rsid w:val="0038013B"/>
    <w:rsid w:val="00385EA0"/>
    <w:rsid w:val="00392D93"/>
    <w:rsid w:val="003A0CAE"/>
    <w:rsid w:val="003A1A85"/>
    <w:rsid w:val="003A6509"/>
    <w:rsid w:val="003E6030"/>
    <w:rsid w:val="003E71F5"/>
    <w:rsid w:val="00402325"/>
    <w:rsid w:val="00403CA6"/>
    <w:rsid w:val="00437A5A"/>
    <w:rsid w:val="004402D4"/>
    <w:rsid w:val="00443043"/>
    <w:rsid w:val="00443BCF"/>
    <w:rsid w:val="00454CF5"/>
    <w:rsid w:val="00462DF1"/>
    <w:rsid w:val="00465A30"/>
    <w:rsid w:val="004705F3"/>
    <w:rsid w:val="00474912"/>
    <w:rsid w:val="004777A1"/>
    <w:rsid w:val="004942FB"/>
    <w:rsid w:val="004B4F28"/>
    <w:rsid w:val="004C5507"/>
    <w:rsid w:val="004D490C"/>
    <w:rsid w:val="004D576E"/>
    <w:rsid w:val="004E3650"/>
    <w:rsid w:val="004E4874"/>
    <w:rsid w:val="004E5E70"/>
    <w:rsid w:val="004F4918"/>
    <w:rsid w:val="004F4993"/>
    <w:rsid w:val="004F774C"/>
    <w:rsid w:val="00503D55"/>
    <w:rsid w:val="00505BF2"/>
    <w:rsid w:val="005062CF"/>
    <w:rsid w:val="0051006C"/>
    <w:rsid w:val="00511890"/>
    <w:rsid w:val="00536D93"/>
    <w:rsid w:val="00536FF0"/>
    <w:rsid w:val="00537053"/>
    <w:rsid w:val="005442F8"/>
    <w:rsid w:val="00545F70"/>
    <w:rsid w:val="0055225A"/>
    <w:rsid w:val="00582554"/>
    <w:rsid w:val="00582DFB"/>
    <w:rsid w:val="00590007"/>
    <w:rsid w:val="00591FC2"/>
    <w:rsid w:val="005A226D"/>
    <w:rsid w:val="005B1E11"/>
    <w:rsid w:val="005B317A"/>
    <w:rsid w:val="005B415D"/>
    <w:rsid w:val="005B44C0"/>
    <w:rsid w:val="005C5F34"/>
    <w:rsid w:val="005D1533"/>
    <w:rsid w:val="005F39FA"/>
    <w:rsid w:val="005F5CD0"/>
    <w:rsid w:val="005F7586"/>
    <w:rsid w:val="005F7AB3"/>
    <w:rsid w:val="006100AC"/>
    <w:rsid w:val="00627D4D"/>
    <w:rsid w:val="00635688"/>
    <w:rsid w:val="00636542"/>
    <w:rsid w:val="00637B0A"/>
    <w:rsid w:val="00645198"/>
    <w:rsid w:val="00651BE9"/>
    <w:rsid w:val="00654027"/>
    <w:rsid w:val="00675771"/>
    <w:rsid w:val="00680289"/>
    <w:rsid w:val="00683A77"/>
    <w:rsid w:val="006A0110"/>
    <w:rsid w:val="006A1163"/>
    <w:rsid w:val="006A4985"/>
    <w:rsid w:val="006A4CED"/>
    <w:rsid w:val="006C0D2F"/>
    <w:rsid w:val="006D0FFE"/>
    <w:rsid w:val="006D4F9F"/>
    <w:rsid w:val="00707D3A"/>
    <w:rsid w:val="007153CA"/>
    <w:rsid w:val="00720100"/>
    <w:rsid w:val="00721944"/>
    <w:rsid w:val="00724CC0"/>
    <w:rsid w:val="00735341"/>
    <w:rsid w:val="00744091"/>
    <w:rsid w:val="00744354"/>
    <w:rsid w:val="00747A31"/>
    <w:rsid w:val="007509E8"/>
    <w:rsid w:val="00753655"/>
    <w:rsid w:val="00753FEC"/>
    <w:rsid w:val="00790B57"/>
    <w:rsid w:val="00792750"/>
    <w:rsid w:val="007C6215"/>
    <w:rsid w:val="007C7793"/>
    <w:rsid w:val="007C7A9A"/>
    <w:rsid w:val="007D3B61"/>
    <w:rsid w:val="007D4B00"/>
    <w:rsid w:val="007D6102"/>
    <w:rsid w:val="007E10A8"/>
    <w:rsid w:val="007E5746"/>
    <w:rsid w:val="007F3259"/>
    <w:rsid w:val="00813002"/>
    <w:rsid w:val="00826034"/>
    <w:rsid w:val="0083139E"/>
    <w:rsid w:val="00836A2B"/>
    <w:rsid w:val="0084461D"/>
    <w:rsid w:val="008579A7"/>
    <w:rsid w:val="0087420E"/>
    <w:rsid w:val="00874C50"/>
    <w:rsid w:val="008B5055"/>
    <w:rsid w:val="008C25D3"/>
    <w:rsid w:val="008C51FC"/>
    <w:rsid w:val="008C68BE"/>
    <w:rsid w:val="00900164"/>
    <w:rsid w:val="00915816"/>
    <w:rsid w:val="00922F3B"/>
    <w:rsid w:val="00926B37"/>
    <w:rsid w:val="009310DF"/>
    <w:rsid w:val="00965055"/>
    <w:rsid w:val="00967D9E"/>
    <w:rsid w:val="009759A5"/>
    <w:rsid w:val="00986E1B"/>
    <w:rsid w:val="00990DCB"/>
    <w:rsid w:val="00991443"/>
    <w:rsid w:val="009C2F50"/>
    <w:rsid w:val="009E0DB3"/>
    <w:rsid w:val="009E3594"/>
    <w:rsid w:val="00A13A3C"/>
    <w:rsid w:val="00A24EAC"/>
    <w:rsid w:val="00A34195"/>
    <w:rsid w:val="00A373A0"/>
    <w:rsid w:val="00A42ED3"/>
    <w:rsid w:val="00A47F9E"/>
    <w:rsid w:val="00A51692"/>
    <w:rsid w:val="00A53328"/>
    <w:rsid w:val="00A6048E"/>
    <w:rsid w:val="00A63450"/>
    <w:rsid w:val="00A67472"/>
    <w:rsid w:val="00A70C77"/>
    <w:rsid w:val="00A90E82"/>
    <w:rsid w:val="00A95EFA"/>
    <w:rsid w:val="00A97291"/>
    <w:rsid w:val="00AA0635"/>
    <w:rsid w:val="00AA2E4B"/>
    <w:rsid w:val="00AA5A3B"/>
    <w:rsid w:val="00AB6047"/>
    <w:rsid w:val="00AB6BC8"/>
    <w:rsid w:val="00AF4473"/>
    <w:rsid w:val="00B15871"/>
    <w:rsid w:val="00B22346"/>
    <w:rsid w:val="00B3516C"/>
    <w:rsid w:val="00B40ED4"/>
    <w:rsid w:val="00B45EC3"/>
    <w:rsid w:val="00B46343"/>
    <w:rsid w:val="00B50E50"/>
    <w:rsid w:val="00B71CBE"/>
    <w:rsid w:val="00B75A84"/>
    <w:rsid w:val="00B874ED"/>
    <w:rsid w:val="00B9205E"/>
    <w:rsid w:val="00BA45E4"/>
    <w:rsid w:val="00BC7A7B"/>
    <w:rsid w:val="00BD3AA7"/>
    <w:rsid w:val="00BD3E39"/>
    <w:rsid w:val="00BD6B79"/>
    <w:rsid w:val="00BE165B"/>
    <w:rsid w:val="00BE532A"/>
    <w:rsid w:val="00BF3890"/>
    <w:rsid w:val="00C048B7"/>
    <w:rsid w:val="00C23523"/>
    <w:rsid w:val="00C41906"/>
    <w:rsid w:val="00C45BFE"/>
    <w:rsid w:val="00C53CCF"/>
    <w:rsid w:val="00C5737B"/>
    <w:rsid w:val="00C61930"/>
    <w:rsid w:val="00C61F7A"/>
    <w:rsid w:val="00C6381C"/>
    <w:rsid w:val="00C63E01"/>
    <w:rsid w:val="00C834EA"/>
    <w:rsid w:val="00CB05F3"/>
    <w:rsid w:val="00CB0A34"/>
    <w:rsid w:val="00CB13F3"/>
    <w:rsid w:val="00CB4E57"/>
    <w:rsid w:val="00CC3317"/>
    <w:rsid w:val="00CD2484"/>
    <w:rsid w:val="00CD2ED2"/>
    <w:rsid w:val="00CD6822"/>
    <w:rsid w:val="00CF2B77"/>
    <w:rsid w:val="00D07F04"/>
    <w:rsid w:val="00D1445D"/>
    <w:rsid w:val="00D160C2"/>
    <w:rsid w:val="00D23FB7"/>
    <w:rsid w:val="00D3105E"/>
    <w:rsid w:val="00D352CF"/>
    <w:rsid w:val="00D362C7"/>
    <w:rsid w:val="00D63FFA"/>
    <w:rsid w:val="00D824CE"/>
    <w:rsid w:val="00D84E6D"/>
    <w:rsid w:val="00D90BA0"/>
    <w:rsid w:val="00D9774E"/>
    <w:rsid w:val="00DA7D60"/>
    <w:rsid w:val="00DB6AE3"/>
    <w:rsid w:val="00DC299C"/>
    <w:rsid w:val="00DC430D"/>
    <w:rsid w:val="00DC4C9D"/>
    <w:rsid w:val="00DD09CF"/>
    <w:rsid w:val="00DD27DD"/>
    <w:rsid w:val="00DD2988"/>
    <w:rsid w:val="00DD2C9C"/>
    <w:rsid w:val="00E14BF7"/>
    <w:rsid w:val="00E165D1"/>
    <w:rsid w:val="00E218AC"/>
    <w:rsid w:val="00E30F94"/>
    <w:rsid w:val="00E34952"/>
    <w:rsid w:val="00E357B4"/>
    <w:rsid w:val="00E43419"/>
    <w:rsid w:val="00E46FC4"/>
    <w:rsid w:val="00E54E26"/>
    <w:rsid w:val="00E67609"/>
    <w:rsid w:val="00E8689E"/>
    <w:rsid w:val="00E92829"/>
    <w:rsid w:val="00EA6FC0"/>
    <w:rsid w:val="00EA7884"/>
    <w:rsid w:val="00EB568D"/>
    <w:rsid w:val="00EC6792"/>
    <w:rsid w:val="00ED1CA6"/>
    <w:rsid w:val="00EE48FC"/>
    <w:rsid w:val="00EE64E8"/>
    <w:rsid w:val="00EF2EF5"/>
    <w:rsid w:val="00F07440"/>
    <w:rsid w:val="00F17F7A"/>
    <w:rsid w:val="00F25344"/>
    <w:rsid w:val="00F269D3"/>
    <w:rsid w:val="00F32CE4"/>
    <w:rsid w:val="00F365BE"/>
    <w:rsid w:val="00F408D0"/>
    <w:rsid w:val="00F428F9"/>
    <w:rsid w:val="00F50E2F"/>
    <w:rsid w:val="00F54AAE"/>
    <w:rsid w:val="00F86EDD"/>
    <w:rsid w:val="00F874BA"/>
    <w:rsid w:val="00F90FCD"/>
    <w:rsid w:val="00F933FF"/>
    <w:rsid w:val="00FA2B29"/>
    <w:rsid w:val="00FC43CC"/>
    <w:rsid w:val="00FD17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3BEC"/>
  <w15:docId w15:val="{0A8CF8DE-986C-4641-9F65-D286A09B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Listeafsnit">
    <w:name w:val="List Paragraph"/>
    <w:basedOn w:val="Normal"/>
    <w:uiPriority w:val="34"/>
    <w:qFormat/>
    <w:rsid w:val="00F365BE"/>
    <w:pPr>
      <w:ind w:left="720"/>
      <w:contextualSpacing/>
    </w:pPr>
  </w:style>
  <w:style w:type="character" w:styleId="Kommentarhenvisning">
    <w:name w:val="annotation reference"/>
    <w:basedOn w:val="Standardskrifttypeiafsnit"/>
    <w:uiPriority w:val="99"/>
    <w:semiHidden/>
    <w:unhideWhenUsed/>
    <w:rsid w:val="00636542"/>
    <w:rPr>
      <w:sz w:val="16"/>
      <w:szCs w:val="16"/>
    </w:rPr>
  </w:style>
  <w:style w:type="paragraph" w:styleId="Kommentartekst">
    <w:name w:val="annotation text"/>
    <w:basedOn w:val="Normal"/>
    <w:link w:val="KommentartekstTegn"/>
    <w:uiPriority w:val="99"/>
    <w:unhideWhenUsed/>
    <w:rsid w:val="00636542"/>
    <w:pPr>
      <w:spacing w:line="240" w:lineRule="auto"/>
    </w:pPr>
    <w:rPr>
      <w:sz w:val="20"/>
      <w:szCs w:val="20"/>
    </w:rPr>
  </w:style>
  <w:style w:type="character" w:customStyle="1" w:styleId="KommentartekstTegn">
    <w:name w:val="Kommentartekst Tegn"/>
    <w:basedOn w:val="Standardskrifttypeiafsnit"/>
    <w:link w:val="Kommentartekst"/>
    <w:uiPriority w:val="99"/>
    <w:rsid w:val="00636542"/>
    <w:rPr>
      <w:sz w:val="20"/>
      <w:szCs w:val="20"/>
    </w:rPr>
  </w:style>
  <w:style w:type="paragraph" w:styleId="Kommentaremne">
    <w:name w:val="annotation subject"/>
    <w:basedOn w:val="Kommentartekst"/>
    <w:next w:val="Kommentartekst"/>
    <w:link w:val="KommentaremneTegn"/>
    <w:uiPriority w:val="99"/>
    <w:semiHidden/>
    <w:unhideWhenUsed/>
    <w:rsid w:val="00636542"/>
    <w:rPr>
      <w:b/>
      <w:bCs/>
    </w:rPr>
  </w:style>
  <w:style w:type="character" w:customStyle="1" w:styleId="KommentaremneTegn">
    <w:name w:val="Kommentaremne Tegn"/>
    <w:basedOn w:val="KommentartekstTegn"/>
    <w:link w:val="Kommentaremne"/>
    <w:uiPriority w:val="99"/>
    <w:semiHidden/>
    <w:rsid w:val="00636542"/>
    <w:rPr>
      <w:b/>
      <w:bCs/>
      <w:sz w:val="20"/>
      <w:szCs w:val="20"/>
    </w:rPr>
  </w:style>
  <w:style w:type="paragraph" w:styleId="Korrektur">
    <w:name w:val="Revision"/>
    <w:hidden/>
    <w:uiPriority w:val="99"/>
    <w:semiHidden/>
    <w:rsid w:val="00021810"/>
    <w:pPr>
      <w:spacing w:after="0" w:line="240" w:lineRule="auto"/>
    </w:pPr>
  </w:style>
  <w:style w:type="character" w:styleId="Hyperlink">
    <w:name w:val="Hyperlink"/>
    <w:basedOn w:val="Standardskrifttypeiafsnit"/>
    <w:uiPriority w:val="99"/>
    <w:semiHidden/>
    <w:unhideWhenUsed/>
    <w:rsid w:val="00021810"/>
    <w:rPr>
      <w:color w:val="0000FF"/>
      <w:u w:val="single"/>
    </w:rPr>
  </w:style>
  <w:style w:type="character" w:styleId="Fremhv">
    <w:name w:val="Emphasis"/>
    <w:basedOn w:val="Standardskrifttypeiafsnit"/>
    <w:uiPriority w:val="20"/>
    <w:qFormat/>
    <w:rsid w:val="00BD3E39"/>
    <w:rPr>
      <w:i/>
      <w:iCs/>
    </w:rPr>
  </w:style>
  <w:style w:type="paragraph" w:styleId="Fodnotetekst">
    <w:name w:val="footnote text"/>
    <w:basedOn w:val="Normal"/>
    <w:link w:val="FodnotetekstTegn"/>
    <w:uiPriority w:val="99"/>
    <w:semiHidden/>
    <w:unhideWhenUsed/>
    <w:rsid w:val="00392D93"/>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92D93"/>
    <w:rPr>
      <w:sz w:val="20"/>
      <w:szCs w:val="20"/>
    </w:rPr>
  </w:style>
  <w:style w:type="character" w:styleId="Fodnotehenvisning">
    <w:name w:val="footnote reference"/>
    <w:basedOn w:val="Standardskrifttypeiafsnit"/>
    <w:uiPriority w:val="99"/>
    <w:semiHidden/>
    <w:unhideWhenUsed/>
    <w:rsid w:val="00392D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9010">
      <w:bodyDiv w:val="1"/>
      <w:marLeft w:val="0"/>
      <w:marRight w:val="0"/>
      <w:marTop w:val="0"/>
      <w:marBottom w:val="0"/>
      <w:divBdr>
        <w:top w:val="none" w:sz="0" w:space="0" w:color="auto"/>
        <w:left w:val="none" w:sz="0" w:space="0" w:color="auto"/>
        <w:bottom w:val="none" w:sz="0" w:space="0" w:color="auto"/>
        <w:right w:val="none" w:sz="0" w:space="0" w:color="auto"/>
      </w:divBdr>
    </w:div>
    <w:div w:id="444423202">
      <w:bodyDiv w:val="1"/>
      <w:marLeft w:val="0"/>
      <w:marRight w:val="0"/>
      <w:marTop w:val="0"/>
      <w:marBottom w:val="0"/>
      <w:divBdr>
        <w:top w:val="none" w:sz="0" w:space="0" w:color="auto"/>
        <w:left w:val="none" w:sz="0" w:space="0" w:color="auto"/>
        <w:bottom w:val="none" w:sz="0" w:space="0" w:color="auto"/>
        <w:right w:val="none" w:sz="0" w:space="0" w:color="auto"/>
      </w:divBdr>
    </w:div>
    <w:div w:id="580263612">
      <w:bodyDiv w:val="1"/>
      <w:marLeft w:val="0"/>
      <w:marRight w:val="0"/>
      <w:marTop w:val="0"/>
      <w:marBottom w:val="0"/>
      <w:divBdr>
        <w:top w:val="none" w:sz="0" w:space="0" w:color="auto"/>
        <w:left w:val="none" w:sz="0" w:space="0" w:color="auto"/>
        <w:bottom w:val="none" w:sz="0" w:space="0" w:color="auto"/>
        <w:right w:val="none" w:sz="0" w:space="0" w:color="auto"/>
      </w:divBdr>
      <w:divsChild>
        <w:div w:id="1519540969">
          <w:marLeft w:val="0"/>
          <w:marRight w:val="0"/>
          <w:marTop w:val="0"/>
          <w:marBottom w:val="0"/>
          <w:divBdr>
            <w:top w:val="none" w:sz="0" w:space="0" w:color="auto"/>
            <w:left w:val="none" w:sz="0" w:space="0" w:color="auto"/>
            <w:bottom w:val="none" w:sz="0" w:space="0" w:color="auto"/>
            <w:right w:val="none" w:sz="0" w:space="0" w:color="auto"/>
          </w:divBdr>
          <w:divsChild>
            <w:div w:id="298732985">
              <w:marLeft w:val="0"/>
              <w:marRight w:val="0"/>
              <w:marTop w:val="0"/>
              <w:marBottom w:val="0"/>
              <w:divBdr>
                <w:top w:val="none" w:sz="0" w:space="0" w:color="auto"/>
                <w:left w:val="none" w:sz="0" w:space="0" w:color="auto"/>
                <w:bottom w:val="none" w:sz="0" w:space="0" w:color="auto"/>
                <w:right w:val="none" w:sz="0" w:space="0" w:color="auto"/>
              </w:divBdr>
              <w:divsChild>
                <w:div w:id="1637175353">
                  <w:marLeft w:val="0"/>
                  <w:marRight w:val="0"/>
                  <w:marTop w:val="225"/>
                  <w:marBottom w:val="300"/>
                  <w:divBdr>
                    <w:top w:val="none" w:sz="0" w:space="0" w:color="auto"/>
                    <w:left w:val="none" w:sz="0" w:space="0" w:color="auto"/>
                    <w:bottom w:val="none" w:sz="0" w:space="0" w:color="auto"/>
                    <w:right w:val="none" w:sz="0" w:space="0" w:color="auto"/>
                  </w:divBdr>
                </w:div>
                <w:div w:id="1013260045">
                  <w:marLeft w:val="0"/>
                  <w:marRight w:val="0"/>
                  <w:marTop w:val="0"/>
                  <w:marBottom w:val="45"/>
                  <w:divBdr>
                    <w:top w:val="none" w:sz="0" w:space="0" w:color="auto"/>
                    <w:left w:val="none" w:sz="0" w:space="0" w:color="auto"/>
                    <w:bottom w:val="none" w:sz="0" w:space="0" w:color="auto"/>
                    <w:right w:val="none" w:sz="0" w:space="0" w:color="auto"/>
                  </w:divBdr>
                </w:div>
                <w:div w:id="1234856184">
                  <w:marLeft w:val="0"/>
                  <w:marRight w:val="0"/>
                  <w:marTop w:val="0"/>
                  <w:marBottom w:val="45"/>
                  <w:divBdr>
                    <w:top w:val="none" w:sz="0" w:space="0" w:color="auto"/>
                    <w:left w:val="none" w:sz="0" w:space="0" w:color="auto"/>
                    <w:bottom w:val="none" w:sz="0" w:space="0" w:color="auto"/>
                    <w:right w:val="none" w:sz="0" w:space="0" w:color="auto"/>
                  </w:divBdr>
                </w:div>
                <w:div w:id="5628375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2619998">
          <w:marLeft w:val="0"/>
          <w:marRight w:val="0"/>
          <w:marTop w:val="240"/>
          <w:marBottom w:val="0"/>
          <w:divBdr>
            <w:top w:val="single" w:sz="6" w:space="12" w:color="999999"/>
            <w:left w:val="none" w:sz="0" w:space="0" w:color="auto"/>
            <w:bottom w:val="none" w:sz="0" w:space="0" w:color="auto"/>
            <w:right w:val="none" w:sz="0" w:space="0" w:color="auto"/>
          </w:divBdr>
        </w:div>
        <w:div w:id="2043020158">
          <w:marLeft w:val="0"/>
          <w:marRight w:val="0"/>
          <w:marTop w:val="0"/>
          <w:marBottom w:val="0"/>
          <w:divBdr>
            <w:top w:val="none" w:sz="0" w:space="0" w:color="auto"/>
            <w:left w:val="none" w:sz="0" w:space="0" w:color="auto"/>
            <w:bottom w:val="none" w:sz="0" w:space="0" w:color="auto"/>
            <w:right w:val="none" w:sz="0" w:space="0" w:color="auto"/>
          </w:divBdr>
        </w:div>
        <w:div w:id="2031486969">
          <w:marLeft w:val="0"/>
          <w:marRight w:val="0"/>
          <w:marTop w:val="0"/>
          <w:marBottom w:val="0"/>
          <w:divBdr>
            <w:top w:val="none" w:sz="0" w:space="0" w:color="auto"/>
            <w:left w:val="none" w:sz="0" w:space="0" w:color="auto"/>
            <w:bottom w:val="none" w:sz="0" w:space="0" w:color="auto"/>
            <w:right w:val="none" w:sz="0" w:space="0" w:color="auto"/>
          </w:divBdr>
        </w:div>
        <w:div w:id="1392538530">
          <w:marLeft w:val="0"/>
          <w:marRight w:val="0"/>
          <w:marTop w:val="0"/>
          <w:marBottom w:val="0"/>
          <w:divBdr>
            <w:top w:val="none" w:sz="0" w:space="0" w:color="auto"/>
            <w:left w:val="none" w:sz="0" w:space="0" w:color="auto"/>
            <w:bottom w:val="none" w:sz="0" w:space="0" w:color="auto"/>
            <w:right w:val="none" w:sz="0" w:space="0" w:color="auto"/>
          </w:divBdr>
        </w:div>
        <w:div w:id="801702300">
          <w:marLeft w:val="0"/>
          <w:marRight w:val="0"/>
          <w:marTop w:val="0"/>
          <w:marBottom w:val="0"/>
          <w:divBdr>
            <w:top w:val="none" w:sz="0" w:space="0" w:color="auto"/>
            <w:left w:val="none" w:sz="0" w:space="0" w:color="auto"/>
            <w:bottom w:val="none" w:sz="0" w:space="0" w:color="auto"/>
            <w:right w:val="none" w:sz="0" w:space="0" w:color="auto"/>
          </w:divBdr>
        </w:div>
        <w:div w:id="1035231630">
          <w:marLeft w:val="0"/>
          <w:marRight w:val="0"/>
          <w:marTop w:val="0"/>
          <w:marBottom w:val="0"/>
          <w:divBdr>
            <w:top w:val="none" w:sz="0" w:space="0" w:color="auto"/>
            <w:left w:val="none" w:sz="0" w:space="0" w:color="auto"/>
            <w:bottom w:val="none" w:sz="0" w:space="0" w:color="auto"/>
            <w:right w:val="none" w:sz="0" w:space="0" w:color="auto"/>
          </w:divBdr>
        </w:div>
        <w:div w:id="577524360">
          <w:marLeft w:val="0"/>
          <w:marRight w:val="0"/>
          <w:marTop w:val="0"/>
          <w:marBottom w:val="0"/>
          <w:divBdr>
            <w:top w:val="none" w:sz="0" w:space="0" w:color="auto"/>
            <w:left w:val="none" w:sz="0" w:space="0" w:color="auto"/>
            <w:bottom w:val="none" w:sz="0" w:space="0" w:color="auto"/>
            <w:right w:val="none" w:sz="0" w:space="0" w:color="auto"/>
          </w:divBdr>
        </w:div>
        <w:div w:id="1116102081">
          <w:marLeft w:val="0"/>
          <w:marRight w:val="0"/>
          <w:marTop w:val="0"/>
          <w:marBottom w:val="0"/>
          <w:divBdr>
            <w:top w:val="none" w:sz="0" w:space="0" w:color="auto"/>
            <w:left w:val="none" w:sz="0" w:space="0" w:color="auto"/>
            <w:bottom w:val="none" w:sz="0" w:space="0" w:color="auto"/>
            <w:right w:val="none" w:sz="0" w:space="0" w:color="auto"/>
          </w:divBdr>
        </w:div>
        <w:div w:id="1408960000">
          <w:marLeft w:val="0"/>
          <w:marRight w:val="0"/>
          <w:marTop w:val="0"/>
          <w:marBottom w:val="0"/>
          <w:divBdr>
            <w:top w:val="none" w:sz="0" w:space="0" w:color="auto"/>
            <w:left w:val="none" w:sz="0" w:space="0" w:color="auto"/>
            <w:bottom w:val="none" w:sz="0" w:space="0" w:color="auto"/>
            <w:right w:val="none" w:sz="0" w:space="0" w:color="auto"/>
          </w:divBdr>
        </w:div>
        <w:div w:id="627973532">
          <w:marLeft w:val="0"/>
          <w:marRight w:val="0"/>
          <w:marTop w:val="0"/>
          <w:marBottom w:val="0"/>
          <w:divBdr>
            <w:top w:val="none" w:sz="0" w:space="0" w:color="auto"/>
            <w:left w:val="none" w:sz="0" w:space="0" w:color="auto"/>
            <w:bottom w:val="none" w:sz="0" w:space="0" w:color="auto"/>
            <w:right w:val="none" w:sz="0" w:space="0" w:color="auto"/>
          </w:divBdr>
        </w:div>
        <w:div w:id="1739136316">
          <w:marLeft w:val="0"/>
          <w:marRight w:val="0"/>
          <w:marTop w:val="0"/>
          <w:marBottom w:val="0"/>
          <w:divBdr>
            <w:top w:val="none" w:sz="0" w:space="0" w:color="auto"/>
            <w:left w:val="none" w:sz="0" w:space="0" w:color="auto"/>
            <w:bottom w:val="none" w:sz="0" w:space="0" w:color="auto"/>
            <w:right w:val="none" w:sz="0" w:space="0" w:color="auto"/>
          </w:divBdr>
        </w:div>
        <w:div w:id="1982076907">
          <w:marLeft w:val="0"/>
          <w:marRight w:val="0"/>
          <w:marTop w:val="0"/>
          <w:marBottom w:val="0"/>
          <w:divBdr>
            <w:top w:val="none" w:sz="0" w:space="0" w:color="auto"/>
            <w:left w:val="none" w:sz="0" w:space="0" w:color="auto"/>
            <w:bottom w:val="none" w:sz="0" w:space="0" w:color="auto"/>
            <w:right w:val="none" w:sz="0" w:space="0" w:color="auto"/>
          </w:divBdr>
          <w:divsChild>
            <w:div w:id="1658994589">
              <w:marLeft w:val="0"/>
              <w:marRight w:val="0"/>
              <w:marTop w:val="0"/>
              <w:marBottom w:val="0"/>
              <w:divBdr>
                <w:top w:val="none" w:sz="0" w:space="0" w:color="auto"/>
                <w:left w:val="none" w:sz="0" w:space="0" w:color="auto"/>
                <w:bottom w:val="none" w:sz="0" w:space="0" w:color="auto"/>
                <w:right w:val="none" w:sz="0" w:space="0" w:color="auto"/>
              </w:divBdr>
              <w:divsChild>
                <w:div w:id="547373920">
                  <w:marLeft w:val="0"/>
                  <w:marRight w:val="0"/>
                  <w:marTop w:val="225"/>
                  <w:marBottom w:val="300"/>
                  <w:divBdr>
                    <w:top w:val="none" w:sz="0" w:space="0" w:color="auto"/>
                    <w:left w:val="none" w:sz="0" w:space="0" w:color="auto"/>
                    <w:bottom w:val="none" w:sz="0" w:space="0" w:color="auto"/>
                    <w:right w:val="none" w:sz="0" w:space="0" w:color="auto"/>
                  </w:divBdr>
                </w:div>
                <w:div w:id="1399400185">
                  <w:marLeft w:val="0"/>
                  <w:marRight w:val="0"/>
                  <w:marTop w:val="0"/>
                  <w:marBottom w:val="45"/>
                  <w:divBdr>
                    <w:top w:val="none" w:sz="0" w:space="0" w:color="auto"/>
                    <w:left w:val="none" w:sz="0" w:space="0" w:color="auto"/>
                    <w:bottom w:val="none" w:sz="0" w:space="0" w:color="auto"/>
                    <w:right w:val="none" w:sz="0" w:space="0" w:color="auto"/>
                  </w:divBdr>
                </w:div>
                <w:div w:id="941884323">
                  <w:marLeft w:val="0"/>
                  <w:marRight w:val="0"/>
                  <w:marTop w:val="0"/>
                  <w:marBottom w:val="180"/>
                  <w:divBdr>
                    <w:top w:val="none" w:sz="0" w:space="0" w:color="auto"/>
                    <w:left w:val="none" w:sz="0" w:space="0" w:color="auto"/>
                    <w:bottom w:val="none" w:sz="0" w:space="0" w:color="auto"/>
                    <w:right w:val="none" w:sz="0" w:space="0" w:color="auto"/>
                  </w:divBdr>
                </w:div>
                <w:div w:id="526985075">
                  <w:marLeft w:val="0"/>
                  <w:marRight w:val="0"/>
                  <w:marTop w:val="0"/>
                  <w:marBottom w:val="180"/>
                  <w:divBdr>
                    <w:top w:val="none" w:sz="0" w:space="0" w:color="auto"/>
                    <w:left w:val="none" w:sz="0" w:space="0" w:color="auto"/>
                    <w:bottom w:val="none" w:sz="0" w:space="0" w:color="auto"/>
                    <w:right w:val="none" w:sz="0" w:space="0" w:color="auto"/>
                  </w:divBdr>
                </w:div>
                <w:div w:id="130250891">
                  <w:marLeft w:val="0"/>
                  <w:marRight w:val="0"/>
                  <w:marTop w:val="0"/>
                  <w:marBottom w:val="45"/>
                  <w:divBdr>
                    <w:top w:val="none" w:sz="0" w:space="0" w:color="auto"/>
                    <w:left w:val="none" w:sz="0" w:space="0" w:color="auto"/>
                    <w:bottom w:val="none" w:sz="0" w:space="0" w:color="auto"/>
                    <w:right w:val="none" w:sz="0" w:space="0" w:color="auto"/>
                  </w:divBdr>
                </w:div>
                <w:div w:id="3980939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30748035">
          <w:marLeft w:val="0"/>
          <w:marRight w:val="0"/>
          <w:marTop w:val="0"/>
          <w:marBottom w:val="0"/>
          <w:divBdr>
            <w:top w:val="none" w:sz="0" w:space="0" w:color="auto"/>
            <w:left w:val="none" w:sz="0" w:space="0" w:color="auto"/>
            <w:bottom w:val="none" w:sz="0" w:space="0" w:color="auto"/>
            <w:right w:val="none" w:sz="0" w:space="0" w:color="auto"/>
          </w:divBdr>
        </w:div>
      </w:divsChild>
    </w:div>
    <w:div w:id="607733526">
      <w:bodyDiv w:val="1"/>
      <w:marLeft w:val="0"/>
      <w:marRight w:val="0"/>
      <w:marTop w:val="0"/>
      <w:marBottom w:val="0"/>
      <w:divBdr>
        <w:top w:val="none" w:sz="0" w:space="0" w:color="auto"/>
        <w:left w:val="none" w:sz="0" w:space="0" w:color="auto"/>
        <w:bottom w:val="none" w:sz="0" w:space="0" w:color="auto"/>
        <w:right w:val="none" w:sz="0" w:space="0" w:color="auto"/>
      </w:divBdr>
      <w:divsChild>
        <w:div w:id="1364092429">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k\AppData\Local\cBrain\F2\.tmp\3ad9839787474ddc9d9a35893456692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45FDE8EE-15F8-4C23-B883-8437DEC46364}">
  <ds:schemaRefs>
    <ds:schemaRef ds:uri="http://schemas.openxmlformats.org/officeDocument/2006/bibliography"/>
  </ds:schemaRefs>
</ds:datastoreItem>
</file>

<file path=customXml/itemProps2.xml><?xml version="1.0" encoding="utf-8"?>
<ds:datastoreItem xmlns:ds="http://schemas.openxmlformats.org/officeDocument/2006/customXml" ds:itemID="{0DAE2FEC-230C-4DF9-9C4D-7C3955FDDC2C}">
  <ds:schemaRefs>
    <ds:schemaRef ds:uri="Captia"/>
  </ds:schemaRefs>
</ds:datastoreItem>
</file>

<file path=docProps/app.xml><?xml version="1.0" encoding="utf-8"?>
<Properties xmlns="http://schemas.openxmlformats.org/officeDocument/2006/extended-properties" xmlns:vt="http://schemas.openxmlformats.org/officeDocument/2006/docPropsVTypes">
  <Template>3ad9839787474ddc9d9a35893456692f</Template>
  <TotalTime>4</TotalTime>
  <Pages>10</Pages>
  <Words>2731</Words>
  <Characters>15569</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Kristian Skou</dc:creator>
  <cp:lastModifiedBy>Malu Jessen</cp:lastModifiedBy>
  <cp:revision>5</cp:revision>
  <cp:lastPrinted>2022-11-23T20:45:00Z</cp:lastPrinted>
  <dcterms:created xsi:type="dcterms:W3CDTF">2023-02-13T18:17:00Z</dcterms:created>
  <dcterms:modified xsi:type="dcterms:W3CDTF">2023-04-24T14:13:00Z</dcterms:modified>
</cp:coreProperties>
</file>