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9C213" w14:textId="77777777" w:rsidR="00EB72CA" w:rsidRPr="00EB72CA" w:rsidRDefault="00EB72CA" w:rsidP="00EB72CA">
      <w:r w:rsidRPr="00EB72CA">
        <w:t>Dear Anne Petersen, dear Colleagues,</w:t>
      </w:r>
    </w:p>
    <w:p w14:paraId="00671538" w14:textId="77777777" w:rsidR="00EB72CA" w:rsidRPr="00EB72CA" w:rsidRDefault="00EB72CA" w:rsidP="00EB72CA">
      <w:r w:rsidRPr="00EB72CA">
        <w:t>Thank you very much for inviting us to this consultation, and giving us the opportunity to comment on your proposed Executive Order.</w:t>
      </w:r>
    </w:p>
    <w:p w14:paraId="0DA5AF4F" w14:textId="77777777" w:rsidR="00EB72CA" w:rsidRPr="00EB72CA" w:rsidRDefault="00EB72CA" w:rsidP="00EB72CA">
      <w:r w:rsidRPr="00EB72CA">
        <w:t>First and foremost, we would like to express our deep gratitude to the Greenlandic people and all Greenlandic authorities who have allowed us to conduct ecological research in the national park since 1979, and every year since 1988. We are fully aware that it is an invaluable privilege to be able to conduct long-term research in such a pristine environment, even during the recent COVID pandemic, when most of our foreign colleagues working in other Arctic regions have had to cancel their fieldwork.</w:t>
      </w:r>
    </w:p>
    <w:p w14:paraId="28431263" w14:textId="77777777" w:rsidR="00EB72CA" w:rsidRPr="00EB72CA" w:rsidRDefault="00EB72CA" w:rsidP="00EB72CA">
      <w:r w:rsidRPr="00EB72CA">
        <w:t>The Arctic Ecology Research Group (GREA), a French non-profit, non-governmental organisation, is currently involved in three long-term projects in the national park: one on Trail Island (since 1988), one at North Station (since 2003) and one at Hochstetter Forland (since 2010).</w:t>
      </w:r>
    </w:p>
    <w:p w14:paraId="30253A03" w14:textId="77777777" w:rsidR="00EB72CA" w:rsidRPr="00EB72CA" w:rsidRDefault="00EB72CA" w:rsidP="00EB72CA">
      <w:r w:rsidRPr="00EB72CA">
        <w:t>As you know, organising fieldwork in this remote region is difficult, especially for long-term projects such as ours.</w:t>
      </w:r>
      <w:r w:rsidRPr="00EB72CA">
        <w:br/>
        <w:t>Logistical costs have risen steadily in recent years, and although we do our utmost to reduce them (e.g. by sharing charter flights, using military flights, using small field camps), every year is a new battle to maintain these long-term projects.</w:t>
      </w:r>
    </w:p>
    <w:p w14:paraId="1F2F4D2C" w14:textId="77777777" w:rsidR="00EB72CA" w:rsidRPr="00EB72CA" w:rsidRDefault="00EB72CA" w:rsidP="00EB72CA">
      <w:r w:rsidRPr="00EB72CA">
        <w:t>Compared to these high fixed logistical costs, the addition of a new licence fee of DKK 8,000 may seem minor at first glance. However, this would represent an additional cost of 2-5% for each of these projects, some of which may not survive such an addition.</w:t>
      </w:r>
    </w:p>
    <w:p w14:paraId="74B060C8" w14:textId="6D9E2407" w:rsidR="00EB72CA" w:rsidRPr="00EB72CA" w:rsidRDefault="00EB72CA" w:rsidP="00EB72CA">
      <w:r w:rsidRPr="00EB72CA">
        <w:t xml:space="preserve">With regard to non-financial issues, we agree with most of those raised by the German consortium </w:t>
      </w:r>
      <w:r w:rsidR="0075071C">
        <w:t>(</w:t>
      </w:r>
      <w:r w:rsidR="0075071C" w:rsidRPr="0075071C">
        <w:t>Høringssvar - Annika Engelhardt, on behalf of the coordinating institutes and the GNP-HuB team</w:t>
      </w:r>
      <w:r w:rsidR="0075071C">
        <w:t>)</w:t>
      </w:r>
    </w:p>
    <w:p w14:paraId="2D7DC3A8" w14:textId="77777777" w:rsidR="00EB72CA" w:rsidRPr="00EB72CA" w:rsidRDefault="00EB72CA" w:rsidP="00EB72CA">
      <w:r w:rsidRPr="00EB72CA">
        <w:t>In particular, we have the following specific concerns:</w:t>
      </w:r>
    </w:p>
    <w:p w14:paraId="4CC7C631" w14:textId="77777777" w:rsidR="00EB72CA" w:rsidRPr="00EB72CA" w:rsidRDefault="00EB72CA" w:rsidP="00EB72CA">
      <w:r w:rsidRPr="00EB72CA">
        <w:t>1. </w:t>
      </w:r>
      <w:r w:rsidRPr="00EB72CA">
        <w:rPr>
          <w:b/>
          <w:bCs/>
        </w:rPr>
        <w:t>Non-profit versus commercial uses.</w:t>
      </w:r>
      <w:r w:rsidRPr="00EB72CA">
        <w:t> As a non-profit organisation, we pursue solely scientific objectives and, given the subject we study, the likelihood that any of our work will ever be used in commercial products or services is virtually nil. We therefore believe it would be fair to distinguish in your decree between commercial research projects (e.g. pharmaceutical research or research that could lead to biotechnological applications) and basic science, for which such a prospect is not conceivable. We believe that the latter should be exempt from fees, as all our scientific discoveries are made public in scientific journals for the benefit of all.</w:t>
      </w:r>
    </w:p>
    <w:p w14:paraId="270B2E8D" w14:textId="77777777" w:rsidR="00EB72CA" w:rsidRPr="00EB72CA" w:rsidRDefault="00EB72CA" w:rsidP="00EB72CA">
      <w:r w:rsidRPr="00EB72CA">
        <w:t>2. </w:t>
      </w:r>
      <w:r w:rsidRPr="00EB72CA">
        <w:rPr>
          <w:b/>
          <w:bCs/>
        </w:rPr>
        <w:t>Scope of the license</w:t>
      </w:r>
      <w:r w:rsidRPr="00EB72CA">
        <w:t>. As a research group and as indicated above, we work on different sites and on multi-year projects.</w:t>
      </w:r>
      <w:r w:rsidRPr="00EB72CA">
        <w:br/>
        <w:t>We also work on different types of organisms: plants, arthropods, birds and mammals.</w:t>
      </w:r>
      <w:r w:rsidRPr="00EB72CA">
        <w:br/>
        <w:t>We believe that </w:t>
      </w:r>
      <w:r w:rsidRPr="00EB72CA">
        <w:rPr>
          <w:u w:val="single"/>
        </w:rPr>
        <w:t>being able to submit a single application for multiple organisms, sites and years </w:t>
      </w:r>
      <w:r w:rsidRPr="00EB72CA">
        <w:t>would greatly facilitate everyone's work (less paperwork for both parties) and significantly reduce the cost of application fees, if you decide to maintain certain fees for us (but see point 1).</w:t>
      </w:r>
    </w:p>
    <w:p w14:paraId="7305AE83" w14:textId="77777777" w:rsidR="00EB72CA" w:rsidRPr="00EB72CA" w:rsidRDefault="00EB72CA" w:rsidP="00EB72CA">
      <w:r w:rsidRPr="00EB72CA">
        <w:t>3. </w:t>
      </w:r>
      <w:r w:rsidRPr="00EB72CA">
        <w:rPr>
          <w:b/>
          <w:bCs/>
        </w:rPr>
        <w:t>Type of genetic use.</w:t>
      </w:r>
      <w:r w:rsidRPr="00EB72CA">
        <w:t xml:space="preserve"> Finally, we would like to emphasise that for some of the genetic samples collected, our objective is sometimes solely to determine the sex (using genetic primers) or identify the species (e.g. barcoding of arthropods) of the organisms studied. In such cases, </w:t>
      </w:r>
      <w:r w:rsidRPr="00EB72CA">
        <w:lastRenderedPageBreak/>
        <w:t>genetic analysis of samples is only one useful (and not exclusive) method for obtaining more accurate results (e.g., determining the sex of birds compared to traditional morphometric methods) or less costly results (e.g., less skill and time required to identify arthropod species compared to traditional morphological examination). Therefore, if we were to suspend the use of genetic samples due to high application fees, we would either end up doing lower-quality science or having to remove parts of our projects (due to time and manpower constraints).</w:t>
      </w:r>
    </w:p>
    <w:p w14:paraId="3C04C8E2" w14:textId="77777777" w:rsidR="00EB72CA" w:rsidRPr="00EB72CA" w:rsidRDefault="00EB72CA" w:rsidP="00EB72CA">
      <w:r w:rsidRPr="00EB72CA">
        <w:t>4. </w:t>
      </w:r>
      <w:r w:rsidRPr="00EB72CA">
        <w:rPr>
          <w:b/>
          <w:bCs/>
        </w:rPr>
        <w:t>Deadline for submitting applications</w:t>
      </w:r>
      <w:r w:rsidRPr="00EB72CA">
        <w:t>. Unlike our German colleagues, we see no problem in submitting our applications more than six weeks before the start of the permit's period of validity, as our long-term research programs are planned well in advance.</w:t>
      </w:r>
    </w:p>
    <w:p w14:paraId="1E9B5228" w14:textId="77777777" w:rsidR="00EB72CA" w:rsidRPr="00EB72CA" w:rsidRDefault="00EB72CA" w:rsidP="00EB72CA">
      <w:r w:rsidRPr="00EB72CA">
        <w:t>We hope these few thoughts will be useful to you and thank you again for hearing us on this important subject.</w:t>
      </w:r>
    </w:p>
    <w:p w14:paraId="47AB8A05" w14:textId="77777777" w:rsidR="00EB72CA" w:rsidRPr="00EB72CA" w:rsidRDefault="00EB72CA" w:rsidP="00EB72CA">
      <w:r w:rsidRPr="00EB72CA">
        <w:t>Best regards,</w:t>
      </w:r>
      <w:r w:rsidRPr="00EB72CA">
        <w:br/>
        <w:t>Olivier Gilg</w:t>
      </w:r>
      <w:r w:rsidRPr="00EB72CA">
        <w:br/>
        <w:t>Chairman of the GREA</w:t>
      </w:r>
    </w:p>
    <w:p w14:paraId="1ADAB238" w14:textId="77777777" w:rsidR="00EB72CA" w:rsidRPr="00EB72CA" w:rsidRDefault="00EB72CA" w:rsidP="00EB72CA">
      <w:r w:rsidRPr="00EB72CA">
        <w:t>in coordination with other GREA members leading or co-leading research projects in Northeast Greenland:</w:t>
      </w:r>
      <w:r w:rsidRPr="00EB72CA">
        <w:br/>
        <w:t>Dr Benoit Sittler</w:t>
      </w:r>
      <w:r w:rsidRPr="00EB72CA">
        <w:br/>
        <w:t>Dr Johannes Lang</w:t>
      </w:r>
      <w:r w:rsidRPr="00EB72CA">
        <w:br/>
        <w:t>Assoc. Prof. Glenn Yannic</w:t>
      </w:r>
      <w:r w:rsidRPr="00EB72CA">
        <w:br/>
        <w:t>Prof. Loïc Bollache</w:t>
      </w:r>
    </w:p>
    <w:p w14:paraId="7D2717A9" w14:textId="77777777" w:rsidR="00F23B33" w:rsidRDefault="00F23B33"/>
    <w:sectPr w:rsidR="00F23B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2CA"/>
    <w:rsid w:val="00017D91"/>
    <w:rsid w:val="00314E66"/>
    <w:rsid w:val="0075071C"/>
    <w:rsid w:val="00982136"/>
    <w:rsid w:val="00EB72CA"/>
    <w:rsid w:val="00F23B33"/>
  </w:rsids>
  <m:mathPr>
    <m:mathFont m:val="Cambria Math"/>
    <m:brkBin m:val="before"/>
    <m:brkBinSub m:val="--"/>
    <m:smallFrac m:val="0"/>
    <m:dispDef/>
    <m:lMargin m:val="0"/>
    <m:rMargin m:val="0"/>
    <m:defJc m:val="centerGroup"/>
    <m:wrapIndent m:val="1440"/>
    <m:intLim m:val="subSup"/>
    <m:naryLim m:val="undOvr"/>
  </m:mathPr>
  <w:themeFontLang w:val="kl-G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172F1"/>
  <w15:chartTrackingRefBased/>
  <w15:docId w15:val="{FE1D9ECA-89E1-4E81-89FF-0D84CB0B1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kl-G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B72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EB72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B72C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B72C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B72C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B72C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B72C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B72C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B72CA"/>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B72C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EB72C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EB72CA"/>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EB72CA"/>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EB72CA"/>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EB72CA"/>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EB72CA"/>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EB72CA"/>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EB72CA"/>
    <w:rPr>
      <w:rFonts w:eastAsiaTheme="majorEastAsia" w:cstheme="majorBidi"/>
      <w:color w:val="272727" w:themeColor="text1" w:themeTint="D8"/>
    </w:rPr>
  </w:style>
  <w:style w:type="paragraph" w:styleId="Titel">
    <w:name w:val="Title"/>
    <w:basedOn w:val="Normal"/>
    <w:next w:val="Normal"/>
    <w:link w:val="TitelTegn"/>
    <w:uiPriority w:val="10"/>
    <w:qFormat/>
    <w:rsid w:val="00EB7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B72CA"/>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EB72CA"/>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EB72CA"/>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EB72CA"/>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EB72CA"/>
    <w:rPr>
      <w:i/>
      <w:iCs/>
      <w:color w:val="404040" w:themeColor="text1" w:themeTint="BF"/>
    </w:rPr>
  </w:style>
  <w:style w:type="paragraph" w:styleId="Listeafsnit">
    <w:name w:val="List Paragraph"/>
    <w:basedOn w:val="Normal"/>
    <w:uiPriority w:val="34"/>
    <w:qFormat/>
    <w:rsid w:val="00EB72CA"/>
    <w:pPr>
      <w:ind w:left="720"/>
      <w:contextualSpacing/>
    </w:pPr>
  </w:style>
  <w:style w:type="character" w:styleId="Kraftigfremhvning">
    <w:name w:val="Intense Emphasis"/>
    <w:basedOn w:val="Standardskrifttypeiafsnit"/>
    <w:uiPriority w:val="21"/>
    <w:qFormat/>
    <w:rsid w:val="00EB72CA"/>
    <w:rPr>
      <w:i/>
      <w:iCs/>
      <w:color w:val="0F4761" w:themeColor="accent1" w:themeShade="BF"/>
    </w:rPr>
  </w:style>
  <w:style w:type="paragraph" w:styleId="Strktcitat">
    <w:name w:val="Intense Quote"/>
    <w:basedOn w:val="Normal"/>
    <w:next w:val="Normal"/>
    <w:link w:val="StrktcitatTegn"/>
    <w:uiPriority w:val="30"/>
    <w:qFormat/>
    <w:rsid w:val="00EB72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EB72CA"/>
    <w:rPr>
      <w:i/>
      <w:iCs/>
      <w:color w:val="0F4761" w:themeColor="accent1" w:themeShade="BF"/>
    </w:rPr>
  </w:style>
  <w:style w:type="character" w:styleId="Kraftighenvisning">
    <w:name w:val="Intense Reference"/>
    <w:basedOn w:val="Standardskrifttypeiafsnit"/>
    <w:uiPriority w:val="32"/>
    <w:qFormat/>
    <w:rsid w:val="00EB72CA"/>
    <w:rPr>
      <w:b/>
      <w:bCs/>
      <w:smallCaps/>
      <w:color w:val="0F4761" w:themeColor="accent1" w:themeShade="BF"/>
      <w:spacing w:val="5"/>
    </w:rPr>
  </w:style>
  <w:style w:type="character" w:styleId="Hyperlink">
    <w:name w:val="Hyperlink"/>
    <w:basedOn w:val="Standardskrifttypeiafsnit"/>
    <w:uiPriority w:val="99"/>
    <w:unhideWhenUsed/>
    <w:rsid w:val="00EB72CA"/>
    <w:rPr>
      <w:color w:val="467886" w:themeColor="hyperlink"/>
      <w:u w:val="single"/>
    </w:rPr>
  </w:style>
  <w:style w:type="character" w:styleId="Ulstomtale">
    <w:name w:val="Unresolved Mention"/>
    <w:basedOn w:val="Standardskrifttypeiafsnit"/>
    <w:uiPriority w:val="99"/>
    <w:semiHidden/>
    <w:unhideWhenUsed/>
    <w:rsid w:val="00EB72CA"/>
    <w:rPr>
      <w:color w:val="605E5C"/>
      <w:shd w:val="clear" w:color="auto" w:fill="E1DFDD"/>
    </w:rPr>
  </w:style>
  <w:style w:type="character" w:styleId="BesgtLink">
    <w:name w:val="FollowedHyperlink"/>
    <w:basedOn w:val="Standardskrifttypeiafsnit"/>
    <w:uiPriority w:val="99"/>
    <w:semiHidden/>
    <w:unhideWhenUsed/>
    <w:rsid w:val="00EB72C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661</Words>
  <Characters>3770</Characters>
  <Application>Microsoft Office Word</Application>
  <DocSecurity>0</DocSecurity>
  <Lines>31</Lines>
  <Paragraphs>8</Paragraphs>
  <ScaleCrop>false</ScaleCrop>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Petersen</dc:creator>
  <cp:keywords/>
  <dc:description/>
  <cp:lastModifiedBy>Anne Petersen</cp:lastModifiedBy>
  <cp:revision>3</cp:revision>
  <dcterms:created xsi:type="dcterms:W3CDTF">2026-03-16T13:31:00Z</dcterms:created>
  <dcterms:modified xsi:type="dcterms:W3CDTF">2026-03-16T13:38:00Z</dcterms:modified>
</cp:coreProperties>
</file>