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955CA" w14:textId="77777777" w:rsidR="00166726" w:rsidRPr="00221FF0" w:rsidRDefault="00166726" w:rsidP="009E1906">
      <w:pPr>
        <w:widowControl/>
        <w:autoSpaceDE/>
        <w:autoSpaceDN/>
        <w:adjustRightInd/>
      </w:pPr>
      <w:r w:rsidRPr="00221FF0">
        <w:t>xx. november 2025</w:t>
      </w:r>
    </w:p>
    <w:p w14:paraId="3E0CEA1E" w14:textId="77777777" w:rsidR="00166726" w:rsidRPr="00221FF0" w:rsidRDefault="00166726" w:rsidP="009E1906">
      <w:pPr>
        <w:widowControl/>
        <w:autoSpaceDE/>
        <w:autoSpaceDN/>
        <w:adjustRightInd/>
        <w:jc w:val="center"/>
      </w:pPr>
      <w:r w:rsidRPr="00221FF0">
        <w:t>Bemærkninger til forslaget</w:t>
      </w:r>
    </w:p>
    <w:p w14:paraId="107E6289" w14:textId="77777777" w:rsidR="00166726" w:rsidRPr="00221FF0" w:rsidRDefault="00166726" w:rsidP="009E1906">
      <w:pPr>
        <w:widowControl/>
        <w:autoSpaceDE/>
        <w:autoSpaceDN/>
        <w:adjustRightInd/>
        <w:jc w:val="center"/>
      </w:pPr>
    </w:p>
    <w:p w14:paraId="5B96C8E1" w14:textId="77777777" w:rsidR="00166726" w:rsidRPr="00221FF0" w:rsidRDefault="00166726" w:rsidP="009E1906">
      <w:pPr>
        <w:widowControl/>
        <w:autoSpaceDE/>
        <w:autoSpaceDN/>
        <w:adjustRightInd/>
        <w:jc w:val="center"/>
      </w:pPr>
      <w:r w:rsidRPr="00221FF0">
        <w:rPr>
          <w:b/>
          <w:bCs/>
        </w:rPr>
        <w:t>Almindelige bemærkninger</w:t>
      </w:r>
      <w:r w:rsidRPr="00221FF0">
        <w:t xml:space="preserve"> </w:t>
      </w:r>
    </w:p>
    <w:p w14:paraId="42A558E6" w14:textId="77777777" w:rsidR="00166726" w:rsidRPr="00221FF0" w:rsidRDefault="00166726" w:rsidP="009E1906">
      <w:pPr>
        <w:widowControl/>
        <w:autoSpaceDE/>
        <w:autoSpaceDN/>
        <w:adjustRightInd/>
        <w:jc w:val="center"/>
      </w:pPr>
    </w:p>
    <w:p w14:paraId="5C503E61" w14:textId="77777777" w:rsidR="00166726" w:rsidRPr="00221FF0" w:rsidRDefault="00166726" w:rsidP="009E1906">
      <w:pPr>
        <w:widowControl/>
        <w:autoSpaceDE/>
        <w:autoSpaceDN/>
        <w:adjustRightInd/>
        <w:jc w:val="center"/>
      </w:pPr>
    </w:p>
    <w:p w14:paraId="0D75EC61" w14:textId="77777777" w:rsidR="00166726" w:rsidRPr="00221FF0" w:rsidRDefault="00166726" w:rsidP="009E1906">
      <w:pPr>
        <w:widowControl/>
        <w:autoSpaceDE/>
        <w:autoSpaceDN/>
        <w:adjustRightInd/>
        <w:jc w:val="center"/>
      </w:pPr>
    </w:p>
    <w:p w14:paraId="7FF9F03E" w14:textId="77777777" w:rsidR="00166726" w:rsidRPr="00221FF0" w:rsidRDefault="00166726" w:rsidP="009E1906">
      <w:pPr>
        <w:widowControl/>
        <w:autoSpaceDE/>
        <w:autoSpaceDN/>
        <w:adjustRightInd/>
        <w:jc w:val="center"/>
      </w:pPr>
    </w:p>
    <w:p w14:paraId="328284C4" w14:textId="77777777" w:rsidR="00166726" w:rsidRPr="00221FF0" w:rsidRDefault="00166726" w:rsidP="009E1906">
      <w:pPr>
        <w:widowControl/>
        <w:autoSpaceDE/>
        <w:autoSpaceDN/>
        <w:adjustRightInd/>
        <w:rPr>
          <w:b/>
          <w:bCs/>
        </w:rPr>
      </w:pPr>
      <w:bookmarkStart w:id="0" w:name="_Hlk213744118"/>
      <w:r w:rsidRPr="00221FF0">
        <w:rPr>
          <w:b/>
          <w:bCs/>
        </w:rPr>
        <w:t>1. Indledning</w:t>
      </w:r>
    </w:p>
    <w:p w14:paraId="542C31FD" w14:textId="3ECC98AE" w:rsidR="00166726" w:rsidRPr="00221FF0" w:rsidRDefault="00166726" w:rsidP="009E1906">
      <w:pPr>
        <w:widowControl/>
        <w:autoSpaceDE/>
        <w:autoSpaceDN/>
        <w:adjustRightInd/>
      </w:pPr>
      <w:r w:rsidRPr="00221FF0">
        <w:t xml:space="preserve">Ændringsforslaget har til formål at sikre en forbedring af anvendelsen af </w:t>
      </w:r>
      <w:r w:rsidR="00863361" w:rsidRPr="00221FF0">
        <w:t>Inatsisartut</w:t>
      </w:r>
      <w:r w:rsidRPr="00221FF0">
        <w:t>lov</w:t>
      </w:r>
      <w:r w:rsidR="00863361" w:rsidRPr="00221FF0">
        <w:t xml:space="preserve"> om turistvirksomhed og om zoneinddeling m.v. for erhvervsmæssig virksomhed, som blev</w:t>
      </w:r>
      <w:r w:rsidR="001E738E" w:rsidRPr="00221FF0">
        <w:t xml:space="preserve"> behandlet</w:t>
      </w:r>
      <w:r w:rsidR="00863361" w:rsidRPr="00221FF0">
        <w:t xml:space="preserve"> </w:t>
      </w:r>
      <w:r w:rsidR="003D7AE3" w:rsidRPr="00221FF0">
        <w:t xml:space="preserve">og </w:t>
      </w:r>
      <w:r w:rsidR="00863361" w:rsidRPr="00221FF0">
        <w:t>vedtaget på EM2024/28</w:t>
      </w:r>
      <w:r w:rsidRPr="00221FF0">
        <w:t>, så den ikke utilsigtet hindrer turismeerhvervet, eller rammer skævt i f.eks. udstedelse af licenser. Dette formål opfyldes blandt andet ved tilføjelse af regler, der forlænger dispensationsperioden, muliggør dispensation fra reglerne om licenskrav for lokale, som er udstationeret af nærmere bestemte årsager, indførelse af hjemmel til udstedelse af regler om sikkerhed for personer, der vandrer, færdes eller tager ophold i landet samt mulighed for dispensation i nærmere bestemte områder med henblik på at balancere hensynene til at imødekomme efterspørgsel på turismeaktiviteter samt styrke lokaløkonomien i disse områder.</w:t>
      </w:r>
    </w:p>
    <w:p w14:paraId="3E868822" w14:textId="77777777" w:rsidR="00166726" w:rsidRPr="00221FF0" w:rsidRDefault="00166726" w:rsidP="009E1906">
      <w:pPr>
        <w:widowControl/>
        <w:autoSpaceDE/>
        <w:autoSpaceDN/>
        <w:adjustRightInd/>
      </w:pPr>
    </w:p>
    <w:p w14:paraId="4A21564B" w14:textId="77777777" w:rsidR="00166726" w:rsidRPr="00221FF0" w:rsidRDefault="00166726" w:rsidP="009E1906">
      <w:pPr>
        <w:widowControl/>
        <w:autoSpaceDE/>
        <w:autoSpaceDN/>
        <w:adjustRightInd/>
      </w:pPr>
      <w:r w:rsidRPr="00221FF0">
        <w:t>Det præciseres samtidig, at lovens regler om zoneinddeling finder anvendelse på færdsel og ophold i alle afskygninger – både kommerciel og ikke-kommerciel, samt selvorganiseret og som et led i en udbyders turistvirksomhed. Reglerne gælder alene for fysiske personer, der ikke har fast bopæl i landet.</w:t>
      </w:r>
    </w:p>
    <w:p w14:paraId="7BF86232" w14:textId="77777777" w:rsidR="00166726" w:rsidRPr="00221FF0" w:rsidRDefault="00166726" w:rsidP="009E1906">
      <w:pPr>
        <w:widowControl/>
        <w:autoSpaceDE/>
        <w:autoSpaceDN/>
        <w:adjustRightInd/>
      </w:pPr>
    </w:p>
    <w:p w14:paraId="02DC0809" w14:textId="77777777" w:rsidR="00166726" w:rsidRPr="00221FF0" w:rsidRDefault="00166726" w:rsidP="009E1906">
      <w:pPr>
        <w:widowControl/>
        <w:autoSpaceDE/>
        <w:autoSpaceDN/>
        <w:adjustRightInd/>
      </w:pPr>
      <w:r w:rsidRPr="00221FF0">
        <w:rPr>
          <w:b/>
          <w:bCs/>
        </w:rPr>
        <w:t>2. Hovedpunkter i forslaget</w:t>
      </w:r>
      <w:r w:rsidRPr="00221FF0">
        <w:t xml:space="preserve"> </w:t>
      </w:r>
    </w:p>
    <w:p w14:paraId="4E2CFC16" w14:textId="7F059B39" w:rsidR="00166726" w:rsidRPr="00221FF0" w:rsidRDefault="00166726" w:rsidP="009E1906">
      <w:pPr>
        <w:widowControl/>
        <w:autoSpaceDE/>
        <w:autoSpaceDN/>
        <w:adjustRightInd/>
      </w:pPr>
      <w:bookmarkStart w:id="1" w:name="_Hlk215683018"/>
      <w:r w:rsidRPr="00221FF0">
        <w:t>Med nærværende lovforslag foreslås en række ændringer af turismeloven, der har til formål at styrke rammerne for turismeerhvervet</w:t>
      </w:r>
      <w:r w:rsidR="004A4CF4" w:rsidRPr="00221FF0">
        <w:t xml:space="preserve"> og</w:t>
      </w:r>
      <w:r w:rsidRPr="00221FF0">
        <w:t xml:space="preserve"> skabe større forudsigelighed for </w:t>
      </w:r>
      <w:r w:rsidR="00B43E74" w:rsidRPr="00221FF0">
        <w:t>turisme</w:t>
      </w:r>
      <w:r w:rsidRPr="00221FF0">
        <w:t>aktører. Ændringerne tager udgangspunkt i identificerede udfordringer ved de gældende regler og søger at balancere hensynet til erhvervslivets behov for stabilitet og samfundets krav til sikkerhed og lokal udvikling.</w:t>
      </w:r>
    </w:p>
    <w:p w14:paraId="5C873FAB" w14:textId="77777777" w:rsidR="000106DF" w:rsidRPr="00221FF0" w:rsidRDefault="000106DF" w:rsidP="009E1906">
      <w:pPr>
        <w:widowControl/>
        <w:autoSpaceDE/>
        <w:autoSpaceDN/>
        <w:adjustRightInd/>
      </w:pPr>
    </w:p>
    <w:p w14:paraId="63A3CFE6" w14:textId="77777777" w:rsidR="000106DF" w:rsidRPr="00221FF0" w:rsidRDefault="000106DF" w:rsidP="009E1906">
      <w:pPr>
        <w:rPr>
          <w:b/>
          <w:bCs/>
        </w:rPr>
      </w:pPr>
      <w:bookmarkStart w:id="2" w:name="_Hlk215684215"/>
      <w:r w:rsidRPr="00221FF0">
        <w:rPr>
          <w:b/>
          <w:bCs/>
        </w:rPr>
        <w:t>Forlængelse af d</w:t>
      </w:r>
      <w:r w:rsidRPr="00221FF0">
        <w:rPr>
          <w:rFonts w:eastAsiaTheme="majorEastAsia"/>
          <w:b/>
          <w:bCs/>
        </w:rPr>
        <w:t>ispensations</w:t>
      </w:r>
      <w:r w:rsidRPr="00221FF0">
        <w:rPr>
          <w:b/>
          <w:bCs/>
        </w:rPr>
        <w:t>perioden</w:t>
      </w:r>
    </w:p>
    <w:p w14:paraId="1E6B855F" w14:textId="0A41FC67" w:rsidR="000106DF" w:rsidRPr="00221FF0" w:rsidRDefault="000106DF" w:rsidP="009E1906">
      <w:r w:rsidRPr="00221FF0">
        <w:t xml:space="preserve">Efter gældende ret kan der </w:t>
      </w:r>
      <w:r w:rsidR="00317DEE" w:rsidRPr="00221FF0">
        <w:t>udstedes</w:t>
      </w:r>
      <w:r w:rsidRPr="00221FF0">
        <w:t xml:space="preserve"> dispensation for en periode på to år med mulighed for forlængelse. Denne ordning har i praksis vist sig utilstrækkelig til at imødekomme erhvervslivets behov for en længere overgangsperiode, særligt i relation til etablering af lokal forankring eller opbygning af ejerkredsen i landet. Overvejelserne har derfor taget udgangspunkt i, at en kort tidsramme kan skabe usikkerhed for aktører og hæmme investeringer. I lovforberedende drøftelser er det fremhævet, at en længere tidsramme vil </w:t>
      </w:r>
      <w:r w:rsidRPr="00221FF0">
        <w:lastRenderedPageBreak/>
        <w:t>kunne skabe større stabilitet, men samtidig rejser spørgsmålet betænkeligheder i forhold til at sikre, at dispensationsordningen ikke udhules og anvendes som en permanent undtagelse. Den foreslåede ordning indebærer, at den nuværende tidsramme erstattes af en længere periode, der bedre afspejler erhvervslivets behov, men stadig fastholder dispensationsinstituttets karakter af midlertidig undtagelse.</w:t>
      </w:r>
    </w:p>
    <w:p w14:paraId="40324650" w14:textId="77777777" w:rsidR="000F6AB4" w:rsidRPr="00221FF0" w:rsidRDefault="000F6AB4" w:rsidP="009E1906"/>
    <w:p w14:paraId="7FBA22D7" w14:textId="1E826D72" w:rsidR="000F6AB4" w:rsidRPr="00221FF0" w:rsidRDefault="00B43E74" w:rsidP="009E1906">
      <w:pPr>
        <w:rPr>
          <w:b/>
          <w:bCs/>
        </w:rPr>
      </w:pPr>
      <w:r w:rsidRPr="00221FF0">
        <w:rPr>
          <w:b/>
          <w:bCs/>
        </w:rPr>
        <w:t>Yderligere t</w:t>
      </w:r>
      <w:r w:rsidR="000F6AB4" w:rsidRPr="00221FF0">
        <w:rPr>
          <w:b/>
          <w:bCs/>
        </w:rPr>
        <w:t>ilretning af § 11</w:t>
      </w:r>
    </w:p>
    <w:p w14:paraId="7A8C1620" w14:textId="020200DC" w:rsidR="000F6AB4" w:rsidRPr="00221FF0" w:rsidRDefault="000F6AB4" w:rsidP="000F6AB4">
      <w:pPr>
        <w:widowControl/>
        <w:autoSpaceDE/>
        <w:autoSpaceDN/>
        <w:adjustRightInd/>
      </w:pPr>
      <w:r w:rsidRPr="00221FF0">
        <w:t>Ændringerne i § 11 har desuden til formål at rette op på en tidligere fejlagtig henvisning. Henvisningerne til § 3, stk. 4, § 6, stk. 3, § 10 og § 15 er derfor slettet, da de krav, som Naalakkersuisut bør kunne dispensere fra, er kravene i §§ 7-10 samt de bestemmelser, som vil være udstedt i medfør af § 5.</w:t>
      </w:r>
    </w:p>
    <w:p w14:paraId="6B39BD9D" w14:textId="77777777" w:rsidR="000F6AB4" w:rsidRPr="00221FF0" w:rsidRDefault="000F6AB4" w:rsidP="000F6AB4">
      <w:pPr>
        <w:widowControl/>
        <w:autoSpaceDE/>
        <w:autoSpaceDN/>
        <w:adjustRightInd/>
      </w:pPr>
      <w:r w:rsidRPr="00221FF0">
        <w:t>Derudover er mulighederne for dispensation indskrænket, idet det ikke bør være muligt at give dispensation til et selskab, som ikke opfylder basale solvenskrav. Muligheden for at give dispensation fra kravene i § 7, nr. 3) og § 8, nr. 2) er derfor slettet.</w:t>
      </w:r>
    </w:p>
    <w:p w14:paraId="4B36DAEA" w14:textId="77777777" w:rsidR="000106DF" w:rsidRPr="00221FF0" w:rsidRDefault="000106DF" w:rsidP="009E1906"/>
    <w:p w14:paraId="1DE846AF" w14:textId="77777777" w:rsidR="000106DF" w:rsidRPr="00221FF0" w:rsidRDefault="000106DF" w:rsidP="009E1906">
      <w:r w:rsidRPr="00221FF0">
        <w:rPr>
          <w:b/>
          <w:bCs/>
        </w:rPr>
        <w:t>Undtagelse fra licenskrav</w:t>
      </w:r>
      <w:r w:rsidRPr="00221FF0">
        <w:rPr>
          <w:rFonts w:eastAsiaTheme="majorEastAsia"/>
          <w:b/>
          <w:bCs/>
        </w:rPr>
        <w:t xml:space="preserve"> ved udstationering</w:t>
      </w:r>
    </w:p>
    <w:p w14:paraId="72EC71C0" w14:textId="60D3ABEE" w:rsidR="000106DF" w:rsidRPr="00221FF0" w:rsidRDefault="000106DF" w:rsidP="009E1906">
      <w:r w:rsidRPr="00221FF0">
        <w:t>Gældende ret indeholder adgang til dispensation i visse situationer, men praksis har vist behov for en præcisering. Særligt har der været usikkerhed om mulighederne ved offentlige hverv, uddannelsesophold, længerevarende sygdom samt udstationering af ægtefæller eller samlevere. Overvejelserne har peget på, at en klarere regulering vil skabe større forudsigelighed og retssikkerhed for de berørte. Samtidig er der rejst betænkeligheder ved, om en for vid adgang til dispensation kan udhule de generelle krav til lokal tilstedeværelse. Den foreslåede ordning præciserer adgangen til dispensation i de nævnte situationer, således at reglerne fremstår klare og ensartede, men uden at udvide adgangen ud over det sagligt begrundede.</w:t>
      </w:r>
    </w:p>
    <w:p w14:paraId="53775EA2" w14:textId="77777777" w:rsidR="000106DF" w:rsidRPr="00221FF0" w:rsidRDefault="000106DF" w:rsidP="009E1906"/>
    <w:p w14:paraId="73D4CC35" w14:textId="77777777" w:rsidR="000106DF" w:rsidRPr="00221FF0" w:rsidRDefault="000106DF" w:rsidP="009E1906">
      <w:r w:rsidRPr="00221FF0">
        <w:rPr>
          <w:rFonts w:eastAsiaTheme="majorEastAsia"/>
          <w:b/>
          <w:bCs/>
        </w:rPr>
        <w:t>Sikkerheds- og beredskabstiltag</w:t>
      </w:r>
    </w:p>
    <w:p w14:paraId="416A87FB" w14:textId="1C923407" w:rsidR="000106DF" w:rsidRPr="00221FF0" w:rsidRDefault="000106DF" w:rsidP="009E1906">
      <w:pPr>
        <w:spacing w:after="160" w:line="278" w:lineRule="auto"/>
      </w:pPr>
      <w:r w:rsidRPr="00221FF0">
        <w:t xml:space="preserve">Efter gældende ret er der begrænsede muligheder for at stille krav til registrering af aktiviteter og dokumentation for forsikring. Udviklingen i turismeaktiviteter, herunder stigende færdsel på udsatte ruter, har givet anledning til overvejelser om behovet for et mere tidssvarende beredskab. Det er Naalakkersuisuts ønske at styrke sikkerheden, men samtidig er der betænkeligheder ved at indføre for vidtgående krav, der kan virke hæmmende for turismeerhvervet. Den foreslåede ordning indebærer, at der kan stilles krav om registrering af vandreture, </w:t>
      </w:r>
      <w:r w:rsidR="00B145D6" w:rsidRPr="00221FF0">
        <w:t xml:space="preserve">færdsel eller ophold, </w:t>
      </w:r>
      <w:r w:rsidRPr="00221FF0">
        <w:t>erhvervelse af vandrebevis samt dokumentation for rejse- eller redningsforsikring på nærmere udpegede ruter. Ordningen afbalancerer hensynet til sikkerhed med hensynet til erhvervslivets behov for fleksibilitet.</w:t>
      </w:r>
    </w:p>
    <w:p w14:paraId="4AF9F83D" w14:textId="77777777" w:rsidR="000106DF" w:rsidRPr="00221FF0" w:rsidRDefault="000106DF" w:rsidP="009E1906">
      <w:pPr>
        <w:rPr>
          <w:b/>
          <w:bCs/>
        </w:rPr>
      </w:pPr>
      <w:r w:rsidRPr="00221FF0">
        <w:rPr>
          <w:b/>
          <w:bCs/>
        </w:rPr>
        <w:t>Sæ</w:t>
      </w:r>
      <w:r w:rsidRPr="00221FF0">
        <w:rPr>
          <w:rFonts w:eastAsiaTheme="majorEastAsia"/>
          <w:b/>
          <w:bCs/>
        </w:rPr>
        <w:t>rlig dispensationsmulighed i områder med få turismeaktører</w:t>
      </w:r>
    </w:p>
    <w:p w14:paraId="72B511E0" w14:textId="77777777" w:rsidR="000106DF" w:rsidRPr="00221FF0" w:rsidRDefault="000106DF" w:rsidP="009E1906">
      <w:pPr>
        <w:spacing w:after="160" w:line="278" w:lineRule="auto"/>
      </w:pPr>
      <w:r w:rsidRPr="00221FF0">
        <w:t xml:space="preserve">Gældende ret indeholder ikke en særskilt adgang til dispensation i områder med få aktører. En sådan adgang kan være nødvendig for at understøtte lokal udvikling og sikre, at turismeaktiviteter kan etableres, selv hvor aktørgrundlaget er begrænset. Samtidig er der rejst betænkeligheder ved, om en særlig adgang kan skabe uensartet praksis og svække </w:t>
      </w:r>
      <w:r w:rsidRPr="00221FF0">
        <w:lastRenderedPageBreak/>
        <w:t>ligebehandlingen. Den foreslåede ordning giver mulighed for dispensation i sådanne områder, men fastholder, at Naalakkersuisut skal foretage en samlet afvejning af relevante hensyn. Partnerskaber skal tillægges betydelig vægt, men uden at skabe absolutte krav, der kan føre til uhensigtsmæssige resultater.</w:t>
      </w:r>
    </w:p>
    <w:bookmarkEnd w:id="0"/>
    <w:bookmarkEnd w:id="1"/>
    <w:bookmarkEnd w:id="2"/>
    <w:p w14:paraId="19DC5AE9" w14:textId="77777777" w:rsidR="00166726" w:rsidRPr="00221FF0" w:rsidRDefault="00166726" w:rsidP="009E1906">
      <w:pPr>
        <w:widowControl/>
        <w:autoSpaceDE/>
        <w:autoSpaceDN/>
        <w:adjustRightInd/>
      </w:pPr>
    </w:p>
    <w:p w14:paraId="359867B9" w14:textId="77777777" w:rsidR="00166726" w:rsidRPr="00221FF0" w:rsidRDefault="00166726" w:rsidP="009E1906">
      <w:pPr>
        <w:widowControl/>
        <w:autoSpaceDE/>
        <w:autoSpaceDN/>
        <w:adjustRightInd/>
      </w:pPr>
      <w:r w:rsidRPr="00221FF0">
        <w:rPr>
          <w:b/>
          <w:bCs/>
        </w:rPr>
        <w:t>3. Økonomiske og administrative konsekvenser for det offentlige</w:t>
      </w:r>
    </w:p>
    <w:p w14:paraId="32CFFE32" w14:textId="77A6AD28" w:rsidR="00166726" w:rsidRPr="00221FF0" w:rsidRDefault="00C311EC" w:rsidP="009E1906">
      <w:pPr>
        <w:widowControl/>
        <w:autoSpaceDE/>
        <w:autoSpaceDN/>
        <w:adjustRightInd/>
      </w:pPr>
      <w:r w:rsidRPr="00221FF0">
        <w:t xml:space="preserve">Der </w:t>
      </w:r>
      <w:r w:rsidR="00B43E74" w:rsidRPr="00221FF0">
        <w:t xml:space="preserve">er ikke foretaget konkrete </w:t>
      </w:r>
      <w:r w:rsidRPr="00221FF0">
        <w:t xml:space="preserve">beregninger på de økonomiske konsekvenser for det offentlige. </w:t>
      </w:r>
      <w:r w:rsidR="00166726" w:rsidRPr="00221FF0">
        <w:t xml:space="preserve">Det </w:t>
      </w:r>
      <w:r w:rsidRPr="00221FF0">
        <w:t>skønnes dog</w:t>
      </w:r>
      <w:r w:rsidR="00166726" w:rsidRPr="00221FF0">
        <w:t>, at forslaget samlet set vil have begrænsede økonomiske konsekvenser for de offentlige myndigheder.</w:t>
      </w:r>
      <w:r w:rsidRPr="00221FF0">
        <w:t xml:space="preserve"> På kort sigt skønnes der at opstå merudgifter i forbindelse med etablering af registreringssystemer, udarbejdelse af retningslinjer og tilpasning af sagsbehandlingsprocedurer. Disse udgifter vurderes dog at være af begrænset omfang og kan delvist finansieres gennem gebyrindtægter ved udstedelse af vandrebeviser. På længere sigt forventes forslaget at medføre besparelser, idet mere effektiv sagsbehandling og reducerede udgifter til redningsaktioner og beredskab kan opveje de indledende omkostninger. Samlet set indebærer forslaget således en administrativ belastning</w:t>
      </w:r>
      <w:r w:rsidR="00907E7E" w:rsidRPr="00221FF0">
        <w:t>, der i sidste ende vurderes at være neutral</w:t>
      </w:r>
      <w:r w:rsidRPr="00221FF0">
        <w:t xml:space="preserve"> og et begrænset økonomisk merforbrug, der i vidt omfang vurderes at kunne neutraliseres gennem gebyrindtægter og effektiviseringsgevinster.</w:t>
      </w:r>
    </w:p>
    <w:p w14:paraId="7CB4878A" w14:textId="77777777" w:rsidR="00C311EC" w:rsidRPr="00221FF0" w:rsidRDefault="00C311EC" w:rsidP="009E1906">
      <w:pPr>
        <w:widowControl/>
        <w:autoSpaceDE/>
        <w:autoSpaceDN/>
        <w:adjustRightInd/>
      </w:pPr>
    </w:p>
    <w:p w14:paraId="6D32B413" w14:textId="545764AF" w:rsidR="00166726" w:rsidRPr="00221FF0" w:rsidRDefault="000B60FD" w:rsidP="009E1906">
      <w:pPr>
        <w:widowControl/>
        <w:autoSpaceDE/>
        <w:autoSpaceDN/>
        <w:adjustRightInd/>
        <w:rPr>
          <w:b/>
          <w:bCs/>
        </w:rPr>
      </w:pPr>
      <w:r w:rsidRPr="00221FF0">
        <w:rPr>
          <w:b/>
          <w:bCs/>
        </w:rPr>
        <w:t>Forlængelse af d</w:t>
      </w:r>
      <w:r w:rsidR="00166726" w:rsidRPr="00221FF0">
        <w:rPr>
          <w:b/>
          <w:bCs/>
        </w:rPr>
        <w:t>ispensationsperioder</w:t>
      </w:r>
    </w:p>
    <w:p w14:paraId="4D333251" w14:textId="37BE6132" w:rsidR="00166726" w:rsidRPr="00221FF0" w:rsidRDefault="00166726" w:rsidP="009E1906">
      <w:pPr>
        <w:widowControl/>
        <w:autoSpaceDE/>
        <w:autoSpaceDN/>
        <w:adjustRightInd/>
      </w:pPr>
      <w:r w:rsidRPr="00221FF0">
        <w:t>En forlængelse af dispensationsperioden fra to år til en længere tidsramme vil øge sandsynligheden for at virksomheder, der i dag ikke lever op til kravet om 2/3 lokalt ejerskab, kan leve op til kravet enten ved udvidelse af den lokale ejerkreds eller ved flytning af virksomheden til Grønland.</w:t>
      </w:r>
      <w:r w:rsidR="00C311EC" w:rsidRPr="00221FF0">
        <w:t xml:space="preserve"> Det vurderes, at dette kan medføre et mindre administrativt merarbejde, men uden væsentlige merudgifter, da omkostningerne primært vil bestå i tilpasning af eksisterende sagsbehandlingsprocedurer.</w:t>
      </w:r>
      <w:r w:rsidR="009558B8" w:rsidRPr="00221FF0">
        <w:t xml:space="preserve"> Det er dog Naalakkersuisuts vurdering, at de længere dispensationsperioder vil lette administrationen, da ansøgningerne efter den nye lov vil indgå med mindre intervaller.</w:t>
      </w:r>
    </w:p>
    <w:p w14:paraId="2DFB13E1" w14:textId="77777777" w:rsidR="00BA471B" w:rsidRPr="00221FF0" w:rsidRDefault="00BA471B" w:rsidP="009E1906">
      <w:pPr>
        <w:widowControl/>
        <w:autoSpaceDE/>
        <w:autoSpaceDN/>
        <w:adjustRightInd/>
      </w:pPr>
    </w:p>
    <w:p w14:paraId="401E192E" w14:textId="1DA389EB" w:rsidR="00166726" w:rsidRPr="00221FF0" w:rsidRDefault="000B60FD" w:rsidP="009E1906">
      <w:pPr>
        <w:widowControl/>
        <w:autoSpaceDE/>
        <w:autoSpaceDN/>
        <w:adjustRightInd/>
      </w:pPr>
      <w:r w:rsidRPr="00221FF0">
        <w:rPr>
          <w:b/>
          <w:bCs/>
        </w:rPr>
        <w:t>Undtagelse fra licenskrav ved u</w:t>
      </w:r>
      <w:r w:rsidR="00166726" w:rsidRPr="00221FF0">
        <w:rPr>
          <w:b/>
          <w:bCs/>
        </w:rPr>
        <w:t>dstationering</w:t>
      </w:r>
    </w:p>
    <w:p w14:paraId="5DB8C5B0" w14:textId="3F19A296" w:rsidR="00166726" w:rsidRPr="00221FF0" w:rsidRDefault="00166726" w:rsidP="009E1906">
      <w:r w:rsidRPr="00221FF0">
        <w:t>Indførelse af dispensation ved visse typer udstationering vil kunne forenkle sagsbehandlingen og reducere ressourceforbruget. Der kan dog være behov for en indledende administrativ tilpasning i form af udarbejdelse af retningslinjer og kontrolprocedurer.</w:t>
      </w:r>
      <w:r w:rsidR="00C311EC" w:rsidRPr="00221FF0">
        <w:t xml:space="preserve"> De indledende udgifter vurderes at være begrænsede (engangsudgift til udarbejdelse af retningslinjer), mens der på længere sigt kan opnås besparelser gennem mere effektiv sagsbehandling.</w:t>
      </w:r>
    </w:p>
    <w:p w14:paraId="124A9104" w14:textId="77777777" w:rsidR="00BA471B" w:rsidRPr="00221FF0" w:rsidRDefault="00BA471B" w:rsidP="009E1906">
      <w:pPr>
        <w:rPr>
          <w:b/>
          <w:bCs/>
        </w:rPr>
      </w:pPr>
    </w:p>
    <w:p w14:paraId="1484D1D3" w14:textId="77777777" w:rsidR="00166726" w:rsidRPr="00221FF0" w:rsidRDefault="00166726" w:rsidP="009E1906">
      <w:r w:rsidRPr="00221FF0">
        <w:rPr>
          <w:b/>
          <w:bCs/>
        </w:rPr>
        <w:t>Registrering af færdsel, ophold og vandreture og forsikringskrav</w:t>
      </w:r>
    </w:p>
    <w:p w14:paraId="467239CF" w14:textId="2374C24C" w:rsidR="00166726" w:rsidRPr="00221FF0" w:rsidRDefault="00166726" w:rsidP="009E1906">
      <w:r w:rsidRPr="00221FF0">
        <w:t xml:space="preserve">Krav om registrering af færdsel, ophold og vandreture, erhvervelse af vandrebevis og dokumentation for </w:t>
      </w:r>
      <w:r w:rsidR="00B145D6" w:rsidRPr="00221FF0">
        <w:t xml:space="preserve">dette samt </w:t>
      </w:r>
      <w:r w:rsidRPr="00221FF0">
        <w:t xml:space="preserve">rejse- eller redningsforsikring vil medføre nye administrative opgaver for myndighederne. Det vil kræve etablering og drift af registreringssystemer samt kontrolfunktioner, hvilket kan medføre øgede driftsudgifter. Kommunerne vil få ansvaret for udstedelsen af vandrebeviser og kan opkræve et gebyr for at dække de administrative </w:t>
      </w:r>
      <w:r w:rsidRPr="00221FF0">
        <w:lastRenderedPageBreak/>
        <w:t xml:space="preserve">omkostninger. </w:t>
      </w:r>
      <w:r w:rsidR="00C311EC" w:rsidRPr="00221FF0">
        <w:t xml:space="preserve">På kort sigt vurderes udgifterne til etablering af systemer og kontrolfunktioner at være moderate, men gebyrindtægterne kan delvist finansiere disse. </w:t>
      </w:r>
      <w:r w:rsidRPr="00221FF0">
        <w:t>På længere sigt kan tiltaget dog reducere offentlige udgifter til redningsaktioner og beredskab ved ulykker.</w:t>
      </w:r>
    </w:p>
    <w:p w14:paraId="593C3037" w14:textId="77777777" w:rsidR="00BA471B" w:rsidRPr="00221FF0" w:rsidRDefault="00BA471B" w:rsidP="009E1906"/>
    <w:p w14:paraId="2D670F9D" w14:textId="77777777" w:rsidR="000B60FD" w:rsidRPr="00221FF0" w:rsidRDefault="000B60FD" w:rsidP="000B60FD">
      <w:pPr>
        <w:rPr>
          <w:b/>
          <w:bCs/>
        </w:rPr>
      </w:pPr>
      <w:r w:rsidRPr="00221FF0">
        <w:rPr>
          <w:b/>
          <w:bCs/>
        </w:rPr>
        <w:t>Sæ</w:t>
      </w:r>
      <w:r w:rsidRPr="00221FF0">
        <w:rPr>
          <w:rFonts w:eastAsiaTheme="majorEastAsia"/>
          <w:b/>
          <w:bCs/>
        </w:rPr>
        <w:t>rlig dispensationsmulighed i områder med få turismeaktører</w:t>
      </w:r>
    </w:p>
    <w:p w14:paraId="273B1C8C" w14:textId="0A92D6E6" w:rsidR="00166726" w:rsidRPr="00221FF0" w:rsidRDefault="00166726" w:rsidP="009E1906">
      <w:r w:rsidRPr="00221FF0">
        <w:t xml:space="preserve">Udvidede dispensationsmuligheder i områder med få turismeaktører vil kræve en vis administrativ fleksibilitet i sagsbehandlingen. Det vurderes dog ikke at have væsentlige økonomiske konsekvenser, men kan medføre et mindre merarbejde i forbindelse med vurdering af lokale forhold. </w:t>
      </w:r>
      <w:r w:rsidR="00C311EC" w:rsidRPr="00221FF0">
        <w:t xml:space="preserve">Da der er tale om et begrænset antal sager, skønnes de økonomiske konsekvenser at være ubetydelige. </w:t>
      </w:r>
      <w:r w:rsidRPr="00221FF0">
        <w:t>Reglerne bør dog fastsættes i en bekendtgørelse i medfør af § 5.</w:t>
      </w:r>
    </w:p>
    <w:p w14:paraId="308E1433" w14:textId="77777777" w:rsidR="00166726" w:rsidRDefault="00166726" w:rsidP="009E1906">
      <w:pPr>
        <w:widowControl/>
        <w:autoSpaceDE/>
        <w:autoSpaceDN/>
        <w:adjustRightInd/>
      </w:pPr>
    </w:p>
    <w:p w14:paraId="536B720A" w14:textId="77777777" w:rsidR="007E0E96" w:rsidRPr="00221FF0" w:rsidRDefault="007E0E96" w:rsidP="009E1906">
      <w:pPr>
        <w:widowControl/>
        <w:autoSpaceDE/>
        <w:autoSpaceDN/>
        <w:adjustRightInd/>
      </w:pPr>
    </w:p>
    <w:p w14:paraId="55A9B780" w14:textId="77777777" w:rsidR="00166726" w:rsidRPr="00221FF0" w:rsidRDefault="00166726" w:rsidP="009E1906">
      <w:pPr>
        <w:widowControl/>
        <w:autoSpaceDE/>
        <w:autoSpaceDN/>
        <w:adjustRightInd/>
        <w:rPr>
          <w:b/>
          <w:bCs/>
        </w:rPr>
      </w:pPr>
      <w:bookmarkStart w:id="3" w:name="_Hlk215741660"/>
      <w:r w:rsidRPr="00221FF0">
        <w:rPr>
          <w:b/>
          <w:bCs/>
        </w:rPr>
        <w:t>4. Økonomiske og administrative konsekvenser for erhvervslivet</w:t>
      </w:r>
    </w:p>
    <w:p w14:paraId="28804B41" w14:textId="2A7C8E9D" w:rsidR="00A96D20" w:rsidRPr="00221FF0" w:rsidRDefault="00166726" w:rsidP="00A96D20">
      <w:pPr>
        <w:widowControl/>
        <w:autoSpaceDE/>
        <w:autoSpaceDN/>
        <w:adjustRightInd/>
      </w:pPr>
      <w:bookmarkStart w:id="4" w:name="_Hlk215742155"/>
      <w:r w:rsidRPr="00221FF0">
        <w:t>Lovforslaget vurderes samlet set at have både lettelser og nye krav for erhvervslivet</w:t>
      </w:r>
      <w:r w:rsidR="00A96D20" w:rsidRPr="00221FF0">
        <w:t>. Konsekvenserne varierer afhængigt af den enkelte ændring og berører primært turismeaktører, men kan også få afledte effekter for andre brancher.</w:t>
      </w:r>
    </w:p>
    <w:p w14:paraId="6DC3851D" w14:textId="77777777" w:rsidR="00A96D20" w:rsidRPr="00221FF0" w:rsidRDefault="00A96D20" w:rsidP="00A96D20">
      <w:pPr>
        <w:widowControl/>
        <w:autoSpaceDE/>
        <w:autoSpaceDN/>
        <w:adjustRightInd/>
      </w:pPr>
    </w:p>
    <w:p w14:paraId="456BC0A2" w14:textId="77777777" w:rsidR="00A96D20" w:rsidRPr="00221FF0" w:rsidRDefault="00A96D20" w:rsidP="00A96D20">
      <w:pPr>
        <w:widowControl/>
        <w:autoSpaceDE/>
        <w:autoSpaceDN/>
        <w:adjustRightInd/>
        <w:rPr>
          <w:b/>
          <w:bCs/>
        </w:rPr>
      </w:pPr>
      <w:r w:rsidRPr="00221FF0">
        <w:rPr>
          <w:b/>
          <w:bCs/>
        </w:rPr>
        <w:t>Omkostningsmæssige konsekvenser</w:t>
      </w:r>
    </w:p>
    <w:p w14:paraId="1EF2D507" w14:textId="578C88DF" w:rsidR="00A96D20" w:rsidRPr="00221FF0" w:rsidRDefault="00A96D20" w:rsidP="00A96D20">
      <w:pPr>
        <w:widowControl/>
        <w:autoSpaceDE/>
        <w:autoSpaceDN/>
        <w:adjustRightInd/>
      </w:pPr>
      <w:r w:rsidRPr="00221FF0">
        <w:t>Indførelsen af krav om vandrebevis og forsikringsdokumentation kan medføre, at kommunerne opkræver gebyrer for de administrative omkostninger. Disse gebyrer vil udgøre en direkte økonomisk udgift for virksomhederne, som skal indregnes i deres samlede omkostningsstruktur. Størrelsesordenen af gebyrerne er endnu ikke fastlagt, men vurderes at være af mindre omfang pr. virksomhed. Turismeaktører, der udbyder vandreruter, kan desuden få mindre udgifter til tilpasning af IT-systemer og kundekommunikation. Disse udgifter vurderes at være begrænsede og engangsprægede. Forlængelsen af dispensationsperioden reducerer behovet for gentagne ansøgninger, hvilket kan medføre besparelser i ansøgningsgebyrer og interne ressourcer.</w:t>
      </w:r>
    </w:p>
    <w:p w14:paraId="1E61BD35" w14:textId="77777777" w:rsidR="00A96D20" w:rsidRPr="00221FF0" w:rsidRDefault="00A96D20" w:rsidP="00A96D20">
      <w:pPr>
        <w:widowControl/>
        <w:autoSpaceDE/>
        <w:autoSpaceDN/>
        <w:adjustRightInd/>
      </w:pPr>
    </w:p>
    <w:p w14:paraId="35750416" w14:textId="77777777" w:rsidR="00A96D20" w:rsidRPr="00221FF0" w:rsidRDefault="00A96D20" w:rsidP="00A96D20">
      <w:pPr>
        <w:widowControl/>
        <w:autoSpaceDE/>
        <w:autoSpaceDN/>
        <w:adjustRightInd/>
        <w:rPr>
          <w:b/>
          <w:bCs/>
        </w:rPr>
      </w:pPr>
      <w:r w:rsidRPr="00221FF0">
        <w:rPr>
          <w:b/>
          <w:bCs/>
        </w:rPr>
        <w:t>Erhvervsstrukturelle konsekvenser</w:t>
      </w:r>
    </w:p>
    <w:p w14:paraId="1E59D8F1" w14:textId="5E5D4B92" w:rsidR="00A96D20" w:rsidRPr="00221FF0" w:rsidRDefault="00A96D20" w:rsidP="00A96D20">
      <w:pPr>
        <w:widowControl/>
        <w:autoSpaceDE/>
        <w:autoSpaceDN/>
        <w:adjustRightInd/>
      </w:pPr>
      <w:r w:rsidRPr="00221FF0">
        <w:t xml:space="preserve">Forlængede dispensationsperioder kan styrke virksomhedernes planlægningshorisont og dermed skabe mere stabile rammer for investeringer og turismeudvikling. Udvidede dispensationsmuligheder i områder med få turismeaktører kan fremme etablering af aktiviteter, hvor der ellers ikke ville være grundlag. Dette kan styrke konkurrenceevnen og diversiteten i udbuddet af turismeaktiviteter. Forsikringskrav og registrering kan på længere sigt forbedre markedets funktion ved at øge sikkerheden og reducere risikoen for uforudsete udgifter ved ulykker. Dette kan styrke tilliden til markedet og dermed </w:t>
      </w:r>
      <w:r w:rsidR="006408B7" w:rsidRPr="00221FF0">
        <w:t xml:space="preserve">øge </w:t>
      </w:r>
      <w:r w:rsidRPr="00221FF0">
        <w:t>efterspørgslen.</w:t>
      </w:r>
    </w:p>
    <w:p w14:paraId="531628E6" w14:textId="77777777" w:rsidR="00A96D20" w:rsidRPr="00221FF0" w:rsidRDefault="00A96D20" w:rsidP="00A96D20">
      <w:pPr>
        <w:widowControl/>
        <w:autoSpaceDE/>
        <w:autoSpaceDN/>
        <w:adjustRightInd/>
      </w:pPr>
    </w:p>
    <w:p w14:paraId="25FD1F75" w14:textId="77777777" w:rsidR="00A96D20" w:rsidRPr="00221FF0" w:rsidRDefault="00A96D20" w:rsidP="00A96D20">
      <w:pPr>
        <w:widowControl/>
        <w:autoSpaceDE/>
        <w:autoSpaceDN/>
        <w:adjustRightInd/>
        <w:rPr>
          <w:b/>
          <w:bCs/>
        </w:rPr>
      </w:pPr>
      <w:r w:rsidRPr="00221FF0">
        <w:rPr>
          <w:b/>
          <w:bCs/>
        </w:rPr>
        <w:t>Administrative konsekvenser</w:t>
      </w:r>
    </w:p>
    <w:p w14:paraId="77E464F9" w14:textId="5040759F" w:rsidR="00A96D20" w:rsidRPr="00221FF0" w:rsidRDefault="00A96D20" w:rsidP="00A96D20">
      <w:pPr>
        <w:widowControl/>
        <w:autoSpaceDE/>
        <w:autoSpaceDN/>
        <w:adjustRightInd/>
      </w:pPr>
      <w:r w:rsidRPr="00221FF0">
        <w:t xml:space="preserve">Dispensation ved visse typer udstationering vil reducere den administrative byrde, da virksomhederne får færre ansøgninger og dokumentationskrav. Dog skal dokumentation </w:t>
      </w:r>
      <w:r w:rsidRPr="00221FF0">
        <w:lastRenderedPageBreak/>
        <w:t>fortsat indsendes til Naalakkersuisut. Krav om registrering og vandrebevis vil medføre nye administrative opgaver for turismeaktører. Det skønnes, at virksomhederne vil skulle afsætte ekstra tidsforbrug til indberetning og dokumentation, men omfanget vurderes at være moderat. Samlet set indebærer lovforslaget en reduktion af administrative byrder i dispensations- og udstationeringssager, mens der indføres nye administrative krav i relation til vandreture og forsikring.</w:t>
      </w:r>
    </w:p>
    <w:p w14:paraId="4273E5DB" w14:textId="77777777" w:rsidR="00A96D20" w:rsidRPr="00221FF0" w:rsidRDefault="00A96D20" w:rsidP="00A96D20">
      <w:pPr>
        <w:widowControl/>
        <w:autoSpaceDE/>
        <w:autoSpaceDN/>
        <w:adjustRightInd/>
      </w:pPr>
    </w:p>
    <w:p w14:paraId="56FDCE3A" w14:textId="77777777" w:rsidR="003D7AE3" w:rsidRPr="00221FF0" w:rsidRDefault="00A96D20" w:rsidP="00A96D20">
      <w:pPr>
        <w:widowControl/>
        <w:autoSpaceDE/>
        <w:autoSpaceDN/>
        <w:adjustRightInd/>
        <w:rPr>
          <w:b/>
          <w:bCs/>
        </w:rPr>
      </w:pPr>
      <w:r w:rsidRPr="00221FF0">
        <w:rPr>
          <w:b/>
          <w:bCs/>
        </w:rPr>
        <w:t>Samlet vurdering</w:t>
      </w:r>
    </w:p>
    <w:p w14:paraId="79ACB7F4" w14:textId="5B4F00B8" w:rsidR="00166726" w:rsidRPr="00221FF0" w:rsidRDefault="00A96D20" w:rsidP="00F678E3">
      <w:pPr>
        <w:widowControl/>
        <w:autoSpaceDE/>
        <w:autoSpaceDN/>
        <w:adjustRightInd/>
      </w:pPr>
      <w:r w:rsidRPr="00221FF0">
        <w:t>Lovforslaget vurderes at have begrænsede omkostningsmæssige konsekvenser, primært i form af mindre gebyrer og systemtilpasninger, men samtidig at skabe positive erhvervsstrukturelle effekter gennem øget stabilitet og forudsigelighed. De administrative byrder reduceres på visse områder, men øges på andre. Samlet set vurderes konsekvenserne at være balancerede med en overvejende positiv effekt for erhvervslivet.</w:t>
      </w:r>
      <w:bookmarkEnd w:id="3"/>
      <w:bookmarkEnd w:id="4"/>
    </w:p>
    <w:p w14:paraId="7F01AEEE" w14:textId="77777777" w:rsidR="00F678E3" w:rsidRPr="00221FF0" w:rsidRDefault="00F678E3" w:rsidP="00F678E3">
      <w:pPr>
        <w:widowControl/>
        <w:autoSpaceDE/>
        <w:autoSpaceDN/>
        <w:adjustRightInd/>
      </w:pPr>
    </w:p>
    <w:p w14:paraId="7219FE81" w14:textId="1F568CBE" w:rsidR="00166726" w:rsidRPr="00221FF0" w:rsidRDefault="00166726" w:rsidP="009E1906">
      <w:pPr>
        <w:widowControl/>
        <w:autoSpaceDE/>
        <w:autoSpaceDN/>
        <w:adjustRightInd/>
        <w:rPr>
          <w:b/>
          <w:bCs/>
        </w:rPr>
      </w:pPr>
      <w:r w:rsidRPr="00221FF0">
        <w:rPr>
          <w:b/>
          <w:bCs/>
        </w:rPr>
        <w:t>5. Konsekvenser for miljø, natur og folkesundhed</w:t>
      </w:r>
    </w:p>
    <w:p w14:paraId="6A45863C" w14:textId="77777777" w:rsidR="00166726" w:rsidRPr="00221FF0" w:rsidRDefault="00166726" w:rsidP="009E1906">
      <w:pPr>
        <w:widowControl/>
        <w:autoSpaceDE/>
        <w:autoSpaceDN/>
        <w:adjustRightInd/>
      </w:pPr>
      <w:r w:rsidRPr="00221FF0">
        <w:t>Lovforslaget vurderes at have både direkte og indirekte konsekvenser for miljø, natur og folkesundhed.</w:t>
      </w:r>
    </w:p>
    <w:p w14:paraId="083B90E1" w14:textId="77777777" w:rsidR="00166726" w:rsidRPr="00221FF0" w:rsidRDefault="00166726" w:rsidP="009E1906">
      <w:pPr>
        <w:widowControl/>
        <w:autoSpaceDE/>
        <w:autoSpaceDN/>
        <w:adjustRightInd/>
      </w:pPr>
    </w:p>
    <w:p w14:paraId="68BEBB16" w14:textId="21ADD3BA" w:rsidR="00BA471B" w:rsidRPr="00221FF0" w:rsidRDefault="000B60FD" w:rsidP="009E1906">
      <w:pPr>
        <w:widowControl/>
        <w:autoSpaceDE/>
        <w:autoSpaceDN/>
        <w:adjustRightInd/>
      </w:pPr>
      <w:r w:rsidRPr="00221FF0">
        <w:rPr>
          <w:b/>
          <w:bCs/>
        </w:rPr>
        <w:t>Forlængelse af d</w:t>
      </w:r>
      <w:r w:rsidR="00166726" w:rsidRPr="00221FF0">
        <w:rPr>
          <w:b/>
          <w:bCs/>
        </w:rPr>
        <w:t>ispensationsperioder</w:t>
      </w:r>
    </w:p>
    <w:p w14:paraId="7031BC7C" w14:textId="41AEC4BF" w:rsidR="00166726" w:rsidRPr="00221FF0" w:rsidRDefault="00166726" w:rsidP="009E1906">
      <w:pPr>
        <w:widowControl/>
        <w:autoSpaceDE/>
        <w:autoSpaceDN/>
        <w:adjustRightInd/>
      </w:pPr>
      <w:r w:rsidRPr="00221FF0">
        <w:t>En forlængelse af dispensationsperioden kan medføre, at erhvervsaktiviteter i natur- og turistområder opretholdes over længere tid. Dette kan øge presset på naturen, men samtidig skabe mulighed for mere langsigtet planlægning af bæredygtige løsninger og investeringer i miljøvenlige tiltag.</w:t>
      </w:r>
    </w:p>
    <w:p w14:paraId="6A96E72F" w14:textId="77777777" w:rsidR="00BA471B" w:rsidRPr="00221FF0" w:rsidRDefault="00BA471B" w:rsidP="009E1906">
      <w:pPr>
        <w:widowControl/>
        <w:autoSpaceDE/>
        <w:autoSpaceDN/>
        <w:adjustRightInd/>
      </w:pPr>
    </w:p>
    <w:p w14:paraId="4E26C169" w14:textId="77777777" w:rsidR="000B60FD" w:rsidRPr="00221FF0" w:rsidRDefault="000B60FD" w:rsidP="000B60FD">
      <w:pPr>
        <w:widowControl/>
        <w:autoSpaceDE/>
        <w:autoSpaceDN/>
        <w:adjustRightInd/>
      </w:pPr>
      <w:r w:rsidRPr="00221FF0">
        <w:rPr>
          <w:b/>
          <w:bCs/>
        </w:rPr>
        <w:t>Undtagelse fra licenskrav ved udstationering</w:t>
      </w:r>
    </w:p>
    <w:p w14:paraId="3F18DC74" w14:textId="5A33740E" w:rsidR="00166726" w:rsidRPr="00221FF0" w:rsidRDefault="00166726" w:rsidP="009E1906">
      <w:pPr>
        <w:widowControl/>
        <w:autoSpaceDE/>
        <w:autoSpaceDN/>
        <w:adjustRightInd/>
      </w:pPr>
      <w:r w:rsidRPr="00221FF0">
        <w:t>Automatisk dispensation ved udstationering vurderes ikke at have væsentlige miljømæssige konsekvenser, men kan indirekte påvirke folkesundheden ved at understøtte stabile rammer for uddannelse og offentlige hverv, der bidrager til samfundets generelle velfærd.</w:t>
      </w:r>
    </w:p>
    <w:p w14:paraId="7B9EEEAD" w14:textId="77777777" w:rsidR="00BA471B" w:rsidRPr="00221FF0" w:rsidRDefault="00BA471B" w:rsidP="009E1906">
      <w:pPr>
        <w:widowControl/>
        <w:autoSpaceDE/>
        <w:autoSpaceDN/>
        <w:adjustRightInd/>
      </w:pPr>
    </w:p>
    <w:p w14:paraId="437FFD52" w14:textId="77777777" w:rsidR="00BA471B" w:rsidRPr="00221FF0" w:rsidRDefault="00166726" w:rsidP="009E1906">
      <w:pPr>
        <w:widowControl/>
        <w:autoSpaceDE/>
        <w:autoSpaceDN/>
        <w:adjustRightInd/>
      </w:pPr>
      <w:r w:rsidRPr="00221FF0">
        <w:rPr>
          <w:b/>
          <w:bCs/>
        </w:rPr>
        <w:t>Registrering af færdsel, ophold og vandreture og forsikringskrav</w:t>
      </w:r>
    </w:p>
    <w:p w14:paraId="37CE2E46" w14:textId="3483E89F" w:rsidR="00166726" w:rsidRPr="00221FF0" w:rsidRDefault="00166726" w:rsidP="009E1906">
      <w:pPr>
        <w:widowControl/>
        <w:autoSpaceDE/>
        <w:autoSpaceDN/>
        <w:adjustRightInd/>
      </w:pPr>
      <w:r w:rsidRPr="00221FF0">
        <w:t>Indførelsen af krav om registrering og forsikring for personer på udvalgte ruter vil styrke sikkerheden og beredskabet. Dette kan reducere antallet af ulykker og dermed belastningen på sundhedsvæsenet. Samtidig kan registreringen give bedre data om naturens belastning, hvilket kan understøtte en mere bæredygtig forvaltning af sårbare naturområder.</w:t>
      </w:r>
    </w:p>
    <w:p w14:paraId="6BD9AF86" w14:textId="77777777" w:rsidR="00BA471B" w:rsidRPr="00221FF0" w:rsidRDefault="00BA471B" w:rsidP="009E1906">
      <w:pPr>
        <w:widowControl/>
        <w:autoSpaceDE/>
        <w:autoSpaceDN/>
        <w:adjustRightInd/>
      </w:pPr>
    </w:p>
    <w:p w14:paraId="6B89BE87" w14:textId="77777777" w:rsidR="000B60FD" w:rsidRPr="00221FF0" w:rsidRDefault="000B60FD" w:rsidP="000B60FD">
      <w:pPr>
        <w:rPr>
          <w:b/>
          <w:bCs/>
        </w:rPr>
      </w:pPr>
      <w:r w:rsidRPr="00221FF0">
        <w:rPr>
          <w:b/>
          <w:bCs/>
        </w:rPr>
        <w:t>Sæ</w:t>
      </w:r>
      <w:r w:rsidRPr="00221FF0">
        <w:rPr>
          <w:rFonts w:eastAsiaTheme="majorEastAsia"/>
          <w:b/>
          <w:bCs/>
        </w:rPr>
        <w:t>rlig dispensationsmulighed i områder med få turismeaktører</w:t>
      </w:r>
    </w:p>
    <w:p w14:paraId="7BD20EFD" w14:textId="6333D955" w:rsidR="00166726" w:rsidRPr="00221FF0" w:rsidRDefault="00166726" w:rsidP="009E1906">
      <w:pPr>
        <w:widowControl/>
        <w:autoSpaceDE/>
        <w:autoSpaceDN/>
        <w:adjustRightInd/>
      </w:pPr>
      <w:r w:rsidRPr="00221FF0">
        <w:t>Udvidede dispensationsmuligheder i øde områder kan øge turismeaktiviteten og dermed skabe et vist pres på naturen. Det vurderes dog, at effekten kan balanceres gennem lokal tilpasning og krav om bæredygtig drift. Øget aktivitet kan samtidig styrke folkesundheden ved at fremme fysisk aktivitet og naturbaserede oplevelser.</w:t>
      </w:r>
    </w:p>
    <w:p w14:paraId="4495FEC4" w14:textId="77777777" w:rsidR="00166726" w:rsidRPr="00221FF0" w:rsidRDefault="00166726" w:rsidP="009E1906">
      <w:pPr>
        <w:widowControl/>
        <w:autoSpaceDE/>
        <w:autoSpaceDN/>
        <w:adjustRightInd/>
        <w:rPr>
          <w:b/>
          <w:bCs/>
        </w:rPr>
      </w:pPr>
    </w:p>
    <w:p w14:paraId="495B6C9C" w14:textId="77777777" w:rsidR="00166726" w:rsidRPr="00221FF0" w:rsidRDefault="00166726" w:rsidP="009E1906">
      <w:pPr>
        <w:widowControl/>
        <w:autoSpaceDE/>
        <w:autoSpaceDN/>
        <w:adjustRightInd/>
      </w:pPr>
      <w:r w:rsidRPr="00221FF0">
        <w:lastRenderedPageBreak/>
        <w:t>Lovforslaget vurderes at have overvejende positive konsekvenser for folkesundheden gennem styrket sikkerhed og adgang til naturen, mens de miljø- og naturmæssige konsekvenser afhænger af den konkrete implementering og forvaltning. Med passende regulering og overvågning kan ændringerne bidrage til en mere bæredygtig og sikker turismeudvikling.</w:t>
      </w:r>
    </w:p>
    <w:p w14:paraId="53627A7B" w14:textId="77777777" w:rsidR="00166726" w:rsidRPr="00221FF0" w:rsidRDefault="00166726" w:rsidP="009E1906">
      <w:pPr>
        <w:widowControl/>
        <w:autoSpaceDE/>
        <w:autoSpaceDN/>
        <w:adjustRightInd/>
      </w:pPr>
    </w:p>
    <w:p w14:paraId="0401AA69" w14:textId="55365454" w:rsidR="00166726" w:rsidRPr="00221FF0" w:rsidRDefault="00166726" w:rsidP="009E1906">
      <w:pPr>
        <w:widowControl/>
        <w:autoSpaceDE/>
        <w:autoSpaceDN/>
        <w:adjustRightInd/>
        <w:rPr>
          <w:b/>
          <w:bCs/>
        </w:rPr>
      </w:pPr>
      <w:r w:rsidRPr="00221FF0">
        <w:rPr>
          <w:b/>
          <w:bCs/>
        </w:rPr>
        <w:t>6. Konsekvenser for borgerne</w:t>
      </w:r>
    </w:p>
    <w:p w14:paraId="79E8084B" w14:textId="26C10018" w:rsidR="00F1426D" w:rsidRDefault="00FF6D8C" w:rsidP="009E1906">
      <w:pPr>
        <w:widowControl/>
        <w:autoSpaceDE/>
        <w:autoSpaceDN/>
        <w:adjustRightInd/>
      </w:pPr>
      <w:r w:rsidRPr="00FF6D8C">
        <w:t>Den nye bestemmelse i § 15 betyder, at vandrere, turistvirksomheder og erhvervsdrivende skal kunne fremvise dokumentation for vandrebevis og forsikring, hvis det bliver efterspurgt under en vandring. For borgere, der ikke er omfattet af denne regel, skal der kunne dokumenteres, at de er bosiddende i Grønland.</w:t>
      </w:r>
    </w:p>
    <w:p w14:paraId="483DCFE7" w14:textId="77777777" w:rsidR="00FF6D8C" w:rsidRPr="00221FF0" w:rsidRDefault="00FF6D8C" w:rsidP="009E1906">
      <w:pPr>
        <w:widowControl/>
        <w:autoSpaceDE/>
        <w:autoSpaceDN/>
        <w:adjustRightInd/>
      </w:pPr>
    </w:p>
    <w:p w14:paraId="6ADBA486" w14:textId="065DA285" w:rsidR="00F1426D" w:rsidRPr="00221FF0" w:rsidRDefault="00F1426D" w:rsidP="009E1906">
      <w:pPr>
        <w:widowControl/>
        <w:autoSpaceDE/>
        <w:autoSpaceDN/>
        <w:adjustRightInd/>
        <w:rPr>
          <w:b/>
          <w:bCs/>
        </w:rPr>
      </w:pPr>
      <w:r w:rsidRPr="00221FF0">
        <w:rPr>
          <w:b/>
          <w:bCs/>
        </w:rPr>
        <w:t>7. Forhold til internationale forpligtelser</w:t>
      </w:r>
    </w:p>
    <w:p w14:paraId="7CAB4790" w14:textId="1B406610" w:rsidR="00F1426D" w:rsidRPr="00221FF0" w:rsidRDefault="00F1426D" w:rsidP="009E1906">
      <w:pPr>
        <w:widowControl/>
        <w:autoSpaceDE/>
        <w:autoSpaceDN/>
        <w:adjustRightInd/>
      </w:pPr>
      <w:r w:rsidRPr="00221FF0">
        <w:t>Forslaget vurderes ikke at have konsekvenser for menneskerettigheder, indfødtes rettigheder eller andre internationale forpligtelser, som påhviler Grønlands Selvstyre.</w:t>
      </w:r>
    </w:p>
    <w:p w14:paraId="427AC83F" w14:textId="77777777" w:rsidR="00F1426D" w:rsidRPr="00221FF0" w:rsidRDefault="00F1426D" w:rsidP="009E1906">
      <w:pPr>
        <w:widowControl/>
        <w:autoSpaceDE/>
        <w:autoSpaceDN/>
        <w:adjustRightInd/>
      </w:pPr>
    </w:p>
    <w:p w14:paraId="0A925B35" w14:textId="51DA7E3E" w:rsidR="00166726" w:rsidRPr="00221FF0" w:rsidRDefault="00DB3530" w:rsidP="009E1906">
      <w:pPr>
        <w:widowControl/>
        <w:autoSpaceDE/>
        <w:autoSpaceDN/>
        <w:adjustRightInd/>
        <w:rPr>
          <w:b/>
          <w:bCs/>
        </w:rPr>
      </w:pPr>
      <w:r w:rsidRPr="00221FF0">
        <w:rPr>
          <w:b/>
          <w:bCs/>
        </w:rPr>
        <w:t>8</w:t>
      </w:r>
      <w:r w:rsidR="00166726" w:rsidRPr="00221FF0">
        <w:rPr>
          <w:b/>
          <w:bCs/>
        </w:rPr>
        <w:t>. Andre væsentlige konsekvenser</w:t>
      </w:r>
    </w:p>
    <w:p w14:paraId="2BC1BA53" w14:textId="77777777" w:rsidR="00166726" w:rsidRPr="00221FF0" w:rsidRDefault="00166726" w:rsidP="009E1906">
      <w:pPr>
        <w:widowControl/>
        <w:autoSpaceDE/>
        <w:autoSpaceDN/>
        <w:adjustRightInd/>
      </w:pPr>
      <w:r w:rsidRPr="00221FF0">
        <w:t>Forslaget vurderes ikke at have andre væsentlige konsekvenser.</w:t>
      </w:r>
    </w:p>
    <w:p w14:paraId="4215D33A" w14:textId="77777777" w:rsidR="00166726" w:rsidRPr="00221FF0" w:rsidRDefault="00166726" w:rsidP="009E1906">
      <w:pPr>
        <w:widowControl/>
        <w:autoSpaceDE/>
        <w:autoSpaceDN/>
        <w:adjustRightInd/>
      </w:pPr>
    </w:p>
    <w:p w14:paraId="5A552013" w14:textId="4629E784" w:rsidR="00166726" w:rsidRPr="00221FF0" w:rsidRDefault="00DB3530" w:rsidP="009E1906">
      <w:pPr>
        <w:widowControl/>
        <w:autoSpaceDE/>
        <w:autoSpaceDN/>
        <w:adjustRightInd/>
        <w:rPr>
          <w:b/>
          <w:bCs/>
        </w:rPr>
      </w:pPr>
      <w:r w:rsidRPr="00221FF0">
        <w:rPr>
          <w:b/>
          <w:bCs/>
        </w:rPr>
        <w:t>9</w:t>
      </w:r>
      <w:r w:rsidR="00166726" w:rsidRPr="00221FF0">
        <w:rPr>
          <w:b/>
          <w:bCs/>
        </w:rPr>
        <w:t>. Høring af myndigheder og organisationer m.v.</w:t>
      </w:r>
    </w:p>
    <w:p w14:paraId="0EF2DB69" w14:textId="2396656D" w:rsidR="002C51BB" w:rsidRPr="00221FF0" w:rsidRDefault="002C51BB" w:rsidP="002C51BB">
      <w:pPr>
        <w:rPr>
          <w:bCs/>
        </w:rPr>
      </w:pPr>
      <w:r w:rsidRPr="00221FF0">
        <w:rPr>
          <w:bCs/>
        </w:rPr>
        <w:t xml:space="preserve">Forslaget har været i offentlig høring i perioden xx. xxx 2025 til xx. xxx 2025 på høringsportalen på Naalakkersuisut.gl. </w:t>
      </w:r>
    </w:p>
    <w:p w14:paraId="15D8122E" w14:textId="77777777" w:rsidR="002C51BB" w:rsidRPr="00221FF0" w:rsidRDefault="002C51BB" w:rsidP="002C51BB">
      <w:pPr>
        <w:rPr>
          <w:bCs/>
        </w:rPr>
      </w:pPr>
    </w:p>
    <w:p w14:paraId="1D3E29AF" w14:textId="77777777" w:rsidR="002C51BB" w:rsidRPr="00221FF0" w:rsidRDefault="002C51BB" w:rsidP="002C51BB">
      <w:pPr>
        <w:autoSpaceDE/>
        <w:autoSpaceDN/>
        <w:adjustRightInd/>
        <w:rPr>
          <w:lang w:eastAsia="en-US"/>
        </w:rPr>
      </w:pPr>
      <w:r w:rsidRPr="00221FF0">
        <w:rPr>
          <w:lang w:eastAsia="en-US"/>
        </w:rPr>
        <w:t>Forslaget har i samme periode været i høring hos følgende myndigheder, organisationer med videre:</w:t>
      </w:r>
    </w:p>
    <w:p w14:paraId="2AE95A4D" w14:textId="77777777" w:rsidR="002C51BB" w:rsidRPr="00221FF0" w:rsidRDefault="002C51BB" w:rsidP="002C51BB">
      <w:pPr>
        <w:autoSpaceDE/>
        <w:autoSpaceDN/>
        <w:adjustRightInd/>
        <w:rPr>
          <w:lang w:eastAsia="en-US"/>
        </w:rPr>
      </w:pPr>
    </w:p>
    <w:p w14:paraId="783498F5" w14:textId="77777777" w:rsidR="002C51BB" w:rsidRPr="00221FF0" w:rsidRDefault="002C51BB" w:rsidP="002C51BB">
      <w:r w:rsidRPr="00221FF0">
        <w:t xml:space="preserve">Avannaata Kommunia, Qeqqata Kommunia, Kommune Qeqertalik, Kommuneqarfik Sermersooq og Kommune Kujalleq. Grønlands Erhverv (GE), </w:t>
      </w:r>
      <w:proofErr w:type="spellStart"/>
      <w:r w:rsidRPr="00221FF0">
        <w:t>Sulinermik</w:t>
      </w:r>
      <w:proofErr w:type="spellEnd"/>
      <w:r w:rsidRPr="00221FF0">
        <w:t xml:space="preserve"> </w:t>
      </w:r>
      <w:proofErr w:type="spellStart"/>
      <w:r w:rsidRPr="00221FF0">
        <w:t>Inuussutissarsiuteqartut</w:t>
      </w:r>
      <w:proofErr w:type="spellEnd"/>
      <w:r w:rsidRPr="00221FF0">
        <w:t xml:space="preserve"> </w:t>
      </w:r>
      <w:proofErr w:type="spellStart"/>
      <w:r w:rsidRPr="00221FF0">
        <w:t>Kattuffiat</w:t>
      </w:r>
      <w:proofErr w:type="spellEnd"/>
      <w:r w:rsidRPr="00221FF0">
        <w:t xml:space="preserve"> (SIK), Akademikernes Sammenslutning i Grønland (ASG), Lærernes Fagforening i Grønland (IMAK), </w:t>
      </w:r>
      <w:proofErr w:type="spellStart"/>
      <w:r w:rsidRPr="00221FF0">
        <w:t>Nunatsinni</w:t>
      </w:r>
      <w:proofErr w:type="spellEnd"/>
      <w:r w:rsidRPr="00221FF0">
        <w:t xml:space="preserve"> </w:t>
      </w:r>
      <w:proofErr w:type="spellStart"/>
      <w:r w:rsidRPr="00221FF0">
        <w:t>Perorsaasut</w:t>
      </w:r>
      <w:proofErr w:type="spellEnd"/>
      <w:r w:rsidRPr="00221FF0">
        <w:t xml:space="preserve"> </w:t>
      </w:r>
      <w:proofErr w:type="spellStart"/>
      <w:r w:rsidRPr="00221FF0">
        <w:t>Kattuffiat</w:t>
      </w:r>
      <w:proofErr w:type="spellEnd"/>
      <w:r w:rsidRPr="00221FF0">
        <w:t xml:space="preserve"> (NPK), </w:t>
      </w:r>
      <w:proofErr w:type="spellStart"/>
      <w:r w:rsidRPr="00221FF0">
        <w:t>Peqqinnissaq</w:t>
      </w:r>
      <w:proofErr w:type="spellEnd"/>
      <w:r w:rsidRPr="00221FF0">
        <w:t xml:space="preserve"> </w:t>
      </w:r>
      <w:proofErr w:type="spellStart"/>
      <w:r w:rsidRPr="00221FF0">
        <w:t>Pillugu</w:t>
      </w:r>
      <w:proofErr w:type="spellEnd"/>
      <w:r w:rsidRPr="00221FF0">
        <w:t xml:space="preserve"> </w:t>
      </w:r>
      <w:proofErr w:type="spellStart"/>
      <w:r w:rsidRPr="00221FF0">
        <w:t>Kattuffiit</w:t>
      </w:r>
      <w:proofErr w:type="spellEnd"/>
      <w:r w:rsidRPr="00221FF0">
        <w:t xml:space="preserve"> (PPK), </w:t>
      </w:r>
      <w:proofErr w:type="spellStart"/>
      <w:r w:rsidRPr="00221FF0">
        <w:t>Atorfillit</w:t>
      </w:r>
      <w:proofErr w:type="spellEnd"/>
      <w:r w:rsidRPr="00221FF0">
        <w:t xml:space="preserve"> </w:t>
      </w:r>
      <w:proofErr w:type="spellStart"/>
      <w:r w:rsidRPr="00221FF0">
        <w:t>Kattuffiat</w:t>
      </w:r>
      <w:proofErr w:type="spellEnd"/>
      <w:r w:rsidRPr="00221FF0">
        <w:t xml:space="preserve"> (AK), Kalaallit </w:t>
      </w:r>
      <w:proofErr w:type="spellStart"/>
      <w:r w:rsidRPr="00221FF0">
        <w:t>Nunaanni</w:t>
      </w:r>
      <w:proofErr w:type="spellEnd"/>
      <w:r w:rsidRPr="00221FF0">
        <w:t xml:space="preserve"> </w:t>
      </w:r>
      <w:proofErr w:type="spellStart"/>
      <w:r w:rsidRPr="00221FF0">
        <w:t>Aalisartut</w:t>
      </w:r>
      <w:proofErr w:type="spellEnd"/>
      <w:r w:rsidRPr="00221FF0">
        <w:t xml:space="preserve"> </w:t>
      </w:r>
      <w:proofErr w:type="spellStart"/>
      <w:r w:rsidRPr="00221FF0">
        <w:t>Piniartullu</w:t>
      </w:r>
      <w:proofErr w:type="spellEnd"/>
      <w:r w:rsidRPr="00221FF0">
        <w:t xml:space="preserve"> </w:t>
      </w:r>
      <w:proofErr w:type="spellStart"/>
      <w:r w:rsidRPr="00221FF0">
        <w:t>Kattuffiat</w:t>
      </w:r>
      <w:proofErr w:type="spellEnd"/>
      <w:r w:rsidRPr="00221FF0">
        <w:t xml:space="preserve"> (KNAPK), Avannaata Erhverv, Qeqertalik Business Council, </w:t>
      </w:r>
      <w:proofErr w:type="spellStart"/>
      <w:r w:rsidRPr="00221FF0">
        <w:t>Arctic</w:t>
      </w:r>
      <w:proofErr w:type="spellEnd"/>
      <w:r w:rsidRPr="00221FF0">
        <w:t xml:space="preserve"> </w:t>
      </w:r>
      <w:proofErr w:type="spellStart"/>
      <w:r w:rsidRPr="00221FF0">
        <w:t>Circle</w:t>
      </w:r>
      <w:proofErr w:type="spellEnd"/>
      <w:r w:rsidRPr="00221FF0">
        <w:t xml:space="preserve"> Business, Sermersooq Business, Innovation South Greenland, Kommunernes planmyndigheder, Visit Greenland, </w:t>
      </w:r>
      <w:proofErr w:type="spellStart"/>
      <w:r w:rsidRPr="00221FF0">
        <w:t>Nalik</w:t>
      </w:r>
      <w:proofErr w:type="spellEnd"/>
      <w:r w:rsidRPr="00221FF0">
        <w:t xml:space="preserve"> Ventures, Air Greenland, </w:t>
      </w:r>
      <w:proofErr w:type="spellStart"/>
      <w:r w:rsidRPr="00221FF0">
        <w:t>Nuna</w:t>
      </w:r>
      <w:proofErr w:type="spellEnd"/>
      <w:r w:rsidRPr="00221FF0">
        <w:t xml:space="preserve"> Advokater, </w:t>
      </w:r>
      <w:proofErr w:type="spellStart"/>
      <w:r w:rsidRPr="00221FF0">
        <w:t>Arctic</w:t>
      </w:r>
      <w:proofErr w:type="spellEnd"/>
      <w:r w:rsidRPr="00221FF0">
        <w:t xml:space="preserve"> Law, Advokatfirmaet Malling &amp; Hansen Damm Advokatfirmaet </w:t>
      </w:r>
      <w:proofErr w:type="spellStart"/>
      <w:r w:rsidRPr="00221FF0">
        <w:t>Meinel</w:t>
      </w:r>
      <w:proofErr w:type="spellEnd"/>
      <w:r w:rsidRPr="00221FF0">
        <w:t xml:space="preserve">, Inuit Law, Advokat Naja Joelsen, Advokat </w:t>
      </w:r>
      <w:proofErr w:type="spellStart"/>
      <w:r w:rsidRPr="00221FF0">
        <w:t>Aviâja</w:t>
      </w:r>
      <w:proofErr w:type="spellEnd"/>
      <w:r w:rsidRPr="00221FF0">
        <w:t xml:space="preserve"> Helms, Advokat Marie Louise Frederiksen, Kirk Larsen &amp; Ascanius Greenland, Advokatfirmaet Benedikte Dahl Nielsen, Grønlands Revision, BDO, WWF Kalaallit </w:t>
      </w:r>
      <w:proofErr w:type="spellStart"/>
      <w:r w:rsidRPr="00221FF0">
        <w:t>Nunaanni</w:t>
      </w:r>
      <w:proofErr w:type="spellEnd"/>
      <w:r w:rsidRPr="00221FF0">
        <w:t xml:space="preserve">, Oceans North Kalaallit </w:t>
      </w:r>
      <w:proofErr w:type="spellStart"/>
      <w:r w:rsidRPr="00221FF0">
        <w:t>Nunaaat</w:t>
      </w:r>
      <w:proofErr w:type="spellEnd"/>
      <w:r w:rsidRPr="00221FF0">
        <w:t xml:space="preserve">, </w:t>
      </w:r>
      <w:proofErr w:type="spellStart"/>
      <w:r w:rsidRPr="00221FF0">
        <w:t>Pinngortitaleriffik</w:t>
      </w:r>
      <w:proofErr w:type="spellEnd"/>
      <w:r w:rsidRPr="00221FF0">
        <w:t xml:space="preserve">, Association of </w:t>
      </w:r>
      <w:proofErr w:type="spellStart"/>
      <w:r w:rsidRPr="00221FF0">
        <w:t>Arctic</w:t>
      </w:r>
      <w:proofErr w:type="spellEnd"/>
      <w:r w:rsidRPr="00221FF0">
        <w:t xml:space="preserve"> </w:t>
      </w:r>
      <w:proofErr w:type="spellStart"/>
      <w:r w:rsidRPr="00221FF0">
        <w:t>Expedition</w:t>
      </w:r>
      <w:proofErr w:type="spellEnd"/>
      <w:r w:rsidRPr="00221FF0">
        <w:t xml:space="preserve"> Cruise Operators (AECO), Cruise Lines International Association (CLIA), </w:t>
      </w:r>
      <w:proofErr w:type="spellStart"/>
      <w:r w:rsidRPr="00221FF0">
        <w:t>Arctic</w:t>
      </w:r>
      <w:proofErr w:type="spellEnd"/>
      <w:r w:rsidRPr="00221FF0">
        <w:t xml:space="preserve"> </w:t>
      </w:r>
      <w:proofErr w:type="spellStart"/>
      <w:r w:rsidRPr="00221FF0">
        <w:t>Umiaq</w:t>
      </w:r>
      <w:proofErr w:type="spellEnd"/>
      <w:r w:rsidRPr="00221FF0">
        <w:t xml:space="preserve"> Line, Royal </w:t>
      </w:r>
      <w:proofErr w:type="spellStart"/>
      <w:r w:rsidRPr="00221FF0">
        <w:t>Arctic</w:t>
      </w:r>
      <w:proofErr w:type="spellEnd"/>
      <w:r w:rsidRPr="00221FF0">
        <w:t xml:space="preserve"> Line, Air Greenland, Blue Water Shipping, </w:t>
      </w:r>
      <w:proofErr w:type="spellStart"/>
      <w:r w:rsidRPr="00221FF0">
        <w:t>Eimskip</w:t>
      </w:r>
      <w:proofErr w:type="spellEnd"/>
      <w:r w:rsidRPr="00221FF0">
        <w:t xml:space="preserve">, </w:t>
      </w:r>
      <w:proofErr w:type="spellStart"/>
      <w:r w:rsidRPr="00221FF0">
        <w:t>Diskoline,Greenland</w:t>
      </w:r>
      <w:proofErr w:type="spellEnd"/>
      <w:r w:rsidRPr="00221FF0">
        <w:t xml:space="preserve"> </w:t>
      </w:r>
      <w:proofErr w:type="spellStart"/>
      <w:r w:rsidRPr="00221FF0">
        <w:t>Airports</w:t>
      </w:r>
      <w:proofErr w:type="spellEnd"/>
      <w:r w:rsidRPr="00221FF0">
        <w:t xml:space="preserve">, </w:t>
      </w:r>
      <w:proofErr w:type="spellStart"/>
      <w:r w:rsidRPr="00221FF0">
        <w:t>Sikuki</w:t>
      </w:r>
      <w:proofErr w:type="spellEnd"/>
      <w:r w:rsidRPr="00221FF0">
        <w:t xml:space="preserve">, Grønlandsbanken og </w:t>
      </w:r>
      <w:proofErr w:type="spellStart"/>
      <w:r w:rsidRPr="00221FF0">
        <w:t>Bankivik</w:t>
      </w:r>
      <w:proofErr w:type="spellEnd"/>
      <w:r w:rsidRPr="00221FF0">
        <w:t xml:space="preserve">, Grønlands Politi, </w:t>
      </w:r>
      <w:proofErr w:type="spellStart"/>
      <w:r w:rsidRPr="00221FF0">
        <w:t>Transparency</w:t>
      </w:r>
      <w:proofErr w:type="spellEnd"/>
      <w:r w:rsidRPr="00221FF0">
        <w:t xml:space="preserve"> Greenland.</w:t>
      </w:r>
    </w:p>
    <w:p w14:paraId="08F83D8D" w14:textId="77777777" w:rsidR="008867CA" w:rsidRPr="00221FF0" w:rsidRDefault="008867CA" w:rsidP="009E1906">
      <w:pPr>
        <w:widowControl/>
        <w:autoSpaceDE/>
        <w:autoSpaceDN/>
        <w:adjustRightInd/>
      </w:pPr>
    </w:p>
    <w:p w14:paraId="1222B7BF" w14:textId="6F95A275" w:rsidR="008867CA" w:rsidRPr="00221FF0" w:rsidRDefault="008867CA" w:rsidP="009E1906">
      <w:pPr>
        <w:widowControl/>
        <w:autoSpaceDE/>
        <w:autoSpaceDN/>
        <w:adjustRightInd/>
      </w:pPr>
      <w:r w:rsidRPr="00221FF0">
        <w:t>Der henvises i øvrigt til bilag 2.</w:t>
      </w:r>
    </w:p>
    <w:p w14:paraId="5533D1B8" w14:textId="77777777" w:rsidR="00166726" w:rsidRPr="00221FF0" w:rsidRDefault="00166726" w:rsidP="009E1906">
      <w:pPr>
        <w:widowControl/>
        <w:autoSpaceDE/>
        <w:autoSpaceDN/>
        <w:adjustRightInd/>
      </w:pPr>
    </w:p>
    <w:p w14:paraId="40016705" w14:textId="77777777" w:rsidR="00166726" w:rsidRPr="00221FF0" w:rsidRDefault="00166726" w:rsidP="009E1906">
      <w:pPr>
        <w:widowControl/>
        <w:autoSpaceDE/>
        <w:autoSpaceDN/>
        <w:adjustRightInd/>
        <w:jc w:val="center"/>
        <w:rPr>
          <w:b/>
          <w:bCs/>
        </w:rPr>
      </w:pPr>
      <w:bookmarkStart w:id="5" w:name="_Hlk215759112"/>
      <w:r w:rsidRPr="00221FF0">
        <w:rPr>
          <w:b/>
          <w:bCs/>
        </w:rPr>
        <w:t>Bemærkninger til lovforslagets enkelte bestemmelser</w:t>
      </w:r>
    </w:p>
    <w:p w14:paraId="10DA093B" w14:textId="77777777" w:rsidR="00166726" w:rsidRPr="00221FF0" w:rsidRDefault="00166726" w:rsidP="009E1906">
      <w:pPr>
        <w:widowControl/>
        <w:autoSpaceDE/>
        <w:autoSpaceDN/>
        <w:adjustRightInd/>
        <w:jc w:val="center"/>
        <w:rPr>
          <w:b/>
          <w:bCs/>
        </w:rPr>
      </w:pPr>
    </w:p>
    <w:p w14:paraId="17A0CAD1" w14:textId="77777777" w:rsidR="00166726" w:rsidRPr="00221FF0" w:rsidRDefault="00166726" w:rsidP="009E1906">
      <w:pPr>
        <w:widowControl/>
        <w:autoSpaceDE/>
        <w:autoSpaceDN/>
        <w:adjustRightInd/>
        <w:jc w:val="center"/>
      </w:pPr>
      <w:r w:rsidRPr="00221FF0">
        <w:t>Til § 1</w:t>
      </w:r>
    </w:p>
    <w:p w14:paraId="0E91781D" w14:textId="77777777" w:rsidR="00166726" w:rsidRPr="00221FF0" w:rsidRDefault="00166726" w:rsidP="009E1906">
      <w:pPr>
        <w:widowControl/>
        <w:autoSpaceDE/>
        <w:autoSpaceDN/>
        <w:adjustRightInd/>
        <w:jc w:val="center"/>
      </w:pPr>
    </w:p>
    <w:p w14:paraId="7DB9AF3F" w14:textId="77777777" w:rsidR="00166726" w:rsidRPr="00221FF0" w:rsidRDefault="00166726" w:rsidP="009E1906">
      <w:pPr>
        <w:widowControl/>
        <w:autoSpaceDE/>
        <w:autoSpaceDN/>
        <w:adjustRightInd/>
      </w:pPr>
      <w:r w:rsidRPr="00221FF0">
        <w:t>Til nr. 1</w:t>
      </w:r>
    </w:p>
    <w:p w14:paraId="5785055D" w14:textId="0FE0867E" w:rsidR="00166726" w:rsidRPr="00221FF0" w:rsidRDefault="00166726" w:rsidP="009E1906">
      <w:pPr>
        <w:widowControl/>
        <w:autoSpaceDE/>
        <w:autoSpaceDN/>
        <w:adjustRightInd/>
      </w:pPr>
      <w:r w:rsidRPr="00221FF0">
        <w:t xml:space="preserve">Med ændringen af lovens titel fra </w:t>
      </w:r>
      <w:r w:rsidRPr="00221FF0">
        <w:rPr>
          <w:i/>
          <w:iCs/>
        </w:rPr>
        <w:t>”Inatsisartutlov om turistvirksomhed og om zoneinddeling m.v. for erhvervsmæssig virksomhed”</w:t>
      </w:r>
      <w:r w:rsidRPr="00221FF0">
        <w:t xml:space="preserve"> til </w:t>
      </w:r>
      <w:r w:rsidRPr="00221FF0">
        <w:rPr>
          <w:i/>
          <w:iCs/>
        </w:rPr>
        <w:t>” Inatsisartutlov om turisme og zoneinddeling”</w:t>
      </w:r>
      <w:r w:rsidRPr="00221FF0">
        <w:t xml:space="preserve"> tilstræbes en bredere og mere dækkende ramme for lovens anvendelsesområde.</w:t>
      </w:r>
    </w:p>
    <w:p w14:paraId="52936E81" w14:textId="77777777" w:rsidR="00BA471B" w:rsidRPr="00221FF0" w:rsidRDefault="00BA471B" w:rsidP="009E1906">
      <w:pPr>
        <w:widowControl/>
        <w:autoSpaceDE/>
        <w:autoSpaceDN/>
        <w:adjustRightInd/>
      </w:pPr>
    </w:p>
    <w:p w14:paraId="64B730A1" w14:textId="77777777" w:rsidR="00BA471B" w:rsidRPr="00221FF0" w:rsidRDefault="00166726" w:rsidP="009E1906">
      <w:pPr>
        <w:widowControl/>
        <w:autoSpaceDE/>
        <w:autoSpaceDN/>
        <w:adjustRightInd/>
      </w:pPr>
      <w:r w:rsidRPr="00221FF0">
        <w:t xml:space="preserve">Udvidet anvendelsesområde: </w:t>
      </w:r>
    </w:p>
    <w:p w14:paraId="252B95D5" w14:textId="33944ABE" w:rsidR="00166726" w:rsidRPr="00221FF0" w:rsidRDefault="00166726" w:rsidP="009E1906">
      <w:pPr>
        <w:widowControl/>
        <w:autoSpaceDE/>
        <w:autoSpaceDN/>
        <w:adjustRightInd/>
      </w:pPr>
      <w:r w:rsidRPr="00221FF0">
        <w:t>Med den nye titel understreges, at loven ikke alene finder anvendelse på kommercielle aktører, men også på aktiviteter, der ikke nødvendigvis har erhvervsmæssig karakter, herunder personer, der færdes, opholder sig eller vandrer i landet. Reglerne om zoneinddeling er tiltænkt at omfatte både turistvirksomhed, erhvervsmæssig virksomhed og personer, som færdes eller tager ophold i landet og som ikke har fast bopæl i landet.</w:t>
      </w:r>
    </w:p>
    <w:p w14:paraId="1778A3B9" w14:textId="77777777" w:rsidR="00BA471B" w:rsidRPr="00221FF0" w:rsidRDefault="00BA471B" w:rsidP="009E1906">
      <w:pPr>
        <w:widowControl/>
        <w:autoSpaceDE/>
        <w:autoSpaceDN/>
        <w:adjustRightInd/>
      </w:pPr>
    </w:p>
    <w:p w14:paraId="305C322C" w14:textId="77777777" w:rsidR="00BA471B" w:rsidRPr="00221FF0" w:rsidRDefault="00166726" w:rsidP="009E1906">
      <w:pPr>
        <w:widowControl/>
        <w:autoSpaceDE/>
        <w:autoSpaceDN/>
        <w:adjustRightInd/>
      </w:pPr>
      <w:r w:rsidRPr="00221FF0">
        <w:t>Regulering af færdsel, ophold og vandring:</w:t>
      </w:r>
    </w:p>
    <w:p w14:paraId="141FC614" w14:textId="60622617" w:rsidR="00166726" w:rsidRPr="00221FF0" w:rsidRDefault="00166726" w:rsidP="009E1906">
      <w:pPr>
        <w:widowControl/>
        <w:autoSpaceDE/>
        <w:autoSpaceDN/>
        <w:adjustRightInd/>
      </w:pPr>
      <w:r w:rsidRPr="00221FF0">
        <w:t>Disse udgør en væsentlig del af turismen, og det er hensigten, at der i medfør af bekendtgørelse kan fastsættes nærmere regler for registrering og organisering af disse aktiviteter. Dette sikrer, at både virksomheder og enkeltpersoner, der udøver turisme, omfattes af lovens rammer.</w:t>
      </w:r>
    </w:p>
    <w:p w14:paraId="17799962" w14:textId="77777777" w:rsidR="00BA471B" w:rsidRPr="00221FF0" w:rsidRDefault="00BA471B" w:rsidP="009E1906">
      <w:pPr>
        <w:widowControl/>
        <w:autoSpaceDE/>
        <w:autoSpaceDN/>
        <w:adjustRightInd/>
      </w:pPr>
    </w:p>
    <w:p w14:paraId="4B0B0F76" w14:textId="77777777" w:rsidR="00BA471B" w:rsidRPr="00221FF0" w:rsidRDefault="00166726" w:rsidP="009E1906">
      <w:pPr>
        <w:widowControl/>
        <w:autoSpaceDE/>
        <w:autoSpaceDN/>
        <w:adjustRightInd/>
      </w:pPr>
      <w:r w:rsidRPr="00221FF0">
        <w:t>Klarhed og tilgængelighed:</w:t>
      </w:r>
    </w:p>
    <w:p w14:paraId="21FE9B80" w14:textId="2ACE6525" w:rsidR="00166726" w:rsidRPr="00221FF0" w:rsidRDefault="00166726" w:rsidP="009E1906">
      <w:pPr>
        <w:widowControl/>
        <w:autoSpaceDE/>
        <w:autoSpaceDN/>
        <w:adjustRightInd/>
      </w:pPr>
      <w:r w:rsidRPr="00221FF0">
        <w:t>Navneskiftet bidrager til en mere enkel og tilgængelig lovtitel, der afspejler lovens indhold og formål uden unødigt teknisk fokus på erhvervsmæssig virksomhed. Dermed styrkes forståelsen for lovens rækkevidde hos borgere, myndigheder og aktører i turismesektoren.</w:t>
      </w:r>
    </w:p>
    <w:p w14:paraId="3FA033C0" w14:textId="77777777" w:rsidR="00166726" w:rsidRPr="00221FF0" w:rsidRDefault="00166726" w:rsidP="009E1906">
      <w:pPr>
        <w:widowControl/>
        <w:autoSpaceDE/>
        <w:autoSpaceDN/>
        <w:adjustRightInd/>
      </w:pPr>
    </w:p>
    <w:p w14:paraId="7FEE13B4" w14:textId="77777777" w:rsidR="00166726" w:rsidRPr="00221FF0" w:rsidRDefault="00166726" w:rsidP="009E1906">
      <w:pPr>
        <w:widowControl/>
        <w:autoSpaceDE/>
        <w:autoSpaceDN/>
        <w:adjustRightInd/>
      </w:pPr>
      <w:r w:rsidRPr="00221FF0">
        <w:t>Det er væsentligt, at lovens titel afspejler denne udvidelse, da reglerne om registrering og vandrebevis for personer har et selvstændigt formål, der går ud over erhvervsmæssig aktivitet.</w:t>
      </w:r>
    </w:p>
    <w:p w14:paraId="6B76E11D" w14:textId="77777777" w:rsidR="00166726" w:rsidRPr="00221FF0" w:rsidRDefault="00166726" w:rsidP="009E1906">
      <w:pPr>
        <w:widowControl/>
        <w:autoSpaceDE/>
        <w:autoSpaceDN/>
        <w:adjustRightInd/>
      </w:pPr>
    </w:p>
    <w:p w14:paraId="4AA71823" w14:textId="77777777" w:rsidR="00166726" w:rsidRPr="00221FF0" w:rsidRDefault="00166726" w:rsidP="009E1906">
      <w:pPr>
        <w:widowControl/>
        <w:autoSpaceDE/>
        <w:autoSpaceDN/>
        <w:adjustRightInd/>
      </w:pPr>
    </w:p>
    <w:p w14:paraId="0755C146" w14:textId="77777777" w:rsidR="00166726" w:rsidRPr="00221FF0" w:rsidRDefault="00166726" w:rsidP="009E1906">
      <w:pPr>
        <w:widowControl/>
        <w:autoSpaceDE/>
        <w:autoSpaceDN/>
        <w:adjustRightInd/>
      </w:pPr>
      <w:r w:rsidRPr="00221FF0">
        <w:t>Til nr. 2</w:t>
      </w:r>
    </w:p>
    <w:p w14:paraId="7FE443A3" w14:textId="4B24F731" w:rsidR="00166726" w:rsidRPr="00221FF0" w:rsidRDefault="00166726" w:rsidP="009E1906">
      <w:pPr>
        <w:spacing w:after="160" w:line="278" w:lineRule="auto"/>
      </w:pPr>
      <w:r w:rsidRPr="00221FF0">
        <w:t>Med ændringen af bestemmelsen tydeliggøres først og fremmest, at erhvervsmæssig virksomhed og personer, der færdes eller tager ophold i landet alene skal være omfattet af regler, der udstedes i medfør af § 15 om zoneinddeling. Erhvervsmæssige virksomheder og personer, bør ikke blandes ind i reglerne om licens i kapitel 2-8. Med ændringen udvides lovens anvendelsesområde desuden fra alene at omfatte turistvirksomhed og erhvervsmæssig virksomhed til også at omfatte personer, der færdes eller tager ophold i landet.</w:t>
      </w:r>
    </w:p>
    <w:p w14:paraId="7303C0AB" w14:textId="642BE020" w:rsidR="00166726" w:rsidRPr="00221FF0" w:rsidRDefault="00166726" w:rsidP="009E1906">
      <w:pPr>
        <w:widowControl/>
        <w:autoSpaceDE/>
        <w:autoSpaceDN/>
        <w:adjustRightInd/>
        <w:spacing w:after="160" w:line="278" w:lineRule="auto"/>
      </w:pPr>
      <w:r w:rsidRPr="00221FF0">
        <w:lastRenderedPageBreak/>
        <w:t>Udvidelse af anvendelsesområdet</w:t>
      </w:r>
      <w:r w:rsidR="00BA471B" w:rsidRPr="00221FF0">
        <w:t xml:space="preserve">: </w:t>
      </w:r>
      <w:r w:rsidRPr="00221FF0">
        <w:t>Den nye formulering sikrer, at loven også finder anvendelse på aktiviteter, der ikke nødvendigvis har erhvervsmæssig karakter, men som udgør en væsentlig del af turismen, herunder færdsel og ophold i landet. Med færdsel menes også vandring.</w:t>
      </w:r>
    </w:p>
    <w:p w14:paraId="4667459A" w14:textId="77777777" w:rsidR="00BA471B" w:rsidRPr="00221FF0" w:rsidRDefault="00166726" w:rsidP="009E1906">
      <w:pPr>
        <w:widowControl/>
        <w:autoSpaceDE/>
        <w:autoSpaceDN/>
        <w:adjustRightInd/>
        <w:spacing w:after="160" w:line="278" w:lineRule="auto"/>
      </w:pPr>
      <w:r w:rsidRPr="00221FF0">
        <w:t>Inddragelse af personer uden fast bopæl:</w:t>
      </w:r>
    </w:p>
    <w:p w14:paraId="72035515" w14:textId="3C7359E6" w:rsidR="00166726" w:rsidRPr="00221FF0" w:rsidRDefault="00166726" w:rsidP="009E1906">
      <w:pPr>
        <w:widowControl/>
        <w:autoSpaceDE/>
        <w:autoSpaceDN/>
        <w:adjustRightInd/>
        <w:spacing w:after="160" w:line="278" w:lineRule="auto"/>
      </w:pPr>
      <w:r w:rsidRPr="00221FF0">
        <w:t>Ved at indføre et særskilt stk. 3 præciseres det, at loven også gælder for personer, der færdes eller tager ophold i landet uden at have fast bopæl i landet</w:t>
      </w:r>
      <w:r w:rsidR="00F6015B" w:rsidRPr="00221FF0">
        <w:t>.</w:t>
      </w:r>
      <w:r w:rsidRPr="00221FF0">
        <w:t xml:space="preserve"> </w:t>
      </w:r>
      <w:r w:rsidR="00F6015B" w:rsidRPr="00221FF0">
        <w:t xml:space="preserve">Loven gælder for sådanne personer, </w:t>
      </w:r>
      <w:r w:rsidRPr="00221FF0">
        <w:t>uanset om det sker som led i organiseret turistvirksomhed, som erhvervsmæssig eller kommerciel aktivitet eller som selvorganiseret/ikke-kommerciel aktivitet. Dermed sikres en ensartet regulering af både organiserede og individuelle former for færdsel og ophold.</w:t>
      </w:r>
    </w:p>
    <w:p w14:paraId="04E3F54D" w14:textId="77777777" w:rsidR="00166726" w:rsidRPr="00221FF0" w:rsidRDefault="00166726" w:rsidP="009E1906">
      <w:pPr>
        <w:widowControl/>
        <w:autoSpaceDE/>
        <w:autoSpaceDN/>
        <w:adjustRightInd/>
      </w:pPr>
    </w:p>
    <w:p w14:paraId="38464964" w14:textId="77777777" w:rsidR="00166726" w:rsidRPr="00221FF0" w:rsidRDefault="00166726" w:rsidP="009E1906">
      <w:pPr>
        <w:widowControl/>
        <w:autoSpaceDE/>
        <w:autoSpaceDN/>
        <w:adjustRightInd/>
      </w:pPr>
      <w:r w:rsidRPr="00221FF0">
        <w:t>Til nr. 3</w:t>
      </w:r>
    </w:p>
    <w:p w14:paraId="7B7A4090" w14:textId="77777777" w:rsidR="00166726" w:rsidRPr="00221FF0" w:rsidRDefault="00166726" w:rsidP="009E1906">
      <w:pPr>
        <w:widowControl/>
        <w:autoSpaceDE/>
        <w:autoSpaceDN/>
        <w:adjustRightInd/>
      </w:pPr>
      <w:r w:rsidRPr="00221FF0">
        <w:t>Sondringen mellem tjenesteydelser som udbydes som dagsture uden overnatning og ture af flere dages varighed slettes, da der ikke er forskel på regler, krav eller behandling af de to tjenesteydelser. Sondringen er derfor overflødig.</w:t>
      </w:r>
    </w:p>
    <w:p w14:paraId="1C0BE035" w14:textId="77777777" w:rsidR="00166726" w:rsidRPr="00221FF0" w:rsidRDefault="00166726" w:rsidP="009E1906">
      <w:pPr>
        <w:widowControl/>
        <w:autoSpaceDE/>
        <w:autoSpaceDN/>
        <w:adjustRightInd/>
      </w:pPr>
    </w:p>
    <w:p w14:paraId="0EA50987" w14:textId="77777777" w:rsidR="00166726" w:rsidRPr="00221FF0" w:rsidRDefault="00166726" w:rsidP="009E1906">
      <w:pPr>
        <w:widowControl/>
        <w:autoSpaceDE/>
        <w:autoSpaceDN/>
        <w:adjustRightInd/>
        <w:rPr>
          <w:bCs/>
        </w:rPr>
      </w:pPr>
      <w:r w:rsidRPr="00221FF0">
        <w:t>Til nr. 4</w:t>
      </w:r>
    </w:p>
    <w:p w14:paraId="6C6B4354" w14:textId="77777777" w:rsidR="00166726" w:rsidRPr="00221FF0" w:rsidRDefault="00166726" w:rsidP="009E1906">
      <w:pPr>
        <w:widowControl/>
        <w:autoSpaceDE/>
        <w:autoSpaceDN/>
        <w:adjustRightInd/>
        <w:spacing w:after="200" w:line="276" w:lineRule="auto"/>
      </w:pPr>
      <w:r w:rsidRPr="00221FF0">
        <w:rPr>
          <w:bCs/>
        </w:rPr>
        <w:t xml:space="preserve">I bestemmelsen tilføjes, </w:t>
      </w:r>
      <w:r w:rsidRPr="00221FF0">
        <w:t>at Naalakkersuisut også kan udstede licens til en turistvirksomhed, der har opnået dispensation fra reglerne i §§ 7-10. Det er en nødvendighed, at der også udstedes licens til fysiske eller juridiske personer, som har opnået dispensation fra kravene, da det ifølge loven ikke er tilladt at udøve turistvirksomhed, medmindre man har en licens, jf. § 3, stk. 1.</w:t>
      </w:r>
    </w:p>
    <w:p w14:paraId="6A02CBB3" w14:textId="77777777" w:rsidR="00166726" w:rsidRPr="00221FF0" w:rsidRDefault="00166726" w:rsidP="009E1906">
      <w:pPr>
        <w:widowControl/>
        <w:autoSpaceDE/>
        <w:autoSpaceDN/>
        <w:adjustRightInd/>
      </w:pPr>
      <w:r w:rsidRPr="00221FF0">
        <w:t>Til nr. 5</w:t>
      </w:r>
    </w:p>
    <w:p w14:paraId="084D784F" w14:textId="2CA1559C" w:rsidR="00166726" w:rsidRPr="00221FF0" w:rsidRDefault="00166726" w:rsidP="009E1906">
      <w:pPr>
        <w:widowControl/>
        <w:autoSpaceDE/>
        <w:autoSpaceDN/>
        <w:adjustRightInd/>
        <w:spacing w:after="200" w:line="276" w:lineRule="auto"/>
      </w:pPr>
      <w:r w:rsidRPr="00221FF0">
        <w:t>§ 3, stk. 4, ophæves, da</w:t>
      </w:r>
      <w:r w:rsidR="000F47A0" w:rsidRPr="00221FF0">
        <w:t xml:space="preserve"> bestemmelsen er overflødig. E</w:t>
      </w:r>
      <w:r w:rsidRPr="00221FF0">
        <w:t>n licens udstedt til en juridisk person, udstedes til virksomhedens CVR-nummer. Hvis et selskab overdrages til andre end de oprindelige ejere, vil licensen følge med virksomheden, og der vil således ikke være tale om en overdragelse af den udstedte licens. De nye ejere vil fortsat skulle overholde kravene til en licens. En virksomhed, der ønsker en licens, bør ansøge om dette og bør ikke kunne overtage en anden virksomheds licens, da kravene til licens vil skulle vurderes af Naalakkersuisut.</w:t>
      </w:r>
    </w:p>
    <w:p w14:paraId="21DB5B27" w14:textId="77777777" w:rsidR="000C0148" w:rsidRPr="00221FF0" w:rsidRDefault="000C0148" w:rsidP="000C0148">
      <w:pPr>
        <w:widowControl/>
        <w:autoSpaceDE/>
        <w:autoSpaceDN/>
        <w:adjustRightInd/>
      </w:pPr>
      <w:r w:rsidRPr="00221FF0">
        <w:t>Til nr. 6</w:t>
      </w:r>
    </w:p>
    <w:p w14:paraId="09FE5E8F" w14:textId="77777777" w:rsidR="000C0148" w:rsidRPr="00221FF0" w:rsidRDefault="000C0148" w:rsidP="000C0148">
      <w:r w:rsidRPr="00221FF0">
        <w:t>Loven mangler i sin nuværende form konkret hjemmel til licenshaveres ansøgning om revurdering af vilkår, som indsættes som nyt stk. 4 i § 4.</w:t>
      </w:r>
    </w:p>
    <w:p w14:paraId="120F4E64" w14:textId="0E4E428D" w:rsidR="000C0148" w:rsidRPr="00221FF0" w:rsidRDefault="000C0148" w:rsidP="000C0148">
      <w:r w:rsidRPr="00221FF0">
        <w:t>Der mangler desuden en udtrykkelig bestemmelse om licenshaveres krav om meddelelse om ændrede vilkår. Denne er tilføjet som nyt stk. 5.</w:t>
      </w:r>
    </w:p>
    <w:p w14:paraId="0D9545AD" w14:textId="77777777" w:rsidR="000C0148" w:rsidRPr="00221FF0" w:rsidRDefault="000C0148" w:rsidP="000C0148">
      <w:pPr>
        <w:widowControl/>
        <w:autoSpaceDE/>
        <w:autoSpaceDN/>
        <w:adjustRightInd/>
      </w:pPr>
    </w:p>
    <w:p w14:paraId="300C7C11" w14:textId="77777777" w:rsidR="006517F8" w:rsidRPr="00221FF0" w:rsidRDefault="006517F8" w:rsidP="009E1906">
      <w:pPr>
        <w:widowControl/>
        <w:autoSpaceDE/>
        <w:autoSpaceDN/>
        <w:adjustRightInd/>
        <w:spacing w:after="200" w:line="276" w:lineRule="auto"/>
      </w:pPr>
    </w:p>
    <w:p w14:paraId="1F0D1FDB" w14:textId="445E19A3" w:rsidR="00166726" w:rsidRPr="00221FF0" w:rsidRDefault="00166726" w:rsidP="009E1906">
      <w:pPr>
        <w:widowControl/>
        <w:autoSpaceDE/>
        <w:autoSpaceDN/>
        <w:adjustRightInd/>
      </w:pPr>
      <w:r w:rsidRPr="00221FF0">
        <w:t xml:space="preserve">Til nr. </w:t>
      </w:r>
      <w:r w:rsidR="000C0148" w:rsidRPr="00221FF0">
        <w:t>7</w:t>
      </w:r>
    </w:p>
    <w:p w14:paraId="53C491D1" w14:textId="0F918C8E" w:rsidR="00A34D1F" w:rsidRPr="00221FF0" w:rsidRDefault="00A34D1F" w:rsidP="00A34D1F">
      <w:r w:rsidRPr="00221FF0">
        <w:t xml:space="preserve">Reglen om udstedelse af tilladelse til denne særlige form for sightseeing tilføjes, da bestemmelsen skal overflyttes fra Departementet for Fiskeri og Fangst til Departementet for </w:t>
      </w:r>
      <w:r w:rsidRPr="00221FF0">
        <w:lastRenderedPageBreak/>
        <w:t xml:space="preserve">Erhverv, Råstoffer, Energi, Justitsområdet og Ligestilling, da reglerne allerede administreres af Departementet for Erhverv, Råstoffer, Energi, Justitsområdet og Ligestilling og tilladelser udstedes herfra. Der har derfor været behov for at indføre en hjemmelsbestemmelse til Naalakkersuisuts udstedelse af tilladelser og en hjemmel til udstedelse af nærmere regler om vilkårene for disse tilladelser. Hjemlen til udstedelse af nærmere regler skal sikre, at det kan udstedes regler for, hvordan denne sightseeing på vilde dyr må finde sted. Reglerne er på nuværende tidspunkt kun for isbjørne og </w:t>
      </w:r>
      <w:r w:rsidR="001E5966" w:rsidRPr="00221FF0">
        <w:t xml:space="preserve">er reguleret </w:t>
      </w:r>
      <w:r w:rsidRPr="00221FF0">
        <w:t>i</w:t>
      </w:r>
      <w:r w:rsidRPr="00221FF0">
        <w:rPr>
          <w:i/>
          <w:iCs/>
        </w:rPr>
        <w:t xml:space="preserve"> Selvstyrets bekendtgørelse om fangst og beskyttelse af isbjørne nr. 5 af den 6. marts 2023.</w:t>
      </w:r>
    </w:p>
    <w:p w14:paraId="5EBDBC58" w14:textId="77777777" w:rsidR="00006B74" w:rsidRPr="00221FF0" w:rsidRDefault="00006B74" w:rsidP="009E1906">
      <w:pPr>
        <w:widowControl/>
        <w:autoSpaceDE/>
        <w:autoSpaceDN/>
        <w:adjustRightInd/>
      </w:pPr>
    </w:p>
    <w:p w14:paraId="1BF5925B" w14:textId="56A16F72" w:rsidR="00006B74" w:rsidRPr="00221FF0" w:rsidRDefault="006C4788" w:rsidP="009E1906">
      <w:pPr>
        <w:widowControl/>
        <w:autoSpaceDE/>
        <w:autoSpaceDN/>
        <w:adjustRightInd/>
      </w:pPr>
      <w:r w:rsidRPr="00221FF0">
        <w:t xml:space="preserve">Til nr. </w:t>
      </w:r>
      <w:r w:rsidR="000C0148" w:rsidRPr="00221FF0">
        <w:t>8</w:t>
      </w:r>
    </w:p>
    <w:p w14:paraId="77308D7F" w14:textId="37F6FE1E" w:rsidR="006C4788" w:rsidRPr="00221FF0" w:rsidRDefault="006C4788" w:rsidP="006C4788">
      <w:pPr>
        <w:widowControl/>
        <w:autoSpaceDE/>
        <w:autoSpaceDN/>
        <w:adjustRightInd/>
      </w:pPr>
      <w:r w:rsidRPr="00221FF0">
        <w:t>Formålet med de nye stykker 2-4 er at sikre, at personer med tilknytning til Grønland, som midlertidigt opholder sig i udlandet i forbindelse med udstationering, ikke mister adgangen til at udøve turistvirksomhed som følge af fravær fra landet. Bestemmelsen omfatter personer, der forinden det midlertidige ophold i udlandet, opfylder kravene i § 7, nr. 1-2, og som deltager i offentligt hverv, uddannelse, forskning, anden samfundsnyttig aktivitet eller på grund af længerevarende sygdom opholder sig i udlandet.</w:t>
      </w:r>
    </w:p>
    <w:p w14:paraId="1CB13068" w14:textId="77777777" w:rsidR="006C4788" w:rsidRPr="00221FF0" w:rsidRDefault="006C4788" w:rsidP="006C4788">
      <w:pPr>
        <w:widowControl/>
        <w:autoSpaceDE/>
        <w:autoSpaceDN/>
        <w:adjustRightInd/>
      </w:pPr>
    </w:p>
    <w:p w14:paraId="530079C3" w14:textId="12BC9B80" w:rsidR="006C4788" w:rsidRPr="00221FF0" w:rsidRDefault="006C4788" w:rsidP="006C4788">
      <w:pPr>
        <w:widowControl/>
        <w:autoSpaceDE/>
        <w:autoSpaceDN/>
        <w:adjustRightInd/>
      </w:pPr>
      <w:r w:rsidRPr="00221FF0">
        <w:t>Dispensationen gælder i den periode, hvor udstationeringen finder sted, og omfatter også ægtefæller og samlevere, der opholder sig uden for landet som følge af den pågældendes udstationering. Dette sikrer, at familier ikke stilles ringere i forhold til licenskrav og øvrige betingelser i loven.</w:t>
      </w:r>
    </w:p>
    <w:p w14:paraId="297DC53C" w14:textId="77777777" w:rsidR="006C4788" w:rsidRPr="00221FF0" w:rsidRDefault="006C4788" w:rsidP="006C4788">
      <w:pPr>
        <w:widowControl/>
        <w:autoSpaceDE/>
        <w:autoSpaceDN/>
        <w:adjustRightInd/>
      </w:pPr>
    </w:p>
    <w:p w14:paraId="63D58E85" w14:textId="4B4E9FEB" w:rsidR="006C4788" w:rsidRPr="00221FF0" w:rsidRDefault="006C4788" w:rsidP="006C4788">
      <w:pPr>
        <w:widowControl/>
        <w:autoSpaceDE/>
        <w:autoSpaceDN/>
        <w:adjustRightInd/>
      </w:pPr>
      <w:r w:rsidRPr="00221FF0">
        <w:t>”Udstedelse” af licens og dispensation bør være en konsekvent terminologi i hele loven, hvorfor stk. 1 er rettet i overensstemmelse hermed.</w:t>
      </w:r>
    </w:p>
    <w:p w14:paraId="5DFE3E82" w14:textId="77777777" w:rsidR="006C4788" w:rsidRPr="00221FF0" w:rsidRDefault="006C4788" w:rsidP="006C4788">
      <w:pPr>
        <w:widowControl/>
        <w:autoSpaceDE/>
        <w:autoSpaceDN/>
        <w:adjustRightInd/>
      </w:pPr>
    </w:p>
    <w:p w14:paraId="544C165D" w14:textId="77777777" w:rsidR="006C4788" w:rsidRPr="00221FF0" w:rsidRDefault="006C4788" w:rsidP="006C4788">
      <w:pPr>
        <w:widowControl/>
        <w:autoSpaceDE/>
        <w:autoSpaceDN/>
        <w:adjustRightInd/>
      </w:pPr>
      <w:r w:rsidRPr="00221FF0">
        <w:t>Der henvises i øvrigt til de almindelige bemærkninger.</w:t>
      </w:r>
    </w:p>
    <w:p w14:paraId="4B3FB79B" w14:textId="77777777" w:rsidR="006C4788" w:rsidRPr="00221FF0" w:rsidRDefault="006C4788" w:rsidP="009E1906">
      <w:pPr>
        <w:widowControl/>
        <w:autoSpaceDE/>
        <w:autoSpaceDN/>
        <w:adjustRightInd/>
      </w:pPr>
    </w:p>
    <w:p w14:paraId="6F6BC898" w14:textId="77777777" w:rsidR="00166726" w:rsidRPr="00221FF0" w:rsidRDefault="00166726" w:rsidP="009E1906">
      <w:pPr>
        <w:widowControl/>
        <w:autoSpaceDE/>
        <w:autoSpaceDN/>
        <w:adjustRightInd/>
      </w:pPr>
    </w:p>
    <w:p w14:paraId="14FB5832" w14:textId="28BD189F" w:rsidR="00166726" w:rsidRPr="00221FF0" w:rsidRDefault="00166726" w:rsidP="009E1906">
      <w:pPr>
        <w:widowControl/>
        <w:autoSpaceDE/>
        <w:autoSpaceDN/>
        <w:adjustRightInd/>
      </w:pPr>
      <w:r w:rsidRPr="00221FF0">
        <w:t xml:space="preserve">Til nr. </w:t>
      </w:r>
      <w:r w:rsidR="000C0148" w:rsidRPr="00221FF0">
        <w:t>9</w:t>
      </w:r>
    </w:p>
    <w:p w14:paraId="0DED0485" w14:textId="77777777" w:rsidR="006C4788" w:rsidRPr="00221FF0" w:rsidRDefault="00166726" w:rsidP="009E1906">
      <w:pPr>
        <w:widowControl/>
        <w:autoSpaceDE/>
        <w:autoSpaceDN/>
        <w:adjustRightInd/>
      </w:pPr>
      <w:r w:rsidRPr="00221FF0">
        <w:t>Bestemmelsen er tilrettet af sproglige hensyn.</w:t>
      </w:r>
    </w:p>
    <w:p w14:paraId="136D66B5" w14:textId="77777777" w:rsidR="006C4788" w:rsidRPr="00221FF0" w:rsidRDefault="006C4788" w:rsidP="009E1906">
      <w:pPr>
        <w:widowControl/>
        <w:autoSpaceDE/>
        <w:autoSpaceDN/>
        <w:adjustRightInd/>
      </w:pPr>
    </w:p>
    <w:p w14:paraId="108464D1" w14:textId="77777777" w:rsidR="006C4788" w:rsidRPr="00221FF0" w:rsidRDefault="006C4788" w:rsidP="006C4788">
      <w:pPr>
        <w:widowControl/>
        <w:autoSpaceDE/>
        <w:autoSpaceDN/>
        <w:adjustRightInd/>
      </w:pPr>
      <w:r w:rsidRPr="00221FF0">
        <w:t>”Udstedelse” af licens og dispensation bør være en konsekvent terminologi i hele loven, hvorfor stk. 1 er rettet i overensstemmelse hermed.</w:t>
      </w:r>
    </w:p>
    <w:p w14:paraId="24D46A70" w14:textId="77777777" w:rsidR="00166726" w:rsidRPr="00221FF0" w:rsidRDefault="00166726" w:rsidP="009E1906">
      <w:pPr>
        <w:widowControl/>
        <w:autoSpaceDE/>
        <w:autoSpaceDN/>
        <w:adjustRightInd/>
        <w:rPr>
          <w:b/>
        </w:rPr>
      </w:pPr>
    </w:p>
    <w:p w14:paraId="040413BF" w14:textId="7966642D" w:rsidR="00166726" w:rsidRPr="00221FF0" w:rsidRDefault="00166726" w:rsidP="009E1906">
      <w:pPr>
        <w:widowControl/>
        <w:autoSpaceDE/>
        <w:autoSpaceDN/>
        <w:adjustRightInd/>
        <w:rPr>
          <w:bCs/>
        </w:rPr>
      </w:pPr>
      <w:r w:rsidRPr="00221FF0">
        <w:rPr>
          <w:bCs/>
        </w:rPr>
        <w:t xml:space="preserve">Til nr. </w:t>
      </w:r>
      <w:r w:rsidR="000C0148" w:rsidRPr="00221FF0">
        <w:rPr>
          <w:bCs/>
        </w:rPr>
        <w:t>10</w:t>
      </w:r>
    </w:p>
    <w:p w14:paraId="2B763DAF" w14:textId="77777777" w:rsidR="00166726" w:rsidRPr="00221FF0" w:rsidRDefault="00166726" w:rsidP="009E1906">
      <w:pPr>
        <w:widowControl/>
        <w:autoSpaceDE/>
        <w:autoSpaceDN/>
        <w:adjustRightInd/>
      </w:pPr>
      <w:r w:rsidRPr="00221FF0">
        <w:t>Med ændringen sikres konsekvens i terminologien i loven.</w:t>
      </w:r>
    </w:p>
    <w:p w14:paraId="72293E5C" w14:textId="77777777" w:rsidR="00166726" w:rsidRPr="00221FF0" w:rsidRDefault="00166726" w:rsidP="009E1906">
      <w:pPr>
        <w:widowControl/>
        <w:autoSpaceDE/>
        <w:autoSpaceDN/>
        <w:adjustRightInd/>
      </w:pPr>
    </w:p>
    <w:p w14:paraId="334A3CD1" w14:textId="681DF912" w:rsidR="00166726" w:rsidRPr="00221FF0" w:rsidRDefault="00166726" w:rsidP="009E1906">
      <w:pPr>
        <w:widowControl/>
        <w:autoSpaceDE/>
        <w:autoSpaceDN/>
        <w:adjustRightInd/>
      </w:pPr>
      <w:r w:rsidRPr="00221FF0">
        <w:t xml:space="preserve">Til nr. </w:t>
      </w:r>
      <w:r w:rsidR="006D7CC8" w:rsidRPr="00221FF0">
        <w:t>1</w:t>
      </w:r>
      <w:r w:rsidR="000C0148" w:rsidRPr="00221FF0">
        <w:t>1</w:t>
      </w:r>
    </w:p>
    <w:p w14:paraId="49E326D5" w14:textId="05621647" w:rsidR="00166726" w:rsidRPr="00221FF0" w:rsidRDefault="000F6AB4" w:rsidP="009E1906">
      <w:pPr>
        <w:widowControl/>
        <w:autoSpaceDE/>
        <w:autoSpaceDN/>
        <w:adjustRightInd/>
      </w:pPr>
      <w:r w:rsidRPr="00221FF0">
        <w:t>Der henvises til de hovedpunkterne i de almindelige bemærkninger.</w:t>
      </w:r>
    </w:p>
    <w:p w14:paraId="6AC29131" w14:textId="77777777" w:rsidR="000F6AB4" w:rsidRPr="00221FF0" w:rsidRDefault="000F6AB4" w:rsidP="009E1906">
      <w:pPr>
        <w:widowControl/>
        <w:autoSpaceDE/>
        <w:autoSpaceDN/>
        <w:adjustRightInd/>
      </w:pPr>
    </w:p>
    <w:p w14:paraId="3F8E681A" w14:textId="2F020850" w:rsidR="00166726" w:rsidRPr="00221FF0" w:rsidRDefault="00166726" w:rsidP="009E1906">
      <w:pPr>
        <w:widowControl/>
        <w:autoSpaceDE/>
        <w:autoSpaceDN/>
        <w:adjustRightInd/>
      </w:pPr>
      <w:r w:rsidRPr="00221FF0">
        <w:lastRenderedPageBreak/>
        <w:t xml:space="preserve">Baggrunden for ændringen </w:t>
      </w:r>
      <w:r w:rsidR="00CE68FD" w:rsidRPr="00221FF0">
        <w:t xml:space="preserve">af den tidsmæssige ramme for dispensationen </w:t>
      </w:r>
      <w:r w:rsidRPr="00221FF0">
        <w:t>er et ønske om at skabe mere stabile og langsigtede rammer for turistaktører og øvrige berørte parter, der af særlige grunde har behov for dispensation fra lovens krav. En længere dispensationsperiode vil øge muligheden for at udvide den lokale ejerkreds eller flytte ejerkredsen til Grønland i de tilfælde, hvor ejerkredsen ikke lever op til lovens krav om 2/3 lokalt ejerskab.</w:t>
      </w:r>
    </w:p>
    <w:p w14:paraId="553C89D5" w14:textId="77777777" w:rsidR="00166726" w:rsidRPr="00221FF0" w:rsidRDefault="00166726" w:rsidP="009E1906">
      <w:pPr>
        <w:widowControl/>
        <w:autoSpaceDE/>
        <w:autoSpaceDN/>
        <w:adjustRightInd/>
      </w:pPr>
    </w:p>
    <w:p w14:paraId="0E8088CC" w14:textId="77777777" w:rsidR="00166726" w:rsidRPr="00221FF0" w:rsidRDefault="00166726" w:rsidP="009E1906">
      <w:pPr>
        <w:widowControl/>
        <w:autoSpaceDE/>
        <w:autoSpaceDN/>
        <w:adjustRightInd/>
      </w:pPr>
      <w:r w:rsidRPr="00221FF0">
        <w:t>Den foreslåede ordning bevarer fleksibiliteten ved, at Naalakkersuisut fortsat kan knytte vilkår til både den oprindelige dispensation og til en eventuel forlængelse.</w:t>
      </w:r>
    </w:p>
    <w:p w14:paraId="740CBA78" w14:textId="77777777" w:rsidR="00166726" w:rsidRPr="00221FF0" w:rsidRDefault="00166726" w:rsidP="009E1906">
      <w:pPr>
        <w:widowControl/>
        <w:autoSpaceDE/>
        <w:autoSpaceDN/>
        <w:adjustRightInd/>
      </w:pPr>
    </w:p>
    <w:p w14:paraId="275A8EEC" w14:textId="2001916F" w:rsidR="00166726" w:rsidRPr="00221FF0" w:rsidRDefault="00166726" w:rsidP="009E1906">
      <w:pPr>
        <w:widowControl/>
        <w:autoSpaceDE/>
        <w:autoSpaceDN/>
        <w:adjustRightInd/>
      </w:pPr>
      <w:r w:rsidRPr="00221FF0">
        <w:t xml:space="preserve">Det </w:t>
      </w:r>
      <w:r w:rsidR="00CE68FD" w:rsidRPr="00221FF0">
        <w:t>tydeliggøres desuden i ændringen, at d</w:t>
      </w:r>
      <w:r w:rsidRPr="00221FF0">
        <w:t xml:space="preserve">ispensation alene kan gives til virksomheder, som allerede var etableret på tidspunktet for lovens ikrafttræden. </w:t>
      </w:r>
      <w:r w:rsidR="00CE68FD" w:rsidRPr="00221FF0">
        <w:t>Det har oprindeligt været lovgivers hensigt, at dispensation alene skal kunne gives til virksomheder, som allerede var etableret på lovens ikrafttrædelsestidspunkt.</w:t>
      </w:r>
    </w:p>
    <w:p w14:paraId="5829BAFD" w14:textId="77777777" w:rsidR="00166726" w:rsidRPr="00221FF0" w:rsidRDefault="00166726" w:rsidP="009E1906">
      <w:pPr>
        <w:widowControl/>
        <w:autoSpaceDE/>
        <w:autoSpaceDN/>
        <w:adjustRightInd/>
        <w:rPr>
          <w:b/>
          <w:bCs/>
        </w:rPr>
      </w:pPr>
    </w:p>
    <w:p w14:paraId="53F77225" w14:textId="77350771" w:rsidR="00166726" w:rsidRPr="00221FF0" w:rsidRDefault="00166726" w:rsidP="009E1906">
      <w:pPr>
        <w:widowControl/>
        <w:autoSpaceDE/>
        <w:autoSpaceDN/>
        <w:adjustRightInd/>
      </w:pPr>
      <w:r w:rsidRPr="00221FF0">
        <w:t xml:space="preserve">Til nr. </w:t>
      </w:r>
      <w:r w:rsidR="006D7CC8" w:rsidRPr="00221FF0">
        <w:t>1</w:t>
      </w:r>
      <w:r w:rsidR="000C0148" w:rsidRPr="00221FF0">
        <w:t>2</w:t>
      </w:r>
    </w:p>
    <w:p w14:paraId="50E57803" w14:textId="01CE67D8" w:rsidR="00166726" w:rsidRPr="00221FF0" w:rsidRDefault="00166726" w:rsidP="009E1906">
      <w:pPr>
        <w:widowControl/>
        <w:autoSpaceDE/>
        <w:autoSpaceDN/>
        <w:adjustRightInd/>
      </w:pPr>
      <w:r w:rsidRPr="00221FF0">
        <w:t xml:space="preserve">Bestemmelsen i § 11 </w:t>
      </w:r>
      <w:r w:rsidR="006D7CC8" w:rsidRPr="00221FF0">
        <w:t>a</w:t>
      </w:r>
      <w:r w:rsidRPr="00221FF0">
        <w:t xml:space="preserve"> har til formål at skabe fleksibilitet i licenssystemet for turismeaktiviteter i områder, hvor de almindelige krav i §§ 7-</w:t>
      </w:r>
      <w:r w:rsidR="006D7CC8" w:rsidRPr="00221FF0">
        <w:t>8</w:t>
      </w:r>
      <w:r w:rsidRPr="00221FF0">
        <w:t xml:space="preserve"> kan udgøre en barriere for udvikling. Lovgiver ønsker hermed at understøtte turisme i egne, hvor der enten ikke findes etablerede turistvirksomheder, hvor antallet af aktører er så begrænset, at efterspørgslen ikke kan imødekommes, eller hvor befolkningstæthed og erhvervsaktivitet er lav.</w:t>
      </w:r>
    </w:p>
    <w:p w14:paraId="0E39E78E" w14:textId="77777777" w:rsidR="00166726" w:rsidRPr="00221FF0" w:rsidRDefault="00166726" w:rsidP="009E1906">
      <w:pPr>
        <w:widowControl/>
        <w:autoSpaceDE/>
        <w:autoSpaceDN/>
        <w:adjustRightInd/>
      </w:pPr>
    </w:p>
    <w:p w14:paraId="5E74EB9B" w14:textId="77777777" w:rsidR="00166726" w:rsidRPr="00221FF0" w:rsidRDefault="00166726" w:rsidP="009E1906">
      <w:pPr>
        <w:widowControl/>
        <w:autoSpaceDE/>
        <w:autoSpaceDN/>
        <w:adjustRightInd/>
      </w:pPr>
      <w:r w:rsidRPr="00221FF0">
        <w:t>Dispensationsadgangen skal ses som et redskab til at fremme turismeudvikling i tyndt befolkede eller strukturelt udfordrede områder, hvor turisme kan bidrage til lokal vækst, beskæftigelse og kulturel aktivitet.</w:t>
      </w:r>
    </w:p>
    <w:p w14:paraId="3552728A" w14:textId="77777777" w:rsidR="00F83A54" w:rsidRPr="00221FF0" w:rsidRDefault="00F83A54" w:rsidP="009E1906">
      <w:pPr>
        <w:widowControl/>
        <w:autoSpaceDE/>
        <w:autoSpaceDN/>
        <w:adjustRightInd/>
      </w:pPr>
    </w:p>
    <w:p w14:paraId="62955FE8" w14:textId="2440B22A" w:rsidR="00F83A54" w:rsidRPr="00221FF0" w:rsidRDefault="00721A02" w:rsidP="009E1906">
      <w:pPr>
        <w:widowControl/>
        <w:autoSpaceDE/>
        <w:autoSpaceDN/>
        <w:adjustRightInd/>
      </w:pPr>
      <w:r w:rsidRPr="00221FF0">
        <w:t>Naalakkersuisuts skønsudøvelse ved tildeling af dispensationer i henhold til denne bestemmelse bør lægge betydelig vægt på</w:t>
      </w:r>
      <w:r w:rsidR="00F83A54" w:rsidRPr="00221FF0">
        <w:t xml:space="preserve"> partnerskaber mellem lokale aktører og eksterne samarbejdspartnere. Formålet er at fremme bæredygtige og lokalt forankrede løsninger, der kan styrke erhvervslivet og samfundet bredt.</w:t>
      </w:r>
    </w:p>
    <w:p w14:paraId="07A8E5FF" w14:textId="6331958C" w:rsidR="00F83A54" w:rsidRPr="00221FF0" w:rsidRDefault="00F83A54" w:rsidP="009E1906">
      <w:pPr>
        <w:widowControl/>
        <w:autoSpaceDE/>
        <w:autoSpaceDN/>
        <w:adjustRightInd/>
      </w:pPr>
      <w:r w:rsidRPr="00221FF0">
        <w:t>Det understreges imidlertid, at der ikke er tale om et absolut krav, som kan føre til uhensigtsmæssige resultater. Bestemmelsen skal således ikke forstås som en pligt til at prioritere en aktør, der i øvrigt er uegnet, alene fordi vedkommende har indgået et samarbejde med en lokal borger. Naalakkersuisut skal fortsat udøve sit skøn på baggrund af en samlet afvejning af relevante hensyn, herunder aktørernes kvalifikationer, projektets bæredygtighed og de samfundsmæssige effekter.</w:t>
      </w:r>
    </w:p>
    <w:p w14:paraId="467F7BEA" w14:textId="77777777" w:rsidR="00166726" w:rsidRPr="00221FF0" w:rsidRDefault="00166726" w:rsidP="009E1906">
      <w:pPr>
        <w:widowControl/>
        <w:autoSpaceDE/>
        <w:autoSpaceDN/>
        <w:adjustRightInd/>
      </w:pPr>
    </w:p>
    <w:p w14:paraId="23C19B59" w14:textId="35D0D016" w:rsidR="00166726" w:rsidRPr="00221FF0" w:rsidRDefault="00166726" w:rsidP="009E1906">
      <w:pPr>
        <w:widowControl/>
        <w:autoSpaceDE/>
        <w:autoSpaceDN/>
        <w:adjustRightInd/>
      </w:pPr>
      <w:r w:rsidRPr="00221FF0">
        <w:t>Stk. 2, fastsætter</w:t>
      </w:r>
      <w:r w:rsidR="006D7CC8" w:rsidRPr="00221FF0">
        <w:t xml:space="preserve"> perioden for dispensation</w:t>
      </w:r>
      <w:r w:rsidRPr="00221FF0">
        <w:t>. Der indføres en tidsbegrænsning på 3 år, med mulighed for forlængelse i 2 år ad gangen, for at sikre en løbende vurdering af behovet og effekten.</w:t>
      </w:r>
    </w:p>
    <w:p w14:paraId="770DF906" w14:textId="77777777" w:rsidR="00166726" w:rsidRPr="00221FF0" w:rsidRDefault="00166726" w:rsidP="009E1906">
      <w:pPr>
        <w:widowControl/>
        <w:autoSpaceDE/>
        <w:autoSpaceDN/>
        <w:adjustRightInd/>
      </w:pPr>
    </w:p>
    <w:p w14:paraId="6E176186" w14:textId="77777777" w:rsidR="00166726" w:rsidRPr="00221FF0" w:rsidRDefault="00166726" w:rsidP="009E1906">
      <w:pPr>
        <w:widowControl/>
        <w:autoSpaceDE/>
        <w:autoSpaceDN/>
        <w:adjustRightInd/>
      </w:pPr>
      <w:r w:rsidRPr="00221FF0">
        <w:lastRenderedPageBreak/>
        <w:t>Bestemmelsen skal ses som et redskab til at styrke turismeerhvervet i Grønland på en måde, der tager højde for geografiske og strukturelle forskelle, og som understøtter en balanceret og inkluderende udvikling.</w:t>
      </w:r>
    </w:p>
    <w:p w14:paraId="120545BF" w14:textId="77777777" w:rsidR="00166726" w:rsidRPr="00221FF0" w:rsidRDefault="00166726" w:rsidP="009E1906">
      <w:pPr>
        <w:widowControl/>
        <w:autoSpaceDE/>
        <w:autoSpaceDN/>
        <w:adjustRightInd/>
      </w:pPr>
    </w:p>
    <w:p w14:paraId="6F5171CC" w14:textId="10191ADD" w:rsidR="00166726" w:rsidRPr="00221FF0" w:rsidRDefault="00166726" w:rsidP="009E1906">
      <w:r w:rsidRPr="00221FF0">
        <w:t>Til nr. 1</w:t>
      </w:r>
      <w:r w:rsidR="000C0148" w:rsidRPr="00221FF0">
        <w:t>3</w:t>
      </w:r>
    </w:p>
    <w:p w14:paraId="22878EE8" w14:textId="77777777" w:rsidR="00166726" w:rsidRPr="00221FF0" w:rsidRDefault="00166726" w:rsidP="009E1906">
      <w:r w:rsidRPr="00221FF0">
        <w:t>Formålet med ændringen af denne bestemmelse er at sikre, at færdsel og ophold i landet sker under betryggende forhold, og at myndighederne har de nødvendige oplysninger til brug for beredskab, redning og planlægning.</w:t>
      </w:r>
    </w:p>
    <w:p w14:paraId="45820E0F" w14:textId="77777777" w:rsidR="00166726" w:rsidRPr="00221FF0" w:rsidRDefault="00166726" w:rsidP="009E1906"/>
    <w:p w14:paraId="29621CA2" w14:textId="77777777" w:rsidR="00166726" w:rsidRPr="00221FF0" w:rsidRDefault="00166726" w:rsidP="009E1906">
      <w:r w:rsidRPr="00221FF0">
        <w:t>Bestemmelserne er udformet således, at alle personer uden fast bopæl i Grønland er omfattet af lovens krav, uanset om færdslen eller opholdet sker som led i organiseret turistvirksomhed, erhvervsmæssig eller kommerciel aktivitet, eller som selvorganiseret og ikke-kommerciel aktivitet.</w:t>
      </w:r>
    </w:p>
    <w:p w14:paraId="33F13BC2" w14:textId="77777777" w:rsidR="00166726" w:rsidRPr="00221FF0" w:rsidRDefault="00166726" w:rsidP="009E1906"/>
    <w:p w14:paraId="488E5133" w14:textId="77777777" w:rsidR="00166726" w:rsidRPr="00221FF0" w:rsidRDefault="00166726" w:rsidP="009E1906">
      <w:r w:rsidRPr="00221FF0">
        <w:t>Undtagelsen for personer med fast bopæl i landet er begrundet i, at disse borgere allerede er omfattet af andre nationale ordninger og regler, herunder beredskabslovgivning, sundhedsforsikring og kommunale redningsberedskaber. Det vurderes derfor unødvendigt at pålægge dem yderligere registrerings- og forsikringskrav i forbindelse med vandring.</w:t>
      </w:r>
    </w:p>
    <w:p w14:paraId="5F946F58" w14:textId="77777777" w:rsidR="006D7CC8" w:rsidRPr="00221FF0" w:rsidRDefault="006D7CC8" w:rsidP="009E1906"/>
    <w:p w14:paraId="16CDF58F" w14:textId="6CE9C76C" w:rsidR="00166726" w:rsidRPr="00221FF0" w:rsidRDefault="00166726" w:rsidP="009E1906">
      <w:r w:rsidRPr="00221FF0">
        <w:t>Med denne afgrænsning sikres:</w:t>
      </w:r>
    </w:p>
    <w:p w14:paraId="5B89EF40" w14:textId="77777777" w:rsidR="006D7CC8" w:rsidRPr="00221FF0" w:rsidRDefault="006D7CC8" w:rsidP="009E1906"/>
    <w:p w14:paraId="7652353B" w14:textId="77777777" w:rsidR="00166726" w:rsidRPr="00221FF0" w:rsidRDefault="00166726" w:rsidP="009E1906">
      <w:pPr>
        <w:widowControl/>
        <w:autoSpaceDE/>
        <w:autoSpaceDN/>
        <w:adjustRightInd/>
        <w:spacing w:after="160" w:line="278" w:lineRule="auto"/>
      </w:pPr>
      <w:r w:rsidRPr="00221FF0">
        <w:t>Ligebehandling af turister og tilrejsende: Alle uden fast bopæl er underlagt samme krav, hvilket skaber klarhed for udbydere og myndigheder.</w:t>
      </w:r>
    </w:p>
    <w:p w14:paraId="4AD100CF" w14:textId="77777777" w:rsidR="00166726" w:rsidRPr="00221FF0" w:rsidRDefault="00166726" w:rsidP="009E1906">
      <w:pPr>
        <w:widowControl/>
        <w:autoSpaceDE/>
        <w:autoSpaceDN/>
        <w:adjustRightInd/>
        <w:spacing w:after="160" w:line="278" w:lineRule="auto"/>
      </w:pPr>
      <w:r w:rsidRPr="00221FF0">
        <w:t>Effektiv beredskabsplanlægning: Registrering og forsikringskrav giver myndighederne mulighed for at reagere hurtigt og målrettet ved ulykker eller eftersøgninger.</w:t>
      </w:r>
    </w:p>
    <w:p w14:paraId="4F18E016" w14:textId="77777777" w:rsidR="00166726" w:rsidRPr="00221FF0" w:rsidRDefault="00166726" w:rsidP="009E1906">
      <w:pPr>
        <w:widowControl/>
        <w:autoSpaceDE/>
        <w:autoSpaceDN/>
        <w:adjustRightInd/>
        <w:spacing w:after="160" w:line="278" w:lineRule="auto"/>
      </w:pPr>
      <w:r w:rsidRPr="00221FF0">
        <w:t>Forenkling for lokale borgere: Personer med fast bopæl i landet er fritaget, da de allerede er dækket af eksisterende ordninger.</w:t>
      </w:r>
    </w:p>
    <w:p w14:paraId="0859927F" w14:textId="77777777" w:rsidR="00166726" w:rsidRPr="00221FF0" w:rsidRDefault="00166726" w:rsidP="009E1906">
      <w:pPr>
        <w:widowControl/>
        <w:autoSpaceDE/>
        <w:autoSpaceDN/>
        <w:adjustRightInd/>
      </w:pPr>
    </w:p>
    <w:p w14:paraId="6F55D831" w14:textId="77777777" w:rsidR="00166726" w:rsidRPr="00221FF0" w:rsidRDefault="00166726" w:rsidP="009E1906">
      <w:pPr>
        <w:widowControl/>
        <w:autoSpaceDE/>
        <w:autoSpaceDN/>
        <w:adjustRightInd/>
        <w:jc w:val="center"/>
      </w:pPr>
      <w:r w:rsidRPr="00221FF0">
        <w:t>Til § 2</w:t>
      </w:r>
    </w:p>
    <w:p w14:paraId="4B53C9A2" w14:textId="77777777" w:rsidR="00166726" w:rsidRPr="00221FF0" w:rsidRDefault="00166726" w:rsidP="00F678E3">
      <w:pPr>
        <w:widowControl/>
        <w:autoSpaceDE/>
        <w:autoSpaceDN/>
        <w:adjustRightInd/>
        <w:spacing w:line="24" w:lineRule="atLeast"/>
        <w:jc w:val="center"/>
      </w:pPr>
    </w:p>
    <w:p w14:paraId="686B332D" w14:textId="2E284839" w:rsidR="00166726" w:rsidRPr="00221FF0" w:rsidRDefault="00166726" w:rsidP="00F678E3">
      <w:pPr>
        <w:widowControl/>
        <w:autoSpaceDE/>
        <w:autoSpaceDN/>
        <w:adjustRightInd/>
        <w:spacing w:line="24" w:lineRule="atLeast"/>
      </w:pPr>
      <w:r w:rsidRPr="00221FF0">
        <w:t xml:space="preserve">Bestemmelsen har til formål at sikre en smidig og forudsigelig overgang fra den hidtidige ordning til de nye regler. Bestemmelsen fastsætter dels tidspunktet for lovens ikrafttræden, dels hvordan allerede </w:t>
      </w:r>
      <w:r w:rsidR="00317DEE" w:rsidRPr="00221FF0">
        <w:t xml:space="preserve">udstedte </w:t>
      </w:r>
      <w:r w:rsidRPr="00221FF0">
        <w:t>dispensationer i medfør af § 11 skal behandles.</w:t>
      </w:r>
    </w:p>
    <w:p w14:paraId="739731B1" w14:textId="77777777" w:rsidR="00166726" w:rsidRPr="00221FF0" w:rsidRDefault="00166726" w:rsidP="00F678E3">
      <w:pPr>
        <w:widowControl/>
        <w:autoSpaceDE/>
        <w:autoSpaceDN/>
        <w:adjustRightInd/>
        <w:spacing w:line="24" w:lineRule="atLeast"/>
      </w:pPr>
    </w:p>
    <w:p w14:paraId="0A5A462B" w14:textId="5A6780D2" w:rsidR="00166726" w:rsidRPr="00221FF0" w:rsidRDefault="00166726" w:rsidP="00F678E3">
      <w:pPr>
        <w:widowControl/>
        <w:autoSpaceDE/>
        <w:autoSpaceDN/>
        <w:adjustRightInd/>
        <w:spacing w:line="24" w:lineRule="atLeast"/>
      </w:pPr>
      <w:r w:rsidRPr="00221FF0">
        <w:t>Med bestemmelsen skabes der klarhed for virksomheder, som inden ændringslovens ikrafttræden har opnået dispensation efter § 11. Disse dispensationer forlænges automatisk til en 5-årig gyldighedsperiode, hvilket mindsker behovet for gentagne ansøgninger og sikrer kontinuitet i virksomhedernes planlægning. Samtidig fastholdes de vilkår, der måtte være fastsat i den enkelte afgørelse, således at forlængelsen ikke ændrer på de konkrete betingelser.</w:t>
      </w:r>
    </w:p>
    <w:p w14:paraId="4442A4A1" w14:textId="77777777" w:rsidR="00166726" w:rsidRPr="00221FF0" w:rsidRDefault="00166726" w:rsidP="00F678E3">
      <w:pPr>
        <w:widowControl/>
        <w:autoSpaceDE/>
        <w:autoSpaceDN/>
        <w:adjustRightInd/>
        <w:spacing w:line="24" w:lineRule="atLeast"/>
      </w:pPr>
    </w:p>
    <w:p w14:paraId="4BB2997E" w14:textId="77777777" w:rsidR="00166726" w:rsidRPr="00221FF0" w:rsidRDefault="00166726" w:rsidP="00F678E3">
      <w:pPr>
        <w:widowControl/>
        <w:autoSpaceDE/>
        <w:autoSpaceDN/>
        <w:adjustRightInd/>
        <w:spacing w:line="24" w:lineRule="atLeast"/>
      </w:pPr>
      <w:r w:rsidRPr="00221FF0">
        <w:t xml:space="preserve">Bestemmelsen indeholder endvidere en sikkerhedsventil, idet Naalakkersuisut kan beslutte, at en dispensation ikke forlænges, hvis der foreligger væsentlige ændringer i virksomhedens </w:t>
      </w:r>
      <w:r w:rsidRPr="00221FF0">
        <w:lastRenderedPageBreak/>
        <w:t>forhold eller ved væsentlige overtrædelser af vilkår. Dermed sikres, at forlængelsen kun kommer virksomheder til gode, som fortsat opfylder de forudsætninger, der lå til grund for dispensationen.</w:t>
      </w:r>
    </w:p>
    <w:p w14:paraId="1DB74AEC" w14:textId="77777777" w:rsidR="00166726" w:rsidRPr="00221FF0" w:rsidRDefault="00166726" w:rsidP="009E1906">
      <w:pPr>
        <w:widowControl/>
        <w:autoSpaceDE/>
        <w:autoSpaceDN/>
        <w:adjustRightInd/>
        <w:spacing w:line="240" w:lineRule="auto"/>
      </w:pPr>
    </w:p>
    <w:bookmarkEnd w:id="5"/>
    <w:p w14:paraId="1BC1F28A" w14:textId="4FC5CCC5" w:rsidR="00166726" w:rsidRPr="00221FF0" w:rsidRDefault="00166726" w:rsidP="009E1906">
      <w:pPr>
        <w:widowControl/>
        <w:autoSpaceDE/>
        <w:autoSpaceDN/>
        <w:adjustRightInd/>
        <w:spacing w:line="240" w:lineRule="auto"/>
        <w:rPr>
          <w:b/>
          <w:bCs/>
        </w:rPr>
      </w:pPr>
      <w:r w:rsidRPr="00221FF0">
        <w:rPr>
          <w:b/>
          <w:bCs/>
        </w:rPr>
        <w:br w:type="page"/>
      </w:r>
    </w:p>
    <w:tbl>
      <w:tblPr>
        <w:tblStyle w:val="Tabel-Gitter"/>
        <w:tblW w:w="0" w:type="auto"/>
        <w:tblLook w:val="04A0" w:firstRow="1" w:lastRow="0" w:firstColumn="1" w:lastColumn="0" w:noHBand="0" w:noVBand="1"/>
      </w:tblPr>
      <w:tblGrid>
        <w:gridCol w:w="4530"/>
        <w:gridCol w:w="4530"/>
      </w:tblGrid>
      <w:tr w:rsidR="00166726" w:rsidRPr="00221FF0" w14:paraId="747BA741" w14:textId="77777777" w:rsidTr="009443BA">
        <w:tc>
          <w:tcPr>
            <w:tcW w:w="9060" w:type="dxa"/>
            <w:gridSpan w:val="2"/>
          </w:tcPr>
          <w:p w14:paraId="7A825173" w14:textId="77777777" w:rsidR="00166726" w:rsidRPr="00221FF0" w:rsidRDefault="00166726" w:rsidP="009E1906">
            <w:pPr>
              <w:widowControl/>
              <w:autoSpaceDE/>
              <w:autoSpaceDN/>
              <w:adjustRightInd/>
              <w:jc w:val="center"/>
              <w:rPr>
                <w:b/>
                <w:bCs/>
                <w:sz w:val="24"/>
                <w:szCs w:val="24"/>
              </w:rPr>
            </w:pPr>
            <w:r w:rsidRPr="00221FF0">
              <w:rPr>
                <w:b/>
                <w:bCs/>
                <w:sz w:val="24"/>
                <w:szCs w:val="24"/>
              </w:rPr>
              <w:lastRenderedPageBreak/>
              <w:t>Forslaget sammenholdt med gældende lov</w:t>
            </w:r>
          </w:p>
        </w:tc>
      </w:tr>
      <w:tr w:rsidR="00166726" w:rsidRPr="00221FF0" w14:paraId="77A44BB5" w14:textId="77777777" w:rsidTr="009443BA">
        <w:tc>
          <w:tcPr>
            <w:tcW w:w="4530" w:type="dxa"/>
          </w:tcPr>
          <w:p w14:paraId="46CC59D4" w14:textId="77777777" w:rsidR="00166726" w:rsidRPr="00221FF0" w:rsidRDefault="00166726" w:rsidP="009E1906">
            <w:pPr>
              <w:widowControl/>
              <w:autoSpaceDE/>
              <w:autoSpaceDN/>
              <w:adjustRightInd/>
              <w:jc w:val="center"/>
              <w:rPr>
                <w:i/>
                <w:iCs/>
                <w:sz w:val="24"/>
                <w:szCs w:val="24"/>
              </w:rPr>
            </w:pPr>
            <w:r w:rsidRPr="00221FF0">
              <w:rPr>
                <w:i/>
                <w:iCs/>
                <w:sz w:val="24"/>
                <w:szCs w:val="24"/>
              </w:rPr>
              <w:t>Gældende formulering</w:t>
            </w:r>
          </w:p>
        </w:tc>
        <w:tc>
          <w:tcPr>
            <w:tcW w:w="4530" w:type="dxa"/>
          </w:tcPr>
          <w:p w14:paraId="289F058A" w14:textId="77777777" w:rsidR="00166726" w:rsidRPr="00221FF0" w:rsidRDefault="00166726" w:rsidP="009E1906">
            <w:pPr>
              <w:widowControl/>
              <w:autoSpaceDE/>
              <w:autoSpaceDN/>
              <w:adjustRightInd/>
              <w:jc w:val="center"/>
              <w:rPr>
                <w:i/>
                <w:iCs/>
                <w:sz w:val="24"/>
                <w:szCs w:val="24"/>
              </w:rPr>
            </w:pPr>
            <w:r w:rsidRPr="00221FF0">
              <w:rPr>
                <w:i/>
                <w:iCs/>
                <w:sz w:val="24"/>
                <w:szCs w:val="24"/>
              </w:rPr>
              <w:t>Forslaget</w:t>
            </w:r>
          </w:p>
        </w:tc>
      </w:tr>
      <w:tr w:rsidR="00166726" w:rsidRPr="00221FF0" w14:paraId="791B54CB" w14:textId="77777777" w:rsidTr="009443BA">
        <w:tc>
          <w:tcPr>
            <w:tcW w:w="4530" w:type="dxa"/>
          </w:tcPr>
          <w:p w14:paraId="74F95104" w14:textId="77777777" w:rsidR="00166726" w:rsidRPr="00221FF0" w:rsidRDefault="00166726" w:rsidP="009E1906">
            <w:pPr>
              <w:widowControl/>
              <w:autoSpaceDE/>
              <w:autoSpaceDN/>
              <w:adjustRightInd/>
              <w:rPr>
                <w:sz w:val="24"/>
                <w:szCs w:val="24"/>
              </w:rPr>
            </w:pPr>
          </w:p>
        </w:tc>
        <w:tc>
          <w:tcPr>
            <w:tcW w:w="4530" w:type="dxa"/>
          </w:tcPr>
          <w:p w14:paraId="1BA606CF" w14:textId="77777777" w:rsidR="00166726" w:rsidRPr="00221FF0" w:rsidRDefault="00166726" w:rsidP="009E1906">
            <w:pPr>
              <w:widowControl/>
              <w:autoSpaceDE/>
              <w:autoSpaceDN/>
              <w:adjustRightInd/>
              <w:jc w:val="center"/>
              <w:rPr>
                <w:b/>
                <w:bCs/>
                <w:sz w:val="24"/>
                <w:szCs w:val="24"/>
              </w:rPr>
            </w:pPr>
            <w:r w:rsidRPr="00221FF0">
              <w:rPr>
                <w:b/>
                <w:bCs/>
                <w:sz w:val="24"/>
                <w:szCs w:val="24"/>
              </w:rPr>
              <w:t>§ 1</w:t>
            </w:r>
          </w:p>
          <w:p w14:paraId="4B5FEC85" w14:textId="77777777" w:rsidR="00166726" w:rsidRPr="00221FF0" w:rsidRDefault="00166726" w:rsidP="009E1906">
            <w:pPr>
              <w:widowControl/>
              <w:autoSpaceDE/>
              <w:autoSpaceDN/>
              <w:adjustRightInd/>
              <w:jc w:val="center"/>
              <w:rPr>
                <w:b/>
                <w:bCs/>
                <w:sz w:val="24"/>
                <w:szCs w:val="24"/>
              </w:rPr>
            </w:pPr>
          </w:p>
          <w:p w14:paraId="3A01826F" w14:textId="77777777" w:rsidR="00166726" w:rsidRPr="00221FF0" w:rsidRDefault="00166726" w:rsidP="009E1906">
            <w:pPr>
              <w:widowControl/>
              <w:numPr>
                <w:ilvl w:val="2"/>
                <w:numId w:val="0"/>
              </w:numPr>
              <w:tabs>
                <w:tab w:val="num" w:pos="0"/>
              </w:tabs>
              <w:autoSpaceDE/>
              <w:autoSpaceDN/>
              <w:adjustRightInd/>
              <w:rPr>
                <w:sz w:val="24"/>
                <w:szCs w:val="24"/>
              </w:rPr>
            </w:pPr>
            <w:r w:rsidRPr="00221FF0">
              <w:rPr>
                <w:sz w:val="24"/>
                <w:szCs w:val="24"/>
              </w:rPr>
              <w:t>I Inatsisartutlov nr. 62 af 25. november 2024 om turistvirksomhed og om zoneinddeling m.v. for erhvervsmæssig virksomhed, foretages følgende ændringer:</w:t>
            </w:r>
          </w:p>
          <w:p w14:paraId="66F5A72D" w14:textId="77777777" w:rsidR="00166726" w:rsidRPr="00221FF0" w:rsidRDefault="00166726" w:rsidP="009E1906">
            <w:pPr>
              <w:widowControl/>
              <w:autoSpaceDE/>
              <w:autoSpaceDN/>
              <w:adjustRightInd/>
              <w:rPr>
                <w:sz w:val="24"/>
                <w:szCs w:val="24"/>
              </w:rPr>
            </w:pPr>
          </w:p>
        </w:tc>
      </w:tr>
      <w:tr w:rsidR="00166726" w:rsidRPr="00221FF0" w14:paraId="50B0D3C0" w14:textId="77777777" w:rsidTr="009443BA">
        <w:tc>
          <w:tcPr>
            <w:tcW w:w="4530" w:type="dxa"/>
          </w:tcPr>
          <w:p w14:paraId="2890DBB8" w14:textId="77777777" w:rsidR="00166726" w:rsidRPr="00221FF0" w:rsidRDefault="00166726" w:rsidP="009E1906">
            <w:pPr>
              <w:widowControl/>
              <w:autoSpaceDE/>
              <w:autoSpaceDN/>
              <w:adjustRightInd/>
              <w:rPr>
                <w:b/>
                <w:bCs/>
                <w:sz w:val="24"/>
                <w:szCs w:val="24"/>
              </w:rPr>
            </w:pPr>
          </w:p>
          <w:p w14:paraId="5849F1F1" w14:textId="77777777" w:rsidR="00166726" w:rsidRPr="00221FF0" w:rsidRDefault="00166726" w:rsidP="009E1906">
            <w:pPr>
              <w:widowControl/>
              <w:autoSpaceDE/>
              <w:autoSpaceDN/>
              <w:adjustRightInd/>
              <w:rPr>
                <w:sz w:val="24"/>
                <w:szCs w:val="24"/>
              </w:rPr>
            </w:pPr>
            <w:r w:rsidRPr="00221FF0">
              <w:rPr>
                <w:b/>
                <w:bCs/>
                <w:sz w:val="24"/>
                <w:szCs w:val="24"/>
              </w:rPr>
              <w:t>Inatsisartutlov om turistvirksomhed og om zoneinddeling m.v. for erhvervsmæssig virksomhed</w:t>
            </w:r>
          </w:p>
        </w:tc>
        <w:tc>
          <w:tcPr>
            <w:tcW w:w="4530" w:type="dxa"/>
          </w:tcPr>
          <w:p w14:paraId="27D38B0F" w14:textId="77777777" w:rsidR="00166726" w:rsidRPr="00221FF0" w:rsidRDefault="00166726" w:rsidP="009E1906">
            <w:pPr>
              <w:widowControl/>
              <w:rPr>
                <w:b/>
                <w:i/>
                <w:iCs/>
                <w:sz w:val="24"/>
                <w:szCs w:val="24"/>
              </w:rPr>
            </w:pPr>
            <w:r w:rsidRPr="00221FF0">
              <w:rPr>
                <w:bCs/>
                <w:sz w:val="24"/>
                <w:szCs w:val="24"/>
              </w:rPr>
              <w:t>1</w:t>
            </w:r>
            <w:r w:rsidRPr="00221FF0">
              <w:rPr>
                <w:b/>
                <w:bCs/>
                <w:sz w:val="24"/>
                <w:szCs w:val="24"/>
              </w:rPr>
              <w:t xml:space="preserve">. </w:t>
            </w:r>
            <w:r w:rsidRPr="00221FF0">
              <w:rPr>
                <w:bCs/>
                <w:sz w:val="24"/>
                <w:szCs w:val="24"/>
              </w:rPr>
              <w:t>Forslagets titel affattes således:</w:t>
            </w:r>
            <w:r w:rsidRPr="00221FF0">
              <w:rPr>
                <w:b/>
                <w:sz w:val="24"/>
                <w:szCs w:val="24"/>
              </w:rPr>
              <w:t xml:space="preserve"> </w:t>
            </w:r>
          </w:p>
          <w:p w14:paraId="798A967D" w14:textId="77777777" w:rsidR="00166726" w:rsidRPr="00221FF0" w:rsidRDefault="00166726" w:rsidP="009E1906">
            <w:pPr>
              <w:rPr>
                <w:sz w:val="24"/>
                <w:szCs w:val="24"/>
              </w:rPr>
            </w:pPr>
            <w:r w:rsidRPr="00221FF0">
              <w:rPr>
                <w:sz w:val="24"/>
                <w:szCs w:val="24"/>
              </w:rPr>
              <w:t>”Inatsisartutlov om turisme og om zoneinddeling”</w:t>
            </w:r>
          </w:p>
          <w:p w14:paraId="54BC23A8" w14:textId="77777777" w:rsidR="00166726" w:rsidRPr="00221FF0" w:rsidRDefault="00166726" w:rsidP="009E1906">
            <w:pPr>
              <w:pStyle w:val="Overskrift2"/>
              <w:keepNext w:val="0"/>
              <w:keepLines w:val="0"/>
              <w:rPr>
                <w:sz w:val="24"/>
                <w:szCs w:val="24"/>
              </w:rPr>
            </w:pPr>
          </w:p>
        </w:tc>
      </w:tr>
      <w:tr w:rsidR="009443BA" w:rsidRPr="00221FF0" w14:paraId="6C484201" w14:textId="77777777" w:rsidTr="009443BA">
        <w:tc>
          <w:tcPr>
            <w:tcW w:w="4530" w:type="dxa"/>
          </w:tcPr>
          <w:p w14:paraId="3D7620D3" w14:textId="77777777" w:rsidR="009443BA" w:rsidRPr="00221FF0" w:rsidRDefault="009443BA" w:rsidP="009E1906">
            <w:pPr>
              <w:widowControl/>
              <w:autoSpaceDE/>
              <w:autoSpaceDN/>
              <w:adjustRightInd/>
              <w:rPr>
                <w:b/>
                <w:bCs/>
              </w:rPr>
            </w:pPr>
          </w:p>
        </w:tc>
        <w:tc>
          <w:tcPr>
            <w:tcW w:w="4530" w:type="dxa"/>
          </w:tcPr>
          <w:p w14:paraId="77D61DF5" w14:textId="77777777" w:rsidR="009443BA" w:rsidRPr="00221FF0" w:rsidRDefault="009443BA" w:rsidP="009E1906">
            <w:pPr>
              <w:rPr>
                <w:b/>
              </w:rPr>
            </w:pPr>
          </w:p>
        </w:tc>
      </w:tr>
      <w:tr w:rsidR="00166726" w:rsidRPr="00221FF0" w14:paraId="09F114B1" w14:textId="77777777" w:rsidTr="009443BA">
        <w:tc>
          <w:tcPr>
            <w:tcW w:w="4530" w:type="dxa"/>
          </w:tcPr>
          <w:p w14:paraId="2AB83FEC" w14:textId="77777777" w:rsidR="00166726" w:rsidRPr="00221FF0" w:rsidRDefault="00166726" w:rsidP="009E1906">
            <w:pPr>
              <w:widowControl/>
              <w:autoSpaceDE/>
              <w:autoSpaceDN/>
              <w:adjustRightInd/>
              <w:rPr>
                <w:b/>
                <w:bCs/>
                <w:sz w:val="24"/>
                <w:szCs w:val="24"/>
              </w:rPr>
            </w:pPr>
          </w:p>
          <w:p w14:paraId="79790C09" w14:textId="77777777" w:rsidR="00166726" w:rsidRPr="00221FF0" w:rsidRDefault="00166726" w:rsidP="009E1906">
            <w:pPr>
              <w:widowControl/>
              <w:autoSpaceDE/>
              <w:autoSpaceDN/>
              <w:adjustRightInd/>
              <w:rPr>
                <w:b/>
                <w:bCs/>
                <w:sz w:val="24"/>
                <w:szCs w:val="24"/>
              </w:rPr>
            </w:pPr>
          </w:p>
          <w:p w14:paraId="33CFA42A" w14:textId="77777777" w:rsidR="00166726" w:rsidRPr="00221FF0" w:rsidRDefault="00166726" w:rsidP="009E1906">
            <w:pPr>
              <w:rPr>
                <w:sz w:val="24"/>
                <w:szCs w:val="24"/>
              </w:rPr>
            </w:pPr>
            <w:bookmarkStart w:id="6" w:name="_Hlk213599005"/>
            <w:r w:rsidRPr="00221FF0">
              <w:rPr>
                <w:b/>
                <w:bCs/>
                <w:sz w:val="24"/>
                <w:szCs w:val="24"/>
              </w:rPr>
              <w:t>  § 1.  </w:t>
            </w:r>
            <w:r w:rsidRPr="00221FF0">
              <w:rPr>
                <w:sz w:val="24"/>
                <w:szCs w:val="24"/>
              </w:rPr>
              <w:t>Inatsisartutloven finder anvendelse på turistvirksomhed.</w:t>
            </w:r>
          </w:p>
          <w:p w14:paraId="3FD9B281" w14:textId="77777777" w:rsidR="00166726" w:rsidRPr="00221FF0" w:rsidRDefault="00166726" w:rsidP="009E1906">
            <w:pPr>
              <w:rPr>
                <w:sz w:val="24"/>
                <w:szCs w:val="24"/>
              </w:rPr>
            </w:pPr>
            <w:bookmarkStart w:id="7" w:name="_Hlk213598426"/>
            <w:r w:rsidRPr="00221FF0">
              <w:rPr>
                <w:i/>
                <w:iCs/>
                <w:sz w:val="24"/>
                <w:szCs w:val="24"/>
              </w:rPr>
              <w:t>  Stk. 2.  </w:t>
            </w:r>
            <w:r w:rsidRPr="00221FF0">
              <w:rPr>
                <w:sz w:val="24"/>
                <w:szCs w:val="24"/>
              </w:rPr>
              <w:t>Inatsisartutloven finder endvidere anvendelse på erhvervsmæssig virksomhed.</w:t>
            </w:r>
          </w:p>
          <w:bookmarkEnd w:id="7"/>
          <w:p w14:paraId="1DA1D123" w14:textId="77777777" w:rsidR="00166726" w:rsidRPr="00221FF0" w:rsidRDefault="00166726" w:rsidP="009E1906">
            <w:pPr>
              <w:rPr>
                <w:sz w:val="24"/>
                <w:szCs w:val="24"/>
              </w:rPr>
            </w:pPr>
            <w:r w:rsidRPr="00221FF0">
              <w:rPr>
                <w:i/>
                <w:iCs/>
                <w:sz w:val="24"/>
                <w:szCs w:val="24"/>
              </w:rPr>
              <w:t>  Stk. 3</w:t>
            </w:r>
            <w:bookmarkStart w:id="8" w:name="_Hlk213597021"/>
            <w:r w:rsidRPr="00221FF0">
              <w:rPr>
                <w:i/>
                <w:iCs/>
                <w:sz w:val="24"/>
                <w:szCs w:val="24"/>
              </w:rPr>
              <w:t>. </w:t>
            </w:r>
            <w:r w:rsidRPr="00221FF0">
              <w:rPr>
                <w:sz w:val="24"/>
                <w:szCs w:val="24"/>
              </w:rPr>
              <w:t>Inatsisartutloven finder ikke anvendelse på aktiviteter omfattet af koncessioner i medfør af inatsisartutlov om koncession til turistvirksomhed i udvalgte områder.</w:t>
            </w:r>
          </w:p>
          <w:bookmarkEnd w:id="8"/>
          <w:p w14:paraId="63E0F01F" w14:textId="77777777" w:rsidR="00166726" w:rsidRPr="00221FF0" w:rsidRDefault="00166726" w:rsidP="009E1906">
            <w:pPr>
              <w:rPr>
                <w:sz w:val="24"/>
                <w:szCs w:val="24"/>
              </w:rPr>
            </w:pPr>
            <w:r w:rsidRPr="00221FF0">
              <w:rPr>
                <w:i/>
                <w:iCs/>
                <w:sz w:val="24"/>
                <w:szCs w:val="24"/>
              </w:rPr>
              <w:t>Stk. 4.  </w:t>
            </w:r>
            <w:bookmarkStart w:id="9" w:name="_Hlk213599858"/>
            <w:r w:rsidRPr="00221FF0">
              <w:rPr>
                <w:sz w:val="24"/>
                <w:szCs w:val="24"/>
              </w:rPr>
              <w:t xml:space="preserve">Inatsisartutloven </w:t>
            </w:r>
            <w:bookmarkEnd w:id="9"/>
            <w:r w:rsidRPr="00221FF0">
              <w:rPr>
                <w:sz w:val="24"/>
                <w:szCs w:val="24"/>
              </w:rPr>
              <w:t>finder ikke anvendelse på fysiske eller juridiske personer, der udfører personbefordring til eller fra eller i Grønland, uden at der i forbindelse hermed udføres turistvirksomhed, jf. dog § 15.</w:t>
            </w:r>
          </w:p>
          <w:p w14:paraId="4768CF3F" w14:textId="77777777" w:rsidR="00166726" w:rsidRPr="00221FF0" w:rsidRDefault="00166726" w:rsidP="009E1906">
            <w:pPr>
              <w:rPr>
                <w:sz w:val="24"/>
                <w:szCs w:val="24"/>
              </w:rPr>
            </w:pPr>
            <w:r w:rsidRPr="00221FF0">
              <w:rPr>
                <w:i/>
                <w:iCs/>
                <w:sz w:val="24"/>
                <w:szCs w:val="24"/>
              </w:rPr>
              <w:t>  Stk. 5.</w:t>
            </w:r>
            <w:r w:rsidRPr="00221FF0">
              <w:rPr>
                <w:sz w:val="24"/>
                <w:szCs w:val="24"/>
              </w:rPr>
              <w:t>  </w:t>
            </w:r>
            <w:bookmarkStart w:id="10" w:name="_Hlk213599850"/>
            <w:r w:rsidRPr="00221FF0">
              <w:rPr>
                <w:sz w:val="24"/>
                <w:szCs w:val="24"/>
              </w:rPr>
              <w:t xml:space="preserve">Naalakkersuisut </w:t>
            </w:r>
            <w:bookmarkEnd w:id="10"/>
            <w:r w:rsidRPr="00221FF0">
              <w:rPr>
                <w:sz w:val="24"/>
                <w:szCs w:val="24"/>
              </w:rPr>
              <w:t>kan fastsætte nærmere bestemmelser om brancher, der er undtaget fra denne inatsisartutlov.</w:t>
            </w:r>
          </w:p>
          <w:bookmarkEnd w:id="6"/>
          <w:p w14:paraId="1AE372A4" w14:textId="77777777" w:rsidR="00166726" w:rsidRPr="00221FF0" w:rsidRDefault="00166726" w:rsidP="009E1906">
            <w:pPr>
              <w:widowControl/>
              <w:autoSpaceDE/>
              <w:autoSpaceDN/>
              <w:adjustRightInd/>
              <w:rPr>
                <w:b/>
                <w:bCs/>
                <w:sz w:val="24"/>
                <w:szCs w:val="24"/>
              </w:rPr>
            </w:pPr>
          </w:p>
        </w:tc>
        <w:tc>
          <w:tcPr>
            <w:tcW w:w="4530" w:type="dxa"/>
          </w:tcPr>
          <w:p w14:paraId="41E442E3" w14:textId="77777777" w:rsidR="000C0148" w:rsidRPr="00221FF0" w:rsidRDefault="000C0148" w:rsidP="000C0148">
            <w:pPr>
              <w:rPr>
                <w:bCs/>
                <w:sz w:val="24"/>
                <w:szCs w:val="24"/>
              </w:rPr>
            </w:pPr>
            <w:r w:rsidRPr="00221FF0">
              <w:rPr>
                <w:b/>
                <w:sz w:val="24"/>
                <w:szCs w:val="24"/>
              </w:rPr>
              <w:t xml:space="preserve">2. </w:t>
            </w:r>
            <w:r w:rsidRPr="00221FF0">
              <w:rPr>
                <w:bCs/>
                <w:sz w:val="24"/>
                <w:szCs w:val="24"/>
              </w:rPr>
              <w:t>§ 1 affattes således:</w:t>
            </w:r>
          </w:p>
          <w:p w14:paraId="7990BDC9" w14:textId="77777777" w:rsidR="00991262" w:rsidRPr="00221FF0" w:rsidRDefault="00991262" w:rsidP="000C0148">
            <w:pPr>
              <w:rPr>
                <w:bCs/>
                <w:sz w:val="24"/>
                <w:szCs w:val="24"/>
              </w:rPr>
            </w:pPr>
          </w:p>
          <w:p w14:paraId="6CE6DEF8" w14:textId="77777777" w:rsidR="000C0148" w:rsidRPr="00221FF0" w:rsidRDefault="000C0148" w:rsidP="000C0148">
            <w:pPr>
              <w:rPr>
                <w:sz w:val="24"/>
                <w:szCs w:val="24"/>
              </w:rPr>
            </w:pPr>
            <w:r w:rsidRPr="00221FF0">
              <w:rPr>
                <w:sz w:val="24"/>
                <w:szCs w:val="24"/>
              </w:rPr>
              <w:t xml:space="preserve">”  </w:t>
            </w:r>
            <w:r w:rsidRPr="00221FF0">
              <w:rPr>
                <w:b/>
                <w:bCs/>
                <w:sz w:val="24"/>
                <w:szCs w:val="24"/>
              </w:rPr>
              <w:t>§ 1.</w:t>
            </w:r>
            <w:r w:rsidRPr="00221FF0">
              <w:rPr>
                <w:sz w:val="24"/>
                <w:szCs w:val="24"/>
              </w:rPr>
              <w:t xml:space="preserve">  Inatsisartutloven </w:t>
            </w:r>
            <w:bookmarkStart w:id="11" w:name="_Hlk213741307"/>
            <w:r w:rsidRPr="00221FF0">
              <w:rPr>
                <w:sz w:val="24"/>
                <w:szCs w:val="24"/>
              </w:rPr>
              <w:t>finder anvendelse på turistvirksomhed.</w:t>
            </w:r>
          </w:p>
          <w:p w14:paraId="7004CE7F" w14:textId="77777777" w:rsidR="000C0148" w:rsidRPr="00221FF0" w:rsidRDefault="000C0148" w:rsidP="000C0148">
            <w:pPr>
              <w:rPr>
                <w:sz w:val="24"/>
                <w:szCs w:val="24"/>
              </w:rPr>
            </w:pPr>
            <w:r w:rsidRPr="00221FF0">
              <w:rPr>
                <w:i/>
                <w:iCs/>
                <w:sz w:val="24"/>
                <w:szCs w:val="24"/>
              </w:rPr>
              <w:t xml:space="preserve">  Stk. 2.</w:t>
            </w:r>
            <w:r w:rsidRPr="00221FF0">
              <w:rPr>
                <w:sz w:val="24"/>
                <w:szCs w:val="24"/>
              </w:rPr>
              <w:t xml:space="preserve">  Regler udstedt i medfør af Inatsisartutlovens kapitel 9 kan endvidere finde anvendelse på anden erhvervsmæssig virksomhed end turistvirksomhed</w:t>
            </w:r>
            <w:bookmarkStart w:id="12" w:name="_Hlk214710308"/>
            <w:r w:rsidRPr="00221FF0">
              <w:rPr>
                <w:sz w:val="24"/>
                <w:szCs w:val="24"/>
              </w:rPr>
              <w:t>.</w:t>
            </w:r>
            <w:bookmarkEnd w:id="12"/>
          </w:p>
          <w:p w14:paraId="0372C877" w14:textId="77777777" w:rsidR="000C0148" w:rsidRPr="00221FF0" w:rsidRDefault="000C0148" w:rsidP="000C0148">
            <w:pPr>
              <w:rPr>
                <w:sz w:val="24"/>
                <w:szCs w:val="24"/>
              </w:rPr>
            </w:pPr>
            <w:bookmarkStart w:id="13" w:name="_Hlk214710363"/>
            <w:r w:rsidRPr="00221FF0">
              <w:rPr>
                <w:i/>
                <w:iCs/>
                <w:sz w:val="24"/>
                <w:szCs w:val="24"/>
              </w:rPr>
              <w:t xml:space="preserve">  Stk. 3.</w:t>
            </w:r>
            <w:r w:rsidRPr="00221FF0">
              <w:rPr>
                <w:sz w:val="24"/>
                <w:szCs w:val="24"/>
              </w:rPr>
              <w:t xml:space="preserve">  Regler udstedt i medfør af Inatsisartutlovens kapitel 9 kan endvidere finde anvendelse på personer, der færdes eller tager ophold i landet uden at have fast bopæl her.</w:t>
            </w:r>
            <w:bookmarkEnd w:id="13"/>
            <w:r w:rsidRPr="00221FF0">
              <w:rPr>
                <w:sz w:val="24"/>
                <w:szCs w:val="24"/>
              </w:rPr>
              <w:t xml:space="preserve"> </w:t>
            </w:r>
          </w:p>
          <w:p w14:paraId="6581271D" w14:textId="77777777" w:rsidR="000C0148" w:rsidRPr="00221FF0" w:rsidRDefault="000C0148" w:rsidP="000C0148">
            <w:pPr>
              <w:rPr>
                <w:sz w:val="24"/>
                <w:szCs w:val="24"/>
              </w:rPr>
            </w:pPr>
            <w:r w:rsidRPr="00221FF0">
              <w:rPr>
                <w:i/>
                <w:iCs/>
                <w:sz w:val="24"/>
                <w:szCs w:val="24"/>
              </w:rPr>
              <w:t xml:space="preserve">  Stk. 4.  </w:t>
            </w:r>
            <w:r w:rsidRPr="00221FF0">
              <w:rPr>
                <w:sz w:val="24"/>
                <w:szCs w:val="24"/>
              </w:rPr>
              <w:t>Inatsisartutloven finder ikke anvendelse på aktiviteter omfattet af koncessioner i medfør af Inatsisartutlov om koncession til turistvirksomhed i udvalgte områder.</w:t>
            </w:r>
          </w:p>
          <w:p w14:paraId="26C671FB" w14:textId="77777777" w:rsidR="000C0148" w:rsidRPr="00221FF0" w:rsidRDefault="000C0148" w:rsidP="000C0148">
            <w:pPr>
              <w:rPr>
                <w:sz w:val="24"/>
                <w:szCs w:val="24"/>
              </w:rPr>
            </w:pPr>
            <w:r w:rsidRPr="00221FF0">
              <w:rPr>
                <w:i/>
                <w:iCs/>
                <w:sz w:val="24"/>
                <w:szCs w:val="24"/>
              </w:rPr>
              <w:t xml:space="preserve">  Stk. 5.</w:t>
            </w:r>
            <w:r w:rsidRPr="00221FF0">
              <w:rPr>
                <w:sz w:val="24"/>
                <w:szCs w:val="24"/>
              </w:rPr>
              <w:t xml:space="preserve">  Inatsisartutloven finder ikke anvendelse på fysiske eller juridiske personer, der alene udfører personbefordring til eller fra eller inden for Grønland, uden at der i denne forbindelse udføres turistvirksomhed, jf. dog § 15.  </w:t>
            </w:r>
          </w:p>
          <w:p w14:paraId="260F79FC" w14:textId="77777777" w:rsidR="000C0148" w:rsidRPr="00221FF0" w:rsidRDefault="000C0148" w:rsidP="000C0148">
            <w:pPr>
              <w:rPr>
                <w:sz w:val="24"/>
                <w:szCs w:val="24"/>
              </w:rPr>
            </w:pPr>
            <w:r w:rsidRPr="00221FF0">
              <w:rPr>
                <w:i/>
                <w:iCs/>
                <w:sz w:val="24"/>
                <w:szCs w:val="24"/>
              </w:rPr>
              <w:t xml:space="preserve">  Stk. 6.</w:t>
            </w:r>
            <w:r w:rsidRPr="00221FF0">
              <w:rPr>
                <w:sz w:val="24"/>
                <w:szCs w:val="24"/>
              </w:rPr>
              <w:t xml:space="preserve">  Naalakkersuisut kan fastsætte nærmere bestemmelser om brancher, der er </w:t>
            </w:r>
            <w:r w:rsidRPr="00221FF0">
              <w:rPr>
                <w:sz w:val="24"/>
                <w:szCs w:val="24"/>
              </w:rPr>
              <w:lastRenderedPageBreak/>
              <w:t>undtaget fra denne Inatsisartutlov.”</w:t>
            </w:r>
          </w:p>
          <w:bookmarkEnd w:id="11"/>
          <w:p w14:paraId="5E1C979C" w14:textId="77777777" w:rsidR="00166726" w:rsidRPr="00221FF0" w:rsidRDefault="00166726" w:rsidP="009E1906">
            <w:pPr>
              <w:widowControl/>
              <w:rPr>
                <w:bCs/>
                <w:sz w:val="24"/>
                <w:szCs w:val="24"/>
              </w:rPr>
            </w:pPr>
          </w:p>
        </w:tc>
      </w:tr>
      <w:tr w:rsidR="00166726" w:rsidRPr="00221FF0" w14:paraId="5EA1ECE0" w14:textId="77777777" w:rsidTr="009443BA">
        <w:tc>
          <w:tcPr>
            <w:tcW w:w="4530" w:type="dxa"/>
          </w:tcPr>
          <w:p w14:paraId="00B375B0" w14:textId="77777777" w:rsidR="00166726" w:rsidRPr="00221FF0" w:rsidRDefault="00166726" w:rsidP="009E1906">
            <w:pPr>
              <w:rPr>
                <w:b/>
                <w:bCs/>
                <w:sz w:val="24"/>
                <w:szCs w:val="24"/>
              </w:rPr>
            </w:pPr>
            <w:r w:rsidRPr="00221FF0">
              <w:rPr>
                <w:b/>
                <w:bCs/>
                <w:sz w:val="24"/>
                <w:szCs w:val="24"/>
              </w:rPr>
              <w:lastRenderedPageBreak/>
              <w:t xml:space="preserve">  </w:t>
            </w:r>
          </w:p>
          <w:p w14:paraId="7FB69AEE" w14:textId="77777777" w:rsidR="00166726" w:rsidRPr="00221FF0" w:rsidRDefault="00166726" w:rsidP="009E1906">
            <w:pPr>
              <w:rPr>
                <w:b/>
                <w:bCs/>
                <w:sz w:val="24"/>
                <w:szCs w:val="24"/>
              </w:rPr>
            </w:pPr>
          </w:p>
          <w:p w14:paraId="1B628CEF" w14:textId="77777777" w:rsidR="00166726" w:rsidRPr="00221FF0" w:rsidRDefault="00166726" w:rsidP="009E1906">
            <w:pPr>
              <w:rPr>
                <w:sz w:val="24"/>
                <w:szCs w:val="24"/>
              </w:rPr>
            </w:pPr>
            <w:r w:rsidRPr="00221FF0">
              <w:rPr>
                <w:b/>
                <w:bCs/>
                <w:sz w:val="24"/>
                <w:szCs w:val="24"/>
              </w:rPr>
              <w:t>§ 2. </w:t>
            </w:r>
            <w:r w:rsidRPr="00221FF0">
              <w:rPr>
                <w:sz w:val="24"/>
                <w:szCs w:val="24"/>
              </w:rPr>
              <w:t>Ved turistvirksomhed forstås i denne inatsisartutlov den økonomiske aktivitet og drift, der har til formål at tilbyde tjenesteydelser i form af oplevelser i Grønland fortrinsvist til turister, og som udbydes som:</w:t>
            </w:r>
          </w:p>
          <w:p w14:paraId="2EC55E34" w14:textId="77777777" w:rsidR="00166726" w:rsidRPr="00221FF0" w:rsidRDefault="00166726" w:rsidP="009E1906">
            <w:pPr>
              <w:rPr>
                <w:sz w:val="24"/>
                <w:szCs w:val="24"/>
              </w:rPr>
            </w:pPr>
            <w:r w:rsidRPr="00221FF0">
              <w:rPr>
                <w:sz w:val="24"/>
                <w:szCs w:val="24"/>
              </w:rPr>
              <w:t>1)  dagsture uden overnatning, og</w:t>
            </w:r>
          </w:p>
          <w:p w14:paraId="64BBBF44" w14:textId="77777777" w:rsidR="00166726" w:rsidRPr="00221FF0" w:rsidRDefault="00166726" w:rsidP="009E1906">
            <w:pPr>
              <w:rPr>
                <w:sz w:val="24"/>
                <w:szCs w:val="24"/>
              </w:rPr>
            </w:pPr>
            <w:r w:rsidRPr="00221FF0">
              <w:rPr>
                <w:sz w:val="24"/>
                <w:szCs w:val="24"/>
              </w:rPr>
              <w:t>2)  ture af flere dages varighed.</w:t>
            </w:r>
          </w:p>
          <w:p w14:paraId="11A56D65" w14:textId="77777777" w:rsidR="00166726" w:rsidRPr="00221FF0" w:rsidRDefault="00166726" w:rsidP="009E1906">
            <w:pPr>
              <w:widowControl/>
              <w:autoSpaceDE/>
              <w:autoSpaceDN/>
              <w:adjustRightInd/>
              <w:rPr>
                <w:sz w:val="24"/>
                <w:szCs w:val="24"/>
              </w:rPr>
            </w:pPr>
          </w:p>
        </w:tc>
        <w:tc>
          <w:tcPr>
            <w:tcW w:w="4530" w:type="dxa"/>
          </w:tcPr>
          <w:p w14:paraId="37E9BBA6" w14:textId="77777777" w:rsidR="00153F97" w:rsidRPr="00221FF0" w:rsidRDefault="00153F97" w:rsidP="00153F97">
            <w:pPr>
              <w:rPr>
                <w:bCs/>
                <w:sz w:val="24"/>
                <w:szCs w:val="24"/>
              </w:rPr>
            </w:pPr>
            <w:r w:rsidRPr="00221FF0">
              <w:rPr>
                <w:b/>
                <w:sz w:val="24"/>
                <w:szCs w:val="24"/>
              </w:rPr>
              <w:t>3.</w:t>
            </w:r>
            <w:r w:rsidRPr="00221FF0">
              <w:rPr>
                <w:bCs/>
                <w:sz w:val="24"/>
                <w:szCs w:val="24"/>
              </w:rPr>
              <w:t xml:space="preserve"> § 2, stk. 1, affattes således:</w:t>
            </w:r>
          </w:p>
          <w:p w14:paraId="3F3DBE4B" w14:textId="77777777" w:rsidR="00153F97" w:rsidRPr="00221FF0" w:rsidRDefault="00153F97" w:rsidP="00153F97">
            <w:pPr>
              <w:rPr>
                <w:bCs/>
                <w:sz w:val="24"/>
                <w:szCs w:val="24"/>
              </w:rPr>
            </w:pPr>
          </w:p>
          <w:p w14:paraId="0913FB72" w14:textId="49DD0410" w:rsidR="00166726" w:rsidRPr="00221FF0" w:rsidRDefault="00153F97" w:rsidP="009E1906">
            <w:pPr>
              <w:rPr>
                <w:b/>
                <w:bCs/>
                <w:sz w:val="24"/>
                <w:szCs w:val="24"/>
              </w:rPr>
            </w:pPr>
            <w:r w:rsidRPr="00221FF0">
              <w:rPr>
                <w:bCs/>
                <w:sz w:val="24"/>
                <w:szCs w:val="24"/>
              </w:rPr>
              <w:t xml:space="preserve">” </w:t>
            </w:r>
            <w:r w:rsidRPr="00221FF0">
              <w:rPr>
                <w:b/>
                <w:sz w:val="24"/>
                <w:szCs w:val="24"/>
              </w:rPr>
              <w:t xml:space="preserve"> § 2.</w:t>
            </w:r>
            <w:r w:rsidRPr="00221FF0">
              <w:rPr>
                <w:bCs/>
                <w:sz w:val="24"/>
                <w:szCs w:val="24"/>
              </w:rPr>
              <w:t xml:space="preserve">  </w:t>
            </w:r>
            <w:r w:rsidRPr="00221FF0">
              <w:rPr>
                <w:sz w:val="24"/>
                <w:szCs w:val="24"/>
              </w:rPr>
              <w:t>Ved turistvirksomhed forstås i denne Inatsisartutlov den økonomiske aktivitet og drift, der har til formål at tilbyde tjenesteydelser i form af oplevelser i Grønland fortrinsvist til turister.”</w:t>
            </w:r>
          </w:p>
        </w:tc>
      </w:tr>
      <w:tr w:rsidR="00166726" w:rsidRPr="00221FF0" w14:paraId="4CF9551E" w14:textId="77777777" w:rsidTr="009443BA">
        <w:tc>
          <w:tcPr>
            <w:tcW w:w="4530" w:type="dxa"/>
          </w:tcPr>
          <w:p w14:paraId="05092A84" w14:textId="77777777" w:rsidR="00166726" w:rsidRPr="00221FF0" w:rsidRDefault="00166726" w:rsidP="009E1906">
            <w:pPr>
              <w:rPr>
                <w:i/>
                <w:iCs/>
                <w:sz w:val="24"/>
                <w:szCs w:val="24"/>
              </w:rPr>
            </w:pPr>
          </w:p>
          <w:p w14:paraId="4BB0B4F6" w14:textId="77777777" w:rsidR="00166726" w:rsidRPr="00221FF0" w:rsidRDefault="00166726" w:rsidP="009E1906">
            <w:pPr>
              <w:rPr>
                <w:i/>
                <w:iCs/>
                <w:sz w:val="24"/>
                <w:szCs w:val="24"/>
              </w:rPr>
            </w:pPr>
          </w:p>
          <w:p w14:paraId="551B253F" w14:textId="77777777" w:rsidR="00166726" w:rsidRPr="00221FF0" w:rsidRDefault="00166726" w:rsidP="009E1906">
            <w:pPr>
              <w:rPr>
                <w:sz w:val="24"/>
                <w:szCs w:val="24"/>
              </w:rPr>
            </w:pPr>
            <w:r w:rsidRPr="00221FF0">
              <w:rPr>
                <w:i/>
                <w:iCs/>
                <w:sz w:val="24"/>
                <w:szCs w:val="24"/>
              </w:rPr>
              <w:t>Stk. 2.  </w:t>
            </w:r>
            <w:r w:rsidRPr="00221FF0">
              <w:rPr>
                <w:sz w:val="24"/>
                <w:szCs w:val="24"/>
              </w:rPr>
              <w:t>Naalakkersuisut udsteder licens til turistvirksomhed til fysiske eller juridiske personer, som opfylder betingelserne ifølge §§ 7-10</w:t>
            </w:r>
            <w:r w:rsidRPr="00221FF0">
              <w:rPr>
                <w:i/>
                <w:iCs/>
                <w:sz w:val="24"/>
                <w:szCs w:val="24"/>
              </w:rPr>
              <w:t>.</w:t>
            </w:r>
            <w:r w:rsidRPr="00221FF0">
              <w:rPr>
                <w:sz w:val="24"/>
                <w:szCs w:val="24"/>
              </w:rPr>
              <w:t> En licens til turistvirksomhed kan, hvor særlige forhold taler derfor, udstedes med tidsbegrænsning.</w:t>
            </w:r>
          </w:p>
          <w:p w14:paraId="0D70C099" w14:textId="77777777" w:rsidR="00166726" w:rsidRPr="00221FF0" w:rsidRDefault="00166726" w:rsidP="009E1906">
            <w:pPr>
              <w:rPr>
                <w:b/>
                <w:bCs/>
                <w:sz w:val="24"/>
                <w:szCs w:val="24"/>
              </w:rPr>
            </w:pPr>
          </w:p>
        </w:tc>
        <w:tc>
          <w:tcPr>
            <w:tcW w:w="4530" w:type="dxa"/>
          </w:tcPr>
          <w:p w14:paraId="65744E38" w14:textId="77777777" w:rsidR="00153F97" w:rsidRPr="00221FF0" w:rsidRDefault="00153F97" w:rsidP="00153F97">
            <w:pPr>
              <w:rPr>
                <w:bCs/>
                <w:sz w:val="24"/>
                <w:szCs w:val="24"/>
              </w:rPr>
            </w:pPr>
            <w:r w:rsidRPr="00221FF0">
              <w:rPr>
                <w:b/>
                <w:sz w:val="24"/>
                <w:szCs w:val="24"/>
              </w:rPr>
              <w:t>4.</w:t>
            </w:r>
            <w:r w:rsidRPr="00221FF0">
              <w:rPr>
                <w:bCs/>
                <w:sz w:val="24"/>
                <w:szCs w:val="24"/>
              </w:rPr>
              <w:t xml:space="preserve"> § 3, stk. 2, affattes således:</w:t>
            </w:r>
          </w:p>
          <w:p w14:paraId="1EEDC169" w14:textId="77777777" w:rsidR="00153F97" w:rsidRPr="00221FF0" w:rsidRDefault="00153F97" w:rsidP="00153F97">
            <w:pPr>
              <w:rPr>
                <w:bCs/>
                <w:sz w:val="24"/>
                <w:szCs w:val="24"/>
              </w:rPr>
            </w:pPr>
          </w:p>
          <w:p w14:paraId="39E9ADF5" w14:textId="77777777" w:rsidR="00153F97" w:rsidRPr="00221FF0" w:rsidRDefault="00153F97" w:rsidP="00153F97">
            <w:pPr>
              <w:rPr>
                <w:sz w:val="24"/>
                <w:szCs w:val="24"/>
              </w:rPr>
            </w:pPr>
            <w:r w:rsidRPr="00221FF0">
              <w:rPr>
                <w:bCs/>
                <w:sz w:val="24"/>
                <w:szCs w:val="24"/>
              </w:rPr>
              <w:t>”</w:t>
            </w:r>
            <w:r w:rsidRPr="00221FF0">
              <w:rPr>
                <w:sz w:val="24"/>
                <w:szCs w:val="24"/>
              </w:rPr>
              <w:t xml:space="preserve">  </w:t>
            </w:r>
            <w:r w:rsidRPr="00221FF0">
              <w:rPr>
                <w:i/>
                <w:iCs/>
                <w:sz w:val="24"/>
                <w:szCs w:val="24"/>
              </w:rPr>
              <w:t>Stk. 2.</w:t>
            </w:r>
            <w:r w:rsidRPr="00221FF0">
              <w:rPr>
                <w:sz w:val="24"/>
                <w:szCs w:val="24"/>
              </w:rPr>
              <w:t xml:space="preserve">  Naalakkersuisut udsteder licens til turistvirksomhed til fysiske eller juridiske personer, som opfylder betingelserne ifølge §§ 7-10 eller som har fået dispensation i medfør af reglerne i kapitel 6</w:t>
            </w:r>
            <w:r w:rsidRPr="00221FF0">
              <w:rPr>
                <w:i/>
                <w:iCs/>
                <w:sz w:val="24"/>
                <w:szCs w:val="24"/>
              </w:rPr>
              <w:t>.</w:t>
            </w:r>
            <w:r w:rsidRPr="00221FF0">
              <w:rPr>
                <w:sz w:val="24"/>
                <w:szCs w:val="24"/>
              </w:rPr>
              <w:t> En licens til turistvirksomhed kan, hvor særlige forhold taler derfor, udstedes med tidsbegrænsning.”</w:t>
            </w:r>
          </w:p>
          <w:p w14:paraId="67FC1688" w14:textId="77777777" w:rsidR="00166726" w:rsidRPr="00221FF0" w:rsidRDefault="00166726" w:rsidP="009E1906">
            <w:pPr>
              <w:rPr>
                <w:b/>
                <w:sz w:val="24"/>
                <w:szCs w:val="24"/>
              </w:rPr>
            </w:pPr>
          </w:p>
        </w:tc>
      </w:tr>
      <w:tr w:rsidR="00166726" w:rsidRPr="00221FF0" w14:paraId="4A9A01DC" w14:textId="77777777" w:rsidTr="009443BA">
        <w:tc>
          <w:tcPr>
            <w:tcW w:w="4530" w:type="dxa"/>
          </w:tcPr>
          <w:p w14:paraId="14434774" w14:textId="77777777" w:rsidR="00166726" w:rsidRPr="00221FF0" w:rsidRDefault="00166726" w:rsidP="009E1906">
            <w:pPr>
              <w:rPr>
                <w:i/>
                <w:iCs/>
                <w:sz w:val="24"/>
                <w:szCs w:val="24"/>
              </w:rPr>
            </w:pPr>
          </w:p>
          <w:p w14:paraId="7418E1AA" w14:textId="77777777" w:rsidR="00166726" w:rsidRPr="00221FF0" w:rsidRDefault="00166726" w:rsidP="009E1906">
            <w:pPr>
              <w:rPr>
                <w:sz w:val="24"/>
                <w:szCs w:val="24"/>
              </w:rPr>
            </w:pPr>
            <w:r w:rsidRPr="00221FF0">
              <w:rPr>
                <w:i/>
                <w:iCs/>
                <w:sz w:val="24"/>
                <w:szCs w:val="24"/>
              </w:rPr>
              <w:t>Stk. 4.  </w:t>
            </w:r>
            <w:r w:rsidRPr="00221FF0">
              <w:rPr>
                <w:sz w:val="24"/>
                <w:szCs w:val="24"/>
              </w:rPr>
              <w:t>En licens til turistvirksomhed kan overdrages til andre med skriftlig tilladelse fra Naalakkersuisut.</w:t>
            </w:r>
          </w:p>
          <w:p w14:paraId="79961D42" w14:textId="77777777" w:rsidR="00166726" w:rsidRPr="00221FF0" w:rsidRDefault="00166726" w:rsidP="009E1906">
            <w:pPr>
              <w:rPr>
                <w:i/>
                <w:iCs/>
                <w:sz w:val="24"/>
                <w:szCs w:val="24"/>
              </w:rPr>
            </w:pPr>
          </w:p>
        </w:tc>
        <w:tc>
          <w:tcPr>
            <w:tcW w:w="4530" w:type="dxa"/>
          </w:tcPr>
          <w:p w14:paraId="25763495" w14:textId="77777777" w:rsidR="00153F97" w:rsidRPr="00221FF0" w:rsidRDefault="00153F97" w:rsidP="00153F97">
            <w:pPr>
              <w:rPr>
                <w:bCs/>
                <w:sz w:val="24"/>
                <w:szCs w:val="24"/>
              </w:rPr>
            </w:pPr>
            <w:r w:rsidRPr="00221FF0">
              <w:rPr>
                <w:b/>
                <w:sz w:val="24"/>
                <w:szCs w:val="24"/>
              </w:rPr>
              <w:t>5.</w:t>
            </w:r>
            <w:r w:rsidRPr="00221FF0">
              <w:rPr>
                <w:bCs/>
                <w:sz w:val="24"/>
                <w:szCs w:val="24"/>
              </w:rPr>
              <w:t xml:space="preserve"> § 3, stk. 4, ophæves.</w:t>
            </w:r>
          </w:p>
          <w:p w14:paraId="42CBF606" w14:textId="77777777" w:rsidR="00153F97" w:rsidRPr="00221FF0" w:rsidRDefault="00153F97" w:rsidP="00153F97">
            <w:pPr>
              <w:rPr>
                <w:bCs/>
                <w:sz w:val="24"/>
                <w:szCs w:val="24"/>
              </w:rPr>
            </w:pPr>
          </w:p>
          <w:p w14:paraId="25AA1002" w14:textId="77777777" w:rsidR="00153F97" w:rsidRPr="00221FF0" w:rsidRDefault="00153F97" w:rsidP="00153F97">
            <w:pPr>
              <w:rPr>
                <w:b/>
                <w:sz w:val="24"/>
                <w:szCs w:val="24"/>
              </w:rPr>
            </w:pPr>
            <w:r w:rsidRPr="00221FF0">
              <w:rPr>
                <w:bCs/>
                <w:sz w:val="24"/>
                <w:szCs w:val="24"/>
              </w:rPr>
              <w:t>Stk. 5 og 6 bliver herefter stk. 4 og 5.</w:t>
            </w:r>
          </w:p>
          <w:p w14:paraId="7A91E8B9" w14:textId="47E7EE2A" w:rsidR="00166726" w:rsidRPr="00221FF0" w:rsidRDefault="00166726" w:rsidP="009E1906">
            <w:pPr>
              <w:rPr>
                <w:bCs/>
                <w:sz w:val="24"/>
                <w:szCs w:val="24"/>
              </w:rPr>
            </w:pPr>
          </w:p>
        </w:tc>
      </w:tr>
      <w:tr w:rsidR="00153F97" w:rsidRPr="00221FF0" w14:paraId="3334F603" w14:textId="77777777" w:rsidTr="009443BA">
        <w:tc>
          <w:tcPr>
            <w:tcW w:w="4530" w:type="dxa"/>
          </w:tcPr>
          <w:p w14:paraId="6C70A7F2" w14:textId="77777777" w:rsidR="00153F97" w:rsidRPr="00221FF0" w:rsidRDefault="00153F97" w:rsidP="009E1906">
            <w:pPr>
              <w:rPr>
                <w:b/>
                <w:bCs/>
              </w:rPr>
            </w:pPr>
          </w:p>
        </w:tc>
        <w:tc>
          <w:tcPr>
            <w:tcW w:w="4530" w:type="dxa"/>
          </w:tcPr>
          <w:p w14:paraId="708CD39C" w14:textId="77777777" w:rsidR="00153F97" w:rsidRPr="00221FF0" w:rsidRDefault="00153F97" w:rsidP="00153F97">
            <w:pPr>
              <w:rPr>
                <w:bCs/>
                <w:sz w:val="24"/>
                <w:szCs w:val="24"/>
              </w:rPr>
            </w:pPr>
            <w:r w:rsidRPr="00221FF0">
              <w:rPr>
                <w:b/>
                <w:sz w:val="24"/>
                <w:szCs w:val="24"/>
              </w:rPr>
              <w:t>6.</w:t>
            </w:r>
            <w:r w:rsidRPr="00221FF0">
              <w:rPr>
                <w:bCs/>
                <w:sz w:val="24"/>
                <w:szCs w:val="24"/>
              </w:rPr>
              <w:t xml:space="preserve"> I § 4 indsættes efter stk. 3 som nye stykker 4-6:</w:t>
            </w:r>
          </w:p>
          <w:p w14:paraId="5C63BFA4" w14:textId="77777777" w:rsidR="00153F97" w:rsidRPr="00221FF0" w:rsidRDefault="00153F97" w:rsidP="00153F97">
            <w:pPr>
              <w:rPr>
                <w:bCs/>
                <w:sz w:val="24"/>
                <w:szCs w:val="24"/>
              </w:rPr>
            </w:pPr>
          </w:p>
          <w:p w14:paraId="659EF630" w14:textId="77777777" w:rsidR="00153F97" w:rsidRPr="00221FF0" w:rsidRDefault="00153F97" w:rsidP="00153F97">
            <w:pPr>
              <w:rPr>
                <w:sz w:val="24"/>
                <w:szCs w:val="24"/>
              </w:rPr>
            </w:pPr>
            <w:r w:rsidRPr="00221FF0">
              <w:rPr>
                <w:sz w:val="24"/>
                <w:szCs w:val="24"/>
              </w:rPr>
              <w:t xml:space="preserve">”  </w:t>
            </w:r>
            <w:r w:rsidRPr="00221FF0">
              <w:rPr>
                <w:i/>
                <w:iCs/>
                <w:sz w:val="24"/>
                <w:szCs w:val="24"/>
              </w:rPr>
              <w:t>Stk. 4.</w:t>
            </w:r>
            <w:r w:rsidRPr="00221FF0">
              <w:rPr>
                <w:sz w:val="24"/>
                <w:szCs w:val="24"/>
              </w:rPr>
              <w:t xml:space="preserve">  Licenshavere kan indgive ansøgning om ændring af vilkår, såfremt ændrede forhold i licensperioden giver anledning til dette.</w:t>
            </w:r>
          </w:p>
          <w:p w14:paraId="1E578CA5" w14:textId="77777777" w:rsidR="00153F97" w:rsidRPr="00221FF0" w:rsidRDefault="00153F97" w:rsidP="00153F97">
            <w:pPr>
              <w:rPr>
                <w:sz w:val="24"/>
                <w:szCs w:val="24"/>
              </w:rPr>
            </w:pPr>
            <w:r w:rsidRPr="00221FF0">
              <w:rPr>
                <w:sz w:val="24"/>
                <w:szCs w:val="24"/>
              </w:rPr>
              <w:t xml:space="preserve">  </w:t>
            </w:r>
            <w:r w:rsidRPr="00221FF0">
              <w:rPr>
                <w:i/>
                <w:iCs/>
                <w:sz w:val="24"/>
                <w:szCs w:val="24"/>
              </w:rPr>
              <w:t>Stk. 5.</w:t>
            </w:r>
            <w:r w:rsidRPr="00221FF0">
              <w:rPr>
                <w:sz w:val="24"/>
                <w:szCs w:val="24"/>
              </w:rPr>
              <w:t xml:space="preserve">  Licenshavere har pligt til uden ugrundet ophold at underrette Naalakkersuisut om enhver ændring i de forhold eller vilkår, der har dannet grundlag for udstedelsen af licensen.</w:t>
            </w:r>
          </w:p>
          <w:p w14:paraId="38E7E47A" w14:textId="1FBB5D6D" w:rsidR="00153F97" w:rsidRPr="00221FF0" w:rsidRDefault="00153F97" w:rsidP="00153F97">
            <w:pPr>
              <w:rPr>
                <w:b/>
              </w:rPr>
            </w:pPr>
            <w:r w:rsidRPr="00221FF0">
              <w:rPr>
                <w:i/>
                <w:iCs/>
                <w:sz w:val="24"/>
                <w:szCs w:val="24"/>
              </w:rPr>
              <w:t xml:space="preserve">  Stk. 6. </w:t>
            </w:r>
            <w:r w:rsidRPr="00221FF0">
              <w:rPr>
                <w:sz w:val="24"/>
                <w:szCs w:val="24"/>
              </w:rPr>
              <w:t xml:space="preserve"> Undladelse af at opfylde </w:t>
            </w:r>
            <w:r w:rsidRPr="00221FF0">
              <w:rPr>
                <w:sz w:val="24"/>
                <w:szCs w:val="24"/>
              </w:rPr>
              <w:lastRenderedPageBreak/>
              <w:t>oplysningspligten i stk. 5 kan medføre tilbagekaldelse eller ændring af licensen i overensstemmelse med reglerne i denne lov.”</w:t>
            </w:r>
          </w:p>
        </w:tc>
      </w:tr>
      <w:tr w:rsidR="00153F97" w:rsidRPr="00221FF0" w14:paraId="4839AF5E" w14:textId="77777777" w:rsidTr="009443BA">
        <w:tc>
          <w:tcPr>
            <w:tcW w:w="4530" w:type="dxa"/>
          </w:tcPr>
          <w:p w14:paraId="4536F94D" w14:textId="77777777" w:rsidR="00153F97" w:rsidRPr="00221FF0" w:rsidRDefault="00153F97" w:rsidP="009E1906">
            <w:pPr>
              <w:rPr>
                <w:b/>
                <w:bCs/>
              </w:rPr>
            </w:pPr>
          </w:p>
        </w:tc>
        <w:tc>
          <w:tcPr>
            <w:tcW w:w="4530" w:type="dxa"/>
          </w:tcPr>
          <w:p w14:paraId="16686517" w14:textId="77777777" w:rsidR="00153F97" w:rsidRPr="00221FF0" w:rsidRDefault="00153F97" w:rsidP="00153F97">
            <w:pPr>
              <w:rPr>
                <w:sz w:val="24"/>
                <w:szCs w:val="24"/>
              </w:rPr>
            </w:pPr>
            <w:r w:rsidRPr="00221FF0">
              <w:rPr>
                <w:b/>
                <w:sz w:val="24"/>
                <w:szCs w:val="24"/>
              </w:rPr>
              <w:t xml:space="preserve">7. </w:t>
            </w:r>
            <w:r w:rsidRPr="00221FF0">
              <w:rPr>
                <w:sz w:val="24"/>
                <w:szCs w:val="24"/>
              </w:rPr>
              <w:t xml:space="preserve">Efter </w:t>
            </w:r>
            <w:r w:rsidRPr="00221FF0">
              <w:rPr>
                <w:i/>
                <w:iCs/>
                <w:sz w:val="24"/>
                <w:szCs w:val="24"/>
              </w:rPr>
              <w:t>§ 4</w:t>
            </w:r>
            <w:r w:rsidRPr="00221FF0">
              <w:rPr>
                <w:sz w:val="24"/>
                <w:szCs w:val="24"/>
              </w:rPr>
              <w:t xml:space="preserve"> indsættes:</w:t>
            </w:r>
          </w:p>
          <w:p w14:paraId="6F9BEC82" w14:textId="77777777" w:rsidR="00153F97" w:rsidRPr="00221FF0" w:rsidRDefault="00153F97" w:rsidP="00153F97">
            <w:pPr>
              <w:rPr>
                <w:sz w:val="24"/>
                <w:szCs w:val="24"/>
              </w:rPr>
            </w:pPr>
          </w:p>
          <w:p w14:paraId="3DFAEBBD" w14:textId="77777777" w:rsidR="00153F97" w:rsidRPr="00221FF0" w:rsidRDefault="00153F97" w:rsidP="00153F97">
            <w:pPr>
              <w:rPr>
                <w:sz w:val="24"/>
                <w:szCs w:val="24"/>
              </w:rPr>
            </w:pPr>
            <w:r w:rsidRPr="00221FF0">
              <w:rPr>
                <w:sz w:val="24"/>
                <w:szCs w:val="24"/>
              </w:rPr>
              <w:t>” § 4 a  Naalakkersuisut udsteder særlige tilladelser til sightseeing på vilde dyr.</w:t>
            </w:r>
          </w:p>
          <w:p w14:paraId="5E3276F8" w14:textId="77777777" w:rsidR="00153F97" w:rsidRPr="00221FF0" w:rsidRDefault="00153F97" w:rsidP="00153F97">
            <w:pPr>
              <w:rPr>
                <w:sz w:val="24"/>
                <w:szCs w:val="24"/>
              </w:rPr>
            </w:pPr>
            <w:r w:rsidRPr="00221FF0">
              <w:rPr>
                <w:sz w:val="24"/>
                <w:szCs w:val="24"/>
              </w:rPr>
              <w:t xml:space="preserve">  </w:t>
            </w:r>
            <w:proofErr w:type="spellStart"/>
            <w:r w:rsidRPr="00221FF0">
              <w:rPr>
                <w:i/>
                <w:iCs/>
              </w:rPr>
              <w:t>Stk</w:t>
            </w:r>
            <w:proofErr w:type="spellEnd"/>
            <w:r w:rsidRPr="00221FF0">
              <w:rPr>
                <w:i/>
                <w:iCs/>
              </w:rPr>
              <w:t xml:space="preserve"> 2</w:t>
            </w:r>
            <w:r w:rsidRPr="00221FF0">
              <w:t>.  Naalakkersuisut kan fastsætte nærmere regler om vilkårene for tilladelser i medfør af stk. 1.”</w:t>
            </w:r>
          </w:p>
          <w:p w14:paraId="6906E2DA" w14:textId="77777777" w:rsidR="00153F97" w:rsidRPr="00221FF0" w:rsidRDefault="00153F97" w:rsidP="009E1906">
            <w:pPr>
              <w:rPr>
                <w:b/>
              </w:rPr>
            </w:pPr>
          </w:p>
        </w:tc>
      </w:tr>
      <w:tr w:rsidR="00153F97" w:rsidRPr="00221FF0" w14:paraId="3149A6CC" w14:textId="77777777" w:rsidTr="009443BA">
        <w:tc>
          <w:tcPr>
            <w:tcW w:w="4530" w:type="dxa"/>
          </w:tcPr>
          <w:p w14:paraId="17E8B5C2" w14:textId="77777777" w:rsidR="008D3388" w:rsidRPr="00221FF0" w:rsidRDefault="008D3388" w:rsidP="008D3388">
            <w:pPr>
              <w:rPr>
                <w:b/>
                <w:bCs/>
                <w:sz w:val="24"/>
                <w:szCs w:val="24"/>
              </w:rPr>
            </w:pPr>
          </w:p>
          <w:p w14:paraId="6D122953" w14:textId="77777777" w:rsidR="008D3388" w:rsidRPr="00221FF0" w:rsidRDefault="008D3388" w:rsidP="008D3388">
            <w:pPr>
              <w:rPr>
                <w:b/>
                <w:bCs/>
                <w:sz w:val="24"/>
                <w:szCs w:val="24"/>
              </w:rPr>
            </w:pPr>
          </w:p>
          <w:p w14:paraId="353E8E78" w14:textId="133B82B6" w:rsidR="008D3388" w:rsidRPr="00221FF0" w:rsidRDefault="008D3388" w:rsidP="008D3388">
            <w:pPr>
              <w:rPr>
                <w:sz w:val="24"/>
                <w:szCs w:val="24"/>
              </w:rPr>
            </w:pPr>
            <w:r w:rsidRPr="00221FF0">
              <w:rPr>
                <w:b/>
                <w:bCs/>
                <w:sz w:val="24"/>
                <w:szCs w:val="24"/>
              </w:rPr>
              <w:t>§ 7.</w:t>
            </w:r>
            <w:r w:rsidRPr="00221FF0">
              <w:rPr>
                <w:sz w:val="24"/>
                <w:szCs w:val="24"/>
              </w:rPr>
              <w:t>  Licens til turistvirksomhed kan kun meddeles til en fysisk person, der:</w:t>
            </w:r>
          </w:p>
          <w:p w14:paraId="3BEC60A5" w14:textId="77777777" w:rsidR="008D3388" w:rsidRPr="00221FF0" w:rsidRDefault="008D3388" w:rsidP="008D3388">
            <w:pPr>
              <w:rPr>
                <w:sz w:val="24"/>
                <w:szCs w:val="24"/>
              </w:rPr>
            </w:pPr>
            <w:r w:rsidRPr="00221FF0">
              <w:rPr>
                <w:sz w:val="24"/>
                <w:szCs w:val="24"/>
              </w:rPr>
              <w:t>1)  har folkeregisteradresse i Grønland,</w:t>
            </w:r>
          </w:p>
          <w:p w14:paraId="7644659E" w14:textId="77777777" w:rsidR="008D3388" w:rsidRPr="00221FF0" w:rsidRDefault="008D3388" w:rsidP="008D3388">
            <w:pPr>
              <w:rPr>
                <w:sz w:val="24"/>
                <w:szCs w:val="24"/>
              </w:rPr>
            </w:pPr>
            <w:r w:rsidRPr="00221FF0">
              <w:rPr>
                <w:sz w:val="24"/>
                <w:szCs w:val="24"/>
              </w:rPr>
              <w:t>2)  er fuldt skattepligtig til Grønland, og</w:t>
            </w:r>
          </w:p>
          <w:p w14:paraId="38FB49C5" w14:textId="77777777" w:rsidR="008D3388" w:rsidRPr="00221FF0" w:rsidRDefault="008D3388" w:rsidP="008D3388">
            <w:pPr>
              <w:rPr>
                <w:sz w:val="24"/>
                <w:szCs w:val="24"/>
              </w:rPr>
            </w:pPr>
            <w:r w:rsidRPr="00221FF0">
              <w:rPr>
                <w:sz w:val="24"/>
                <w:szCs w:val="24"/>
              </w:rPr>
              <w:t>3)  har fuld rådighedsret over egen formue og ikke er under konkurs-, insolvens- eller likvidationsbehandling.</w:t>
            </w:r>
          </w:p>
          <w:p w14:paraId="001AC4A9" w14:textId="77777777" w:rsidR="00153F97" w:rsidRPr="00221FF0" w:rsidRDefault="00153F97" w:rsidP="009E1906">
            <w:pPr>
              <w:rPr>
                <w:b/>
                <w:bCs/>
              </w:rPr>
            </w:pPr>
          </w:p>
        </w:tc>
        <w:tc>
          <w:tcPr>
            <w:tcW w:w="4530" w:type="dxa"/>
          </w:tcPr>
          <w:p w14:paraId="3848B256" w14:textId="77777777" w:rsidR="00153F97" w:rsidRPr="00221FF0" w:rsidRDefault="00153F97" w:rsidP="00153F97">
            <w:pPr>
              <w:rPr>
                <w:sz w:val="24"/>
                <w:szCs w:val="24"/>
              </w:rPr>
            </w:pPr>
            <w:r w:rsidRPr="00221FF0">
              <w:rPr>
                <w:b/>
                <w:bCs/>
                <w:sz w:val="24"/>
                <w:szCs w:val="24"/>
              </w:rPr>
              <w:t>8.</w:t>
            </w:r>
            <w:r w:rsidRPr="00221FF0">
              <w:rPr>
                <w:sz w:val="24"/>
                <w:szCs w:val="24"/>
              </w:rPr>
              <w:t xml:space="preserve"> § 7 affattes således:</w:t>
            </w:r>
          </w:p>
          <w:p w14:paraId="5234C502" w14:textId="77777777" w:rsidR="008D3388" w:rsidRPr="00221FF0" w:rsidRDefault="008D3388" w:rsidP="00153F97">
            <w:pPr>
              <w:rPr>
                <w:sz w:val="24"/>
                <w:szCs w:val="24"/>
              </w:rPr>
            </w:pPr>
          </w:p>
          <w:p w14:paraId="57EE6C06" w14:textId="77777777" w:rsidR="00153F97" w:rsidRPr="00221FF0" w:rsidRDefault="00153F97" w:rsidP="00153F97">
            <w:pPr>
              <w:rPr>
                <w:sz w:val="24"/>
                <w:szCs w:val="24"/>
              </w:rPr>
            </w:pPr>
            <w:r w:rsidRPr="00221FF0">
              <w:rPr>
                <w:b/>
                <w:bCs/>
                <w:sz w:val="24"/>
                <w:szCs w:val="24"/>
              </w:rPr>
              <w:t>”  § 7.</w:t>
            </w:r>
            <w:r w:rsidRPr="00221FF0">
              <w:rPr>
                <w:sz w:val="24"/>
                <w:szCs w:val="24"/>
              </w:rPr>
              <w:t>  Licens til turistvirksomhed kan kun udstedes til en fysisk person, der:</w:t>
            </w:r>
          </w:p>
          <w:p w14:paraId="70B319C3" w14:textId="77777777" w:rsidR="00153F97" w:rsidRPr="00221FF0" w:rsidRDefault="00153F97" w:rsidP="00153F97">
            <w:pPr>
              <w:rPr>
                <w:sz w:val="24"/>
                <w:szCs w:val="24"/>
              </w:rPr>
            </w:pPr>
            <w:r w:rsidRPr="00221FF0">
              <w:rPr>
                <w:sz w:val="24"/>
                <w:szCs w:val="24"/>
              </w:rPr>
              <w:t>1)  har folkeregisteradresse i Grønland,</w:t>
            </w:r>
          </w:p>
          <w:p w14:paraId="21F04A26" w14:textId="77777777" w:rsidR="00153F97" w:rsidRPr="00221FF0" w:rsidRDefault="00153F97" w:rsidP="00153F97">
            <w:pPr>
              <w:rPr>
                <w:sz w:val="24"/>
                <w:szCs w:val="24"/>
              </w:rPr>
            </w:pPr>
            <w:r w:rsidRPr="00221FF0">
              <w:rPr>
                <w:sz w:val="24"/>
                <w:szCs w:val="24"/>
              </w:rPr>
              <w:t>2)  er fuldt skattepligtig til Grønland, og</w:t>
            </w:r>
          </w:p>
          <w:p w14:paraId="1A595478" w14:textId="77777777" w:rsidR="00153F97" w:rsidRPr="00221FF0" w:rsidRDefault="00153F97" w:rsidP="00153F97">
            <w:pPr>
              <w:rPr>
                <w:sz w:val="24"/>
                <w:szCs w:val="24"/>
              </w:rPr>
            </w:pPr>
            <w:r w:rsidRPr="00221FF0">
              <w:rPr>
                <w:sz w:val="24"/>
                <w:szCs w:val="24"/>
              </w:rPr>
              <w:t>3)  har fuld rådighedsret over egen formue og ikke er under konkurs-, insolvens- eller likvidationsbehandling.</w:t>
            </w:r>
          </w:p>
          <w:p w14:paraId="700A5010" w14:textId="77777777" w:rsidR="00153F97" w:rsidRPr="00221FF0" w:rsidRDefault="00153F97" w:rsidP="00153F97">
            <w:pPr>
              <w:rPr>
                <w:sz w:val="24"/>
                <w:szCs w:val="24"/>
              </w:rPr>
            </w:pPr>
            <w:r w:rsidRPr="00221FF0">
              <w:rPr>
                <w:i/>
                <w:iCs/>
                <w:sz w:val="24"/>
                <w:szCs w:val="24"/>
              </w:rPr>
              <w:t xml:space="preserve">  Stk. 2.  </w:t>
            </w:r>
            <w:r w:rsidRPr="00221FF0">
              <w:rPr>
                <w:sz w:val="24"/>
                <w:szCs w:val="24"/>
              </w:rPr>
              <w:t>Personer som midlertidigt opholder sig uden for Grønland som led i udstationering i forbindelse med udøvelse af offentligt hverv, deltagelse i uddannelsesforløb, forskningsaktiviteter, samfundsnyttig virksomhed eller grundet længerevarende sygdom, er undtaget fra kravene i stk. 1, nr. 1 og 2 i den periode, hvor udstationeringen finder sted.</w:t>
            </w:r>
          </w:p>
          <w:p w14:paraId="56AE7929" w14:textId="77777777" w:rsidR="00153F97" w:rsidRPr="00221FF0" w:rsidRDefault="00153F97" w:rsidP="00153F97">
            <w:pPr>
              <w:rPr>
                <w:sz w:val="24"/>
                <w:szCs w:val="24"/>
              </w:rPr>
            </w:pPr>
            <w:r w:rsidRPr="00221FF0">
              <w:rPr>
                <w:i/>
                <w:iCs/>
                <w:sz w:val="24"/>
                <w:szCs w:val="24"/>
              </w:rPr>
              <w:t xml:space="preserve">  Stk. 3.</w:t>
            </w:r>
            <w:r w:rsidRPr="00221FF0">
              <w:rPr>
                <w:sz w:val="24"/>
                <w:szCs w:val="24"/>
              </w:rPr>
              <w:t xml:space="preserve">  Stk. 2 gælder tilsvarende for personer, hvis ægtefælle eller samlever er udstationeret i de nævnte sammenhænge, og hvor vedkommende midlertidigt opholder sig uden for Grønland som følge heraf.</w:t>
            </w:r>
          </w:p>
          <w:p w14:paraId="7E6B03C4" w14:textId="77777777" w:rsidR="00153F97" w:rsidRPr="00221FF0" w:rsidRDefault="00153F97" w:rsidP="00153F97">
            <w:pPr>
              <w:rPr>
                <w:sz w:val="24"/>
                <w:szCs w:val="24"/>
              </w:rPr>
            </w:pPr>
            <w:r w:rsidRPr="00221FF0">
              <w:rPr>
                <w:i/>
                <w:iCs/>
                <w:sz w:val="24"/>
                <w:szCs w:val="24"/>
              </w:rPr>
              <w:t xml:space="preserve">  Stk. 4.</w:t>
            </w:r>
            <w:r w:rsidRPr="00221FF0">
              <w:rPr>
                <w:sz w:val="24"/>
                <w:szCs w:val="24"/>
              </w:rPr>
              <w:t xml:space="preserve">  Dokumentation for udstationering eller anden aktivitet eller virksomhed som anført i stk. 2 skal på anmodning kunne fremlægges for Naalakkersuisut.</w:t>
            </w:r>
          </w:p>
          <w:p w14:paraId="1DF73F71" w14:textId="77777777" w:rsidR="00153F97" w:rsidRPr="00221FF0" w:rsidRDefault="00153F97" w:rsidP="009E1906">
            <w:pPr>
              <w:rPr>
                <w:b/>
              </w:rPr>
            </w:pPr>
          </w:p>
        </w:tc>
      </w:tr>
      <w:tr w:rsidR="00B12E41" w:rsidRPr="00221FF0" w14:paraId="10A5F554" w14:textId="77777777" w:rsidTr="00D036E8">
        <w:tc>
          <w:tcPr>
            <w:tcW w:w="4530" w:type="dxa"/>
          </w:tcPr>
          <w:p w14:paraId="4BF31D27" w14:textId="77777777" w:rsidR="00153F97" w:rsidRPr="00221FF0" w:rsidRDefault="00153F97" w:rsidP="00D036E8">
            <w:pPr>
              <w:rPr>
                <w:b/>
                <w:bCs/>
                <w:sz w:val="24"/>
                <w:szCs w:val="24"/>
              </w:rPr>
            </w:pPr>
          </w:p>
          <w:p w14:paraId="48B249FE" w14:textId="77777777" w:rsidR="00153F97" w:rsidRPr="00221FF0" w:rsidRDefault="00153F97" w:rsidP="00D036E8">
            <w:pPr>
              <w:rPr>
                <w:b/>
                <w:bCs/>
                <w:sz w:val="24"/>
                <w:szCs w:val="24"/>
              </w:rPr>
            </w:pPr>
          </w:p>
          <w:p w14:paraId="7ACD7388" w14:textId="77777777" w:rsidR="00153F97" w:rsidRPr="00221FF0" w:rsidRDefault="00153F97" w:rsidP="00D036E8">
            <w:pPr>
              <w:rPr>
                <w:sz w:val="24"/>
                <w:szCs w:val="24"/>
              </w:rPr>
            </w:pPr>
            <w:r w:rsidRPr="00221FF0">
              <w:rPr>
                <w:b/>
                <w:bCs/>
                <w:sz w:val="24"/>
                <w:szCs w:val="24"/>
              </w:rPr>
              <w:lastRenderedPageBreak/>
              <w:t>§ 8.  </w:t>
            </w:r>
            <w:r w:rsidRPr="00221FF0">
              <w:rPr>
                <w:sz w:val="24"/>
                <w:szCs w:val="24"/>
              </w:rPr>
              <w:t>Licens til turistvirksomhed kan kun meddeles til en juridisk person:</w:t>
            </w:r>
          </w:p>
          <w:p w14:paraId="36D61594" w14:textId="77777777" w:rsidR="00153F97" w:rsidRPr="00221FF0" w:rsidRDefault="00153F97" w:rsidP="00D036E8">
            <w:pPr>
              <w:rPr>
                <w:sz w:val="24"/>
                <w:szCs w:val="24"/>
              </w:rPr>
            </w:pPr>
            <w:r w:rsidRPr="00221FF0">
              <w:rPr>
                <w:sz w:val="24"/>
                <w:szCs w:val="24"/>
              </w:rPr>
              <w:t>1)  der er et kapitalselskab eller et personselskab med hjemsted i Grønland,</w:t>
            </w:r>
          </w:p>
          <w:p w14:paraId="4E069B44" w14:textId="77777777" w:rsidR="00153F97" w:rsidRPr="00221FF0" w:rsidRDefault="00153F97" w:rsidP="00D036E8">
            <w:pPr>
              <w:rPr>
                <w:sz w:val="24"/>
                <w:szCs w:val="24"/>
              </w:rPr>
            </w:pPr>
            <w:r w:rsidRPr="00221FF0">
              <w:rPr>
                <w:sz w:val="24"/>
                <w:szCs w:val="24"/>
              </w:rPr>
              <w:t>2)  der ikke er under konkurs-, insolvens- eller likvidationsbehandling,</w:t>
            </w:r>
          </w:p>
          <w:p w14:paraId="6E7F6AFF" w14:textId="77777777" w:rsidR="00153F97" w:rsidRPr="00221FF0" w:rsidRDefault="00153F97" w:rsidP="00D036E8">
            <w:pPr>
              <w:rPr>
                <w:sz w:val="24"/>
                <w:szCs w:val="24"/>
              </w:rPr>
            </w:pPr>
            <w:r w:rsidRPr="00221FF0">
              <w:rPr>
                <w:sz w:val="24"/>
                <w:szCs w:val="24"/>
              </w:rPr>
              <w:t>3)  mindst 2/3 af kapitalselskabets kapital ejes direkte eller indirekte af fysiske personer, som opfylder kravene i § 7, nr. 1-3,</w:t>
            </w:r>
          </w:p>
          <w:p w14:paraId="2938BD09" w14:textId="77777777" w:rsidR="00153F97" w:rsidRPr="00221FF0" w:rsidRDefault="00153F97" w:rsidP="00D036E8">
            <w:pPr>
              <w:rPr>
                <w:sz w:val="24"/>
                <w:szCs w:val="24"/>
              </w:rPr>
            </w:pPr>
            <w:r w:rsidRPr="00221FF0">
              <w:rPr>
                <w:sz w:val="24"/>
                <w:szCs w:val="24"/>
              </w:rPr>
              <w:t>4)  mindst 2/3 af stemmerettighederne i kapitalselskabet direkte eller indirekte tilkommer fysiske personer, som opfylder kravene i § 7, nr. 1-3, og</w:t>
            </w:r>
          </w:p>
          <w:p w14:paraId="00B8DA9D" w14:textId="77777777" w:rsidR="00153F97" w:rsidRPr="00221FF0" w:rsidRDefault="00153F97" w:rsidP="00D036E8">
            <w:pPr>
              <w:rPr>
                <w:sz w:val="24"/>
                <w:szCs w:val="24"/>
              </w:rPr>
            </w:pPr>
            <w:r w:rsidRPr="00221FF0">
              <w:rPr>
                <w:sz w:val="24"/>
                <w:szCs w:val="24"/>
              </w:rPr>
              <w:t>5)  mindst 2/3 af deltagerne i et personselskab opfylder kravene i § 7, nr. 1-3.</w:t>
            </w:r>
          </w:p>
          <w:p w14:paraId="4EA7726E" w14:textId="77777777" w:rsidR="00153F97" w:rsidRPr="00221FF0" w:rsidRDefault="00153F97" w:rsidP="00D036E8">
            <w:pPr>
              <w:rPr>
                <w:b/>
                <w:bCs/>
                <w:sz w:val="24"/>
                <w:szCs w:val="24"/>
              </w:rPr>
            </w:pPr>
          </w:p>
        </w:tc>
        <w:tc>
          <w:tcPr>
            <w:tcW w:w="4530" w:type="dxa"/>
          </w:tcPr>
          <w:p w14:paraId="08DDC50D" w14:textId="608B8C96" w:rsidR="00153F97" w:rsidRPr="00221FF0" w:rsidRDefault="00153F97" w:rsidP="00D036E8">
            <w:pPr>
              <w:rPr>
                <w:b/>
                <w:sz w:val="24"/>
                <w:szCs w:val="24"/>
              </w:rPr>
            </w:pPr>
            <w:r w:rsidRPr="00221FF0">
              <w:rPr>
                <w:b/>
                <w:sz w:val="24"/>
                <w:szCs w:val="24"/>
              </w:rPr>
              <w:lastRenderedPageBreak/>
              <w:t xml:space="preserve">9. </w:t>
            </w:r>
            <w:r w:rsidRPr="00221FF0">
              <w:rPr>
                <w:bCs/>
                <w:sz w:val="24"/>
                <w:szCs w:val="24"/>
              </w:rPr>
              <w:t>§ 8 affattes således:</w:t>
            </w:r>
          </w:p>
          <w:p w14:paraId="3EDD2F8E" w14:textId="77777777" w:rsidR="00153F97" w:rsidRPr="00221FF0" w:rsidRDefault="00153F97" w:rsidP="00D036E8">
            <w:pPr>
              <w:rPr>
                <w:sz w:val="24"/>
                <w:szCs w:val="24"/>
              </w:rPr>
            </w:pPr>
          </w:p>
          <w:p w14:paraId="1533BDE2" w14:textId="77777777" w:rsidR="009819E5" w:rsidRPr="00221FF0" w:rsidRDefault="009819E5" w:rsidP="009819E5">
            <w:pPr>
              <w:rPr>
                <w:sz w:val="24"/>
                <w:szCs w:val="24"/>
              </w:rPr>
            </w:pPr>
            <w:r w:rsidRPr="00221FF0">
              <w:rPr>
                <w:bCs/>
                <w:sz w:val="24"/>
                <w:szCs w:val="24"/>
              </w:rPr>
              <w:lastRenderedPageBreak/>
              <w:t xml:space="preserve">”  </w:t>
            </w:r>
            <w:r w:rsidRPr="00221FF0">
              <w:rPr>
                <w:b/>
                <w:sz w:val="24"/>
                <w:szCs w:val="24"/>
              </w:rPr>
              <w:t>§ 8.</w:t>
            </w:r>
            <w:r w:rsidRPr="00221FF0">
              <w:rPr>
                <w:bCs/>
                <w:sz w:val="24"/>
                <w:szCs w:val="24"/>
              </w:rPr>
              <w:t xml:space="preserve">  </w:t>
            </w:r>
            <w:r w:rsidRPr="00221FF0">
              <w:rPr>
                <w:sz w:val="24"/>
                <w:szCs w:val="24"/>
              </w:rPr>
              <w:t xml:space="preserve">Licens til turistvirksomhed kan kun </w:t>
            </w:r>
            <w:r w:rsidRPr="00221FF0">
              <w:t>udstedes</w:t>
            </w:r>
            <w:r w:rsidRPr="00221FF0">
              <w:rPr>
                <w:sz w:val="24"/>
                <w:szCs w:val="24"/>
              </w:rPr>
              <w:t xml:space="preserve"> til en juridisk person:</w:t>
            </w:r>
          </w:p>
          <w:p w14:paraId="7D083D45" w14:textId="77777777" w:rsidR="009819E5" w:rsidRPr="00221FF0" w:rsidRDefault="009819E5" w:rsidP="009819E5">
            <w:pPr>
              <w:rPr>
                <w:sz w:val="24"/>
                <w:szCs w:val="24"/>
              </w:rPr>
            </w:pPr>
            <w:r w:rsidRPr="00221FF0">
              <w:rPr>
                <w:sz w:val="24"/>
                <w:szCs w:val="24"/>
              </w:rPr>
              <w:t>1)  der er et kapitalselskab eller et personselskab med hjemsted i Grønland,</w:t>
            </w:r>
          </w:p>
          <w:p w14:paraId="40238CC8" w14:textId="77777777" w:rsidR="009819E5" w:rsidRPr="00221FF0" w:rsidRDefault="009819E5" w:rsidP="009819E5">
            <w:pPr>
              <w:rPr>
                <w:sz w:val="24"/>
                <w:szCs w:val="24"/>
              </w:rPr>
            </w:pPr>
            <w:r w:rsidRPr="00221FF0">
              <w:rPr>
                <w:sz w:val="24"/>
                <w:szCs w:val="24"/>
              </w:rPr>
              <w:t>2)  der ikke er under konkurs-, insolvens- eller likvidationsbehandling,</w:t>
            </w:r>
          </w:p>
          <w:p w14:paraId="2EDCB34B" w14:textId="77777777" w:rsidR="009819E5" w:rsidRPr="00221FF0" w:rsidRDefault="009819E5" w:rsidP="009819E5">
            <w:pPr>
              <w:rPr>
                <w:sz w:val="24"/>
                <w:szCs w:val="24"/>
              </w:rPr>
            </w:pPr>
            <w:r w:rsidRPr="00221FF0">
              <w:rPr>
                <w:sz w:val="24"/>
                <w:szCs w:val="24"/>
              </w:rPr>
              <w:t>3)  hvor mindst 2/3 af kapitalselskabets kapital ejes direkte eller indirekte af fysiske personer, som opfylder kravene i § 7, nr. 1-3,</w:t>
            </w:r>
          </w:p>
          <w:p w14:paraId="63D70788" w14:textId="77777777" w:rsidR="009819E5" w:rsidRPr="00221FF0" w:rsidRDefault="009819E5" w:rsidP="009819E5">
            <w:pPr>
              <w:rPr>
                <w:sz w:val="24"/>
                <w:szCs w:val="24"/>
              </w:rPr>
            </w:pPr>
            <w:r w:rsidRPr="00221FF0">
              <w:rPr>
                <w:sz w:val="24"/>
                <w:szCs w:val="24"/>
              </w:rPr>
              <w:t>4)  hvor mindst 2/3 af stemmerettighederne i kapitalselskabet direkte eller indirekte tilkommer fysiske personer, som opfylder kravene i § 7, nr. 1-3, og</w:t>
            </w:r>
          </w:p>
          <w:p w14:paraId="4B48CA97" w14:textId="77777777" w:rsidR="009819E5" w:rsidRPr="00221FF0" w:rsidRDefault="009819E5" w:rsidP="009819E5">
            <w:pPr>
              <w:rPr>
                <w:sz w:val="24"/>
                <w:szCs w:val="24"/>
              </w:rPr>
            </w:pPr>
            <w:r w:rsidRPr="00221FF0">
              <w:rPr>
                <w:sz w:val="24"/>
                <w:szCs w:val="24"/>
              </w:rPr>
              <w:t>5)  hvor mindst 2/3 af deltagerne i et personselskab opfylder kravene i § 7, nr. 1-3.”</w:t>
            </w:r>
          </w:p>
          <w:p w14:paraId="53842C57" w14:textId="0B7C1000" w:rsidR="00153F97" w:rsidRPr="00221FF0" w:rsidRDefault="00153F97" w:rsidP="00D036E8">
            <w:pPr>
              <w:rPr>
                <w:b/>
                <w:sz w:val="24"/>
                <w:szCs w:val="24"/>
              </w:rPr>
            </w:pPr>
          </w:p>
        </w:tc>
      </w:tr>
      <w:tr w:rsidR="00B12E41" w:rsidRPr="00221FF0" w14:paraId="46E3A11E" w14:textId="77777777" w:rsidTr="00D036E8">
        <w:tc>
          <w:tcPr>
            <w:tcW w:w="4530" w:type="dxa"/>
          </w:tcPr>
          <w:p w14:paraId="4E252A79" w14:textId="77777777" w:rsidR="009819E5" w:rsidRPr="00221FF0" w:rsidRDefault="009819E5" w:rsidP="00D036E8">
            <w:pPr>
              <w:widowControl/>
              <w:autoSpaceDE/>
              <w:autoSpaceDN/>
              <w:adjustRightInd/>
              <w:rPr>
                <w:sz w:val="24"/>
                <w:szCs w:val="24"/>
              </w:rPr>
            </w:pPr>
          </w:p>
          <w:p w14:paraId="34BED096" w14:textId="77777777" w:rsidR="009819E5" w:rsidRPr="00221FF0" w:rsidRDefault="009819E5" w:rsidP="00D036E8">
            <w:pPr>
              <w:widowControl/>
              <w:autoSpaceDE/>
              <w:autoSpaceDN/>
              <w:adjustRightInd/>
              <w:rPr>
                <w:i/>
                <w:iCs/>
                <w:sz w:val="24"/>
                <w:szCs w:val="24"/>
              </w:rPr>
            </w:pPr>
          </w:p>
          <w:p w14:paraId="02DB4152" w14:textId="7091D978" w:rsidR="009819E5" w:rsidRPr="00221FF0" w:rsidRDefault="009819E5" w:rsidP="00D036E8">
            <w:pPr>
              <w:widowControl/>
              <w:autoSpaceDE/>
              <w:autoSpaceDN/>
              <w:adjustRightInd/>
              <w:rPr>
                <w:sz w:val="24"/>
                <w:szCs w:val="24"/>
              </w:rPr>
            </w:pPr>
            <w:r w:rsidRPr="00221FF0">
              <w:rPr>
                <w:i/>
                <w:iCs/>
                <w:sz w:val="24"/>
                <w:szCs w:val="24"/>
              </w:rPr>
              <w:t>Stk. 5. </w:t>
            </w:r>
            <w:r w:rsidRPr="00221FF0">
              <w:rPr>
                <w:sz w:val="24"/>
                <w:szCs w:val="24"/>
              </w:rPr>
              <w:t>Beredskabsplanen skal være baseret på risikovurderingen af aktiviteten og skal indeholde:</w:t>
            </w:r>
          </w:p>
        </w:tc>
        <w:tc>
          <w:tcPr>
            <w:tcW w:w="4530" w:type="dxa"/>
          </w:tcPr>
          <w:p w14:paraId="3A7E7715" w14:textId="77777777" w:rsidR="009819E5" w:rsidRPr="00221FF0" w:rsidRDefault="009819E5" w:rsidP="00D036E8">
            <w:pPr>
              <w:rPr>
                <w:sz w:val="24"/>
                <w:szCs w:val="24"/>
              </w:rPr>
            </w:pPr>
            <w:r w:rsidRPr="00221FF0">
              <w:rPr>
                <w:b/>
                <w:bCs/>
                <w:sz w:val="24"/>
                <w:szCs w:val="24"/>
              </w:rPr>
              <w:t xml:space="preserve">10. </w:t>
            </w:r>
            <w:r w:rsidRPr="00221FF0">
              <w:rPr>
                <w:bCs/>
                <w:sz w:val="24"/>
                <w:szCs w:val="24"/>
              </w:rPr>
              <w:t>§ 9,</w:t>
            </w:r>
            <w:r w:rsidRPr="00221FF0">
              <w:rPr>
                <w:b/>
                <w:sz w:val="24"/>
                <w:szCs w:val="24"/>
              </w:rPr>
              <w:t xml:space="preserve"> </w:t>
            </w:r>
            <w:r w:rsidRPr="00221FF0">
              <w:rPr>
                <w:sz w:val="24"/>
                <w:szCs w:val="24"/>
              </w:rPr>
              <w:t>stk. 5, affattes således:</w:t>
            </w:r>
          </w:p>
          <w:p w14:paraId="3065A6B4" w14:textId="6A82E455" w:rsidR="009819E5" w:rsidRPr="00221FF0" w:rsidRDefault="009819E5" w:rsidP="00D036E8">
            <w:pPr>
              <w:rPr>
                <w:sz w:val="24"/>
                <w:szCs w:val="24"/>
              </w:rPr>
            </w:pPr>
            <w:r w:rsidRPr="00221FF0">
              <w:rPr>
                <w:sz w:val="24"/>
                <w:szCs w:val="24"/>
              </w:rPr>
              <w:br/>
              <w:t xml:space="preserve">” </w:t>
            </w:r>
            <w:r w:rsidRPr="00221FF0">
              <w:rPr>
                <w:i/>
                <w:iCs/>
                <w:sz w:val="24"/>
                <w:szCs w:val="24"/>
              </w:rPr>
              <w:t> Stk. 5.</w:t>
            </w:r>
            <w:r w:rsidRPr="00221FF0">
              <w:rPr>
                <w:sz w:val="24"/>
                <w:szCs w:val="24"/>
              </w:rPr>
              <w:t xml:space="preserve">  Sikkerhedsplanen skal være baseret på risikovurderingen af aktiviteten og skal indeholde:”</w:t>
            </w:r>
          </w:p>
          <w:p w14:paraId="46B91EE9" w14:textId="77777777" w:rsidR="009819E5" w:rsidRPr="00221FF0" w:rsidRDefault="009819E5" w:rsidP="00D036E8">
            <w:pPr>
              <w:widowControl/>
              <w:autoSpaceDE/>
              <w:autoSpaceDN/>
              <w:adjustRightInd/>
              <w:rPr>
                <w:b/>
                <w:bCs/>
                <w:sz w:val="24"/>
                <w:szCs w:val="24"/>
              </w:rPr>
            </w:pPr>
          </w:p>
        </w:tc>
      </w:tr>
      <w:tr w:rsidR="00B12E41" w:rsidRPr="00221FF0" w14:paraId="1A27F7B9" w14:textId="77777777" w:rsidTr="00D036E8">
        <w:tc>
          <w:tcPr>
            <w:tcW w:w="4530" w:type="dxa"/>
          </w:tcPr>
          <w:p w14:paraId="59CF443D" w14:textId="77777777" w:rsidR="009819E5" w:rsidRPr="00221FF0" w:rsidRDefault="009819E5" w:rsidP="00D036E8">
            <w:pPr>
              <w:widowControl/>
              <w:autoSpaceDE/>
              <w:autoSpaceDN/>
              <w:adjustRightInd/>
              <w:rPr>
                <w:b/>
                <w:bCs/>
                <w:sz w:val="24"/>
                <w:szCs w:val="24"/>
              </w:rPr>
            </w:pPr>
          </w:p>
          <w:p w14:paraId="78F70219" w14:textId="77777777" w:rsidR="00B12E41" w:rsidRPr="00221FF0" w:rsidRDefault="00B12E41" w:rsidP="00D036E8">
            <w:pPr>
              <w:widowControl/>
              <w:autoSpaceDE/>
              <w:autoSpaceDN/>
              <w:adjustRightInd/>
              <w:rPr>
                <w:b/>
                <w:bCs/>
                <w:sz w:val="24"/>
                <w:szCs w:val="24"/>
              </w:rPr>
            </w:pPr>
          </w:p>
          <w:p w14:paraId="7BD96E38" w14:textId="77777777" w:rsidR="009819E5" w:rsidRPr="00221FF0" w:rsidRDefault="009819E5" w:rsidP="00D036E8">
            <w:pPr>
              <w:widowControl/>
              <w:autoSpaceDE/>
              <w:autoSpaceDN/>
              <w:adjustRightInd/>
              <w:rPr>
                <w:sz w:val="24"/>
                <w:szCs w:val="24"/>
              </w:rPr>
            </w:pPr>
            <w:r w:rsidRPr="00221FF0">
              <w:rPr>
                <w:b/>
                <w:bCs/>
                <w:sz w:val="24"/>
                <w:szCs w:val="24"/>
              </w:rPr>
              <w:t>§ 11.</w:t>
            </w:r>
            <w:r w:rsidRPr="00221FF0">
              <w:rPr>
                <w:sz w:val="24"/>
                <w:szCs w:val="24"/>
              </w:rPr>
              <w:t>  Naalakkersuisut kan i særlige tilfælde dispensere fra kravene i §§ 7-10 og bestemmelser fastsat i medfør af denne inatsisartutlovs § 3, stk. 4, § 5, § 6, stk. 3, § 10, stk. 3, og § 15. En dispensation gælder for 2 år, men kan efter ansøgning forlænges i op til 2 år ad gangen. Naalakkersuisut kan knytte vilkår til en dispensation og til forlængelser heraf.</w:t>
            </w:r>
          </w:p>
        </w:tc>
        <w:tc>
          <w:tcPr>
            <w:tcW w:w="4530" w:type="dxa"/>
          </w:tcPr>
          <w:p w14:paraId="231D9F44" w14:textId="77777777" w:rsidR="00B12E41" w:rsidRPr="00221FF0" w:rsidRDefault="009819E5" w:rsidP="00B12E41">
            <w:pPr>
              <w:rPr>
                <w:sz w:val="24"/>
                <w:szCs w:val="24"/>
              </w:rPr>
            </w:pPr>
            <w:r w:rsidRPr="00221FF0">
              <w:rPr>
                <w:b/>
                <w:sz w:val="24"/>
                <w:szCs w:val="24"/>
              </w:rPr>
              <w:t>11</w:t>
            </w:r>
            <w:r w:rsidRPr="00221FF0">
              <w:rPr>
                <w:bCs/>
                <w:sz w:val="24"/>
                <w:szCs w:val="24"/>
              </w:rPr>
              <w:t>.</w:t>
            </w:r>
            <w:r w:rsidRPr="00221FF0">
              <w:rPr>
                <w:sz w:val="24"/>
                <w:szCs w:val="24"/>
              </w:rPr>
              <w:t xml:space="preserve"> </w:t>
            </w:r>
            <w:r w:rsidR="00B12E41" w:rsidRPr="00221FF0">
              <w:rPr>
                <w:sz w:val="24"/>
                <w:szCs w:val="24"/>
              </w:rPr>
              <w:t>§ 11 affattes således:</w:t>
            </w:r>
          </w:p>
          <w:p w14:paraId="16E99272" w14:textId="77777777" w:rsidR="00B12E41" w:rsidRPr="00221FF0" w:rsidRDefault="00B12E41" w:rsidP="00B12E41">
            <w:pPr>
              <w:rPr>
                <w:sz w:val="24"/>
                <w:szCs w:val="24"/>
              </w:rPr>
            </w:pPr>
          </w:p>
          <w:p w14:paraId="4273BAF6" w14:textId="77777777" w:rsidR="00B12E41" w:rsidRPr="00221FF0" w:rsidRDefault="00B12E41" w:rsidP="00B12E41">
            <w:pPr>
              <w:rPr>
                <w:sz w:val="24"/>
                <w:szCs w:val="24"/>
              </w:rPr>
            </w:pPr>
            <w:r w:rsidRPr="00221FF0">
              <w:rPr>
                <w:sz w:val="24"/>
                <w:szCs w:val="24"/>
              </w:rPr>
              <w:t>”</w:t>
            </w:r>
            <w:r w:rsidRPr="00221FF0">
              <w:rPr>
                <w:bCs/>
                <w:sz w:val="24"/>
                <w:szCs w:val="24"/>
              </w:rPr>
              <w:t xml:space="preserve">  </w:t>
            </w:r>
            <w:r w:rsidRPr="00221FF0">
              <w:rPr>
                <w:b/>
                <w:sz w:val="24"/>
                <w:szCs w:val="24"/>
              </w:rPr>
              <w:t>§ 11.</w:t>
            </w:r>
            <w:r w:rsidRPr="00221FF0">
              <w:rPr>
                <w:bCs/>
                <w:sz w:val="24"/>
                <w:szCs w:val="24"/>
              </w:rPr>
              <w:t xml:space="preserve">  </w:t>
            </w:r>
            <w:r w:rsidRPr="00221FF0">
              <w:rPr>
                <w:sz w:val="24"/>
                <w:szCs w:val="24"/>
              </w:rPr>
              <w:t xml:space="preserve">Til virksomheder, som allerede var etableret på tidspunktet for Inatsisartutlovens ikrafttræden, jf. § 18, stk. 2, kan Naalakkersuisut i særlige tilfælde dispensere fra kravene i </w:t>
            </w:r>
            <w:bookmarkStart w:id="14" w:name="_Hlk214711192"/>
            <w:r w:rsidRPr="00221FF0">
              <w:rPr>
                <w:sz w:val="24"/>
                <w:szCs w:val="24"/>
              </w:rPr>
              <w:t>§ 7, nr. 1 og 2, § 8, nr. 1 og 3-5, samt §§ 9-10 og fra bestemmelser fastsat i medfør af denne Inatsisartutlovs § 5</w:t>
            </w:r>
            <w:bookmarkEnd w:id="14"/>
            <w:r w:rsidRPr="00221FF0">
              <w:rPr>
                <w:sz w:val="24"/>
                <w:szCs w:val="24"/>
              </w:rPr>
              <w:t>. En dispensation gælder for 5 år, men kan efter ansøgning forlænges i op til 2 år. Naalakkersuisut kan fastsætte vilkår til en dispensation og til forlængelser heraf.”</w:t>
            </w:r>
          </w:p>
          <w:p w14:paraId="6CD83F3D" w14:textId="0DEAD51B" w:rsidR="00B12E41" w:rsidRPr="00221FF0" w:rsidRDefault="00B12E41" w:rsidP="00B12E41">
            <w:pPr>
              <w:rPr>
                <w:sz w:val="24"/>
                <w:szCs w:val="24"/>
              </w:rPr>
            </w:pPr>
            <w:r w:rsidRPr="00221FF0">
              <w:rPr>
                <w:sz w:val="24"/>
                <w:szCs w:val="24"/>
              </w:rPr>
              <w:t xml:space="preserve">  </w:t>
            </w:r>
            <w:r w:rsidRPr="00221FF0">
              <w:rPr>
                <w:i/>
                <w:iCs/>
                <w:sz w:val="24"/>
                <w:szCs w:val="24"/>
              </w:rPr>
              <w:t xml:space="preserve">Stk. 2.  </w:t>
            </w:r>
            <w:r w:rsidRPr="00221FF0">
              <w:rPr>
                <w:sz w:val="24"/>
                <w:szCs w:val="24"/>
              </w:rPr>
              <w:t xml:space="preserve">Naalakkersuisut kan fastsætte nærmere regler om kravene til og procedurerne for </w:t>
            </w:r>
            <w:r w:rsidR="00DC2D26" w:rsidRPr="00221FF0">
              <w:rPr>
                <w:sz w:val="24"/>
                <w:szCs w:val="24"/>
              </w:rPr>
              <w:t>udstedelse</w:t>
            </w:r>
            <w:r w:rsidRPr="00221FF0">
              <w:rPr>
                <w:sz w:val="24"/>
                <w:szCs w:val="24"/>
              </w:rPr>
              <w:t xml:space="preserve"> af </w:t>
            </w:r>
            <w:r w:rsidRPr="00221FF0">
              <w:rPr>
                <w:sz w:val="24"/>
                <w:szCs w:val="24"/>
              </w:rPr>
              <w:lastRenderedPageBreak/>
              <w:t>dispensationer i medfør af stk. 1.”</w:t>
            </w:r>
          </w:p>
          <w:p w14:paraId="7733D2B9" w14:textId="3EFEF920" w:rsidR="009819E5" w:rsidRPr="00221FF0" w:rsidRDefault="009819E5" w:rsidP="00D036E8">
            <w:pPr>
              <w:rPr>
                <w:b/>
                <w:bCs/>
                <w:sz w:val="24"/>
                <w:szCs w:val="24"/>
              </w:rPr>
            </w:pPr>
          </w:p>
        </w:tc>
      </w:tr>
      <w:tr w:rsidR="00153F97" w:rsidRPr="00221FF0" w14:paraId="375BBC13" w14:textId="77777777" w:rsidTr="009443BA">
        <w:tc>
          <w:tcPr>
            <w:tcW w:w="4530" w:type="dxa"/>
          </w:tcPr>
          <w:p w14:paraId="40F9E091" w14:textId="77777777" w:rsidR="00153F97" w:rsidRPr="00221FF0" w:rsidRDefault="00153F97" w:rsidP="009E1906">
            <w:pPr>
              <w:rPr>
                <w:b/>
                <w:bCs/>
              </w:rPr>
            </w:pPr>
          </w:p>
        </w:tc>
        <w:tc>
          <w:tcPr>
            <w:tcW w:w="4530" w:type="dxa"/>
          </w:tcPr>
          <w:p w14:paraId="3F133A75" w14:textId="77777777" w:rsidR="00B12E41" w:rsidRPr="00221FF0" w:rsidRDefault="00B12E41" w:rsidP="00B12E41">
            <w:pPr>
              <w:rPr>
                <w:sz w:val="24"/>
                <w:szCs w:val="24"/>
              </w:rPr>
            </w:pPr>
            <w:r w:rsidRPr="00221FF0">
              <w:rPr>
                <w:b/>
                <w:bCs/>
                <w:sz w:val="24"/>
                <w:szCs w:val="24"/>
              </w:rPr>
              <w:t>12.</w:t>
            </w:r>
            <w:r w:rsidRPr="00221FF0">
              <w:rPr>
                <w:sz w:val="24"/>
                <w:szCs w:val="24"/>
              </w:rPr>
              <w:t xml:space="preserve"> Efter § 11 indsættes før kapitel 7:</w:t>
            </w:r>
          </w:p>
          <w:p w14:paraId="0BCE0284" w14:textId="77777777" w:rsidR="00B12E41" w:rsidRPr="00221FF0" w:rsidRDefault="00B12E41" w:rsidP="00B12E41">
            <w:pPr>
              <w:jc w:val="center"/>
              <w:rPr>
                <w:i/>
                <w:iCs/>
                <w:sz w:val="24"/>
                <w:szCs w:val="24"/>
              </w:rPr>
            </w:pPr>
          </w:p>
          <w:p w14:paraId="1249104C" w14:textId="49F9B628" w:rsidR="00B12E41" w:rsidRPr="00221FF0" w:rsidRDefault="00B12E41" w:rsidP="00B12E41">
            <w:pPr>
              <w:jc w:val="center"/>
              <w:rPr>
                <w:i/>
                <w:iCs/>
                <w:sz w:val="24"/>
                <w:szCs w:val="24"/>
              </w:rPr>
            </w:pPr>
            <w:r w:rsidRPr="00221FF0">
              <w:rPr>
                <w:i/>
                <w:iCs/>
                <w:sz w:val="24"/>
                <w:szCs w:val="24"/>
              </w:rPr>
              <w:t>Særlige dispensationsmuligheder for områder</w:t>
            </w:r>
          </w:p>
          <w:p w14:paraId="1802F493" w14:textId="77777777" w:rsidR="00B12E41" w:rsidRPr="00221FF0" w:rsidRDefault="00B12E41" w:rsidP="00B12E41">
            <w:pPr>
              <w:jc w:val="center"/>
              <w:rPr>
                <w:i/>
                <w:iCs/>
                <w:sz w:val="24"/>
                <w:szCs w:val="24"/>
              </w:rPr>
            </w:pPr>
          </w:p>
          <w:p w14:paraId="446D7163" w14:textId="0B79EFD2" w:rsidR="00B12E41" w:rsidRPr="00221FF0" w:rsidRDefault="00B12E41" w:rsidP="00B12E41">
            <w:pPr>
              <w:rPr>
                <w:sz w:val="24"/>
                <w:szCs w:val="24"/>
              </w:rPr>
            </w:pPr>
            <w:r w:rsidRPr="00221FF0">
              <w:rPr>
                <w:b/>
                <w:bCs/>
                <w:sz w:val="24"/>
                <w:szCs w:val="24"/>
              </w:rPr>
              <w:t xml:space="preserve">  § 11 a.</w:t>
            </w:r>
            <w:r w:rsidRPr="00221FF0">
              <w:rPr>
                <w:sz w:val="24"/>
                <w:szCs w:val="24"/>
              </w:rPr>
              <w:t xml:space="preserve">  Naalakkersuisut kan </w:t>
            </w:r>
            <w:r w:rsidR="00DC2D26" w:rsidRPr="00221FF0">
              <w:rPr>
                <w:sz w:val="24"/>
                <w:szCs w:val="24"/>
              </w:rPr>
              <w:t>udstede</w:t>
            </w:r>
            <w:r w:rsidRPr="00221FF0">
              <w:rPr>
                <w:sz w:val="24"/>
                <w:szCs w:val="24"/>
              </w:rPr>
              <w:t xml:space="preserve"> dispensation fra kravene i §§ 7, nr. 1 og 2, § 8, nr. 1 og 3-5 for turismeaktiviteter i områder, hvor der ikke findes etablerede </w:t>
            </w:r>
            <w:r w:rsidRPr="00221FF0">
              <w:t>turistvirksomheder</w:t>
            </w:r>
            <w:r w:rsidRPr="00221FF0">
              <w:rPr>
                <w:sz w:val="24"/>
                <w:szCs w:val="24"/>
              </w:rPr>
              <w:t>, eller hvor antallet af aktører er så begrænset, at efterspørgslen på turismeaktiviteter ikke kan dækkes.</w:t>
            </w:r>
          </w:p>
          <w:p w14:paraId="35A3AF78" w14:textId="1CB43FB5" w:rsidR="00B12E41" w:rsidRPr="00221FF0" w:rsidRDefault="00B12E41" w:rsidP="00B12E41">
            <w:pPr>
              <w:rPr>
                <w:sz w:val="24"/>
                <w:szCs w:val="24"/>
              </w:rPr>
            </w:pPr>
            <w:r w:rsidRPr="00221FF0">
              <w:rPr>
                <w:sz w:val="24"/>
                <w:szCs w:val="24"/>
              </w:rPr>
              <w:t xml:space="preserve">  </w:t>
            </w:r>
            <w:r w:rsidRPr="00221FF0">
              <w:rPr>
                <w:i/>
                <w:iCs/>
                <w:sz w:val="24"/>
                <w:szCs w:val="24"/>
              </w:rPr>
              <w:t>Stk. 2.</w:t>
            </w:r>
            <w:r w:rsidRPr="00221FF0">
              <w:rPr>
                <w:sz w:val="24"/>
                <w:szCs w:val="24"/>
              </w:rPr>
              <w:t xml:space="preserve">  </w:t>
            </w:r>
            <w:bookmarkStart w:id="15" w:name="_Hlk214640907"/>
            <w:r w:rsidRPr="00221FF0">
              <w:rPr>
                <w:sz w:val="24"/>
                <w:szCs w:val="24"/>
              </w:rPr>
              <w:t xml:space="preserve">Dispensation efter stk. 1 </w:t>
            </w:r>
            <w:r w:rsidR="00DC2D26" w:rsidRPr="00221FF0">
              <w:rPr>
                <w:sz w:val="24"/>
                <w:szCs w:val="24"/>
              </w:rPr>
              <w:t>udstedes</w:t>
            </w:r>
            <w:r w:rsidRPr="00221FF0">
              <w:rPr>
                <w:sz w:val="24"/>
                <w:szCs w:val="24"/>
              </w:rPr>
              <w:t xml:space="preserve"> for en periode på 3 år. Dispensationen kan efter ansøgning forlænges med</w:t>
            </w:r>
            <w:r w:rsidR="0074680D" w:rsidRPr="00221FF0">
              <w:rPr>
                <w:sz w:val="24"/>
                <w:szCs w:val="24"/>
              </w:rPr>
              <w:t xml:space="preserve"> </w:t>
            </w:r>
            <w:r w:rsidRPr="00221FF0">
              <w:rPr>
                <w:sz w:val="24"/>
                <w:szCs w:val="24"/>
              </w:rPr>
              <w:t>2 år ad gangen.</w:t>
            </w:r>
          </w:p>
          <w:bookmarkEnd w:id="15"/>
          <w:p w14:paraId="638F5387" w14:textId="77777777" w:rsidR="00B12E41" w:rsidRPr="00221FF0" w:rsidRDefault="00B12E41" w:rsidP="00B12E41">
            <w:pPr>
              <w:rPr>
                <w:sz w:val="24"/>
                <w:szCs w:val="24"/>
              </w:rPr>
            </w:pPr>
          </w:p>
          <w:p w14:paraId="4D28F56A" w14:textId="0C844015" w:rsidR="00153F97" w:rsidRPr="00221FF0" w:rsidRDefault="00B12E41" w:rsidP="00B12E41">
            <w:pPr>
              <w:rPr>
                <w:b/>
              </w:rPr>
            </w:pPr>
            <w:r w:rsidRPr="00221FF0">
              <w:rPr>
                <w:b/>
                <w:bCs/>
                <w:sz w:val="24"/>
                <w:szCs w:val="24"/>
              </w:rPr>
              <w:t xml:space="preserve">  § 11 b  </w:t>
            </w:r>
            <w:r w:rsidRPr="00221FF0">
              <w:rPr>
                <w:sz w:val="24"/>
                <w:szCs w:val="24"/>
              </w:rPr>
              <w:t>Naalakkersuisut kan fastsætte nærmere regler om udstedelse af dispensationer i medfør af § 11 og 11 a.”</w:t>
            </w:r>
          </w:p>
        </w:tc>
      </w:tr>
      <w:tr w:rsidR="00166726" w:rsidRPr="00221FF0" w14:paraId="7AEE0D98" w14:textId="77777777" w:rsidTr="009443BA">
        <w:tc>
          <w:tcPr>
            <w:tcW w:w="4530" w:type="dxa"/>
          </w:tcPr>
          <w:p w14:paraId="11462A1E" w14:textId="77777777" w:rsidR="00166726" w:rsidRPr="00221FF0" w:rsidRDefault="00166726" w:rsidP="009E1906">
            <w:pPr>
              <w:rPr>
                <w:b/>
                <w:bCs/>
                <w:sz w:val="24"/>
                <w:szCs w:val="24"/>
              </w:rPr>
            </w:pPr>
          </w:p>
          <w:p w14:paraId="4BCA8888" w14:textId="77777777" w:rsidR="00166726" w:rsidRPr="00221FF0" w:rsidRDefault="00166726" w:rsidP="009E1906">
            <w:pPr>
              <w:rPr>
                <w:b/>
                <w:bCs/>
                <w:sz w:val="24"/>
                <w:szCs w:val="24"/>
              </w:rPr>
            </w:pPr>
          </w:p>
          <w:p w14:paraId="635210D6" w14:textId="77777777" w:rsidR="00166726" w:rsidRPr="00221FF0" w:rsidRDefault="00166726" w:rsidP="00B12E41">
            <w:pPr>
              <w:rPr>
                <w:i/>
                <w:iCs/>
                <w:sz w:val="24"/>
                <w:szCs w:val="24"/>
              </w:rPr>
            </w:pPr>
          </w:p>
        </w:tc>
        <w:tc>
          <w:tcPr>
            <w:tcW w:w="4530" w:type="dxa"/>
          </w:tcPr>
          <w:p w14:paraId="52D8E29A" w14:textId="77777777" w:rsidR="00B12E41" w:rsidRPr="00221FF0" w:rsidRDefault="00B12E41" w:rsidP="00B12E41">
            <w:pPr>
              <w:rPr>
                <w:bCs/>
                <w:sz w:val="24"/>
                <w:szCs w:val="24"/>
              </w:rPr>
            </w:pPr>
            <w:r w:rsidRPr="00221FF0">
              <w:rPr>
                <w:b/>
                <w:bCs/>
                <w:sz w:val="24"/>
                <w:szCs w:val="24"/>
              </w:rPr>
              <w:t>13.</w:t>
            </w:r>
            <w:r w:rsidRPr="00221FF0">
              <w:rPr>
                <w:sz w:val="24"/>
                <w:szCs w:val="24"/>
              </w:rPr>
              <w:t xml:space="preserve"> Kapitel 9 affattes således</w:t>
            </w:r>
            <w:r w:rsidRPr="00221FF0">
              <w:rPr>
                <w:bCs/>
                <w:sz w:val="24"/>
                <w:szCs w:val="24"/>
              </w:rPr>
              <w:t>:</w:t>
            </w:r>
          </w:p>
          <w:p w14:paraId="657A199E" w14:textId="77777777" w:rsidR="00B12E41" w:rsidRPr="00221FF0" w:rsidRDefault="00B12E41" w:rsidP="00B12E41">
            <w:pPr>
              <w:rPr>
                <w:bCs/>
                <w:sz w:val="24"/>
                <w:szCs w:val="24"/>
              </w:rPr>
            </w:pPr>
          </w:p>
          <w:p w14:paraId="18359CEA" w14:textId="77777777" w:rsidR="00B12E41" w:rsidRPr="00221FF0" w:rsidRDefault="00B12E41" w:rsidP="00B12E41">
            <w:pPr>
              <w:jc w:val="center"/>
              <w:rPr>
                <w:b/>
                <w:bCs/>
                <w:sz w:val="24"/>
                <w:szCs w:val="24"/>
              </w:rPr>
            </w:pPr>
            <w:bookmarkStart w:id="16" w:name="_Hlk213576372"/>
            <w:r w:rsidRPr="00221FF0">
              <w:rPr>
                <w:bCs/>
                <w:sz w:val="24"/>
                <w:szCs w:val="24"/>
              </w:rPr>
              <w:t>”</w:t>
            </w:r>
            <w:r w:rsidRPr="00221FF0">
              <w:rPr>
                <w:b/>
                <w:bCs/>
                <w:sz w:val="24"/>
                <w:szCs w:val="24"/>
              </w:rPr>
              <w:t>Kapitel 9</w:t>
            </w:r>
          </w:p>
          <w:p w14:paraId="5BD180AB" w14:textId="77777777" w:rsidR="00B12E41" w:rsidRPr="00221FF0" w:rsidRDefault="00B12E41" w:rsidP="00B12E41">
            <w:pPr>
              <w:jc w:val="center"/>
              <w:rPr>
                <w:i/>
                <w:iCs/>
                <w:sz w:val="24"/>
                <w:szCs w:val="24"/>
              </w:rPr>
            </w:pPr>
            <w:r w:rsidRPr="00221FF0">
              <w:rPr>
                <w:i/>
                <w:iCs/>
                <w:sz w:val="24"/>
                <w:szCs w:val="24"/>
              </w:rPr>
              <w:t>Zoneinddeling for erhvervsmæssig virksomhed og for personer, der færdes eller tager ophold i landet</w:t>
            </w:r>
          </w:p>
          <w:p w14:paraId="0F41FACA" w14:textId="77777777" w:rsidR="00B12E41" w:rsidRPr="00221FF0" w:rsidRDefault="00B12E41" w:rsidP="00B12E41">
            <w:pPr>
              <w:jc w:val="center"/>
              <w:rPr>
                <w:bCs/>
                <w:sz w:val="24"/>
                <w:szCs w:val="24"/>
              </w:rPr>
            </w:pPr>
          </w:p>
          <w:p w14:paraId="713EC29D" w14:textId="77777777" w:rsidR="00B12E41" w:rsidRPr="00221FF0" w:rsidRDefault="00B12E41" w:rsidP="00B12E41">
            <w:pPr>
              <w:rPr>
                <w:sz w:val="24"/>
                <w:szCs w:val="24"/>
              </w:rPr>
            </w:pPr>
            <w:r w:rsidRPr="00221FF0">
              <w:rPr>
                <w:b/>
                <w:bCs/>
                <w:sz w:val="24"/>
                <w:szCs w:val="24"/>
              </w:rPr>
              <w:t>§ 15.</w:t>
            </w:r>
            <w:r w:rsidRPr="00221FF0">
              <w:rPr>
                <w:bCs/>
                <w:sz w:val="24"/>
                <w:szCs w:val="24"/>
              </w:rPr>
              <w:t xml:space="preserve">  </w:t>
            </w:r>
            <w:r w:rsidRPr="00221FF0">
              <w:rPr>
                <w:sz w:val="24"/>
                <w:szCs w:val="24"/>
              </w:rPr>
              <w:t xml:space="preserve">Naalakkersuisut </w:t>
            </w:r>
            <w:r w:rsidRPr="00221FF0">
              <w:rPr>
                <w:bCs/>
                <w:sz w:val="24"/>
                <w:szCs w:val="24"/>
              </w:rPr>
              <w:t>kan fastsætte nærmere regler om, at erhvervsmæssig virksomhed</w:t>
            </w:r>
            <w:bookmarkStart w:id="17" w:name="_Hlk214641570"/>
            <w:r w:rsidRPr="00221FF0">
              <w:rPr>
                <w:bCs/>
                <w:sz w:val="24"/>
                <w:szCs w:val="24"/>
              </w:rPr>
              <w:t xml:space="preserve">, </w:t>
            </w:r>
            <w:bookmarkStart w:id="18" w:name="_Hlk214713730"/>
            <w:r w:rsidRPr="00221FF0">
              <w:rPr>
                <w:bCs/>
                <w:sz w:val="24"/>
                <w:szCs w:val="24"/>
              </w:rPr>
              <w:t xml:space="preserve">turistvirksomhed samt personers færden og ophold, jf. § 1, stk. 1-3, </w:t>
            </w:r>
            <w:bookmarkEnd w:id="17"/>
            <w:bookmarkEnd w:id="18"/>
            <w:r w:rsidRPr="00221FF0">
              <w:rPr>
                <w:bCs/>
                <w:sz w:val="24"/>
                <w:szCs w:val="24"/>
              </w:rPr>
              <w:t>kun kan finde sted i nærmere bestemte områder, i nærmere fastlagte perioder eller under overholdelse af særlige vilkår, og om hvilke procedurer der gælder i forbindelse med udpegningen af disse områder.</w:t>
            </w:r>
          </w:p>
          <w:p w14:paraId="0FBCF9D3" w14:textId="752355F3" w:rsidR="00B12E41" w:rsidRPr="00221FF0" w:rsidRDefault="00B12E41" w:rsidP="00B12E41">
            <w:pPr>
              <w:rPr>
                <w:sz w:val="24"/>
                <w:szCs w:val="24"/>
              </w:rPr>
            </w:pPr>
            <w:r w:rsidRPr="00221FF0">
              <w:rPr>
                <w:i/>
                <w:iCs/>
                <w:sz w:val="24"/>
                <w:szCs w:val="24"/>
              </w:rPr>
              <w:t xml:space="preserve">  Stk. 2.  </w:t>
            </w:r>
            <w:r w:rsidRPr="00221FF0">
              <w:rPr>
                <w:sz w:val="24"/>
                <w:szCs w:val="24"/>
              </w:rPr>
              <w:t xml:space="preserve">Naalakkersuisut kan fastsætte regler om, at turistvirksomhed, erhvervsmæssig virksomhed eller fysiske personer, der ikke </w:t>
            </w:r>
            <w:r w:rsidRPr="00221FF0">
              <w:rPr>
                <w:sz w:val="24"/>
                <w:szCs w:val="24"/>
              </w:rPr>
              <w:lastRenderedPageBreak/>
              <w:t>har fast bopæl i Grønland, på nærmere udpegede ruter:</w:t>
            </w:r>
          </w:p>
          <w:p w14:paraId="5FC8BFA2" w14:textId="77777777" w:rsidR="00B12E41" w:rsidRPr="00221FF0" w:rsidRDefault="00B12E41" w:rsidP="00B12E41">
            <w:pPr>
              <w:rPr>
                <w:sz w:val="24"/>
                <w:szCs w:val="24"/>
              </w:rPr>
            </w:pPr>
            <w:r w:rsidRPr="00221FF0">
              <w:rPr>
                <w:sz w:val="24"/>
                <w:szCs w:val="24"/>
              </w:rPr>
              <w:t>1) registrerer vandring, færdsel eller ophold forud for turens påbegyndelse,</w:t>
            </w:r>
          </w:p>
          <w:p w14:paraId="336C9B98" w14:textId="77777777" w:rsidR="00B12E41" w:rsidRPr="00221FF0" w:rsidRDefault="00B12E41" w:rsidP="00B12E41">
            <w:pPr>
              <w:rPr>
                <w:sz w:val="24"/>
                <w:szCs w:val="24"/>
              </w:rPr>
            </w:pPr>
            <w:r w:rsidRPr="00221FF0">
              <w:rPr>
                <w:sz w:val="24"/>
                <w:szCs w:val="24"/>
              </w:rPr>
              <w:t>2) erhverver et vandrebevis, som udstedes af kommunerne mod et gebyr, og som kan indeholde oplysninger om rutevalg, opholdssted, forventet varighed, kontaktoplysninger og anden relevant information til brug for beredskab og redning,</w:t>
            </w:r>
          </w:p>
          <w:bookmarkEnd w:id="16"/>
          <w:p w14:paraId="0E268135" w14:textId="77777777" w:rsidR="00B145D6" w:rsidRPr="00221FF0" w:rsidRDefault="00B145D6" w:rsidP="00B145D6">
            <w:pPr>
              <w:rPr>
                <w:bCs/>
                <w:sz w:val="24"/>
                <w:szCs w:val="24"/>
              </w:rPr>
            </w:pPr>
            <w:r w:rsidRPr="00221FF0">
              <w:rPr>
                <w:sz w:val="24"/>
                <w:szCs w:val="24"/>
              </w:rPr>
              <w:t>3)</w:t>
            </w:r>
            <w:r w:rsidRPr="00221FF0">
              <w:rPr>
                <w:bCs/>
                <w:sz w:val="24"/>
                <w:szCs w:val="24"/>
              </w:rPr>
              <w:t xml:space="preserve"> kan dokumentere vandrebevis og gyldig rejseforsikring eller redningsforsikring, der dækker vandring, færdsel eller ophold på de udpegede ruter og fremlægge dette over for nærmere udpegede myndigheder på forlangende under vandringen, færdslen eller opholdet.</w:t>
            </w:r>
          </w:p>
          <w:p w14:paraId="5BD44F2B" w14:textId="5B8165AD" w:rsidR="00166726" w:rsidRPr="00221FF0" w:rsidRDefault="00166726" w:rsidP="009E1906">
            <w:pPr>
              <w:rPr>
                <w:b/>
                <w:sz w:val="24"/>
                <w:szCs w:val="24"/>
              </w:rPr>
            </w:pPr>
          </w:p>
        </w:tc>
      </w:tr>
      <w:tr w:rsidR="00166726" w:rsidRPr="00F03A7C" w14:paraId="317B8B58" w14:textId="77777777" w:rsidTr="009443BA">
        <w:tc>
          <w:tcPr>
            <w:tcW w:w="4530" w:type="dxa"/>
          </w:tcPr>
          <w:p w14:paraId="21777B1E" w14:textId="77777777" w:rsidR="00166726" w:rsidRPr="00221FF0" w:rsidRDefault="00166726" w:rsidP="009E1906">
            <w:pPr>
              <w:rPr>
                <w:b/>
                <w:bCs/>
                <w:sz w:val="24"/>
                <w:szCs w:val="24"/>
              </w:rPr>
            </w:pPr>
          </w:p>
        </w:tc>
        <w:tc>
          <w:tcPr>
            <w:tcW w:w="4530" w:type="dxa"/>
          </w:tcPr>
          <w:p w14:paraId="7FBAE425" w14:textId="77777777" w:rsidR="00166726" w:rsidRPr="00221FF0" w:rsidRDefault="00166726" w:rsidP="009E1906">
            <w:pPr>
              <w:jc w:val="center"/>
              <w:rPr>
                <w:b/>
                <w:bCs/>
                <w:sz w:val="24"/>
                <w:szCs w:val="24"/>
              </w:rPr>
            </w:pPr>
          </w:p>
          <w:p w14:paraId="3FCF4CC3" w14:textId="77777777" w:rsidR="00166726" w:rsidRPr="00221FF0" w:rsidRDefault="00166726" w:rsidP="009E1906">
            <w:pPr>
              <w:jc w:val="center"/>
              <w:rPr>
                <w:b/>
                <w:bCs/>
                <w:sz w:val="24"/>
                <w:szCs w:val="24"/>
              </w:rPr>
            </w:pPr>
            <w:r w:rsidRPr="00221FF0">
              <w:rPr>
                <w:b/>
                <w:bCs/>
                <w:sz w:val="24"/>
                <w:szCs w:val="24"/>
              </w:rPr>
              <w:t>§ 2</w:t>
            </w:r>
          </w:p>
          <w:p w14:paraId="0EC0AF48" w14:textId="77777777" w:rsidR="00166726" w:rsidRPr="00221FF0" w:rsidRDefault="00166726" w:rsidP="009E1906">
            <w:pPr>
              <w:widowControl/>
              <w:autoSpaceDE/>
              <w:autoSpaceDN/>
              <w:adjustRightInd/>
              <w:rPr>
                <w:sz w:val="24"/>
                <w:szCs w:val="24"/>
              </w:rPr>
            </w:pPr>
          </w:p>
          <w:p w14:paraId="3AA19580" w14:textId="77777777" w:rsidR="00B12E41" w:rsidRPr="00221FF0" w:rsidRDefault="00B12E41" w:rsidP="00B12E41">
            <w:pPr>
              <w:keepNext/>
              <w:widowControl/>
              <w:autoSpaceDE/>
              <w:autoSpaceDN/>
              <w:adjustRightInd/>
              <w:rPr>
                <w:sz w:val="24"/>
                <w:szCs w:val="24"/>
              </w:rPr>
            </w:pPr>
            <w:r w:rsidRPr="00221FF0">
              <w:rPr>
                <w:sz w:val="24"/>
                <w:szCs w:val="24"/>
              </w:rPr>
              <w:t>Inatsisartutloven træder i kraft den 1. juli 2026.</w:t>
            </w:r>
          </w:p>
          <w:p w14:paraId="63F114F5" w14:textId="77777777" w:rsidR="00B12E41" w:rsidRPr="00221FF0" w:rsidRDefault="00B12E41" w:rsidP="00B12E41">
            <w:pPr>
              <w:rPr>
                <w:sz w:val="24"/>
                <w:szCs w:val="24"/>
              </w:rPr>
            </w:pPr>
            <w:r w:rsidRPr="00221FF0">
              <w:rPr>
                <w:i/>
                <w:iCs/>
                <w:sz w:val="24"/>
                <w:szCs w:val="24"/>
              </w:rPr>
              <w:t xml:space="preserve">  Stk. 2.  </w:t>
            </w:r>
            <w:r w:rsidRPr="00221FF0">
              <w:rPr>
                <w:sz w:val="24"/>
                <w:szCs w:val="24"/>
              </w:rPr>
              <w:t>Dispensationer, der er udstedt inden lovens ikrafttræden i medfør af hidtil gældende § 11, forlænges automatisk til at gælde i 5 år fra det oprindelige tidspunkt for udstedelse af dispensation, medmindre andet følger af vilkår fastsat i den enkelte afgørelse.</w:t>
            </w:r>
          </w:p>
          <w:p w14:paraId="32BDE375" w14:textId="77777777" w:rsidR="00B12E41" w:rsidRPr="00B12E41" w:rsidRDefault="00B12E41" w:rsidP="00B12E41">
            <w:pPr>
              <w:rPr>
                <w:sz w:val="24"/>
                <w:szCs w:val="24"/>
              </w:rPr>
            </w:pPr>
            <w:r w:rsidRPr="00221FF0">
              <w:rPr>
                <w:i/>
                <w:iCs/>
                <w:sz w:val="24"/>
                <w:szCs w:val="24"/>
              </w:rPr>
              <w:t xml:space="preserve">  Stk. 3. </w:t>
            </w:r>
            <w:r w:rsidRPr="00221FF0">
              <w:rPr>
                <w:sz w:val="24"/>
                <w:szCs w:val="24"/>
              </w:rPr>
              <w:t xml:space="preserve"> Naalakkersuisut kan, hvis der foreligger væsentlige ændringer i virksomhedens forhold eller hvis virksomheden har overtrådt væsentlige vilkår for dispensation, beslutte, at en dispensation ikke forlænges ud over den oprindelige periode i medfør af stk. 2.</w:t>
            </w:r>
          </w:p>
          <w:p w14:paraId="63B1A7B4" w14:textId="0B3D89EA" w:rsidR="00166726" w:rsidRPr="00F03A7C" w:rsidRDefault="00166726" w:rsidP="009E1906">
            <w:pPr>
              <w:rPr>
                <w:sz w:val="24"/>
                <w:szCs w:val="24"/>
              </w:rPr>
            </w:pPr>
          </w:p>
        </w:tc>
      </w:tr>
    </w:tbl>
    <w:p w14:paraId="58009E3C" w14:textId="77777777" w:rsidR="00166726" w:rsidRPr="00F03A7C" w:rsidRDefault="00166726" w:rsidP="009E1906">
      <w:pPr>
        <w:widowControl/>
        <w:autoSpaceDE/>
        <w:autoSpaceDN/>
        <w:adjustRightInd/>
      </w:pPr>
    </w:p>
    <w:sectPr w:rsidR="00166726" w:rsidRPr="00F03A7C" w:rsidSect="00166726">
      <w:footerReference w:type="even" r:id="rId7"/>
      <w:footerReference w:type="default" r:id="rId8"/>
      <w:headerReference w:type="first" r:id="rId9"/>
      <w:footerReference w:type="first" r:id="rId10"/>
      <w:pgSz w:w="11906" w:h="16838" w:code="9"/>
      <w:pgMar w:top="1418" w:right="1418" w:bottom="1418" w:left="1418" w:header="1418" w:footer="14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B43F6" w14:textId="77777777" w:rsidR="00417C8D" w:rsidRDefault="00417C8D">
      <w:pPr>
        <w:spacing w:line="240" w:lineRule="auto"/>
      </w:pPr>
      <w:r>
        <w:separator/>
      </w:r>
    </w:p>
  </w:endnote>
  <w:endnote w:type="continuationSeparator" w:id="0">
    <w:p w14:paraId="54427DB6" w14:textId="77777777" w:rsidR="00417C8D" w:rsidRDefault="00417C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21099" w14:textId="77777777" w:rsidR="000A095E" w:rsidRDefault="00000000" w:rsidP="00C86101">
    <w:pPr>
      <w:pStyle w:val="Sidefod"/>
      <w:framePr w:wrap="around" w:vAnchor="text" w:hAnchor="margin" w:xAlign="center" w:y="1"/>
      <w:rPr>
        <w:rStyle w:val="Sidetal"/>
        <w:rFonts w:eastAsiaTheme="majorEastAsia"/>
      </w:rPr>
    </w:pPr>
    <w:r>
      <w:rPr>
        <w:rStyle w:val="Sidetal"/>
        <w:rFonts w:eastAsiaTheme="majorEastAsia"/>
      </w:rPr>
      <w:fldChar w:fldCharType="begin"/>
    </w:r>
    <w:r>
      <w:rPr>
        <w:rStyle w:val="Sidetal"/>
        <w:rFonts w:eastAsiaTheme="majorEastAsia"/>
      </w:rPr>
      <w:instrText xml:space="preserve">      </w:instrText>
    </w:r>
    <w:r>
      <w:rPr>
        <w:rStyle w:val="Sidetal"/>
        <w:rFonts w:eastAsiaTheme="majorEastAsia"/>
      </w:rPr>
      <w:fldChar w:fldCharType="end"/>
    </w:r>
  </w:p>
  <w:p w14:paraId="07D36FCA" w14:textId="77777777" w:rsidR="000A095E" w:rsidRDefault="000A095E">
    <w:pPr>
      <w:pStyle w:val="Sidefod"/>
    </w:pPr>
  </w:p>
  <w:p w14:paraId="55744052" w14:textId="77777777" w:rsidR="000A095E" w:rsidRDefault="000A09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847618"/>
      <w:docPartObj>
        <w:docPartGallery w:val="Page Numbers (Bottom of Page)"/>
        <w:docPartUnique/>
      </w:docPartObj>
    </w:sdtPr>
    <w:sdtContent>
      <w:p w14:paraId="58EDD572" w14:textId="77777777" w:rsidR="000A095E" w:rsidRDefault="00000000" w:rsidP="00EB2684">
        <w:pPr>
          <w:pStyle w:val="Sidefod"/>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98F2" w14:textId="77777777" w:rsidR="000A095E" w:rsidRPr="00DF0566" w:rsidRDefault="00000000" w:rsidP="00D23594">
    <w:pPr>
      <w:pStyle w:val="Sidefod"/>
      <w:spacing w:line="240" w:lineRule="auto"/>
      <w:rPr>
        <w:lang w:val="en-US"/>
      </w:rPr>
    </w:pPr>
    <w:r w:rsidRPr="00DF0566">
      <w:rPr>
        <w:lang w:val="en-US"/>
      </w:rPr>
      <w:t>__________________________</w:t>
    </w:r>
  </w:p>
  <w:p w14:paraId="4275444C" w14:textId="77777777" w:rsidR="000A095E" w:rsidRPr="00DF0566" w:rsidRDefault="00000000" w:rsidP="00D23594">
    <w:pPr>
      <w:pStyle w:val="Sidefod"/>
      <w:spacing w:line="240" w:lineRule="auto"/>
      <w:rPr>
        <w:lang w:val="en-US"/>
      </w:rPr>
    </w:pPr>
    <w:r>
      <w:rPr>
        <w:lang w:val="en-US"/>
      </w:rPr>
      <w:t>E</w:t>
    </w:r>
    <w:r w:rsidRPr="00DF0566">
      <w:rPr>
        <w:lang w:val="en-US"/>
      </w:rPr>
      <w:t>M</w:t>
    </w:r>
    <w:r>
      <w:rPr>
        <w:lang w:val="en-US"/>
      </w:rPr>
      <w:t>20XX</w:t>
    </w:r>
    <w:r w:rsidRPr="00DF0566">
      <w:rPr>
        <w:lang w:val="en-US"/>
      </w:rPr>
      <w:t>/XX</w:t>
    </w:r>
  </w:p>
  <w:p w14:paraId="27C9DCEB" w14:textId="77777777" w:rsidR="000A095E" w:rsidRPr="00DF0566" w:rsidRDefault="00000000" w:rsidP="00A21AFD">
    <w:pPr>
      <w:pStyle w:val="Sidefod"/>
      <w:tabs>
        <w:tab w:val="clear" w:pos="9638"/>
        <w:tab w:val="right" w:pos="9072"/>
      </w:tabs>
      <w:spacing w:line="240" w:lineRule="auto"/>
      <w:rPr>
        <w:lang w:val="en-US"/>
      </w:rPr>
    </w:pPr>
    <w:r>
      <w:rPr>
        <w:lang w:val="en-US"/>
      </w:rPr>
      <w:t xml:space="preserve">ISN </w:t>
    </w:r>
    <w:proofErr w:type="spellStart"/>
    <w:r>
      <w:rPr>
        <w:lang w:val="en-US"/>
      </w:rPr>
      <w:t>s</w:t>
    </w:r>
    <w:r w:rsidRPr="00DF0566">
      <w:rPr>
        <w:lang w:val="en-US"/>
      </w:rPr>
      <w:t>agsnr</w:t>
    </w:r>
    <w:proofErr w:type="spellEnd"/>
    <w:r w:rsidRPr="00DF0566">
      <w:rPr>
        <w:lang w:val="en-US"/>
      </w:rPr>
      <w:t>.</w:t>
    </w:r>
    <w:r w:rsidRPr="00DF0566">
      <w:rPr>
        <w:lang w:val="en-US"/>
      </w:rPr>
      <w:tab/>
    </w:r>
    <w:r>
      <w:rPr>
        <w:rStyle w:val="Sidetal"/>
        <w:rFonts w:eastAsiaTheme="majorEastAsia"/>
      </w:rPr>
      <w:fldChar w:fldCharType="begin"/>
    </w:r>
    <w:r w:rsidRPr="00DF0566">
      <w:rPr>
        <w:rStyle w:val="Sidetal"/>
        <w:rFonts w:eastAsiaTheme="majorEastAsia"/>
        <w:lang w:val="en-US"/>
      </w:rPr>
      <w:instrText xml:space="preserve"> PAGE </w:instrText>
    </w:r>
    <w:r>
      <w:rPr>
        <w:rStyle w:val="Sidetal"/>
        <w:rFonts w:eastAsiaTheme="majorEastAsia"/>
      </w:rPr>
      <w:fldChar w:fldCharType="separate"/>
    </w:r>
    <w:r>
      <w:rPr>
        <w:rStyle w:val="Sidetal"/>
        <w:rFonts w:eastAsiaTheme="majorEastAsia"/>
        <w:noProof/>
        <w:lang w:val="en-US"/>
      </w:rPr>
      <w:t>3</w:t>
    </w:r>
    <w:r>
      <w:rPr>
        <w:rStyle w:val="Sidetal"/>
        <w:rFonts w:eastAsiaTheme="majorEastAsia"/>
      </w:rPr>
      <w:fldChar w:fldCharType="end"/>
    </w:r>
    <w:r w:rsidRPr="00DF0566">
      <w:rPr>
        <w:lang w:val="en-US"/>
      </w:rPr>
      <w:tab/>
    </w:r>
    <w:r>
      <w:rPr>
        <w:rStyle w:val="Sidetal"/>
        <w:rFonts w:eastAsiaTheme="majorEastAsia"/>
      </w:rPr>
      <w:fldChar w:fldCharType="begin"/>
    </w:r>
    <w:r w:rsidRPr="00DF0566">
      <w:rPr>
        <w:rStyle w:val="Sidetal"/>
        <w:rFonts w:eastAsiaTheme="majorEastAsia"/>
        <w:lang w:val="en-US"/>
      </w:rPr>
      <w:instrText xml:space="preserve">      </w:instrText>
    </w:r>
    <w:r>
      <w:rPr>
        <w:rStyle w:val="Sidetal"/>
        <w:rFonts w:eastAsia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CE796" w14:textId="77777777" w:rsidR="00417C8D" w:rsidRDefault="00417C8D">
      <w:pPr>
        <w:spacing w:line="240" w:lineRule="auto"/>
      </w:pPr>
      <w:r>
        <w:separator/>
      </w:r>
    </w:p>
  </w:footnote>
  <w:footnote w:type="continuationSeparator" w:id="0">
    <w:p w14:paraId="72802407" w14:textId="77777777" w:rsidR="00417C8D" w:rsidRDefault="00417C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327C" w14:textId="6E5BB83A" w:rsidR="000A095E" w:rsidRPr="00DE19E4" w:rsidRDefault="00000000" w:rsidP="00D23594">
    <w:pPr>
      <w:pStyle w:val="Sidehoved"/>
      <w:tabs>
        <w:tab w:val="clear" w:pos="9638"/>
        <w:tab w:val="right" w:pos="9072"/>
      </w:tabs>
      <w:spacing w:line="240" w:lineRule="auto"/>
    </w:pPr>
    <w:r>
      <w:t>Dato</w:t>
    </w:r>
    <w:r w:rsidRPr="00DE19E4">
      <w:tab/>
    </w:r>
    <w:r>
      <w:tab/>
    </w:r>
    <w:r w:rsidR="003D280F">
      <w:t>F</w:t>
    </w:r>
    <w:r>
      <w:t>M20</w:t>
    </w:r>
    <w:r w:rsidR="003D280F">
      <w:t>26</w:t>
    </w:r>
    <w: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A42"/>
    <w:multiLevelType w:val="multilevel"/>
    <w:tmpl w:val="0F800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24828"/>
    <w:multiLevelType w:val="multilevel"/>
    <w:tmpl w:val="CB08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643B4"/>
    <w:multiLevelType w:val="multilevel"/>
    <w:tmpl w:val="12EC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E7FEB"/>
    <w:multiLevelType w:val="multilevel"/>
    <w:tmpl w:val="5BAA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07C7C"/>
    <w:multiLevelType w:val="multilevel"/>
    <w:tmpl w:val="FB20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D6429E"/>
    <w:multiLevelType w:val="hybridMultilevel"/>
    <w:tmpl w:val="AEBAA78C"/>
    <w:lvl w:ilvl="0" w:tplc="110EC61A">
      <w:start w:val="1"/>
      <w:numFmt w:val="bullet"/>
      <w:lvlText w:val=""/>
      <w:lvlJc w:val="left"/>
      <w:pPr>
        <w:ind w:left="720" w:hanging="360"/>
      </w:pPr>
      <w:rPr>
        <w:rFonts w:ascii="Symbol" w:hAnsi="Symbol"/>
      </w:rPr>
    </w:lvl>
    <w:lvl w:ilvl="1" w:tplc="5342A5CC">
      <w:start w:val="1"/>
      <w:numFmt w:val="bullet"/>
      <w:lvlText w:val=""/>
      <w:lvlJc w:val="left"/>
      <w:pPr>
        <w:ind w:left="720" w:hanging="360"/>
      </w:pPr>
      <w:rPr>
        <w:rFonts w:ascii="Symbol" w:hAnsi="Symbol"/>
      </w:rPr>
    </w:lvl>
    <w:lvl w:ilvl="2" w:tplc="15C0D658">
      <w:start w:val="1"/>
      <w:numFmt w:val="bullet"/>
      <w:lvlText w:val=""/>
      <w:lvlJc w:val="left"/>
      <w:pPr>
        <w:ind w:left="720" w:hanging="360"/>
      </w:pPr>
      <w:rPr>
        <w:rFonts w:ascii="Symbol" w:hAnsi="Symbol"/>
      </w:rPr>
    </w:lvl>
    <w:lvl w:ilvl="3" w:tplc="86422C28">
      <w:start w:val="1"/>
      <w:numFmt w:val="bullet"/>
      <w:lvlText w:val=""/>
      <w:lvlJc w:val="left"/>
      <w:pPr>
        <w:ind w:left="720" w:hanging="360"/>
      </w:pPr>
      <w:rPr>
        <w:rFonts w:ascii="Symbol" w:hAnsi="Symbol"/>
      </w:rPr>
    </w:lvl>
    <w:lvl w:ilvl="4" w:tplc="3E4AEA6C">
      <w:start w:val="1"/>
      <w:numFmt w:val="bullet"/>
      <w:lvlText w:val=""/>
      <w:lvlJc w:val="left"/>
      <w:pPr>
        <w:ind w:left="720" w:hanging="360"/>
      </w:pPr>
      <w:rPr>
        <w:rFonts w:ascii="Symbol" w:hAnsi="Symbol"/>
      </w:rPr>
    </w:lvl>
    <w:lvl w:ilvl="5" w:tplc="E780C230">
      <w:start w:val="1"/>
      <w:numFmt w:val="bullet"/>
      <w:lvlText w:val=""/>
      <w:lvlJc w:val="left"/>
      <w:pPr>
        <w:ind w:left="720" w:hanging="360"/>
      </w:pPr>
      <w:rPr>
        <w:rFonts w:ascii="Symbol" w:hAnsi="Symbol"/>
      </w:rPr>
    </w:lvl>
    <w:lvl w:ilvl="6" w:tplc="5150C0CC">
      <w:start w:val="1"/>
      <w:numFmt w:val="bullet"/>
      <w:lvlText w:val=""/>
      <w:lvlJc w:val="left"/>
      <w:pPr>
        <w:ind w:left="720" w:hanging="360"/>
      </w:pPr>
      <w:rPr>
        <w:rFonts w:ascii="Symbol" w:hAnsi="Symbol"/>
      </w:rPr>
    </w:lvl>
    <w:lvl w:ilvl="7" w:tplc="D9D07D38">
      <w:start w:val="1"/>
      <w:numFmt w:val="bullet"/>
      <w:lvlText w:val=""/>
      <w:lvlJc w:val="left"/>
      <w:pPr>
        <w:ind w:left="720" w:hanging="360"/>
      </w:pPr>
      <w:rPr>
        <w:rFonts w:ascii="Symbol" w:hAnsi="Symbol"/>
      </w:rPr>
    </w:lvl>
    <w:lvl w:ilvl="8" w:tplc="3D54535C">
      <w:start w:val="1"/>
      <w:numFmt w:val="bullet"/>
      <w:lvlText w:val=""/>
      <w:lvlJc w:val="left"/>
      <w:pPr>
        <w:ind w:left="720" w:hanging="360"/>
      </w:pPr>
      <w:rPr>
        <w:rFonts w:ascii="Symbol" w:hAnsi="Symbol"/>
      </w:rPr>
    </w:lvl>
  </w:abstractNum>
  <w:abstractNum w:abstractNumId="6" w15:restartNumberingAfterBreak="0">
    <w:nsid w:val="63B14211"/>
    <w:multiLevelType w:val="hybridMultilevel"/>
    <w:tmpl w:val="AA32BF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13D0E1F"/>
    <w:multiLevelType w:val="multilevel"/>
    <w:tmpl w:val="C272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8C7CA4"/>
    <w:multiLevelType w:val="multilevel"/>
    <w:tmpl w:val="C8CA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308154">
    <w:abstractNumId w:val="4"/>
  </w:num>
  <w:num w:numId="2" w16cid:durableId="1872187673">
    <w:abstractNumId w:val="6"/>
  </w:num>
  <w:num w:numId="3" w16cid:durableId="198972935">
    <w:abstractNumId w:val="2"/>
  </w:num>
  <w:num w:numId="4" w16cid:durableId="1827741319">
    <w:abstractNumId w:val="7"/>
  </w:num>
  <w:num w:numId="5" w16cid:durableId="307780606">
    <w:abstractNumId w:val="1"/>
  </w:num>
  <w:num w:numId="6" w16cid:durableId="846478361">
    <w:abstractNumId w:val="3"/>
  </w:num>
  <w:num w:numId="7" w16cid:durableId="2009675642">
    <w:abstractNumId w:val="8"/>
  </w:num>
  <w:num w:numId="8" w16cid:durableId="910232722">
    <w:abstractNumId w:val="0"/>
  </w:num>
  <w:num w:numId="9" w16cid:durableId="1034111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26"/>
    <w:rsid w:val="00006B74"/>
    <w:rsid w:val="000106DF"/>
    <w:rsid w:val="00055B6A"/>
    <w:rsid w:val="00062EFC"/>
    <w:rsid w:val="00064A08"/>
    <w:rsid w:val="000A095E"/>
    <w:rsid w:val="000B60FD"/>
    <w:rsid w:val="000C0148"/>
    <w:rsid w:val="000C0581"/>
    <w:rsid w:val="000F31ED"/>
    <w:rsid w:val="000F47A0"/>
    <w:rsid w:val="000F577C"/>
    <w:rsid w:val="000F6AB4"/>
    <w:rsid w:val="00130266"/>
    <w:rsid w:val="001369B4"/>
    <w:rsid w:val="00153F97"/>
    <w:rsid w:val="00166726"/>
    <w:rsid w:val="00170DAD"/>
    <w:rsid w:val="001E5966"/>
    <w:rsid w:val="001E738E"/>
    <w:rsid w:val="00221FF0"/>
    <w:rsid w:val="002276F0"/>
    <w:rsid w:val="00234D2D"/>
    <w:rsid w:val="002A08EF"/>
    <w:rsid w:val="002C51BB"/>
    <w:rsid w:val="00303AC6"/>
    <w:rsid w:val="00317DEE"/>
    <w:rsid w:val="00332581"/>
    <w:rsid w:val="003418D7"/>
    <w:rsid w:val="003557DB"/>
    <w:rsid w:val="003576A5"/>
    <w:rsid w:val="003D0B23"/>
    <w:rsid w:val="003D280F"/>
    <w:rsid w:val="003D7AE3"/>
    <w:rsid w:val="003F4F17"/>
    <w:rsid w:val="0040582B"/>
    <w:rsid w:val="00417C8D"/>
    <w:rsid w:val="00425BC1"/>
    <w:rsid w:val="00473DDF"/>
    <w:rsid w:val="00475F92"/>
    <w:rsid w:val="004A4CF4"/>
    <w:rsid w:val="004F79E0"/>
    <w:rsid w:val="0058582A"/>
    <w:rsid w:val="005B69D1"/>
    <w:rsid w:val="005D549D"/>
    <w:rsid w:val="006408B7"/>
    <w:rsid w:val="006517F8"/>
    <w:rsid w:val="00653331"/>
    <w:rsid w:val="0069767E"/>
    <w:rsid w:val="006C4788"/>
    <w:rsid w:val="006D7CC8"/>
    <w:rsid w:val="007107D6"/>
    <w:rsid w:val="00715B3F"/>
    <w:rsid w:val="00721A02"/>
    <w:rsid w:val="0074680D"/>
    <w:rsid w:val="0075263F"/>
    <w:rsid w:val="00754DE6"/>
    <w:rsid w:val="007622A9"/>
    <w:rsid w:val="007A6FBF"/>
    <w:rsid w:val="007E0E96"/>
    <w:rsid w:val="00805512"/>
    <w:rsid w:val="00863361"/>
    <w:rsid w:val="008803AB"/>
    <w:rsid w:val="008867CA"/>
    <w:rsid w:val="008B0A33"/>
    <w:rsid w:val="008C2A67"/>
    <w:rsid w:val="008D3388"/>
    <w:rsid w:val="008E33C3"/>
    <w:rsid w:val="008E6BE7"/>
    <w:rsid w:val="008E7FF8"/>
    <w:rsid w:val="00903302"/>
    <w:rsid w:val="00907E7E"/>
    <w:rsid w:val="0093169E"/>
    <w:rsid w:val="009443BA"/>
    <w:rsid w:val="009558B8"/>
    <w:rsid w:val="009819E5"/>
    <w:rsid w:val="00986005"/>
    <w:rsid w:val="00991262"/>
    <w:rsid w:val="009A5784"/>
    <w:rsid w:val="009C4BFA"/>
    <w:rsid w:val="009E1906"/>
    <w:rsid w:val="009E333A"/>
    <w:rsid w:val="00A004F0"/>
    <w:rsid w:val="00A34D1F"/>
    <w:rsid w:val="00A70CB5"/>
    <w:rsid w:val="00A96D20"/>
    <w:rsid w:val="00B12E41"/>
    <w:rsid w:val="00B145D6"/>
    <w:rsid w:val="00B43E74"/>
    <w:rsid w:val="00B44CDE"/>
    <w:rsid w:val="00B57C80"/>
    <w:rsid w:val="00BA471B"/>
    <w:rsid w:val="00BB18D1"/>
    <w:rsid w:val="00BD4612"/>
    <w:rsid w:val="00BF2B14"/>
    <w:rsid w:val="00BF7AED"/>
    <w:rsid w:val="00C311EC"/>
    <w:rsid w:val="00C9351E"/>
    <w:rsid w:val="00C9474B"/>
    <w:rsid w:val="00CA06F9"/>
    <w:rsid w:val="00CE68FD"/>
    <w:rsid w:val="00CF72B4"/>
    <w:rsid w:val="00D65B2C"/>
    <w:rsid w:val="00DB3530"/>
    <w:rsid w:val="00DC2D26"/>
    <w:rsid w:val="00DE5C8A"/>
    <w:rsid w:val="00DF23FE"/>
    <w:rsid w:val="00E77EEE"/>
    <w:rsid w:val="00ED1D3F"/>
    <w:rsid w:val="00ED342A"/>
    <w:rsid w:val="00EF2030"/>
    <w:rsid w:val="00F03A7C"/>
    <w:rsid w:val="00F1426D"/>
    <w:rsid w:val="00F55CF8"/>
    <w:rsid w:val="00F57D2D"/>
    <w:rsid w:val="00F6015B"/>
    <w:rsid w:val="00F678E3"/>
    <w:rsid w:val="00F83A54"/>
    <w:rsid w:val="00FC5E28"/>
    <w:rsid w:val="00FF6D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7129"/>
  <w15:chartTrackingRefBased/>
  <w15:docId w15:val="{2C7EC484-CDE3-4195-A31E-07BB213B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726"/>
    <w:pPr>
      <w:widowControl w:val="0"/>
      <w:autoSpaceDE w:val="0"/>
      <w:autoSpaceDN w:val="0"/>
      <w:adjustRightInd w:val="0"/>
      <w:spacing w:after="0" w:line="288" w:lineRule="auto"/>
    </w:pPr>
    <w:rPr>
      <w:rFonts w:ascii="Times New Roman" w:eastAsia="Times New Roman" w:hAnsi="Times New Roman" w:cs="Times New Roman"/>
      <w:kern w:val="0"/>
      <w:lang w:eastAsia="da-DK"/>
      <w14:ligatures w14:val="none"/>
    </w:rPr>
  </w:style>
  <w:style w:type="paragraph" w:styleId="Overskrift1">
    <w:name w:val="heading 1"/>
    <w:basedOn w:val="Normal"/>
    <w:next w:val="Normal"/>
    <w:link w:val="Overskrift1Tegn"/>
    <w:qFormat/>
    <w:rsid w:val="00166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nhideWhenUsed/>
    <w:qFormat/>
    <w:rsid w:val="00166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nhideWhenUsed/>
    <w:qFormat/>
    <w:rsid w:val="0016672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nhideWhenUsed/>
    <w:qFormat/>
    <w:rsid w:val="0016672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nhideWhenUsed/>
    <w:qFormat/>
    <w:rsid w:val="0016672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nhideWhenUsed/>
    <w:qFormat/>
    <w:rsid w:val="00166726"/>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nhideWhenUsed/>
    <w:qFormat/>
    <w:rsid w:val="00166726"/>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nhideWhenUsed/>
    <w:qFormat/>
    <w:rsid w:val="00166726"/>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nhideWhenUsed/>
    <w:qFormat/>
    <w:rsid w:val="00166726"/>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6672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rsid w:val="0016672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6672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6672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rsid w:val="0016672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6672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6672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6672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66726"/>
    <w:rPr>
      <w:rFonts w:eastAsiaTheme="majorEastAsia" w:cstheme="majorBidi"/>
      <w:color w:val="272727" w:themeColor="text1" w:themeTint="D8"/>
    </w:rPr>
  </w:style>
  <w:style w:type="paragraph" w:styleId="Titel">
    <w:name w:val="Title"/>
    <w:basedOn w:val="Normal"/>
    <w:next w:val="Normal"/>
    <w:link w:val="TitelTegn"/>
    <w:uiPriority w:val="10"/>
    <w:qFormat/>
    <w:rsid w:val="00166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6672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6672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6672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6672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66726"/>
    <w:rPr>
      <w:i/>
      <w:iCs/>
      <w:color w:val="404040" w:themeColor="text1" w:themeTint="BF"/>
    </w:rPr>
  </w:style>
  <w:style w:type="paragraph" w:styleId="Listeafsnit">
    <w:name w:val="List Paragraph"/>
    <w:basedOn w:val="Normal"/>
    <w:uiPriority w:val="34"/>
    <w:qFormat/>
    <w:rsid w:val="00166726"/>
    <w:pPr>
      <w:ind w:left="720"/>
      <w:contextualSpacing/>
    </w:pPr>
  </w:style>
  <w:style w:type="character" w:styleId="Kraftigfremhvning">
    <w:name w:val="Intense Emphasis"/>
    <w:basedOn w:val="Standardskrifttypeiafsnit"/>
    <w:uiPriority w:val="21"/>
    <w:qFormat/>
    <w:rsid w:val="00166726"/>
    <w:rPr>
      <w:i/>
      <w:iCs/>
      <w:color w:val="0F4761" w:themeColor="accent1" w:themeShade="BF"/>
    </w:rPr>
  </w:style>
  <w:style w:type="paragraph" w:styleId="Strktcitat">
    <w:name w:val="Intense Quote"/>
    <w:basedOn w:val="Normal"/>
    <w:next w:val="Normal"/>
    <w:link w:val="StrktcitatTegn"/>
    <w:uiPriority w:val="30"/>
    <w:qFormat/>
    <w:rsid w:val="00166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66726"/>
    <w:rPr>
      <w:i/>
      <w:iCs/>
      <w:color w:val="0F4761" w:themeColor="accent1" w:themeShade="BF"/>
    </w:rPr>
  </w:style>
  <w:style w:type="character" w:styleId="Kraftighenvisning">
    <w:name w:val="Intense Reference"/>
    <w:basedOn w:val="Standardskrifttypeiafsnit"/>
    <w:uiPriority w:val="32"/>
    <w:qFormat/>
    <w:rsid w:val="00166726"/>
    <w:rPr>
      <w:b/>
      <w:bCs/>
      <w:smallCaps/>
      <w:color w:val="0F4761" w:themeColor="accent1" w:themeShade="BF"/>
      <w:spacing w:val="5"/>
    </w:rPr>
  </w:style>
  <w:style w:type="paragraph" w:styleId="Sidehoved">
    <w:name w:val="header"/>
    <w:basedOn w:val="Normal"/>
    <w:link w:val="SidehovedTegn"/>
    <w:rsid w:val="00166726"/>
    <w:pPr>
      <w:tabs>
        <w:tab w:val="center" w:pos="4819"/>
        <w:tab w:val="right" w:pos="9638"/>
      </w:tabs>
    </w:pPr>
  </w:style>
  <w:style w:type="character" w:customStyle="1" w:styleId="SidehovedTegn">
    <w:name w:val="Sidehoved Tegn"/>
    <w:basedOn w:val="Standardskrifttypeiafsnit"/>
    <w:link w:val="Sidehoved"/>
    <w:rsid w:val="00166726"/>
    <w:rPr>
      <w:rFonts w:ascii="Times New Roman" w:eastAsia="Times New Roman" w:hAnsi="Times New Roman" w:cs="Times New Roman"/>
      <w:kern w:val="0"/>
      <w:lang w:eastAsia="da-DK"/>
      <w14:ligatures w14:val="none"/>
    </w:rPr>
  </w:style>
  <w:style w:type="paragraph" w:styleId="Sidefod">
    <w:name w:val="footer"/>
    <w:basedOn w:val="Normal"/>
    <w:link w:val="SidefodTegn"/>
    <w:uiPriority w:val="99"/>
    <w:rsid w:val="00166726"/>
    <w:pPr>
      <w:tabs>
        <w:tab w:val="center" w:pos="4819"/>
        <w:tab w:val="right" w:pos="9638"/>
      </w:tabs>
    </w:pPr>
  </w:style>
  <w:style w:type="character" w:customStyle="1" w:styleId="SidefodTegn">
    <w:name w:val="Sidefod Tegn"/>
    <w:basedOn w:val="Standardskrifttypeiafsnit"/>
    <w:link w:val="Sidefod"/>
    <w:uiPriority w:val="99"/>
    <w:rsid w:val="00166726"/>
    <w:rPr>
      <w:rFonts w:ascii="Times New Roman" w:eastAsia="Times New Roman" w:hAnsi="Times New Roman" w:cs="Times New Roman"/>
      <w:kern w:val="0"/>
      <w:lang w:eastAsia="da-DK"/>
      <w14:ligatures w14:val="none"/>
    </w:rPr>
  </w:style>
  <w:style w:type="character" w:styleId="Sidetal">
    <w:name w:val="page number"/>
    <w:basedOn w:val="Standardskrifttypeiafsnit"/>
    <w:rsid w:val="00166726"/>
  </w:style>
  <w:style w:type="character" w:styleId="Kommentarhenvisning">
    <w:name w:val="annotation reference"/>
    <w:semiHidden/>
    <w:rsid w:val="00166726"/>
    <w:rPr>
      <w:sz w:val="16"/>
      <w:szCs w:val="16"/>
    </w:rPr>
  </w:style>
  <w:style w:type="paragraph" w:styleId="Kommentartekst">
    <w:name w:val="annotation text"/>
    <w:basedOn w:val="Normal"/>
    <w:link w:val="KommentartekstTegn"/>
    <w:semiHidden/>
    <w:rsid w:val="00166726"/>
    <w:rPr>
      <w:sz w:val="20"/>
      <w:szCs w:val="20"/>
    </w:rPr>
  </w:style>
  <w:style w:type="character" w:customStyle="1" w:styleId="KommentartekstTegn">
    <w:name w:val="Kommentartekst Tegn"/>
    <w:basedOn w:val="Standardskrifttypeiafsnit"/>
    <w:link w:val="Kommentartekst"/>
    <w:semiHidden/>
    <w:rsid w:val="00166726"/>
    <w:rPr>
      <w:rFonts w:ascii="Times New Roman" w:eastAsia="Times New Roman" w:hAnsi="Times New Roman" w:cs="Times New Roman"/>
      <w:kern w:val="0"/>
      <w:sz w:val="20"/>
      <w:szCs w:val="20"/>
      <w:lang w:eastAsia="da-DK"/>
      <w14:ligatures w14:val="none"/>
    </w:rPr>
  </w:style>
  <w:style w:type="table" w:styleId="Tabel-Gitter">
    <w:name w:val="Table Grid"/>
    <w:basedOn w:val="Tabel-Normal"/>
    <w:rsid w:val="00166726"/>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nhideWhenUsed/>
    <w:rsid w:val="00166726"/>
    <w:rPr>
      <w:color w:val="467886" w:themeColor="hyperlink"/>
      <w:u w:val="single"/>
    </w:rPr>
  </w:style>
  <w:style w:type="paragraph" w:styleId="Korrektur">
    <w:name w:val="Revision"/>
    <w:hidden/>
    <w:uiPriority w:val="99"/>
    <w:semiHidden/>
    <w:rsid w:val="00F83A54"/>
    <w:pPr>
      <w:spacing w:after="0" w:line="240" w:lineRule="auto"/>
    </w:pPr>
    <w:rPr>
      <w:rFonts w:ascii="Times New Roman" w:eastAsia="Times New Roman" w:hAnsi="Times New Roman" w:cs="Times New Roman"/>
      <w:kern w:val="0"/>
      <w:lang w:eastAsia="da-DK"/>
      <w14:ligatures w14:val="none"/>
    </w:rPr>
  </w:style>
  <w:style w:type="paragraph" w:styleId="NormalWeb">
    <w:name w:val="Normal (Web)"/>
    <w:basedOn w:val="Normal"/>
    <w:uiPriority w:val="99"/>
    <w:semiHidden/>
    <w:unhideWhenUsed/>
    <w:rsid w:val="00F83A54"/>
  </w:style>
  <w:style w:type="character" w:styleId="BesgtLink">
    <w:name w:val="FollowedHyperlink"/>
    <w:basedOn w:val="Standardskrifttypeiafsnit"/>
    <w:uiPriority w:val="99"/>
    <w:semiHidden/>
    <w:unhideWhenUsed/>
    <w:rsid w:val="00715B3F"/>
    <w:rPr>
      <w:color w:val="96607D" w:themeColor="followedHyperlink"/>
      <w:u w:val="single"/>
    </w:rPr>
  </w:style>
  <w:style w:type="paragraph" w:styleId="Kommentaremne">
    <w:name w:val="annotation subject"/>
    <w:basedOn w:val="Kommentartekst"/>
    <w:next w:val="Kommentartekst"/>
    <w:link w:val="KommentaremneTegn"/>
    <w:uiPriority w:val="99"/>
    <w:semiHidden/>
    <w:unhideWhenUsed/>
    <w:rsid w:val="00715B3F"/>
    <w:pPr>
      <w:spacing w:line="240" w:lineRule="auto"/>
    </w:pPr>
    <w:rPr>
      <w:b/>
      <w:bCs/>
    </w:rPr>
  </w:style>
  <w:style w:type="character" w:customStyle="1" w:styleId="KommentaremneTegn">
    <w:name w:val="Kommentaremne Tegn"/>
    <w:basedOn w:val="KommentartekstTegn"/>
    <w:link w:val="Kommentaremne"/>
    <w:uiPriority w:val="99"/>
    <w:semiHidden/>
    <w:rsid w:val="00715B3F"/>
    <w:rPr>
      <w:rFonts w:ascii="Times New Roman" w:eastAsia="Times New Roman" w:hAnsi="Times New Roman" w:cs="Times New Roman"/>
      <w:b/>
      <w:bCs/>
      <w:kern w:val="0"/>
      <w:sz w:val="20"/>
      <w:szCs w:val="2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473653">
      <w:bodyDiv w:val="1"/>
      <w:marLeft w:val="0"/>
      <w:marRight w:val="0"/>
      <w:marTop w:val="0"/>
      <w:marBottom w:val="0"/>
      <w:divBdr>
        <w:top w:val="none" w:sz="0" w:space="0" w:color="auto"/>
        <w:left w:val="none" w:sz="0" w:space="0" w:color="auto"/>
        <w:bottom w:val="none" w:sz="0" w:space="0" w:color="auto"/>
        <w:right w:val="none" w:sz="0" w:space="0" w:color="auto"/>
      </w:divBdr>
    </w:div>
    <w:div w:id="1115172195">
      <w:bodyDiv w:val="1"/>
      <w:marLeft w:val="0"/>
      <w:marRight w:val="0"/>
      <w:marTop w:val="0"/>
      <w:marBottom w:val="0"/>
      <w:divBdr>
        <w:top w:val="none" w:sz="0" w:space="0" w:color="auto"/>
        <w:left w:val="none" w:sz="0" w:space="0" w:color="auto"/>
        <w:bottom w:val="none" w:sz="0" w:space="0" w:color="auto"/>
        <w:right w:val="none" w:sz="0" w:space="0" w:color="auto"/>
      </w:divBdr>
    </w:div>
    <w:div w:id="1271164716">
      <w:bodyDiv w:val="1"/>
      <w:marLeft w:val="0"/>
      <w:marRight w:val="0"/>
      <w:marTop w:val="0"/>
      <w:marBottom w:val="0"/>
      <w:divBdr>
        <w:top w:val="none" w:sz="0" w:space="0" w:color="auto"/>
        <w:left w:val="none" w:sz="0" w:space="0" w:color="auto"/>
        <w:bottom w:val="none" w:sz="0" w:space="0" w:color="auto"/>
        <w:right w:val="none" w:sz="0" w:space="0" w:color="auto"/>
      </w:divBdr>
    </w:div>
    <w:div w:id="1497456557">
      <w:bodyDiv w:val="1"/>
      <w:marLeft w:val="0"/>
      <w:marRight w:val="0"/>
      <w:marTop w:val="0"/>
      <w:marBottom w:val="0"/>
      <w:divBdr>
        <w:top w:val="none" w:sz="0" w:space="0" w:color="auto"/>
        <w:left w:val="none" w:sz="0" w:space="0" w:color="auto"/>
        <w:bottom w:val="none" w:sz="0" w:space="0" w:color="auto"/>
        <w:right w:val="none" w:sz="0" w:space="0" w:color="auto"/>
      </w:divBdr>
    </w:div>
    <w:div w:id="1679045134">
      <w:bodyDiv w:val="1"/>
      <w:marLeft w:val="0"/>
      <w:marRight w:val="0"/>
      <w:marTop w:val="0"/>
      <w:marBottom w:val="0"/>
      <w:divBdr>
        <w:top w:val="none" w:sz="0" w:space="0" w:color="auto"/>
        <w:left w:val="none" w:sz="0" w:space="0" w:color="auto"/>
        <w:bottom w:val="none" w:sz="0" w:space="0" w:color="auto"/>
        <w:right w:val="none" w:sz="0" w:space="0" w:color="auto"/>
      </w:divBdr>
    </w:div>
    <w:div w:id="1772359407">
      <w:bodyDiv w:val="1"/>
      <w:marLeft w:val="0"/>
      <w:marRight w:val="0"/>
      <w:marTop w:val="0"/>
      <w:marBottom w:val="0"/>
      <w:divBdr>
        <w:top w:val="none" w:sz="0" w:space="0" w:color="auto"/>
        <w:left w:val="none" w:sz="0" w:space="0" w:color="auto"/>
        <w:bottom w:val="none" w:sz="0" w:space="0" w:color="auto"/>
        <w:right w:val="none" w:sz="0" w:space="0" w:color="auto"/>
      </w:divBdr>
    </w:div>
    <w:div w:id="1788349520">
      <w:bodyDiv w:val="1"/>
      <w:marLeft w:val="0"/>
      <w:marRight w:val="0"/>
      <w:marTop w:val="0"/>
      <w:marBottom w:val="0"/>
      <w:divBdr>
        <w:top w:val="none" w:sz="0" w:space="0" w:color="auto"/>
        <w:left w:val="none" w:sz="0" w:space="0" w:color="auto"/>
        <w:bottom w:val="none" w:sz="0" w:space="0" w:color="auto"/>
        <w:right w:val="none" w:sz="0" w:space="0" w:color="auto"/>
      </w:divBdr>
    </w:div>
    <w:div w:id="1861697136">
      <w:bodyDiv w:val="1"/>
      <w:marLeft w:val="0"/>
      <w:marRight w:val="0"/>
      <w:marTop w:val="0"/>
      <w:marBottom w:val="0"/>
      <w:divBdr>
        <w:top w:val="none" w:sz="0" w:space="0" w:color="auto"/>
        <w:left w:val="none" w:sz="0" w:space="0" w:color="auto"/>
        <w:bottom w:val="none" w:sz="0" w:space="0" w:color="auto"/>
        <w:right w:val="none" w:sz="0" w:space="0" w:color="auto"/>
      </w:divBdr>
    </w:div>
    <w:div w:id="1912766363">
      <w:bodyDiv w:val="1"/>
      <w:marLeft w:val="0"/>
      <w:marRight w:val="0"/>
      <w:marTop w:val="0"/>
      <w:marBottom w:val="0"/>
      <w:divBdr>
        <w:top w:val="none" w:sz="0" w:space="0" w:color="auto"/>
        <w:left w:val="none" w:sz="0" w:space="0" w:color="auto"/>
        <w:bottom w:val="none" w:sz="0" w:space="0" w:color="auto"/>
        <w:right w:val="none" w:sz="0" w:space="0" w:color="auto"/>
      </w:divBdr>
    </w:div>
    <w:div w:id="1967736284">
      <w:bodyDiv w:val="1"/>
      <w:marLeft w:val="0"/>
      <w:marRight w:val="0"/>
      <w:marTop w:val="0"/>
      <w:marBottom w:val="0"/>
      <w:divBdr>
        <w:top w:val="none" w:sz="0" w:space="0" w:color="auto"/>
        <w:left w:val="none" w:sz="0" w:space="0" w:color="auto"/>
        <w:bottom w:val="none" w:sz="0" w:space="0" w:color="auto"/>
        <w:right w:val="none" w:sz="0" w:space="0" w:color="auto"/>
      </w:divBdr>
    </w:div>
    <w:div w:id="1997415304">
      <w:bodyDiv w:val="1"/>
      <w:marLeft w:val="0"/>
      <w:marRight w:val="0"/>
      <w:marTop w:val="0"/>
      <w:marBottom w:val="0"/>
      <w:divBdr>
        <w:top w:val="none" w:sz="0" w:space="0" w:color="auto"/>
        <w:left w:val="none" w:sz="0" w:space="0" w:color="auto"/>
        <w:bottom w:val="none" w:sz="0" w:space="0" w:color="auto"/>
        <w:right w:val="none" w:sz="0" w:space="0" w:color="auto"/>
      </w:divBdr>
    </w:div>
    <w:div w:id="202382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3772</TotalTime>
  <Pages>1</Pages>
  <Words>5389</Words>
  <Characters>32878</Characters>
  <Application>Microsoft Office Word</Application>
  <DocSecurity>0</DocSecurity>
  <Lines>273</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Monrad Fischer</dc:creator>
  <cp:keywords/>
  <dc:description/>
  <cp:lastModifiedBy>Marte Lona</cp:lastModifiedBy>
  <cp:revision>24</cp:revision>
  <dcterms:created xsi:type="dcterms:W3CDTF">2025-12-02T18:32:00Z</dcterms:created>
  <dcterms:modified xsi:type="dcterms:W3CDTF">2025-12-23T12:51:00Z</dcterms:modified>
</cp:coreProperties>
</file>