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2E80C" w14:textId="77777777" w:rsidR="00E349E5" w:rsidRDefault="00167778" w:rsidP="002F04E9">
      <w:pPr>
        <w:jc w:val="center"/>
        <w:rPr>
          <w:b/>
          <w:sz w:val="44"/>
          <w:szCs w:val="44"/>
        </w:rPr>
      </w:pPr>
      <w:r>
        <w:rPr>
          <w:b/>
          <w:noProof/>
          <w:sz w:val="44"/>
          <w:szCs w:val="44"/>
          <w:lang w:eastAsia="da-DK"/>
        </w:rPr>
        <w:drawing>
          <wp:inline distT="0" distB="0" distL="0" distR="0" wp14:anchorId="6FDB2CB0" wp14:editId="464E3CAB">
            <wp:extent cx="4163695" cy="1396365"/>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1396365"/>
                    </a:xfrm>
                    <a:prstGeom prst="rect">
                      <a:avLst/>
                    </a:prstGeom>
                    <a:noFill/>
                  </pic:spPr>
                </pic:pic>
              </a:graphicData>
            </a:graphic>
          </wp:inline>
        </w:drawing>
      </w:r>
    </w:p>
    <w:p w14:paraId="6CBD07AC" w14:textId="77777777" w:rsidR="00167778" w:rsidRDefault="00167778" w:rsidP="00167778">
      <w:pPr>
        <w:rPr>
          <w:b/>
          <w:sz w:val="44"/>
          <w:szCs w:val="44"/>
        </w:rPr>
      </w:pPr>
    </w:p>
    <w:p w14:paraId="2ADC403B" w14:textId="48E92210" w:rsidR="009E2C16" w:rsidRDefault="00CA4403" w:rsidP="008C12F6">
      <w:pPr>
        <w:jc w:val="center"/>
        <w:rPr>
          <w:b/>
          <w:sz w:val="44"/>
          <w:szCs w:val="44"/>
        </w:rPr>
      </w:pPr>
      <w:r>
        <w:rPr>
          <w:b/>
          <w:sz w:val="44"/>
          <w:szCs w:val="44"/>
        </w:rPr>
        <w:t xml:space="preserve">Forvaltningsplan for </w:t>
      </w:r>
      <w:r w:rsidR="00806187">
        <w:rPr>
          <w:b/>
          <w:sz w:val="44"/>
          <w:szCs w:val="44"/>
        </w:rPr>
        <w:t>det havgående fiskeri efter</w:t>
      </w:r>
      <w:r w:rsidR="00607A74">
        <w:rPr>
          <w:b/>
          <w:sz w:val="44"/>
          <w:szCs w:val="44"/>
        </w:rPr>
        <w:t xml:space="preserve"> </w:t>
      </w:r>
      <w:r w:rsidR="0023474F">
        <w:rPr>
          <w:b/>
          <w:sz w:val="44"/>
          <w:szCs w:val="44"/>
        </w:rPr>
        <w:t>h</w:t>
      </w:r>
      <w:r>
        <w:rPr>
          <w:b/>
          <w:sz w:val="44"/>
          <w:szCs w:val="44"/>
        </w:rPr>
        <w:t xml:space="preserve">ellefisk </w:t>
      </w:r>
      <w:r w:rsidR="009F1038">
        <w:rPr>
          <w:b/>
          <w:sz w:val="44"/>
          <w:szCs w:val="44"/>
        </w:rPr>
        <w:t>i</w:t>
      </w:r>
      <w:r>
        <w:rPr>
          <w:b/>
          <w:sz w:val="44"/>
          <w:szCs w:val="44"/>
        </w:rPr>
        <w:t xml:space="preserve"> Vestgrønland </w:t>
      </w:r>
    </w:p>
    <w:p w14:paraId="791EF7B4" w14:textId="6145128C" w:rsidR="001A7870" w:rsidRDefault="004672A6" w:rsidP="001A7870">
      <w:pPr>
        <w:jc w:val="center"/>
        <w:rPr>
          <w:sz w:val="28"/>
          <w:szCs w:val="28"/>
        </w:rPr>
      </w:pPr>
      <w:r w:rsidRPr="00BC0988">
        <w:rPr>
          <w:sz w:val="28"/>
          <w:szCs w:val="28"/>
        </w:rPr>
        <w:t>2026-2030</w:t>
      </w:r>
    </w:p>
    <w:p w14:paraId="736F18F0" w14:textId="40512E19" w:rsidR="008B6E69" w:rsidRDefault="008B6E69" w:rsidP="000A2EFD">
      <w:pPr>
        <w:jc w:val="center"/>
        <w:rPr>
          <w:sz w:val="28"/>
          <w:szCs w:val="28"/>
        </w:rPr>
      </w:pPr>
    </w:p>
    <w:p w14:paraId="05625691" w14:textId="77777777" w:rsidR="001A7870" w:rsidRDefault="001A7870" w:rsidP="000A2EFD">
      <w:pPr>
        <w:jc w:val="center"/>
        <w:rPr>
          <w:sz w:val="28"/>
          <w:szCs w:val="28"/>
        </w:rPr>
      </w:pPr>
    </w:p>
    <w:p w14:paraId="4F456AD0" w14:textId="77777777" w:rsidR="005648FC" w:rsidRDefault="005648FC" w:rsidP="000A2EFD">
      <w:pPr>
        <w:jc w:val="center"/>
        <w:rPr>
          <w:sz w:val="28"/>
          <w:szCs w:val="28"/>
        </w:rPr>
      </w:pPr>
    </w:p>
    <w:p w14:paraId="190FA443" w14:textId="77777777" w:rsidR="005648FC" w:rsidRDefault="005648FC" w:rsidP="000A2EFD">
      <w:pPr>
        <w:jc w:val="center"/>
        <w:rPr>
          <w:sz w:val="28"/>
          <w:szCs w:val="28"/>
        </w:rPr>
      </w:pPr>
    </w:p>
    <w:p w14:paraId="081D4E13" w14:textId="4FE87E07" w:rsidR="005648FC" w:rsidRDefault="005648FC" w:rsidP="000A2EFD">
      <w:pPr>
        <w:jc w:val="center"/>
        <w:rPr>
          <w:sz w:val="28"/>
          <w:szCs w:val="28"/>
        </w:rPr>
      </w:pPr>
      <w:r>
        <w:rPr>
          <w:sz w:val="28"/>
          <w:szCs w:val="28"/>
        </w:rPr>
        <w:t>DEPARTEMENTET FOR FISKERI, FANGST</w:t>
      </w:r>
      <w:r w:rsidR="004672A6">
        <w:rPr>
          <w:sz w:val="28"/>
          <w:szCs w:val="28"/>
        </w:rPr>
        <w:t>,</w:t>
      </w:r>
      <w:r>
        <w:rPr>
          <w:sz w:val="28"/>
          <w:szCs w:val="28"/>
        </w:rPr>
        <w:t xml:space="preserve"> LANDBRUG</w:t>
      </w:r>
      <w:r w:rsidR="004672A6">
        <w:rPr>
          <w:sz w:val="28"/>
          <w:szCs w:val="28"/>
        </w:rPr>
        <w:t xml:space="preserve"> OG SELVFORSYNING</w:t>
      </w:r>
    </w:p>
    <w:p w14:paraId="6748D710" w14:textId="77777777" w:rsidR="005648FC" w:rsidRDefault="005648FC" w:rsidP="000A2EFD">
      <w:pPr>
        <w:jc w:val="center"/>
        <w:rPr>
          <w:sz w:val="28"/>
          <w:szCs w:val="28"/>
        </w:rPr>
      </w:pPr>
    </w:p>
    <w:p w14:paraId="7D06728A" w14:textId="77777777" w:rsidR="00167778" w:rsidRDefault="00167778" w:rsidP="000A2EFD">
      <w:pPr>
        <w:jc w:val="center"/>
        <w:rPr>
          <w:sz w:val="28"/>
          <w:szCs w:val="28"/>
        </w:rPr>
      </w:pPr>
    </w:p>
    <w:p w14:paraId="7B652106" w14:textId="77777777" w:rsidR="00167778" w:rsidRDefault="00167778" w:rsidP="000A2EFD">
      <w:pPr>
        <w:jc w:val="center"/>
        <w:rPr>
          <w:sz w:val="28"/>
          <w:szCs w:val="28"/>
        </w:rPr>
      </w:pPr>
    </w:p>
    <w:p w14:paraId="71B0DDFC" w14:textId="77777777" w:rsidR="00167778" w:rsidRDefault="00167778" w:rsidP="000A2EFD">
      <w:pPr>
        <w:jc w:val="center"/>
        <w:rPr>
          <w:sz w:val="28"/>
          <w:szCs w:val="28"/>
        </w:rPr>
      </w:pPr>
    </w:p>
    <w:p w14:paraId="294101A9" w14:textId="77777777" w:rsidR="00167778" w:rsidRDefault="00167778" w:rsidP="000A2EFD">
      <w:pPr>
        <w:jc w:val="center"/>
        <w:rPr>
          <w:sz w:val="28"/>
          <w:szCs w:val="28"/>
        </w:rPr>
      </w:pPr>
    </w:p>
    <w:p w14:paraId="3DE986A3" w14:textId="77777777" w:rsidR="00167778" w:rsidRDefault="00167778" w:rsidP="000A2EFD">
      <w:pPr>
        <w:jc w:val="center"/>
        <w:rPr>
          <w:sz w:val="28"/>
          <w:szCs w:val="28"/>
        </w:rPr>
      </w:pPr>
    </w:p>
    <w:p w14:paraId="5F0AB75C" w14:textId="1895F419" w:rsidR="006F57F6" w:rsidRDefault="006F57F6" w:rsidP="00424C69">
      <w:pPr>
        <w:pStyle w:val="Overskrift1"/>
      </w:pPr>
    </w:p>
    <w:p w14:paraId="3EE229DA" w14:textId="77777777" w:rsidR="00DC0216" w:rsidRPr="00DC0216" w:rsidRDefault="00DC0216" w:rsidP="00DC0216"/>
    <w:sdt>
      <w:sdtPr>
        <w:rPr>
          <w:rFonts w:asciiTheme="minorHAnsi" w:eastAsiaTheme="minorHAnsi" w:hAnsiTheme="minorHAnsi" w:cstheme="minorBidi"/>
          <w:color w:val="auto"/>
          <w:sz w:val="22"/>
          <w:szCs w:val="22"/>
          <w:lang w:eastAsia="en-US"/>
        </w:rPr>
        <w:id w:val="-191464475"/>
        <w:docPartObj>
          <w:docPartGallery w:val="Table of Contents"/>
          <w:docPartUnique/>
        </w:docPartObj>
      </w:sdtPr>
      <w:sdtEndPr>
        <w:rPr>
          <w:b/>
          <w:bCs/>
        </w:rPr>
      </w:sdtEndPr>
      <w:sdtContent>
        <w:p w14:paraId="54DB3986" w14:textId="440F00CE" w:rsidR="006F57F6" w:rsidRDefault="006F57F6">
          <w:pPr>
            <w:pStyle w:val="Overskrift"/>
          </w:pPr>
          <w:r>
            <w:t>Indhold</w:t>
          </w:r>
        </w:p>
        <w:p w14:paraId="0BC758FD" w14:textId="7B8DE048" w:rsidR="00A82C83" w:rsidRDefault="006F57F6">
          <w:pPr>
            <w:pStyle w:val="Indholdsfortegnelse1"/>
            <w:rPr>
              <w:rFonts w:eastAsiaTheme="minorEastAsia"/>
              <w:noProof/>
              <w:kern w:val="2"/>
              <w:sz w:val="24"/>
              <w:szCs w:val="24"/>
              <w:lang w:val="kl-GL" w:eastAsia="kl-GL"/>
              <w14:ligatures w14:val="standardContextual"/>
            </w:rPr>
          </w:pPr>
          <w:r>
            <w:fldChar w:fldCharType="begin"/>
          </w:r>
          <w:r>
            <w:instrText xml:space="preserve"> TOC \o "1-3" \h \z \u </w:instrText>
          </w:r>
          <w:r>
            <w:fldChar w:fldCharType="separate"/>
          </w:r>
          <w:hyperlink w:anchor="_Toc210030948" w:history="1">
            <w:r w:rsidR="00A82C83" w:rsidRPr="00E1418B">
              <w:rPr>
                <w:rStyle w:val="Hyperlink"/>
                <w:noProof/>
              </w:rPr>
              <w:t>1.</w:t>
            </w:r>
            <w:r w:rsidR="00A82C83">
              <w:rPr>
                <w:rFonts w:eastAsiaTheme="minorEastAsia"/>
                <w:noProof/>
                <w:kern w:val="2"/>
                <w:sz w:val="24"/>
                <w:szCs w:val="24"/>
                <w:lang w:val="kl-GL" w:eastAsia="kl-GL"/>
                <w14:ligatures w14:val="standardContextual"/>
              </w:rPr>
              <w:tab/>
            </w:r>
            <w:r w:rsidR="00A82C83" w:rsidRPr="00E1418B">
              <w:rPr>
                <w:rStyle w:val="Hyperlink"/>
                <w:noProof/>
              </w:rPr>
              <w:t>Baggrund</w:t>
            </w:r>
            <w:r w:rsidR="00A82C83">
              <w:rPr>
                <w:noProof/>
                <w:webHidden/>
              </w:rPr>
              <w:tab/>
            </w:r>
            <w:r w:rsidR="00A82C83">
              <w:rPr>
                <w:noProof/>
                <w:webHidden/>
              </w:rPr>
              <w:fldChar w:fldCharType="begin"/>
            </w:r>
            <w:r w:rsidR="00A82C83">
              <w:rPr>
                <w:noProof/>
                <w:webHidden/>
              </w:rPr>
              <w:instrText xml:space="preserve"> PAGEREF _Toc210030948 \h </w:instrText>
            </w:r>
            <w:r w:rsidR="00A82C83">
              <w:rPr>
                <w:noProof/>
                <w:webHidden/>
              </w:rPr>
            </w:r>
            <w:r w:rsidR="00A82C83">
              <w:rPr>
                <w:noProof/>
                <w:webHidden/>
              </w:rPr>
              <w:fldChar w:fldCharType="separate"/>
            </w:r>
            <w:r w:rsidR="00A82C83">
              <w:rPr>
                <w:noProof/>
                <w:webHidden/>
              </w:rPr>
              <w:t>3</w:t>
            </w:r>
            <w:r w:rsidR="00A82C83">
              <w:rPr>
                <w:noProof/>
                <w:webHidden/>
              </w:rPr>
              <w:fldChar w:fldCharType="end"/>
            </w:r>
          </w:hyperlink>
        </w:p>
        <w:p w14:paraId="79AD8B91" w14:textId="5A354BF7"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49" w:history="1">
            <w:r w:rsidRPr="00E1418B">
              <w:rPr>
                <w:rStyle w:val="Hyperlink"/>
                <w:noProof/>
              </w:rPr>
              <w:t>1.1</w:t>
            </w:r>
            <w:r>
              <w:rPr>
                <w:rFonts w:eastAsiaTheme="minorEastAsia"/>
                <w:noProof/>
                <w:kern w:val="2"/>
                <w:sz w:val="24"/>
                <w:szCs w:val="24"/>
                <w:lang w:val="kl-GL" w:eastAsia="kl-GL"/>
                <w14:ligatures w14:val="standardContextual"/>
              </w:rPr>
              <w:tab/>
            </w:r>
            <w:r w:rsidRPr="00E1418B">
              <w:rPr>
                <w:rStyle w:val="Hyperlink"/>
                <w:noProof/>
              </w:rPr>
              <w:t>Formål, strategi og gyldighedsområde</w:t>
            </w:r>
            <w:r>
              <w:rPr>
                <w:noProof/>
                <w:webHidden/>
              </w:rPr>
              <w:tab/>
            </w:r>
            <w:r>
              <w:rPr>
                <w:noProof/>
                <w:webHidden/>
              </w:rPr>
              <w:fldChar w:fldCharType="begin"/>
            </w:r>
            <w:r>
              <w:rPr>
                <w:noProof/>
                <w:webHidden/>
              </w:rPr>
              <w:instrText xml:space="preserve"> PAGEREF _Toc210030949 \h </w:instrText>
            </w:r>
            <w:r>
              <w:rPr>
                <w:noProof/>
                <w:webHidden/>
              </w:rPr>
            </w:r>
            <w:r>
              <w:rPr>
                <w:noProof/>
                <w:webHidden/>
              </w:rPr>
              <w:fldChar w:fldCharType="separate"/>
            </w:r>
            <w:r>
              <w:rPr>
                <w:noProof/>
                <w:webHidden/>
              </w:rPr>
              <w:t>3</w:t>
            </w:r>
            <w:r>
              <w:rPr>
                <w:noProof/>
                <w:webHidden/>
              </w:rPr>
              <w:fldChar w:fldCharType="end"/>
            </w:r>
          </w:hyperlink>
        </w:p>
        <w:p w14:paraId="11D03995" w14:textId="063BE815"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0" w:history="1">
            <w:r w:rsidRPr="00E1418B">
              <w:rPr>
                <w:rStyle w:val="Hyperlink"/>
                <w:noProof/>
              </w:rPr>
              <w:t>1.2</w:t>
            </w:r>
            <w:r>
              <w:rPr>
                <w:rFonts w:eastAsiaTheme="minorEastAsia"/>
                <w:noProof/>
                <w:kern w:val="2"/>
                <w:sz w:val="24"/>
                <w:szCs w:val="24"/>
                <w:lang w:val="kl-GL" w:eastAsia="kl-GL"/>
                <w14:ligatures w14:val="standardContextual"/>
              </w:rPr>
              <w:tab/>
            </w:r>
            <w:r w:rsidRPr="00E1418B">
              <w:rPr>
                <w:rStyle w:val="Hyperlink"/>
                <w:noProof/>
              </w:rPr>
              <w:t>Gyldighedsperiode og revisionsbestemmelser</w:t>
            </w:r>
            <w:r>
              <w:rPr>
                <w:noProof/>
                <w:webHidden/>
              </w:rPr>
              <w:tab/>
            </w:r>
            <w:r>
              <w:rPr>
                <w:noProof/>
                <w:webHidden/>
              </w:rPr>
              <w:fldChar w:fldCharType="begin"/>
            </w:r>
            <w:r>
              <w:rPr>
                <w:noProof/>
                <w:webHidden/>
              </w:rPr>
              <w:instrText xml:space="preserve"> PAGEREF _Toc210030950 \h </w:instrText>
            </w:r>
            <w:r>
              <w:rPr>
                <w:noProof/>
                <w:webHidden/>
              </w:rPr>
            </w:r>
            <w:r>
              <w:rPr>
                <w:noProof/>
                <w:webHidden/>
              </w:rPr>
              <w:fldChar w:fldCharType="separate"/>
            </w:r>
            <w:r>
              <w:rPr>
                <w:noProof/>
                <w:webHidden/>
              </w:rPr>
              <w:t>3</w:t>
            </w:r>
            <w:r>
              <w:rPr>
                <w:noProof/>
                <w:webHidden/>
              </w:rPr>
              <w:fldChar w:fldCharType="end"/>
            </w:r>
          </w:hyperlink>
        </w:p>
        <w:p w14:paraId="7C3DBF00" w14:textId="0270ADF1"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1" w:history="1">
            <w:r w:rsidRPr="00E1418B">
              <w:rPr>
                <w:rStyle w:val="Hyperlink"/>
                <w:noProof/>
              </w:rPr>
              <w:t>1.3</w:t>
            </w:r>
            <w:r>
              <w:rPr>
                <w:rFonts w:eastAsiaTheme="minorEastAsia"/>
                <w:noProof/>
                <w:kern w:val="2"/>
                <w:sz w:val="24"/>
                <w:szCs w:val="24"/>
                <w:lang w:val="kl-GL" w:eastAsia="kl-GL"/>
                <w14:ligatures w14:val="standardContextual"/>
              </w:rPr>
              <w:tab/>
            </w:r>
            <w:r w:rsidRPr="00E1418B">
              <w:rPr>
                <w:rStyle w:val="Hyperlink"/>
                <w:noProof/>
              </w:rPr>
              <w:t>Lovgivning og forvaltningsansvar</w:t>
            </w:r>
            <w:r>
              <w:rPr>
                <w:noProof/>
                <w:webHidden/>
              </w:rPr>
              <w:tab/>
            </w:r>
            <w:r>
              <w:rPr>
                <w:noProof/>
                <w:webHidden/>
              </w:rPr>
              <w:fldChar w:fldCharType="begin"/>
            </w:r>
            <w:r>
              <w:rPr>
                <w:noProof/>
                <w:webHidden/>
              </w:rPr>
              <w:instrText xml:space="preserve"> PAGEREF _Toc210030951 \h </w:instrText>
            </w:r>
            <w:r>
              <w:rPr>
                <w:noProof/>
                <w:webHidden/>
              </w:rPr>
            </w:r>
            <w:r>
              <w:rPr>
                <w:noProof/>
                <w:webHidden/>
              </w:rPr>
              <w:fldChar w:fldCharType="separate"/>
            </w:r>
            <w:r>
              <w:rPr>
                <w:noProof/>
                <w:webHidden/>
              </w:rPr>
              <w:t>3</w:t>
            </w:r>
            <w:r>
              <w:rPr>
                <w:noProof/>
                <w:webHidden/>
              </w:rPr>
              <w:fldChar w:fldCharType="end"/>
            </w:r>
          </w:hyperlink>
        </w:p>
        <w:p w14:paraId="67D553D7" w14:textId="65855CCC" w:rsidR="00A82C83" w:rsidRDefault="00A82C83">
          <w:pPr>
            <w:pStyle w:val="Indholdsfortegnelse1"/>
            <w:rPr>
              <w:rFonts w:eastAsiaTheme="minorEastAsia"/>
              <w:noProof/>
              <w:kern w:val="2"/>
              <w:sz w:val="24"/>
              <w:szCs w:val="24"/>
              <w:lang w:val="kl-GL" w:eastAsia="kl-GL"/>
              <w14:ligatures w14:val="standardContextual"/>
            </w:rPr>
          </w:pPr>
          <w:hyperlink w:anchor="_Toc210030952" w:history="1">
            <w:r w:rsidRPr="00E1418B">
              <w:rPr>
                <w:rStyle w:val="Hyperlink"/>
                <w:noProof/>
              </w:rPr>
              <w:t>2.</w:t>
            </w:r>
            <w:r>
              <w:rPr>
                <w:rFonts w:eastAsiaTheme="minorEastAsia"/>
                <w:noProof/>
                <w:kern w:val="2"/>
                <w:sz w:val="24"/>
                <w:szCs w:val="24"/>
                <w:lang w:val="kl-GL" w:eastAsia="kl-GL"/>
                <w14:ligatures w14:val="standardContextual"/>
              </w:rPr>
              <w:tab/>
            </w:r>
            <w:r w:rsidRPr="00E1418B">
              <w:rPr>
                <w:rStyle w:val="Hyperlink"/>
                <w:noProof/>
              </w:rPr>
              <w:t>Introduktion til arten i relation til fiskeri og miljø</w:t>
            </w:r>
            <w:r>
              <w:rPr>
                <w:noProof/>
                <w:webHidden/>
              </w:rPr>
              <w:tab/>
            </w:r>
            <w:r>
              <w:rPr>
                <w:noProof/>
                <w:webHidden/>
              </w:rPr>
              <w:fldChar w:fldCharType="begin"/>
            </w:r>
            <w:r>
              <w:rPr>
                <w:noProof/>
                <w:webHidden/>
              </w:rPr>
              <w:instrText xml:space="preserve"> PAGEREF _Toc210030952 \h </w:instrText>
            </w:r>
            <w:r>
              <w:rPr>
                <w:noProof/>
                <w:webHidden/>
              </w:rPr>
            </w:r>
            <w:r>
              <w:rPr>
                <w:noProof/>
                <w:webHidden/>
              </w:rPr>
              <w:fldChar w:fldCharType="separate"/>
            </w:r>
            <w:r>
              <w:rPr>
                <w:noProof/>
                <w:webHidden/>
              </w:rPr>
              <w:t>4</w:t>
            </w:r>
            <w:r>
              <w:rPr>
                <w:noProof/>
                <w:webHidden/>
              </w:rPr>
              <w:fldChar w:fldCharType="end"/>
            </w:r>
          </w:hyperlink>
        </w:p>
        <w:p w14:paraId="7DFE4E38" w14:textId="3C5D4139"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3" w:history="1">
            <w:r w:rsidRPr="00E1418B">
              <w:rPr>
                <w:rStyle w:val="Hyperlink"/>
                <w:noProof/>
              </w:rPr>
              <w:t>2.1</w:t>
            </w:r>
            <w:r>
              <w:rPr>
                <w:rFonts w:eastAsiaTheme="minorEastAsia"/>
                <w:noProof/>
                <w:kern w:val="2"/>
                <w:sz w:val="24"/>
                <w:szCs w:val="24"/>
                <w:lang w:val="kl-GL" w:eastAsia="kl-GL"/>
                <w14:ligatures w14:val="standardContextual"/>
              </w:rPr>
              <w:tab/>
            </w:r>
            <w:r w:rsidRPr="00E1418B">
              <w:rPr>
                <w:rStyle w:val="Hyperlink"/>
                <w:noProof/>
              </w:rPr>
              <w:t>Prøvetagning</w:t>
            </w:r>
            <w:r>
              <w:rPr>
                <w:noProof/>
                <w:webHidden/>
              </w:rPr>
              <w:tab/>
            </w:r>
            <w:r>
              <w:rPr>
                <w:noProof/>
                <w:webHidden/>
              </w:rPr>
              <w:fldChar w:fldCharType="begin"/>
            </w:r>
            <w:r>
              <w:rPr>
                <w:noProof/>
                <w:webHidden/>
              </w:rPr>
              <w:instrText xml:space="preserve"> PAGEREF _Toc210030953 \h </w:instrText>
            </w:r>
            <w:r>
              <w:rPr>
                <w:noProof/>
                <w:webHidden/>
              </w:rPr>
            </w:r>
            <w:r>
              <w:rPr>
                <w:noProof/>
                <w:webHidden/>
              </w:rPr>
              <w:fldChar w:fldCharType="separate"/>
            </w:r>
            <w:r>
              <w:rPr>
                <w:noProof/>
                <w:webHidden/>
              </w:rPr>
              <w:t>6</w:t>
            </w:r>
            <w:r>
              <w:rPr>
                <w:noProof/>
                <w:webHidden/>
              </w:rPr>
              <w:fldChar w:fldCharType="end"/>
            </w:r>
          </w:hyperlink>
        </w:p>
        <w:p w14:paraId="200BC8DC" w14:textId="5B9DED69" w:rsidR="00A82C83" w:rsidRDefault="00A82C83">
          <w:pPr>
            <w:pStyle w:val="Indholdsfortegnelse1"/>
            <w:rPr>
              <w:rFonts w:eastAsiaTheme="minorEastAsia"/>
              <w:noProof/>
              <w:kern w:val="2"/>
              <w:sz w:val="24"/>
              <w:szCs w:val="24"/>
              <w:lang w:val="kl-GL" w:eastAsia="kl-GL"/>
              <w14:ligatures w14:val="standardContextual"/>
            </w:rPr>
          </w:pPr>
          <w:hyperlink w:anchor="_Toc210030954" w:history="1">
            <w:r w:rsidRPr="00E1418B">
              <w:rPr>
                <w:rStyle w:val="Hyperlink"/>
                <w:noProof/>
              </w:rPr>
              <w:t>3.</w:t>
            </w:r>
            <w:r>
              <w:rPr>
                <w:rFonts w:eastAsiaTheme="minorEastAsia"/>
                <w:noProof/>
                <w:kern w:val="2"/>
                <w:sz w:val="24"/>
                <w:szCs w:val="24"/>
                <w:lang w:val="kl-GL" w:eastAsia="kl-GL"/>
                <w14:ligatures w14:val="standardContextual"/>
              </w:rPr>
              <w:tab/>
            </w:r>
            <w:r w:rsidRPr="00E1418B">
              <w:rPr>
                <w:rStyle w:val="Hyperlink"/>
                <w:noProof/>
              </w:rPr>
              <w:t>Rådgivning samt styrings- og forvaltningsprincipper i fiskeriet</w:t>
            </w:r>
            <w:r>
              <w:rPr>
                <w:noProof/>
                <w:webHidden/>
              </w:rPr>
              <w:tab/>
            </w:r>
            <w:r>
              <w:rPr>
                <w:noProof/>
                <w:webHidden/>
              </w:rPr>
              <w:fldChar w:fldCharType="begin"/>
            </w:r>
            <w:r>
              <w:rPr>
                <w:noProof/>
                <w:webHidden/>
              </w:rPr>
              <w:instrText xml:space="preserve"> PAGEREF _Toc210030954 \h </w:instrText>
            </w:r>
            <w:r>
              <w:rPr>
                <w:noProof/>
                <w:webHidden/>
              </w:rPr>
            </w:r>
            <w:r>
              <w:rPr>
                <w:noProof/>
                <w:webHidden/>
              </w:rPr>
              <w:fldChar w:fldCharType="separate"/>
            </w:r>
            <w:r>
              <w:rPr>
                <w:noProof/>
                <w:webHidden/>
              </w:rPr>
              <w:t>6</w:t>
            </w:r>
            <w:r>
              <w:rPr>
                <w:noProof/>
                <w:webHidden/>
              </w:rPr>
              <w:fldChar w:fldCharType="end"/>
            </w:r>
          </w:hyperlink>
        </w:p>
        <w:p w14:paraId="7F2565FA" w14:textId="0DE13D41"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5" w:history="1">
            <w:r w:rsidRPr="00E1418B">
              <w:rPr>
                <w:rStyle w:val="Hyperlink"/>
                <w:noProof/>
              </w:rPr>
              <w:t>3.1</w:t>
            </w:r>
            <w:r>
              <w:rPr>
                <w:rFonts w:eastAsiaTheme="minorEastAsia"/>
                <w:noProof/>
                <w:kern w:val="2"/>
                <w:sz w:val="24"/>
                <w:szCs w:val="24"/>
                <w:lang w:val="kl-GL" w:eastAsia="kl-GL"/>
                <w14:ligatures w14:val="standardContextual"/>
              </w:rPr>
              <w:tab/>
            </w:r>
            <w:r w:rsidRPr="00E1418B">
              <w:rPr>
                <w:rStyle w:val="Hyperlink"/>
                <w:noProof/>
              </w:rPr>
              <w:t>Videnskabelig rådgivning</w:t>
            </w:r>
            <w:r>
              <w:rPr>
                <w:noProof/>
                <w:webHidden/>
              </w:rPr>
              <w:tab/>
            </w:r>
            <w:r>
              <w:rPr>
                <w:noProof/>
                <w:webHidden/>
              </w:rPr>
              <w:fldChar w:fldCharType="begin"/>
            </w:r>
            <w:r>
              <w:rPr>
                <w:noProof/>
                <w:webHidden/>
              </w:rPr>
              <w:instrText xml:space="preserve"> PAGEREF _Toc210030955 \h </w:instrText>
            </w:r>
            <w:r>
              <w:rPr>
                <w:noProof/>
                <w:webHidden/>
              </w:rPr>
            </w:r>
            <w:r>
              <w:rPr>
                <w:noProof/>
                <w:webHidden/>
              </w:rPr>
              <w:fldChar w:fldCharType="separate"/>
            </w:r>
            <w:r>
              <w:rPr>
                <w:noProof/>
                <w:webHidden/>
              </w:rPr>
              <w:t>6</w:t>
            </w:r>
            <w:r>
              <w:rPr>
                <w:noProof/>
                <w:webHidden/>
              </w:rPr>
              <w:fldChar w:fldCharType="end"/>
            </w:r>
          </w:hyperlink>
        </w:p>
        <w:p w14:paraId="58C621A7" w14:textId="7C185C6B"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6" w:history="1">
            <w:r w:rsidRPr="00E1418B">
              <w:rPr>
                <w:rStyle w:val="Hyperlink"/>
                <w:noProof/>
              </w:rPr>
              <w:t>3.2</w:t>
            </w:r>
            <w:r>
              <w:rPr>
                <w:rFonts w:eastAsiaTheme="minorEastAsia"/>
                <w:noProof/>
                <w:kern w:val="2"/>
                <w:sz w:val="24"/>
                <w:szCs w:val="24"/>
                <w:lang w:val="kl-GL" w:eastAsia="kl-GL"/>
                <w14:ligatures w14:val="standardContextual"/>
              </w:rPr>
              <w:tab/>
            </w:r>
            <w:r w:rsidRPr="00E1418B">
              <w:rPr>
                <w:rStyle w:val="Hyperlink"/>
                <w:noProof/>
              </w:rPr>
              <w:t>Fastsættelse af TAC og kvoter</w:t>
            </w:r>
            <w:r>
              <w:rPr>
                <w:noProof/>
                <w:webHidden/>
              </w:rPr>
              <w:tab/>
            </w:r>
            <w:r>
              <w:rPr>
                <w:noProof/>
                <w:webHidden/>
              </w:rPr>
              <w:fldChar w:fldCharType="begin"/>
            </w:r>
            <w:r>
              <w:rPr>
                <w:noProof/>
                <w:webHidden/>
              </w:rPr>
              <w:instrText xml:space="preserve"> PAGEREF _Toc210030956 \h </w:instrText>
            </w:r>
            <w:r>
              <w:rPr>
                <w:noProof/>
                <w:webHidden/>
              </w:rPr>
            </w:r>
            <w:r>
              <w:rPr>
                <w:noProof/>
                <w:webHidden/>
              </w:rPr>
              <w:fldChar w:fldCharType="separate"/>
            </w:r>
            <w:r>
              <w:rPr>
                <w:noProof/>
                <w:webHidden/>
              </w:rPr>
              <w:t>7</w:t>
            </w:r>
            <w:r>
              <w:rPr>
                <w:noProof/>
                <w:webHidden/>
              </w:rPr>
              <w:fldChar w:fldCharType="end"/>
            </w:r>
          </w:hyperlink>
        </w:p>
        <w:p w14:paraId="4405EAFF" w14:textId="51603E45"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57" w:history="1">
            <w:r w:rsidRPr="00E1418B">
              <w:rPr>
                <w:rStyle w:val="Hyperlink"/>
                <w:noProof/>
              </w:rPr>
              <w:t>3.2.1</w:t>
            </w:r>
            <w:r>
              <w:rPr>
                <w:rFonts w:eastAsiaTheme="minorEastAsia"/>
                <w:noProof/>
                <w:kern w:val="2"/>
                <w:sz w:val="24"/>
                <w:szCs w:val="24"/>
                <w:lang w:val="kl-GL" w:eastAsia="kl-GL"/>
                <w14:ligatures w14:val="standardContextual"/>
              </w:rPr>
              <w:tab/>
            </w:r>
            <w:r w:rsidRPr="00E1418B">
              <w:rPr>
                <w:rStyle w:val="Hyperlink"/>
                <w:noProof/>
              </w:rPr>
              <w:t>Fordeling af TAC</w:t>
            </w:r>
            <w:r>
              <w:rPr>
                <w:noProof/>
                <w:webHidden/>
              </w:rPr>
              <w:tab/>
            </w:r>
            <w:r>
              <w:rPr>
                <w:noProof/>
                <w:webHidden/>
              </w:rPr>
              <w:fldChar w:fldCharType="begin"/>
            </w:r>
            <w:r>
              <w:rPr>
                <w:noProof/>
                <w:webHidden/>
              </w:rPr>
              <w:instrText xml:space="preserve"> PAGEREF _Toc210030957 \h </w:instrText>
            </w:r>
            <w:r>
              <w:rPr>
                <w:noProof/>
                <w:webHidden/>
              </w:rPr>
            </w:r>
            <w:r>
              <w:rPr>
                <w:noProof/>
                <w:webHidden/>
              </w:rPr>
              <w:fldChar w:fldCharType="separate"/>
            </w:r>
            <w:r>
              <w:rPr>
                <w:noProof/>
                <w:webHidden/>
              </w:rPr>
              <w:t>7</w:t>
            </w:r>
            <w:r>
              <w:rPr>
                <w:noProof/>
                <w:webHidden/>
              </w:rPr>
              <w:fldChar w:fldCharType="end"/>
            </w:r>
          </w:hyperlink>
        </w:p>
        <w:p w14:paraId="3214FE9F" w14:textId="1BBEA9AB"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58" w:history="1">
            <w:r w:rsidRPr="00E1418B">
              <w:rPr>
                <w:rStyle w:val="Hyperlink"/>
                <w:noProof/>
              </w:rPr>
              <w:t>3.3</w:t>
            </w:r>
            <w:r>
              <w:rPr>
                <w:rFonts w:eastAsiaTheme="minorEastAsia"/>
                <w:noProof/>
                <w:kern w:val="2"/>
                <w:sz w:val="24"/>
                <w:szCs w:val="24"/>
                <w:lang w:val="kl-GL" w:eastAsia="kl-GL"/>
                <w14:ligatures w14:val="standardContextual"/>
              </w:rPr>
              <w:tab/>
            </w:r>
            <w:r w:rsidRPr="00E1418B">
              <w:rPr>
                <w:rStyle w:val="Hyperlink"/>
                <w:noProof/>
              </w:rPr>
              <w:t>Reguleringsmekanismer</w:t>
            </w:r>
            <w:r>
              <w:rPr>
                <w:noProof/>
                <w:webHidden/>
              </w:rPr>
              <w:tab/>
            </w:r>
            <w:r>
              <w:rPr>
                <w:noProof/>
                <w:webHidden/>
              </w:rPr>
              <w:fldChar w:fldCharType="begin"/>
            </w:r>
            <w:r>
              <w:rPr>
                <w:noProof/>
                <w:webHidden/>
              </w:rPr>
              <w:instrText xml:space="preserve"> PAGEREF _Toc210030958 \h </w:instrText>
            </w:r>
            <w:r>
              <w:rPr>
                <w:noProof/>
                <w:webHidden/>
              </w:rPr>
            </w:r>
            <w:r>
              <w:rPr>
                <w:noProof/>
                <w:webHidden/>
              </w:rPr>
              <w:fldChar w:fldCharType="separate"/>
            </w:r>
            <w:r>
              <w:rPr>
                <w:noProof/>
                <w:webHidden/>
              </w:rPr>
              <w:t>8</w:t>
            </w:r>
            <w:r>
              <w:rPr>
                <w:noProof/>
                <w:webHidden/>
              </w:rPr>
              <w:fldChar w:fldCharType="end"/>
            </w:r>
          </w:hyperlink>
        </w:p>
        <w:p w14:paraId="6A78E643" w14:textId="4A10604E"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59" w:history="1">
            <w:r w:rsidRPr="00E1418B">
              <w:rPr>
                <w:rStyle w:val="Hyperlink"/>
                <w:noProof/>
              </w:rPr>
              <w:t>3.3.1</w:t>
            </w:r>
            <w:r>
              <w:rPr>
                <w:rFonts w:eastAsiaTheme="minorEastAsia"/>
                <w:noProof/>
                <w:kern w:val="2"/>
                <w:sz w:val="24"/>
                <w:szCs w:val="24"/>
                <w:lang w:val="kl-GL" w:eastAsia="kl-GL"/>
                <w14:ligatures w14:val="standardContextual"/>
              </w:rPr>
              <w:tab/>
            </w:r>
            <w:r w:rsidRPr="00E1418B">
              <w:rPr>
                <w:rStyle w:val="Hyperlink"/>
                <w:noProof/>
              </w:rPr>
              <w:t>Regulering af kvotemængde</w:t>
            </w:r>
            <w:r>
              <w:rPr>
                <w:noProof/>
                <w:webHidden/>
              </w:rPr>
              <w:tab/>
            </w:r>
            <w:r>
              <w:rPr>
                <w:noProof/>
                <w:webHidden/>
              </w:rPr>
              <w:fldChar w:fldCharType="begin"/>
            </w:r>
            <w:r>
              <w:rPr>
                <w:noProof/>
                <w:webHidden/>
              </w:rPr>
              <w:instrText xml:space="preserve"> PAGEREF _Toc210030959 \h </w:instrText>
            </w:r>
            <w:r>
              <w:rPr>
                <w:noProof/>
                <w:webHidden/>
              </w:rPr>
            </w:r>
            <w:r>
              <w:rPr>
                <w:noProof/>
                <w:webHidden/>
              </w:rPr>
              <w:fldChar w:fldCharType="separate"/>
            </w:r>
            <w:r>
              <w:rPr>
                <w:noProof/>
                <w:webHidden/>
              </w:rPr>
              <w:t>8</w:t>
            </w:r>
            <w:r>
              <w:rPr>
                <w:noProof/>
                <w:webHidden/>
              </w:rPr>
              <w:fldChar w:fldCharType="end"/>
            </w:r>
          </w:hyperlink>
        </w:p>
        <w:p w14:paraId="3B2683A3" w14:textId="78207064"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0" w:history="1">
            <w:r w:rsidRPr="00E1418B">
              <w:rPr>
                <w:rStyle w:val="Hyperlink"/>
                <w:noProof/>
                <w:lang w:val="kl-GL"/>
              </w:rPr>
              <w:t>3.3.2</w:t>
            </w:r>
            <w:r>
              <w:rPr>
                <w:rFonts w:eastAsiaTheme="minorEastAsia"/>
                <w:noProof/>
                <w:kern w:val="2"/>
                <w:sz w:val="24"/>
                <w:szCs w:val="24"/>
                <w:lang w:val="kl-GL" w:eastAsia="kl-GL"/>
                <w14:ligatures w14:val="standardContextual"/>
              </w:rPr>
              <w:tab/>
            </w:r>
            <w:r w:rsidRPr="00E1418B">
              <w:rPr>
                <w:rStyle w:val="Hyperlink"/>
                <w:noProof/>
                <w:lang w:val="kl-GL"/>
              </w:rPr>
              <w:t>Regulering af fiskerikapacitet</w:t>
            </w:r>
            <w:r>
              <w:rPr>
                <w:noProof/>
                <w:webHidden/>
              </w:rPr>
              <w:tab/>
            </w:r>
            <w:r>
              <w:rPr>
                <w:noProof/>
                <w:webHidden/>
              </w:rPr>
              <w:fldChar w:fldCharType="begin"/>
            </w:r>
            <w:r>
              <w:rPr>
                <w:noProof/>
                <w:webHidden/>
              </w:rPr>
              <w:instrText xml:space="preserve"> PAGEREF _Toc210030960 \h </w:instrText>
            </w:r>
            <w:r>
              <w:rPr>
                <w:noProof/>
                <w:webHidden/>
              </w:rPr>
            </w:r>
            <w:r>
              <w:rPr>
                <w:noProof/>
                <w:webHidden/>
              </w:rPr>
              <w:fldChar w:fldCharType="separate"/>
            </w:r>
            <w:r>
              <w:rPr>
                <w:noProof/>
                <w:webHidden/>
              </w:rPr>
              <w:t>8</w:t>
            </w:r>
            <w:r>
              <w:rPr>
                <w:noProof/>
                <w:webHidden/>
              </w:rPr>
              <w:fldChar w:fldCharType="end"/>
            </w:r>
          </w:hyperlink>
        </w:p>
        <w:p w14:paraId="4F94E240" w14:textId="7037AB03"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1" w:history="1">
            <w:r w:rsidRPr="00E1418B">
              <w:rPr>
                <w:rStyle w:val="Hyperlink"/>
                <w:noProof/>
              </w:rPr>
              <w:t>3.3.3</w:t>
            </w:r>
            <w:r>
              <w:rPr>
                <w:rFonts w:eastAsiaTheme="minorEastAsia"/>
                <w:noProof/>
                <w:kern w:val="2"/>
                <w:sz w:val="24"/>
                <w:szCs w:val="24"/>
                <w:lang w:val="kl-GL" w:eastAsia="kl-GL"/>
                <w14:ligatures w14:val="standardContextual"/>
              </w:rPr>
              <w:tab/>
            </w:r>
            <w:r w:rsidRPr="00E1418B">
              <w:rPr>
                <w:rStyle w:val="Hyperlink"/>
                <w:noProof/>
              </w:rPr>
              <w:t>Områderegulering</w:t>
            </w:r>
            <w:r>
              <w:rPr>
                <w:noProof/>
                <w:webHidden/>
              </w:rPr>
              <w:tab/>
            </w:r>
            <w:r>
              <w:rPr>
                <w:noProof/>
                <w:webHidden/>
              </w:rPr>
              <w:fldChar w:fldCharType="begin"/>
            </w:r>
            <w:r>
              <w:rPr>
                <w:noProof/>
                <w:webHidden/>
              </w:rPr>
              <w:instrText xml:space="preserve"> PAGEREF _Toc210030961 \h </w:instrText>
            </w:r>
            <w:r>
              <w:rPr>
                <w:noProof/>
                <w:webHidden/>
              </w:rPr>
            </w:r>
            <w:r>
              <w:rPr>
                <w:noProof/>
                <w:webHidden/>
              </w:rPr>
              <w:fldChar w:fldCharType="separate"/>
            </w:r>
            <w:r>
              <w:rPr>
                <w:noProof/>
                <w:webHidden/>
              </w:rPr>
              <w:t>8</w:t>
            </w:r>
            <w:r>
              <w:rPr>
                <w:noProof/>
                <w:webHidden/>
              </w:rPr>
              <w:fldChar w:fldCharType="end"/>
            </w:r>
          </w:hyperlink>
        </w:p>
        <w:p w14:paraId="1DB88985" w14:textId="36774AC9"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2" w:history="1">
            <w:r w:rsidRPr="00E1418B">
              <w:rPr>
                <w:rStyle w:val="Hyperlink"/>
                <w:noProof/>
              </w:rPr>
              <w:t>3.3.4</w:t>
            </w:r>
            <w:r>
              <w:rPr>
                <w:rFonts w:eastAsiaTheme="minorEastAsia"/>
                <w:noProof/>
                <w:kern w:val="2"/>
                <w:sz w:val="24"/>
                <w:szCs w:val="24"/>
                <w:lang w:val="kl-GL" w:eastAsia="kl-GL"/>
                <w14:ligatures w14:val="standardContextual"/>
              </w:rPr>
              <w:tab/>
            </w:r>
            <w:r w:rsidRPr="00E1418B">
              <w:rPr>
                <w:rStyle w:val="Hyperlink"/>
                <w:noProof/>
              </w:rPr>
              <w:t>Tekniske bevaringsforanstaltninger og forvaltning af sårbare marine økosystemer</w:t>
            </w:r>
            <w:r>
              <w:rPr>
                <w:noProof/>
                <w:webHidden/>
              </w:rPr>
              <w:tab/>
            </w:r>
            <w:r>
              <w:rPr>
                <w:noProof/>
                <w:webHidden/>
              </w:rPr>
              <w:fldChar w:fldCharType="begin"/>
            </w:r>
            <w:r>
              <w:rPr>
                <w:noProof/>
                <w:webHidden/>
              </w:rPr>
              <w:instrText xml:space="preserve"> PAGEREF _Toc210030962 \h </w:instrText>
            </w:r>
            <w:r>
              <w:rPr>
                <w:noProof/>
                <w:webHidden/>
              </w:rPr>
            </w:r>
            <w:r>
              <w:rPr>
                <w:noProof/>
                <w:webHidden/>
              </w:rPr>
              <w:fldChar w:fldCharType="separate"/>
            </w:r>
            <w:r>
              <w:rPr>
                <w:noProof/>
                <w:webHidden/>
              </w:rPr>
              <w:t>8</w:t>
            </w:r>
            <w:r>
              <w:rPr>
                <w:noProof/>
                <w:webHidden/>
              </w:rPr>
              <w:fldChar w:fldCharType="end"/>
            </w:r>
          </w:hyperlink>
        </w:p>
        <w:p w14:paraId="4B8065BE" w14:textId="66499711"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3" w:history="1">
            <w:r w:rsidRPr="00E1418B">
              <w:rPr>
                <w:rStyle w:val="Hyperlink"/>
                <w:noProof/>
              </w:rPr>
              <w:t>3.3.5</w:t>
            </w:r>
            <w:r>
              <w:rPr>
                <w:rFonts w:eastAsiaTheme="minorEastAsia"/>
                <w:noProof/>
                <w:kern w:val="2"/>
                <w:sz w:val="24"/>
                <w:szCs w:val="24"/>
                <w:lang w:val="kl-GL" w:eastAsia="kl-GL"/>
                <w14:ligatures w14:val="standardContextual"/>
              </w:rPr>
              <w:tab/>
            </w:r>
            <w:r w:rsidRPr="00E1418B">
              <w:rPr>
                <w:rStyle w:val="Hyperlink"/>
                <w:noProof/>
              </w:rPr>
              <w:t>Forvaltning af bifangst</w:t>
            </w:r>
            <w:r>
              <w:rPr>
                <w:noProof/>
                <w:webHidden/>
              </w:rPr>
              <w:tab/>
            </w:r>
            <w:r>
              <w:rPr>
                <w:noProof/>
                <w:webHidden/>
              </w:rPr>
              <w:fldChar w:fldCharType="begin"/>
            </w:r>
            <w:r>
              <w:rPr>
                <w:noProof/>
                <w:webHidden/>
              </w:rPr>
              <w:instrText xml:space="preserve"> PAGEREF _Toc210030963 \h </w:instrText>
            </w:r>
            <w:r>
              <w:rPr>
                <w:noProof/>
                <w:webHidden/>
              </w:rPr>
            </w:r>
            <w:r>
              <w:rPr>
                <w:noProof/>
                <w:webHidden/>
              </w:rPr>
              <w:fldChar w:fldCharType="separate"/>
            </w:r>
            <w:r>
              <w:rPr>
                <w:noProof/>
                <w:webHidden/>
              </w:rPr>
              <w:t>9</w:t>
            </w:r>
            <w:r>
              <w:rPr>
                <w:noProof/>
                <w:webHidden/>
              </w:rPr>
              <w:fldChar w:fldCharType="end"/>
            </w:r>
          </w:hyperlink>
        </w:p>
        <w:p w14:paraId="17CC0D3B" w14:textId="075C58FF" w:rsidR="00A82C83" w:rsidRDefault="00A82C83">
          <w:pPr>
            <w:pStyle w:val="Indholdsfortegnelse1"/>
            <w:rPr>
              <w:rFonts w:eastAsiaTheme="minorEastAsia"/>
              <w:noProof/>
              <w:kern w:val="2"/>
              <w:sz w:val="24"/>
              <w:szCs w:val="24"/>
              <w:lang w:val="kl-GL" w:eastAsia="kl-GL"/>
              <w14:ligatures w14:val="standardContextual"/>
            </w:rPr>
          </w:pPr>
          <w:hyperlink w:anchor="_Toc210030964" w:history="1">
            <w:r w:rsidRPr="00E1418B">
              <w:rPr>
                <w:rStyle w:val="Hyperlink"/>
                <w:noProof/>
              </w:rPr>
              <w:t>4.</w:t>
            </w:r>
            <w:r>
              <w:rPr>
                <w:rFonts w:eastAsiaTheme="minorEastAsia"/>
                <w:noProof/>
                <w:kern w:val="2"/>
                <w:sz w:val="24"/>
                <w:szCs w:val="24"/>
                <w:lang w:val="kl-GL" w:eastAsia="kl-GL"/>
                <w14:ligatures w14:val="standardContextual"/>
              </w:rPr>
              <w:tab/>
            </w:r>
            <w:r w:rsidRPr="00E1418B">
              <w:rPr>
                <w:rStyle w:val="Hyperlink"/>
                <w:noProof/>
              </w:rPr>
              <w:t>Rapportering og kontrol</w:t>
            </w:r>
            <w:r>
              <w:rPr>
                <w:noProof/>
                <w:webHidden/>
              </w:rPr>
              <w:tab/>
            </w:r>
            <w:r>
              <w:rPr>
                <w:noProof/>
                <w:webHidden/>
              </w:rPr>
              <w:fldChar w:fldCharType="begin"/>
            </w:r>
            <w:r>
              <w:rPr>
                <w:noProof/>
                <w:webHidden/>
              </w:rPr>
              <w:instrText xml:space="preserve"> PAGEREF _Toc210030964 \h </w:instrText>
            </w:r>
            <w:r>
              <w:rPr>
                <w:noProof/>
                <w:webHidden/>
              </w:rPr>
            </w:r>
            <w:r>
              <w:rPr>
                <w:noProof/>
                <w:webHidden/>
              </w:rPr>
              <w:fldChar w:fldCharType="separate"/>
            </w:r>
            <w:r>
              <w:rPr>
                <w:noProof/>
                <w:webHidden/>
              </w:rPr>
              <w:t>9</w:t>
            </w:r>
            <w:r>
              <w:rPr>
                <w:noProof/>
                <w:webHidden/>
              </w:rPr>
              <w:fldChar w:fldCharType="end"/>
            </w:r>
          </w:hyperlink>
        </w:p>
        <w:p w14:paraId="0A2456CB" w14:textId="2A2F4867"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65" w:history="1">
            <w:r w:rsidRPr="00E1418B">
              <w:rPr>
                <w:rStyle w:val="Hyperlink"/>
                <w:noProof/>
              </w:rPr>
              <w:t>4.1</w:t>
            </w:r>
            <w:r>
              <w:rPr>
                <w:rFonts w:eastAsiaTheme="minorEastAsia"/>
                <w:noProof/>
                <w:kern w:val="2"/>
                <w:sz w:val="24"/>
                <w:szCs w:val="24"/>
                <w:lang w:val="kl-GL" w:eastAsia="kl-GL"/>
                <w14:ligatures w14:val="standardContextual"/>
              </w:rPr>
              <w:tab/>
            </w:r>
            <w:r w:rsidRPr="00E1418B">
              <w:rPr>
                <w:rStyle w:val="Hyperlink"/>
                <w:noProof/>
              </w:rPr>
              <w:t>Rapportering</w:t>
            </w:r>
            <w:r>
              <w:rPr>
                <w:noProof/>
                <w:webHidden/>
              </w:rPr>
              <w:tab/>
            </w:r>
            <w:r>
              <w:rPr>
                <w:noProof/>
                <w:webHidden/>
              </w:rPr>
              <w:fldChar w:fldCharType="begin"/>
            </w:r>
            <w:r>
              <w:rPr>
                <w:noProof/>
                <w:webHidden/>
              </w:rPr>
              <w:instrText xml:space="preserve"> PAGEREF _Toc210030965 \h </w:instrText>
            </w:r>
            <w:r>
              <w:rPr>
                <w:noProof/>
                <w:webHidden/>
              </w:rPr>
            </w:r>
            <w:r>
              <w:rPr>
                <w:noProof/>
                <w:webHidden/>
              </w:rPr>
              <w:fldChar w:fldCharType="separate"/>
            </w:r>
            <w:r>
              <w:rPr>
                <w:noProof/>
                <w:webHidden/>
              </w:rPr>
              <w:t>9</w:t>
            </w:r>
            <w:r>
              <w:rPr>
                <w:noProof/>
                <w:webHidden/>
              </w:rPr>
              <w:fldChar w:fldCharType="end"/>
            </w:r>
          </w:hyperlink>
        </w:p>
        <w:p w14:paraId="2F2272BA" w14:textId="65DF89A1" w:rsidR="00A82C83" w:rsidRDefault="00A82C83">
          <w:pPr>
            <w:pStyle w:val="Indholdsfortegnelse2"/>
            <w:tabs>
              <w:tab w:val="left" w:pos="960"/>
              <w:tab w:val="right" w:leader="dot" w:pos="9628"/>
            </w:tabs>
            <w:rPr>
              <w:rFonts w:eastAsiaTheme="minorEastAsia"/>
              <w:noProof/>
              <w:kern w:val="2"/>
              <w:sz w:val="24"/>
              <w:szCs w:val="24"/>
              <w:lang w:val="kl-GL" w:eastAsia="kl-GL"/>
              <w14:ligatures w14:val="standardContextual"/>
            </w:rPr>
          </w:pPr>
          <w:hyperlink w:anchor="_Toc210030966" w:history="1">
            <w:r w:rsidRPr="00E1418B">
              <w:rPr>
                <w:rStyle w:val="Hyperlink"/>
                <w:noProof/>
                <w:lang w:val="en-US"/>
              </w:rPr>
              <w:t>4.2</w:t>
            </w:r>
            <w:r>
              <w:rPr>
                <w:rFonts w:eastAsiaTheme="minorEastAsia"/>
                <w:noProof/>
                <w:kern w:val="2"/>
                <w:sz w:val="24"/>
                <w:szCs w:val="24"/>
                <w:lang w:val="kl-GL" w:eastAsia="kl-GL"/>
                <w14:ligatures w14:val="standardContextual"/>
              </w:rPr>
              <w:tab/>
            </w:r>
            <w:r w:rsidRPr="00E1418B">
              <w:rPr>
                <w:rStyle w:val="Hyperlink"/>
                <w:noProof/>
                <w:lang w:val="en-US"/>
              </w:rPr>
              <w:t>Monitoring, Control, and Surveillance (MCS)</w:t>
            </w:r>
            <w:r>
              <w:rPr>
                <w:noProof/>
                <w:webHidden/>
              </w:rPr>
              <w:tab/>
            </w:r>
            <w:r>
              <w:rPr>
                <w:noProof/>
                <w:webHidden/>
              </w:rPr>
              <w:fldChar w:fldCharType="begin"/>
            </w:r>
            <w:r>
              <w:rPr>
                <w:noProof/>
                <w:webHidden/>
              </w:rPr>
              <w:instrText xml:space="preserve"> PAGEREF _Toc210030966 \h </w:instrText>
            </w:r>
            <w:r>
              <w:rPr>
                <w:noProof/>
                <w:webHidden/>
              </w:rPr>
            </w:r>
            <w:r>
              <w:rPr>
                <w:noProof/>
                <w:webHidden/>
              </w:rPr>
              <w:fldChar w:fldCharType="separate"/>
            </w:r>
            <w:r>
              <w:rPr>
                <w:noProof/>
                <w:webHidden/>
              </w:rPr>
              <w:t>9</w:t>
            </w:r>
            <w:r>
              <w:rPr>
                <w:noProof/>
                <w:webHidden/>
              </w:rPr>
              <w:fldChar w:fldCharType="end"/>
            </w:r>
          </w:hyperlink>
        </w:p>
        <w:p w14:paraId="57982043" w14:textId="34D516F1"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7" w:history="1">
            <w:r w:rsidRPr="00E1418B">
              <w:rPr>
                <w:rStyle w:val="Hyperlink"/>
                <w:noProof/>
              </w:rPr>
              <w:t>4.2.1</w:t>
            </w:r>
            <w:r>
              <w:rPr>
                <w:rFonts w:eastAsiaTheme="minorEastAsia"/>
                <w:noProof/>
                <w:kern w:val="2"/>
                <w:sz w:val="24"/>
                <w:szCs w:val="24"/>
                <w:lang w:val="kl-GL" w:eastAsia="kl-GL"/>
                <w14:ligatures w14:val="standardContextual"/>
              </w:rPr>
              <w:tab/>
            </w:r>
            <w:r w:rsidRPr="00E1418B">
              <w:rPr>
                <w:rStyle w:val="Hyperlink"/>
                <w:noProof/>
              </w:rPr>
              <w:t>Elektronisk logbog</w:t>
            </w:r>
            <w:r>
              <w:rPr>
                <w:noProof/>
                <w:webHidden/>
              </w:rPr>
              <w:tab/>
            </w:r>
            <w:r>
              <w:rPr>
                <w:noProof/>
                <w:webHidden/>
              </w:rPr>
              <w:fldChar w:fldCharType="begin"/>
            </w:r>
            <w:r>
              <w:rPr>
                <w:noProof/>
                <w:webHidden/>
              </w:rPr>
              <w:instrText xml:space="preserve"> PAGEREF _Toc210030967 \h </w:instrText>
            </w:r>
            <w:r>
              <w:rPr>
                <w:noProof/>
                <w:webHidden/>
              </w:rPr>
            </w:r>
            <w:r>
              <w:rPr>
                <w:noProof/>
                <w:webHidden/>
              </w:rPr>
              <w:fldChar w:fldCharType="separate"/>
            </w:r>
            <w:r>
              <w:rPr>
                <w:noProof/>
                <w:webHidden/>
              </w:rPr>
              <w:t>10</w:t>
            </w:r>
            <w:r>
              <w:rPr>
                <w:noProof/>
                <w:webHidden/>
              </w:rPr>
              <w:fldChar w:fldCharType="end"/>
            </w:r>
          </w:hyperlink>
        </w:p>
        <w:p w14:paraId="021A8A41" w14:textId="74C02A28"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8" w:history="1">
            <w:r w:rsidRPr="00E1418B">
              <w:rPr>
                <w:rStyle w:val="Hyperlink"/>
                <w:noProof/>
                <w:lang w:val="kl-GL"/>
              </w:rPr>
              <w:t>4.2.2</w:t>
            </w:r>
            <w:r>
              <w:rPr>
                <w:rFonts w:eastAsiaTheme="minorEastAsia"/>
                <w:noProof/>
                <w:kern w:val="2"/>
                <w:sz w:val="24"/>
                <w:szCs w:val="24"/>
                <w:lang w:val="kl-GL" w:eastAsia="kl-GL"/>
                <w14:ligatures w14:val="standardContextual"/>
              </w:rPr>
              <w:tab/>
            </w:r>
            <w:r w:rsidRPr="00E1418B">
              <w:rPr>
                <w:rStyle w:val="Hyperlink"/>
                <w:noProof/>
                <w:lang w:val="kl-GL"/>
              </w:rPr>
              <w:t>Dagsmeldinger</w:t>
            </w:r>
            <w:r>
              <w:rPr>
                <w:noProof/>
                <w:webHidden/>
              </w:rPr>
              <w:tab/>
            </w:r>
            <w:r>
              <w:rPr>
                <w:noProof/>
                <w:webHidden/>
              </w:rPr>
              <w:fldChar w:fldCharType="begin"/>
            </w:r>
            <w:r>
              <w:rPr>
                <w:noProof/>
                <w:webHidden/>
              </w:rPr>
              <w:instrText xml:space="preserve"> PAGEREF _Toc210030968 \h </w:instrText>
            </w:r>
            <w:r>
              <w:rPr>
                <w:noProof/>
                <w:webHidden/>
              </w:rPr>
            </w:r>
            <w:r>
              <w:rPr>
                <w:noProof/>
                <w:webHidden/>
              </w:rPr>
              <w:fldChar w:fldCharType="separate"/>
            </w:r>
            <w:r>
              <w:rPr>
                <w:noProof/>
                <w:webHidden/>
              </w:rPr>
              <w:t>10</w:t>
            </w:r>
            <w:r>
              <w:rPr>
                <w:noProof/>
                <w:webHidden/>
              </w:rPr>
              <w:fldChar w:fldCharType="end"/>
            </w:r>
          </w:hyperlink>
        </w:p>
        <w:p w14:paraId="4F367FE8" w14:textId="200B5C0D"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69" w:history="1">
            <w:r w:rsidRPr="00E1418B">
              <w:rPr>
                <w:rStyle w:val="Hyperlink"/>
                <w:noProof/>
              </w:rPr>
              <w:t>4.2.3</w:t>
            </w:r>
            <w:r>
              <w:rPr>
                <w:rFonts w:eastAsiaTheme="minorEastAsia"/>
                <w:noProof/>
                <w:kern w:val="2"/>
                <w:sz w:val="24"/>
                <w:szCs w:val="24"/>
                <w:lang w:val="kl-GL" w:eastAsia="kl-GL"/>
                <w14:ligatures w14:val="standardContextual"/>
              </w:rPr>
              <w:tab/>
            </w:r>
            <w:r w:rsidRPr="00E1418B">
              <w:rPr>
                <w:rStyle w:val="Hyperlink"/>
                <w:noProof/>
              </w:rPr>
              <w:t>Stop af fiskeri</w:t>
            </w:r>
            <w:r>
              <w:rPr>
                <w:noProof/>
                <w:webHidden/>
              </w:rPr>
              <w:tab/>
            </w:r>
            <w:r>
              <w:rPr>
                <w:noProof/>
                <w:webHidden/>
              </w:rPr>
              <w:fldChar w:fldCharType="begin"/>
            </w:r>
            <w:r>
              <w:rPr>
                <w:noProof/>
                <w:webHidden/>
              </w:rPr>
              <w:instrText xml:space="preserve"> PAGEREF _Toc210030969 \h </w:instrText>
            </w:r>
            <w:r>
              <w:rPr>
                <w:noProof/>
                <w:webHidden/>
              </w:rPr>
            </w:r>
            <w:r>
              <w:rPr>
                <w:noProof/>
                <w:webHidden/>
              </w:rPr>
              <w:fldChar w:fldCharType="separate"/>
            </w:r>
            <w:r>
              <w:rPr>
                <w:noProof/>
                <w:webHidden/>
              </w:rPr>
              <w:t>10</w:t>
            </w:r>
            <w:r>
              <w:rPr>
                <w:noProof/>
                <w:webHidden/>
              </w:rPr>
              <w:fldChar w:fldCharType="end"/>
            </w:r>
          </w:hyperlink>
        </w:p>
        <w:p w14:paraId="78D5CC22" w14:textId="4C691A1F" w:rsidR="00A82C83" w:rsidRDefault="00A82C83">
          <w:pPr>
            <w:pStyle w:val="Indholdsfortegnelse3"/>
            <w:tabs>
              <w:tab w:val="left" w:pos="1200"/>
              <w:tab w:val="right" w:leader="dot" w:pos="9628"/>
            </w:tabs>
            <w:rPr>
              <w:rFonts w:eastAsiaTheme="minorEastAsia"/>
              <w:noProof/>
              <w:kern w:val="2"/>
              <w:sz w:val="24"/>
              <w:szCs w:val="24"/>
              <w:lang w:val="kl-GL" w:eastAsia="kl-GL"/>
              <w14:ligatures w14:val="standardContextual"/>
            </w:rPr>
          </w:pPr>
          <w:hyperlink w:anchor="_Toc210030970" w:history="1">
            <w:r w:rsidRPr="00E1418B">
              <w:rPr>
                <w:rStyle w:val="Hyperlink"/>
                <w:noProof/>
              </w:rPr>
              <w:t>4.2.4</w:t>
            </w:r>
            <w:r>
              <w:rPr>
                <w:rFonts w:eastAsiaTheme="minorEastAsia"/>
                <w:noProof/>
                <w:kern w:val="2"/>
                <w:sz w:val="24"/>
                <w:szCs w:val="24"/>
                <w:lang w:val="kl-GL" w:eastAsia="kl-GL"/>
                <w14:ligatures w14:val="standardContextual"/>
              </w:rPr>
              <w:tab/>
            </w:r>
            <w:r w:rsidRPr="00E1418B">
              <w:rPr>
                <w:rStyle w:val="Hyperlink"/>
                <w:noProof/>
              </w:rPr>
              <w:t>Foranstaltninger og anmeldelser</w:t>
            </w:r>
            <w:r>
              <w:rPr>
                <w:noProof/>
                <w:webHidden/>
              </w:rPr>
              <w:tab/>
            </w:r>
            <w:r>
              <w:rPr>
                <w:noProof/>
                <w:webHidden/>
              </w:rPr>
              <w:fldChar w:fldCharType="begin"/>
            </w:r>
            <w:r>
              <w:rPr>
                <w:noProof/>
                <w:webHidden/>
              </w:rPr>
              <w:instrText xml:space="preserve"> PAGEREF _Toc210030970 \h </w:instrText>
            </w:r>
            <w:r>
              <w:rPr>
                <w:noProof/>
                <w:webHidden/>
              </w:rPr>
            </w:r>
            <w:r>
              <w:rPr>
                <w:noProof/>
                <w:webHidden/>
              </w:rPr>
              <w:fldChar w:fldCharType="separate"/>
            </w:r>
            <w:r>
              <w:rPr>
                <w:noProof/>
                <w:webHidden/>
              </w:rPr>
              <w:t>10</w:t>
            </w:r>
            <w:r>
              <w:rPr>
                <w:noProof/>
                <w:webHidden/>
              </w:rPr>
              <w:fldChar w:fldCharType="end"/>
            </w:r>
          </w:hyperlink>
        </w:p>
        <w:p w14:paraId="3D0537ED" w14:textId="05A70800" w:rsidR="00A82C83" w:rsidRDefault="00A82C83">
          <w:pPr>
            <w:pStyle w:val="Indholdsfortegnelse1"/>
            <w:rPr>
              <w:rFonts w:eastAsiaTheme="minorEastAsia"/>
              <w:noProof/>
              <w:kern w:val="2"/>
              <w:sz w:val="24"/>
              <w:szCs w:val="24"/>
              <w:lang w:val="kl-GL" w:eastAsia="kl-GL"/>
              <w14:ligatures w14:val="standardContextual"/>
            </w:rPr>
          </w:pPr>
          <w:hyperlink w:anchor="_Toc210030971" w:history="1">
            <w:r w:rsidRPr="00E1418B">
              <w:rPr>
                <w:rStyle w:val="Hyperlink"/>
                <w:noProof/>
              </w:rPr>
              <w:t>5.</w:t>
            </w:r>
            <w:r>
              <w:rPr>
                <w:rFonts w:eastAsiaTheme="minorEastAsia"/>
                <w:noProof/>
                <w:kern w:val="2"/>
                <w:sz w:val="24"/>
                <w:szCs w:val="24"/>
                <w:lang w:val="kl-GL" w:eastAsia="kl-GL"/>
                <w14:ligatures w14:val="standardContextual"/>
              </w:rPr>
              <w:tab/>
            </w:r>
            <w:r w:rsidRPr="00E1418B">
              <w:rPr>
                <w:rStyle w:val="Hyperlink"/>
                <w:noProof/>
              </w:rPr>
              <w:t>Referencer og bilag</w:t>
            </w:r>
            <w:r>
              <w:rPr>
                <w:noProof/>
                <w:webHidden/>
              </w:rPr>
              <w:tab/>
            </w:r>
            <w:r>
              <w:rPr>
                <w:noProof/>
                <w:webHidden/>
              </w:rPr>
              <w:fldChar w:fldCharType="begin"/>
            </w:r>
            <w:r>
              <w:rPr>
                <w:noProof/>
                <w:webHidden/>
              </w:rPr>
              <w:instrText xml:space="preserve"> PAGEREF _Toc210030971 \h </w:instrText>
            </w:r>
            <w:r>
              <w:rPr>
                <w:noProof/>
                <w:webHidden/>
              </w:rPr>
            </w:r>
            <w:r>
              <w:rPr>
                <w:noProof/>
                <w:webHidden/>
              </w:rPr>
              <w:fldChar w:fldCharType="separate"/>
            </w:r>
            <w:r>
              <w:rPr>
                <w:noProof/>
                <w:webHidden/>
              </w:rPr>
              <w:t>11</w:t>
            </w:r>
            <w:r>
              <w:rPr>
                <w:noProof/>
                <w:webHidden/>
              </w:rPr>
              <w:fldChar w:fldCharType="end"/>
            </w:r>
          </w:hyperlink>
        </w:p>
        <w:p w14:paraId="0C3F5771" w14:textId="0B91DB07" w:rsidR="00A82C83" w:rsidRDefault="00A82C83">
          <w:pPr>
            <w:pStyle w:val="Indholdsfortegnelse2"/>
            <w:tabs>
              <w:tab w:val="right" w:leader="dot" w:pos="9628"/>
            </w:tabs>
            <w:rPr>
              <w:rFonts w:eastAsiaTheme="minorEastAsia"/>
              <w:noProof/>
              <w:kern w:val="2"/>
              <w:sz w:val="24"/>
              <w:szCs w:val="24"/>
              <w:lang w:val="kl-GL" w:eastAsia="kl-GL"/>
              <w14:ligatures w14:val="standardContextual"/>
            </w:rPr>
          </w:pPr>
          <w:hyperlink w:anchor="_Toc210030972" w:history="1">
            <w:r w:rsidRPr="00E1418B">
              <w:rPr>
                <w:rStyle w:val="Hyperlink"/>
                <w:noProof/>
              </w:rPr>
              <w:t>Bilag 1. Gældende lovgivning af særlig relevans</w:t>
            </w:r>
            <w:r>
              <w:rPr>
                <w:noProof/>
                <w:webHidden/>
              </w:rPr>
              <w:tab/>
            </w:r>
            <w:r>
              <w:rPr>
                <w:noProof/>
                <w:webHidden/>
              </w:rPr>
              <w:fldChar w:fldCharType="begin"/>
            </w:r>
            <w:r>
              <w:rPr>
                <w:noProof/>
                <w:webHidden/>
              </w:rPr>
              <w:instrText xml:space="preserve"> PAGEREF _Toc210030972 \h </w:instrText>
            </w:r>
            <w:r>
              <w:rPr>
                <w:noProof/>
                <w:webHidden/>
              </w:rPr>
            </w:r>
            <w:r>
              <w:rPr>
                <w:noProof/>
                <w:webHidden/>
              </w:rPr>
              <w:fldChar w:fldCharType="separate"/>
            </w:r>
            <w:r>
              <w:rPr>
                <w:noProof/>
                <w:webHidden/>
              </w:rPr>
              <w:t>12</w:t>
            </w:r>
            <w:r>
              <w:rPr>
                <w:noProof/>
                <w:webHidden/>
              </w:rPr>
              <w:fldChar w:fldCharType="end"/>
            </w:r>
          </w:hyperlink>
        </w:p>
        <w:p w14:paraId="750A4371" w14:textId="24FF2AA0" w:rsidR="00A82C83" w:rsidRDefault="00A82C83">
          <w:pPr>
            <w:pStyle w:val="Indholdsfortegnelse2"/>
            <w:tabs>
              <w:tab w:val="right" w:leader="dot" w:pos="9628"/>
            </w:tabs>
            <w:rPr>
              <w:rFonts w:eastAsiaTheme="minorEastAsia"/>
              <w:noProof/>
              <w:kern w:val="2"/>
              <w:sz w:val="24"/>
              <w:szCs w:val="24"/>
              <w:lang w:val="kl-GL" w:eastAsia="kl-GL"/>
              <w14:ligatures w14:val="standardContextual"/>
            </w:rPr>
          </w:pPr>
          <w:hyperlink w:anchor="_Toc210030973" w:history="1">
            <w:r w:rsidRPr="00E1418B">
              <w:rPr>
                <w:rStyle w:val="Hyperlink"/>
                <w:noProof/>
              </w:rPr>
              <w:t>Bilag 2. Områdeafgrænsning</w:t>
            </w:r>
            <w:r>
              <w:rPr>
                <w:noProof/>
                <w:webHidden/>
              </w:rPr>
              <w:tab/>
            </w:r>
            <w:r>
              <w:rPr>
                <w:noProof/>
                <w:webHidden/>
              </w:rPr>
              <w:fldChar w:fldCharType="begin"/>
            </w:r>
            <w:r>
              <w:rPr>
                <w:noProof/>
                <w:webHidden/>
              </w:rPr>
              <w:instrText xml:space="preserve"> PAGEREF _Toc210030973 \h </w:instrText>
            </w:r>
            <w:r>
              <w:rPr>
                <w:noProof/>
                <w:webHidden/>
              </w:rPr>
            </w:r>
            <w:r>
              <w:rPr>
                <w:noProof/>
                <w:webHidden/>
              </w:rPr>
              <w:fldChar w:fldCharType="separate"/>
            </w:r>
            <w:r>
              <w:rPr>
                <w:noProof/>
                <w:webHidden/>
              </w:rPr>
              <w:t>13</w:t>
            </w:r>
            <w:r>
              <w:rPr>
                <w:noProof/>
                <w:webHidden/>
              </w:rPr>
              <w:fldChar w:fldCharType="end"/>
            </w:r>
          </w:hyperlink>
        </w:p>
        <w:p w14:paraId="793AA0F8" w14:textId="25CA4B80" w:rsidR="006F57F6" w:rsidRDefault="006F57F6">
          <w:r>
            <w:rPr>
              <w:b/>
              <w:bCs/>
            </w:rPr>
            <w:fldChar w:fldCharType="end"/>
          </w:r>
        </w:p>
      </w:sdtContent>
    </w:sdt>
    <w:p w14:paraId="06ECC386" w14:textId="1AFDB7EA" w:rsidR="00000629" w:rsidRPr="00A00C1B" w:rsidRDefault="00000629" w:rsidP="00000629">
      <w:pPr>
        <w:jc w:val="both"/>
      </w:pPr>
      <w:r>
        <w:t xml:space="preserve">Henvisning til lovgivning refereret i forvaltningsplanen, findes i vedlagt bilag. </w:t>
      </w:r>
    </w:p>
    <w:p w14:paraId="06378318" w14:textId="58C94496" w:rsidR="006F57F6" w:rsidRDefault="006F57F6" w:rsidP="006F57F6">
      <w:pPr>
        <w:rPr>
          <w:rFonts w:asciiTheme="majorHAnsi" w:eastAsiaTheme="majorEastAsia" w:hAnsiTheme="majorHAnsi" w:cstheme="majorBidi"/>
          <w:b/>
          <w:bCs/>
          <w:color w:val="365F91" w:themeColor="accent1" w:themeShade="BF"/>
          <w:sz w:val="28"/>
          <w:szCs w:val="28"/>
        </w:rPr>
      </w:pPr>
    </w:p>
    <w:p w14:paraId="3C590AE1" w14:textId="77777777" w:rsidR="003B29BB" w:rsidRPr="006F57F6" w:rsidRDefault="003B29BB" w:rsidP="006F57F6"/>
    <w:p w14:paraId="30094B30" w14:textId="1F63C6C7" w:rsidR="00E554C8" w:rsidRPr="0039264B" w:rsidRDefault="00935078" w:rsidP="009A6896">
      <w:pPr>
        <w:pStyle w:val="Overskrift1"/>
        <w:numPr>
          <w:ilvl w:val="0"/>
          <w:numId w:val="1"/>
        </w:numPr>
      </w:pPr>
      <w:bookmarkStart w:id="0" w:name="_Toc210030948"/>
      <w:r>
        <w:lastRenderedPageBreak/>
        <w:t>Baggrund</w:t>
      </w:r>
      <w:bookmarkEnd w:id="0"/>
    </w:p>
    <w:p w14:paraId="46825845" w14:textId="44B084A2" w:rsidR="004C3443" w:rsidRPr="003C0E3B" w:rsidRDefault="000B3331" w:rsidP="009A6896">
      <w:pPr>
        <w:pStyle w:val="Overskrift2"/>
        <w:numPr>
          <w:ilvl w:val="1"/>
          <w:numId w:val="1"/>
        </w:numPr>
      </w:pPr>
      <w:bookmarkStart w:id="1" w:name="_Toc210030949"/>
      <w:r w:rsidRPr="003C0E3B">
        <w:t>Formål</w:t>
      </w:r>
      <w:r w:rsidR="008B6E69">
        <w:t>,</w:t>
      </w:r>
      <w:r w:rsidRPr="003C0E3B">
        <w:t xml:space="preserve"> strategi</w:t>
      </w:r>
      <w:r w:rsidR="008B6E69">
        <w:t xml:space="preserve"> og gyldighedsområde</w:t>
      </w:r>
      <w:bookmarkEnd w:id="1"/>
    </w:p>
    <w:p w14:paraId="2A7C805F" w14:textId="3CCF9F18" w:rsidR="009E3429" w:rsidRPr="009E3429" w:rsidRDefault="009E3429" w:rsidP="009E3429">
      <w:pPr>
        <w:ind w:left="360"/>
        <w:jc w:val="both"/>
      </w:pPr>
      <w:r w:rsidRPr="009E3429">
        <w:t xml:space="preserve">Forvaltningsplanen har til hensigt at </w:t>
      </w:r>
      <w:r w:rsidR="00D74333">
        <w:t>fast</w:t>
      </w:r>
      <w:r w:rsidRPr="009E3429">
        <w:t>sætte ramme</w:t>
      </w:r>
      <w:r w:rsidR="00D74333">
        <w:t>rne</w:t>
      </w:r>
      <w:r w:rsidRPr="009E3429">
        <w:t xml:space="preserve"> for det grønlandske fiskeri efter hellefisk i de </w:t>
      </w:r>
      <w:r w:rsidR="00BE789E">
        <w:t>havgående</w:t>
      </w:r>
      <w:r w:rsidRPr="009E3429">
        <w:t xml:space="preserve"> områder af Davisstrædet og Baffinbugten. Det vil sige hele </w:t>
      </w:r>
      <w:r w:rsidRPr="00693295">
        <w:t xml:space="preserve">den </w:t>
      </w:r>
      <w:r w:rsidRPr="009E3429">
        <w:t>del af Grønlands</w:t>
      </w:r>
      <w:r w:rsidR="00A67521">
        <w:t xml:space="preserve"> fiskeriterritorium</w:t>
      </w:r>
      <w:r w:rsidR="00A443EC">
        <w:t>,</w:t>
      </w:r>
      <w:r w:rsidR="00875AF1">
        <w:t xml:space="preserve"> der er</w:t>
      </w:r>
      <w:r w:rsidR="00A67521">
        <w:t xml:space="preserve"> uden for 3 sømil fra basislinjen</w:t>
      </w:r>
      <w:r w:rsidRPr="009E3429">
        <w:t xml:space="preserve">, </w:t>
      </w:r>
      <w:r w:rsidR="00D74333">
        <w:t>som</w:t>
      </w:r>
      <w:r w:rsidRPr="009E3429">
        <w:t xml:space="preserve"> ligger inden for</w:t>
      </w:r>
      <w:r w:rsidRPr="009E3429">
        <w:rPr>
          <w:i/>
        </w:rPr>
        <w:t xml:space="preserve"> </w:t>
      </w:r>
      <w:r w:rsidRPr="009E3429">
        <w:t>N</w:t>
      </w:r>
      <w:r w:rsidR="00693295">
        <w:t>AFO</w:t>
      </w:r>
      <w:r w:rsidR="00D74333">
        <w:rPr>
          <w:rStyle w:val="Fodnotehenvisning"/>
        </w:rPr>
        <w:footnoteReference w:id="2"/>
      </w:r>
      <w:r w:rsidR="00693295">
        <w:t xml:space="preserve"> område </w:t>
      </w:r>
      <w:r w:rsidR="00AB4DAB">
        <w:t>1 (Baffinbugten og Davisstrædet</w:t>
      </w:r>
      <w:r w:rsidRPr="009E3429">
        <w:t>). Forvaltningsplanen omfatter ikke</w:t>
      </w:r>
      <w:r w:rsidRPr="009E3429">
        <w:rPr>
          <w:i/>
        </w:rPr>
        <w:t xml:space="preserve"> </w:t>
      </w:r>
      <w:r w:rsidR="00381E60">
        <w:t xml:space="preserve">nogen af de </w:t>
      </w:r>
      <w:r w:rsidR="00BE789E">
        <w:t>kystnære</w:t>
      </w:r>
      <w:r w:rsidR="00381E60">
        <w:t xml:space="preserve"> områder</w:t>
      </w:r>
      <w:r w:rsidR="00A67521">
        <w:t xml:space="preserve"> inden for 3 sømil fra </w:t>
      </w:r>
      <w:r w:rsidR="001A7870">
        <w:t>basislinjen, herunder</w:t>
      </w:r>
      <w:r w:rsidR="00A67521">
        <w:t xml:space="preserve"> </w:t>
      </w:r>
      <w:r w:rsidRPr="009E3429">
        <w:t xml:space="preserve">fjorde, hvor det kystnære fiskeri efter hellefisk foregår. </w:t>
      </w:r>
    </w:p>
    <w:p w14:paraId="1BBDA0CA" w14:textId="572C489D" w:rsidR="003C2764" w:rsidRDefault="00381E60" w:rsidP="009E3429">
      <w:pPr>
        <w:ind w:left="360"/>
        <w:jc w:val="both"/>
      </w:pPr>
      <w:r>
        <w:t>Det væsentligste mål med</w:t>
      </w:r>
      <w:r w:rsidR="009E3429" w:rsidRPr="009E3429">
        <w:t xml:space="preserve"> denne forvaltningsplan er, at den samlede ressource til enhver tid fiskes </w:t>
      </w:r>
      <w:r w:rsidR="00D74333">
        <w:t xml:space="preserve">biologisk </w:t>
      </w:r>
      <w:r w:rsidR="009E3429" w:rsidRPr="009E3429">
        <w:t xml:space="preserve">bæredygtigt, </w:t>
      </w:r>
      <w:r w:rsidR="00345EFB">
        <w:t>hvor</w:t>
      </w:r>
      <w:r w:rsidR="009E3429" w:rsidRPr="009E3429">
        <w:t xml:space="preserve"> ressourcen </w:t>
      </w:r>
      <w:r w:rsidR="00345EFB">
        <w:t xml:space="preserve">samtidig </w:t>
      </w:r>
      <w:r w:rsidR="008B6E69">
        <w:t xml:space="preserve">udnyttes </w:t>
      </w:r>
      <w:r w:rsidR="009E3429" w:rsidRPr="009E3429">
        <w:t xml:space="preserve">efter princippet om </w:t>
      </w:r>
      <w:r w:rsidR="008B6E69">
        <w:t xml:space="preserve">at opnå det </w:t>
      </w:r>
      <w:r w:rsidR="009E3429" w:rsidRPr="009E3429">
        <w:t>maksimal</w:t>
      </w:r>
      <w:r w:rsidR="008B6E69">
        <w:t>e</w:t>
      </w:r>
      <w:r w:rsidR="009E3429" w:rsidRPr="009E3429">
        <w:t xml:space="preserve"> udby</w:t>
      </w:r>
      <w:r w:rsidR="00C04342">
        <w:t>tte</w:t>
      </w:r>
      <w:r w:rsidR="00D74333">
        <w:t xml:space="preserve"> med udgangspunkt</w:t>
      </w:r>
      <w:r w:rsidR="00C04342">
        <w:t xml:space="preserve"> </w:t>
      </w:r>
      <w:r w:rsidR="00987E64">
        <w:t xml:space="preserve">i den videnskabelige rådgivning fra </w:t>
      </w:r>
      <w:proofErr w:type="spellStart"/>
      <w:r w:rsidR="00C84D79">
        <w:t>NAFO’s</w:t>
      </w:r>
      <w:proofErr w:type="spellEnd"/>
      <w:r w:rsidR="00C84D79">
        <w:t xml:space="preserve"> Videnskabelige Råd</w:t>
      </w:r>
      <w:r w:rsidR="00987E64">
        <w:t xml:space="preserve">. </w:t>
      </w:r>
      <w:r w:rsidR="00D14083" w:rsidRPr="00D14083">
        <w:t>Den overordnede målsætning i forhold til biodiversiteten og økologien i de vestgrønlandske havområder er at bevare et produktivt økosys</w:t>
      </w:r>
      <w:r w:rsidR="00D14083">
        <w:t>tem med mange trofiske niveauer</w:t>
      </w:r>
      <w:r w:rsidR="00DD10E9">
        <w:t xml:space="preserve"> (mange led i fødekæden)</w:t>
      </w:r>
      <w:r w:rsidR="00D74333">
        <w:t>,</w:t>
      </w:r>
      <w:r w:rsidR="00D14083">
        <w:t xml:space="preserve"> og at </w:t>
      </w:r>
      <w:r w:rsidR="00D14083">
        <w:rPr>
          <w:rFonts w:cs="Times New Roman"/>
          <w:color w:val="000000" w:themeColor="text1"/>
          <w:szCs w:val="24"/>
        </w:rPr>
        <w:t xml:space="preserve">sårbare marine økosystemer </w:t>
      </w:r>
      <w:r w:rsidR="00F0094B">
        <w:rPr>
          <w:rFonts w:cs="Times New Roman"/>
          <w:color w:val="000000" w:themeColor="text1"/>
          <w:szCs w:val="24"/>
        </w:rPr>
        <w:t>beskyttes</w:t>
      </w:r>
      <w:r w:rsidR="00D14083">
        <w:rPr>
          <w:rFonts w:cs="Times New Roman"/>
          <w:color w:val="000000" w:themeColor="text1"/>
          <w:szCs w:val="24"/>
        </w:rPr>
        <w:t>.</w:t>
      </w:r>
    </w:p>
    <w:p w14:paraId="204F3F3B" w14:textId="287163A1" w:rsidR="004C3443" w:rsidRPr="003C0E3B" w:rsidRDefault="00B17800" w:rsidP="009A6896">
      <w:pPr>
        <w:pStyle w:val="Overskrift2"/>
        <w:numPr>
          <w:ilvl w:val="1"/>
          <w:numId w:val="1"/>
        </w:numPr>
      </w:pPr>
      <w:bookmarkStart w:id="2" w:name="_Toc210030950"/>
      <w:r>
        <w:t xml:space="preserve">Gyldighedsperiode og </w:t>
      </w:r>
      <w:r w:rsidR="00A67521">
        <w:t>r</w:t>
      </w:r>
      <w:r w:rsidR="00BA4A95" w:rsidRPr="003C0E3B">
        <w:t>evisionsbestemmelser</w:t>
      </w:r>
      <w:bookmarkEnd w:id="2"/>
    </w:p>
    <w:p w14:paraId="5C314D44" w14:textId="6F9B53AC" w:rsidR="0072141B" w:rsidRDefault="009E3429" w:rsidP="009E3429">
      <w:pPr>
        <w:ind w:left="360"/>
        <w:jc w:val="both"/>
      </w:pPr>
      <w:r w:rsidRPr="00D74333">
        <w:t xml:space="preserve">Denne forvaltningsplan </w:t>
      </w:r>
      <w:r w:rsidR="00BE789E" w:rsidRPr="00D74333">
        <w:t>erstatter forvaltningsplanen fra 20</w:t>
      </w:r>
      <w:r w:rsidR="004672A6" w:rsidRPr="00D74333">
        <w:t>21</w:t>
      </w:r>
      <w:r w:rsidR="00BE789E" w:rsidRPr="00D74333">
        <w:t xml:space="preserve"> og er </w:t>
      </w:r>
      <w:r w:rsidRPr="00D74333">
        <w:t>gælde</w:t>
      </w:r>
      <w:r w:rsidR="00BE789E" w:rsidRPr="00D74333">
        <w:t>nde</w:t>
      </w:r>
      <w:r w:rsidRPr="00D74333">
        <w:t xml:space="preserve"> </w:t>
      </w:r>
      <w:r w:rsidR="00A67521" w:rsidRPr="00D74333">
        <w:t>fra</w:t>
      </w:r>
      <w:r w:rsidRPr="00D74333">
        <w:t xml:space="preserve"> 1. januar 20</w:t>
      </w:r>
      <w:r w:rsidR="008B6E69" w:rsidRPr="00D74333">
        <w:t>2</w:t>
      </w:r>
      <w:r w:rsidR="004672A6" w:rsidRPr="00D74333">
        <w:t>6</w:t>
      </w:r>
      <w:r w:rsidR="006B66D6" w:rsidRPr="00D74333">
        <w:t xml:space="preserve"> </w:t>
      </w:r>
      <w:r w:rsidRPr="00D74333">
        <w:t>til 31. december 20</w:t>
      </w:r>
      <w:r w:rsidR="004672A6" w:rsidRPr="00D74333">
        <w:t>30</w:t>
      </w:r>
      <w:r w:rsidR="0072141B" w:rsidRPr="00D74333">
        <w:t>. I løbet af denne periode skal forvaltningsplanen evalueres og evt. revideres således, at en ny eller revideret udgave kan træde i kraft per 1. januar 2031.</w:t>
      </w:r>
    </w:p>
    <w:p w14:paraId="2580B8C9" w14:textId="112F43C6" w:rsidR="00613EBE" w:rsidRDefault="009E3429" w:rsidP="0072141B">
      <w:pPr>
        <w:ind w:left="360"/>
        <w:jc w:val="both"/>
      </w:pPr>
      <w:r>
        <w:t>Større ændringer i fiskeriets struktur, principper for rådgivningen</w:t>
      </w:r>
      <w:r w:rsidR="003A0224">
        <w:t xml:space="preserve"> </w:t>
      </w:r>
      <w:r>
        <w:t xml:space="preserve">eller lignende, som konstateres i mellemliggende perioder, kan også udløse en revision. Således sikres det, at forvaltningsplanen til en hver tid er retvisende og valid i forhold til det aktuelle fiskeri. </w:t>
      </w:r>
    </w:p>
    <w:p w14:paraId="044CC4C0" w14:textId="0A7DC720" w:rsidR="00BE1D5C" w:rsidRDefault="009E3429" w:rsidP="009E3429">
      <w:pPr>
        <w:ind w:left="360"/>
        <w:jc w:val="both"/>
      </w:pPr>
      <w:r>
        <w:t>Enhver ændring af forvaltningsplanen kræver godkendelse af</w:t>
      </w:r>
      <w:r w:rsidR="00613EBE">
        <w:t xml:space="preserve"> Naalakkersuisut</w:t>
      </w:r>
      <w:r w:rsidR="00DD10E9">
        <w:t>.</w:t>
      </w:r>
      <w:r w:rsidR="00613EBE" w:rsidRPr="00613EBE">
        <w:t xml:space="preserve"> </w:t>
      </w:r>
      <w:r w:rsidR="00DD10E9">
        <w:t>Æ</w:t>
      </w:r>
      <w:r w:rsidR="00613EBE" w:rsidRPr="00613EBE">
        <w:t xml:space="preserve">ndringer i de medfølgende bilag kan foretages administrativt af </w:t>
      </w:r>
      <w:r w:rsidR="00613EBE">
        <w:t xml:space="preserve">Departement for </w:t>
      </w:r>
      <w:r w:rsidR="00613EBE" w:rsidRPr="00613EBE">
        <w:t>Fiskeri</w:t>
      </w:r>
      <w:r w:rsidR="004672A6">
        <w:t>,</w:t>
      </w:r>
      <w:r w:rsidR="00613EBE" w:rsidRPr="00613EBE">
        <w:t xml:space="preserve"> Fangst</w:t>
      </w:r>
      <w:r w:rsidR="004672A6">
        <w:t>,</w:t>
      </w:r>
      <w:r w:rsidR="00613EBE" w:rsidRPr="00613EBE">
        <w:t xml:space="preserve"> Landbrug</w:t>
      </w:r>
      <w:r w:rsidR="004672A6">
        <w:t xml:space="preserve"> og Selvforsyning</w:t>
      </w:r>
      <w:r w:rsidR="00613EBE" w:rsidRPr="00613EBE">
        <w:t>.</w:t>
      </w:r>
    </w:p>
    <w:p w14:paraId="10B92151" w14:textId="03D96CDC" w:rsidR="00924DC8" w:rsidRPr="003C0E3B" w:rsidRDefault="00924DC8" w:rsidP="00410B45">
      <w:pPr>
        <w:pStyle w:val="Overskrift2"/>
        <w:numPr>
          <w:ilvl w:val="1"/>
          <w:numId w:val="1"/>
        </w:numPr>
        <w:jc w:val="both"/>
      </w:pPr>
      <w:bookmarkStart w:id="3" w:name="_Toc210030951"/>
      <w:r>
        <w:t xml:space="preserve">Lovgivning og </w:t>
      </w:r>
      <w:r w:rsidR="00974835">
        <w:t>f</w:t>
      </w:r>
      <w:r w:rsidRPr="003C0E3B">
        <w:t>orvaltningsansvar</w:t>
      </w:r>
      <w:bookmarkEnd w:id="3"/>
      <w:r w:rsidRPr="003C0E3B">
        <w:t xml:space="preserve"> </w:t>
      </w:r>
    </w:p>
    <w:p w14:paraId="29DC8736" w14:textId="61CB7714" w:rsidR="0088447D" w:rsidRPr="0026272E" w:rsidRDefault="0088447D" w:rsidP="00410B45">
      <w:pPr>
        <w:ind w:left="360"/>
        <w:jc w:val="both"/>
      </w:pPr>
      <w:r w:rsidRPr="0026272E">
        <w:t xml:space="preserve">Forvaltningen af fiskeriet i Grønland </w:t>
      </w:r>
      <w:bookmarkStart w:id="4" w:name="_Hlk54785129"/>
      <w:r>
        <w:t xml:space="preserve">og ansvaret herfor </w:t>
      </w:r>
      <w:bookmarkEnd w:id="4"/>
      <w:r w:rsidRPr="0026272E">
        <w:t>ligger hos Naalakkersuisut og Naalakkersuisoq for Fiskeri, Fangst</w:t>
      </w:r>
      <w:r>
        <w:t>,</w:t>
      </w:r>
      <w:r w:rsidR="00DD10E9">
        <w:t xml:space="preserve"> </w:t>
      </w:r>
      <w:r w:rsidRPr="0026272E">
        <w:t>Landbrug</w:t>
      </w:r>
      <w:r>
        <w:t xml:space="preserve"> og Selvforsyning</w:t>
      </w:r>
      <w:r w:rsidRPr="0026272E">
        <w:t>. Naalakkersuisoq forbereder beslutningsforslag inden for rammerne af den gældende fiskerilovgivning. Sådanne for</w:t>
      </w:r>
      <w:r>
        <w:t>slag forelægges til beslutning</w:t>
      </w:r>
      <w:r w:rsidR="00D74333">
        <w:t xml:space="preserve"> (eller forkastelse)</w:t>
      </w:r>
      <w:r>
        <w:t xml:space="preserve"> </w:t>
      </w:r>
      <w:r w:rsidRPr="0026272E">
        <w:t>på de regelmæssige møder i Naalakkersuisut.</w:t>
      </w:r>
    </w:p>
    <w:p w14:paraId="0C1F359F" w14:textId="66468FB6" w:rsidR="0026272E" w:rsidRPr="0026272E" w:rsidRDefault="004672A6" w:rsidP="00410B45">
      <w:pPr>
        <w:ind w:left="360"/>
        <w:jc w:val="both"/>
        <w:rPr>
          <w:iCs/>
        </w:rPr>
      </w:pPr>
      <w:r>
        <w:rPr>
          <w:iCs/>
        </w:rPr>
        <w:t>Inatsisartut</w:t>
      </w:r>
      <w:r w:rsidR="00E312BE">
        <w:rPr>
          <w:iCs/>
        </w:rPr>
        <w:t>lov om fiskeri (</w:t>
      </w:r>
      <w:r w:rsidR="0026272E" w:rsidRPr="0026272E">
        <w:rPr>
          <w:iCs/>
        </w:rPr>
        <w:t>Fiskeriloven</w:t>
      </w:r>
      <w:r w:rsidR="00E312BE">
        <w:rPr>
          <w:iCs/>
        </w:rPr>
        <w:t>)</w:t>
      </w:r>
      <w:r w:rsidR="0026272E" w:rsidRPr="0026272E">
        <w:rPr>
          <w:iCs/>
        </w:rPr>
        <w:t xml:space="preserve"> tillægger Naalakkersuisut ret til at regulere det grønlandske fiskeri</w:t>
      </w:r>
      <w:r w:rsidR="00E312BE">
        <w:rPr>
          <w:iCs/>
        </w:rPr>
        <w:t xml:space="preserve">. </w:t>
      </w:r>
      <w:r w:rsidR="00E312BE" w:rsidRPr="00E312BE">
        <w:rPr>
          <w:iCs/>
        </w:rPr>
        <w:t>Naalakkersuisut</w:t>
      </w:r>
      <w:r w:rsidR="00E312BE">
        <w:rPr>
          <w:iCs/>
        </w:rPr>
        <w:t xml:space="preserve"> </w:t>
      </w:r>
      <w:r w:rsidR="0026272E" w:rsidRPr="0026272E">
        <w:rPr>
          <w:iCs/>
        </w:rPr>
        <w:t>fastsætte</w:t>
      </w:r>
      <w:r w:rsidR="00E312BE">
        <w:rPr>
          <w:iCs/>
        </w:rPr>
        <w:t>r</w:t>
      </w:r>
      <w:r w:rsidR="0026272E" w:rsidRPr="0026272E">
        <w:rPr>
          <w:iCs/>
        </w:rPr>
        <w:t xml:space="preserve"> årlige </w:t>
      </w:r>
      <w:proofErr w:type="spellStart"/>
      <w:r w:rsidR="0026272E" w:rsidRPr="0026272E">
        <w:rPr>
          <w:iCs/>
        </w:rPr>
        <w:t>TAC'er</w:t>
      </w:r>
      <w:proofErr w:type="spellEnd"/>
      <w:r w:rsidR="0026272E" w:rsidRPr="0026272E">
        <w:rPr>
          <w:iCs/>
        </w:rPr>
        <w:t xml:space="preserve"> for fiskebestandene på Grønlands fiskeriterritorium</w:t>
      </w:r>
      <w:r w:rsidR="0072141B">
        <w:rPr>
          <w:iCs/>
        </w:rPr>
        <w:t xml:space="preserve">. </w:t>
      </w:r>
    </w:p>
    <w:p w14:paraId="6977C827" w14:textId="3C041654" w:rsidR="00A00C1B" w:rsidRDefault="00A00C1B" w:rsidP="00410B45">
      <w:pPr>
        <w:ind w:left="360"/>
        <w:jc w:val="both"/>
      </w:pPr>
      <w:r w:rsidRPr="0026272E">
        <w:t xml:space="preserve">De nærmere bestemmelser for licens og kvoter for fiskeriet fremgår bl.a. af Selvstyrets </w:t>
      </w:r>
      <w:r w:rsidR="004672A6">
        <w:t>b</w:t>
      </w:r>
      <w:r w:rsidRPr="0026272E">
        <w:t xml:space="preserve">ekendtgørelse </w:t>
      </w:r>
      <w:r w:rsidR="001E6E8D" w:rsidRPr="0026272E">
        <w:t>om licens</w:t>
      </w:r>
      <w:r w:rsidR="004B7FF1">
        <w:t>er</w:t>
      </w:r>
      <w:r w:rsidR="001E6E8D" w:rsidRPr="0026272E">
        <w:t xml:space="preserve"> og kvoter til fiskeri.</w:t>
      </w:r>
      <w:r w:rsidR="001E6E8D">
        <w:t xml:space="preserve"> </w:t>
      </w:r>
    </w:p>
    <w:p w14:paraId="749429EE" w14:textId="2EAE0045" w:rsidR="002D389D" w:rsidRPr="00812165" w:rsidRDefault="002D389D" w:rsidP="00410B45">
      <w:pPr>
        <w:ind w:left="360"/>
        <w:jc w:val="both"/>
      </w:pPr>
      <w:r w:rsidRPr="003A1066">
        <w:lastRenderedPageBreak/>
        <w:t xml:space="preserve">I henhold til den gældende Fiskerilov anmoder Naalakkersuisut Fiskerirådet </w:t>
      </w:r>
      <w:r w:rsidR="00C0488E">
        <w:t>om</w:t>
      </w:r>
      <w:r w:rsidRPr="003A1066">
        <w:t xml:space="preserve"> at afgive udtalelse i generelle forvaltningsspørgsmål.</w:t>
      </w:r>
      <w:r w:rsidR="00607A74">
        <w:t xml:space="preserve"> Fiskerirådet er nedsat af Naalakkersuisut.</w:t>
      </w:r>
      <w:r w:rsidRPr="003A1066">
        <w:t xml:space="preserve"> Fiskerirådets forretningsorden specificerer Fiskerirådets sammensætning.</w:t>
      </w:r>
      <w:r>
        <w:t xml:space="preserve"> </w:t>
      </w:r>
    </w:p>
    <w:p w14:paraId="1024A942" w14:textId="3651E1FC" w:rsidR="00BE1D5C" w:rsidRPr="003C0E3B" w:rsidRDefault="00BE1D5C" w:rsidP="009A6896">
      <w:pPr>
        <w:pStyle w:val="Overskrift1"/>
        <w:numPr>
          <w:ilvl w:val="0"/>
          <w:numId w:val="1"/>
        </w:numPr>
      </w:pPr>
      <w:bookmarkStart w:id="5" w:name="_Toc210030952"/>
      <w:bookmarkStart w:id="6" w:name="_Hlk207970631"/>
      <w:r w:rsidRPr="003C0E3B">
        <w:t xml:space="preserve">Introduktion </w:t>
      </w:r>
      <w:r w:rsidR="004B5BBA">
        <w:t>til arten i relation til fiskeri og miljø</w:t>
      </w:r>
      <w:bookmarkEnd w:id="5"/>
    </w:p>
    <w:p w14:paraId="6A0C41CC" w14:textId="17A0AF43" w:rsidR="00C8405C" w:rsidRDefault="00C8405C" w:rsidP="00C8405C">
      <w:pPr>
        <w:ind w:left="360"/>
        <w:jc w:val="both"/>
      </w:pPr>
      <w:r>
        <w:t>Hellefisk (</w:t>
      </w:r>
      <w:proofErr w:type="spellStart"/>
      <w:r w:rsidRPr="00E31528">
        <w:rPr>
          <w:i/>
          <w:iCs/>
        </w:rPr>
        <w:t>Reinhardtius</w:t>
      </w:r>
      <w:proofErr w:type="spellEnd"/>
      <w:r w:rsidRPr="00E31528">
        <w:rPr>
          <w:i/>
          <w:iCs/>
        </w:rPr>
        <w:t xml:space="preserve"> </w:t>
      </w:r>
      <w:proofErr w:type="spellStart"/>
      <w:r w:rsidRPr="00E31528">
        <w:rPr>
          <w:i/>
          <w:iCs/>
        </w:rPr>
        <w:t>hippoglossoides</w:t>
      </w:r>
      <w:proofErr w:type="spellEnd"/>
      <w:r>
        <w:t>) er en fladfisk, der lever på dybder fra omkring 200 m</w:t>
      </w:r>
      <w:r w:rsidR="00C0488E">
        <w:t>eter</w:t>
      </w:r>
      <w:r>
        <w:t xml:space="preserve"> og ned til mere end 2.000 m</w:t>
      </w:r>
      <w:r w:rsidR="00C0488E">
        <w:t>eter</w:t>
      </w:r>
      <w:r w:rsidR="00607A74">
        <w:t xml:space="preserve"> </w:t>
      </w:r>
      <w:r>
        <w:t>på den nordlige halvkugle. I det nordlige Atlanterhav strækker dens udbredelse sig fra De Britiske Øer og Nordnorge over Island og Færøerne mod Østgrønland, samt fra Newfoundland til det nordvestlige Grønland. I Grønland er den udbredt i dybt vand, både ved kysten og til havs. Hellefisk foretager omfattende vandringer mellem farvande i Grønland og andre områder.</w:t>
      </w:r>
    </w:p>
    <w:p w14:paraId="73452C63" w14:textId="25534523" w:rsidR="00C8405C" w:rsidRDefault="00C8405C" w:rsidP="00C8405C">
      <w:pPr>
        <w:ind w:left="360"/>
        <w:jc w:val="both"/>
      </w:pPr>
      <w:r>
        <w:t>Hun</w:t>
      </w:r>
      <w:r w:rsidR="00607A74">
        <w:t>ner</w:t>
      </w:r>
      <w:r>
        <w:t xml:space="preserve"> bliver ældre og større end hanner</w:t>
      </w:r>
      <w:r w:rsidR="00C0488E">
        <w:t>. Hunner kan blive</w:t>
      </w:r>
      <w:r>
        <w:t xml:space="preserve"> op til 25 år</w:t>
      </w:r>
      <w:r w:rsidR="00FE5C19">
        <w:t>,</w:t>
      </w:r>
      <w:r w:rsidR="00C0488E">
        <w:t xml:space="preserve"> blive </w:t>
      </w:r>
      <w:r>
        <w:t>omkring 100 cm</w:t>
      </w:r>
      <w:r w:rsidR="00FE5C19">
        <w:t xml:space="preserve"> lange</w:t>
      </w:r>
      <w:r>
        <w:t xml:space="preserve"> og </w:t>
      </w:r>
      <w:r w:rsidR="00C0488E">
        <w:t xml:space="preserve">veje </w:t>
      </w:r>
      <w:r>
        <w:t>15–20 kg, mens hanner</w:t>
      </w:r>
      <w:r w:rsidR="00FE5C19">
        <w:t xml:space="preserve"> sjældent bliver ældre end 11 år og </w:t>
      </w:r>
      <w:r>
        <w:t xml:space="preserve">oftest </w:t>
      </w:r>
      <w:r w:rsidR="00FE5C19">
        <w:t xml:space="preserve">kun </w:t>
      </w:r>
      <w:r>
        <w:t xml:space="preserve">bliver op til 80 cm </w:t>
      </w:r>
      <w:r w:rsidR="00FE5C19">
        <w:t xml:space="preserve">lange </w:t>
      </w:r>
      <w:r>
        <w:t>og</w:t>
      </w:r>
      <w:r w:rsidR="00FE5C19">
        <w:t xml:space="preserve"> vejer</w:t>
      </w:r>
      <w:r>
        <w:t xml:space="preserve"> 6–8 kg. Hunner bliver kønsmodne ved ca. 10-årsalderen </w:t>
      </w:r>
      <w:r w:rsidR="002551D5">
        <w:t xml:space="preserve">og </w:t>
      </w:r>
      <w:r>
        <w:t xml:space="preserve">omkring 60 cm længde, mens hanner modnes ved ca. 7 år og omkring 50 cm længde. Hellefisk er en </w:t>
      </w:r>
      <w:proofErr w:type="spellStart"/>
      <w:r>
        <w:t>koldtvandsart</w:t>
      </w:r>
      <w:proofErr w:type="spellEnd"/>
      <w:r>
        <w:t>, der foretrækker vandtemperaturer mellem 1-4 °C. Den er en rovfisk, som æder</w:t>
      </w:r>
      <w:r w:rsidR="002A661E">
        <w:t xml:space="preserve"> forskellige dyr bl.a.</w:t>
      </w:r>
      <w:r>
        <w:t xml:space="preserve"> rejer, blæksprutter</w:t>
      </w:r>
      <w:r w:rsidR="002A661E">
        <w:t>,</w:t>
      </w:r>
      <w:r>
        <w:t xml:space="preserve"> lodde</w:t>
      </w:r>
      <w:r w:rsidR="002A661E">
        <w:t>r</w:t>
      </w:r>
      <w:r>
        <w:t>, polartorsk, rødfisk, samt andre arter. Føden ændrer sig med væksten, idet de største individer hovedsageligt lever af andre fisk. Afhængigt af størrelse er hellefisken selv bytte for forskellige rovdyr, såsom torsk, grønlandshaj, sæler og hvaler. Kannibalisme forekommer også, idet store hellefisk kan æde mindre individer.</w:t>
      </w:r>
    </w:p>
    <w:p w14:paraId="3FC4C6C7" w14:textId="06900A9D" w:rsidR="00C8405C" w:rsidRDefault="00C8405C" w:rsidP="00C8405C">
      <w:pPr>
        <w:ind w:left="360"/>
        <w:jc w:val="both"/>
      </w:pPr>
      <w:r>
        <w:t>Gydning i grønlandske farvande finder sted på kontinentalsoklen i den centrale del af Davisstrædet ud for Nuuk, hvor æg og sæd afgives i områder dybere end 1</w:t>
      </w:r>
      <w:r w:rsidR="002A661E">
        <w:t>.</w:t>
      </w:r>
      <w:r>
        <w:t>000 m</w:t>
      </w:r>
      <w:r w:rsidR="002A661E">
        <w:t>eter</w:t>
      </w:r>
      <w:r>
        <w:t xml:space="preserve"> i februar og marts. Store hunner kan gyde op til 280.000 pelagiske (dvs. </w:t>
      </w:r>
      <w:proofErr w:type="spellStart"/>
      <w:r>
        <w:t>fr</w:t>
      </w:r>
      <w:r w:rsidR="00845EE5">
        <w:t>it</w:t>
      </w:r>
      <w:r>
        <w:t>flydende</w:t>
      </w:r>
      <w:proofErr w:type="spellEnd"/>
      <w:r>
        <w:t xml:space="preserve">) æg. Efterfølgende driver æg og larver fra Davisstrædet langs vestkysten til Baffin Bugten. Når de små hellefisk har nået en længde på 5-6 cm, overgår de til en </w:t>
      </w:r>
      <w:proofErr w:type="spellStart"/>
      <w:r>
        <w:t>bentisk</w:t>
      </w:r>
      <w:proofErr w:type="spellEnd"/>
      <w:r>
        <w:t xml:space="preserve"> (bundlevende) livsform. Bankerne i Davisstrædet er de vigtigste opvækstområder for unge hellefisk i Grønland. Efterhånden som fiskene vokser, søger de gradvist mod dybere vand. Nuværende viden tyder på, at fjordene i Vestgrønland forsynes med hellefisk, der er gydt til havs, og at disse fisk, når de er vokset op i fjordene, ikke vender tilbage til Davisstrædet for at gyde. På grund af lave temperaturer i fjordene kan hellefisk ikke fuldt udvikle æg og sæd og gyder derfor sjældent i fjordene.</w:t>
      </w:r>
    </w:p>
    <w:p w14:paraId="7C4A1B95" w14:textId="0843FC3B" w:rsidR="00D563F0" w:rsidRDefault="00D563F0" w:rsidP="00C8405C">
      <w:pPr>
        <w:ind w:left="360"/>
        <w:jc w:val="both"/>
      </w:pPr>
      <w:r>
        <w:t>I de seneste år har forskere fokuseret på at opnå mere viden om hellefiskens udbredelsesområde. Forskning tyder på</w:t>
      </w:r>
      <w:r w:rsidR="002551D5">
        <w:t>,</w:t>
      </w:r>
      <w:r>
        <w:t xml:space="preserve"> at der findes flere bestande inden for samme og at h</w:t>
      </w:r>
      <w:r w:rsidR="00C8405C">
        <w:t xml:space="preserve">ellefisk i det nordvestlige Atlanterhav </w:t>
      </w:r>
      <w:r>
        <w:t>udgør</w:t>
      </w:r>
      <w:r w:rsidR="00C8405C">
        <w:t xml:space="preserve"> et større bestandskompleks. </w:t>
      </w:r>
      <w:r>
        <w:t>De hellefisk</w:t>
      </w:r>
      <w:r w:rsidR="00C8405C">
        <w:t xml:space="preserve">, der findes i </w:t>
      </w:r>
      <w:proofErr w:type="spellStart"/>
      <w:r w:rsidR="00C8405C">
        <w:t>NAFO’s</w:t>
      </w:r>
      <w:proofErr w:type="spellEnd"/>
      <w:r w:rsidR="00C8405C">
        <w:t xml:space="preserve"> område 0 og</w:t>
      </w:r>
      <w:r>
        <w:t xml:space="preserve"> område</w:t>
      </w:r>
      <w:r w:rsidR="00C8405C">
        <w:t xml:space="preserve"> 1 til havs (herefter “hellefisk vest </w:t>
      </w:r>
      <w:r w:rsidR="00BF4B1D">
        <w:t>havgående</w:t>
      </w:r>
      <w:r w:rsidR="00C8405C">
        <w:t xml:space="preserve">”), </w:t>
      </w:r>
      <w:r>
        <w:t xml:space="preserve">bliver i dag forvaltet som én </w:t>
      </w:r>
      <w:r w:rsidR="00607A74">
        <w:t>bestand.</w:t>
      </w:r>
    </w:p>
    <w:p w14:paraId="1465923A" w14:textId="4A160ED8" w:rsidR="00D563F0" w:rsidRDefault="00C8405C" w:rsidP="00C8405C">
      <w:pPr>
        <w:ind w:left="360"/>
        <w:jc w:val="both"/>
      </w:pPr>
      <w:r>
        <w:t xml:space="preserve">Ud over denne bestand findes flere andre bestande: herunder tre kystnære bestande i Vestgrønland og én </w:t>
      </w:r>
      <w:r w:rsidR="00BF4B1D">
        <w:t xml:space="preserve">havgående </w:t>
      </w:r>
      <w:r>
        <w:t>bestand i Østgrønland</w:t>
      </w:r>
      <w:r w:rsidR="00D563F0">
        <w:t xml:space="preserve">. Disse bestande er </w:t>
      </w:r>
      <w:r>
        <w:t xml:space="preserve">omfattet af </w:t>
      </w:r>
      <w:r w:rsidR="00D563F0">
        <w:t xml:space="preserve">andre </w:t>
      </w:r>
      <w:r>
        <w:t>forvaltningsplan</w:t>
      </w:r>
      <w:r w:rsidR="00D563F0">
        <w:t>er hhv. forvaltningsplan for kystnært fiskeri efter hellefisk og forvaltningsplan for havgående hellefisk i Østgrønland</w:t>
      </w:r>
      <w:r>
        <w:t xml:space="preserve">. </w:t>
      </w:r>
    </w:p>
    <w:p w14:paraId="7B0AA106" w14:textId="71DECD17" w:rsidR="00C8405C" w:rsidRDefault="00C8405C" w:rsidP="00C8405C">
      <w:pPr>
        <w:ind w:left="360"/>
        <w:jc w:val="both"/>
      </w:pPr>
      <w:r>
        <w:t xml:space="preserve">Kystnære bestande </w:t>
      </w:r>
      <w:r w:rsidR="00D563F0">
        <w:t xml:space="preserve">i Vestgrønland </w:t>
      </w:r>
      <w:r>
        <w:t>er blevet adskilt</w:t>
      </w:r>
      <w:r w:rsidR="00D563F0">
        <w:t xml:space="preserve"> fra den havgående bestand</w:t>
      </w:r>
      <w:r>
        <w:t xml:space="preserve"> både </w:t>
      </w:r>
      <w:r w:rsidR="00282CDD">
        <w:t>i</w:t>
      </w:r>
      <w:r>
        <w:t xml:space="preserve"> bestandsvurdering</w:t>
      </w:r>
      <w:r w:rsidR="00282CDD">
        <w:t xml:space="preserve"> og i </w:t>
      </w:r>
      <w:r>
        <w:t>forvaltning</w:t>
      </w:r>
      <w:r w:rsidR="00282CDD">
        <w:t>en</w:t>
      </w:r>
      <w:r>
        <w:t xml:space="preserve">. </w:t>
      </w:r>
      <w:r w:rsidR="00282CDD">
        <w:t xml:space="preserve">I 1994 blev de </w:t>
      </w:r>
      <w:r>
        <w:t xml:space="preserve">kystnære og </w:t>
      </w:r>
      <w:r w:rsidR="00282CDD">
        <w:t xml:space="preserve">den </w:t>
      </w:r>
      <w:r w:rsidR="002551D5">
        <w:t>havgående</w:t>
      </w:r>
      <w:r>
        <w:t xml:space="preserve"> bestand i </w:t>
      </w:r>
      <w:r w:rsidR="000D24CD">
        <w:t>NAFO-område</w:t>
      </w:r>
      <w:r>
        <w:t xml:space="preserve"> 1A (Baffin Bugt</w:t>
      </w:r>
      <w:r w:rsidR="00282CDD">
        <w:t>en</w:t>
      </w:r>
      <w:r>
        <w:t>)</w:t>
      </w:r>
      <w:r w:rsidR="00282CDD">
        <w:t xml:space="preserve"> </w:t>
      </w:r>
      <w:r w:rsidR="00282CDD">
        <w:lastRenderedPageBreak/>
        <w:t>adskilt fra hinanden. Adskillelsen blev</w:t>
      </w:r>
      <w:r>
        <w:t xml:space="preserve"> baseret på mærkning og andre biologiske oplysninger. I 2020 blev yderligere kystnære bestandskomponenter identificeret i NAFO Divisioner 1B-F (fra Disko Bugt til Kap Farvel) baseret på parasit-, mærknings- og fiskeridataanalyser.</w:t>
      </w:r>
    </w:p>
    <w:p w14:paraId="086FDBBA" w14:textId="48604C26" w:rsidR="00C8405C" w:rsidRDefault="00C8405C" w:rsidP="00C8405C">
      <w:pPr>
        <w:ind w:left="360"/>
        <w:jc w:val="both"/>
      </w:pPr>
      <w:r>
        <w:t xml:space="preserve">Fiskeriet efter hellefisk </w:t>
      </w:r>
      <w:r w:rsidR="002551D5">
        <w:t xml:space="preserve">i Vestgrønland i det havgående område </w:t>
      </w:r>
      <w:r>
        <w:t>foregår på dybder mellem 600 og 1.500 m</w:t>
      </w:r>
      <w:r w:rsidR="00282CDD">
        <w:t>eter</w:t>
      </w:r>
      <w:r>
        <w:t xml:space="preserve"> på kontinentalsoklen langs dybhavs-bassinerne i Baffin Bugt</w:t>
      </w:r>
      <w:r w:rsidR="002A661E">
        <w:t>en</w:t>
      </w:r>
      <w:r>
        <w:t xml:space="preserve"> og Davisstrædet</w:t>
      </w:r>
      <w:r w:rsidR="00282CDD">
        <w:t>. Fiskeriet</w:t>
      </w:r>
      <w:r>
        <w:t xml:space="preserve"> udføres hovedsageligt med trawl og lejlighedsvis med langline. Grønlandske fartøjer fanger de største mængder hellefisk i området, men fartøjer fra Færøerne, Norge</w:t>
      </w:r>
      <w:r w:rsidR="00607A74">
        <w:t xml:space="preserve"> </w:t>
      </w:r>
      <w:r>
        <w:t>og EU fisker også på kvoter opnået gennem bilaterale forhandlinger med Grønland.</w:t>
      </w:r>
    </w:p>
    <w:p w14:paraId="61005F6D" w14:textId="3BAAB371" w:rsidR="00852EB1" w:rsidRDefault="00EB483D" w:rsidP="00BC0988">
      <w:pPr>
        <w:keepNext/>
        <w:ind w:left="360"/>
        <w:jc w:val="center"/>
      </w:pPr>
      <w:r>
        <w:rPr>
          <w:noProof/>
        </w:rPr>
        <w:drawing>
          <wp:inline distT="0" distB="0" distL="0" distR="0" wp14:anchorId="7BB5B323" wp14:editId="182A0963">
            <wp:extent cx="4138387" cy="59112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8387" cy="5911215"/>
                    </a:xfrm>
                    <a:prstGeom prst="rect">
                      <a:avLst/>
                    </a:prstGeom>
                  </pic:spPr>
                </pic:pic>
              </a:graphicData>
            </a:graphic>
          </wp:inline>
        </w:drawing>
      </w:r>
    </w:p>
    <w:p w14:paraId="5E56122E" w14:textId="1446FFCD" w:rsidR="00C8405C" w:rsidRDefault="00C8405C" w:rsidP="00BC0988">
      <w:pPr>
        <w:pStyle w:val="Billedtekst"/>
        <w:jc w:val="center"/>
      </w:pPr>
      <w:r>
        <w:t xml:space="preserve">Figur 1: </w:t>
      </w:r>
      <w:r w:rsidRPr="00C8405C">
        <w:t xml:space="preserve">Havgående fiskeri efter hellefisk i Vestgrønland, som indikeret af trawltætheden i perioden 2013-2023. De vigtigste fiskepladser ud for kysten ligger nord for 68° N og syd for 64° 30’N. Området derimellem er lukket for </w:t>
      </w:r>
      <w:r>
        <w:t>trawl</w:t>
      </w:r>
      <w:r w:rsidRPr="00C8405C">
        <w:t>fiskeri efter hellefisk. Den stiplede sorte linje angiver grænsen på 3 sømil (3NM), der adskiller kystnært og havgående fiskeri. Den tykke sorte linje afgrænser Grønlands eksklusive økonomiske zone (</w:t>
      </w:r>
      <w:proofErr w:type="spellStart"/>
      <w:r w:rsidRPr="00C8405C">
        <w:t>Exclusive</w:t>
      </w:r>
      <w:proofErr w:type="spellEnd"/>
      <w:r w:rsidRPr="00C8405C">
        <w:t xml:space="preserve"> </w:t>
      </w:r>
      <w:proofErr w:type="spellStart"/>
      <w:r w:rsidRPr="00C8405C">
        <w:t>Economic</w:t>
      </w:r>
      <w:proofErr w:type="spellEnd"/>
      <w:r w:rsidRPr="00C8405C">
        <w:t xml:space="preserve"> Zone - EEZ).</w:t>
      </w:r>
      <w:r>
        <w:t xml:space="preserve"> Kilde: Grønlands Naturinstitut</w:t>
      </w:r>
    </w:p>
    <w:p w14:paraId="7197475A" w14:textId="397CAB32" w:rsidR="00A67BD1" w:rsidRDefault="00A67BD1" w:rsidP="007F674C">
      <w:pPr>
        <w:pStyle w:val="Overskrift2"/>
        <w:numPr>
          <w:ilvl w:val="1"/>
          <w:numId w:val="1"/>
        </w:numPr>
      </w:pPr>
      <w:bookmarkStart w:id="7" w:name="_Toc210030953"/>
      <w:r>
        <w:lastRenderedPageBreak/>
        <w:t>Prøvetagning</w:t>
      </w:r>
      <w:bookmarkEnd w:id="7"/>
    </w:p>
    <w:p w14:paraId="166F707F" w14:textId="010DC230" w:rsidR="00A67BD1" w:rsidRDefault="00A67BD1" w:rsidP="00A67BD1">
      <w:pPr>
        <w:ind w:left="360"/>
        <w:jc w:val="both"/>
      </w:pPr>
      <w:r w:rsidRPr="00D27872">
        <w:t xml:space="preserve">Fartøjer der deltager i fiskeriet, </w:t>
      </w:r>
      <w:r>
        <w:t xml:space="preserve">kan pålægges at </w:t>
      </w:r>
      <w:r w:rsidRPr="00D27872">
        <w:t>indsamle biologiske prøver til Grønlands Naturinstitut. Krav om biologisk prøvetagning fastsættes af Departementet</w:t>
      </w:r>
      <w:r w:rsidR="00550E38">
        <w:t xml:space="preserve"> for Fiskeri, Fangst, Landbrug og Selvforsyning</w:t>
      </w:r>
      <w:r w:rsidRPr="00D27872">
        <w:t xml:space="preserve"> i samarbejde med Grønlands Naturinstitut og nærmere instruks herom ved</w:t>
      </w:r>
      <w:r>
        <w:t>l</w:t>
      </w:r>
      <w:r w:rsidRPr="00D27872">
        <w:t>ægges licenserne som bilag.</w:t>
      </w:r>
    </w:p>
    <w:p w14:paraId="38C711A9" w14:textId="06987CE0" w:rsidR="00B124FF" w:rsidRPr="009575CE" w:rsidRDefault="00242BA3" w:rsidP="009A6896">
      <w:pPr>
        <w:pStyle w:val="Overskrift1"/>
        <w:numPr>
          <w:ilvl w:val="0"/>
          <w:numId w:val="1"/>
        </w:numPr>
      </w:pPr>
      <w:bookmarkStart w:id="8" w:name="_Toc210030954"/>
      <w:r>
        <w:t xml:space="preserve">Rådgivning samt </w:t>
      </w:r>
      <w:r w:rsidR="0091544D">
        <w:t>s</w:t>
      </w:r>
      <w:r w:rsidR="00B124FF" w:rsidRPr="009575CE">
        <w:t>tyring</w:t>
      </w:r>
      <w:r w:rsidR="00C17189" w:rsidRPr="009575CE">
        <w:t>s-</w:t>
      </w:r>
      <w:r>
        <w:t xml:space="preserve"> og forvaltnings</w:t>
      </w:r>
      <w:r w:rsidR="00C17189" w:rsidRPr="009575CE">
        <w:t>principper</w:t>
      </w:r>
      <w:r w:rsidR="00B124FF" w:rsidRPr="009575CE">
        <w:t xml:space="preserve"> i fiskeriet</w:t>
      </w:r>
      <w:bookmarkEnd w:id="8"/>
    </w:p>
    <w:p w14:paraId="3813C449" w14:textId="48B8B636" w:rsidR="00DC4DFF" w:rsidRPr="009575CE" w:rsidRDefault="0091544D" w:rsidP="009A6896">
      <w:pPr>
        <w:pStyle w:val="Overskrift2"/>
        <w:numPr>
          <w:ilvl w:val="1"/>
          <w:numId w:val="1"/>
        </w:numPr>
      </w:pPr>
      <w:bookmarkStart w:id="9" w:name="_Toc210030955"/>
      <w:r>
        <w:t>Videnskabelig r</w:t>
      </w:r>
      <w:r w:rsidR="00DC4DFF">
        <w:t>ådgivning</w:t>
      </w:r>
      <w:bookmarkEnd w:id="9"/>
      <w:r w:rsidR="00B30498">
        <w:t xml:space="preserve"> </w:t>
      </w:r>
    </w:p>
    <w:p w14:paraId="692149E1" w14:textId="1F478FD3" w:rsidR="00C8405C" w:rsidRDefault="00C8405C" w:rsidP="00C8405C">
      <w:pPr>
        <w:pStyle w:val="Listeafsnit"/>
        <w:ind w:left="360"/>
        <w:jc w:val="both"/>
      </w:pPr>
      <w:r>
        <w:t xml:space="preserve">Den videnskabelige rådgivning for bestanden af hellefisk </w:t>
      </w:r>
      <w:r w:rsidR="00BF4B1D">
        <w:t>havgående</w:t>
      </w:r>
      <w:r>
        <w:t xml:space="preserve"> i </w:t>
      </w:r>
      <w:r w:rsidR="00550E38">
        <w:t xml:space="preserve">Vestgrønland i </w:t>
      </w:r>
      <w:r>
        <w:t>NAFO</w:t>
      </w:r>
      <w:r w:rsidR="00EC1E82">
        <w:t>-</w:t>
      </w:r>
      <w:r>
        <w:t>områder</w:t>
      </w:r>
      <w:r w:rsidR="00EC1E82">
        <w:t>ne</w:t>
      </w:r>
      <w:r>
        <w:t xml:space="preserve"> 0 og 1 i Vestgrønland gives af NAFO. Rådgivning</w:t>
      </w:r>
      <w:r w:rsidR="00550E38">
        <w:t>en</w:t>
      </w:r>
      <w:r>
        <w:t xml:space="preserve"> gives hvert andet år og vil fra 2025 blive afgivet i ulige år (tidligere i lige år, herunder 2024). Ændringen blev i 2025 foretaget i forbindelse med vedtagelsen af en ny version af </w:t>
      </w:r>
      <w:proofErr w:type="spellStart"/>
      <w:r>
        <w:t>NAFO’s</w:t>
      </w:r>
      <w:proofErr w:type="spellEnd"/>
      <w:r>
        <w:t xml:space="preserve"> forsigtighedsprincip-rammeværk (PAF)</w:t>
      </w:r>
      <w:r w:rsidR="00BC0988">
        <w:t>.</w:t>
      </w:r>
      <w:r>
        <w:t xml:space="preserve"> </w:t>
      </w:r>
      <w:r w:rsidR="00EC1E82">
        <w:t>V</w:t>
      </w:r>
      <w:r>
        <w:t>urderingen af denne bestand udføres ved hjælp af en analytisk bestandsvurderingsmodel. NAFO leverer referencepunkter, en vurdering af bestandens tilstand og fremskrivninger med mellemlangsigtede overvejelser i overensstemmelse med det opdaterede</w:t>
      </w:r>
      <w:r w:rsidR="00EC1E82">
        <w:t xml:space="preserve"> rammeværk for forsigtighedsprincippet (</w:t>
      </w:r>
      <w:r>
        <w:t>PAF</w:t>
      </w:r>
      <w:r w:rsidR="00EC1E82">
        <w:t>)</w:t>
      </w:r>
      <w:r>
        <w:t>.</w:t>
      </w:r>
    </w:p>
    <w:p w14:paraId="5B23224A" w14:textId="77777777" w:rsidR="00C8405C" w:rsidRDefault="00C8405C" w:rsidP="00C8405C">
      <w:pPr>
        <w:pStyle w:val="Listeafsnit"/>
        <w:ind w:left="360"/>
        <w:jc w:val="both"/>
      </w:pPr>
    </w:p>
    <w:p w14:paraId="51219087" w14:textId="10EBDA71" w:rsidR="006C721C" w:rsidRDefault="00C8405C" w:rsidP="00C8405C">
      <w:pPr>
        <w:pStyle w:val="Listeafsnit"/>
        <w:ind w:left="360"/>
        <w:jc w:val="both"/>
      </w:pPr>
      <w:r>
        <w:t xml:space="preserve">Den aktuelle bestandsvurdering udføres med en </w:t>
      </w:r>
      <w:r w:rsidR="00E8064B">
        <w:t>overskuds</w:t>
      </w:r>
      <w:r>
        <w:t>produktionsmodel (</w:t>
      </w:r>
      <w:proofErr w:type="spellStart"/>
      <w:r>
        <w:t>SPiCT</w:t>
      </w:r>
      <w:proofErr w:type="spellEnd"/>
      <w:r w:rsidR="00E8064B">
        <w:t>-model</w:t>
      </w:r>
      <w:r>
        <w:t xml:space="preserve">) baseret på et standardiseret kombineret indeks af den udnyttelige biomasse (fisk &gt; 35 cm længde) og kommercielle fangstdata. Det kombinerede indeks er baseret på flere uafhængige forskningsundersøgelser, der estimerer biomasse og længdefordeling af hellefisk. De inkluderede undersøgelser er et lavvandtogt i NAFO </w:t>
      </w:r>
      <w:r w:rsidR="00E8064B">
        <w:t>underområder</w:t>
      </w:r>
      <w:r>
        <w:t xml:space="preserve"> 1A-F samt to dybhavstogter i NAFO </w:t>
      </w:r>
      <w:r w:rsidR="00E8064B">
        <w:t>underområder</w:t>
      </w:r>
      <w:r>
        <w:t xml:space="preserve"> 0A-1CD. I 2025 blev dette udvidet til også at omfatte data fra et togt i NAFO </w:t>
      </w:r>
      <w:r w:rsidR="00E8064B">
        <w:t>underområde</w:t>
      </w:r>
      <w:r>
        <w:t xml:space="preserve"> 0B. </w:t>
      </w:r>
      <w:proofErr w:type="spellStart"/>
      <w:r>
        <w:t>SPiCT</w:t>
      </w:r>
      <w:proofErr w:type="spellEnd"/>
      <w:r>
        <w:t xml:space="preserve">-modellen estimerer relativ biomasse og fiskeridødelighed og anvendes desuden til at udlede referencepunkter for bestanden. </w:t>
      </w:r>
    </w:p>
    <w:p w14:paraId="3D1C3DEA" w14:textId="27AF1388" w:rsidR="00C8405C" w:rsidRDefault="00C8405C" w:rsidP="00C8405C">
      <w:pPr>
        <w:pStyle w:val="Listeafsnit"/>
        <w:ind w:left="360"/>
        <w:jc w:val="both"/>
      </w:pPr>
      <w:r>
        <w:t>I øjeblikket har NAFO defineret grænse- og udløsningsreferencepunkter for biomasse (</w:t>
      </w:r>
      <w:proofErr w:type="spellStart"/>
      <w:r>
        <w:t>B</w:t>
      </w:r>
      <w:r w:rsidRPr="00EC1E82">
        <w:rPr>
          <w:vertAlign w:val="subscript"/>
        </w:rPr>
        <w:t>lim</w:t>
      </w:r>
      <w:proofErr w:type="spellEnd"/>
      <w:r>
        <w:t xml:space="preserve"> og </w:t>
      </w:r>
      <w:proofErr w:type="spellStart"/>
      <w:r>
        <w:t>B</w:t>
      </w:r>
      <w:r w:rsidRPr="00EC1E82">
        <w:rPr>
          <w:vertAlign w:val="subscript"/>
        </w:rPr>
        <w:t>trigger</w:t>
      </w:r>
      <w:proofErr w:type="spellEnd"/>
      <w:r>
        <w:t>) samt grænse- og målsætningsreferencepunkter for fiskeridødelighed (</w:t>
      </w:r>
      <w:proofErr w:type="spellStart"/>
      <w:r>
        <w:t>F</w:t>
      </w:r>
      <w:r w:rsidRPr="00EC1E82">
        <w:rPr>
          <w:vertAlign w:val="subscript"/>
        </w:rPr>
        <w:t>lim</w:t>
      </w:r>
      <w:proofErr w:type="spellEnd"/>
      <w:r>
        <w:t xml:space="preserve"> og </w:t>
      </w:r>
      <w:proofErr w:type="spellStart"/>
      <w:r>
        <w:t>F</w:t>
      </w:r>
      <w:r w:rsidRPr="00EC1E82">
        <w:rPr>
          <w:vertAlign w:val="subscript"/>
        </w:rPr>
        <w:t>target</w:t>
      </w:r>
      <w:proofErr w:type="spellEnd"/>
      <w:r>
        <w:t>)</w:t>
      </w:r>
      <w:r w:rsidR="00363505">
        <w:t xml:space="preserve">. Definitionerne for grænseværdierne kan ændre sig over tid og er derfor blot beskrevet overordnet nedenfor. </w:t>
      </w:r>
    </w:p>
    <w:p w14:paraId="7204D7EA" w14:textId="331EABDF" w:rsidR="006C721C" w:rsidRPr="008239F2" w:rsidRDefault="006C721C" w:rsidP="006C721C">
      <w:pPr>
        <w:pStyle w:val="Listeafsnit"/>
        <w:numPr>
          <w:ilvl w:val="0"/>
          <w:numId w:val="5"/>
        </w:numPr>
        <w:jc w:val="both"/>
      </w:pPr>
      <w:r w:rsidRPr="008239F2">
        <w:t xml:space="preserve">Grænseværdien </w:t>
      </w:r>
      <w:proofErr w:type="spellStart"/>
      <w:r w:rsidRPr="008239F2">
        <w:t>B</w:t>
      </w:r>
      <w:r w:rsidRPr="008239F2">
        <w:rPr>
          <w:vertAlign w:val="subscript"/>
        </w:rPr>
        <w:t>lim</w:t>
      </w:r>
      <w:proofErr w:type="spellEnd"/>
      <w:r w:rsidR="00E8064B">
        <w:t xml:space="preserve"> </w:t>
      </w:r>
      <w:r w:rsidRPr="008239F2">
        <w:t xml:space="preserve">beskriver </w:t>
      </w:r>
      <w:r w:rsidR="00E8064B">
        <w:t xml:space="preserve">størrelsen af </w:t>
      </w:r>
      <w:r w:rsidRPr="008239F2">
        <w:t>biomassen</w:t>
      </w:r>
      <w:r w:rsidR="00E8064B">
        <w:t>,</w:t>
      </w:r>
      <w:r w:rsidRPr="008239F2">
        <w:t xml:space="preserve"> hvor rekrutteringen er for lav til</w:t>
      </w:r>
      <w:r w:rsidR="00E8064B">
        <w:t>,</w:t>
      </w:r>
      <w:r w:rsidRPr="008239F2">
        <w:t xml:space="preserve"> at der kan fiskes bæredygtigt på bestanden. </w:t>
      </w:r>
    </w:p>
    <w:p w14:paraId="3EDC1A01" w14:textId="05905817" w:rsidR="006C721C" w:rsidRDefault="006C721C" w:rsidP="006C721C">
      <w:pPr>
        <w:pStyle w:val="Listeafsnit"/>
        <w:numPr>
          <w:ilvl w:val="0"/>
          <w:numId w:val="5"/>
        </w:numPr>
        <w:jc w:val="both"/>
      </w:pPr>
      <w:r w:rsidRPr="008239F2">
        <w:t xml:space="preserve">Forvaltningsværktøjet </w:t>
      </w:r>
      <w:proofErr w:type="spellStart"/>
      <w:r w:rsidRPr="008239F2">
        <w:t>B</w:t>
      </w:r>
      <w:r w:rsidRPr="008239F2">
        <w:rPr>
          <w:vertAlign w:val="subscript"/>
        </w:rPr>
        <w:t>trigger</w:t>
      </w:r>
      <w:proofErr w:type="spellEnd"/>
      <w:r w:rsidRPr="008239F2">
        <w:t xml:space="preserve"> beskriver e</w:t>
      </w:r>
      <w:r w:rsidR="00125CB9">
        <w:t>n</w:t>
      </w:r>
      <w:r w:rsidRPr="008239F2">
        <w:t xml:space="preserve"> bestemt </w:t>
      </w:r>
      <w:r w:rsidR="00125CB9">
        <w:t>størrelse af biomassen og h</w:t>
      </w:r>
      <w:r w:rsidRPr="008239F2">
        <w:t xml:space="preserve">vis </w:t>
      </w:r>
      <w:r w:rsidR="00125CB9">
        <w:t>bestanden rammer dette</w:t>
      </w:r>
      <w:r w:rsidRPr="008239F2">
        <w:t xml:space="preserve"> </w:t>
      </w:r>
      <w:r w:rsidR="00125CB9">
        <w:t>punkt</w:t>
      </w:r>
      <w:r w:rsidRPr="008239F2">
        <w:t>, udløser det en specifik forvaltningshandling.</w:t>
      </w:r>
    </w:p>
    <w:p w14:paraId="229286A2" w14:textId="75A396FC" w:rsidR="006C721C" w:rsidRPr="00E31528" w:rsidRDefault="006C721C" w:rsidP="006C721C">
      <w:pPr>
        <w:pStyle w:val="Listeafsnit"/>
        <w:numPr>
          <w:ilvl w:val="0"/>
          <w:numId w:val="5"/>
        </w:numPr>
        <w:jc w:val="both"/>
      </w:pPr>
      <w:r w:rsidRPr="00E31528">
        <w:t xml:space="preserve">Grænseværdien </w:t>
      </w:r>
      <w:proofErr w:type="spellStart"/>
      <w:r w:rsidRPr="00E31528">
        <w:t>F</w:t>
      </w:r>
      <w:r w:rsidRPr="00E31528">
        <w:rPr>
          <w:vertAlign w:val="subscript"/>
        </w:rPr>
        <w:t>lim</w:t>
      </w:r>
      <w:proofErr w:type="spellEnd"/>
      <w:r w:rsidR="00A515E2" w:rsidRPr="00E31528">
        <w:t xml:space="preserve"> beskriver de</w:t>
      </w:r>
      <w:r w:rsidR="00125CB9" w:rsidRPr="00E31528">
        <w:t>n</w:t>
      </w:r>
      <w:r w:rsidR="00A515E2" w:rsidRPr="00E31528">
        <w:t xml:space="preserve"> maksimale</w:t>
      </w:r>
      <w:r w:rsidR="00125CB9" w:rsidRPr="00E31528">
        <w:t xml:space="preserve"> fiskeridødelighed</w:t>
      </w:r>
      <w:r w:rsidR="00345EFB" w:rsidRPr="00E31528">
        <w:t xml:space="preserve"> som bør tillades</w:t>
      </w:r>
      <w:r w:rsidR="00363505" w:rsidRPr="00E31528">
        <w:t xml:space="preserve"> og ikke bør overskrides.</w:t>
      </w:r>
    </w:p>
    <w:p w14:paraId="5E9C9E9D" w14:textId="76632005" w:rsidR="00A515E2" w:rsidRPr="00E31528" w:rsidRDefault="00A515E2" w:rsidP="006C721C">
      <w:pPr>
        <w:pStyle w:val="Listeafsnit"/>
        <w:numPr>
          <w:ilvl w:val="0"/>
          <w:numId w:val="5"/>
        </w:numPr>
        <w:jc w:val="both"/>
      </w:pPr>
      <w:r w:rsidRPr="00E31528">
        <w:t xml:space="preserve">Referencepunktet </w:t>
      </w:r>
      <w:proofErr w:type="spellStart"/>
      <w:r w:rsidRPr="00E31528">
        <w:t>F</w:t>
      </w:r>
      <w:r w:rsidRPr="00E31528">
        <w:rPr>
          <w:vertAlign w:val="subscript"/>
        </w:rPr>
        <w:t>target</w:t>
      </w:r>
      <w:proofErr w:type="spellEnd"/>
      <w:r w:rsidR="00363505" w:rsidRPr="00E31528">
        <w:t xml:space="preserve"> beskriver den fiskeridødelighed som NAFO er interesseret i at nå. </w:t>
      </w:r>
    </w:p>
    <w:p w14:paraId="305F37B3" w14:textId="77777777" w:rsidR="006C721C" w:rsidRDefault="006C721C" w:rsidP="00C8405C">
      <w:pPr>
        <w:pStyle w:val="Listeafsnit"/>
        <w:ind w:left="360"/>
        <w:jc w:val="both"/>
      </w:pPr>
    </w:p>
    <w:p w14:paraId="009AA950" w14:textId="77777777" w:rsidR="00C8405C" w:rsidRDefault="00C8405C" w:rsidP="00C8405C">
      <w:pPr>
        <w:pStyle w:val="Listeafsnit"/>
        <w:ind w:left="360"/>
        <w:jc w:val="both"/>
      </w:pPr>
    </w:p>
    <w:p w14:paraId="4C981E99" w14:textId="7F80198A" w:rsidR="00203C20" w:rsidRDefault="00C8405C" w:rsidP="00C8405C">
      <w:pPr>
        <w:pStyle w:val="Listeafsnit"/>
        <w:ind w:left="360"/>
        <w:jc w:val="both"/>
      </w:pPr>
      <w:r>
        <w:t xml:space="preserve">I overensstemmelse med forsigtighedsprincippet præsenterer NAFO flere fangstscenarier, der afspejler forskellige niveauer af fiskeritryk og har til formål at illustrere, hvordan varierende udnyttelsesrater kan påvirke fangstmulighederne, samtidig med at bestanden opretholdes på bestemte niveauer. Hvert scenarie vurderes i forhold til risikoen for, at bestanden falder under referencepunkterne (såsom </w:t>
      </w:r>
      <w:proofErr w:type="spellStart"/>
      <w:r>
        <w:t>B</w:t>
      </w:r>
      <w:r w:rsidRPr="00E31528">
        <w:rPr>
          <w:vertAlign w:val="subscript"/>
        </w:rPr>
        <w:t>lim</w:t>
      </w:r>
      <w:proofErr w:type="spellEnd"/>
      <w:r>
        <w:t xml:space="preserve">, </w:t>
      </w:r>
      <w:proofErr w:type="spellStart"/>
      <w:r>
        <w:t>B</w:t>
      </w:r>
      <w:r w:rsidRPr="00E31528">
        <w:rPr>
          <w:vertAlign w:val="subscript"/>
        </w:rPr>
        <w:t>trigger</w:t>
      </w:r>
      <w:proofErr w:type="spellEnd"/>
      <w:r>
        <w:t xml:space="preserve">, </w:t>
      </w:r>
      <w:proofErr w:type="spellStart"/>
      <w:r>
        <w:t>F</w:t>
      </w:r>
      <w:r w:rsidRPr="00E31528">
        <w:rPr>
          <w:vertAlign w:val="subscript"/>
        </w:rPr>
        <w:t>lim</w:t>
      </w:r>
      <w:proofErr w:type="spellEnd"/>
      <w:r>
        <w:t xml:space="preserve"> og </w:t>
      </w:r>
      <w:proofErr w:type="spellStart"/>
      <w:r>
        <w:t>F</w:t>
      </w:r>
      <w:r w:rsidRPr="00E31528">
        <w:rPr>
          <w:vertAlign w:val="subscript"/>
        </w:rPr>
        <w:t>target</w:t>
      </w:r>
      <w:proofErr w:type="spellEnd"/>
      <w:r>
        <w:t>) i fremskrivningsperioden. Forvaltere skal derefter beslutte sig for et scenarie med acceptable risikoniveauer.</w:t>
      </w:r>
    </w:p>
    <w:p w14:paraId="10C447E6" w14:textId="0FD7E1A0" w:rsidR="009F70D4" w:rsidRPr="009575CE" w:rsidRDefault="009F70D4" w:rsidP="009A6896">
      <w:pPr>
        <w:pStyle w:val="Overskrift2"/>
        <w:numPr>
          <w:ilvl w:val="1"/>
          <w:numId w:val="1"/>
        </w:numPr>
      </w:pPr>
      <w:bookmarkStart w:id="10" w:name="_Toc210030956"/>
      <w:bookmarkEnd w:id="6"/>
      <w:r>
        <w:lastRenderedPageBreak/>
        <w:t>Fastsættelse af TAC og kvoter</w:t>
      </w:r>
      <w:bookmarkEnd w:id="10"/>
      <w:r>
        <w:t xml:space="preserve"> </w:t>
      </w:r>
    </w:p>
    <w:p w14:paraId="2F081249" w14:textId="32BA41C3" w:rsidR="00233373" w:rsidRDefault="00233373" w:rsidP="00D969A3">
      <w:pPr>
        <w:ind w:left="360"/>
        <w:jc w:val="both"/>
        <w:rPr>
          <w:rFonts w:eastAsiaTheme="minorEastAsia" w:cs="Times New Roman"/>
          <w:szCs w:val="24"/>
        </w:rPr>
      </w:pPr>
      <w:r>
        <w:rPr>
          <w:rFonts w:eastAsiaTheme="minorEastAsia" w:cs="Times New Roman"/>
          <w:szCs w:val="24"/>
        </w:rPr>
        <w:t>For at sikre</w:t>
      </w:r>
      <w:r w:rsidR="00EB543D">
        <w:rPr>
          <w:rFonts w:eastAsiaTheme="minorEastAsia" w:cs="Times New Roman"/>
          <w:szCs w:val="24"/>
        </w:rPr>
        <w:t>,</w:t>
      </w:r>
      <w:r>
        <w:rPr>
          <w:rFonts w:eastAsiaTheme="minorEastAsia" w:cs="Times New Roman"/>
          <w:szCs w:val="24"/>
        </w:rPr>
        <w:t xml:space="preserve"> at den samlede ressource til enhver tid fiskes bæredygtigt efter princippet om at opnå det maksimale bæredygtige udbytte, er udgangspunktet for fastsættelsen af TAC den videnskabelige rådgivning fra </w:t>
      </w:r>
      <w:proofErr w:type="spellStart"/>
      <w:r w:rsidR="00C84D79">
        <w:rPr>
          <w:rFonts w:eastAsiaTheme="minorEastAsia" w:cs="Times New Roman"/>
          <w:szCs w:val="24"/>
        </w:rPr>
        <w:t>NAFO’s</w:t>
      </w:r>
      <w:proofErr w:type="spellEnd"/>
      <w:r w:rsidR="00C84D79">
        <w:rPr>
          <w:rFonts w:eastAsiaTheme="minorEastAsia" w:cs="Times New Roman"/>
          <w:szCs w:val="24"/>
        </w:rPr>
        <w:t xml:space="preserve"> Videnskabelige Råd</w:t>
      </w:r>
      <w:r>
        <w:rPr>
          <w:rFonts w:eastAsiaTheme="minorEastAsia" w:cs="Times New Roman"/>
          <w:szCs w:val="24"/>
        </w:rPr>
        <w:t xml:space="preserve">. </w:t>
      </w:r>
    </w:p>
    <w:p w14:paraId="49855148" w14:textId="604E30FD" w:rsidR="00093155" w:rsidRDefault="00093155" w:rsidP="00093155">
      <w:pPr>
        <w:ind w:left="360"/>
        <w:jc w:val="both"/>
      </w:pPr>
      <w:r w:rsidRPr="00093155">
        <w:rPr>
          <w:rFonts w:eastAsiaTheme="minorEastAsia" w:cs="Times New Roman"/>
          <w:szCs w:val="24"/>
        </w:rPr>
        <w:t xml:space="preserve">Fra et samfundsøkonomisk og erhvervsmæssigt perspektiv er det hensigtsmæssigt at undgå store og pludselige udsving i de årlige fangster. På denne baggrund foreskriver forvaltningsplanen at </w:t>
      </w:r>
      <w:r w:rsidR="00233373">
        <w:rPr>
          <w:rFonts w:eastAsiaTheme="minorEastAsia" w:cs="Times New Roman"/>
          <w:szCs w:val="24"/>
        </w:rPr>
        <w:t xml:space="preserve">Naalakkersuisut fastsætter </w:t>
      </w:r>
      <w:r w:rsidRPr="00093155">
        <w:rPr>
          <w:rFonts w:eastAsiaTheme="minorEastAsia" w:cs="Times New Roman"/>
          <w:szCs w:val="24"/>
        </w:rPr>
        <w:t xml:space="preserve">TAC i overensstemmelse med den </w:t>
      </w:r>
      <w:r>
        <w:rPr>
          <w:rFonts w:eastAsiaTheme="minorEastAsia" w:cs="Times New Roman"/>
          <w:szCs w:val="24"/>
        </w:rPr>
        <w:t>videnskabelige</w:t>
      </w:r>
      <w:r w:rsidRPr="00093155">
        <w:rPr>
          <w:rFonts w:eastAsiaTheme="minorEastAsia" w:cs="Times New Roman"/>
          <w:szCs w:val="24"/>
        </w:rPr>
        <w:t xml:space="preserve"> rådgivning under den forudsætning</w:t>
      </w:r>
      <w:r w:rsidR="00EB543D">
        <w:rPr>
          <w:rFonts w:eastAsiaTheme="minorEastAsia" w:cs="Times New Roman"/>
          <w:szCs w:val="24"/>
        </w:rPr>
        <w:t>,</w:t>
      </w:r>
      <w:r w:rsidRPr="00093155">
        <w:rPr>
          <w:rFonts w:eastAsiaTheme="minorEastAsia" w:cs="Times New Roman"/>
          <w:szCs w:val="24"/>
        </w:rPr>
        <w:t xml:space="preserve"> at</w:t>
      </w:r>
      <w:r>
        <w:rPr>
          <w:rFonts w:eastAsiaTheme="minorEastAsia" w:cs="Times New Roman"/>
          <w:szCs w:val="24"/>
        </w:rPr>
        <w:t xml:space="preserve"> TAC maksimalt må variere med 15</w:t>
      </w:r>
      <w:r w:rsidRPr="00093155">
        <w:rPr>
          <w:rFonts w:eastAsiaTheme="minorEastAsia" w:cs="Times New Roman"/>
          <w:szCs w:val="24"/>
        </w:rPr>
        <w:t xml:space="preserve"> % pr. år.</w:t>
      </w:r>
    </w:p>
    <w:p w14:paraId="66EB9A7A" w14:textId="29EF7617" w:rsidR="00390C6E" w:rsidRPr="00093155" w:rsidRDefault="00E85D91" w:rsidP="00093155">
      <w:pPr>
        <w:ind w:left="360"/>
        <w:jc w:val="both"/>
        <w:rPr>
          <w:rFonts w:eastAsiaTheme="minorEastAsia" w:cs="Times New Roman"/>
          <w:szCs w:val="24"/>
        </w:rPr>
      </w:pPr>
      <w:r w:rsidRPr="00BB6C93">
        <w:t xml:space="preserve">Kun i ekstraordinære tilfælde, hvor den </w:t>
      </w:r>
      <w:r w:rsidR="00093155">
        <w:t>videnskabelige rådgivning indikerer at biomassen vil stige eller falde i en ekstraordinær grad</w:t>
      </w:r>
      <w:r w:rsidRPr="00BB6C93">
        <w:t>, kan der afviges fra ovenstående styrin</w:t>
      </w:r>
      <w:r>
        <w:t>gsregel for fastsættelse af TAC.</w:t>
      </w:r>
      <w:r w:rsidRPr="000C1325">
        <w:t xml:space="preserve"> </w:t>
      </w:r>
    </w:p>
    <w:p w14:paraId="51284135" w14:textId="0E3C1772" w:rsidR="000C1325" w:rsidRDefault="00756619" w:rsidP="0043497B">
      <w:pPr>
        <w:ind w:left="360"/>
        <w:jc w:val="both"/>
      </w:pPr>
      <w:r>
        <w:t xml:space="preserve">De situationer, der opfattes som ekstraordinære, og som medfører </w:t>
      </w:r>
      <w:r w:rsidR="00A67BD1">
        <w:t>konsultation</w:t>
      </w:r>
      <w:r>
        <w:t xml:space="preserve"> af Fiskerirådet, er følgende: </w:t>
      </w:r>
    </w:p>
    <w:p w14:paraId="68D8F0BC" w14:textId="58DF4439" w:rsidR="008F2D68" w:rsidRDefault="008F2D68" w:rsidP="008F2D68">
      <w:pPr>
        <w:pStyle w:val="Listeafsnit"/>
        <w:numPr>
          <w:ilvl w:val="0"/>
          <w:numId w:val="6"/>
        </w:numPr>
        <w:jc w:val="both"/>
      </w:pPr>
      <w:r>
        <w:t>Når fangstniveauet (</w:t>
      </w:r>
      <w:proofErr w:type="spellStart"/>
      <w:r>
        <w:t>TAC’en</w:t>
      </w:r>
      <w:proofErr w:type="spellEnd"/>
      <w:r>
        <w:t xml:space="preserve">) for det nuværende år viser, at der mere end 10% risiko for at overskride </w:t>
      </w:r>
      <w:proofErr w:type="spellStart"/>
      <w:r>
        <w:t>B</w:t>
      </w:r>
      <w:r>
        <w:rPr>
          <w:vertAlign w:val="subscript"/>
        </w:rPr>
        <w:t>trigger</w:t>
      </w:r>
      <w:proofErr w:type="spellEnd"/>
      <w:r>
        <w:t xml:space="preserve"> inden for de næste tre år. </w:t>
      </w:r>
    </w:p>
    <w:p w14:paraId="0F4584FF" w14:textId="1A5E143D" w:rsidR="008F2D68" w:rsidRDefault="008F2D68" w:rsidP="008F2D68">
      <w:pPr>
        <w:pStyle w:val="Listeafsnit"/>
        <w:numPr>
          <w:ilvl w:val="0"/>
          <w:numId w:val="6"/>
        </w:numPr>
        <w:jc w:val="both"/>
      </w:pPr>
      <w:r>
        <w:t xml:space="preserve">Når bestanden falder til et niveau, der ligger under referencepunktet </w:t>
      </w:r>
      <w:proofErr w:type="spellStart"/>
      <w:r>
        <w:t>B</w:t>
      </w:r>
      <w:r>
        <w:rPr>
          <w:vertAlign w:val="subscript"/>
        </w:rPr>
        <w:t>trigger</w:t>
      </w:r>
      <w:proofErr w:type="spellEnd"/>
      <w:r>
        <w:t xml:space="preserve">, svarende til 75% af </w:t>
      </w:r>
      <w:proofErr w:type="spellStart"/>
      <w:r>
        <w:t>B</w:t>
      </w:r>
      <w:r>
        <w:rPr>
          <w:vertAlign w:val="subscript"/>
        </w:rPr>
        <w:t>msy</w:t>
      </w:r>
      <w:proofErr w:type="spellEnd"/>
      <w:r>
        <w:t>.</w:t>
      </w:r>
    </w:p>
    <w:p w14:paraId="6BF84BEE" w14:textId="035A1151" w:rsidR="00390C6E" w:rsidRDefault="00E85D91" w:rsidP="0043497B">
      <w:pPr>
        <w:ind w:left="360"/>
        <w:jc w:val="both"/>
      </w:pPr>
      <w:r w:rsidRPr="00BB6C93">
        <w:t>Fiskerirådet skal i sådanne ekstraordinære situationer rådgive Naalakkersuisut om mulige løsninger efter indstilling fra Departementet</w:t>
      </w:r>
      <w:r w:rsidR="00D847ED">
        <w:t xml:space="preserve"> for Fiskeri, Fangst, Landbrug og Selvforsyning</w:t>
      </w:r>
      <w:r w:rsidRPr="00BB6C93">
        <w:t>.</w:t>
      </w:r>
      <w:r>
        <w:t xml:space="preserve"> </w:t>
      </w:r>
      <w:r w:rsidR="00390C6E">
        <w:t xml:space="preserve">I sådanne ekstraordinære situationer kan Naalakkersuisut vælge at afvige fra den ovenfor beskrevne styringsregel for fastsættelse af TAC. </w:t>
      </w:r>
    </w:p>
    <w:p w14:paraId="03801110" w14:textId="58160508" w:rsidR="006549CA" w:rsidRDefault="006549CA" w:rsidP="00F927A1">
      <w:pPr>
        <w:ind w:left="360"/>
        <w:jc w:val="both"/>
        <w:rPr>
          <w:rFonts w:eastAsiaTheme="minorEastAsia" w:cs="Times New Roman"/>
          <w:szCs w:val="24"/>
        </w:rPr>
      </w:pPr>
      <w:r w:rsidRPr="008F2D68">
        <w:rPr>
          <w:rFonts w:eastAsiaTheme="minorEastAsia" w:cs="Times New Roman"/>
          <w:szCs w:val="24"/>
        </w:rPr>
        <w:t>Da bestanden deles med Canada, sker f</w:t>
      </w:r>
      <w:r w:rsidR="004631E3" w:rsidRPr="008F2D68">
        <w:rPr>
          <w:rFonts w:eastAsiaTheme="minorEastAsia" w:cs="Times New Roman"/>
          <w:szCs w:val="24"/>
        </w:rPr>
        <w:t>astsættelsen af TAC efter konsultation med Canada</w:t>
      </w:r>
      <w:r w:rsidRPr="008F2D68">
        <w:rPr>
          <w:rFonts w:eastAsiaTheme="minorEastAsia" w:cs="Times New Roman"/>
          <w:szCs w:val="24"/>
        </w:rPr>
        <w:t xml:space="preserve">. </w:t>
      </w:r>
      <w:r w:rsidR="001873E5" w:rsidRPr="008F2D68">
        <w:rPr>
          <w:rFonts w:eastAsiaTheme="minorEastAsia" w:cs="Times New Roman"/>
          <w:szCs w:val="24"/>
        </w:rPr>
        <w:t xml:space="preserve">Det bestræbes så vidt muligt </w:t>
      </w:r>
      <w:r w:rsidR="003438CC" w:rsidRPr="008F2D68">
        <w:rPr>
          <w:rFonts w:eastAsiaTheme="minorEastAsia" w:cs="Times New Roman"/>
          <w:szCs w:val="24"/>
        </w:rPr>
        <w:t>at opnå enighed om TAC.</w:t>
      </w:r>
    </w:p>
    <w:p w14:paraId="2F85EC5D" w14:textId="3C670ACC" w:rsidR="00390C6E" w:rsidRPr="00F927A1" w:rsidRDefault="00F2668C" w:rsidP="00F927A1">
      <w:pPr>
        <w:ind w:left="360"/>
        <w:jc w:val="both"/>
        <w:rPr>
          <w:rFonts w:eastAsiaTheme="minorEastAsia" w:cs="Times New Roman"/>
          <w:szCs w:val="24"/>
        </w:rPr>
      </w:pPr>
      <w:r w:rsidRPr="00990934">
        <w:rPr>
          <w:rFonts w:eastAsiaTheme="minorEastAsia" w:cs="Times New Roman"/>
          <w:szCs w:val="24"/>
        </w:rPr>
        <w:t>Inden Naalakkersuisoq for Fiskeri, Fangst</w:t>
      </w:r>
      <w:r w:rsidR="00A93644">
        <w:rPr>
          <w:rFonts w:eastAsiaTheme="minorEastAsia" w:cs="Times New Roman"/>
          <w:szCs w:val="24"/>
        </w:rPr>
        <w:t>,</w:t>
      </w:r>
      <w:r w:rsidRPr="00990934">
        <w:rPr>
          <w:rFonts w:eastAsiaTheme="minorEastAsia" w:cs="Times New Roman"/>
          <w:szCs w:val="24"/>
        </w:rPr>
        <w:t xml:space="preserve"> Landbrug</w:t>
      </w:r>
      <w:r w:rsidR="00A93644">
        <w:rPr>
          <w:rFonts w:eastAsiaTheme="minorEastAsia" w:cs="Times New Roman"/>
          <w:szCs w:val="24"/>
        </w:rPr>
        <w:t xml:space="preserve"> og Selvforsyning</w:t>
      </w:r>
      <w:r w:rsidRPr="00990934">
        <w:rPr>
          <w:rFonts w:eastAsiaTheme="minorEastAsia" w:cs="Times New Roman"/>
          <w:szCs w:val="24"/>
        </w:rPr>
        <w:t xml:space="preserve"> foreligger Naalakkersuisut beslutningsforslag om </w:t>
      </w:r>
      <w:r w:rsidR="00B94BD2">
        <w:rPr>
          <w:rFonts w:eastAsiaTheme="minorEastAsia" w:cs="Times New Roman"/>
          <w:szCs w:val="24"/>
        </w:rPr>
        <w:t xml:space="preserve">fastsættelsen af </w:t>
      </w:r>
      <w:r w:rsidRPr="00990934">
        <w:rPr>
          <w:rFonts w:eastAsiaTheme="minorEastAsia" w:cs="Times New Roman"/>
          <w:szCs w:val="24"/>
        </w:rPr>
        <w:t>TAC</w:t>
      </w:r>
      <w:r w:rsidR="002D4C84">
        <w:rPr>
          <w:rFonts w:eastAsiaTheme="minorEastAsia" w:cs="Times New Roman"/>
          <w:szCs w:val="24"/>
        </w:rPr>
        <w:t xml:space="preserve"> for havgående hellefisk i Vestgrønland</w:t>
      </w:r>
      <w:r w:rsidRPr="00990934">
        <w:rPr>
          <w:rFonts w:eastAsiaTheme="minorEastAsia" w:cs="Times New Roman"/>
          <w:szCs w:val="24"/>
        </w:rPr>
        <w:t xml:space="preserve">, har Fiskerirådet været hørt i sagen og Fiskerirådets høringssvar er en del af grundlaget for indstillingen. </w:t>
      </w:r>
    </w:p>
    <w:p w14:paraId="70C36D9B" w14:textId="46DC322B" w:rsidR="00A91F5D" w:rsidRDefault="00A91F5D" w:rsidP="007F674C">
      <w:pPr>
        <w:pStyle w:val="Overskrift3"/>
        <w:numPr>
          <w:ilvl w:val="2"/>
          <w:numId w:val="1"/>
        </w:numPr>
      </w:pPr>
      <w:bookmarkStart w:id="11" w:name="_Toc48914081"/>
      <w:bookmarkStart w:id="12" w:name="_Toc210030957"/>
      <w:r>
        <w:t>Fordeling af TAC</w:t>
      </w:r>
      <w:bookmarkEnd w:id="11"/>
      <w:bookmarkEnd w:id="12"/>
    </w:p>
    <w:p w14:paraId="0A836FC0" w14:textId="77777777" w:rsidR="00BC0988" w:rsidRDefault="008F2D68" w:rsidP="00BC0988">
      <w:pPr>
        <w:ind w:left="360"/>
        <w:jc w:val="both"/>
      </w:pPr>
      <w:r w:rsidRPr="008F2D68">
        <w:t>Når den samlede TAC er fastlagt fordeles den i henhold til Fiskeriloven til grønlandske aktører under hensyn til internationale aftaler og andre forvaltningshensyn</w:t>
      </w:r>
      <w:r w:rsidR="00DD4480">
        <w:t>:</w:t>
      </w:r>
      <w:r w:rsidRPr="008F2D68" w:rsidDel="008F2D68">
        <w:t xml:space="preserve"> </w:t>
      </w:r>
    </w:p>
    <w:p w14:paraId="222D9D65" w14:textId="77777777" w:rsidR="00BC0988" w:rsidRDefault="00A67BD1" w:rsidP="00BC0988">
      <w:pPr>
        <w:pStyle w:val="Listeafsnit"/>
        <w:numPr>
          <w:ilvl w:val="0"/>
          <w:numId w:val="8"/>
        </w:numPr>
        <w:jc w:val="both"/>
      </w:pPr>
      <w:r w:rsidRPr="008F2D68">
        <w:t xml:space="preserve">Først fordeles den overordnede TAC ligeligt (50/50%) med Canada. </w:t>
      </w:r>
    </w:p>
    <w:p w14:paraId="19984367" w14:textId="4B7D54DE" w:rsidR="008F2D68" w:rsidRPr="008F2D68" w:rsidRDefault="008F2D68" w:rsidP="00BC0988">
      <w:pPr>
        <w:pStyle w:val="Listeafsnit"/>
        <w:numPr>
          <w:ilvl w:val="0"/>
          <w:numId w:val="8"/>
        </w:numPr>
        <w:jc w:val="both"/>
      </w:pPr>
      <w:r w:rsidRPr="008F2D68">
        <w:t>Grønland forhandler desuden årligt om mængde til bilaterale partnere i henhold til internationale aftaler.</w:t>
      </w:r>
    </w:p>
    <w:p w14:paraId="015E90D3" w14:textId="2FAA248F" w:rsidR="008F2D68" w:rsidRPr="008F2D68" w:rsidRDefault="008F2D68" w:rsidP="008F2D68">
      <w:pPr>
        <w:pStyle w:val="Listeafsnit"/>
        <w:numPr>
          <w:ilvl w:val="0"/>
          <w:numId w:val="3"/>
        </w:numPr>
        <w:jc w:val="both"/>
      </w:pPr>
      <w:r w:rsidRPr="008F2D68">
        <w:t>Den resterende TAC-mængde fordeles derefter til de grønlandske aktører baseret på deres kvoteandel.</w:t>
      </w:r>
    </w:p>
    <w:p w14:paraId="65104662" w14:textId="0C25A0D2" w:rsidR="009B6FBE" w:rsidRDefault="00074AFC" w:rsidP="009A6896">
      <w:pPr>
        <w:pStyle w:val="Overskrift2"/>
        <w:numPr>
          <w:ilvl w:val="1"/>
          <w:numId w:val="1"/>
        </w:numPr>
      </w:pPr>
      <w:bookmarkStart w:id="13" w:name="_Toc210030958"/>
      <w:r>
        <w:lastRenderedPageBreak/>
        <w:t>Reguleringsmekanismer</w:t>
      </w:r>
      <w:bookmarkEnd w:id="13"/>
    </w:p>
    <w:p w14:paraId="2559AE78" w14:textId="11067215" w:rsidR="001E0D95" w:rsidRPr="00BC0988" w:rsidRDefault="00BE789E" w:rsidP="009A6896">
      <w:pPr>
        <w:pStyle w:val="Overskrift3"/>
        <w:numPr>
          <w:ilvl w:val="2"/>
          <w:numId w:val="1"/>
        </w:numPr>
      </w:pPr>
      <w:bookmarkStart w:id="14" w:name="_Toc210030959"/>
      <w:r w:rsidRPr="00BC0988">
        <w:t>R</w:t>
      </w:r>
      <w:r w:rsidR="0043115E" w:rsidRPr="00BC0988">
        <w:t>egulering</w:t>
      </w:r>
      <w:r w:rsidRPr="00BC0988">
        <w:t xml:space="preserve"> af</w:t>
      </w:r>
      <w:r w:rsidR="0043115E" w:rsidRPr="00BC0988">
        <w:t xml:space="preserve"> kvotemængde</w:t>
      </w:r>
      <w:bookmarkEnd w:id="14"/>
    </w:p>
    <w:p w14:paraId="5ED81D11" w14:textId="5D136FB5" w:rsidR="00A91F5D" w:rsidRDefault="00A91F5D" w:rsidP="00A91F5D">
      <w:pPr>
        <w:ind w:left="360"/>
        <w:jc w:val="both"/>
      </w:pPr>
      <w:r w:rsidRPr="00BC0988">
        <w:t xml:space="preserve">Fiskeriet forvaltes via </w:t>
      </w:r>
      <w:r w:rsidR="00A93644" w:rsidRPr="00BC0988">
        <w:t>tidsbegrænsede licenser med højst tilladte fangstmængder</w:t>
      </w:r>
      <w:r w:rsidR="000630FD" w:rsidRPr="00BC0988">
        <w:t>, og er underlagt ordning med individuelle og omsættelige kvoter (IOK). Licenserne meddeles årligt med en minimumsperiode på 10 år jf. § 33 i Fiskeriloven</w:t>
      </w:r>
      <w:r w:rsidR="00A93644" w:rsidRPr="00BC0988">
        <w:t>.</w:t>
      </w:r>
      <w:r w:rsidR="003421FA" w:rsidRPr="00BC0988">
        <w:t xml:space="preserve"> </w:t>
      </w:r>
    </w:p>
    <w:p w14:paraId="77681487" w14:textId="1B76BB7E" w:rsidR="00613F4E" w:rsidRDefault="00613F4E" w:rsidP="00613F4E">
      <w:pPr>
        <w:ind w:left="360"/>
        <w:jc w:val="both"/>
        <w:rPr>
          <w:highlight w:val="yellow"/>
        </w:rPr>
      </w:pPr>
      <w:r w:rsidRPr="00613F4E">
        <w:t xml:space="preserve">Fiskerilovens § 38 </w:t>
      </w:r>
      <w:r w:rsidR="00DD4480">
        <w:t>giver</w:t>
      </w:r>
      <w:r w:rsidRPr="00613F4E">
        <w:t xml:space="preserve"> mulighed for fleksibel kvoteudnyttelse i </w:t>
      </w:r>
      <w:r>
        <w:t>IOK-fiskerier</w:t>
      </w:r>
      <w:r w:rsidRPr="00613F4E">
        <w:t xml:space="preserve">. Derved kan op til 25% af </w:t>
      </w:r>
      <w:proofErr w:type="spellStart"/>
      <w:r w:rsidRPr="00613F4E">
        <w:t>uopfiskede</w:t>
      </w:r>
      <w:proofErr w:type="spellEnd"/>
      <w:r w:rsidRPr="00613F4E">
        <w:t xml:space="preserve"> årskvotemængder fiskes i det efterfølgende år. Opfiskes den overførte mængde ikke i det efterfølgende år, går den overførte </w:t>
      </w:r>
      <w:r w:rsidR="00DD4480">
        <w:t xml:space="preserve">mængde </w:t>
      </w:r>
      <w:r w:rsidRPr="00613F4E">
        <w:t xml:space="preserve">tabt. Ligeledes kan der tages forskud på op til 25% af årskvotemængden for </w:t>
      </w:r>
      <w:r w:rsidR="00632CEE">
        <w:t>d</w:t>
      </w:r>
      <w:r w:rsidRPr="00613F4E">
        <w:t xml:space="preserve">et efterfølgende år. Opfiskes den overførte mængde ikke, bliver den tilbageført til det efterfølgende år- </w:t>
      </w:r>
      <w:r w:rsidR="00632CEE">
        <w:t>o</w:t>
      </w:r>
      <w:r w:rsidRPr="00613F4E">
        <w:t xml:space="preserve">rdningen kaldes i daglig tale blot </w:t>
      </w:r>
      <w:r w:rsidR="00BC0988">
        <w:t>”</w:t>
      </w:r>
      <w:r w:rsidRPr="00613F4E">
        <w:t>kvotefleks</w:t>
      </w:r>
      <w:r w:rsidR="00BC0988">
        <w:t>”</w:t>
      </w:r>
      <w:r>
        <w:rPr>
          <w:rStyle w:val="Fodnotehenvisning"/>
        </w:rPr>
        <w:footnoteReference w:id="3"/>
      </w:r>
      <w:r w:rsidRPr="00613F4E">
        <w:t>.</w:t>
      </w:r>
    </w:p>
    <w:p w14:paraId="3E1067C2" w14:textId="36FC9154" w:rsidR="00613F4E" w:rsidRDefault="00613F4E" w:rsidP="00613F4E">
      <w:pPr>
        <w:ind w:left="360"/>
        <w:jc w:val="both"/>
      </w:pPr>
      <w:r>
        <w:t xml:space="preserve">I henhold til de gældende protokoller for Grønlands bilaterale partnerskaber, udsteder Departement for Fiskeri, Fangst, Landbrug og Selvforsyning licenser til tredje lande eller tredje landes aktører. Disse licenser er ikke underlagt individuelle omsættelige kvoter (IOK). </w:t>
      </w:r>
    </w:p>
    <w:p w14:paraId="3D473083" w14:textId="3E93F4EF" w:rsidR="00A67BD1" w:rsidRPr="00613F4E" w:rsidRDefault="00A67BD1" w:rsidP="00613F4E">
      <w:pPr>
        <w:pStyle w:val="Overskrift3"/>
        <w:numPr>
          <w:ilvl w:val="2"/>
          <w:numId w:val="1"/>
        </w:numPr>
        <w:rPr>
          <w:lang w:val="kl-GL"/>
        </w:rPr>
      </w:pPr>
      <w:bookmarkStart w:id="15" w:name="_Toc210030960"/>
      <w:r w:rsidRPr="00613F4E">
        <w:rPr>
          <w:lang w:val="kl-GL"/>
        </w:rPr>
        <w:t>Regulering af fiskerikapacitet</w:t>
      </w:r>
      <w:bookmarkEnd w:id="15"/>
    </w:p>
    <w:p w14:paraId="6F1CEC8D" w14:textId="1E4E06D8" w:rsidR="00A67BD1" w:rsidRPr="00A67BD1" w:rsidRDefault="00A67BD1" w:rsidP="00A67BD1">
      <w:pPr>
        <w:ind w:left="360"/>
        <w:jc w:val="both"/>
        <w:rPr>
          <w:lang w:val="kl-GL"/>
        </w:rPr>
      </w:pPr>
      <w:r w:rsidRPr="00613F4E">
        <w:rPr>
          <w:lang w:val="kl-GL"/>
        </w:rPr>
        <w:t xml:space="preserve">De omsættelige </w:t>
      </w:r>
      <w:r w:rsidR="00DD4480">
        <w:rPr>
          <w:lang w:val="kl-GL"/>
        </w:rPr>
        <w:t>års</w:t>
      </w:r>
      <w:r w:rsidRPr="00613F4E">
        <w:rPr>
          <w:lang w:val="kl-GL"/>
        </w:rPr>
        <w:t xml:space="preserve">kvotemængder og kvoteandele bidrager i høj grad til, at der sker en løbende tilpasning og modernisering af fiskerikapaciteten så den passer til et fangstniveau inden for rammerne af den etablerede TAC. Ifølge Fiskerilovens § 35 er indehaveren af en kvoteandel forpligtet til at fiske mindst 75% af årskvoten. Hvis dette ikke </w:t>
      </w:r>
      <w:r w:rsidR="00632CEE">
        <w:rPr>
          <w:lang w:val="kl-GL"/>
        </w:rPr>
        <w:t>overholdes</w:t>
      </w:r>
      <w:r w:rsidR="00632CEE" w:rsidRPr="00613F4E">
        <w:rPr>
          <w:lang w:val="kl-GL"/>
        </w:rPr>
        <w:t xml:space="preserve"> </w:t>
      </w:r>
      <w:r w:rsidRPr="00613F4E">
        <w:rPr>
          <w:lang w:val="kl-GL"/>
        </w:rPr>
        <w:t>i en periode på tre år i træk, er indehaveren</w:t>
      </w:r>
      <w:r w:rsidR="00632CEE">
        <w:rPr>
          <w:lang w:val="kl-GL"/>
        </w:rPr>
        <w:t xml:space="preserve"> af kvoteandelen</w:t>
      </w:r>
      <w:r w:rsidRPr="00613F4E">
        <w:rPr>
          <w:lang w:val="kl-GL"/>
        </w:rPr>
        <w:t xml:space="preserve"> forpligtet til at sælge den uopfiskede kvoteandel jf. § 40 i Fiskeriloven.</w:t>
      </w:r>
    </w:p>
    <w:p w14:paraId="7E3AB749" w14:textId="1D6461F4" w:rsidR="00F23E25" w:rsidRPr="009575CE" w:rsidRDefault="00F23E25" w:rsidP="00613F4E">
      <w:pPr>
        <w:pStyle w:val="Overskrift3"/>
        <w:numPr>
          <w:ilvl w:val="2"/>
          <w:numId w:val="1"/>
        </w:numPr>
      </w:pPr>
      <w:bookmarkStart w:id="16" w:name="_Toc210030961"/>
      <w:bookmarkStart w:id="17" w:name="_Hlk201577079"/>
      <w:bookmarkStart w:id="18" w:name="_Hlk201577022"/>
      <w:r>
        <w:t>Områderegulering</w:t>
      </w:r>
      <w:bookmarkEnd w:id="16"/>
    </w:p>
    <w:p w14:paraId="2C12CF5B" w14:textId="7A33A185" w:rsidR="00EF657A" w:rsidRPr="0088447D" w:rsidRDefault="00023929" w:rsidP="0088447D">
      <w:pPr>
        <w:ind w:left="360"/>
        <w:jc w:val="both"/>
      </w:pPr>
      <w:r w:rsidRPr="00132738">
        <w:rPr>
          <w:rFonts w:cs="Times New Roman"/>
          <w:color w:val="000000" w:themeColor="text1"/>
          <w:szCs w:val="24"/>
        </w:rPr>
        <w:t>Det havgående fiskeri efter hellefisk i Vestgrønland må kun foregå i NAFO</w:t>
      </w:r>
      <w:r w:rsidR="000630FD">
        <w:rPr>
          <w:rFonts w:cs="Times New Roman"/>
          <w:color w:val="000000" w:themeColor="text1"/>
          <w:szCs w:val="24"/>
        </w:rPr>
        <w:t>-</w:t>
      </w:r>
      <w:r w:rsidR="00741D39">
        <w:rPr>
          <w:rFonts w:cs="Times New Roman"/>
          <w:color w:val="000000" w:themeColor="text1"/>
          <w:szCs w:val="24"/>
        </w:rPr>
        <w:t>område</w:t>
      </w:r>
      <w:r w:rsidRPr="00132738">
        <w:rPr>
          <w:rFonts w:cs="Times New Roman"/>
          <w:color w:val="000000" w:themeColor="text1"/>
          <w:szCs w:val="24"/>
        </w:rPr>
        <w:t xml:space="preserve"> 1 uden for 3 sømil </w:t>
      </w:r>
      <w:r w:rsidR="00C1268C">
        <w:rPr>
          <w:rFonts w:cs="Times New Roman"/>
          <w:color w:val="000000" w:themeColor="text1"/>
          <w:szCs w:val="24"/>
        </w:rPr>
        <w:t>fra</w:t>
      </w:r>
      <w:r w:rsidRPr="00132738">
        <w:rPr>
          <w:rFonts w:cs="Times New Roman"/>
          <w:color w:val="000000" w:themeColor="text1"/>
          <w:szCs w:val="24"/>
        </w:rPr>
        <w:t xml:space="preserve"> fiskeriterritoriets basislinje.</w:t>
      </w:r>
      <w:r w:rsidR="00D32797" w:rsidRPr="00D32797">
        <w:t xml:space="preserve"> </w:t>
      </w:r>
      <w:bookmarkEnd w:id="17"/>
    </w:p>
    <w:p w14:paraId="5162568C" w14:textId="403C8EBC" w:rsidR="00BA0A2C" w:rsidRDefault="002D1EAE" w:rsidP="00FE6959">
      <w:pPr>
        <w:ind w:left="360"/>
        <w:jc w:val="both"/>
        <w:rPr>
          <w:rFonts w:cs="Times New Roman"/>
          <w:szCs w:val="24"/>
        </w:rPr>
      </w:pPr>
      <w:bookmarkStart w:id="19" w:name="_Hlk201577064"/>
      <w:r w:rsidRPr="00132738">
        <w:rPr>
          <w:rFonts w:cs="Times New Roman"/>
          <w:szCs w:val="24"/>
        </w:rPr>
        <w:t xml:space="preserve">Bundtrawl kan have en beskadigende effekt på havbunden </w:t>
      </w:r>
      <w:r w:rsidR="0072106D" w:rsidRPr="00132738">
        <w:rPr>
          <w:rFonts w:cs="Times New Roman"/>
          <w:szCs w:val="24"/>
        </w:rPr>
        <w:t>og eftersom der</w:t>
      </w:r>
      <w:r w:rsidR="0072106D">
        <w:rPr>
          <w:rFonts w:cs="Times New Roman"/>
          <w:szCs w:val="24"/>
        </w:rPr>
        <w:t xml:space="preserve"> på nuværende tidspunkt forefindes begrænset kendskab til havbundens flora og fauna i Vestgrønland, kan </w:t>
      </w:r>
      <w:r w:rsidR="006708DB">
        <w:rPr>
          <w:rFonts w:cs="Times New Roman"/>
          <w:szCs w:val="24"/>
        </w:rPr>
        <w:t>fiskeri med</w:t>
      </w:r>
      <w:r w:rsidR="0072106D">
        <w:rPr>
          <w:rFonts w:cs="Times New Roman"/>
          <w:szCs w:val="24"/>
        </w:rPr>
        <w:t xml:space="preserve"> bundberørende redskaber </w:t>
      </w:r>
      <w:r w:rsidR="006708DB">
        <w:rPr>
          <w:rFonts w:cs="Times New Roman"/>
          <w:szCs w:val="24"/>
        </w:rPr>
        <w:t xml:space="preserve">uforvarende komme til at </w:t>
      </w:r>
      <w:r w:rsidR="0072106D">
        <w:rPr>
          <w:rFonts w:cs="Times New Roman"/>
          <w:szCs w:val="24"/>
        </w:rPr>
        <w:t>beskadige sårbare marine økosystemer.</w:t>
      </w:r>
      <w:r w:rsidR="00FE3E05">
        <w:rPr>
          <w:rFonts w:cs="Times New Roman"/>
          <w:szCs w:val="24"/>
        </w:rPr>
        <w:t xml:space="preserve"> </w:t>
      </w:r>
      <w:r w:rsidR="005D0F5D" w:rsidRPr="00DD1E02">
        <w:rPr>
          <w:rFonts w:cs="Times New Roman"/>
          <w:szCs w:val="24"/>
        </w:rPr>
        <w:t>N</w:t>
      </w:r>
      <w:r w:rsidR="0040678B" w:rsidRPr="00DD1E02">
        <w:rPr>
          <w:rFonts w:cs="Times New Roman"/>
          <w:szCs w:val="24"/>
        </w:rPr>
        <w:t>ærværende forvaltningsplan</w:t>
      </w:r>
      <w:r w:rsidR="005D0F5D" w:rsidRPr="00DD1E02">
        <w:rPr>
          <w:rFonts w:cs="Times New Roman"/>
          <w:szCs w:val="24"/>
        </w:rPr>
        <w:t xml:space="preserve"> foreskriver derfor</w:t>
      </w:r>
      <w:r w:rsidR="0040678B" w:rsidRPr="00DD1E02">
        <w:rPr>
          <w:rFonts w:cs="Times New Roman"/>
          <w:szCs w:val="24"/>
        </w:rPr>
        <w:t xml:space="preserve">, at trawlfiskeriet omfattes </w:t>
      </w:r>
      <w:r w:rsidR="003E486C" w:rsidRPr="00DD1E02">
        <w:rPr>
          <w:rFonts w:cs="Times New Roman"/>
          <w:szCs w:val="24"/>
        </w:rPr>
        <w:t xml:space="preserve">af </w:t>
      </w:r>
      <w:r w:rsidR="0040678B" w:rsidRPr="00DD1E02">
        <w:rPr>
          <w:rFonts w:cs="Times New Roman"/>
          <w:szCs w:val="24"/>
        </w:rPr>
        <w:t xml:space="preserve">områdeafgræsning iht. </w:t>
      </w:r>
      <w:r w:rsidR="00E3426E" w:rsidRPr="00DD1E02">
        <w:rPr>
          <w:rFonts w:cs="Times New Roman"/>
          <w:szCs w:val="24"/>
        </w:rPr>
        <w:t xml:space="preserve">Bilag </w:t>
      </w:r>
      <w:r w:rsidR="00AC58D7">
        <w:rPr>
          <w:rFonts w:cs="Times New Roman"/>
          <w:szCs w:val="24"/>
        </w:rPr>
        <w:t>2</w:t>
      </w:r>
      <w:r w:rsidR="0040678B" w:rsidRPr="00DD1E02">
        <w:rPr>
          <w:rFonts w:cs="Times New Roman"/>
          <w:szCs w:val="24"/>
        </w:rPr>
        <w:t xml:space="preserve">. </w:t>
      </w:r>
      <w:r w:rsidR="00BA0A2C">
        <w:rPr>
          <w:rFonts w:cs="Times New Roman"/>
          <w:szCs w:val="24"/>
        </w:rPr>
        <w:t>Af bilaget fremgår forudsætningerne for en re</w:t>
      </w:r>
      <w:r w:rsidR="00F0094B">
        <w:rPr>
          <w:rFonts w:cs="Times New Roman"/>
          <w:szCs w:val="24"/>
        </w:rPr>
        <w:t>vision af områdeafgrænsningen.</w:t>
      </w:r>
    </w:p>
    <w:p w14:paraId="675CA63D" w14:textId="32C203C6" w:rsidR="00F0094B" w:rsidRDefault="00F0094B" w:rsidP="00FE6959">
      <w:pPr>
        <w:ind w:left="360"/>
        <w:jc w:val="both"/>
        <w:rPr>
          <w:rFonts w:cs="Times New Roman"/>
          <w:szCs w:val="24"/>
        </w:rPr>
      </w:pPr>
      <w:r>
        <w:rPr>
          <w:rFonts w:cs="Times New Roman"/>
          <w:szCs w:val="24"/>
        </w:rPr>
        <w:t>Fiskeri med langline betragtes ikke som værende skadeligt for havbundens flora og fauna i samme omfang</w:t>
      </w:r>
      <w:r w:rsidR="00972AFF">
        <w:rPr>
          <w:rFonts w:cs="Times New Roman"/>
          <w:szCs w:val="24"/>
        </w:rPr>
        <w:t xml:space="preserve"> som</w:t>
      </w:r>
      <w:r>
        <w:rPr>
          <w:rFonts w:cs="Times New Roman"/>
          <w:szCs w:val="24"/>
        </w:rPr>
        <w:t xml:space="preserve"> bundtrawl, og er derfor ikke underlagt samme områdeafgrænsning. </w:t>
      </w:r>
    </w:p>
    <w:p w14:paraId="2463BE26" w14:textId="2530D5B6" w:rsidR="00B124FF" w:rsidRPr="009575CE" w:rsidRDefault="008525F7" w:rsidP="009A6896">
      <w:pPr>
        <w:pStyle w:val="Overskrift3"/>
        <w:numPr>
          <w:ilvl w:val="2"/>
          <w:numId w:val="1"/>
        </w:numPr>
      </w:pPr>
      <w:bookmarkStart w:id="20" w:name="_Toc210030962"/>
      <w:bookmarkStart w:id="21" w:name="_Hlk201576993"/>
      <w:bookmarkEnd w:id="18"/>
      <w:r>
        <w:t>Tekniske bevaringsforanstaltninger</w:t>
      </w:r>
      <w:r w:rsidR="00EE381B" w:rsidRPr="00EE381B">
        <w:t xml:space="preserve"> og forvaltning af sårbare marine økosystemer</w:t>
      </w:r>
      <w:bookmarkEnd w:id="20"/>
    </w:p>
    <w:p w14:paraId="1788A6AF" w14:textId="58AFA958" w:rsidR="00EE381B" w:rsidRDefault="00EE381B" w:rsidP="00EE381B">
      <w:pPr>
        <w:ind w:left="360"/>
        <w:jc w:val="both"/>
      </w:pPr>
      <w:r>
        <w:t xml:space="preserve">Fiskeriets tekniske bevaringsforanstaltninger </w:t>
      </w:r>
      <w:r w:rsidR="00FF511F">
        <w:t xml:space="preserve">og forvaltningen af sårbare marine </w:t>
      </w:r>
      <w:r w:rsidR="003B1D24">
        <w:t xml:space="preserve">økosystemer </w:t>
      </w:r>
      <w:r w:rsidR="007675C9">
        <w:t>er reguleret</w:t>
      </w:r>
      <w:r w:rsidR="00653327">
        <w:t xml:space="preserve"> gennem</w:t>
      </w:r>
      <w:r w:rsidR="007675C9">
        <w:t xml:space="preserve"> </w:t>
      </w:r>
      <w:r w:rsidR="007675C9" w:rsidRPr="00B0146D">
        <w:t>Selvstyrets bekendtgørelse om teknisk</w:t>
      </w:r>
      <w:r w:rsidR="00C1268C">
        <w:t xml:space="preserve"> regulering af</w:t>
      </w:r>
      <w:r w:rsidR="007675C9" w:rsidRPr="0031273D">
        <w:t xml:space="preserve"> fiskeriet</w:t>
      </w:r>
      <w:r w:rsidR="002263C7" w:rsidRPr="0031273D">
        <w:t>.</w:t>
      </w:r>
      <w:r w:rsidR="00E84204">
        <w:t xml:space="preserve"> </w:t>
      </w:r>
    </w:p>
    <w:p w14:paraId="0A45DC45" w14:textId="3C4E2E5A" w:rsidR="00284EBC" w:rsidRDefault="00EE381B" w:rsidP="00284EBC">
      <w:pPr>
        <w:ind w:left="360"/>
        <w:jc w:val="both"/>
      </w:pPr>
      <w:r w:rsidRPr="00F3168C">
        <w:rPr>
          <w:rFonts w:cs="Times New Roman"/>
          <w:szCs w:val="24"/>
        </w:rPr>
        <w:t>Hvis der ved rapportering</w:t>
      </w:r>
      <w:r w:rsidR="00150089">
        <w:rPr>
          <w:rFonts w:cs="Times New Roman"/>
          <w:szCs w:val="24"/>
        </w:rPr>
        <w:t>,</w:t>
      </w:r>
      <w:r w:rsidR="009060A7">
        <w:rPr>
          <w:rFonts w:cs="Times New Roman"/>
          <w:szCs w:val="24"/>
        </w:rPr>
        <w:t xml:space="preserve"> videnskabelige</w:t>
      </w:r>
      <w:r w:rsidR="00150089">
        <w:rPr>
          <w:rFonts w:cs="Times New Roman"/>
          <w:szCs w:val="24"/>
        </w:rPr>
        <w:t xml:space="preserve"> undersøgelser</w:t>
      </w:r>
      <w:r w:rsidRPr="00F3168C">
        <w:rPr>
          <w:rFonts w:cs="Times New Roman"/>
          <w:szCs w:val="24"/>
        </w:rPr>
        <w:t xml:space="preserve"> eller kontrol konstateres en høj forekomst af koraller, havsvampe eller </w:t>
      </w:r>
      <w:proofErr w:type="spellStart"/>
      <w:r w:rsidRPr="00F3168C">
        <w:rPr>
          <w:rFonts w:cs="Times New Roman"/>
          <w:szCs w:val="24"/>
        </w:rPr>
        <w:t>søfjer</w:t>
      </w:r>
      <w:proofErr w:type="spellEnd"/>
      <w:r w:rsidRPr="00F3168C">
        <w:rPr>
          <w:rFonts w:cs="Times New Roman"/>
          <w:szCs w:val="24"/>
        </w:rPr>
        <w:t>, skal Departement for Fiskeri, Fangst</w:t>
      </w:r>
      <w:r w:rsidR="00C1268C">
        <w:rPr>
          <w:rFonts w:cs="Times New Roman"/>
          <w:szCs w:val="24"/>
        </w:rPr>
        <w:t>,</w:t>
      </w:r>
      <w:r w:rsidRPr="00F3168C">
        <w:rPr>
          <w:rFonts w:cs="Times New Roman"/>
          <w:szCs w:val="24"/>
        </w:rPr>
        <w:t xml:space="preserve"> Landbrug</w:t>
      </w:r>
      <w:r w:rsidR="00C1268C">
        <w:rPr>
          <w:rFonts w:cs="Times New Roman"/>
          <w:szCs w:val="24"/>
        </w:rPr>
        <w:t xml:space="preserve"> og Selvforsyning</w:t>
      </w:r>
      <w:r w:rsidRPr="00F3168C">
        <w:rPr>
          <w:rFonts w:cs="Times New Roman"/>
          <w:szCs w:val="24"/>
        </w:rPr>
        <w:t xml:space="preserve"> i samråd </w:t>
      </w:r>
      <w:r w:rsidRPr="00F3168C">
        <w:rPr>
          <w:rFonts w:cs="Times New Roman"/>
          <w:szCs w:val="24"/>
        </w:rPr>
        <w:lastRenderedPageBreak/>
        <w:t>med Grønlands Naturinstitut</w:t>
      </w:r>
      <w:r w:rsidR="004D3AFB">
        <w:rPr>
          <w:rFonts w:cs="Times New Roman"/>
          <w:szCs w:val="24"/>
        </w:rPr>
        <w:t xml:space="preserve">, Departement for </w:t>
      </w:r>
      <w:r w:rsidR="00C1268C">
        <w:rPr>
          <w:rFonts w:cs="Times New Roman"/>
          <w:szCs w:val="24"/>
        </w:rPr>
        <w:t>Natur</w:t>
      </w:r>
      <w:r w:rsidR="004D3AFB">
        <w:rPr>
          <w:rFonts w:cs="Times New Roman"/>
          <w:szCs w:val="24"/>
        </w:rPr>
        <w:t xml:space="preserve"> og Miljø</w:t>
      </w:r>
      <w:r w:rsidRPr="00F3168C">
        <w:rPr>
          <w:rFonts w:cs="Times New Roman"/>
          <w:szCs w:val="24"/>
        </w:rPr>
        <w:t xml:space="preserve"> og Fiskerirådet </w:t>
      </w:r>
      <w:proofErr w:type="gramStart"/>
      <w:r w:rsidRPr="00F3168C">
        <w:rPr>
          <w:rFonts w:cs="Times New Roman"/>
          <w:szCs w:val="24"/>
        </w:rPr>
        <w:t>vurdere</w:t>
      </w:r>
      <w:proofErr w:type="gramEnd"/>
      <w:r w:rsidRPr="00F3168C">
        <w:rPr>
          <w:rFonts w:cs="Times New Roman"/>
          <w:szCs w:val="24"/>
        </w:rPr>
        <w:t xml:space="preserve">, om der er tale om et sårbart marint </w:t>
      </w:r>
      <w:r w:rsidR="003B1D24">
        <w:rPr>
          <w:rFonts w:cs="Times New Roman"/>
          <w:szCs w:val="24"/>
        </w:rPr>
        <w:t>økosystem</w:t>
      </w:r>
      <w:r w:rsidR="003E486C">
        <w:rPr>
          <w:rFonts w:cs="Times New Roman"/>
          <w:szCs w:val="24"/>
        </w:rPr>
        <w:t>,</w:t>
      </w:r>
      <w:r w:rsidRPr="00F3168C">
        <w:rPr>
          <w:rFonts w:cs="Times New Roman"/>
          <w:szCs w:val="24"/>
        </w:rPr>
        <w:t xml:space="preserve"> der skal lukkes for fiskeri med bundberørende redskaber.</w:t>
      </w:r>
      <w:r w:rsidR="00284EBC" w:rsidRPr="00284EBC">
        <w:t xml:space="preserve"> </w:t>
      </w:r>
    </w:p>
    <w:p w14:paraId="3461659B" w14:textId="3DB80D7F" w:rsidR="00C56AE5" w:rsidRPr="00EE381B" w:rsidRDefault="00284EBC" w:rsidP="00284EBC">
      <w:pPr>
        <w:ind w:left="360"/>
        <w:jc w:val="both"/>
        <w:rPr>
          <w:rFonts w:cs="Times New Roman"/>
          <w:szCs w:val="24"/>
        </w:rPr>
      </w:pPr>
      <w:r w:rsidRPr="004D061C">
        <w:t xml:space="preserve">Området mellem 64°30'N og 68°N ved Vestgrønland </w:t>
      </w:r>
      <w:r w:rsidR="00150089">
        <w:t>er</w:t>
      </w:r>
      <w:r>
        <w:t xml:space="preserve"> lukket for trawlfiskeri</w:t>
      </w:r>
      <w:r w:rsidR="00150089">
        <w:t xml:space="preserve"> efter hellefisk </w:t>
      </w:r>
      <w:r>
        <w:t xml:space="preserve">iht. </w:t>
      </w:r>
      <w:r w:rsidRPr="00B0146D">
        <w:t>Selvstyrets bekendtgørelse om teknisk</w:t>
      </w:r>
      <w:r w:rsidR="005F3481">
        <w:t xml:space="preserve"> regulering af</w:t>
      </w:r>
      <w:r w:rsidRPr="0031273D">
        <w:t xml:space="preserve"> fiskeriet.</w:t>
      </w:r>
      <w:r>
        <w:t xml:space="preserve"> </w:t>
      </w:r>
    </w:p>
    <w:p w14:paraId="3B2109F2" w14:textId="5F1EAD2F" w:rsidR="00AA3A29" w:rsidRDefault="00287772" w:rsidP="009A6896">
      <w:pPr>
        <w:pStyle w:val="Overskrift3"/>
        <w:numPr>
          <w:ilvl w:val="2"/>
          <w:numId w:val="1"/>
        </w:numPr>
      </w:pPr>
      <w:bookmarkStart w:id="22" w:name="_Toc210030963"/>
      <w:r>
        <w:t>Forvaltning af bifangst</w:t>
      </w:r>
      <w:bookmarkEnd w:id="22"/>
    </w:p>
    <w:p w14:paraId="469DD726" w14:textId="74F6807B" w:rsidR="00AA3A29" w:rsidRDefault="00AA3A29" w:rsidP="00AA3A29">
      <w:pPr>
        <w:ind w:left="360"/>
        <w:jc w:val="both"/>
        <w:rPr>
          <w:rFonts w:cs="Times New Roman"/>
          <w:color w:val="000000" w:themeColor="text1"/>
          <w:szCs w:val="24"/>
        </w:rPr>
      </w:pPr>
      <w:r w:rsidRPr="00AA3A29">
        <w:rPr>
          <w:rFonts w:cs="Times New Roman"/>
          <w:color w:val="000000" w:themeColor="text1"/>
          <w:szCs w:val="24"/>
        </w:rPr>
        <w:t xml:space="preserve">Bifangst i fiskeriet skal håndteres og registreres i henhold </w:t>
      </w:r>
      <w:r w:rsidR="001F1C37">
        <w:rPr>
          <w:rFonts w:cs="Times New Roman"/>
          <w:color w:val="000000" w:themeColor="text1"/>
          <w:szCs w:val="24"/>
        </w:rPr>
        <w:t xml:space="preserve">til </w:t>
      </w:r>
      <w:r w:rsidRPr="00AA3A29">
        <w:rPr>
          <w:rFonts w:cs="Times New Roman"/>
          <w:color w:val="000000" w:themeColor="text1"/>
          <w:szCs w:val="24"/>
        </w:rPr>
        <w:t>Selvstyrets bekendtgørelse om fiskeriets bifangster samt Selvstyrets bekendtgørelse om rapportering af indhandlin</w:t>
      </w:r>
      <w:r w:rsidR="00607DFD">
        <w:rPr>
          <w:rFonts w:cs="Times New Roman"/>
          <w:color w:val="000000" w:themeColor="text1"/>
          <w:szCs w:val="24"/>
        </w:rPr>
        <w:t>ger af fisk og fiskeprodukter.</w:t>
      </w:r>
    </w:p>
    <w:p w14:paraId="231F854E" w14:textId="58EA99C7" w:rsidR="00DF19A6" w:rsidRDefault="00384514" w:rsidP="00AA3A29">
      <w:pPr>
        <w:ind w:left="360"/>
        <w:jc w:val="both"/>
        <w:rPr>
          <w:rFonts w:cs="Times New Roman"/>
          <w:color w:val="000000" w:themeColor="text1"/>
          <w:szCs w:val="24"/>
        </w:rPr>
      </w:pPr>
      <w:r>
        <w:rPr>
          <w:rFonts w:cs="Times New Roman"/>
          <w:color w:val="000000" w:themeColor="text1"/>
          <w:szCs w:val="24"/>
        </w:rPr>
        <w:t>Grønlandshaj</w:t>
      </w:r>
      <w:r w:rsidR="00DF19A6">
        <w:rPr>
          <w:rFonts w:cs="Times New Roman"/>
          <w:color w:val="000000" w:themeColor="text1"/>
          <w:szCs w:val="24"/>
        </w:rPr>
        <w:t xml:space="preserve"> kan optræde som bifangst i fiskeriet</w:t>
      </w:r>
      <w:r>
        <w:rPr>
          <w:rFonts w:cs="Times New Roman"/>
          <w:color w:val="000000" w:themeColor="text1"/>
          <w:szCs w:val="24"/>
        </w:rPr>
        <w:t xml:space="preserve">, og </w:t>
      </w:r>
      <w:r w:rsidR="002A45E1">
        <w:rPr>
          <w:rFonts w:cs="Times New Roman"/>
          <w:color w:val="000000" w:themeColor="text1"/>
          <w:szCs w:val="24"/>
        </w:rPr>
        <w:t xml:space="preserve">iht. gældende forvaltningspraksis, </w:t>
      </w:r>
      <w:r w:rsidR="008D6094">
        <w:rPr>
          <w:rFonts w:cs="Times New Roman"/>
          <w:color w:val="000000" w:themeColor="text1"/>
          <w:szCs w:val="24"/>
        </w:rPr>
        <w:t xml:space="preserve">skal </w:t>
      </w:r>
      <w:r w:rsidR="00827243">
        <w:rPr>
          <w:rFonts w:cs="Times New Roman"/>
          <w:color w:val="000000" w:themeColor="text1"/>
          <w:szCs w:val="24"/>
        </w:rPr>
        <w:t>grønlandshajer</w:t>
      </w:r>
      <w:r w:rsidR="008D6094">
        <w:rPr>
          <w:rFonts w:cs="Times New Roman"/>
          <w:color w:val="000000" w:themeColor="text1"/>
          <w:szCs w:val="24"/>
        </w:rPr>
        <w:t xml:space="preserve"> så vidt muligt genudsættes i live.</w:t>
      </w:r>
    </w:p>
    <w:p w14:paraId="0A0D8713" w14:textId="3B1A3C90" w:rsidR="000D02FD" w:rsidRDefault="000D02FD" w:rsidP="00937E15">
      <w:pPr>
        <w:ind w:left="360"/>
        <w:jc w:val="both"/>
      </w:pPr>
      <w:r w:rsidRPr="000D02FD">
        <w:t>Hvis der ved rapportering</w:t>
      </w:r>
      <w:r w:rsidR="00150089">
        <w:t xml:space="preserve">, </w:t>
      </w:r>
      <w:r w:rsidR="003969FF">
        <w:t>videnskabelige</w:t>
      </w:r>
      <w:r w:rsidR="00150089">
        <w:t xml:space="preserve"> undersøgelser </w:t>
      </w:r>
      <w:r w:rsidRPr="000D02FD">
        <w:t>eller kontrol konstateres en høj bifangst i tid eller rum af en given art</w:t>
      </w:r>
      <w:r w:rsidR="00384514">
        <w:t xml:space="preserve">, herunder </w:t>
      </w:r>
      <w:r w:rsidR="002A45E1">
        <w:t>g</w:t>
      </w:r>
      <w:r w:rsidR="00384514">
        <w:t>rønlandshaj</w:t>
      </w:r>
      <w:r w:rsidRPr="000D02FD">
        <w:t>, skal Departement for Fiskeri, Fangst</w:t>
      </w:r>
      <w:r w:rsidR="00C1268C">
        <w:t>,</w:t>
      </w:r>
      <w:r w:rsidRPr="000D02FD">
        <w:t xml:space="preserve"> Landbrug</w:t>
      </w:r>
      <w:r w:rsidR="00C1268C">
        <w:t xml:space="preserve"> og Selvforsyning</w:t>
      </w:r>
      <w:r w:rsidRPr="000D02FD">
        <w:t xml:space="preserve"> i samråd med Grønlands Naturinstitut og Fiskerirådet vurdere, om der skal tages særlige forholdsregler for at sikre, at bifangstniveauet holdes på et acceptabelt niveau under hensyntagen til artens biologiske status. Sådanne forholdsregler kan inkludere område- og periodelukninger eller andre tiltag der skal sikre at ingen arter belastes ud over deres biologiske potentiale.</w:t>
      </w:r>
    </w:p>
    <w:p w14:paraId="525549B9" w14:textId="20ED69B8" w:rsidR="00DB6EDE" w:rsidRPr="000A1E35" w:rsidRDefault="009F4E91" w:rsidP="009A6896">
      <w:pPr>
        <w:pStyle w:val="Overskrift1"/>
        <w:numPr>
          <w:ilvl w:val="0"/>
          <w:numId w:val="1"/>
        </w:numPr>
      </w:pPr>
      <w:bookmarkStart w:id="23" w:name="_Toc210030964"/>
      <w:bookmarkEnd w:id="19"/>
      <w:bookmarkEnd w:id="21"/>
      <w:r>
        <w:t>Rapportering og kontrol</w:t>
      </w:r>
      <w:bookmarkEnd w:id="23"/>
    </w:p>
    <w:p w14:paraId="66D95AA9" w14:textId="3B701AD3" w:rsidR="002A5268" w:rsidRDefault="002A5268" w:rsidP="007F674C">
      <w:pPr>
        <w:pStyle w:val="Overskrift2"/>
        <w:numPr>
          <w:ilvl w:val="1"/>
          <w:numId w:val="1"/>
        </w:numPr>
      </w:pPr>
      <w:bookmarkStart w:id="24" w:name="_Toc210030965"/>
      <w:r>
        <w:t>Rapportering</w:t>
      </w:r>
      <w:bookmarkEnd w:id="24"/>
      <w:r>
        <w:t xml:space="preserve"> </w:t>
      </w:r>
    </w:p>
    <w:p w14:paraId="3B77FD5B" w14:textId="5DE6C050" w:rsidR="002A5268" w:rsidRPr="00E7655E" w:rsidRDefault="002A5268" w:rsidP="00E7655E">
      <w:pPr>
        <w:ind w:left="360"/>
        <w:jc w:val="both"/>
      </w:pPr>
      <w:r w:rsidRPr="002A5268">
        <w:t xml:space="preserve">I </w:t>
      </w:r>
      <w:r w:rsidR="009F367E">
        <w:t>IOK-fiskerier</w:t>
      </w:r>
      <w:r w:rsidRPr="002A5268">
        <w:t xml:space="preserve"> fiskerier er der flere typer af rapportering, som fartøjet/skipper er forpligtet til at afgive. Monitorering af fiskeriet sker først og fremmest gennem fartøjets pligt til at </w:t>
      </w:r>
      <w:r w:rsidR="00852EB1">
        <w:t xml:space="preserve">afgive meldinger og </w:t>
      </w:r>
      <w:r w:rsidRPr="002A5268">
        <w:t xml:space="preserve">føre logbog. Forud for logbogen skal </w:t>
      </w:r>
      <w:r w:rsidR="00F83315">
        <w:t xml:space="preserve">større </w:t>
      </w:r>
      <w:r w:rsidRPr="002A5268">
        <w:t>fartøje</w:t>
      </w:r>
      <w:r w:rsidR="00F83315">
        <w:t>r</w:t>
      </w:r>
      <w:r w:rsidRPr="002A5268">
        <w:t xml:space="preserve"> sende meldinger om sine aktiviteter og fangster, heriblandt aktivmelding, ankomstmelding, ugemelding og passivmelding. Herudover er alle </w:t>
      </w:r>
      <w:r w:rsidR="009F367E">
        <w:t>IOK-fartøjer</w:t>
      </w:r>
      <w:r w:rsidRPr="002A5268">
        <w:t xml:space="preserve"> fartøjer omfattet af et elektronisk fartøjsovervågningssystem kaldet VMS (Vessel </w:t>
      </w:r>
      <w:proofErr w:type="spellStart"/>
      <w:r w:rsidRPr="002A5268">
        <w:t>Monitoring</w:t>
      </w:r>
      <w:proofErr w:type="spellEnd"/>
      <w:r w:rsidRPr="002A5268">
        <w:t xml:space="preserve"> System). </w:t>
      </w:r>
    </w:p>
    <w:p w14:paraId="400F9517" w14:textId="531584F4" w:rsidR="00A82C83" w:rsidRPr="00A82C83" w:rsidRDefault="002A5268" w:rsidP="00A82C83">
      <w:pPr>
        <w:pStyle w:val="Overskrift2"/>
        <w:numPr>
          <w:ilvl w:val="1"/>
          <w:numId w:val="1"/>
        </w:numPr>
        <w:rPr>
          <w:lang w:val="en-US"/>
        </w:rPr>
      </w:pPr>
      <w:bookmarkStart w:id="25" w:name="_Toc210030966"/>
      <w:r w:rsidRPr="002A5268">
        <w:rPr>
          <w:lang w:val="en-US"/>
        </w:rPr>
        <w:t>Monitoring, Control, and Surveillance (MCS)</w:t>
      </w:r>
      <w:bookmarkEnd w:id="25"/>
      <w:r w:rsidR="00A82C83">
        <w:rPr>
          <w:lang w:val="en-US"/>
        </w:rPr>
        <w:t xml:space="preserve"> </w:t>
      </w:r>
    </w:p>
    <w:p w14:paraId="4D372721" w14:textId="786C94A7" w:rsidR="002A5268" w:rsidRDefault="002A5268" w:rsidP="00E7655E">
      <w:pPr>
        <w:ind w:left="360"/>
        <w:jc w:val="both"/>
      </w:pPr>
      <w:r>
        <w:t>Kontrol af fiskerierne varetages af Grønlands Fiskeri</w:t>
      </w:r>
      <w:r w:rsidR="00C1268C">
        <w:t>- og Jagt</w:t>
      </w:r>
      <w:r>
        <w:t>kontrol (GF</w:t>
      </w:r>
      <w:r w:rsidR="00C1268C">
        <w:t>J</w:t>
      </w:r>
      <w:r>
        <w:t xml:space="preserve">K) gennem fysisk kontrol og administrativ kontrol. </w:t>
      </w:r>
    </w:p>
    <w:p w14:paraId="57E4EC90" w14:textId="788FB177" w:rsidR="002A5268" w:rsidRDefault="002A5268" w:rsidP="00E7655E">
      <w:pPr>
        <w:ind w:left="360"/>
        <w:jc w:val="both"/>
      </w:pPr>
      <w:r>
        <w:t xml:space="preserve">Kontrol af </w:t>
      </w:r>
      <w:r w:rsidR="009F367E">
        <w:t xml:space="preserve">IOK-fiskerier </w:t>
      </w:r>
      <w:r>
        <w:t>fiskerier foretages på følgende måder:</w:t>
      </w:r>
    </w:p>
    <w:p w14:paraId="04542669" w14:textId="645A01AE" w:rsidR="002A5268" w:rsidRPr="00340929" w:rsidRDefault="002A5268" w:rsidP="009A6896">
      <w:pPr>
        <w:pStyle w:val="Listeafsnit"/>
        <w:numPr>
          <w:ilvl w:val="0"/>
          <w:numId w:val="2"/>
        </w:numPr>
        <w:spacing w:after="160" w:line="259" w:lineRule="auto"/>
      </w:pPr>
      <w:r w:rsidRPr="00340929">
        <w:t>Monitorering af meldinger, logbogsdata, indhandlingsdata og fartøjsovervågning</w:t>
      </w:r>
      <w:r w:rsidR="00BC33E0" w:rsidRPr="00340929">
        <w:t>, herunder registrering og validering</w:t>
      </w:r>
    </w:p>
    <w:p w14:paraId="2B52324F" w14:textId="77777777" w:rsidR="002A5268" w:rsidRDefault="002A5268" w:rsidP="009A6896">
      <w:pPr>
        <w:pStyle w:val="Listeafsnit"/>
        <w:numPr>
          <w:ilvl w:val="0"/>
          <w:numId w:val="2"/>
        </w:numPr>
        <w:spacing w:after="160" w:line="259" w:lineRule="auto"/>
      </w:pPr>
      <w:r>
        <w:t>Port State Control (PSC)</w:t>
      </w:r>
    </w:p>
    <w:p w14:paraId="0B60C1F7" w14:textId="77777777" w:rsidR="002A5268" w:rsidRDefault="002A5268" w:rsidP="009A6896">
      <w:pPr>
        <w:pStyle w:val="Listeafsnit"/>
        <w:numPr>
          <w:ilvl w:val="0"/>
          <w:numId w:val="2"/>
        </w:numPr>
        <w:spacing w:after="160" w:line="259" w:lineRule="auto"/>
      </w:pPr>
      <w:r>
        <w:t>Observatører på fartøjer</w:t>
      </w:r>
    </w:p>
    <w:p w14:paraId="19FDDC3A" w14:textId="77777777" w:rsidR="002A5268" w:rsidRDefault="002A5268" w:rsidP="009A6896">
      <w:pPr>
        <w:pStyle w:val="Listeafsnit"/>
        <w:numPr>
          <w:ilvl w:val="0"/>
          <w:numId w:val="2"/>
        </w:numPr>
        <w:spacing w:after="160" w:line="259" w:lineRule="auto"/>
      </w:pPr>
      <w:r>
        <w:t>Inspektion til søs (Arktisk Kommando)</w:t>
      </w:r>
    </w:p>
    <w:p w14:paraId="3AF65917" w14:textId="77777777" w:rsidR="002A5268" w:rsidRDefault="002A5268" w:rsidP="009A6896">
      <w:pPr>
        <w:pStyle w:val="Listeafsnit"/>
        <w:numPr>
          <w:ilvl w:val="0"/>
          <w:numId w:val="2"/>
        </w:numPr>
        <w:spacing w:after="160" w:line="259" w:lineRule="auto"/>
      </w:pPr>
      <w:r>
        <w:t>Landingskontrol</w:t>
      </w:r>
    </w:p>
    <w:p w14:paraId="17C48DCA" w14:textId="30C04F15" w:rsidR="002A5268" w:rsidRDefault="002A5268" w:rsidP="00E7655E">
      <w:pPr>
        <w:ind w:left="360"/>
        <w:jc w:val="both"/>
      </w:pPr>
      <w:r>
        <w:t xml:space="preserve">Den administrative kontrol foregår på </w:t>
      </w:r>
      <w:proofErr w:type="spellStart"/>
      <w:r>
        <w:t>GF</w:t>
      </w:r>
      <w:r w:rsidR="00C1268C">
        <w:t>J</w:t>
      </w:r>
      <w:r>
        <w:t>K’s</w:t>
      </w:r>
      <w:proofErr w:type="spellEnd"/>
      <w:r>
        <w:t xml:space="preserve"> hovedkontor i Nuuk. Kontrollen foregår ved, at de oplysninger, som tilgår GF</w:t>
      </w:r>
      <w:r w:rsidR="00C1268C">
        <w:t>J</w:t>
      </w:r>
      <w:r>
        <w:t xml:space="preserve">K i kraft af rapporteringspligten, herunder logbogspligten og fartøjsovervågningen, verificeres. Således bliver meldinger for eksempel sammenlignet med logbøger og VMS-data for at sikre, at mængder og positioner stemmer overens i alle rapporteringer.  </w:t>
      </w:r>
    </w:p>
    <w:p w14:paraId="6A804E54" w14:textId="01AC3C2F" w:rsidR="002A5268" w:rsidRDefault="002A5268" w:rsidP="00E7655E">
      <w:pPr>
        <w:ind w:left="360"/>
        <w:jc w:val="both"/>
      </w:pPr>
      <w:r>
        <w:lastRenderedPageBreak/>
        <w:t>GF</w:t>
      </w:r>
      <w:r w:rsidR="00C1268C">
        <w:t>J</w:t>
      </w:r>
      <w:r>
        <w:t>K varetager herudover Port State Control (PSC), hvor GF</w:t>
      </w:r>
      <w:r w:rsidR="00C1268C">
        <w:t>J</w:t>
      </w:r>
      <w:r>
        <w:t xml:space="preserve">K validerer grønlandske fangster, der landes i udenlandske havne. </w:t>
      </w:r>
    </w:p>
    <w:p w14:paraId="5749E573" w14:textId="1E620770" w:rsidR="002A5268" w:rsidRDefault="002A5268" w:rsidP="00E7655E">
      <w:pPr>
        <w:ind w:left="360"/>
        <w:jc w:val="both"/>
      </w:pPr>
      <w:r>
        <w:t>GF</w:t>
      </w:r>
      <w:r w:rsidR="00C1268C">
        <w:t>J</w:t>
      </w:r>
      <w:r>
        <w:t xml:space="preserve">K råder over et korps af observatører, der foretager den fysiske kontrol af </w:t>
      </w:r>
      <w:r w:rsidR="00B64BDB">
        <w:t xml:space="preserve">IOK-fiskerier. </w:t>
      </w:r>
      <w:r>
        <w:t xml:space="preserve"> Observatørerne kan sættes ombord på grønlandske og udenlandske fiskerfartøjer, der har licens til fiskeri i Grønland, </w:t>
      </w:r>
      <w:r w:rsidRPr="00B64BDB">
        <w:t xml:space="preserve">eller grønlandske fartøjer der </w:t>
      </w:r>
      <w:r w:rsidR="00DD4480">
        <w:t xml:space="preserve">fisker uden for Grønlands eksklusive økonomiske zone. </w:t>
      </w:r>
    </w:p>
    <w:p w14:paraId="48F44D0F" w14:textId="0A0A4DBE" w:rsidR="002A5268" w:rsidRDefault="002A5268" w:rsidP="00E7655E">
      <w:pPr>
        <w:ind w:left="360"/>
        <w:jc w:val="both"/>
      </w:pPr>
      <w:r>
        <w:t>Derudover har GF</w:t>
      </w:r>
      <w:r w:rsidR="00A8555D">
        <w:t>J</w:t>
      </w:r>
      <w:r>
        <w:t xml:space="preserve">K et udstrakt samarbejde med Arktisk Kommando, som også udfører fysisk kontrol. Arktisk Kommando har ret til at borde, kontrollere og eventuelt opbringe samtlige fartøjer i </w:t>
      </w:r>
      <w:r w:rsidR="009F367E">
        <w:t>IOK-fiskeriet</w:t>
      </w:r>
      <w:r>
        <w:t xml:space="preserve"> efter </w:t>
      </w:r>
      <w:r w:rsidR="008F7043">
        <w:t>hellefisk</w:t>
      </w:r>
      <w:r w:rsidRPr="00E7655E">
        <w:t xml:space="preserve"> </w:t>
      </w:r>
      <w:r>
        <w:t>(grønlandske og udenlandske fartøjer). Arktisk Kommando har specialuddannede fiskeriofficerer, der kan foretage kontrol af fiskeredskaber og lastens overensstemmelse med logbogsførte mængder. Arktisk Kommando har politimyndighed, der udøves i samarbejde med Grønland</w:t>
      </w:r>
      <w:r w:rsidR="00BC0988">
        <w:t>s Politi</w:t>
      </w:r>
      <w:r>
        <w:t>.</w:t>
      </w:r>
    </w:p>
    <w:p w14:paraId="5F3D21F2" w14:textId="1893D7F4" w:rsidR="002A5268" w:rsidRDefault="002A5268" w:rsidP="00E7655E">
      <w:pPr>
        <w:ind w:left="360"/>
        <w:jc w:val="both"/>
      </w:pPr>
      <w:proofErr w:type="spellStart"/>
      <w:r>
        <w:t>GF</w:t>
      </w:r>
      <w:r w:rsidR="00A8555D">
        <w:t>J</w:t>
      </w:r>
      <w:r>
        <w:t>K’s</w:t>
      </w:r>
      <w:proofErr w:type="spellEnd"/>
      <w:r>
        <w:t xml:space="preserve"> sidste fysiske kontrolelement af det havgående fiskeri er landingskontrol. Landingskontrollen foretages af </w:t>
      </w:r>
      <w:proofErr w:type="spellStart"/>
      <w:r>
        <w:t>GF</w:t>
      </w:r>
      <w:r w:rsidR="00A8555D">
        <w:t>J</w:t>
      </w:r>
      <w:r>
        <w:t>K’s</w:t>
      </w:r>
      <w:proofErr w:type="spellEnd"/>
      <w:r>
        <w:t xml:space="preserve"> fiskerikontrollører, når et fiskefartøj er anløbet en grønlandsk havn og skal losse. Hele losningen bliver overset af kontrollørerne, der også vejer de pakkede fiskevarer og emballage. </w:t>
      </w:r>
    </w:p>
    <w:p w14:paraId="351A6B40" w14:textId="29AEAB59" w:rsidR="009F367E" w:rsidRPr="00D74333" w:rsidRDefault="009F367E" w:rsidP="00A82C83">
      <w:pPr>
        <w:pStyle w:val="Overskrift3"/>
        <w:numPr>
          <w:ilvl w:val="2"/>
          <w:numId w:val="1"/>
        </w:numPr>
      </w:pPr>
      <w:bookmarkStart w:id="26" w:name="_Toc202253830"/>
      <w:bookmarkStart w:id="27" w:name="_Toc210030967"/>
      <w:r w:rsidRPr="00D74333">
        <w:t>Elektronisk logbog</w:t>
      </w:r>
      <w:bookmarkEnd w:id="26"/>
      <w:bookmarkEnd w:id="27"/>
      <w:r w:rsidRPr="00D74333">
        <w:t xml:space="preserve"> </w:t>
      </w:r>
    </w:p>
    <w:p w14:paraId="5191485F" w14:textId="77777777" w:rsidR="009F367E" w:rsidRPr="00D74333" w:rsidRDefault="009F367E" w:rsidP="00B64BDB">
      <w:pPr>
        <w:ind w:left="360"/>
        <w:rPr>
          <w:lang w:val="kl-GL"/>
        </w:rPr>
      </w:pPr>
      <w:r w:rsidRPr="00D74333">
        <w:rPr>
          <w:lang w:val="kl-GL"/>
        </w:rPr>
        <w:t xml:space="preserve">Alle fartøjer over 17 meter længde overalt (LOA) blev fra juni 2022 pålagt at føre elektronisk logbog. Overgangen til det elektroniske rapporteringssystem (ERS) vil betyde både hurtigere og mere pålidelige data og vil øge kvaliteten af GFJKs kontrol. </w:t>
      </w:r>
    </w:p>
    <w:p w14:paraId="4D924159" w14:textId="77777777" w:rsidR="009F367E" w:rsidRPr="00D74333" w:rsidRDefault="009F367E" w:rsidP="00B64BDB">
      <w:pPr>
        <w:ind w:left="360"/>
        <w:rPr>
          <w:lang w:val="kl-GL"/>
        </w:rPr>
      </w:pPr>
      <w:r w:rsidRPr="00D74333">
        <w:rPr>
          <w:lang w:val="kl-GL"/>
        </w:rPr>
        <w:t xml:space="preserve">Fartøjerne går gradvis over til elektronisk logbog når fartøjsføreren har opnået tilfredsstillende erfaring og GFJKs godkendelse af E-logbogen. </w:t>
      </w:r>
    </w:p>
    <w:p w14:paraId="7EE1CF31" w14:textId="3073935A" w:rsidR="009F367E" w:rsidRPr="00D74333" w:rsidRDefault="009F367E" w:rsidP="00A82C83">
      <w:pPr>
        <w:pStyle w:val="Overskrift3"/>
        <w:numPr>
          <w:ilvl w:val="2"/>
          <w:numId w:val="1"/>
        </w:numPr>
        <w:rPr>
          <w:lang w:val="kl-GL"/>
        </w:rPr>
      </w:pPr>
      <w:bookmarkStart w:id="28" w:name="_Toc202253831"/>
      <w:bookmarkStart w:id="29" w:name="_Toc210030968"/>
      <w:r w:rsidRPr="00D74333">
        <w:rPr>
          <w:lang w:val="kl-GL"/>
        </w:rPr>
        <w:t>Dagsmeldinger</w:t>
      </w:r>
      <w:bookmarkEnd w:id="28"/>
      <w:bookmarkEnd w:id="29"/>
    </w:p>
    <w:p w14:paraId="37D67F2A" w14:textId="77777777" w:rsidR="009F367E" w:rsidRPr="00D74333" w:rsidRDefault="009F367E" w:rsidP="00B64BDB">
      <w:pPr>
        <w:ind w:left="360"/>
      </w:pPr>
      <w:r w:rsidRPr="00D74333">
        <w:rPr>
          <w:lang w:val="kl-GL"/>
        </w:rPr>
        <w:t xml:space="preserve">Når en kvote eller en fartøjskvote nærmer sig opfiskning, kan GFJK pålægge vedkommende fartøjer at indsende daglige meldinger. Disse skal have samme indhold som ugemeldingen. </w:t>
      </w:r>
      <w:r w:rsidRPr="00D74333">
        <w:t xml:space="preserve">Dette gøres for at følge fiskeriet tættere og dermed lukke rettidigt.  </w:t>
      </w:r>
    </w:p>
    <w:p w14:paraId="3AD94B8B" w14:textId="76B495B6" w:rsidR="009F367E" w:rsidRPr="00D74333" w:rsidRDefault="009F367E" w:rsidP="00A82C83">
      <w:pPr>
        <w:pStyle w:val="Overskrift3"/>
        <w:numPr>
          <w:ilvl w:val="2"/>
          <w:numId w:val="1"/>
        </w:numPr>
      </w:pPr>
      <w:bookmarkStart w:id="30" w:name="_Toc202253832"/>
      <w:bookmarkStart w:id="31" w:name="_Toc210030969"/>
      <w:r w:rsidRPr="00D74333">
        <w:t>Stop af fiskeri</w:t>
      </w:r>
      <w:bookmarkEnd w:id="30"/>
      <w:bookmarkEnd w:id="31"/>
    </w:p>
    <w:p w14:paraId="3D33F2CE" w14:textId="77777777" w:rsidR="009F367E" w:rsidRPr="00D74333" w:rsidRDefault="009F367E" w:rsidP="00B64BDB">
      <w:pPr>
        <w:ind w:left="360"/>
      </w:pPr>
      <w:r w:rsidRPr="00D74333">
        <w:t>Når kvoten nærmer sig opfiskning har GFJK myndigheden til at lukke det pågældende fiskeri.</w:t>
      </w:r>
    </w:p>
    <w:p w14:paraId="0CF6A47A" w14:textId="77777777" w:rsidR="009F367E" w:rsidRPr="00D74333" w:rsidRDefault="009F367E" w:rsidP="00B64BDB">
      <w:pPr>
        <w:ind w:left="360"/>
      </w:pPr>
      <w:r w:rsidRPr="00D74333">
        <w:t>De nærmere bestemmelser for kontrol med fiskeriet fremgår bl.a. af Selvstyrets bekendtgørelse om kontrol med fiskeri.</w:t>
      </w:r>
    </w:p>
    <w:p w14:paraId="6D10956A" w14:textId="354B5664" w:rsidR="009F367E" w:rsidRPr="00D74333" w:rsidRDefault="009F367E" w:rsidP="00A82C83">
      <w:pPr>
        <w:pStyle w:val="Overskrift3"/>
        <w:numPr>
          <w:ilvl w:val="2"/>
          <w:numId w:val="1"/>
        </w:numPr>
      </w:pPr>
      <w:bookmarkStart w:id="32" w:name="_Toc202253833"/>
      <w:bookmarkStart w:id="33" w:name="_Toc210030970"/>
      <w:r w:rsidRPr="00D74333">
        <w:t>Foranstaltninger og anmeldelser</w:t>
      </w:r>
      <w:bookmarkEnd w:id="32"/>
      <w:bookmarkEnd w:id="33"/>
      <w:r w:rsidRPr="00D74333">
        <w:t xml:space="preserve"> </w:t>
      </w:r>
    </w:p>
    <w:p w14:paraId="3040ED15" w14:textId="77777777" w:rsidR="009F367E" w:rsidRPr="00D74333" w:rsidRDefault="009F367E" w:rsidP="00B64BDB">
      <w:pPr>
        <w:ind w:left="360"/>
        <w:rPr>
          <w:lang w:val="kl-GL"/>
        </w:rPr>
      </w:pPr>
      <w:r w:rsidRPr="00D74333">
        <w:rPr>
          <w:lang w:val="kl-GL"/>
        </w:rPr>
        <w:t xml:space="preserve">Al overtrædelse af bestemmelserne i gældende lovgivning kan medføre bøde. </w:t>
      </w:r>
    </w:p>
    <w:p w14:paraId="45D415EC" w14:textId="119C5A69" w:rsidR="009F367E" w:rsidRPr="00D74333" w:rsidRDefault="009F367E" w:rsidP="00B64BDB">
      <w:pPr>
        <w:ind w:left="360"/>
        <w:rPr>
          <w:lang w:val="kl-GL"/>
        </w:rPr>
      </w:pPr>
      <w:r w:rsidRPr="00D74333">
        <w:rPr>
          <w:lang w:val="kl-GL"/>
        </w:rPr>
        <w:t>Overtrædelse af reglerne i fiskeriet i Grønland eller i licensen til fiskeri efter</w:t>
      </w:r>
      <w:r w:rsidR="007070E3" w:rsidRPr="00D74333">
        <w:rPr>
          <w:lang w:val="kl-GL"/>
        </w:rPr>
        <w:t xml:space="preserve"> hellefisk</w:t>
      </w:r>
      <w:r w:rsidR="007070E3" w:rsidRPr="00D74333">
        <w:t xml:space="preserve"> </w:t>
      </w:r>
      <w:r w:rsidRPr="00D74333">
        <w:rPr>
          <w:lang w:val="kl-GL"/>
        </w:rPr>
        <w:t xml:space="preserve">kan medføre begrænsninger i retten til at udnytte licensen. </w:t>
      </w:r>
    </w:p>
    <w:p w14:paraId="7459C9A9" w14:textId="77777777" w:rsidR="009F367E" w:rsidRPr="00A10175" w:rsidRDefault="009F367E" w:rsidP="00B64BDB">
      <w:pPr>
        <w:ind w:left="360"/>
      </w:pPr>
      <w:r w:rsidRPr="00D74333">
        <w:rPr>
          <w:lang w:val="kl-GL"/>
        </w:rPr>
        <w:t xml:space="preserve">Ved mindre overtrædelser kan der afgøres uden retslig forfølgning. </w:t>
      </w:r>
      <w:r w:rsidRPr="00D74333">
        <w:t>GFJK kan desuden indgive politianmeldelse ved overtrædelse af reglerne for fiskeriet.</w:t>
      </w:r>
      <w:r w:rsidRPr="003F5F86">
        <w:t xml:space="preserve">  </w:t>
      </w:r>
    </w:p>
    <w:p w14:paraId="5790060E" w14:textId="40A98DC0" w:rsidR="007B58FB" w:rsidRDefault="00C57B53" w:rsidP="009A6896">
      <w:pPr>
        <w:pStyle w:val="Overskrift1"/>
        <w:numPr>
          <w:ilvl w:val="0"/>
          <w:numId w:val="1"/>
        </w:numPr>
      </w:pPr>
      <w:bookmarkStart w:id="34" w:name="_Toc210030971"/>
      <w:r w:rsidRPr="000A1E35">
        <w:lastRenderedPageBreak/>
        <w:t>R</w:t>
      </w:r>
      <w:r w:rsidR="00193BB8">
        <w:t>eference</w:t>
      </w:r>
      <w:r w:rsidR="009F4E91">
        <w:t>r</w:t>
      </w:r>
      <w:r w:rsidR="00193BB8">
        <w:t xml:space="preserve"> og </w:t>
      </w:r>
      <w:r w:rsidRPr="000A1E35">
        <w:t>bilag</w:t>
      </w:r>
      <w:bookmarkEnd w:id="34"/>
    </w:p>
    <w:p w14:paraId="74400934" w14:textId="5352D077" w:rsidR="006E26EF" w:rsidRDefault="001F77E9" w:rsidP="001F77E9">
      <w:pPr>
        <w:spacing w:before="240" w:after="0"/>
        <w:ind w:firstLine="360"/>
      </w:pPr>
      <w:r w:rsidRPr="001F77E9">
        <w:t xml:space="preserve">Referencer og bilag vedlagt. </w:t>
      </w:r>
      <w:r w:rsidR="006E26EF">
        <w:br w:type="page"/>
      </w:r>
    </w:p>
    <w:p w14:paraId="029F2A92" w14:textId="77777777" w:rsidR="001C6E29" w:rsidRDefault="001C6E29" w:rsidP="00A82C83">
      <w:pPr>
        <w:pStyle w:val="Overskrift2"/>
      </w:pPr>
      <w:bookmarkStart w:id="35" w:name="_Toc51155973"/>
      <w:bookmarkStart w:id="36" w:name="_Toc210030972"/>
      <w:r>
        <w:lastRenderedPageBreak/>
        <w:t>Bilag 1. Gældende lovgivning af særlig relevans</w:t>
      </w:r>
      <w:bookmarkEnd w:id="35"/>
      <w:bookmarkEnd w:id="36"/>
    </w:p>
    <w:p w14:paraId="5755365F" w14:textId="77777777" w:rsidR="00206D9B" w:rsidRPr="00767F73" w:rsidRDefault="00206D9B" w:rsidP="009A6896">
      <w:pPr>
        <w:pStyle w:val="Fodnotetekst"/>
        <w:numPr>
          <w:ilvl w:val="0"/>
          <w:numId w:val="4"/>
        </w:numPr>
        <w:jc w:val="both"/>
        <w:rPr>
          <w:sz w:val="24"/>
          <w:szCs w:val="24"/>
        </w:rPr>
      </w:pPr>
      <w:r w:rsidRPr="00767F73">
        <w:rPr>
          <w:sz w:val="24"/>
          <w:szCs w:val="24"/>
        </w:rPr>
        <w:t xml:space="preserve">Inatsisartutlov nr. 29 af 23. maj 2024 </w:t>
      </w:r>
    </w:p>
    <w:p w14:paraId="7B13C3A2" w14:textId="77777777" w:rsidR="00206D9B" w:rsidRPr="00767F73" w:rsidRDefault="00206D9B" w:rsidP="009A6896">
      <w:pPr>
        <w:pStyle w:val="Fodnotetekst"/>
        <w:numPr>
          <w:ilvl w:val="0"/>
          <w:numId w:val="4"/>
        </w:numPr>
        <w:jc w:val="both"/>
        <w:rPr>
          <w:sz w:val="24"/>
          <w:szCs w:val="24"/>
        </w:rPr>
      </w:pPr>
      <w:r w:rsidRPr="00767F73">
        <w:rPr>
          <w:sz w:val="24"/>
          <w:szCs w:val="24"/>
        </w:rPr>
        <w:t>Selvstyrets bekendtgørelse nr. 10 af 4. februar 2025 om licens og kvoter til fiskeri</w:t>
      </w:r>
    </w:p>
    <w:p w14:paraId="404517FC" w14:textId="77777777" w:rsidR="00206D9B" w:rsidRPr="00767F73" w:rsidRDefault="00206D9B" w:rsidP="009A6896">
      <w:pPr>
        <w:pStyle w:val="Fodnotetekst"/>
        <w:numPr>
          <w:ilvl w:val="0"/>
          <w:numId w:val="4"/>
        </w:numPr>
        <w:jc w:val="both"/>
        <w:rPr>
          <w:sz w:val="24"/>
          <w:szCs w:val="24"/>
        </w:rPr>
      </w:pPr>
      <w:r w:rsidRPr="00767F73">
        <w:rPr>
          <w:sz w:val="24"/>
          <w:szCs w:val="24"/>
        </w:rPr>
        <w:t>Selvstyrets bekendtgørelse nr. 12 af. 4. februar 2025 om teknisk regulering af fiskeriet</w:t>
      </w:r>
    </w:p>
    <w:p w14:paraId="35B5FB62" w14:textId="77777777" w:rsidR="00206D9B" w:rsidRPr="00767F73" w:rsidRDefault="00206D9B" w:rsidP="009A6896">
      <w:pPr>
        <w:pStyle w:val="Fodnotetekst"/>
        <w:numPr>
          <w:ilvl w:val="0"/>
          <w:numId w:val="4"/>
        </w:numPr>
        <w:jc w:val="both"/>
        <w:rPr>
          <w:sz w:val="24"/>
          <w:szCs w:val="24"/>
        </w:rPr>
      </w:pPr>
      <w:r w:rsidRPr="00767F73">
        <w:rPr>
          <w:sz w:val="24"/>
          <w:szCs w:val="24"/>
        </w:rPr>
        <w:t>Selvstyrets bekendtgørelse nr. 11 af 4. februar 2025 om fiskeri underlagt ordning med individuelle og omsættelige kvoter (IOK-bekendtgørelsen)</w:t>
      </w:r>
    </w:p>
    <w:p w14:paraId="2179BA77" w14:textId="77777777" w:rsidR="00206D9B" w:rsidRPr="00767F73" w:rsidRDefault="00206D9B" w:rsidP="009A6896">
      <w:pPr>
        <w:pStyle w:val="Fodnotetekst"/>
        <w:numPr>
          <w:ilvl w:val="0"/>
          <w:numId w:val="4"/>
        </w:numPr>
        <w:jc w:val="both"/>
        <w:rPr>
          <w:sz w:val="24"/>
          <w:szCs w:val="24"/>
        </w:rPr>
      </w:pPr>
      <w:r w:rsidRPr="00767F73">
        <w:rPr>
          <w:sz w:val="24"/>
          <w:szCs w:val="24"/>
        </w:rPr>
        <w:t>Selvstyrets bekendtgørelse nr. 7 af 4. april 2016 om rapportering af indhandlinger af fisk og fiskeprodukter</w:t>
      </w:r>
    </w:p>
    <w:p w14:paraId="55F3353B" w14:textId="77777777" w:rsidR="00206D9B" w:rsidRPr="00767F73" w:rsidRDefault="00206D9B" w:rsidP="009A6896">
      <w:pPr>
        <w:pStyle w:val="Fodnotetekst"/>
        <w:numPr>
          <w:ilvl w:val="0"/>
          <w:numId w:val="4"/>
        </w:numPr>
        <w:jc w:val="both"/>
        <w:rPr>
          <w:sz w:val="24"/>
          <w:szCs w:val="24"/>
        </w:rPr>
      </w:pPr>
      <w:bookmarkStart w:id="37" w:name="_Hlk191461703"/>
      <w:r w:rsidRPr="00767F73">
        <w:rPr>
          <w:sz w:val="24"/>
          <w:szCs w:val="24"/>
        </w:rPr>
        <w:t>Selvstyrets bekendtgørelse nr. 39 af 20. januar 2023 om kontrol med fiskeri</w:t>
      </w:r>
    </w:p>
    <w:bookmarkEnd w:id="37"/>
    <w:p w14:paraId="6E4DF5A4" w14:textId="77777777" w:rsidR="00206D9B" w:rsidRPr="00767F73" w:rsidRDefault="00206D9B" w:rsidP="009A6896">
      <w:pPr>
        <w:pStyle w:val="Fodnotetekst"/>
        <w:numPr>
          <w:ilvl w:val="0"/>
          <w:numId w:val="4"/>
        </w:numPr>
        <w:jc w:val="both"/>
        <w:rPr>
          <w:sz w:val="24"/>
          <w:szCs w:val="24"/>
        </w:rPr>
      </w:pPr>
      <w:r w:rsidRPr="00767F73">
        <w:rPr>
          <w:sz w:val="24"/>
          <w:szCs w:val="24"/>
        </w:rPr>
        <w:t>Hjemmestyrets bekendtgørelse nr. 21 af 30. maj 2001 om overvågning af fiskefartøjer via satellit</w:t>
      </w:r>
    </w:p>
    <w:p w14:paraId="3FD59348" w14:textId="77777777" w:rsidR="00206D9B" w:rsidRPr="00767F73" w:rsidRDefault="00206D9B" w:rsidP="009A6896">
      <w:pPr>
        <w:pStyle w:val="Fodnotetekst"/>
        <w:numPr>
          <w:ilvl w:val="0"/>
          <w:numId w:val="4"/>
        </w:numPr>
        <w:jc w:val="both"/>
        <w:rPr>
          <w:sz w:val="24"/>
          <w:szCs w:val="24"/>
        </w:rPr>
      </w:pPr>
      <w:hyperlink r:id="rId10" w:tgtFrame="_blank" w:history="1">
        <w:r w:rsidRPr="00767F73">
          <w:rPr>
            <w:sz w:val="24"/>
            <w:szCs w:val="24"/>
          </w:rPr>
          <w:t>Selvstyrets bekendtgørelse nr. 48 af 18. december 2020 om beregningsmetoder ved rapportering af visse fangster</w:t>
        </w:r>
      </w:hyperlink>
    </w:p>
    <w:p w14:paraId="7F8010FC" w14:textId="77777777" w:rsidR="00206D9B" w:rsidRDefault="00206D9B" w:rsidP="009A6896">
      <w:pPr>
        <w:pStyle w:val="Fodnotetekst"/>
        <w:numPr>
          <w:ilvl w:val="0"/>
          <w:numId w:val="4"/>
        </w:numPr>
        <w:jc w:val="both"/>
        <w:rPr>
          <w:sz w:val="24"/>
          <w:szCs w:val="24"/>
        </w:rPr>
      </w:pPr>
      <w:r w:rsidRPr="00767F73">
        <w:rPr>
          <w:sz w:val="24"/>
          <w:szCs w:val="24"/>
        </w:rPr>
        <w:t>Selvstyrets bekendtgørelse nr. 14. af 6. december 2011 om fiskeriets bifangster</w:t>
      </w:r>
    </w:p>
    <w:p w14:paraId="52C02CB0" w14:textId="12165540" w:rsidR="00B64BDB" w:rsidRPr="0040005E" w:rsidRDefault="00B64BDB" w:rsidP="009A6896">
      <w:pPr>
        <w:pStyle w:val="Listeafsnit"/>
        <w:numPr>
          <w:ilvl w:val="0"/>
          <w:numId w:val="4"/>
        </w:numPr>
        <w:jc w:val="both"/>
        <w:rPr>
          <w:sz w:val="24"/>
          <w:szCs w:val="24"/>
        </w:rPr>
      </w:pPr>
      <w:hyperlink r:id="rId11" w:tgtFrame="_blank" w:history="1">
        <w:r w:rsidRPr="0040005E">
          <w:rPr>
            <w:sz w:val="24"/>
            <w:szCs w:val="24"/>
          </w:rPr>
          <w:t>Hjemmestyrets bekendtgørelse nr. 3 af 18. marts 2004 om fiskeriobservatørers opgaver og beføjelser</w:t>
        </w:r>
      </w:hyperlink>
    </w:p>
    <w:p w14:paraId="6F189FF6" w14:textId="77777777" w:rsidR="00206D9B" w:rsidRDefault="00206D9B" w:rsidP="00206D9B"/>
    <w:p w14:paraId="1EBD897E" w14:textId="77777777" w:rsidR="00206D9B" w:rsidRPr="00206D9B" w:rsidRDefault="00206D9B" w:rsidP="00206D9B">
      <w:pPr>
        <w:rPr>
          <w:sz w:val="24"/>
          <w:szCs w:val="24"/>
        </w:rPr>
      </w:pPr>
      <w:r w:rsidRPr="00206D9B">
        <w:rPr>
          <w:sz w:val="24"/>
          <w:szCs w:val="24"/>
        </w:rPr>
        <w:t>Alt lovgivning, herunder om fiskeri i Grønland kan tilgås på nalunaarutit.gl</w:t>
      </w:r>
    </w:p>
    <w:p w14:paraId="3ACCD3DD" w14:textId="53049FA2" w:rsidR="008D633E" w:rsidRPr="00702856" w:rsidRDefault="001C6E29" w:rsidP="00702856">
      <w:pPr>
        <w:rPr>
          <w:rFonts w:asciiTheme="majorHAnsi" w:eastAsiaTheme="majorEastAsia" w:hAnsiTheme="majorHAnsi" w:cstheme="majorBidi"/>
          <w:b/>
          <w:bCs/>
          <w:color w:val="4F81BD" w:themeColor="accent1"/>
          <w:sz w:val="26"/>
          <w:szCs w:val="26"/>
        </w:rPr>
      </w:pPr>
      <w:r>
        <w:br w:type="page"/>
      </w:r>
    </w:p>
    <w:p w14:paraId="2719F0A9" w14:textId="6C7DA032" w:rsidR="008D633E" w:rsidRDefault="008D633E" w:rsidP="00A82C83">
      <w:pPr>
        <w:pStyle w:val="Overskrift2"/>
      </w:pPr>
      <w:bookmarkStart w:id="38" w:name="_Toc210030973"/>
      <w:r>
        <w:lastRenderedPageBreak/>
        <w:t xml:space="preserve">Bilag </w:t>
      </w:r>
      <w:r w:rsidR="00AC58D7">
        <w:t>2</w:t>
      </w:r>
      <w:r w:rsidR="001C6E29">
        <w:t>.</w:t>
      </w:r>
      <w:r>
        <w:t xml:space="preserve"> </w:t>
      </w:r>
      <w:r w:rsidR="001C6E29">
        <w:t>O</w:t>
      </w:r>
      <w:r w:rsidR="005F674C">
        <w:t>mrådeafgrænsning</w:t>
      </w:r>
      <w:bookmarkEnd w:id="38"/>
    </w:p>
    <w:p w14:paraId="44F8DFC3" w14:textId="4E8BA549" w:rsidR="006047B3" w:rsidRDefault="008D633E" w:rsidP="00A82C83">
      <w:pPr>
        <w:jc w:val="both"/>
        <w:rPr>
          <w:rFonts w:cs="Times New Roman"/>
          <w:szCs w:val="24"/>
        </w:rPr>
      </w:pPr>
      <w:r>
        <w:rPr>
          <w:rFonts w:cs="Times New Roman"/>
          <w:szCs w:val="24"/>
        </w:rPr>
        <w:t xml:space="preserve">Det </w:t>
      </w:r>
      <w:r w:rsidR="00BE789E">
        <w:rPr>
          <w:rFonts w:cs="Times New Roman"/>
          <w:szCs w:val="24"/>
        </w:rPr>
        <w:t>havgående</w:t>
      </w:r>
      <w:r>
        <w:rPr>
          <w:rFonts w:cs="Times New Roman"/>
          <w:szCs w:val="24"/>
        </w:rPr>
        <w:t xml:space="preserve"> fiskeri efter hellefisk med bundtrawl i Vestgrønland er centreret omkring to gængse fiskeripladser</w:t>
      </w:r>
      <w:r w:rsidR="006047B3">
        <w:rPr>
          <w:rFonts w:cs="Times New Roman"/>
          <w:szCs w:val="24"/>
        </w:rPr>
        <w:t xml:space="preserve"> i </w:t>
      </w:r>
      <w:r w:rsidR="00D74333">
        <w:rPr>
          <w:rFonts w:cs="Times New Roman"/>
          <w:szCs w:val="24"/>
        </w:rPr>
        <w:t xml:space="preserve">Vestgrønland. </w:t>
      </w:r>
      <w:r w:rsidR="006047B3">
        <w:rPr>
          <w:rFonts w:cs="Times New Roman"/>
          <w:szCs w:val="24"/>
        </w:rPr>
        <w:t xml:space="preserve"> O</w:t>
      </w:r>
      <w:r w:rsidRPr="00C50036">
        <w:rPr>
          <w:rFonts w:cs="Times New Roman"/>
          <w:szCs w:val="24"/>
        </w:rPr>
        <w:t>mråderne har været befisket intensivt i mang</w:t>
      </w:r>
      <w:r w:rsidR="006047B3">
        <w:rPr>
          <w:rFonts w:cs="Times New Roman"/>
          <w:szCs w:val="24"/>
        </w:rPr>
        <w:t>e år og a</w:t>
      </w:r>
      <w:r w:rsidRPr="00C50036">
        <w:rPr>
          <w:rFonts w:cs="Times New Roman"/>
          <w:szCs w:val="24"/>
        </w:rPr>
        <w:t>nses ikk</w:t>
      </w:r>
      <w:r>
        <w:rPr>
          <w:rFonts w:cs="Times New Roman"/>
          <w:szCs w:val="24"/>
        </w:rPr>
        <w:t xml:space="preserve">e for at </w:t>
      </w:r>
      <w:r w:rsidR="006047B3">
        <w:rPr>
          <w:rFonts w:cs="Times New Roman"/>
          <w:szCs w:val="24"/>
        </w:rPr>
        <w:t xml:space="preserve">være </w:t>
      </w:r>
      <w:r>
        <w:rPr>
          <w:rFonts w:cs="Times New Roman"/>
          <w:szCs w:val="24"/>
        </w:rPr>
        <w:t>sårbare marine områder.</w:t>
      </w:r>
      <w:r w:rsidR="006047B3">
        <w:rPr>
          <w:rFonts w:cs="Times New Roman"/>
          <w:szCs w:val="24"/>
        </w:rPr>
        <w:t xml:space="preserve"> Trawlfiskeri inden for </w:t>
      </w:r>
      <w:r w:rsidR="00150089">
        <w:rPr>
          <w:rFonts w:cs="Times New Roman"/>
          <w:szCs w:val="24"/>
        </w:rPr>
        <w:t xml:space="preserve">de angivne feltkoder i oversigtskortene herunder </w:t>
      </w:r>
      <w:r w:rsidR="006047B3">
        <w:rPr>
          <w:rFonts w:cs="Times New Roman"/>
          <w:szCs w:val="24"/>
        </w:rPr>
        <w:t>er fortsat tilladt.</w:t>
      </w:r>
    </w:p>
    <w:p w14:paraId="4D60B60B" w14:textId="76A376C3" w:rsidR="00DE7DE5" w:rsidRDefault="007D0C80" w:rsidP="007D0C80">
      <w:pPr>
        <w:keepNext/>
        <w:jc w:val="center"/>
      </w:pPr>
      <w:r>
        <w:rPr>
          <w:noProof/>
        </w:rPr>
        <w:drawing>
          <wp:inline distT="0" distB="0" distL="0" distR="0" wp14:anchorId="781016E4" wp14:editId="57F3137B">
            <wp:extent cx="4860000" cy="6935629"/>
            <wp:effectExtent l="0" t="0" r="0" b="0"/>
            <wp:docPr id="1447233373" name="Billede 1" descr="Et billede, der indeholder tekst, kort, diagram,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3373" name="Billede 1" descr="Et billede, der indeholder tekst, kort, diagram, nummer/tal&#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00" cy="6935629"/>
                    </a:xfrm>
                    <a:prstGeom prst="rect">
                      <a:avLst/>
                    </a:prstGeom>
                    <a:noFill/>
                    <a:ln>
                      <a:noFill/>
                    </a:ln>
                  </pic:spPr>
                </pic:pic>
              </a:graphicData>
            </a:graphic>
          </wp:inline>
        </w:drawing>
      </w:r>
    </w:p>
    <w:p w14:paraId="6A359247" w14:textId="00F717E0" w:rsidR="00BA268A" w:rsidRPr="00BA268A" w:rsidRDefault="00DE7DE5" w:rsidP="007D0C80">
      <w:pPr>
        <w:pStyle w:val="Billedtekst"/>
        <w:jc w:val="center"/>
        <w:rPr>
          <w:rFonts w:cs="Times New Roman"/>
          <w:b/>
          <w:szCs w:val="24"/>
        </w:rPr>
      </w:pPr>
      <w:r>
        <w:t xml:space="preserve">Billede </w:t>
      </w:r>
      <w:fldSimple w:instr=" SEQ Figur \* ARABIC ">
        <w:r>
          <w:rPr>
            <w:noProof/>
          </w:rPr>
          <w:t>2</w:t>
        </w:r>
      </w:fldSimple>
      <w:r>
        <w:t xml:space="preserve">: </w:t>
      </w:r>
      <w:r w:rsidRPr="00A862B2">
        <w:t>Nordvestgrønland</w:t>
      </w:r>
      <w:r w:rsidR="006A2868">
        <w:t>.</w:t>
      </w:r>
    </w:p>
    <w:p w14:paraId="0A3CB382" w14:textId="73216B47" w:rsidR="00DE7DE5" w:rsidRDefault="007D0C80" w:rsidP="00A82C83">
      <w:pPr>
        <w:keepNext/>
        <w:jc w:val="center"/>
      </w:pPr>
      <w:r>
        <w:rPr>
          <w:noProof/>
        </w:rPr>
        <w:lastRenderedPageBreak/>
        <w:drawing>
          <wp:inline distT="0" distB="0" distL="0" distR="0" wp14:anchorId="641D7BF3" wp14:editId="7673EA5E">
            <wp:extent cx="4860000" cy="6935631"/>
            <wp:effectExtent l="0" t="0" r="0" b="0"/>
            <wp:docPr id="1107690098" name="Billede 2" descr="Et billede, der indeholder tekst, diagram, Plan,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90098" name="Billede 2" descr="Et billede, der indeholder tekst, diagram, Plan, Parallel&#10;&#10;AI-genereret indhold kan være ukorre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000" cy="6935631"/>
                    </a:xfrm>
                    <a:prstGeom prst="rect">
                      <a:avLst/>
                    </a:prstGeom>
                    <a:noFill/>
                    <a:ln>
                      <a:noFill/>
                    </a:ln>
                  </pic:spPr>
                </pic:pic>
              </a:graphicData>
            </a:graphic>
          </wp:inline>
        </w:drawing>
      </w:r>
    </w:p>
    <w:p w14:paraId="3044B779" w14:textId="515C50A0" w:rsidR="00BA268A" w:rsidRPr="00BA268A" w:rsidRDefault="00DE7DE5" w:rsidP="00A82C83">
      <w:pPr>
        <w:pStyle w:val="Billedtekst"/>
        <w:jc w:val="center"/>
        <w:rPr>
          <w:rFonts w:cs="Times New Roman"/>
          <w:b/>
          <w:szCs w:val="24"/>
        </w:rPr>
      </w:pPr>
      <w:r>
        <w:t xml:space="preserve">Billede </w:t>
      </w:r>
      <w:fldSimple w:instr=" SEQ Figur \* ARABIC ">
        <w:r>
          <w:rPr>
            <w:noProof/>
          </w:rPr>
          <w:t>3</w:t>
        </w:r>
      </w:fldSimple>
      <w:r>
        <w:t xml:space="preserve">: </w:t>
      </w:r>
      <w:r w:rsidRPr="005E4BC3">
        <w:t>Sydvestgrønland</w:t>
      </w:r>
    </w:p>
    <w:p w14:paraId="3BFC0142" w14:textId="227AF887" w:rsidR="008211A6" w:rsidRDefault="006047B3" w:rsidP="005E6767">
      <w:pPr>
        <w:jc w:val="both"/>
        <w:rPr>
          <w:rFonts w:cs="Times New Roman"/>
          <w:szCs w:val="24"/>
        </w:rPr>
      </w:pPr>
      <w:r>
        <w:rPr>
          <w:rFonts w:cs="Times New Roman"/>
          <w:szCs w:val="24"/>
        </w:rPr>
        <w:t>Ved helt særlige omstændigheder, kan licenshavere af Departement for Fiskeri, Fangst</w:t>
      </w:r>
      <w:r w:rsidR="00A8555D">
        <w:rPr>
          <w:rFonts w:cs="Times New Roman"/>
          <w:szCs w:val="24"/>
        </w:rPr>
        <w:t>,</w:t>
      </w:r>
      <w:r>
        <w:rPr>
          <w:rFonts w:cs="Times New Roman"/>
          <w:szCs w:val="24"/>
        </w:rPr>
        <w:t xml:space="preserve"> Landbrug</w:t>
      </w:r>
      <w:r w:rsidR="00A8555D">
        <w:rPr>
          <w:rFonts w:cs="Times New Roman"/>
          <w:szCs w:val="24"/>
        </w:rPr>
        <w:t xml:space="preserve"> og Selvforsyning</w:t>
      </w:r>
      <w:r>
        <w:rPr>
          <w:rFonts w:cs="Times New Roman"/>
          <w:szCs w:val="24"/>
        </w:rPr>
        <w:t xml:space="preserve"> opnå tilladelse til at fiske uden for de gængse fiskeripladser. </w:t>
      </w:r>
    </w:p>
    <w:p w14:paraId="2FC5AD2B" w14:textId="40266A6D" w:rsidR="00C90FAB" w:rsidRDefault="00C90FAB" w:rsidP="005E6767">
      <w:pPr>
        <w:jc w:val="both"/>
        <w:rPr>
          <w:rFonts w:cs="Times New Roman"/>
          <w:szCs w:val="24"/>
        </w:rPr>
      </w:pPr>
      <w:r w:rsidRPr="00C90FAB">
        <w:rPr>
          <w:rFonts w:cs="Times New Roman"/>
          <w:szCs w:val="24"/>
        </w:rPr>
        <w:t xml:space="preserve">Departementet for </w:t>
      </w:r>
      <w:r w:rsidR="00A8555D">
        <w:rPr>
          <w:rFonts w:cs="Times New Roman"/>
          <w:szCs w:val="24"/>
        </w:rPr>
        <w:t>Natur</w:t>
      </w:r>
      <w:r w:rsidRPr="00C90FAB">
        <w:rPr>
          <w:rFonts w:cs="Times New Roman"/>
          <w:szCs w:val="24"/>
        </w:rPr>
        <w:t xml:space="preserve"> og Miljø er, i samarbejde med relevante interessenter, herunder Departementet for Fiskeri, Fangst</w:t>
      </w:r>
      <w:r w:rsidR="00A8555D">
        <w:rPr>
          <w:rFonts w:cs="Times New Roman"/>
          <w:szCs w:val="24"/>
        </w:rPr>
        <w:t>,</w:t>
      </w:r>
      <w:r w:rsidRPr="00C90FAB">
        <w:rPr>
          <w:rFonts w:cs="Times New Roman"/>
          <w:szCs w:val="24"/>
        </w:rPr>
        <w:t xml:space="preserve"> Landbrug</w:t>
      </w:r>
      <w:r w:rsidR="00A8555D">
        <w:rPr>
          <w:rFonts w:cs="Times New Roman"/>
          <w:szCs w:val="24"/>
        </w:rPr>
        <w:t xml:space="preserve"> og Selvforsyning</w:t>
      </w:r>
      <w:r w:rsidRPr="00C90FAB">
        <w:rPr>
          <w:rFonts w:cs="Times New Roman"/>
          <w:szCs w:val="24"/>
        </w:rPr>
        <w:t xml:space="preserve">, i gang med at udarbejde rammerne for en generel forvaltningsplan for havbunden, der </w:t>
      </w:r>
      <w:r>
        <w:rPr>
          <w:rFonts w:cs="Times New Roman"/>
          <w:szCs w:val="24"/>
        </w:rPr>
        <w:t xml:space="preserve">samtidig </w:t>
      </w:r>
      <w:r w:rsidRPr="00C90FAB">
        <w:rPr>
          <w:rFonts w:cs="Times New Roman"/>
          <w:szCs w:val="24"/>
        </w:rPr>
        <w:t>kan ligge til grund for en beskytte</w:t>
      </w:r>
      <w:r>
        <w:rPr>
          <w:rFonts w:cs="Times New Roman"/>
          <w:szCs w:val="24"/>
        </w:rPr>
        <w:t>lse af særligt sårbare områder.</w:t>
      </w:r>
    </w:p>
    <w:p w14:paraId="38B28133" w14:textId="3F16411E" w:rsidR="00CE0743" w:rsidRPr="008211A6" w:rsidRDefault="008E19F1" w:rsidP="005E6767">
      <w:pPr>
        <w:jc w:val="both"/>
        <w:rPr>
          <w:rFonts w:cs="Times New Roman"/>
          <w:szCs w:val="24"/>
        </w:rPr>
      </w:pPr>
      <w:r>
        <w:rPr>
          <w:rFonts w:cs="Times New Roman"/>
          <w:szCs w:val="24"/>
        </w:rPr>
        <w:lastRenderedPageBreak/>
        <w:t>Områdeafgrænsningen</w:t>
      </w:r>
      <w:r w:rsidR="008211A6">
        <w:rPr>
          <w:rFonts w:cs="Times New Roman"/>
          <w:szCs w:val="24"/>
        </w:rPr>
        <w:t xml:space="preserve"> </w:t>
      </w:r>
      <w:r w:rsidR="00DC5F65">
        <w:rPr>
          <w:rFonts w:cs="Times New Roman"/>
          <w:szCs w:val="24"/>
        </w:rPr>
        <w:t>i dette bilag,</w:t>
      </w:r>
      <w:r w:rsidR="008211A6" w:rsidRPr="000A5DE5">
        <w:rPr>
          <w:rFonts w:cs="Times New Roman"/>
          <w:szCs w:val="24"/>
        </w:rPr>
        <w:t xml:space="preserve"> skal</w:t>
      </w:r>
      <w:r w:rsidR="008211A6">
        <w:rPr>
          <w:rFonts w:cs="Times New Roman"/>
          <w:szCs w:val="24"/>
        </w:rPr>
        <w:t xml:space="preserve"> </w:t>
      </w:r>
      <w:r w:rsidR="00B824E7">
        <w:rPr>
          <w:rFonts w:cs="Times New Roman"/>
          <w:szCs w:val="24"/>
        </w:rPr>
        <w:t xml:space="preserve">af </w:t>
      </w:r>
      <w:r w:rsidR="008211A6">
        <w:rPr>
          <w:rFonts w:cs="Times New Roman"/>
          <w:szCs w:val="24"/>
        </w:rPr>
        <w:t>Departement for Fiskeri, Fangst</w:t>
      </w:r>
      <w:r w:rsidR="00A8555D">
        <w:rPr>
          <w:rFonts w:cs="Times New Roman"/>
          <w:szCs w:val="24"/>
        </w:rPr>
        <w:t>,</w:t>
      </w:r>
      <w:r w:rsidR="008211A6">
        <w:rPr>
          <w:rFonts w:cs="Times New Roman"/>
          <w:szCs w:val="24"/>
        </w:rPr>
        <w:t xml:space="preserve"> Landbrug</w:t>
      </w:r>
      <w:r w:rsidR="00A8555D">
        <w:rPr>
          <w:rFonts w:cs="Times New Roman"/>
          <w:szCs w:val="24"/>
        </w:rPr>
        <w:t xml:space="preserve"> og Selvforsyning</w:t>
      </w:r>
      <w:r w:rsidR="008211A6">
        <w:rPr>
          <w:rFonts w:cs="Times New Roman"/>
          <w:szCs w:val="24"/>
        </w:rPr>
        <w:t xml:space="preserve"> i samråd med Grønlands Naturinstitut og Fiskerirådet revideres</w:t>
      </w:r>
      <w:r w:rsidR="006231C8">
        <w:rPr>
          <w:rFonts w:cs="Times New Roman"/>
          <w:szCs w:val="24"/>
        </w:rPr>
        <w:t>,</w:t>
      </w:r>
      <w:r w:rsidR="008211A6">
        <w:rPr>
          <w:rFonts w:cs="Times New Roman"/>
          <w:szCs w:val="24"/>
        </w:rPr>
        <w:t xml:space="preserve"> når der foreligger yderligere dokumentation om havbunden i Vestgrønland </w:t>
      </w:r>
      <w:r w:rsidR="00C90FAB">
        <w:rPr>
          <w:rFonts w:cs="Times New Roman"/>
          <w:szCs w:val="24"/>
        </w:rPr>
        <w:t>eller når der foreligger en forvaltningsplan for havbunden.</w:t>
      </w:r>
    </w:p>
    <w:sectPr w:rsidR="00CE0743" w:rsidRPr="008211A6" w:rsidSect="009C384C">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F7EFE" w14:textId="77777777" w:rsidR="00347E60" w:rsidRDefault="00347E60" w:rsidP="000A2EFD">
      <w:pPr>
        <w:spacing w:after="0" w:line="240" w:lineRule="auto"/>
      </w:pPr>
      <w:r>
        <w:separator/>
      </w:r>
    </w:p>
  </w:endnote>
  <w:endnote w:type="continuationSeparator" w:id="0">
    <w:p w14:paraId="796C0380" w14:textId="77777777" w:rsidR="00347E60" w:rsidRDefault="00347E60" w:rsidP="000A2EFD">
      <w:pPr>
        <w:spacing w:after="0" w:line="240" w:lineRule="auto"/>
      </w:pPr>
      <w:r>
        <w:continuationSeparator/>
      </w:r>
    </w:p>
  </w:endnote>
  <w:endnote w:type="continuationNotice" w:id="1">
    <w:p w14:paraId="0B1CB9E3" w14:textId="77777777" w:rsidR="00347E60" w:rsidRDefault="00347E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293945"/>
      <w:docPartObj>
        <w:docPartGallery w:val="Page Numbers (Bottom of Page)"/>
        <w:docPartUnique/>
      </w:docPartObj>
    </w:sdtPr>
    <w:sdtContent>
      <w:p w14:paraId="6BCC283B" w14:textId="54E5AF40" w:rsidR="007464B4" w:rsidRDefault="007464B4">
        <w:pPr>
          <w:pStyle w:val="Sidefod"/>
          <w:jc w:val="center"/>
        </w:pPr>
        <w:r>
          <w:fldChar w:fldCharType="begin"/>
        </w:r>
        <w:r>
          <w:instrText>PAGE   \* MERGEFORMAT</w:instrText>
        </w:r>
        <w:r>
          <w:fldChar w:fldCharType="separate"/>
        </w:r>
        <w:r w:rsidR="00EA0AE7">
          <w:rPr>
            <w:noProof/>
          </w:rPr>
          <w:t>1</w:t>
        </w:r>
        <w:r>
          <w:fldChar w:fldCharType="end"/>
        </w:r>
      </w:p>
    </w:sdtContent>
  </w:sdt>
  <w:p w14:paraId="79E78EEC" w14:textId="77777777" w:rsidR="007464B4" w:rsidRDefault="007464B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B8AE3" w14:textId="77777777" w:rsidR="00347E60" w:rsidRDefault="00347E60" w:rsidP="000A2EFD">
      <w:pPr>
        <w:spacing w:after="0" w:line="240" w:lineRule="auto"/>
      </w:pPr>
      <w:r>
        <w:separator/>
      </w:r>
    </w:p>
  </w:footnote>
  <w:footnote w:type="continuationSeparator" w:id="0">
    <w:p w14:paraId="04E0E9C6" w14:textId="77777777" w:rsidR="00347E60" w:rsidRDefault="00347E60" w:rsidP="000A2EFD">
      <w:pPr>
        <w:spacing w:after="0" w:line="240" w:lineRule="auto"/>
      </w:pPr>
      <w:r>
        <w:continuationSeparator/>
      </w:r>
    </w:p>
  </w:footnote>
  <w:footnote w:type="continuationNotice" w:id="1">
    <w:p w14:paraId="7B117D22" w14:textId="77777777" w:rsidR="00347E60" w:rsidRDefault="00347E60">
      <w:pPr>
        <w:spacing w:after="0" w:line="240" w:lineRule="auto"/>
      </w:pPr>
    </w:p>
  </w:footnote>
  <w:footnote w:id="2">
    <w:p w14:paraId="798D3CF0" w14:textId="75D6D452" w:rsidR="00D74333" w:rsidRDefault="00D74333">
      <w:pPr>
        <w:pStyle w:val="Fodnotetekst"/>
      </w:pPr>
      <w:r>
        <w:rPr>
          <w:rStyle w:val="Fodnotehenvisning"/>
        </w:rPr>
        <w:footnoteRef/>
      </w:r>
      <w:r>
        <w:t xml:space="preserve"> </w:t>
      </w:r>
      <w:proofErr w:type="spellStart"/>
      <w:r>
        <w:t>Northwest</w:t>
      </w:r>
      <w:proofErr w:type="spellEnd"/>
      <w:r>
        <w:t xml:space="preserve"> Atlantic Fisheries Organization </w:t>
      </w:r>
    </w:p>
  </w:footnote>
  <w:footnote w:id="3">
    <w:p w14:paraId="54802DE3" w14:textId="2CC1189E" w:rsidR="00613F4E" w:rsidRDefault="00613F4E">
      <w:pPr>
        <w:pStyle w:val="Fodnotetekst"/>
      </w:pPr>
      <w:r>
        <w:rPr>
          <w:rStyle w:val="Fodnotehenvisning"/>
        </w:rPr>
        <w:footnoteRef/>
      </w:r>
      <w:r>
        <w:t xml:space="preserve"> </w:t>
      </w:r>
      <w:r w:rsidRPr="00163AE4">
        <w:t xml:space="preserve">Læs mere om </w:t>
      </w:r>
      <w:r>
        <w:t>kvotef</w:t>
      </w:r>
      <w:r w:rsidRPr="00163AE4">
        <w:t>le</w:t>
      </w:r>
      <w:r>
        <w:t>ks</w:t>
      </w:r>
      <w:r w:rsidRPr="00163AE4">
        <w:t xml:space="preserve"> på </w:t>
      </w:r>
      <w:hyperlink r:id="rId1" w:history="1">
        <w:r w:rsidRPr="003735DB">
          <w:rPr>
            <w:rStyle w:val="Hyperlink"/>
          </w:rPr>
          <w:t>sullissivik.gl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53139"/>
    <w:multiLevelType w:val="hybridMultilevel"/>
    <w:tmpl w:val="45508AB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 w15:restartNumberingAfterBreak="0">
    <w:nsid w:val="0C3E4D72"/>
    <w:multiLevelType w:val="hybridMultilevel"/>
    <w:tmpl w:val="87903F3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 w15:restartNumberingAfterBreak="0">
    <w:nsid w:val="0F990A15"/>
    <w:multiLevelType w:val="hybridMultilevel"/>
    <w:tmpl w:val="04D8107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 w15:restartNumberingAfterBreak="0">
    <w:nsid w:val="10680D95"/>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06C06F5"/>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BDD5722"/>
    <w:multiLevelType w:val="hybridMultilevel"/>
    <w:tmpl w:val="DAFEBE90"/>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6" w15:restartNumberingAfterBreak="0">
    <w:nsid w:val="5EFF1A3D"/>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2BE6219"/>
    <w:multiLevelType w:val="hybridMultilevel"/>
    <w:tmpl w:val="515218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63904580"/>
    <w:multiLevelType w:val="hybridMultilevel"/>
    <w:tmpl w:val="09FEAB8E"/>
    <w:lvl w:ilvl="0" w:tplc="046F000F">
      <w:start w:val="1"/>
      <w:numFmt w:val="decimal"/>
      <w:lvlText w:val="%1."/>
      <w:lvlJc w:val="left"/>
      <w:pPr>
        <w:ind w:left="1080" w:hanging="360"/>
      </w:pPr>
    </w:lvl>
    <w:lvl w:ilvl="1" w:tplc="046F0019" w:tentative="1">
      <w:start w:val="1"/>
      <w:numFmt w:val="lowerLetter"/>
      <w:lvlText w:val="%2."/>
      <w:lvlJc w:val="left"/>
      <w:pPr>
        <w:ind w:left="1800" w:hanging="360"/>
      </w:pPr>
    </w:lvl>
    <w:lvl w:ilvl="2" w:tplc="046F001B" w:tentative="1">
      <w:start w:val="1"/>
      <w:numFmt w:val="lowerRoman"/>
      <w:lvlText w:val="%3."/>
      <w:lvlJc w:val="right"/>
      <w:pPr>
        <w:ind w:left="2520" w:hanging="180"/>
      </w:pPr>
    </w:lvl>
    <w:lvl w:ilvl="3" w:tplc="046F000F" w:tentative="1">
      <w:start w:val="1"/>
      <w:numFmt w:val="decimal"/>
      <w:lvlText w:val="%4."/>
      <w:lvlJc w:val="left"/>
      <w:pPr>
        <w:ind w:left="3240" w:hanging="360"/>
      </w:pPr>
    </w:lvl>
    <w:lvl w:ilvl="4" w:tplc="046F0019" w:tentative="1">
      <w:start w:val="1"/>
      <w:numFmt w:val="lowerLetter"/>
      <w:lvlText w:val="%5."/>
      <w:lvlJc w:val="left"/>
      <w:pPr>
        <w:ind w:left="3960" w:hanging="360"/>
      </w:pPr>
    </w:lvl>
    <w:lvl w:ilvl="5" w:tplc="046F001B" w:tentative="1">
      <w:start w:val="1"/>
      <w:numFmt w:val="lowerRoman"/>
      <w:lvlText w:val="%6."/>
      <w:lvlJc w:val="right"/>
      <w:pPr>
        <w:ind w:left="4680" w:hanging="180"/>
      </w:pPr>
    </w:lvl>
    <w:lvl w:ilvl="6" w:tplc="046F000F" w:tentative="1">
      <w:start w:val="1"/>
      <w:numFmt w:val="decimal"/>
      <w:lvlText w:val="%7."/>
      <w:lvlJc w:val="left"/>
      <w:pPr>
        <w:ind w:left="5400" w:hanging="360"/>
      </w:pPr>
    </w:lvl>
    <w:lvl w:ilvl="7" w:tplc="046F0019" w:tentative="1">
      <w:start w:val="1"/>
      <w:numFmt w:val="lowerLetter"/>
      <w:lvlText w:val="%8."/>
      <w:lvlJc w:val="left"/>
      <w:pPr>
        <w:ind w:left="6120" w:hanging="360"/>
      </w:pPr>
    </w:lvl>
    <w:lvl w:ilvl="8" w:tplc="046F001B" w:tentative="1">
      <w:start w:val="1"/>
      <w:numFmt w:val="lowerRoman"/>
      <w:lvlText w:val="%9."/>
      <w:lvlJc w:val="right"/>
      <w:pPr>
        <w:ind w:left="6840" w:hanging="180"/>
      </w:pPr>
    </w:lvl>
  </w:abstractNum>
  <w:abstractNum w:abstractNumId="9" w15:restartNumberingAfterBreak="0">
    <w:nsid w:val="6F6F418A"/>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BC3487D"/>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543294580">
    <w:abstractNumId w:val="10"/>
  </w:num>
  <w:num w:numId="2" w16cid:durableId="1258444103">
    <w:abstractNumId w:val="7"/>
  </w:num>
  <w:num w:numId="3" w16cid:durableId="1065179298">
    <w:abstractNumId w:val="0"/>
  </w:num>
  <w:num w:numId="4" w16cid:durableId="1289897788">
    <w:abstractNumId w:val="1"/>
  </w:num>
  <w:num w:numId="5" w16cid:durableId="1340425157">
    <w:abstractNumId w:val="2"/>
  </w:num>
  <w:num w:numId="6" w16cid:durableId="2045134491">
    <w:abstractNumId w:val="8"/>
  </w:num>
  <w:num w:numId="7" w16cid:durableId="1780755172">
    <w:abstractNumId w:val="4"/>
  </w:num>
  <w:num w:numId="8" w16cid:durableId="456722323">
    <w:abstractNumId w:val="5"/>
  </w:num>
  <w:num w:numId="9" w16cid:durableId="58403956">
    <w:abstractNumId w:val="3"/>
  </w:num>
  <w:num w:numId="10" w16cid:durableId="2001081797">
    <w:abstractNumId w:val="6"/>
  </w:num>
  <w:num w:numId="11" w16cid:durableId="19100751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1B5"/>
    <w:rsid w:val="00000629"/>
    <w:rsid w:val="0000400D"/>
    <w:rsid w:val="00006DCB"/>
    <w:rsid w:val="0000792D"/>
    <w:rsid w:val="00012EDC"/>
    <w:rsid w:val="00020737"/>
    <w:rsid w:val="0002091C"/>
    <w:rsid w:val="00021C70"/>
    <w:rsid w:val="000228CD"/>
    <w:rsid w:val="00023929"/>
    <w:rsid w:val="000256A2"/>
    <w:rsid w:val="000271C1"/>
    <w:rsid w:val="00027DC9"/>
    <w:rsid w:val="000322B0"/>
    <w:rsid w:val="00033F49"/>
    <w:rsid w:val="00034073"/>
    <w:rsid w:val="000358C3"/>
    <w:rsid w:val="000364A5"/>
    <w:rsid w:val="00037E78"/>
    <w:rsid w:val="00040461"/>
    <w:rsid w:val="00041046"/>
    <w:rsid w:val="000416DD"/>
    <w:rsid w:val="00041F12"/>
    <w:rsid w:val="0004642C"/>
    <w:rsid w:val="00046C92"/>
    <w:rsid w:val="00051292"/>
    <w:rsid w:val="000609D1"/>
    <w:rsid w:val="00060B92"/>
    <w:rsid w:val="000630FD"/>
    <w:rsid w:val="00064496"/>
    <w:rsid w:val="00065057"/>
    <w:rsid w:val="000658E9"/>
    <w:rsid w:val="00073977"/>
    <w:rsid w:val="000746C0"/>
    <w:rsid w:val="00074AFC"/>
    <w:rsid w:val="00075585"/>
    <w:rsid w:val="0007706A"/>
    <w:rsid w:val="00077A25"/>
    <w:rsid w:val="00081C72"/>
    <w:rsid w:val="00084325"/>
    <w:rsid w:val="00093155"/>
    <w:rsid w:val="0009707B"/>
    <w:rsid w:val="000A06CF"/>
    <w:rsid w:val="000A0868"/>
    <w:rsid w:val="000A1E35"/>
    <w:rsid w:val="000A2EFD"/>
    <w:rsid w:val="000A5DE5"/>
    <w:rsid w:val="000A5DF0"/>
    <w:rsid w:val="000A6B94"/>
    <w:rsid w:val="000B205D"/>
    <w:rsid w:val="000B3331"/>
    <w:rsid w:val="000B39F0"/>
    <w:rsid w:val="000B4707"/>
    <w:rsid w:val="000B5A0E"/>
    <w:rsid w:val="000B6E3F"/>
    <w:rsid w:val="000C01F4"/>
    <w:rsid w:val="000C1325"/>
    <w:rsid w:val="000C17C7"/>
    <w:rsid w:val="000C3BDB"/>
    <w:rsid w:val="000C48C7"/>
    <w:rsid w:val="000C4F1E"/>
    <w:rsid w:val="000C56D4"/>
    <w:rsid w:val="000D02FD"/>
    <w:rsid w:val="000D0378"/>
    <w:rsid w:val="000D24CD"/>
    <w:rsid w:val="000D2959"/>
    <w:rsid w:val="000D3602"/>
    <w:rsid w:val="000D3A3B"/>
    <w:rsid w:val="000D5A82"/>
    <w:rsid w:val="000D715D"/>
    <w:rsid w:val="000D743F"/>
    <w:rsid w:val="000E158D"/>
    <w:rsid w:val="000F011F"/>
    <w:rsid w:val="000F25B9"/>
    <w:rsid w:val="000F3C34"/>
    <w:rsid w:val="000F753A"/>
    <w:rsid w:val="00100AB1"/>
    <w:rsid w:val="00103A0B"/>
    <w:rsid w:val="00103BDE"/>
    <w:rsid w:val="00104653"/>
    <w:rsid w:val="001058B4"/>
    <w:rsid w:val="00105EE1"/>
    <w:rsid w:val="00110592"/>
    <w:rsid w:val="00113BDD"/>
    <w:rsid w:val="00121802"/>
    <w:rsid w:val="00121A9A"/>
    <w:rsid w:val="00123C57"/>
    <w:rsid w:val="00123D6F"/>
    <w:rsid w:val="00125CB9"/>
    <w:rsid w:val="0012632C"/>
    <w:rsid w:val="00126640"/>
    <w:rsid w:val="0012759B"/>
    <w:rsid w:val="001315AE"/>
    <w:rsid w:val="00131A02"/>
    <w:rsid w:val="00132738"/>
    <w:rsid w:val="00133000"/>
    <w:rsid w:val="00133BF1"/>
    <w:rsid w:val="00134B58"/>
    <w:rsid w:val="001435ED"/>
    <w:rsid w:val="00146DCE"/>
    <w:rsid w:val="00150089"/>
    <w:rsid w:val="00151D73"/>
    <w:rsid w:val="0015399E"/>
    <w:rsid w:val="001606DA"/>
    <w:rsid w:val="00160C0B"/>
    <w:rsid w:val="00163F60"/>
    <w:rsid w:val="001660B3"/>
    <w:rsid w:val="00167778"/>
    <w:rsid w:val="00171828"/>
    <w:rsid w:val="00173DB8"/>
    <w:rsid w:val="00177849"/>
    <w:rsid w:val="00181527"/>
    <w:rsid w:val="00181E76"/>
    <w:rsid w:val="00183DA8"/>
    <w:rsid w:val="0018417B"/>
    <w:rsid w:val="0018510F"/>
    <w:rsid w:val="001873E5"/>
    <w:rsid w:val="001905B1"/>
    <w:rsid w:val="001915A6"/>
    <w:rsid w:val="00193BB8"/>
    <w:rsid w:val="00194431"/>
    <w:rsid w:val="00194BAA"/>
    <w:rsid w:val="0019628C"/>
    <w:rsid w:val="001A1F6A"/>
    <w:rsid w:val="001A2EC7"/>
    <w:rsid w:val="001A488D"/>
    <w:rsid w:val="001A7259"/>
    <w:rsid w:val="001A753A"/>
    <w:rsid w:val="001A7870"/>
    <w:rsid w:val="001A7EFC"/>
    <w:rsid w:val="001B032F"/>
    <w:rsid w:val="001B1464"/>
    <w:rsid w:val="001B457A"/>
    <w:rsid w:val="001B56C5"/>
    <w:rsid w:val="001B6386"/>
    <w:rsid w:val="001B7187"/>
    <w:rsid w:val="001C2E86"/>
    <w:rsid w:val="001C30EE"/>
    <w:rsid w:val="001C4078"/>
    <w:rsid w:val="001C47A8"/>
    <w:rsid w:val="001C4F95"/>
    <w:rsid w:val="001C6E29"/>
    <w:rsid w:val="001D2718"/>
    <w:rsid w:val="001D4868"/>
    <w:rsid w:val="001D4914"/>
    <w:rsid w:val="001D4F86"/>
    <w:rsid w:val="001E0742"/>
    <w:rsid w:val="001E0D95"/>
    <w:rsid w:val="001E136C"/>
    <w:rsid w:val="001E2EC3"/>
    <w:rsid w:val="001E387B"/>
    <w:rsid w:val="001E4977"/>
    <w:rsid w:val="001E6E8D"/>
    <w:rsid w:val="001F1C37"/>
    <w:rsid w:val="001F2680"/>
    <w:rsid w:val="001F3441"/>
    <w:rsid w:val="001F4413"/>
    <w:rsid w:val="001F6CFE"/>
    <w:rsid w:val="001F77E9"/>
    <w:rsid w:val="0020189F"/>
    <w:rsid w:val="00203C20"/>
    <w:rsid w:val="00204BB4"/>
    <w:rsid w:val="002056E0"/>
    <w:rsid w:val="00206D9B"/>
    <w:rsid w:val="00210A1F"/>
    <w:rsid w:val="00210D82"/>
    <w:rsid w:val="002114F6"/>
    <w:rsid w:val="00211AE2"/>
    <w:rsid w:val="00211F22"/>
    <w:rsid w:val="00212CB6"/>
    <w:rsid w:val="00214C0F"/>
    <w:rsid w:val="00214CC7"/>
    <w:rsid w:val="0021591F"/>
    <w:rsid w:val="00215BCA"/>
    <w:rsid w:val="00216692"/>
    <w:rsid w:val="0022055D"/>
    <w:rsid w:val="00222820"/>
    <w:rsid w:val="00225C56"/>
    <w:rsid w:val="002263C7"/>
    <w:rsid w:val="00226E8D"/>
    <w:rsid w:val="0023136A"/>
    <w:rsid w:val="002315F8"/>
    <w:rsid w:val="00231729"/>
    <w:rsid w:val="00233373"/>
    <w:rsid w:val="002345EB"/>
    <w:rsid w:val="0023474F"/>
    <w:rsid w:val="00235385"/>
    <w:rsid w:val="0023740E"/>
    <w:rsid w:val="00241BCF"/>
    <w:rsid w:val="00242BA3"/>
    <w:rsid w:val="00246594"/>
    <w:rsid w:val="00246A63"/>
    <w:rsid w:val="002500A1"/>
    <w:rsid w:val="002551D5"/>
    <w:rsid w:val="00255F43"/>
    <w:rsid w:val="002573E6"/>
    <w:rsid w:val="00260499"/>
    <w:rsid w:val="0026272E"/>
    <w:rsid w:val="00262EDD"/>
    <w:rsid w:val="00263B4C"/>
    <w:rsid w:val="00265235"/>
    <w:rsid w:val="00265370"/>
    <w:rsid w:val="00267713"/>
    <w:rsid w:val="002718F1"/>
    <w:rsid w:val="00272238"/>
    <w:rsid w:val="00274951"/>
    <w:rsid w:val="00275CA3"/>
    <w:rsid w:val="00276711"/>
    <w:rsid w:val="002805D5"/>
    <w:rsid w:val="00282CDD"/>
    <w:rsid w:val="00284EBC"/>
    <w:rsid w:val="00285688"/>
    <w:rsid w:val="0028646F"/>
    <w:rsid w:val="00287772"/>
    <w:rsid w:val="002900F8"/>
    <w:rsid w:val="002903FF"/>
    <w:rsid w:val="002908EC"/>
    <w:rsid w:val="00294415"/>
    <w:rsid w:val="0029505B"/>
    <w:rsid w:val="00295D99"/>
    <w:rsid w:val="00297406"/>
    <w:rsid w:val="002978E6"/>
    <w:rsid w:val="002A2A10"/>
    <w:rsid w:val="002A45E1"/>
    <w:rsid w:val="002A5268"/>
    <w:rsid w:val="002A593D"/>
    <w:rsid w:val="002A6036"/>
    <w:rsid w:val="002A661E"/>
    <w:rsid w:val="002A6CAB"/>
    <w:rsid w:val="002B1233"/>
    <w:rsid w:val="002B3471"/>
    <w:rsid w:val="002B3629"/>
    <w:rsid w:val="002B5B98"/>
    <w:rsid w:val="002B62EB"/>
    <w:rsid w:val="002B654C"/>
    <w:rsid w:val="002C0096"/>
    <w:rsid w:val="002C3A1A"/>
    <w:rsid w:val="002C3DF8"/>
    <w:rsid w:val="002C4B01"/>
    <w:rsid w:val="002C5012"/>
    <w:rsid w:val="002C64EA"/>
    <w:rsid w:val="002C7BFC"/>
    <w:rsid w:val="002D1797"/>
    <w:rsid w:val="002D1EAE"/>
    <w:rsid w:val="002D2FC1"/>
    <w:rsid w:val="002D389D"/>
    <w:rsid w:val="002D39D7"/>
    <w:rsid w:val="002D41A2"/>
    <w:rsid w:val="002D4C84"/>
    <w:rsid w:val="002D5261"/>
    <w:rsid w:val="002D789B"/>
    <w:rsid w:val="002E02C2"/>
    <w:rsid w:val="002E0308"/>
    <w:rsid w:val="002E1F95"/>
    <w:rsid w:val="002E33E8"/>
    <w:rsid w:val="002E3B16"/>
    <w:rsid w:val="002E404E"/>
    <w:rsid w:val="002E625E"/>
    <w:rsid w:val="002E7678"/>
    <w:rsid w:val="002F029B"/>
    <w:rsid w:val="002F04E9"/>
    <w:rsid w:val="00300CE6"/>
    <w:rsid w:val="00304FD3"/>
    <w:rsid w:val="003072D7"/>
    <w:rsid w:val="00307329"/>
    <w:rsid w:val="0031035F"/>
    <w:rsid w:val="0031273D"/>
    <w:rsid w:val="00312BD9"/>
    <w:rsid w:val="0031334C"/>
    <w:rsid w:val="00316586"/>
    <w:rsid w:val="00322EAE"/>
    <w:rsid w:val="0032464C"/>
    <w:rsid w:val="00324FA8"/>
    <w:rsid w:val="00327320"/>
    <w:rsid w:val="0033000B"/>
    <w:rsid w:val="0033153C"/>
    <w:rsid w:val="0033153E"/>
    <w:rsid w:val="0033340E"/>
    <w:rsid w:val="00334916"/>
    <w:rsid w:val="00337F3E"/>
    <w:rsid w:val="00340929"/>
    <w:rsid w:val="003421FA"/>
    <w:rsid w:val="00342C12"/>
    <w:rsid w:val="003432C9"/>
    <w:rsid w:val="0034336F"/>
    <w:rsid w:val="003438CC"/>
    <w:rsid w:val="00345EFB"/>
    <w:rsid w:val="003466D0"/>
    <w:rsid w:val="003477AC"/>
    <w:rsid w:val="00347E60"/>
    <w:rsid w:val="00352F9A"/>
    <w:rsid w:val="00354E7D"/>
    <w:rsid w:val="003556CB"/>
    <w:rsid w:val="003570F0"/>
    <w:rsid w:val="003571DD"/>
    <w:rsid w:val="003619BF"/>
    <w:rsid w:val="00363505"/>
    <w:rsid w:val="00363B74"/>
    <w:rsid w:val="003643B3"/>
    <w:rsid w:val="00367E2F"/>
    <w:rsid w:val="003741A9"/>
    <w:rsid w:val="00375C84"/>
    <w:rsid w:val="0037656B"/>
    <w:rsid w:val="00376725"/>
    <w:rsid w:val="003816C9"/>
    <w:rsid w:val="00381BBB"/>
    <w:rsid w:val="00381E60"/>
    <w:rsid w:val="00382542"/>
    <w:rsid w:val="00383D7F"/>
    <w:rsid w:val="00384514"/>
    <w:rsid w:val="00384DD7"/>
    <w:rsid w:val="00386BDF"/>
    <w:rsid w:val="00390C6E"/>
    <w:rsid w:val="0039151E"/>
    <w:rsid w:val="003920BC"/>
    <w:rsid w:val="0039264B"/>
    <w:rsid w:val="003969FF"/>
    <w:rsid w:val="003A005B"/>
    <w:rsid w:val="003A0224"/>
    <w:rsid w:val="003A1066"/>
    <w:rsid w:val="003A21C8"/>
    <w:rsid w:val="003A2F73"/>
    <w:rsid w:val="003A5764"/>
    <w:rsid w:val="003B0594"/>
    <w:rsid w:val="003B1D24"/>
    <w:rsid w:val="003B1F1C"/>
    <w:rsid w:val="003B29BB"/>
    <w:rsid w:val="003B433D"/>
    <w:rsid w:val="003B4EA9"/>
    <w:rsid w:val="003B52AC"/>
    <w:rsid w:val="003B664A"/>
    <w:rsid w:val="003B6AE8"/>
    <w:rsid w:val="003C0E3B"/>
    <w:rsid w:val="003C2764"/>
    <w:rsid w:val="003C4670"/>
    <w:rsid w:val="003C4F4B"/>
    <w:rsid w:val="003C5DC8"/>
    <w:rsid w:val="003C62C2"/>
    <w:rsid w:val="003C73AD"/>
    <w:rsid w:val="003D075A"/>
    <w:rsid w:val="003D10FD"/>
    <w:rsid w:val="003D12D5"/>
    <w:rsid w:val="003D5233"/>
    <w:rsid w:val="003D52D4"/>
    <w:rsid w:val="003D53A0"/>
    <w:rsid w:val="003D580A"/>
    <w:rsid w:val="003D6F12"/>
    <w:rsid w:val="003D78B1"/>
    <w:rsid w:val="003E0B0F"/>
    <w:rsid w:val="003E2966"/>
    <w:rsid w:val="003E486C"/>
    <w:rsid w:val="003E6C27"/>
    <w:rsid w:val="003F0CB2"/>
    <w:rsid w:val="003F1094"/>
    <w:rsid w:val="003F4641"/>
    <w:rsid w:val="003F6AAB"/>
    <w:rsid w:val="0040005E"/>
    <w:rsid w:val="0040124C"/>
    <w:rsid w:val="004013E6"/>
    <w:rsid w:val="004014E3"/>
    <w:rsid w:val="0040202B"/>
    <w:rsid w:val="00403090"/>
    <w:rsid w:val="00403271"/>
    <w:rsid w:val="0040678B"/>
    <w:rsid w:val="0041089C"/>
    <w:rsid w:val="00410B45"/>
    <w:rsid w:val="00410C22"/>
    <w:rsid w:val="004133EA"/>
    <w:rsid w:val="00413438"/>
    <w:rsid w:val="00414C98"/>
    <w:rsid w:val="004151E5"/>
    <w:rsid w:val="00417192"/>
    <w:rsid w:val="00417869"/>
    <w:rsid w:val="004203CA"/>
    <w:rsid w:val="00424C69"/>
    <w:rsid w:val="00424F7D"/>
    <w:rsid w:val="00425CB0"/>
    <w:rsid w:val="004275BF"/>
    <w:rsid w:val="004302B3"/>
    <w:rsid w:val="00431129"/>
    <w:rsid w:val="0043115E"/>
    <w:rsid w:val="004314A8"/>
    <w:rsid w:val="00432134"/>
    <w:rsid w:val="0043347C"/>
    <w:rsid w:val="0043351B"/>
    <w:rsid w:val="0043497B"/>
    <w:rsid w:val="00436722"/>
    <w:rsid w:val="00440037"/>
    <w:rsid w:val="00441B30"/>
    <w:rsid w:val="00443CFC"/>
    <w:rsid w:val="00447776"/>
    <w:rsid w:val="00447A3B"/>
    <w:rsid w:val="00447A51"/>
    <w:rsid w:val="00451F00"/>
    <w:rsid w:val="004521B8"/>
    <w:rsid w:val="004538BE"/>
    <w:rsid w:val="00454F13"/>
    <w:rsid w:val="00455A79"/>
    <w:rsid w:val="0046207D"/>
    <w:rsid w:val="004631E3"/>
    <w:rsid w:val="004649D2"/>
    <w:rsid w:val="00466F5C"/>
    <w:rsid w:val="004672A6"/>
    <w:rsid w:val="00470654"/>
    <w:rsid w:val="0047106B"/>
    <w:rsid w:val="00474515"/>
    <w:rsid w:val="00475897"/>
    <w:rsid w:val="00475E67"/>
    <w:rsid w:val="004766D1"/>
    <w:rsid w:val="004777D7"/>
    <w:rsid w:val="0048080E"/>
    <w:rsid w:val="004842F1"/>
    <w:rsid w:val="00487EF5"/>
    <w:rsid w:val="0049208C"/>
    <w:rsid w:val="00493FD7"/>
    <w:rsid w:val="0049499C"/>
    <w:rsid w:val="004956FC"/>
    <w:rsid w:val="0049648E"/>
    <w:rsid w:val="004A0FB6"/>
    <w:rsid w:val="004A44E3"/>
    <w:rsid w:val="004A6C16"/>
    <w:rsid w:val="004A7F4A"/>
    <w:rsid w:val="004B468C"/>
    <w:rsid w:val="004B5BBA"/>
    <w:rsid w:val="004B6D4C"/>
    <w:rsid w:val="004B71A2"/>
    <w:rsid w:val="004B7FF1"/>
    <w:rsid w:val="004C019D"/>
    <w:rsid w:val="004C20C7"/>
    <w:rsid w:val="004C3443"/>
    <w:rsid w:val="004C3699"/>
    <w:rsid w:val="004C5D21"/>
    <w:rsid w:val="004C7FE9"/>
    <w:rsid w:val="004D053E"/>
    <w:rsid w:val="004D061C"/>
    <w:rsid w:val="004D1652"/>
    <w:rsid w:val="004D1F26"/>
    <w:rsid w:val="004D22FF"/>
    <w:rsid w:val="004D3AFB"/>
    <w:rsid w:val="004D3E26"/>
    <w:rsid w:val="004D4881"/>
    <w:rsid w:val="004D4D4B"/>
    <w:rsid w:val="004D6B09"/>
    <w:rsid w:val="004E111B"/>
    <w:rsid w:val="004E1FF2"/>
    <w:rsid w:val="004E2492"/>
    <w:rsid w:val="004E3941"/>
    <w:rsid w:val="004E3B65"/>
    <w:rsid w:val="004E48A0"/>
    <w:rsid w:val="004F0A30"/>
    <w:rsid w:val="0050055F"/>
    <w:rsid w:val="00501093"/>
    <w:rsid w:val="0050179F"/>
    <w:rsid w:val="005037AB"/>
    <w:rsid w:val="00505B23"/>
    <w:rsid w:val="005101E3"/>
    <w:rsid w:val="00510437"/>
    <w:rsid w:val="0051239E"/>
    <w:rsid w:val="0051389C"/>
    <w:rsid w:val="005140F3"/>
    <w:rsid w:val="005152CB"/>
    <w:rsid w:val="005223DF"/>
    <w:rsid w:val="005229E4"/>
    <w:rsid w:val="00523076"/>
    <w:rsid w:val="0052356C"/>
    <w:rsid w:val="00525180"/>
    <w:rsid w:val="00525642"/>
    <w:rsid w:val="00525FCC"/>
    <w:rsid w:val="00531418"/>
    <w:rsid w:val="00531783"/>
    <w:rsid w:val="00535FAC"/>
    <w:rsid w:val="00541666"/>
    <w:rsid w:val="005466B1"/>
    <w:rsid w:val="00550E38"/>
    <w:rsid w:val="00551A4F"/>
    <w:rsid w:val="00552C77"/>
    <w:rsid w:val="00553097"/>
    <w:rsid w:val="00554531"/>
    <w:rsid w:val="00554D29"/>
    <w:rsid w:val="00555BB4"/>
    <w:rsid w:val="00555F29"/>
    <w:rsid w:val="00556AD4"/>
    <w:rsid w:val="005578B2"/>
    <w:rsid w:val="005579F0"/>
    <w:rsid w:val="00563883"/>
    <w:rsid w:val="00564116"/>
    <w:rsid w:val="005648FC"/>
    <w:rsid w:val="005679AA"/>
    <w:rsid w:val="00570DA3"/>
    <w:rsid w:val="00571910"/>
    <w:rsid w:val="005743B7"/>
    <w:rsid w:val="0058066F"/>
    <w:rsid w:val="005815E6"/>
    <w:rsid w:val="0058222C"/>
    <w:rsid w:val="00583F6C"/>
    <w:rsid w:val="005842F9"/>
    <w:rsid w:val="00584876"/>
    <w:rsid w:val="00585156"/>
    <w:rsid w:val="005851CF"/>
    <w:rsid w:val="005869A5"/>
    <w:rsid w:val="0058735C"/>
    <w:rsid w:val="005874D2"/>
    <w:rsid w:val="005907CB"/>
    <w:rsid w:val="00592E31"/>
    <w:rsid w:val="005936AC"/>
    <w:rsid w:val="005A0389"/>
    <w:rsid w:val="005A37D8"/>
    <w:rsid w:val="005A5452"/>
    <w:rsid w:val="005A6366"/>
    <w:rsid w:val="005B0A93"/>
    <w:rsid w:val="005B19DE"/>
    <w:rsid w:val="005B4D77"/>
    <w:rsid w:val="005B4DB7"/>
    <w:rsid w:val="005B6706"/>
    <w:rsid w:val="005B74A0"/>
    <w:rsid w:val="005B753D"/>
    <w:rsid w:val="005C2471"/>
    <w:rsid w:val="005C347B"/>
    <w:rsid w:val="005C3676"/>
    <w:rsid w:val="005C5AAE"/>
    <w:rsid w:val="005C6784"/>
    <w:rsid w:val="005C7EF1"/>
    <w:rsid w:val="005D0F5D"/>
    <w:rsid w:val="005D7CA4"/>
    <w:rsid w:val="005E0EA5"/>
    <w:rsid w:val="005E1237"/>
    <w:rsid w:val="005E146F"/>
    <w:rsid w:val="005E42A7"/>
    <w:rsid w:val="005E59FB"/>
    <w:rsid w:val="005E6767"/>
    <w:rsid w:val="005E786C"/>
    <w:rsid w:val="005F2D00"/>
    <w:rsid w:val="005F32D1"/>
    <w:rsid w:val="005F3481"/>
    <w:rsid w:val="005F3A86"/>
    <w:rsid w:val="005F5696"/>
    <w:rsid w:val="005F6654"/>
    <w:rsid w:val="005F674C"/>
    <w:rsid w:val="00601483"/>
    <w:rsid w:val="006018CB"/>
    <w:rsid w:val="006047B3"/>
    <w:rsid w:val="00606921"/>
    <w:rsid w:val="006074E7"/>
    <w:rsid w:val="00607A74"/>
    <w:rsid w:val="00607DFD"/>
    <w:rsid w:val="0061195D"/>
    <w:rsid w:val="006125D4"/>
    <w:rsid w:val="00613E9C"/>
    <w:rsid w:val="00613EBE"/>
    <w:rsid w:val="00613F4E"/>
    <w:rsid w:val="0061681B"/>
    <w:rsid w:val="006210A5"/>
    <w:rsid w:val="006231C8"/>
    <w:rsid w:val="0062459D"/>
    <w:rsid w:val="00624E8B"/>
    <w:rsid w:val="00631308"/>
    <w:rsid w:val="00632CEE"/>
    <w:rsid w:val="00635B43"/>
    <w:rsid w:val="006405E6"/>
    <w:rsid w:val="006412F5"/>
    <w:rsid w:val="006424BB"/>
    <w:rsid w:val="00644294"/>
    <w:rsid w:val="00646A9B"/>
    <w:rsid w:val="00651A0A"/>
    <w:rsid w:val="00651C40"/>
    <w:rsid w:val="00651C73"/>
    <w:rsid w:val="00652C8E"/>
    <w:rsid w:val="00653327"/>
    <w:rsid w:val="006549CA"/>
    <w:rsid w:val="0065502D"/>
    <w:rsid w:val="00657282"/>
    <w:rsid w:val="00661B33"/>
    <w:rsid w:val="00664325"/>
    <w:rsid w:val="006675A0"/>
    <w:rsid w:val="00667E97"/>
    <w:rsid w:val="006704F0"/>
    <w:rsid w:val="006708C6"/>
    <w:rsid w:val="006708DB"/>
    <w:rsid w:val="006711ED"/>
    <w:rsid w:val="00675331"/>
    <w:rsid w:val="00676B8D"/>
    <w:rsid w:val="006774E6"/>
    <w:rsid w:val="00677868"/>
    <w:rsid w:val="00677D3E"/>
    <w:rsid w:val="0068183E"/>
    <w:rsid w:val="00683437"/>
    <w:rsid w:val="006839E1"/>
    <w:rsid w:val="0068598F"/>
    <w:rsid w:val="00686223"/>
    <w:rsid w:val="00687485"/>
    <w:rsid w:val="00687E03"/>
    <w:rsid w:val="00690E0C"/>
    <w:rsid w:val="00691143"/>
    <w:rsid w:val="00692A3B"/>
    <w:rsid w:val="00693295"/>
    <w:rsid w:val="00693BF0"/>
    <w:rsid w:val="0069624A"/>
    <w:rsid w:val="00697AAB"/>
    <w:rsid w:val="006A10FB"/>
    <w:rsid w:val="006A18BD"/>
    <w:rsid w:val="006A229B"/>
    <w:rsid w:val="006A2868"/>
    <w:rsid w:val="006A61A2"/>
    <w:rsid w:val="006A647B"/>
    <w:rsid w:val="006A71FE"/>
    <w:rsid w:val="006A7B98"/>
    <w:rsid w:val="006B162E"/>
    <w:rsid w:val="006B17A4"/>
    <w:rsid w:val="006B265E"/>
    <w:rsid w:val="006B3251"/>
    <w:rsid w:val="006B66D6"/>
    <w:rsid w:val="006C06B6"/>
    <w:rsid w:val="006C28BC"/>
    <w:rsid w:val="006C6976"/>
    <w:rsid w:val="006C721C"/>
    <w:rsid w:val="006C76EB"/>
    <w:rsid w:val="006D3A3E"/>
    <w:rsid w:val="006D5FE5"/>
    <w:rsid w:val="006D6B89"/>
    <w:rsid w:val="006D7593"/>
    <w:rsid w:val="006D7607"/>
    <w:rsid w:val="006E03C9"/>
    <w:rsid w:val="006E26EF"/>
    <w:rsid w:val="006E2C76"/>
    <w:rsid w:val="006E2CE2"/>
    <w:rsid w:val="006E6A3D"/>
    <w:rsid w:val="006E7294"/>
    <w:rsid w:val="006F0A6D"/>
    <w:rsid w:val="006F2061"/>
    <w:rsid w:val="006F2BCF"/>
    <w:rsid w:val="006F2F5B"/>
    <w:rsid w:val="006F4B19"/>
    <w:rsid w:val="006F57F6"/>
    <w:rsid w:val="00702856"/>
    <w:rsid w:val="00704DBF"/>
    <w:rsid w:val="007070E3"/>
    <w:rsid w:val="00711D66"/>
    <w:rsid w:val="007137C0"/>
    <w:rsid w:val="00715538"/>
    <w:rsid w:val="00715686"/>
    <w:rsid w:val="00715F83"/>
    <w:rsid w:val="00717A5E"/>
    <w:rsid w:val="00717BC7"/>
    <w:rsid w:val="00717EF7"/>
    <w:rsid w:val="0072106D"/>
    <w:rsid w:val="0072141B"/>
    <w:rsid w:val="007228E3"/>
    <w:rsid w:val="0072518F"/>
    <w:rsid w:val="00730B5B"/>
    <w:rsid w:val="007321E2"/>
    <w:rsid w:val="007413B3"/>
    <w:rsid w:val="00741D39"/>
    <w:rsid w:val="007442D6"/>
    <w:rsid w:val="007464B4"/>
    <w:rsid w:val="00752031"/>
    <w:rsid w:val="00752C15"/>
    <w:rsid w:val="00753291"/>
    <w:rsid w:val="0075384B"/>
    <w:rsid w:val="00754FD1"/>
    <w:rsid w:val="00756619"/>
    <w:rsid w:val="007601C9"/>
    <w:rsid w:val="007611FB"/>
    <w:rsid w:val="0076222E"/>
    <w:rsid w:val="00764461"/>
    <w:rsid w:val="007675C9"/>
    <w:rsid w:val="00767652"/>
    <w:rsid w:val="007751A7"/>
    <w:rsid w:val="0078212E"/>
    <w:rsid w:val="0078280F"/>
    <w:rsid w:val="00782F33"/>
    <w:rsid w:val="007878E4"/>
    <w:rsid w:val="00790FB2"/>
    <w:rsid w:val="00792BA2"/>
    <w:rsid w:val="00793AFC"/>
    <w:rsid w:val="00794378"/>
    <w:rsid w:val="007A0C8A"/>
    <w:rsid w:val="007A0D9C"/>
    <w:rsid w:val="007A1B64"/>
    <w:rsid w:val="007A2092"/>
    <w:rsid w:val="007A2DF9"/>
    <w:rsid w:val="007A50A6"/>
    <w:rsid w:val="007B2BAF"/>
    <w:rsid w:val="007B3174"/>
    <w:rsid w:val="007B4AED"/>
    <w:rsid w:val="007B4C23"/>
    <w:rsid w:val="007B4E3D"/>
    <w:rsid w:val="007B5559"/>
    <w:rsid w:val="007B58FB"/>
    <w:rsid w:val="007B5E0D"/>
    <w:rsid w:val="007C0456"/>
    <w:rsid w:val="007C093F"/>
    <w:rsid w:val="007C2264"/>
    <w:rsid w:val="007C324C"/>
    <w:rsid w:val="007C337C"/>
    <w:rsid w:val="007C428B"/>
    <w:rsid w:val="007C5893"/>
    <w:rsid w:val="007C61B7"/>
    <w:rsid w:val="007D0C80"/>
    <w:rsid w:val="007D128C"/>
    <w:rsid w:val="007D3746"/>
    <w:rsid w:val="007D6DB6"/>
    <w:rsid w:val="007D7F17"/>
    <w:rsid w:val="007E2A6F"/>
    <w:rsid w:val="007E560E"/>
    <w:rsid w:val="007E5E39"/>
    <w:rsid w:val="007E7F5F"/>
    <w:rsid w:val="007F5134"/>
    <w:rsid w:val="007F589E"/>
    <w:rsid w:val="007F674C"/>
    <w:rsid w:val="007F724C"/>
    <w:rsid w:val="007F754C"/>
    <w:rsid w:val="007F7FDD"/>
    <w:rsid w:val="00806187"/>
    <w:rsid w:val="0080701F"/>
    <w:rsid w:val="008078CA"/>
    <w:rsid w:val="00813130"/>
    <w:rsid w:val="00814619"/>
    <w:rsid w:val="00820695"/>
    <w:rsid w:val="008211A6"/>
    <w:rsid w:val="00827243"/>
    <w:rsid w:val="0083160A"/>
    <w:rsid w:val="00832A97"/>
    <w:rsid w:val="008339DA"/>
    <w:rsid w:val="00833C78"/>
    <w:rsid w:val="00842DB9"/>
    <w:rsid w:val="00843AAA"/>
    <w:rsid w:val="00845EE5"/>
    <w:rsid w:val="0084634B"/>
    <w:rsid w:val="00850D44"/>
    <w:rsid w:val="008525F7"/>
    <w:rsid w:val="0085285B"/>
    <w:rsid w:val="00852EB1"/>
    <w:rsid w:val="00854BF1"/>
    <w:rsid w:val="008572EC"/>
    <w:rsid w:val="0086358F"/>
    <w:rsid w:val="00864EB1"/>
    <w:rsid w:val="00871379"/>
    <w:rsid w:val="0087242C"/>
    <w:rsid w:val="00873FB1"/>
    <w:rsid w:val="008757C6"/>
    <w:rsid w:val="00875AF1"/>
    <w:rsid w:val="008764DC"/>
    <w:rsid w:val="008766EF"/>
    <w:rsid w:val="00876886"/>
    <w:rsid w:val="00876AA6"/>
    <w:rsid w:val="0088447D"/>
    <w:rsid w:val="00885E7B"/>
    <w:rsid w:val="00886445"/>
    <w:rsid w:val="0089054F"/>
    <w:rsid w:val="00890BE9"/>
    <w:rsid w:val="0089196D"/>
    <w:rsid w:val="008A0CF2"/>
    <w:rsid w:val="008A2CBF"/>
    <w:rsid w:val="008A5CC2"/>
    <w:rsid w:val="008B340F"/>
    <w:rsid w:val="008B3ADB"/>
    <w:rsid w:val="008B66DB"/>
    <w:rsid w:val="008B6E69"/>
    <w:rsid w:val="008B7866"/>
    <w:rsid w:val="008C00AA"/>
    <w:rsid w:val="008C05D9"/>
    <w:rsid w:val="008C12F6"/>
    <w:rsid w:val="008C1A9E"/>
    <w:rsid w:val="008C2BF7"/>
    <w:rsid w:val="008C5460"/>
    <w:rsid w:val="008C5AAC"/>
    <w:rsid w:val="008D00AF"/>
    <w:rsid w:val="008D0AB6"/>
    <w:rsid w:val="008D0BD0"/>
    <w:rsid w:val="008D3FFD"/>
    <w:rsid w:val="008D6094"/>
    <w:rsid w:val="008D633E"/>
    <w:rsid w:val="008D6E26"/>
    <w:rsid w:val="008E0487"/>
    <w:rsid w:val="008E19F1"/>
    <w:rsid w:val="008E1E0B"/>
    <w:rsid w:val="008E2109"/>
    <w:rsid w:val="008F0D96"/>
    <w:rsid w:val="008F1126"/>
    <w:rsid w:val="008F2D68"/>
    <w:rsid w:val="008F3C74"/>
    <w:rsid w:val="008F3E52"/>
    <w:rsid w:val="008F3F4E"/>
    <w:rsid w:val="008F476C"/>
    <w:rsid w:val="008F4901"/>
    <w:rsid w:val="008F7043"/>
    <w:rsid w:val="008F70A3"/>
    <w:rsid w:val="009003E4"/>
    <w:rsid w:val="0090216E"/>
    <w:rsid w:val="00905883"/>
    <w:rsid w:val="009060A7"/>
    <w:rsid w:val="00906288"/>
    <w:rsid w:val="00907270"/>
    <w:rsid w:val="0091544D"/>
    <w:rsid w:val="00915C20"/>
    <w:rsid w:val="009163FD"/>
    <w:rsid w:val="00917996"/>
    <w:rsid w:val="009213FB"/>
    <w:rsid w:val="009216FB"/>
    <w:rsid w:val="00923619"/>
    <w:rsid w:val="00923B60"/>
    <w:rsid w:val="00924DC8"/>
    <w:rsid w:val="009251DB"/>
    <w:rsid w:val="00927E5D"/>
    <w:rsid w:val="0093310C"/>
    <w:rsid w:val="00935078"/>
    <w:rsid w:val="009356B5"/>
    <w:rsid w:val="00937CB2"/>
    <w:rsid w:val="00937E15"/>
    <w:rsid w:val="00937FF0"/>
    <w:rsid w:val="009411A3"/>
    <w:rsid w:val="009426E5"/>
    <w:rsid w:val="00943E2F"/>
    <w:rsid w:val="00946057"/>
    <w:rsid w:val="0094609C"/>
    <w:rsid w:val="00946265"/>
    <w:rsid w:val="00946668"/>
    <w:rsid w:val="00947BD5"/>
    <w:rsid w:val="00951D5B"/>
    <w:rsid w:val="00951D68"/>
    <w:rsid w:val="00954321"/>
    <w:rsid w:val="0095472C"/>
    <w:rsid w:val="009565C3"/>
    <w:rsid w:val="009575CE"/>
    <w:rsid w:val="00957829"/>
    <w:rsid w:val="00960655"/>
    <w:rsid w:val="009618FB"/>
    <w:rsid w:val="009623AA"/>
    <w:rsid w:val="0096678C"/>
    <w:rsid w:val="00972AFF"/>
    <w:rsid w:val="00973B9D"/>
    <w:rsid w:val="00974835"/>
    <w:rsid w:val="00974B4C"/>
    <w:rsid w:val="00977A15"/>
    <w:rsid w:val="0098020F"/>
    <w:rsid w:val="00981589"/>
    <w:rsid w:val="00982181"/>
    <w:rsid w:val="00985225"/>
    <w:rsid w:val="00985CB4"/>
    <w:rsid w:val="00987E64"/>
    <w:rsid w:val="009902CE"/>
    <w:rsid w:val="00990934"/>
    <w:rsid w:val="009914A8"/>
    <w:rsid w:val="00992E2E"/>
    <w:rsid w:val="0099401C"/>
    <w:rsid w:val="009A0D9C"/>
    <w:rsid w:val="009A474E"/>
    <w:rsid w:val="009A6389"/>
    <w:rsid w:val="009A6896"/>
    <w:rsid w:val="009A7E59"/>
    <w:rsid w:val="009B0C12"/>
    <w:rsid w:val="009B237D"/>
    <w:rsid w:val="009B2AD6"/>
    <w:rsid w:val="009B3628"/>
    <w:rsid w:val="009B4934"/>
    <w:rsid w:val="009B4F65"/>
    <w:rsid w:val="009B56AF"/>
    <w:rsid w:val="009B5F04"/>
    <w:rsid w:val="009B5F9E"/>
    <w:rsid w:val="009B6418"/>
    <w:rsid w:val="009B689B"/>
    <w:rsid w:val="009B68D7"/>
    <w:rsid w:val="009B6FBE"/>
    <w:rsid w:val="009C0BE4"/>
    <w:rsid w:val="009C0DC1"/>
    <w:rsid w:val="009C0E99"/>
    <w:rsid w:val="009C384C"/>
    <w:rsid w:val="009C64CD"/>
    <w:rsid w:val="009C7E1B"/>
    <w:rsid w:val="009D00D2"/>
    <w:rsid w:val="009D0E1E"/>
    <w:rsid w:val="009D198D"/>
    <w:rsid w:val="009D4A70"/>
    <w:rsid w:val="009D6D91"/>
    <w:rsid w:val="009E0B14"/>
    <w:rsid w:val="009E2C16"/>
    <w:rsid w:val="009E3429"/>
    <w:rsid w:val="009E4C4B"/>
    <w:rsid w:val="009E77D4"/>
    <w:rsid w:val="009F1038"/>
    <w:rsid w:val="009F367E"/>
    <w:rsid w:val="009F4E91"/>
    <w:rsid w:val="009F52E3"/>
    <w:rsid w:val="009F6253"/>
    <w:rsid w:val="009F70D4"/>
    <w:rsid w:val="00A005A4"/>
    <w:rsid w:val="00A00C1B"/>
    <w:rsid w:val="00A03792"/>
    <w:rsid w:val="00A10A6C"/>
    <w:rsid w:val="00A10B96"/>
    <w:rsid w:val="00A21093"/>
    <w:rsid w:val="00A212F4"/>
    <w:rsid w:val="00A24712"/>
    <w:rsid w:val="00A249F8"/>
    <w:rsid w:val="00A2584A"/>
    <w:rsid w:val="00A26299"/>
    <w:rsid w:val="00A30087"/>
    <w:rsid w:val="00A344B1"/>
    <w:rsid w:val="00A370BE"/>
    <w:rsid w:val="00A37931"/>
    <w:rsid w:val="00A40D6D"/>
    <w:rsid w:val="00A40DB6"/>
    <w:rsid w:val="00A41E53"/>
    <w:rsid w:val="00A437C3"/>
    <w:rsid w:val="00A443EC"/>
    <w:rsid w:val="00A469F7"/>
    <w:rsid w:val="00A46D3B"/>
    <w:rsid w:val="00A50764"/>
    <w:rsid w:val="00A515E2"/>
    <w:rsid w:val="00A51DAD"/>
    <w:rsid w:val="00A5343F"/>
    <w:rsid w:val="00A638A8"/>
    <w:rsid w:val="00A65CDB"/>
    <w:rsid w:val="00A67091"/>
    <w:rsid w:val="00A67521"/>
    <w:rsid w:val="00A67BD1"/>
    <w:rsid w:val="00A67C1A"/>
    <w:rsid w:val="00A710C4"/>
    <w:rsid w:val="00A71729"/>
    <w:rsid w:val="00A75200"/>
    <w:rsid w:val="00A7524E"/>
    <w:rsid w:val="00A80A73"/>
    <w:rsid w:val="00A81D61"/>
    <w:rsid w:val="00A828B2"/>
    <w:rsid w:val="00A82C83"/>
    <w:rsid w:val="00A8555D"/>
    <w:rsid w:val="00A85FBC"/>
    <w:rsid w:val="00A8601B"/>
    <w:rsid w:val="00A8601F"/>
    <w:rsid w:val="00A8717A"/>
    <w:rsid w:val="00A878C6"/>
    <w:rsid w:val="00A908A6"/>
    <w:rsid w:val="00A91F5D"/>
    <w:rsid w:val="00A93555"/>
    <w:rsid w:val="00A93644"/>
    <w:rsid w:val="00A94FF9"/>
    <w:rsid w:val="00A96922"/>
    <w:rsid w:val="00AA1620"/>
    <w:rsid w:val="00AA3396"/>
    <w:rsid w:val="00AA3A29"/>
    <w:rsid w:val="00AA4D96"/>
    <w:rsid w:val="00AA72C8"/>
    <w:rsid w:val="00AB4DAB"/>
    <w:rsid w:val="00AB5FD9"/>
    <w:rsid w:val="00AC289F"/>
    <w:rsid w:val="00AC3778"/>
    <w:rsid w:val="00AC3D7B"/>
    <w:rsid w:val="00AC58D7"/>
    <w:rsid w:val="00AD2ABA"/>
    <w:rsid w:val="00AD4ABF"/>
    <w:rsid w:val="00AD6148"/>
    <w:rsid w:val="00AE3B10"/>
    <w:rsid w:val="00AE5631"/>
    <w:rsid w:val="00AE5766"/>
    <w:rsid w:val="00AE6947"/>
    <w:rsid w:val="00AF1945"/>
    <w:rsid w:val="00AF381C"/>
    <w:rsid w:val="00AF5828"/>
    <w:rsid w:val="00AF6AF9"/>
    <w:rsid w:val="00AF6DC4"/>
    <w:rsid w:val="00B04EA8"/>
    <w:rsid w:val="00B06F74"/>
    <w:rsid w:val="00B075B4"/>
    <w:rsid w:val="00B10786"/>
    <w:rsid w:val="00B124FF"/>
    <w:rsid w:val="00B132FB"/>
    <w:rsid w:val="00B13647"/>
    <w:rsid w:val="00B13EA3"/>
    <w:rsid w:val="00B16194"/>
    <w:rsid w:val="00B17800"/>
    <w:rsid w:val="00B20C89"/>
    <w:rsid w:val="00B216A0"/>
    <w:rsid w:val="00B25C34"/>
    <w:rsid w:val="00B26C5B"/>
    <w:rsid w:val="00B26D7E"/>
    <w:rsid w:val="00B276E0"/>
    <w:rsid w:val="00B278C7"/>
    <w:rsid w:val="00B30498"/>
    <w:rsid w:val="00B35B95"/>
    <w:rsid w:val="00B36959"/>
    <w:rsid w:val="00B43684"/>
    <w:rsid w:val="00B454BD"/>
    <w:rsid w:val="00B47F97"/>
    <w:rsid w:val="00B508AD"/>
    <w:rsid w:val="00B51C05"/>
    <w:rsid w:val="00B5343A"/>
    <w:rsid w:val="00B56E51"/>
    <w:rsid w:val="00B57964"/>
    <w:rsid w:val="00B57FD3"/>
    <w:rsid w:val="00B60E19"/>
    <w:rsid w:val="00B60FFC"/>
    <w:rsid w:val="00B61565"/>
    <w:rsid w:val="00B64BDB"/>
    <w:rsid w:val="00B656FF"/>
    <w:rsid w:val="00B658F6"/>
    <w:rsid w:val="00B6660E"/>
    <w:rsid w:val="00B720DF"/>
    <w:rsid w:val="00B74809"/>
    <w:rsid w:val="00B750B2"/>
    <w:rsid w:val="00B757E5"/>
    <w:rsid w:val="00B76167"/>
    <w:rsid w:val="00B7726E"/>
    <w:rsid w:val="00B80226"/>
    <w:rsid w:val="00B80342"/>
    <w:rsid w:val="00B807DC"/>
    <w:rsid w:val="00B82130"/>
    <w:rsid w:val="00B824E7"/>
    <w:rsid w:val="00B82B82"/>
    <w:rsid w:val="00B82EEC"/>
    <w:rsid w:val="00B83F0E"/>
    <w:rsid w:val="00B8489D"/>
    <w:rsid w:val="00B85DDD"/>
    <w:rsid w:val="00B90F0D"/>
    <w:rsid w:val="00B91788"/>
    <w:rsid w:val="00B92728"/>
    <w:rsid w:val="00B92E1C"/>
    <w:rsid w:val="00B94BD2"/>
    <w:rsid w:val="00BA0A2C"/>
    <w:rsid w:val="00BA268A"/>
    <w:rsid w:val="00BA34F8"/>
    <w:rsid w:val="00BA3652"/>
    <w:rsid w:val="00BA4A95"/>
    <w:rsid w:val="00BA6F41"/>
    <w:rsid w:val="00BB21BD"/>
    <w:rsid w:val="00BB21EA"/>
    <w:rsid w:val="00BB2CCC"/>
    <w:rsid w:val="00BB2FAE"/>
    <w:rsid w:val="00BB44E5"/>
    <w:rsid w:val="00BB735E"/>
    <w:rsid w:val="00BB76EA"/>
    <w:rsid w:val="00BC0988"/>
    <w:rsid w:val="00BC0E79"/>
    <w:rsid w:val="00BC1580"/>
    <w:rsid w:val="00BC1DE9"/>
    <w:rsid w:val="00BC2BAF"/>
    <w:rsid w:val="00BC2E51"/>
    <w:rsid w:val="00BC33E0"/>
    <w:rsid w:val="00BC3B43"/>
    <w:rsid w:val="00BC3EAE"/>
    <w:rsid w:val="00BC50A8"/>
    <w:rsid w:val="00BC70DA"/>
    <w:rsid w:val="00BD311D"/>
    <w:rsid w:val="00BD610C"/>
    <w:rsid w:val="00BD618C"/>
    <w:rsid w:val="00BE1D5C"/>
    <w:rsid w:val="00BE2003"/>
    <w:rsid w:val="00BE2A4E"/>
    <w:rsid w:val="00BE3698"/>
    <w:rsid w:val="00BE40BB"/>
    <w:rsid w:val="00BE44CB"/>
    <w:rsid w:val="00BE7194"/>
    <w:rsid w:val="00BE789E"/>
    <w:rsid w:val="00BF054A"/>
    <w:rsid w:val="00BF240F"/>
    <w:rsid w:val="00BF27AA"/>
    <w:rsid w:val="00BF2DB6"/>
    <w:rsid w:val="00BF3A2C"/>
    <w:rsid w:val="00BF4B1D"/>
    <w:rsid w:val="00BF6955"/>
    <w:rsid w:val="00BF7044"/>
    <w:rsid w:val="00C0055A"/>
    <w:rsid w:val="00C005D4"/>
    <w:rsid w:val="00C011B5"/>
    <w:rsid w:val="00C02324"/>
    <w:rsid w:val="00C027B1"/>
    <w:rsid w:val="00C04342"/>
    <w:rsid w:val="00C0488E"/>
    <w:rsid w:val="00C0687B"/>
    <w:rsid w:val="00C11CED"/>
    <w:rsid w:val="00C1268C"/>
    <w:rsid w:val="00C15A4A"/>
    <w:rsid w:val="00C17189"/>
    <w:rsid w:val="00C17A1E"/>
    <w:rsid w:val="00C21F0D"/>
    <w:rsid w:val="00C23807"/>
    <w:rsid w:val="00C2794D"/>
    <w:rsid w:val="00C279CA"/>
    <w:rsid w:val="00C27A8D"/>
    <w:rsid w:val="00C30D91"/>
    <w:rsid w:val="00C31408"/>
    <w:rsid w:val="00C31E65"/>
    <w:rsid w:val="00C34D6F"/>
    <w:rsid w:val="00C36CA3"/>
    <w:rsid w:val="00C4479C"/>
    <w:rsid w:val="00C46DF9"/>
    <w:rsid w:val="00C51789"/>
    <w:rsid w:val="00C5243A"/>
    <w:rsid w:val="00C52C8E"/>
    <w:rsid w:val="00C55BD2"/>
    <w:rsid w:val="00C55D1A"/>
    <w:rsid w:val="00C56AE5"/>
    <w:rsid w:val="00C57B53"/>
    <w:rsid w:val="00C62AFE"/>
    <w:rsid w:val="00C66E22"/>
    <w:rsid w:val="00C67198"/>
    <w:rsid w:val="00C67593"/>
    <w:rsid w:val="00C74F95"/>
    <w:rsid w:val="00C7575F"/>
    <w:rsid w:val="00C75A71"/>
    <w:rsid w:val="00C766C4"/>
    <w:rsid w:val="00C81FAA"/>
    <w:rsid w:val="00C8260C"/>
    <w:rsid w:val="00C8405C"/>
    <w:rsid w:val="00C84657"/>
    <w:rsid w:val="00C84D79"/>
    <w:rsid w:val="00C87119"/>
    <w:rsid w:val="00C87B63"/>
    <w:rsid w:val="00C90FAB"/>
    <w:rsid w:val="00C91FB1"/>
    <w:rsid w:val="00C955AA"/>
    <w:rsid w:val="00C96BBC"/>
    <w:rsid w:val="00CA1D6E"/>
    <w:rsid w:val="00CA4403"/>
    <w:rsid w:val="00CA5587"/>
    <w:rsid w:val="00CA681B"/>
    <w:rsid w:val="00CB5EBC"/>
    <w:rsid w:val="00CB682E"/>
    <w:rsid w:val="00CB7F84"/>
    <w:rsid w:val="00CC44E4"/>
    <w:rsid w:val="00CC5080"/>
    <w:rsid w:val="00CD0162"/>
    <w:rsid w:val="00CD3415"/>
    <w:rsid w:val="00CE0743"/>
    <w:rsid w:val="00CE1EB3"/>
    <w:rsid w:val="00CE219D"/>
    <w:rsid w:val="00CE339E"/>
    <w:rsid w:val="00CE4770"/>
    <w:rsid w:val="00CE5064"/>
    <w:rsid w:val="00CF582A"/>
    <w:rsid w:val="00CF6377"/>
    <w:rsid w:val="00D0035C"/>
    <w:rsid w:val="00D01615"/>
    <w:rsid w:val="00D02D34"/>
    <w:rsid w:val="00D06788"/>
    <w:rsid w:val="00D1108F"/>
    <w:rsid w:val="00D11410"/>
    <w:rsid w:val="00D14083"/>
    <w:rsid w:val="00D275DD"/>
    <w:rsid w:val="00D27872"/>
    <w:rsid w:val="00D32797"/>
    <w:rsid w:val="00D33389"/>
    <w:rsid w:val="00D3485E"/>
    <w:rsid w:val="00D36011"/>
    <w:rsid w:val="00D3615F"/>
    <w:rsid w:val="00D37F4A"/>
    <w:rsid w:val="00D44E8B"/>
    <w:rsid w:val="00D473E9"/>
    <w:rsid w:val="00D501F2"/>
    <w:rsid w:val="00D51098"/>
    <w:rsid w:val="00D51849"/>
    <w:rsid w:val="00D53626"/>
    <w:rsid w:val="00D563F0"/>
    <w:rsid w:val="00D572AB"/>
    <w:rsid w:val="00D57637"/>
    <w:rsid w:val="00D64200"/>
    <w:rsid w:val="00D658EA"/>
    <w:rsid w:val="00D70F3E"/>
    <w:rsid w:val="00D71A6E"/>
    <w:rsid w:val="00D71AF3"/>
    <w:rsid w:val="00D74333"/>
    <w:rsid w:val="00D744D1"/>
    <w:rsid w:val="00D746DA"/>
    <w:rsid w:val="00D75495"/>
    <w:rsid w:val="00D75700"/>
    <w:rsid w:val="00D77433"/>
    <w:rsid w:val="00D80398"/>
    <w:rsid w:val="00D81B67"/>
    <w:rsid w:val="00D847ED"/>
    <w:rsid w:val="00D86062"/>
    <w:rsid w:val="00D95278"/>
    <w:rsid w:val="00D969A3"/>
    <w:rsid w:val="00DA0313"/>
    <w:rsid w:val="00DA0FAC"/>
    <w:rsid w:val="00DA2091"/>
    <w:rsid w:val="00DA4419"/>
    <w:rsid w:val="00DA6E8C"/>
    <w:rsid w:val="00DB05BE"/>
    <w:rsid w:val="00DB0B42"/>
    <w:rsid w:val="00DB3CFB"/>
    <w:rsid w:val="00DB5301"/>
    <w:rsid w:val="00DB5F66"/>
    <w:rsid w:val="00DB627A"/>
    <w:rsid w:val="00DB6EDE"/>
    <w:rsid w:val="00DB7258"/>
    <w:rsid w:val="00DB7AD5"/>
    <w:rsid w:val="00DC0216"/>
    <w:rsid w:val="00DC1A2D"/>
    <w:rsid w:val="00DC4DFF"/>
    <w:rsid w:val="00DC5ED7"/>
    <w:rsid w:val="00DC5F65"/>
    <w:rsid w:val="00DC601B"/>
    <w:rsid w:val="00DD10E9"/>
    <w:rsid w:val="00DD1E02"/>
    <w:rsid w:val="00DD28E6"/>
    <w:rsid w:val="00DD4480"/>
    <w:rsid w:val="00DD491A"/>
    <w:rsid w:val="00DD5C63"/>
    <w:rsid w:val="00DD5DB1"/>
    <w:rsid w:val="00DD5E2D"/>
    <w:rsid w:val="00DD7CFA"/>
    <w:rsid w:val="00DE7DE5"/>
    <w:rsid w:val="00DF0EFF"/>
    <w:rsid w:val="00DF19A6"/>
    <w:rsid w:val="00DF23F1"/>
    <w:rsid w:val="00DF2983"/>
    <w:rsid w:val="00DF46EC"/>
    <w:rsid w:val="00DF555C"/>
    <w:rsid w:val="00DF7A21"/>
    <w:rsid w:val="00E00626"/>
    <w:rsid w:val="00E0135A"/>
    <w:rsid w:val="00E0461F"/>
    <w:rsid w:val="00E06386"/>
    <w:rsid w:val="00E063E6"/>
    <w:rsid w:val="00E12CC5"/>
    <w:rsid w:val="00E150BD"/>
    <w:rsid w:val="00E20859"/>
    <w:rsid w:val="00E23918"/>
    <w:rsid w:val="00E244C6"/>
    <w:rsid w:val="00E24AD3"/>
    <w:rsid w:val="00E25BAC"/>
    <w:rsid w:val="00E27855"/>
    <w:rsid w:val="00E27D03"/>
    <w:rsid w:val="00E30C1F"/>
    <w:rsid w:val="00E312BE"/>
    <w:rsid w:val="00E31528"/>
    <w:rsid w:val="00E31DA1"/>
    <w:rsid w:val="00E3426E"/>
    <w:rsid w:val="00E349E5"/>
    <w:rsid w:val="00E351D1"/>
    <w:rsid w:val="00E355FE"/>
    <w:rsid w:val="00E36D9C"/>
    <w:rsid w:val="00E4007B"/>
    <w:rsid w:val="00E40480"/>
    <w:rsid w:val="00E415ED"/>
    <w:rsid w:val="00E42107"/>
    <w:rsid w:val="00E42A8D"/>
    <w:rsid w:val="00E432CB"/>
    <w:rsid w:val="00E511F7"/>
    <w:rsid w:val="00E52550"/>
    <w:rsid w:val="00E5362E"/>
    <w:rsid w:val="00E53F97"/>
    <w:rsid w:val="00E55227"/>
    <w:rsid w:val="00E554C8"/>
    <w:rsid w:val="00E5653D"/>
    <w:rsid w:val="00E56753"/>
    <w:rsid w:val="00E5742A"/>
    <w:rsid w:val="00E62BD0"/>
    <w:rsid w:val="00E6424B"/>
    <w:rsid w:val="00E708E6"/>
    <w:rsid w:val="00E709BF"/>
    <w:rsid w:val="00E73B58"/>
    <w:rsid w:val="00E74841"/>
    <w:rsid w:val="00E750E5"/>
    <w:rsid w:val="00E7539A"/>
    <w:rsid w:val="00E7655E"/>
    <w:rsid w:val="00E8064B"/>
    <w:rsid w:val="00E807C6"/>
    <w:rsid w:val="00E84204"/>
    <w:rsid w:val="00E85997"/>
    <w:rsid w:val="00E85D91"/>
    <w:rsid w:val="00E86707"/>
    <w:rsid w:val="00E86BC0"/>
    <w:rsid w:val="00E91484"/>
    <w:rsid w:val="00E91E48"/>
    <w:rsid w:val="00E92823"/>
    <w:rsid w:val="00E943CB"/>
    <w:rsid w:val="00E94823"/>
    <w:rsid w:val="00E953C6"/>
    <w:rsid w:val="00E970B2"/>
    <w:rsid w:val="00EA0AE7"/>
    <w:rsid w:val="00EA698A"/>
    <w:rsid w:val="00EA6F4C"/>
    <w:rsid w:val="00EB158D"/>
    <w:rsid w:val="00EB1B9C"/>
    <w:rsid w:val="00EB27BF"/>
    <w:rsid w:val="00EB3DD9"/>
    <w:rsid w:val="00EB483D"/>
    <w:rsid w:val="00EB543D"/>
    <w:rsid w:val="00EB55D2"/>
    <w:rsid w:val="00EB5D5A"/>
    <w:rsid w:val="00EB5D69"/>
    <w:rsid w:val="00EB74BB"/>
    <w:rsid w:val="00EC19B5"/>
    <w:rsid w:val="00EC1E82"/>
    <w:rsid w:val="00ED15C2"/>
    <w:rsid w:val="00ED6660"/>
    <w:rsid w:val="00EE3252"/>
    <w:rsid w:val="00EE381B"/>
    <w:rsid w:val="00EE499F"/>
    <w:rsid w:val="00EE5A44"/>
    <w:rsid w:val="00EE622B"/>
    <w:rsid w:val="00EF07F3"/>
    <w:rsid w:val="00EF0E78"/>
    <w:rsid w:val="00EF277B"/>
    <w:rsid w:val="00EF31D8"/>
    <w:rsid w:val="00EF416E"/>
    <w:rsid w:val="00EF5637"/>
    <w:rsid w:val="00EF5752"/>
    <w:rsid w:val="00EF625E"/>
    <w:rsid w:val="00EF657A"/>
    <w:rsid w:val="00F0094B"/>
    <w:rsid w:val="00F04590"/>
    <w:rsid w:val="00F06DF7"/>
    <w:rsid w:val="00F06E53"/>
    <w:rsid w:val="00F07E34"/>
    <w:rsid w:val="00F13A68"/>
    <w:rsid w:val="00F13C11"/>
    <w:rsid w:val="00F165E3"/>
    <w:rsid w:val="00F2096B"/>
    <w:rsid w:val="00F21510"/>
    <w:rsid w:val="00F21D8A"/>
    <w:rsid w:val="00F227AC"/>
    <w:rsid w:val="00F23C8F"/>
    <w:rsid w:val="00F23E25"/>
    <w:rsid w:val="00F259DC"/>
    <w:rsid w:val="00F2668C"/>
    <w:rsid w:val="00F269A9"/>
    <w:rsid w:val="00F27D2A"/>
    <w:rsid w:val="00F301A2"/>
    <w:rsid w:val="00F3168C"/>
    <w:rsid w:val="00F36107"/>
    <w:rsid w:val="00F364C0"/>
    <w:rsid w:val="00F36A1D"/>
    <w:rsid w:val="00F37B8F"/>
    <w:rsid w:val="00F4380D"/>
    <w:rsid w:val="00F47AAE"/>
    <w:rsid w:val="00F548FB"/>
    <w:rsid w:val="00F61D83"/>
    <w:rsid w:val="00F61D97"/>
    <w:rsid w:val="00F6524D"/>
    <w:rsid w:val="00F706FC"/>
    <w:rsid w:val="00F7132D"/>
    <w:rsid w:val="00F73512"/>
    <w:rsid w:val="00F76032"/>
    <w:rsid w:val="00F77742"/>
    <w:rsid w:val="00F81652"/>
    <w:rsid w:val="00F828BC"/>
    <w:rsid w:val="00F82D1F"/>
    <w:rsid w:val="00F83315"/>
    <w:rsid w:val="00F837F0"/>
    <w:rsid w:val="00F86F3C"/>
    <w:rsid w:val="00F90E12"/>
    <w:rsid w:val="00F91249"/>
    <w:rsid w:val="00F927A1"/>
    <w:rsid w:val="00F92929"/>
    <w:rsid w:val="00F9523A"/>
    <w:rsid w:val="00F96576"/>
    <w:rsid w:val="00F977DE"/>
    <w:rsid w:val="00FA0946"/>
    <w:rsid w:val="00FA10E9"/>
    <w:rsid w:val="00FA1277"/>
    <w:rsid w:val="00FA1FFD"/>
    <w:rsid w:val="00FA70E3"/>
    <w:rsid w:val="00FA7F89"/>
    <w:rsid w:val="00FB01A1"/>
    <w:rsid w:val="00FB34A9"/>
    <w:rsid w:val="00FB37E4"/>
    <w:rsid w:val="00FB5446"/>
    <w:rsid w:val="00FB6211"/>
    <w:rsid w:val="00FB724E"/>
    <w:rsid w:val="00FC6D12"/>
    <w:rsid w:val="00FD162A"/>
    <w:rsid w:val="00FD184C"/>
    <w:rsid w:val="00FD3B56"/>
    <w:rsid w:val="00FE3111"/>
    <w:rsid w:val="00FE3E05"/>
    <w:rsid w:val="00FE5C19"/>
    <w:rsid w:val="00FE6959"/>
    <w:rsid w:val="00FE6CCC"/>
    <w:rsid w:val="00FF4E37"/>
    <w:rsid w:val="00FF511F"/>
    <w:rsid w:val="00FF666A"/>
    <w:rsid w:val="00FF6D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4FAF"/>
  <w15:docId w15:val="{ED0DC7D2-4F79-4085-863D-BF9BDFA5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24C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46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24F7D"/>
    <w:pPr>
      <w:keepNext/>
      <w:keepLines/>
      <w:spacing w:before="200" w:after="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uiPriority w:val="9"/>
    <w:semiHidden/>
    <w:unhideWhenUsed/>
    <w:qFormat/>
    <w:rsid w:val="00C8405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2E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2EFD"/>
  </w:style>
  <w:style w:type="paragraph" w:styleId="Sidefod">
    <w:name w:val="footer"/>
    <w:basedOn w:val="Normal"/>
    <w:link w:val="SidefodTegn"/>
    <w:uiPriority w:val="99"/>
    <w:unhideWhenUsed/>
    <w:rsid w:val="000A2E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2EFD"/>
  </w:style>
  <w:style w:type="paragraph" w:styleId="Markeringsbobletekst">
    <w:name w:val="Balloon Text"/>
    <w:basedOn w:val="Normal"/>
    <w:link w:val="MarkeringsbobletekstTegn"/>
    <w:uiPriority w:val="99"/>
    <w:semiHidden/>
    <w:unhideWhenUsed/>
    <w:rsid w:val="000A2E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2EFD"/>
    <w:rPr>
      <w:rFonts w:ascii="Tahoma" w:hAnsi="Tahoma" w:cs="Tahoma"/>
      <w:sz w:val="16"/>
      <w:szCs w:val="16"/>
    </w:rPr>
  </w:style>
  <w:style w:type="paragraph" w:styleId="Listeafsnit">
    <w:name w:val="List Paragraph"/>
    <w:basedOn w:val="Normal"/>
    <w:uiPriority w:val="34"/>
    <w:qFormat/>
    <w:rsid w:val="000A2EFD"/>
    <w:pPr>
      <w:ind w:left="720"/>
      <w:contextualSpacing/>
    </w:pPr>
  </w:style>
  <w:style w:type="character" w:customStyle="1" w:styleId="Overskrift1Tegn">
    <w:name w:val="Overskrift 1 Tegn"/>
    <w:basedOn w:val="Standardskrifttypeiafsnit"/>
    <w:link w:val="Overskrift1"/>
    <w:uiPriority w:val="9"/>
    <w:rsid w:val="00424C6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04642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24F7D"/>
    <w:rPr>
      <w:rFonts w:asciiTheme="majorHAnsi" w:eastAsiaTheme="majorEastAsia" w:hAnsiTheme="majorHAnsi" w:cstheme="majorBidi"/>
      <w:b/>
      <w:bCs/>
      <w:color w:val="4F81BD" w:themeColor="accent1"/>
    </w:rPr>
  </w:style>
  <w:style w:type="character" w:styleId="Kommentarhenvisning">
    <w:name w:val="annotation reference"/>
    <w:basedOn w:val="Standardskrifttypeiafsnit"/>
    <w:uiPriority w:val="99"/>
    <w:semiHidden/>
    <w:unhideWhenUsed/>
    <w:rsid w:val="005B0A93"/>
    <w:rPr>
      <w:sz w:val="16"/>
      <w:szCs w:val="16"/>
    </w:rPr>
  </w:style>
  <w:style w:type="paragraph" w:styleId="Kommentartekst">
    <w:name w:val="annotation text"/>
    <w:basedOn w:val="Normal"/>
    <w:link w:val="KommentartekstTegn"/>
    <w:uiPriority w:val="99"/>
    <w:unhideWhenUsed/>
    <w:rsid w:val="005B0A93"/>
    <w:pPr>
      <w:spacing w:line="240" w:lineRule="auto"/>
    </w:pPr>
    <w:rPr>
      <w:sz w:val="20"/>
      <w:szCs w:val="20"/>
    </w:rPr>
  </w:style>
  <w:style w:type="character" w:customStyle="1" w:styleId="KommentartekstTegn">
    <w:name w:val="Kommentartekst Tegn"/>
    <w:basedOn w:val="Standardskrifttypeiafsnit"/>
    <w:link w:val="Kommentartekst"/>
    <w:uiPriority w:val="99"/>
    <w:rsid w:val="005B0A93"/>
    <w:rPr>
      <w:sz w:val="20"/>
      <w:szCs w:val="20"/>
    </w:rPr>
  </w:style>
  <w:style w:type="paragraph" w:styleId="Kommentaremne">
    <w:name w:val="annotation subject"/>
    <w:basedOn w:val="Kommentartekst"/>
    <w:next w:val="Kommentartekst"/>
    <w:link w:val="KommentaremneTegn"/>
    <w:uiPriority w:val="99"/>
    <w:semiHidden/>
    <w:unhideWhenUsed/>
    <w:rsid w:val="005B0A93"/>
    <w:rPr>
      <w:b/>
      <w:bCs/>
    </w:rPr>
  </w:style>
  <w:style w:type="character" w:customStyle="1" w:styleId="KommentaremneTegn">
    <w:name w:val="Kommentaremne Tegn"/>
    <w:basedOn w:val="KommentartekstTegn"/>
    <w:link w:val="Kommentaremne"/>
    <w:uiPriority w:val="99"/>
    <w:semiHidden/>
    <w:rsid w:val="005B0A93"/>
    <w:rPr>
      <w:b/>
      <w:bCs/>
      <w:sz w:val="20"/>
      <w:szCs w:val="20"/>
    </w:rPr>
  </w:style>
  <w:style w:type="paragraph" w:styleId="Overskrift">
    <w:name w:val="TOC Heading"/>
    <w:basedOn w:val="Overskrift1"/>
    <w:next w:val="Normal"/>
    <w:uiPriority w:val="39"/>
    <w:unhideWhenUsed/>
    <w:qFormat/>
    <w:rsid w:val="006F57F6"/>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2E0308"/>
    <w:pPr>
      <w:tabs>
        <w:tab w:val="left" w:pos="440"/>
        <w:tab w:val="right" w:leader="dot" w:pos="9628"/>
      </w:tabs>
      <w:spacing w:after="100"/>
    </w:pPr>
  </w:style>
  <w:style w:type="paragraph" w:styleId="Indholdsfortegnelse2">
    <w:name w:val="toc 2"/>
    <w:basedOn w:val="Normal"/>
    <w:next w:val="Normal"/>
    <w:autoRedefine/>
    <w:uiPriority w:val="39"/>
    <w:unhideWhenUsed/>
    <w:rsid w:val="006F57F6"/>
    <w:pPr>
      <w:spacing w:after="100"/>
      <w:ind w:left="220"/>
    </w:pPr>
  </w:style>
  <w:style w:type="paragraph" w:styleId="Indholdsfortegnelse3">
    <w:name w:val="toc 3"/>
    <w:basedOn w:val="Normal"/>
    <w:next w:val="Normal"/>
    <w:autoRedefine/>
    <w:uiPriority w:val="39"/>
    <w:unhideWhenUsed/>
    <w:rsid w:val="006F57F6"/>
    <w:pPr>
      <w:spacing w:after="100"/>
      <w:ind w:left="440"/>
    </w:pPr>
  </w:style>
  <w:style w:type="character" w:styleId="Hyperlink">
    <w:name w:val="Hyperlink"/>
    <w:basedOn w:val="Standardskrifttypeiafsnit"/>
    <w:uiPriority w:val="99"/>
    <w:unhideWhenUsed/>
    <w:rsid w:val="006F57F6"/>
    <w:rPr>
      <w:color w:val="0000FF" w:themeColor="hyperlink"/>
      <w:u w:val="single"/>
    </w:rPr>
  </w:style>
  <w:style w:type="table" w:styleId="Tabel-Gitter">
    <w:name w:val="Table Grid"/>
    <w:basedOn w:val="Tabel-Normal"/>
    <w:uiPriority w:val="59"/>
    <w:rsid w:val="004C3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el-Normal"/>
    <w:uiPriority w:val="43"/>
    <w:rsid w:val="004C36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rrektur">
    <w:name w:val="Revision"/>
    <w:hidden/>
    <w:uiPriority w:val="99"/>
    <w:semiHidden/>
    <w:rsid w:val="0095472C"/>
    <w:pPr>
      <w:spacing w:after="0" w:line="240" w:lineRule="auto"/>
    </w:pPr>
  </w:style>
  <w:style w:type="paragraph" w:styleId="Fodnotetekst">
    <w:name w:val="footnote text"/>
    <w:basedOn w:val="Normal"/>
    <w:link w:val="FodnotetekstTegn"/>
    <w:unhideWhenUsed/>
    <w:rsid w:val="009E3429"/>
    <w:pPr>
      <w:spacing w:after="0" w:line="240" w:lineRule="auto"/>
    </w:pPr>
    <w:rPr>
      <w:sz w:val="20"/>
      <w:szCs w:val="20"/>
    </w:rPr>
  </w:style>
  <w:style w:type="character" w:customStyle="1" w:styleId="FodnotetekstTegn">
    <w:name w:val="Fodnotetekst Tegn"/>
    <w:basedOn w:val="Standardskrifttypeiafsnit"/>
    <w:link w:val="Fodnotetekst"/>
    <w:rsid w:val="009E3429"/>
    <w:rPr>
      <w:sz w:val="20"/>
      <w:szCs w:val="20"/>
    </w:rPr>
  </w:style>
  <w:style w:type="character" w:styleId="Fodnotehenvisning">
    <w:name w:val="footnote reference"/>
    <w:basedOn w:val="Standardskrifttypeiafsnit"/>
    <w:uiPriority w:val="99"/>
    <w:semiHidden/>
    <w:unhideWhenUsed/>
    <w:rsid w:val="009E3429"/>
    <w:rPr>
      <w:vertAlign w:val="superscript"/>
    </w:rPr>
  </w:style>
  <w:style w:type="paragraph" w:styleId="Billedtekst">
    <w:name w:val="caption"/>
    <w:basedOn w:val="Normal"/>
    <w:next w:val="Normal"/>
    <w:uiPriority w:val="35"/>
    <w:unhideWhenUsed/>
    <w:qFormat/>
    <w:rsid w:val="00852EB1"/>
    <w:pPr>
      <w:spacing w:line="240" w:lineRule="auto"/>
    </w:pPr>
    <w:rPr>
      <w:i/>
      <w:iCs/>
      <w:color w:val="1F497D" w:themeColor="text2"/>
      <w:sz w:val="18"/>
      <w:szCs w:val="18"/>
    </w:rPr>
  </w:style>
  <w:style w:type="character" w:customStyle="1" w:styleId="Overskrift7Tegn">
    <w:name w:val="Overskrift 7 Tegn"/>
    <w:basedOn w:val="Standardskrifttypeiafsnit"/>
    <w:link w:val="Overskrift7"/>
    <w:uiPriority w:val="9"/>
    <w:semiHidden/>
    <w:rsid w:val="00C8405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8571">
      <w:bodyDiv w:val="1"/>
      <w:marLeft w:val="0"/>
      <w:marRight w:val="0"/>
      <w:marTop w:val="0"/>
      <w:marBottom w:val="0"/>
      <w:divBdr>
        <w:top w:val="none" w:sz="0" w:space="0" w:color="auto"/>
        <w:left w:val="none" w:sz="0" w:space="0" w:color="auto"/>
        <w:bottom w:val="none" w:sz="0" w:space="0" w:color="auto"/>
        <w:right w:val="none" w:sz="0" w:space="0" w:color="auto"/>
      </w:divBdr>
    </w:div>
    <w:div w:id="1065684760">
      <w:bodyDiv w:val="1"/>
      <w:marLeft w:val="0"/>
      <w:marRight w:val="0"/>
      <w:marTop w:val="0"/>
      <w:marBottom w:val="0"/>
      <w:divBdr>
        <w:top w:val="none" w:sz="0" w:space="0" w:color="auto"/>
        <w:left w:val="none" w:sz="0" w:space="0" w:color="auto"/>
        <w:bottom w:val="none" w:sz="0" w:space="0" w:color="auto"/>
        <w:right w:val="none" w:sz="0" w:space="0" w:color="auto"/>
      </w:divBdr>
    </w:div>
    <w:div w:id="1222669621">
      <w:bodyDiv w:val="1"/>
      <w:marLeft w:val="0"/>
      <w:marRight w:val="0"/>
      <w:marTop w:val="0"/>
      <w:marBottom w:val="0"/>
      <w:divBdr>
        <w:top w:val="none" w:sz="0" w:space="0" w:color="auto"/>
        <w:left w:val="none" w:sz="0" w:space="0" w:color="auto"/>
        <w:bottom w:val="none" w:sz="0" w:space="0" w:color="auto"/>
        <w:right w:val="none" w:sz="0" w:space="0" w:color="auto"/>
      </w:divBdr>
    </w:div>
    <w:div w:id="178592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vgivning.gl/lov?rid=%7b70B12984-FA3D-4D2D-8EE9-AE6B6CAEBFDB%7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ovgivning.gl/lov?rid=%7b0F2B3F3A-8FD2-453F-BD67-25C80B083D63%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ullissivik.gl/Emner/E_Fiskeri/Kvotefleks?sc_lang=da&amp;segment=busin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AppData\Local\cBrain\F2\.tmp\3d7e211e-8f33-4504-ade2-7a4b1426476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9214B-B48F-4579-A774-812F43FE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3d7e211e-8f33-4504-ade2-7a4b14264765.dotx</Template>
  <TotalTime>39</TotalTime>
  <Pages>15</Pages>
  <Words>3908</Words>
  <Characters>22282</Characters>
  <Application>Microsoft Office Word</Application>
  <DocSecurity>0</DocSecurity>
  <Lines>185</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Kærgaard</dc:creator>
  <cp:keywords/>
  <dc:description/>
  <cp:lastModifiedBy>Emma Boldreel</cp:lastModifiedBy>
  <cp:revision>6</cp:revision>
  <cp:lastPrinted>2020-05-15T16:41:00Z</cp:lastPrinted>
  <dcterms:created xsi:type="dcterms:W3CDTF">2025-09-29T09:51:00Z</dcterms:created>
  <dcterms:modified xsi:type="dcterms:W3CDTF">2025-09-29T11:06:00Z</dcterms:modified>
</cp:coreProperties>
</file>