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B542" w14:textId="77777777" w:rsidR="005D30F5" w:rsidRPr="00B35CA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B35CAC">
        <w:rPr>
          <w:rFonts w:ascii="Times New Roman" w:hAnsi="Times New Roman" w:cs="Times New Roman"/>
          <w:b/>
          <w:bCs/>
          <w:sz w:val="24"/>
          <w:szCs w:val="24"/>
          <w:lang w:val="da-DK"/>
        </w:rPr>
        <w:t>Forslag til:</w:t>
      </w:r>
    </w:p>
    <w:p w14:paraId="75750ED7" w14:textId="3E77C7C7" w:rsidR="005D30F5" w:rsidRPr="00B35CA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B35CA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Selvstyrets bekendtgørelse om </w:t>
      </w:r>
      <w:r w:rsidR="00DA4F3E">
        <w:rPr>
          <w:rFonts w:ascii="Times New Roman" w:hAnsi="Times New Roman" w:cs="Times New Roman"/>
          <w:b/>
          <w:bCs/>
          <w:sz w:val="24"/>
          <w:szCs w:val="24"/>
          <w:lang w:val="da-DK"/>
        </w:rPr>
        <w:t>ikke-erhvervsmæssigt fiskeri efter laks og rapportering ved erhvervsmæssigt fiskeri efter laks</w:t>
      </w:r>
    </w:p>
    <w:p w14:paraId="1E2F1C2A" w14:textId="77777777" w:rsidR="005D30F5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6A6C35C" w14:textId="7FCBB023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B35CAC">
        <w:rPr>
          <w:rFonts w:ascii="Times New Roman" w:hAnsi="Times New Roman" w:cs="Times New Roman"/>
          <w:sz w:val="24"/>
          <w:szCs w:val="24"/>
          <w:lang w:val="da-DK"/>
        </w:rPr>
        <w:t xml:space="preserve">I medfør af </w:t>
      </w:r>
      <w:r w:rsidRPr="007A32EC">
        <w:rPr>
          <w:rFonts w:ascii="Times New Roman" w:hAnsi="Times New Roman" w:cs="Times New Roman"/>
          <w:sz w:val="24"/>
          <w:szCs w:val="24"/>
          <w:lang w:val="da-DK"/>
        </w:rPr>
        <w:t>§ 6, stk. 3, § 7, stk. 1, § 18, stk. 2, § 23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>, § 46, stk. 1, § 51, stk. 4</w:t>
      </w:r>
      <w:r w:rsidR="001505D6">
        <w:rPr>
          <w:rFonts w:ascii="Times New Roman" w:hAnsi="Times New Roman" w:cs="Times New Roman"/>
          <w:sz w:val="24"/>
          <w:szCs w:val="24"/>
          <w:lang w:val="da-DK"/>
        </w:rPr>
        <w:t>,</w:t>
      </w:r>
      <w:r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og § 68, stk. 2</w:t>
      </w:r>
      <w:r w:rsidR="004D67A2" w:rsidRPr="007A32EC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r w:rsidRPr="007A32EC">
        <w:rPr>
          <w:rFonts w:ascii="Times New Roman" w:hAnsi="Times New Roman" w:cs="Times New Roman"/>
          <w:sz w:val="24"/>
          <w:szCs w:val="24"/>
          <w:lang w:val="da-DK"/>
        </w:rPr>
        <w:t>3, i</w:t>
      </w:r>
      <w:r w:rsidRPr="009D221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1505D6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9D2210">
        <w:rPr>
          <w:rFonts w:ascii="Times New Roman" w:hAnsi="Times New Roman" w:cs="Times New Roman"/>
          <w:sz w:val="24"/>
          <w:szCs w:val="24"/>
          <w:lang w:val="da-DK"/>
        </w:rPr>
        <w:t>natsisartutlov nr. 29 af 23. maj 2024 om fiskeri, fastsættes</w:t>
      </w:r>
      <w:r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06A183EE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D4EFD53" w14:textId="77777777" w:rsidR="005D30F5" w:rsidRPr="00C926B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 1</w:t>
      </w:r>
    </w:p>
    <w:p w14:paraId="5A595E60" w14:textId="6E14ABF3" w:rsidR="005D30F5" w:rsidRPr="00C926B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i/>
          <w:iCs/>
          <w:sz w:val="24"/>
          <w:szCs w:val="24"/>
          <w:lang w:val="da-DK"/>
        </w:rPr>
        <w:t>Anvendelsesområde og definitioner</w:t>
      </w:r>
    </w:p>
    <w:p w14:paraId="31866137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i/>
          <w:iCs/>
          <w:sz w:val="24"/>
          <w:szCs w:val="24"/>
          <w:lang w:val="da-DK"/>
        </w:rPr>
        <w:t> </w:t>
      </w:r>
    </w:p>
    <w:p w14:paraId="0B4C5ABE" w14:textId="77777777" w:rsidR="005D30F5" w:rsidRPr="00C926BC" w:rsidRDefault="005D30F5" w:rsidP="005D30F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i/>
          <w:iCs/>
          <w:sz w:val="24"/>
          <w:szCs w:val="24"/>
          <w:lang w:val="da-DK"/>
        </w:rPr>
        <w:t>Anvendelsesområder</w:t>
      </w:r>
    </w:p>
    <w:p w14:paraId="0B41E3BF" w14:textId="77777777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14:paraId="4EA8825E" w14:textId="7CFBEB7D" w:rsidR="005D30F5" w:rsidRPr="00C926BC" w:rsidRDefault="005D30F5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926BC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 § 1.  </w:t>
      </w:r>
      <w:r w:rsidRPr="00C926BC">
        <w:rPr>
          <w:rFonts w:ascii="Times New Roman" w:hAnsi="Times New Roman" w:cs="Times New Roman"/>
          <w:sz w:val="24"/>
          <w:szCs w:val="24"/>
          <w:lang w:val="da-DK"/>
        </w:rPr>
        <w:t>Bekendtgørelsen finder anvendelse</w:t>
      </w:r>
      <w:r w:rsidR="005043C4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C926BC">
        <w:rPr>
          <w:rFonts w:ascii="Times New Roman" w:hAnsi="Times New Roman" w:cs="Times New Roman"/>
          <w:sz w:val="24"/>
          <w:szCs w:val="24"/>
          <w:lang w:val="da-DK"/>
        </w:rPr>
        <w:t xml:space="preserve">ved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ikke-erhvervsmæssigt fiskeri efter laks samt ved rapportering i forbindelse med </w:t>
      </w:r>
      <w:r w:rsidRPr="00C926BC">
        <w:rPr>
          <w:rFonts w:ascii="Times New Roman" w:hAnsi="Times New Roman" w:cs="Times New Roman"/>
          <w:sz w:val="24"/>
          <w:szCs w:val="24"/>
          <w:lang w:val="da-DK"/>
        </w:rPr>
        <w:t>erhvervsmæssigt fiskeri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efter laks</w:t>
      </w:r>
      <w:r w:rsidR="005043C4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2DBB5AE2" w14:textId="21CFD4DC" w:rsidR="00F1267C" w:rsidRPr="00A70E90" w:rsidRDefault="00DC3D89" w:rsidP="00EE480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r w:rsidR="005D30F5" w:rsidRPr="00C926BC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Stk. 2.  </w:t>
      </w:r>
      <w:r w:rsidR="005043C4">
        <w:rPr>
          <w:rFonts w:ascii="Times New Roman" w:hAnsi="Times New Roman" w:cs="Times New Roman"/>
          <w:sz w:val="24"/>
          <w:szCs w:val="24"/>
          <w:lang w:val="da-DK"/>
        </w:rPr>
        <w:t>Bekendtgørelsen finder anvendelse på grønlandsk fiskeriterritorium</w:t>
      </w:r>
      <w:r w:rsidR="00B24E97">
        <w:rPr>
          <w:rFonts w:ascii="Times New Roman" w:hAnsi="Times New Roman" w:cs="Times New Roman"/>
          <w:sz w:val="24"/>
          <w:szCs w:val="24"/>
          <w:lang w:val="da-DK"/>
        </w:rPr>
        <w:t xml:space="preserve"> og i </w:t>
      </w:r>
      <w:proofErr w:type="spellStart"/>
      <w:r w:rsidR="00B24E97">
        <w:rPr>
          <w:rFonts w:ascii="Times New Roman" w:hAnsi="Times New Roman" w:cs="Times New Roman"/>
          <w:sz w:val="24"/>
          <w:szCs w:val="24"/>
          <w:lang w:val="da-DK"/>
        </w:rPr>
        <w:t>Kapisillit</w:t>
      </w:r>
      <w:proofErr w:type="spellEnd"/>
      <w:r w:rsidR="00B24E97">
        <w:rPr>
          <w:rFonts w:ascii="Times New Roman" w:hAnsi="Times New Roman" w:cs="Times New Roman"/>
          <w:sz w:val="24"/>
          <w:szCs w:val="24"/>
          <w:lang w:val="da-DK"/>
        </w:rPr>
        <w:t>-elven.</w:t>
      </w:r>
    </w:p>
    <w:p w14:paraId="40E05D0B" w14:textId="77777777" w:rsidR="00B24E97" w:rsidRDefault="00B24E97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CB2DBB6" w14:textId="0537B623" w:rsidR="00B24E97" w:rsidRDefault="00B24E97" w:rsidP="005D30F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B24E97">
        <w:rPr>
          <w:rFonts w:ascii="Times New Roman" w:hAnsi="Times New Roman" w:cs="Times New Roman"/>
          <w:b/>
          <w:bCs/>
          <w:sz w:val="24"/>
          <w:szCs w:val="24"/>
          <w:lang w:val="da-DK"/>
        </w:rPr>
        <w:t>§ 2.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 Ved erhvervsmæssigt fiskeri forstås i denne bekendtgørelse det fiskeri, som udøves med henblik på at sælge hele fangsten eller dele deraf.</w:t>
      </w:r>
    </w:p>
    <w:p w14:paraId="0D1CC63D" w14:textId="0566FC25" w:rsidR="00B24E97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B24E97">
        <w:rPr>
          <w:rFonts w:ascii="Times New Roman" w:hAnsi="Times New Roman" w:cs="Times New Roman"/>
          <w:i/>
          <w:iCs/>
          <w:sz w:val="24"/>
          <w:szCs w:val="24"/>
          <w:lang w:val="da-DK"/>
        </w:rPr>
        <w:t>Stk. 2.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 Ved ikke-erhvervsmæssigt fiskeri forstås i denne bekendtgørelse fiskeri, som ikke er omfattet af stk. 1.</w:t>
      </w:r>
    </w:p>
    <w:p w14:paraId="6E235F9A" w14:textId="77777777" w:rsidR="00B24E97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12C2249" w14:textId="2A67EBE7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 2</w:t>
      </w:r>
    </w:p>
    <w:p w14:paraId="4A72FA1A" w14:textId="68C56FED" w:rsidR="00B24E97" w:rsidRPr="00B24E97" w:rsidRDefault="00B24E97" w:rsidP="00B24E9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a-DK"/>
        </w:rPr>
        <w:t>Ikke-erhvervsmæssigt fiskeri</w:t>
      </w:r>
    </w:p>
    <w:p w14:paraId="4706AA38" w14:textId="77777777" w:rsidR="00B24E97" w:rsidRPr="005A7EB3" w:rsidRDefault="00B24E97" w:rsidP="00B24E9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72CBC" w14:textId="1F634E0A" w:rsidR="006777CB" w:rsidRPr="005A7EB3" w:rsidRDefault="0056592C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7CB"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77CB"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9D60FF">
        <w:rPr>
          <w:rFonts w:ascii="Times New Roman" w:hAnsi="Times New Roman" w:cs="Times New Roman"/>
          <w:sz w:val="24"/>
          <w:szCs w:val="24"/>
        </w:rPr>
        <w:t>Ikke-erhvervsmæssigt f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iskeri efter laks </w:t>
      </w:r>
      <w:r w:rsidR="005F6E10">
        <w:rPr>
          <w:rFonts w:ascii="Times New Roman" w:hAnsi="Times New Roman" w:cs="Times New Roman"/>
          <w:sz w:val="24"/>
          <w:szCs w:val="24"/>
        </w:rPr>
        <w:t xml:space="preserve">må kun udøves af den, der 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er </w:t>
      </w:r>
      <w:r w:rsidR="005F6E10">
        <w:rPr>
          <w:rFonts w:ascii="Times New Roman" w:hAnsi="Times New Roman" w:cs="Times New Roman"/>
          <w:sz w:val="24"/>
          <w:szCs w:val="24"/>
        </w:rPr>
        <w:t xml:space="preserve">i besiddelse 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af </w:t>
      </w:r>
      <w:r w:rsidR="005F6E10">
        <w:rPr>
          <w:rFonts w:ascii="Times New Roman" w:hAnsi="Times New Roman" w:cs="Times New Roman"/>
          <w:sz w:val="24"/>
          <w:szCs w:val="24"/>
        </w:rPr>
        <w:t xml:space="preserve">en gyldig </w:t>
      </w:r>
      <w:r w:rsidR="006777CB" w:rsidRPr="005A7EB3">
        <w:rPr>
          <w:rFonts w:ascii="Times New Roman" w:hAnsi="Times New Roman" w:cs="Times New Roman"/>
          <w:sz w:val="24"/>
          <w:szCs w:val="24"/>
        </w:rPr>
        <w:t>licens</w:t>
      </w:r>
      <w:r w:rsidR="005F6E10">
        <w:rPr>
          <w:rFonts w:ascii="Times New Roman" w:hAnsi="Times New Roman" w:cs="Times New Roman"/>
          <w:sz w:val="24"/>
          <w:szCs w:val="24"/>
        </w:rPr>
        <w:t xml:space="preserve"> </w:t>
      </w:r>
      <w:r w:rsidR="005F6E10" w:rsidRPr="005A7EB3">
        <w:rPr>
          <w:rFonts w:ascii="Times New Roman" w:hAnsi="Times New Roman" w:cs="Times New Roman"/>
          <w:sz w:val="24"/>
          <w:szCs w:val="24"/>
        </w:rPr>
        <w:t>til fiskeri efter laks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, </w:t>
      </w:r>
      <w:r w:rsidR="005F6E10">
        <w:rPr>
          <w:rFonts w:ascii="Times New Roman" w:hAnsi="Times New Roman" w:cs="Times New Roman"/>
          <w:sz w:val="24"/>
          <w:szCs w:val="24"/>
        </w:rPr>
        <w:t>som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 efter ansøgning udstedes af </w:t>
      </w:r>
      <w:r w:rsidR="00A70E90">
        <w:rPr>
          <w:rFonts w:ascii="Times New Roman" w:hAnsi="Times New Roman" w:cs="Times New Roman"/>
          <w:sz w:val="24"/>
          <w:szCs w:val="24"/>
        </w:rPr>
        <w:t>Naalakkersuisut</w:t>
      </w:r>
      <w:r w:rsidR="006777CB" w:rsidRPr="005A7EB3">
        <w:rPr>
          <w:rFonts w:ascii="Times New Roman" w:hAnsi="Times New Roman" w:cs="Times New Roman"/>
          <w:sz w:val="24"/>
          <w:szCs w:val="24"/>
        </w:rPr>
        <w:t>.</w:t>
      </w:r>
    </w:p>
    <w:p w14:paraId="346C152B" w14:textId="53341A2A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For ansøgere, der har haft licens i forrige fiskerisæson til fiskeri efter laks, er det en forudsætning for erhvervelse af licens, at aktøren i den forgangne sæson har opfyldt sin pligt til at rapportere i henhold til §§ </w:t>
      </w:r>
      <w:r w:rsidR="00B24E97">
        <w:rPr>
          <w:rFonts w:ascii="Times New Roman" w:hAnsi="Times New Roman" w:cs="Times New Roman"/>
          <w:sz w:val="24"/>
          <w:szCs w:val="24"/>
        </w:rPr>
        <w:t>7</w:t>
      </w:r>
      <w:r w:rsidRPr="005A7EB3">
        <w:rPr>
          <w:rFonts w:ascii="Times New Roman" w:hAnsi="Times New Roman" w:cs="Times New Roman"/>
          <w:sz w:val="24"/>
          <w:szCs w:val="24"/>
        </w:rPr>
        <w:t xml:space="preserve"> og </w:t>
      </w:r>
      <w:r w:rsidR="00B24E97">
        <w:rPr>
          <w:rFonts w:ascii="Times New Roman" w:hAnsi="Times New Roman" w:cs="Times New Roman"/>
          <w:sz w:val="24"/>
          <w:szCs w:val="24"/>
        </w:rPr>
        <w:t>8</w:t>
      </w:r>
      <w:r w:rsidRPr="005A7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4E99D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0173" w14:textId="26039519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Naalakkersuisut </w:t>
      </w:r>
      <w:r w:rsidR="00951158" w:rsidRPr="005A7EB3">
        <w:rPr>
          <w:rFonts w:ascii="Times New Roman" w:hAnsi="Times New Roman" w:cs="Times New Roman"/>
          <w:sz w:val="24"/>
          <w:szCs w:val="24"/>
        </w:rPr>
        <w:t xml:space="preserve">fastsætter </w:t>
      </w:r>
      <w:r w:rsidRPr="005A7EB3">
        <w:rPr>
          <w:rFonts w:ascii="Times New Roman" w:hAnsi="Times New Roman" w:cs="Times New Roman"/>
          <w:sz w:val="24"/>
          <w:szCs w:val="24"/>
        </w:rPr>
        <w:t>hvert år</w:t>
      </w:r>
      <w:r w:rsidR="007D2AF7">
        <w:rPr>
          <w:rFonts w:ascii="Times New Roman" w:hAnsi="Times New Roman" w:cs="Times New Roman"/>
          <w:sz w:val="24"/>
          <w:szCs w:val="24"/>
        </w:rPr>
        <w:t>,</w:t>
      </w:r>
      <w:r w:rsidRPr="005A7EB3">
        <w:rPr>
          <w:rFonts w:ascii="Times New Roman" w:hAnsi="Times New Roman" w:cs="Times New Roman"/>
          <w:sz w:val="24"/>
          <w:szCs w:val="24"/>
        </w:rPr>
        <w:t xml:space="preserve"> under hensyntagen til internationale aftaler</w:t>
      </w:r>
      <w:r w:rsidR="007D2AF7">
        <w:rPr>
          <w:rFonts w:ascii="Times New Roman" w:hAnsi="Times New Roman" w:cs="Times New Roman"/>
          <w:sz w:val="24"/>
          <w:szCs w:val="24"/>
        </w:rPr>
        <w:t>,</w:t>
      </w:r>
      <w:r w:rsidRPr="005A7EB3">
        <w:rPr>
          <w:rFonts w:ascii="Times New Roman" w:hAnsi="Times New Roman" w:cs="Times New Roman"/>
          <w:sz w:val="24"/>
          <w:szCs w:val="24"/>
        </w:rPr>
        <w:t xml:space="preserve"> den </w:t>
      </w:r>
      <w:r w:rsidR="00951158">
        <w:rPr>
          <w:rFonts w:ascii="Times New Roman" w:hAnsi="Times New Roman" w:cs="Times New Roman"/>
          <w:sz w:val="24"/>
          <w:szCs w:val="24"/>
        </w:rPr>
        <w:t>landsdækkende</w:t>
      </w:r>
      <w:r w:rsidRPr="005A7EB3">
        <w:rPr>
          <w:rFonts w:ascii="Times New Roman" w:hAnsi="Times New Roman" w:cs="Times New Roman"/>
          <w:sz w:val="24"/>
          <w:szCs w:val="24"/>
        </w:rPr>
        <w:t xml:space="preserve"> kvote for </w:t>
      </w:r>
      <w:r w:rsidR="00951158" w:rsidRPr="00951158">
        <w:rPr>
          <w:rFonts w:ascii="Times New Roman" w:hAnsi="Times New Roman" w:cs="Times New Roman"/>
          <w:sz w:val="24"/>
          <w:szCs w:val="24"/>
        </w:rPr>
        <w:t xml:space="preserve">ikke-erhvervsmæssigt fiskeri efter </w:t>
      </w:r>
      <w:r w:rsidRPr="005A7EB3">
        <w:rPr>
          <w:rFonts w:ascii="Times New Roman" w:hAnsi="Times New Roman" w:cs="Times New Roman"/>
          <w:sz w:val="24"/>
          <w:szCs w:val="24"/>
        </w:rPr>
        <w:t>laks.</w:t>
      </w:r>
    </w:p>
    <w:p w14:paraId="3CFCBDE6" w14:textId="5CA64F9B" w:rsidR="0056592C" w:rsidRPr="0056592C" w:rsidRDefault="006777CB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592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bookmarkStart w:id="0" w:name="_Hlk173757758"/>
      <w:r w:rsidR="0056592C">
        <w:rPr>
          <w:rFonts w:ascii="Times New Roman" w:hAnsi="Times New Roman" w:cs="Times New Roman"/>
          <w:i/>
          <w:iCs/>
          <w:sz w:val="24"/>
          <w:szCs w:val="24"/>
        </w:rPr>
        <w:t xml:space="preserve">Stk. 2.  </w:t>
      </w:r>
      <w:r w:rsidR="0056592C" w:rsidRPr="0056592C">
        <w:rPr>
          <w:rFonts w:ascii="Times New Roman" w:hAnsi="Times New Roman" w:cs="Times New Roman"/>
          <w:sz w:val="24"/>
          <w:szCs w:val="24"/>
        </w:rPr>
        <w:t>Naalakkersuisut fastsætter</w:t>
      </w:r>
      <w:r w:rsidR="007D2AF7">
        <w:rPr>
          <w:rFonts w:ascii="Times New Roman" w:hAnsi="Times New Roman" w:cs="Times New Roman"/>
          <w:sz w:val="24"/>
          <w:szCs w:val="24"/>
        </w:rPr>
        <w:t>,</w:t>
      </w:r>
      <w:r w:rsidR="0056592C" w:rsidRPr="0056592C">
        <w:rPr>
          <w:rFonts w:ascii="Times New Roman" w:hAnsi="Times New Roman" w:cs="Times New Roman"/>
          <w:sz w:val="24"/>
          <w:szCs w:val="24"/>
        </w:rPr>
        <w:t xml:space="preserve"> efter konsultation med lokale fiskeriforeninger</w:t>
      </w:r>
      <w:r w:rsidR="007D2AF7">
        <w:rPr>
          <w:rFonts w:ascii="Times New Roman" w:hAnsi="Times New Roman" w:cs="Times New Roman"/>
          <w:sz w:val="24"/>
          <w:szCs w:val="24"/>
        </w:rPr>
        <w:t>,</w:t>
      </w:r>
      <w:r w:rsidR="0056592C" w:rsidRPr="0056592C">
        <w:rPr>
          <w:rFonts w:ascii="Times New Roman" w:hAnsi="Times New Roman" w:cs="Times New Roman"/>
          <w:sz w:val="24"/>
          <w:szCs w:val="24"/>
        </w:rPr>
        <w:t xml:space="preserve"> startdatoen for laksefiskeri</w:t>
      </w:r>
      <w:r w:rsidR="00F9002A">
        <w:rPr>
          <w:rFonts w:ascii="Times New Roman" w:hAnsi="Times New Roman" w:cs="Times New Roman"/>
          <w:sz w:val="24"/>
          <w:szCs w:val="24"/>
        </w:rPr>
        <w:t>et</w:t>
      </w:r>
      <w:r w:rsidR="0056592C" w:rsidRPr="0056592C">
        <w:rPr>
          <w:rFonts w:ascii="Times New Roman" w:hAnsi="Times New Roman" w:cs="Times New Roman"/>
          <w:sz w:val="24"/>
          <w:szCs w:val="24"/>
        </w:rPr>
        <w:t xml:space="preserve">. Meddelelse om </w:t>
      </w:r>
      <w:r w:rsidR="00B77E28">
        <w:rPr>
          <w:rFonts w:ascii="Times New Roman" w:hAnsi="Times New Roman" w:cs="Times New Roman"/>
          <w:sz w:val="24"/>
          <w:szCs w:val="24"/>
        </w:rPr>
        <w:t xml:space="preserve">fiskeriets </w:t>
      </w:r>
      <w:r w:rsidR="0056592C" w:rsidRPr="0056592C">
        <w:rPr>
          <w:rFonts w:ascii="Times New Roman" w:hAnsi="Times New Roman" w:cs="Times New Roman"/>
          <w:sz w:val="24"/>
          <w:szCs w:val="24"/>
        </w:rPr>
        <w:t>startdato og kvotefastsættelse</w:t>
      </w:r>
      <w:r w:rsidR="004B2DA1">
        <w:rPr>
          <w:rFonts w:ascii="Times New Roman" w:hAnsi="Times New Roman" w:cs="Times New Roman"/>
          <w:sz w:val="24"/>
          <w:szCs w:val="24"/>
        </w:rPr>
        <w:t xml:space="preserve"> for hvert forvaltningsområde</w:t>
      </w:r>
      <w:r w:rsidR="0056592C" w:rsidRPr="0056592C">
        <w:rPr>
          <w:rFonts w:ascii="Times New Roman" w:hAnsi="Times New Roman" w:cs="Times New Roman"/>
          <w:sz w:val="24"/>
          <w:szCs w:val="24"/>
        </w:rPr>
        <w:t xml:space="preserve"> </w:t>
      </w:r>
      <w:r w:rsidR="00951158">
        <w:rPr>
          <w:rFonts w:ascii="Times New Roman" w:hAnsi="Times New Roman" w:cs="Times New Roman"/>
          <w:sz w:val="24"/>
          <w:szCs w:val="24"/>
        </w:rPr>
        <w:t xml:space="preserve">samt </w:t>
      </w:r>
      <w:r w:rsidR="0056592C" w:rsidRPr="0056592C">
        <w:rPr>
          <w:rFonts w:ascii="Times New Roman" w:hAnsi="Times New Roman" w:cs="Times New Roman"/>
          <w:sz w:val="24"/>
          <w:szCs w:val="24"/>
        </w:rPr>
        <w:t>vilkårene</w:t>
      </w:r>
      <w:r w:rsidR="004B2DA1">
        <w:rPr>
          <w:rFonts w:ascii="Times New Roman" w:hAnsi="Times New Roman" w:cs="Times New Roman"/>
          <w:sz w:val="24"/>
          <w:szCs w:val="24"/>
        </w:rPr>
        <w:t xml:space="preserve"> for fiskeriet</w:t>
      </w:r>
      <w:r w:rsidR="0056592C" w:rsidRPr="0056592C">
        <w:rPr>
          <w:rFonts w:ascii="Times New Roman" w:hAnsi="Times New Roman" w:cs="Times New Roman"/>
          <w:sz w:val="24"/>
          <w:szCs w:val="24"/>
        </w:rPr>
        <w:t xml:space="preserve"> offentliggøres på www.naalakkersuisut.gl.</w:t>
      </w:r>
      <w:bookmarkEnd w:id="0"/>
    </w:p>
    <w:p w14:paraId="470DE856" w14:textId="78A47162" w:rsidR="0056592C" w:rsidRPr="0056592C" w:rsidRDefault="0056592C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59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592C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659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592C">
        <w:rPr>
          <w:rFonts w:ascii="Times New Roman" w:hAnsi="Times New Roman" w:cs="Times New Roman"/>
          <w:sz w:val="24"/>
          <w:szCs w:val="24"/>
        </w:rPr>
        <w:t xml:space="preserve">  Fiskeri efter laks må ikke </w:t>
      </w:r>
      <w:r w:rsidR="00323AEA">
        <w:rPr>
          <w:rFonts w:ascii="Times New Roman" w:hAnsi="Times New Roman" w:cs="Times New Roman"/>
          <w:sz w:val="24"/>
          <w:szCs w:val="24"/>
        </w:rPr>
        <w:t>indledes</w:t>
      </w:r>
      <w:r w:rsidRPr="0056592C">
        <w:rPr>
          <w:rFonts w:ascii="Times New Roman" w:hAnsi="Times New Roman" w:cs="Times New Roman"/>
          <w:sz w:val="24"/>
          <w:szCs w:val="24"/>
        </w:rPr>
        <w:t xml:space="preserve"> før den </w:t>
      </w:r>
      <w:r w:rsidR="00323AEA">
        <w:rPr>
          <w:rFonts w:ascii="Times New Roman" w:hAnsi="Times New Roman" w:cs="Times New Roman"/>
          <w:sz w:val="24"/>
          <w:szCs w:val="24"/>
        </w:rPr>
        <w:t>for kalenderåret fastsatte startdato, jf. meddelelsen efter stk. 2</w:t>
      </w:r>
      <w:r w:rsidRPr="0056592C">
        <w:rPr>
          <w:rFonts w:ascii="Times New Roman" w:hAnsi="Times New Roman" w:cs="Times New Roman"/>
          <w:sz w:val="24"/>
          <w:szCs w:val="24"/>
        </w:rPr>
        <w:t>.</w:t>
      </w:r>
    </w:p>
    <w:p w14:paraId="25094BD6" w14:textId="77777777" w:rsidR="0056592C" w:rsidRPr="0056592C" w:rsidRDefault="0056592C" w:rsidP="0056592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18E01B1" w14:textId="70AF09AF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Når den fastsatte kvote nærmer sig opfiskning, giver Naalakkersuisut meddelelse om, hvornår </w:t>
      </w:r>
      <w:r w:rsidR="00B24E97">
        <w:rPr>
          <w:rFonts w:ascii="Times New Roman" w:hAnsi="Times New Roman" w:cs="Times New Roman"/>
          <w:sz w:val="24"/>
          <w:szCs w:val="24"/>
        </w:rPr>
        <w:t xml:space="preserve">det ikke-erhvervsmæssige </w:t>
      </w:r>
      <w:r w:rsidRPr="005A7EB3">
        <w:rPr>
          <w:rFonts w:ascii="Times New Roman" w:hAnsi="Times New Roman" w:cs="Times New Roman"/>
          <w:sz w:val="24"/>
          <w:szCs w:val="24"/>
        </w:rPr>
        <w:t xml:space="preserve">fiskeri efter laks skal ophøre. Meddelelsen gives </w:t>
      </w:r>
      <w:r>
        <w:rPr>
          <w:rFonts w:ascii="Times New Roman" w:hAnsi="Times New Roman" w:cs="Times New Roman"/>
          <w:sz w:val="24"/>
          <w:szCs w:val="24"/>
        </w:rPr>
        <w:t>ved offentlig meddelelse</w:t>
      </w:r>
      <w:r w:rsidRPr="005A7EB3">
        <w:rPr>
          <w:rFonts w:ascii="Times New Roman" w:hAnsi="Times New Roman" w:cs="Times New Roman"/>
          <w:sz w:val="24"/>
          <w:szCs w:val="24"/>
        </w:rPr>
        <w:t>. Redskaber skal bjærges inden ophørstidspunktet.</w:t>
      </w:r>
    </w:p>
    <w:p w14:paraId="1FE3CA1B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2961" w14:textId="06138094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B24E97">
        <w:rPr>
          <w:rFonts w:ascii="Times New Roman" w:hAnsi="Times New Roman" w:cs="Times New Roman"/>
          <w:sz w:val="24"/>
          <w:szCs w:val="24"/>
        </w:rPr>
        <w:t>Ikke-erhvervsmæssigt f</w:t>
      </w:r>
      <w:r w:rsidRPr="005A7EB3">
        <w:rPr>
          <w:rFonts w:ascii="Times New Roman" w:hAnsi="Times New Roman" w:cs="Times New Roman"/>
          <w:sz w:val="24"/>
          <w:szCs w:val="24"/>
        </w:rPr>
        <w:t>iskeri efter laks må kun foretages med:</w:t>
      </w:r>
    </w:p>
    <w:p w14:paraId="59B93139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>1)  kroge, eller</w:t>
      </w:r>
    </w:p>
    <w:p w14:paraId="3344C4D1" w14:textId="3C48FF82" w:rsidR="00292741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>2)  med et 2</w:t>
      </w:r>
      <w:r w:rsidR="00F24E0F">
        <w:rPr>
          <w:rFonts w:ascii="Times New Roman" w:hAnsi="Times New Roman" w:cs="Times New Roman"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>000 knuders garn, hvis maskestørrelse i strakt mål er mindst 140 mm., og hvis længde maksimalt udgør 30 meter.</w:t>
      </w:r>
    </w:p>
    <w:p w14:paraId="30A24062" w14:textId="707F6012" w:rsidR="006777CB" w:rsidRPr="005A7EB3" w:rsidRDefault="00292741" w:rsidP="006777CB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Stk. 2.  </w:t>
      </w:r>
      <w:r w:rsidR="00F24E0F">
        <w:rPr>
          <w:rFonts w:ascii="Times New Roman" w:hAnsi="Times New Roman" w:cs="Times New Roman"/>
          <w:sz w:val="24"/>
          <w:szCs w:val="24"/>
        </w:rPr>
        <w:t xml:space="preserve">Der må ikke </w:t>
      </w:r>
      <w:r w:rsidR="006777CB" w:rsidRPr="005A7EB3">
        <w:rPr>
          <w:rFonts w:ascii="Times New Roman" w:hAnsi="Times New Roman" w:cs="Times New Roman"/>
          <w:sz w:val="24"/>
          <w:szCs w:val="24"/>
        </w:rPr>
        <w:t>sætte</w:t>
      </w:r>
      <w:r w:rsidR="00F24E0F">
        <w:rPr>
          <w:rFonts w:ascii="Times New Roman" w:hAnsi="Times New Roman" w:cs="Times New Roman"/>
          <w:sz w:val="24"/>
          <w:szCs w:val="24"/>
        </w:rPr>
        <w:t>s</w:t>
      </w:r>
      <w:r w:rsidR="006777CB" w:rsidRPr="005A7EB3">
        <w:rPr>
          <w:rFonts w:ascii="Times New Roman" w:hAnsi="Times New Roman" w:cs="Times New Roman"/>
          <w:sz w:val="24"/>
          <w:szCs w:val="24"/>
        </w:rPr>
        <w:t xml:space="preserve"> flere garn i lænke</w:t>
      </w:r>
      <w:r w:rsidR="00AA71B9">
        <w:rPr>
          <w:rFonts w:ascii="Times New Roman" w:hAnsi="Times New Roman" w:cs="Times New Roman"/>
          <w:sz w:val="24"/>
          <w:szCs w:val="24"/>
        </w:rPr>
        <w:t xml:space="preserve"> og sætte</w:t>
      </w:r>
      <w:r w:rsidR="00F24E0F">
        <w:rPr>
          <w:rFonts w:ascii="Times New Roman" w:hAnsi="Times New Roman" w:cs="Times New Roman"/>
          <w:sz w:val="24"/>
          <w:szCs w:val="24"/>
        </w:rPr>
        <w:t>s</w:t>
      </w:r>
      <w:r w:rsidR="00AA71B9">
        <w:rPr>
          <w:rFonts w:ascii="Times New Roman" w:hAnsi="Times New Roman" w:cs="Times New Roman"/>
          <w:sz w:val="24"/>
          <w:szCs w:val="24"/>
        </w:rPr>
        <w:t xml:space="preserve"> garn nærmere end 500 meter fra elvmunding ved laveste vande</w:t>
      </w:r>
      <w:r w:rsidR="006777CB" w:rsidRPr="005A7EB3">
        <w:rPr>
          <w:rFonts w:ascii="Times New Roman" w:hAnsi="Times New Roman" w:cs="Times New Roman"/>
          <w:sz w:val="24"/>
          <w:szCs w:val="24"/>
        </w:rPr>
        <w:t>.</w:t>
      </w:r>
    </w:p>
    <w:p w14:paraId="5B8CE4C1" w14:textId="380E8ACE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309814" w14:textId="24753102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27469A">
        <w:rPr>
          <w:rFonts w:ascii="Times New Roman" w:hAnsi="Times New Roman" w:cs="Times New Roman"/>
          <w:sz w:val="24"/>
          <w:szCs w:val="24"/>
        </w:rPr>
        <w:t>Den, der udøver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F9002A">
        <w:rPr>
          <w:rFonts w:ascii="Times New Roman" w:hAnsi="Times New Roman" w:cs="Times New Roman"/>
          <w:sz w:val="24"/>
          <w:szCs w:val="24"/>
        </w:rPr>
        <w:t xml:space="preserve">ikke-erhvervsmæssigt </w:t>
      </w:r>
      <w:r w:rsidRPr="005A7EB3">
        <w:rPr>
          <w:rFonts w:ascii="Times New Roman" w:hAnsi="Times New Roman" w:cs="Times New Roman"/>
          <w:sz w:val="24"/>
          <w:szCs w:val="24"/>
        </w:rPr>
        <w:t xml:space="preserve">fiskeri efter laks skal rapportere </w:t>
      </w:r>
      <w:r w:rsidR="0027469A">
        <w:rPr>
          <w:rFonts w:ascii="Times New Roman" w:hAnsi="Times New Roman" w:cs="Times New Roman"/>
          <w:sz w:val="24"/>
          <w:szCs w:val="24"/>
        </w:rPr>
        <w:t xml:space="preserve">alle fangster af laks </w:t>
      </w:r>
      <w:r w:rsidRPr="005A7EB3">
        <w:rPr>
          <w:rFonts w:ascii="Times New Roman" w:hAnsi="Times New Roman" w:cs="Times New Roman"/>
          <w:sz w:val="24"/>
          <w:szCs w:val="24"/>
        </w:rPr>
        <w:t>til G</w:t>
      </w:r>
      <w:r>
        <w:rPr>
          <w:rFonts w:ascii="Times New Roman" w:hAnsi="Times New Roman" w:cs="Times New Roman"/>
          <w:sz w:val="24"/>
          <w:szCs w:val="24"/>
        </w:rPr>
        <w:t xml:space="preserve">rønlands </w:t>
      </w:r>
      <w:r w:rsidRPr="005A7EB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iskeri- og </w:t>
      </w:r>
      <w:r w:rsidRPr="005A7EB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agtkontrol</w:t>
      </w:r>
      <w:r w:rsidR="0027469A">
        <w:rPr>
          <w:rFonts w:ascii="Times New Roman" w:hAnsi="Times New Roman" w:cs="Times New Roman"/>
          <w:sz w:val="24"/>
          <w:szCs w:val="24"/>
        </w:rPr>
        <w:t>, jf. stk. 2</w:t>
      </w:r>
      <w:r w:rsidRPr="005A7EB3">
        <w:rPr>
          <w:rFonts w:ascii="Times New Roman" w:hAnsi="Times New Roman" w:cs="Times New Roman"/>
          <w:sz w:val="24"/>
          <w:szCs w:val="24"/>
        </w:rPr>
        <w:t>.</w:t>
      </w:r>
    </w:p>
    <w:p w14:paraId="2E471A8C" w14:textId="0A001E81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Rapportering om fangster skal ske </w:t>
      </w:r>
      <w:r w:rsidR="002565EE">
        <w:rPr>
          <w:rFonts w:ascii="Times New Roman" w:hAnsi="Times New Roman" w:cs="Times New Roman"/>
          <w:sz w:val="24"/>
          <w:szCs w:val="24"/>
        </w:rPr>
        <w:t>under anvendelse af</w:t>
      </w:r>
      <w:r w:rsidRPr="005A7EB3">
        <w:rPr>
          <w:rFonts w:ascii="Times New Roman" w:hAnsi="Times New Roman" w:cs="Times New Roman"/>
          <w:sz w:val="24"/>
          <w:szCs w:val="24"/>
        </w:rPr>
        <w:t xml:space="preserve"> bilag 1 eller via Sullissivik.gl. Rapportering </w:t>
      </w:r>
      <w:r w:rsidR="0027469A">
        <w:rPr>
          <w:rFonts w:ascii="Times New Roman" w:hAnsi="Times New Roman" w:cs="Times New Roman"/>
          <w:sz w:val="24"/>
          <w:szCs w:val="24"/>
        </w:rPr>
        <w:t xml:space="preserve">skal foretages </w:t>
      </w:r>
      <w:r w:rsidRPr="005A7EB3">
        <w:rPr>
          <w:rFonts w:ascii="Times New Roman" w:hAnsi="Times New Roman" w:cs="Times New Roman"/>
          <w:sz w:val="24"/>
          <w:szCs w:val="24"/>
        </w:rPr>
        <w:t>straks ved hjemkomst efter røgtning eller fiskeri</w:t>
      </w:r>
      <w:r w:rsidR="001A10E5">
        <w:rPr>
          <w:rFonts w:ascii="Times New Roman" w:hAnsi="Times New Roman" w:cs="Times New Roman"/>
          <w:sz w:val="24"/>
          <w:szCs w:val="24"/>
        </w:rPr>
        <w:t>ets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1A10E5">
        <w:rPr>
          <w:rFonts w:ascii="Times New Roman" w:hAnsi="Times New Roman" w:cs="Times New Roman"/>
          <w:sz w:val="24"/>
          <w:szCs w:val="24"/>
        </w:rPr>
        <w:t>afslutning</w:t>
      </w:r>
      <w:r w:rsidRPr="005A7EB3">
        <w:rPr>
          <w:rFonts w:ascii="Times New Roman" w:hAnsi="Times New Roman" w:cs="Times New Roman"/>
          <w:sz w:val="24"/>
          <w:szCs w:val="24"/>
        </w:rPr>
        <w:t>.</w:t>
      </w:r>
    </w:p>
    <w:p w14:paraId="78D23A2F" w14:textId="77777777" w:rsidR="006777CB" w:rsidRPr="005A7EB3" w:rsidRDefault="006777CB" w:rsidP="006777C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5F01D" w14:textId="1B612E9D" w:rsidR="0081499A" w:rsidRDefault="006777CB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B24E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Enhver, der har licens til </w:t>
      </w:r>
      <w:bookmarkStart w:id="1" w:name="_Hlk201072075"/>
      <w:r w:rsidR="00F9002A">
        <w:rPr>
          <w:rFonts w:ascii="Times New Roman" w:hAnsi="Times New Roman" w:cs="Times New Roman"/>
          <w:sz w:val="24"/>
          <w:szCs w:val="24"/>
        </w:rPr>
        <w:t xml:space="preserve">ikke-erhvervsmæssigt </w:t>
      </w:r>
      <w:bookmarkEnd w:id="1"/>
      <w:r w:rsidRPr="005A7EB3">
        <w:rPr>
          <w:rFonts w:ascii="Times New Roman" w:hAnsi="Times New Roman" w:cs="Times New Roman"/>
          <w:sz w:val="24"/>
          <w:szCs w:val="24"/>
        </w:rPr>
        <w:t xml:space="preserve">fiskeri efter laks, </w:t>
      </w:r>
      <w:r w:rsidR="00FC5378">
        <w:rPr>
          <w:rFonts w:ascii="Times New Roman" w:hAnsi="Times New Roman" w:cs="Times New Roman"/>
          <w:sz w:val="24"/>
          <w:szCs w:val="24"/>
        </w:rPr>
        <w:t xml:space="preserve">og </w:t>
      </w:r>
      <w:r w:rsidRPr="005A7EB3">
        <w:rPr>
          <w:rFonts w:ascii="Times New Roman" w:hAnsi="Times New Roman" w:cs="Times New Roman"/>
          <w:sz w:val="24"/>
          <w:szCs w:val="24"/>
        </w:rPr>
        <w:t>som ikke har udøvet fiskeri</w:t>
      </w:r>
      <w:r w:rsidR="002565EE">
        <w:rPr>
          <w:rFonts w:ascii="Times New Roman" w:hAnsi="Times New Roman" w:cs="Times New Roman"/>
          <w:sz w:val="24"/>
          <w:szCs w:val="24"/>
        </w:rPr>
        <w:t>et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FC5378">
        <w:rPr>
          <w:rFonts w:ascii="Times New Roman" w:hAnsi="Times New Roman" w:cs="Times New Roman"/>
          <w:sz w:val="24"/>
          <w:szCs w:val="24"/>
        </w:rPr>
        <w:t xml:space="preserve">eller </w:t>
      </w:r>
      <w:r w:rsidRPr="005A7EB3">
        <w:rPr>
          <w:rFonts w:ascii="Times New Roman" w:hAnsi="Times New Roman" w:cs="Times New Roman"/>
          <w:sz w:val="24"/>
          <w:szCs w:val="24"/>
        </w:rPr>
        <w:t>ikke har fanget nogen laks, skal rapportere dette</w:t>
      </w:r>
      <w:r w:rsidR="002565EE">
        <w:rPr>
          <w:rFonts w:ascii="Times New Roman" w:hAnsi="Times New Roman" w:cs="Times New Roman"/>
          <w:sz w:val="24"/>
          <w:szCs w:val="24"/>
        </w:rPr>
        <w:t xml:space="preserve"> </w:t>
      </w:r>
      <w:r w:rsidR="002565EE" w:rsidRPr="005A7EB3">
        <w:rPr>
          <w:rFonts w:ascii="Times New Roman" w:hAnsi="Times New Roman" w:cs="Times New Roman"/>
          <w:sz w:val="24"/>
          <w:szCs w:val="24"/>
        </w:rPr>
        <w:t>til G</w:t>
      </w:r>
      <w:r w:rsidR="002565EE">
        <w:rPr>
          <w:rFonts w:ascii="Times New Roman" w:hAnsi="Times New Roman" w:cs="Times New Roman"/>
          <w:sz w:val="24"/>
          <w:szCs w:val="24"/>
        </w:rPr>
        <w:t xml:space="preserve">rønlands </w:t>
      </w:r>
      <w:r w:rsidR="002565EE" w:rsidRPr="005A7EB3">
        <w:rPr>
          <w:rFonts w:ascii="Times New Roman" w:hAnsi="Times New Roman" w:cs="Times New Roman"/>
          <w:sz w:val="24"/>
          <w:szCs w:val="24"/>
        </w:rPr>
        <w:t>F</w:t>
      </w:r>
      <w:r w:rsidR="002565EE">
        <w:rPr>
          <w:rFonts w:ascii="Times New Roman" w:hAnsi="Times New Roman" w:cs="Times New Roman"/>
          <w:sz w:val="24"/>
          <w:szCs w:val="24"/>
        </w:rPr>
        <w:t xml:space="preserve">iskeri- og </w:t>
      </w:r>
      <w:r w:rsidR="002565EE" w:rsidRPr="005A7EB3">
        <w:rPr>
          <w:rFonts w:ascii="Times New Roman" w:hAnsi="Times New Roman" w:cs="Times New Roman"/>
          <w:sz w:val="24"/>
          <w:szCs w:val="24"/>
        </w:rPr>
        <w:t>J</w:t>
      </w:r>
      <w:r w:rsidR="002565EE">
        <w:rPr>
          <w:rFonts w:ascii="Times New Roman" w:hAnsi="Times New Roman" w:cs="Times New Roman"/>
          <w:sz w:val="24"/>
          <w:szCs w:val="24"/>
        </w:rPr>
        <w:t>agtkontrol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2565EE">
        <w:rPr>
          <w:rFonts w:ascii="Times New Roman" w:hAnsi="Times New Roman" w:cs="Times New Roman"/>
          <w:sz w:val="24"/>
          <w:szCs w:val="24"/>
        </w:rPr>
        <w:t>under anvendelse af</w:t>
      </w:r>
      <w:r w:rsidRPr="005A7EB3">
        <w:rPr>
          <w:rFonts w:ascii="Times New Roman" w:hAnsi="Times New Roman" w:cs="Times New Roman"/>
          <w:sz w:val="24"/>
          <w:szCs w:val="24"/>
        </w:rPr>
        <w:t xml:space="preserve"> bilag 1 eller via Sullissivik.gl senest 14 dage efter fiskeriet efter laks er lukket.</w:t>
      </w:r>
    </w:p>
    <w:p w14:paraId="5A856007" w14:textId="77777777" w:rsidR="00DF200A" w:rsidRDefault="00DF200A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796605" w14:textId="65CE139D" w:rsidR="00DF200A" w:rsidRPr="00DF200A" w:rsidRDefault="00DF200A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20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200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5516B8" w:rsidRPr="005516B8">
        <w:rPr>
          <w:rFonts w:ascii="Times New Roman" w:hAnsi="Times New Roman" w:cs="Times New Roman"/>
          <w:sz w:val="24"/>
          <w:szCs w:val="24"/>
        </w:rPr>
        <w:t>Ikke</w:t>
      </w:r>
      <w:r w:rsidR="005516B8">
        <w:rPr>
          <w:rFonts w:ascii="Times New Roman" w:hAnsi="Times New Roman" w:cs="Times New Roman"/>
          <w:sz w:val="24"/>
          <w:szCs w:val="24"/>
        </w:rPr>
        <w:t>-erhvervsmæssigt f</w:t>
      </w:r>
      <w:r>
        <w:rPr>
          <w:rFonts w:ascii="Times New Roman" w:hAnsi="Times New Roman" w:cs="Times New Roman"/>
          <w:sz w:val="24"/>
          <w:szCs w:val="24"/>
        </w:rPr>
        <w:t>iskeri efter laks må alene finde sted i området mellem kysten og 3 sømil udenfor basislinjen.</w:t>
      </w:r>
    </w:p>
    <w:p w14:paraId="60849E02" w14:textId="77777777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CEAAA9" w14:textId="1DDEA014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Kapitel 3</w:t>
      </w:r>
    </w:p>
    <w:p w14:paraId="422F3B23" w14:textId="2B19D706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Rapportering i forbindelse med e</w:t>
      </w:r>
      <w:r w:rsidRPr="00292741">
        <w:rPr>
          <w:rFonts w:ascii="Times New Roman" w:hAnsi="Times New Roman" w:cs="Times New Roman"/>
          <w:i/>
          <w:iCs/>
          <w:sz w:val="24"/>
          <w:szCs w:val="24"/>
        </w:rPr>
        <w:t>rhvervsmæssigt fiskeri efter laks</w:t>
      </w:r>
    </w:p>
    <w:p w14:paraId="7870C0B5" w14:textId="77777777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0D03022" w14:textId="43445ECF" w:rsidR="0081499A" w:rsidRDefault="0081499A" w:rsidP="0081499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54025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§ </w:t>
      </w:r>
      <w:r w:rsidR="00E3356A">
        <w:rPr>
          <w:rFonts w:ascii="Times New Roman" w:hAnsi="Times New Roman" w:cs="Times New Roman"/>
          <w:b/>
          <w:bCs/>
          <w:sz w:val="24"/>
          <w:szCs w:val="24"/>
          <w:lang w:val="da-DK"/>
        </w:rPr>
        <w:t>10</w:t>
      </w:r>
      <w:r w:rsidRPr="00540256">
        <w:rPr>
          <w:rFonts w:ascii="Times New Roman" w:hAnsi="Times New Roman" w:cs="Times New Roman"/>
          <w:b/>
          <w:bCs/>
          <w:sz w:val="24"/>
          <w:szCs w:val="24"/>
          <w:lang w:val="da-DK"/>
        </w:rPr>
        <w:t>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5516B8" w:rsidRPr="005516B8">
        <w:rPr>
          <w:rFonts w:ascii="Times New Roman" w:hAnsi="Times New Roman" w:cs="Times New Roman"/>
          <w:sz w:val="24"/>
          <w:szCs w:val="24"/>
          <w:lang w:val="da-DK"/>
        </w:rPr>
        <w:t>Fiskere med licens til erhvervsmæssigt fiskeri efter laks skal straks efter ankomst til havn rapportere alle laksefangster til Grønlands Fiskeri- og Jagtkontrol. Rapporteringen skal omfatte alle fangede laks. Rapporteringen skal foretages under anvendelse af bilag 1 eller via Sullissivik.gl.</w:t>
      </w:r>
    </w:p>
    <w:p w14:paraId="4A4AFA0B" w14:textId="70CECF30" w:rsidR="00B24E97" w:rsidRDefault="0081499A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</w:p>
    <w:p w14:paraId="4B81D300" w14:textId="77777777" w:rsidR="00B24E97" w:rsidRDefault="00B24E97" w:rsidP="00B24E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3BBEB4F" w14:textId="7F296219" w:rsidR="00292741" w:rsidRDefault="00B24E97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Pr="00B24E97">
        <w:rPr>
          <w:rFonts w:ascii="Times New Roman" w:hAnsi="Times New Roman" w:cs="Times New Roman"/>
          <w:b/>
          <w:bCs/>
          <w:sz w:val="24"/>
          <w:szCs w:val="24"/>
          <w:lang w:val="da-DK"/>
        </w:rPr>
        <w:t>§ 1</w:t>
      </w:r>
      <w:r w:rsidR="00E3356A">
        <w:rPr>
          <w:rFonts w:ascii="Times New Roman" w:hAnsi="Times New Roman" w:cs="Times New Roman"/>
          <w:b/>
          <w:bCs/>
          <w:sz w:val="24"/>
          <w:szCs w:val="24"/>
          <w:lang w:val="da-DK"/>
        </w:rPr>
        <w:t>1</w:t>
      </w:r>
      <w:r w:rsidRPr="00B24E97">
        <w:rPr>
          <w:rFonts w:ascii="Times New Roman" w:hAnsi="Times New Roman" w:cs="Times New Roman"/>
          <w:b/>
          <w:bCs/>
          <w:sz w:val="24"/>
          <w:szCs w:val="24"/>
          <w:lang w:val="da-DK"/>
        </w:rPr>
        <w:t>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 </w:t>
      </w:r>
      <w:r w:rsidR="00E92655" w:rsidRPr="00E92655">
        <w:rPr>
          <w:rFonts w:ascii="Times New Roman" w:hAnsi="Times New Roman" w:cs="Times New Roman"/>
          <w:sz w:val="24"/>
          <w:szCs w:val="24"/>
          <w:lang w:val="da-DK"/>
        </w:rPr>
        <w:t>Enhver, der har licens til</w:t>
      </w:r>
      <w:r w:rsidR="00E92655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E92655" w:rsidRPr="00E92655">
        <w:rPr>
          <w:rFonts w:ascii="Times New Roman" w:hAnsi="Times New Roman" w:cs="Times New Roman"/>
          <w:sz w:val="24"/>
          <w:szCs w:val="24"/>
          <w:lang w:val="da-DK"/>
        </w:rPr>
        <w:t>erhvervsmæssigt fiskeri efter laks, og som ikke har udøvet fiskeriet eller ikke har fanget nogen laks, skal rapportere dette til Grønlands Fiskeri- og Jagtkontrol under anvendelse af bilag 1 eller via Sullissivik.gl senest 14 dage efter fiskeriet efter laks er lukket.</w:t>
      </w:r>
    </w:p>
    <w:p w14:paraId="22AC60D1" w14:textId="77777777" w:rsidR="00E92655" w:rsidRDefault="00E92655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7ACCCBB" w14:textId="7BA46130" w:rsidR="00292741" w:rsidRP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Kapitel 4</w:t>
      </w:r>
    </w:p>
    <w:p w14:paraId="3B4BC282" w14:textId="20E00CC1" w:rsidR="00292741" w:rsidRPr="005A7EB3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Særligt om fiskeri i </w:t>
      </w:r>
      <w:r w:rsidR="0039132A">
        <w:rPr>
          <w:rFonts w:ascii="Times New Roman" w:hAnsi="Times New Roman" w:cs="Times New Roman"/>
          <w:i/>
          <w:iCs/>
          <w:sz w:val="24"/>
          <w:szCs w:val="24"/>
        </w:rPr>
        <w:t xml:space="preserve">og ved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Kapisillit-elven</w:t>
      </w:r>
    </w:p>
    <w:p w14:paraId="6471CFF6" w14:textId="777777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D440F4B" w14:textId="70E577BB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7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Naalakkersuisut fastsætter hvert år en kvote og startdato for fiskeri efter laks fra Kapisillit-elven.</w:t>
      </w:r>
    </w:p>
    <w:p w14:paraId="370BA4E9" w14:textId="54422163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Stk. 2.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Der må alene fiskes til privat brug i Kapisillit-elven. Dette fiskeri er betinget af en licens, der efter ansøgning udstedes af </w:t>
      </w:r>
      <w:r w:rsidR="004F0EB4">
        <w:rPr>
          <w:rFonts w:ascii="Times New Roman" w:hAnsi="Times New Roman" w:cs="Times New Roman"/>
          <w:sz w:val="24"/>
          <w:szCs w:val="24"/>
        </w:rPr>
        <w:t>det d</w:t>
      </w:r>
      <w:r w:rsidRPr="005A7EB3">
        <w:rPr>
          <w:rFonts w:ascii="Times New Roman" w:hAnsi="Times New Roman" w:cs="Times New Roman"/>
          <w:sz w:val="24"/>
          <w:szCs w:val="24"/>
        </w:rPr>
        <w:t xml:space="preserve">epartementet, hvorunder fiskeri ressortmæssigt </w:t>
      </w:r>
      <w:r w:rsidR="004F0EB4">
        <w:rPr>
          <w:rFonts w:ascii="Times New Roman" w:hAnsi="Times New Roman" w:cs="Times New Roman"/>
          <w:sz w:val="24"/>
          <w:szCs w:val="24"/>
        </w:rPr>
        <w:t>hen</w:t>
      </w:r>
      <w:r w:rsidRPr="005A7EB3">
        <w:rPr>
          <w:rFonts w:ascii="Times New Roman" w:hAnsi="Times New Roman" w:cs="Times New Roman"/>
          <w:sz w:val="24"/>
          <w:szCs w:val="24"/>
        </w:rPr>
        <w:t>hører.</w:t>
      </w:r>
    </w:p>
    <w:p w14:paraId="54C25170" w14:textId="777777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Licens efter stk. 2 kan udstedes til ansøgere, som opfylder følgende betingelser:</w:t>
      </w:r>
    </w:p>
    <w:p w14:paraId="3DBB2AE0" w14:textId="7348DDD9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1)  </w:t>
      </w:r>
      <w:r w:rsidR="0039132A">
        <w:rPr>
          <w:rFonts w:ascii="Times New Roman" w:hAnsi="Times New Roman" w:cs="Times New Roman"/>
          <w:sz w:val="24"/>
          <w:szCs w:val="24"/>
        </w:rPr>
        <w:t xml:space="preserve">Har folkeregisteradresse i Grønland eller har fået tilladelse til at udøve ikke erhvervsmæssigt fiskeri. </w:t>
      </w:r>
    </w:p>
    <w:p w14:paraId="5068B083" w14:textId="6DBBB8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2)  En </w:t>
      </w:r>
      <w:r w:rsidR="004F0EB4">
        <w:rPr>
          <w:rFonts w:ascii="Times New Roman" w:hAnsi="Times New Roman" w:cs="Times New Roman"/>
          <w:sz w:val="24"/>
          <w:szCs w:val="24"/>
        </w:rPr>
        <w:t>ansøger</w:t>
      </w:r>
      <w:r w:rsidR="00FC1AF6">
        <w:rPr>
          <w:rFonts w:ascii="Times New Roman" w:hAnsi="Times New Roman" w:cs="Times New Roman"/>
          <w:sz w:val="24"/>
          <w:szCs w:val="24"/>
        </w:rPr>
        <w:t>, der også var licenshaver i forudgående kalenderår,</w:t>
      </w:r>
      <w:r w:rsidRPr="005A7EB3">
        <w:rPr>
          <w:rFonts w:ascii="Times New Roman" w:hAnsi="Times New Roman" w:cs="Times New Roman"/>
          <w:sz w:val="24"/>
          <w:szCs w:val="24"/>
        </w:rPr>
        <w:t xml:space="preserve"> skal </w:t>
      </w:r>
      <w:r w:rsidR="00FC1AF6">
        <w:rPr>
          <w:rFonts w:ascii="Times New Roman" w:hAnsi="Times New Roman" w:cs="Times New Roman"/>
          <w:sz w:val="24"/>
          <w:szCs w:val="24"/>
        </w:rPr>
        <w:t xml:space="preserve">have </w:t>
      </w:r>
      <w:r w:rsidRPr="005A7EB3">
        <w:rPr>
          <w:rFonts w:ascii="Times New Roman" w:hAnsi="Times New Roman" w:cs="Times New Roman"/>
          <w:sz w:val="24"/>
          <w:szCs w:val="24"/>
        </w:rPr>
        <w:t>opfyld</w:t>
      </w:r>
      <w:r w:rsidR="00FC1AF6">
        <w:rPr>
          <w:rFonts w:ascii="Times New Roman" w:hAnsi="Times New Roman" w:cs="Times New Roman"/>
          <w:sz w:val="24"/>
          <w:szCs w:val="24"/>
        </w:rPr>
        <w:t>t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39132A">
        <w:rPr>
          <w:rFonts w:ascii="Times New Roman" w:hAnsi="Times New Roman" w:cs="Times New Roman"/>
          <w:sz w:val="24"/>
          <w:szCs w:val="24"/>
        </w:rPr>
        <w:t xml:space="preserve">sin </w:t>
      </w:r>
      <w:r w:rsidRPr="005A7EB3">
        <w:rPr>
          <w:rFonts w:ascii="Times New Roman" w:hAnsi="Times New Roman" w:cs="Times New Roman"/>
          <w:sz w:val="24"/>
          <w:szCs w:val="24"/>
        </w:rPr>
        <w:t>rapporteringsplig</w:t>
      </w:r>
      <w:r w:rsidR="0039132A">
        <w:rPr>
          <w:rFonts w:ascii="Times New Roman" w:hAnsi="Times New Roman" w:cs="Times New Roman"/>
          <w:sz w:val="24"/>
          <w:szCs w:val="24"/>
        </w:rPr>
        <w:t>t</w:t>
      </w:r>
      <w:r w:rsidRPr="005A7EB3">
        <w:rPr>
          <w:rFonts w:ascii="Times New Roman" w:hAnsi="Times New Roman" w:cs="Times New Roman"/>
          <w:sz w:val="24"/>
          <w:szCs w:val="24"/>
        </w:rPr>
        <w:t xml:space="preserve"> </w:t>
      </w:r>
      <w:r w:rsidR="00FC1AF6">
        <w:rPr>
          <w:rFonts w:ascii="Times New Roman" w:hAnsi="Times New Roman" w:cs="Times New Roman"/>
          <w:sz w:val="24"/>
          <w:szCs w:val="24"/>
        </w:rPr>
        <w:t>i overensstemmelse med § 7</w:t>
      </w:r>
      <w:r w:rsidRPr="005A7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862F6" w14:textId="0DDB1055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Stk. 4.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Det er forbudt at fiske med enhver form for garn nærmere end 1</w:t>
      </w:r>
      <w:r w:rsidR="00FC1AF6">
        <w:rPr>
          <w:rFonts w:ascii="Times New Roman" w:hAnsi="Times New Roman" w:cs="Times New Roman"/>
          <w:sz w:val="24"/>
          <w:szCs w:val="24"/>
        </w:rPr>
        <w:t>.</w:t>
      </w:r>
      <w:r w:rsidRPr="005A7EB3">
        <w:rPr>
          <w:rFonts w:ascii="Times New Roman" w:hAnsi="Times New Roman" w:cs="Times New Roman"/>
          <w:sz w:val="24"/>
          <w:szCs w:val="24"/>
        </w:rPr>
        <w:t xml:space="preserve">000 meter fra Kapisillit-elvens munding. </w:t>
      </w:r>
    </w:p>
    <w:p w14:paraId="03095B40" w14:textId="777777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5.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Det er forbudt at fiske med enhver form for redskab, bortset fra fiskestang med enkeltkrog, nærmere end 50 meter fra Kapisillit-elvens munding.</w:t>
      </w:r>
    </w:p>
    <w:p w14:paraId="18FE5E99" w14:textId="2718D8B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Stk. 6.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="00FC1AF6">
        <w:rPr>
          <w:rFonts w:ascii="Times New Roman" w:hAnsi="Times New Roman" w:cs="Times New Roman"/>
          <w:sz w:val="24"/>
          <w:szCs w:val="24"/>
        </w:rPr>
        <w:t>I Kapisillit-</w:t>
      </w:r>
      <w:r w:rsidRPr="005A7EB3">
        <w:rPr>
          <w:rFonts w:ascii="Times New Roman" w:hAnsi="Times New Roman" w:cs="Times New Roman"/>
          <w:sz w:val="24"/>
          <w:szCs w:val="24"/>
        </w:rPr>
        <w:t xml:space="preserve">elven og </w:t>
      </w:r>
      <w:r w:rsidR="00FC1AF6">
        <w:rPr>
          <w:rFonts w:ascii="Times New Roman" w:hAnsi="Times New Roman" w:cs="Times New Roman"/>
          <w:sz w:val="24"/>
          <w:szCs w:val="24"/>
        </w:rPr>
        <w:t xml:space="preserve">i </w:t>
      </w:r>
      <w:r w:rsidRPr="005A7EB3">
        <w:rPr>
          <w:rFonts w:ascii="Times New Roman" w:hAnsi="Times New Roman" w:cs="Times New Roman"/>
          <w:sz w:val="24"/>
          <w:szCs w:val="24"/>
        </w:rPr>
        <w:t>søerne forbundet hermed</w:t>
      </w:r>
      <w:r w:rsidR="00FC1AF6">
        <w:rPr>
          <w:rFonts w:ascii="Times New Roman" w:hAnsi="Times New Roman" w:cs="Times New Roman"/>
          <w:sz w:val="24"/>
          <w:szCs w:val="24"/>
        </w:rPr>
        <w:t xml:space="preserve"> </w:t>
      </w:r>
      <w:r w:rsidR="00FC1AF6" w:rsidRPr="005A7EB3">
        <w:rPr>
          <w:rFonts w:ascii="Times New Roman" w:hAnsi="Times New Roman" w:cs="Times New Roman"/>
          <w:sz w:val="24"/>
          <w:szCs w:val="24"/>
        </w:rPr>
        <w:t xml:space="preserve">må </w:t>
      </w:r>
      <w:r w:rsidR="00FC1AF6">
        <w:rPr>
          <w:rFonts w:ascii="Times New Roman" w:hAnsi="Times New Roman" w:cs="Times New Roman"/>
          <w:sz w:val="24"/>
          <w:szCs w:val="24"/>
        </w:rPr>
        <w:t xml:space="preserve">der </w:t>
      </w:r>
      <w:r w:rsidR="00FC1AF6" w:rsidRPr="005A7EB3">
        <w:rPr>
          <w:rFonts w:ascii="Times New Roman" w:hAnsi="Times New Roman" w:cs="Times New Roman"/>
          <w:sz w:val="24"/>
          <w:szCs w:val="24"/>
        </w:rPr>
        <w:t>kun fiskes med fiskestang med enkeltkrog</w:t>
      </w:r>
      <w:r w:rsidRPr="005A7EB3">
        <w:rPr>
          <w:rFonts w:ascii="Times New Roman" w:hAnsi="Times New Roman" w:cs="Times New Roman"/>
          <w:sz w:val="24"/>
          <w:szCs w:val="24"/>
        </w:rPr>
        <w:t>.</w:t>
      </w:r>
    </w:p>
    <w:p w14:paraId="717FDDD6" w14:textId="77777777" w:rsidR="00292741" w:rsidRPr="005A7EB3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i/>
          <w:iCs/>
          <w:sz w:val="24"/>
          <w:szCs w:val="24"/>
        </w:rPr>
        <w:t xml:space="preserve">  Stk. 7.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Naalakkersuisut giver </w:t>
      </w:r>
      <w:r>
        <w:rPr>
          <w:rFonts w:ascii="Times New Roman" w:hAnsi="Times New Roman" w:cs="Times New Roman"/>
          <w:sz w:val="24"/>
          <w:szCs w:val="24"/>
        </w:rPr>
        <w:t>ved offentlig meddelelse besked</w:t>
      </w:r>
      <w:r w:rsidRPr="005A7EB3">
        <w:rPr>
          <w:rFonts w:ascii="Times New Roman" w:hAnsi="Times New Roman" w:cs="Times New Roman"/>
          <w:sz w:val="24"/>
          <w:szCs w:val="24"/>
        </w:rPr>
        <w:t xml:space="preserve"> om, hvornår fiskeriet skal ophøre. Naalakkersuisut kan beslutte, at al fiskeri herefter kan foregå som catch-and-release med meldepligt for genudsatte fisk.</w:t>
      </w:r>
    </w:p>
    <w:p w14:paraId="02B2CF87" w14:textId="516E4BCF" w:rsidR="0081499A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EB3">
        <w:rPr>
          <w:rFonts w:ascii="Times New Roman" w:hAnsi="Times New Roman" w:cs="Times New Roman"/>
          <w:sz w:val="24"/>
          <w:szCs w:val="24"/>
        </w:rPr>
        <w:t xml:space="preserve">  </w:t>
      </w:r>
      <w:r w:rsidRPr="005A7EB3">
        <w:rPr>
          <w:rFonts w:ascii="Times New Roman" w:hAnsi="Times New Roman" w:cs="Times New Roman"/>
          <w:i/>
          <w:iCs/>
          <w:sz w:val="24"/>
          <w:szCs w:val="24"/>
        </w:rPr>
        <w:t>Stk. 8.</w:t>
      </w:r>
      <w:r w:rsidRPr="005A7EB3">
        <w:rPr>
          <w:rFonts w:ascii="Times New Roman" w:hAnsi="Times New Roman" w:cs="Times New Roman"/>
          <w:sz w:val="24"/>
          <w:szCs w:val="24"/>
        </w:rPr>
        <w:t xml:space="preserve">  Det er forbudt at fiske før starttidspunktet, jf. stk. 1. Det er forbudt at fiske efter ophørstidspunktet, jf. stk. 7.</w:t>
      </w:r>
    </w:p>
    <w:p w14:paraId="3EADC3EA" w14:textId="77777777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5CA6717" w14:textId="70B62894" w:rsid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Kapitel 5</w:t>
      </w:r>
    </w:p>
    <w:p w14:paraId="7F0D0141" w14:textId="7AEADC38" w:rsid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Foranstaltninger</w:t>
      </w:r>
    </w:p>
    <w:p w14:paraId="25C64852" w14:textId="77777777" w:rsidR="00292741" w:rsidRDefault="00292741" w:rsidP="0029274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FB3B0" w14:textId="2767A810" w:rsidR="00292741" w:rsidRDefault="00292741" w:rsidP="002927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36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436D" w:rsidRPr="0020436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35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436D" w:rsidRPr="002043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436D">
        <w:rPr>
          <w:rFonts w:ascii="Times New Roman" w:hAnsi="Times New Roman" w:cs="Times New Roman"/>
          <w:sz w:val="24"/>
          <w:szCs w:val="24"/>
        </w:rPr>
        <w:t xml:space="preserve">  Overtrædelse af § 4, stk. 3</w:t>
      </w:r>
      <w:r w:rsidR="0056592C">
        <w:rPr>
          <w:rFonts w:ascii="Times New Roman" w:hAnsi="Times New Roman" w:cs="Times New Roman"/>
          <w:sz w:val="24"/>
          <w:szCs w:val="24"/>
        </w:rPr>
        <w:t>, stk. 4, 2. pkt., samt stk. 5</w:t>
      </w:r>
      <w:r w:rsidR="0020436D">
        <w:rPr>
          <w:rFonts w:ascii="Times New Roman" w:hAnsi="Times New Roman" w:cs="Times New Roman"/>
          <w:sz w:val="24"/>
          <w:szCs w:val="24"/>
        </w:rPr>
        <w:t>, § 5, stk. 3, 3. pkt., §§ 6 – 1</w:t>
      </w:r>
      <w:r w:rsidR="00E3356A">
        <w:rPr>
          <w:rFonts w:ascii="Times New Roman" w:hAnsi="Times New Roman" w:cs="Times New Roman"/>
          <w:sz w:val="24"/>
          <w:szCs w:val="24"/>
        </w:rPr>
        <w:t>1</w:t>
      </w:r>
      <w:r w:rsidR="0020436D">
        <w:rPr>
          <w:rFonts w:ascii="Times New Roman" w:hAnsi="Times New Roman" w:cs="Times New Roman"/>
          <w:sz w:val="24"/>
          <w:szCs w:val="24"/>
        </w:rPr>
        <w:t xml:space="preserve"> og § 1</w:t>
      </w:r>
      <w:r w:rsidR="00E3356A">
        <w:rPr>
          <w:rFonts w:ascii="Times New Roman" w:hAnsi="Times New Roman" w:cs="Times New Roman"/>
          <w:sz w:val="24"/>
          <w:szCs w:val="24"/>
        </w:rPr>
        <w:t>2</w:t>
      </w:r>
      <w:r w:rsidR="0020436D">
        <w:rPr>
          <w:rFonts w:ascii="Times New Roman" w:hAnsi="Times New Roman" w:cs="Times New Roman"/>
          <w:sz w:val="24"/>
          <w:szCs w:val="24"/>
        </w:rPr>
        <w:t>, stk. 2, stk. 4 – 6 samt stk. 8</w:t>
      </w:r>
      <w:r w:rsidR="00654687">
        <w:rPr>
          <w:rFonts w:ascii="Times New Roman" w:hAnsi="Times New Roman" w:cs="Times New Roman"/>
          <w:sz w:val="24"/>
          <w:szCs w:val="24"/>
        </w:rPr>
        <w:t>, kan medføre foranstaltninger i form af bøde og konfiskation efter reglerne i kriminallov for Grønland</w:t>
      </w:r>
      <w:r w:rsidR="0020436D">
        <w:rPr>
          <w:rFonts w:ascii="Times New Roman" w:hAnsi="Times New Roman" w:cs="Times New Roman"/>
          <w:sz w:val="24"/>
          <w:szCs w:val="24"/>
        </w:rPr>
        <w:t>.</w:t>
      </w:r>
    </w:p>
    <w:p w14:paraId="7BF002E1" w14:textId="78548CAB" w:rsidR="0020436D" w:rsidRDefault="0020436D" w:rsidP="00654687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Stk. 2.  </w:t>
      </w:r>
      <w:r>
        <w:rPr>
          <w:rFonts w:ascii="Times New Roman" w:hAnsi="Times New Roman" w:cs="Times New Roman"/>
          <w:sz w:val="24"/>
          <w:szCs w:val="24"/>
        </w:rPr>
        <w:t>For overtræd</w:t>
      </w:r>
      <w:r w:rsidR="00EE48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lse af </w:t>
      </w:r>
      <w:r w:rsidR="00654687">
        <w:rPr>
          <w:rFonts w:ascii="Times New Roman" w:hAnsi="Times New Roman" w:cs="Times New Roman"/>
          <w:sz w:val="24"/>
          <w:szCs w:val="24"/>
        </w:rPr>
        <w:t>pålæg fastsat af Naalakkersuiust i henhold til § 12, stk. 7, kan der træffes foranstaltninger i form af bøde og konfiskation.</w:t>
      </w:r>
      <w:r w:rsidR="00654687" w:rsidDel="00654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F04DB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7909386C" w14:textId="700558EC" w:rsidR="0020436D" w:rsidRDefault="0020436D" w:rsidP="0020436D">
      <w:pPr>
        <w:spacing w:after="0" w:line="288" w:lineRule="auto"/>
        <w:jc w:val="center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Kapitel 6</w:t>
      </w:r>
    </w:p>
    <w:p w14:paraId="367B9837" w14:textId="199FE0C6" w:rsidR="0020436D" w:rsidRDefault="0020436D" w:rsidP="0020436D">
      <w:pPr>
        <w:spacing w:after="0" w:line="288" w:lineRule="auto"/>
        <w:jc w:val="center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i/>
          <w:iCs/>
          <w:sz w:val="24"/>
          <w:szCs w:val="24"/>
        </w:rPr>
        <w:t>Ikrafttrædelsesbestemmelse</w:t>
      </w:r>
    </w:p>
    <w:p w14:paraId="0BB83C7D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1E1A0E88" w14:textId="34491A5A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§ 13.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 Bekendtgørelsen træder i kraft 1. august 2025.</w:t>
      </w:r>
    </w:p>
    <w:p w14:paraId="55478D97" w14:textId="77777777" w:rsidR="004A43B4" w:rsidRDefault="004A43B4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48A37AB7" w14:textId="77777777" w:rsidR="0020436D" w:rsidRDefault="0020436D" w:rsidP="0020436D">
      <w:pPr>
        <w:spacing w:after="0" w:line="288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77A435FE" w14:textId="42443F66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3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Grønlands Selvstyre, den </w:t>
      </w:r>
      <w:r w:rsidR="0056592C">
        <w:rPr>
          <w:rFonts w:ascii="Times New Roman" w:hAnsi="Times New Roman" w:cs="Times New Roman"/>
          <w:i/>
          <w:sz w:val="24"/>
          <w:szCs w:val="24"/>
        </w:rPr>
        <w:t>x. juli</w:t>
      </w:r>
      <w:r w:rsidRPr="0020436D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14:paraId="44040A8F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15D7CE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04DB17" w14:textId="2AA6BED6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Peter </w:t>
      </w:r>
      <w:r w:rsidR="0056592C">
        <w:rPr>
          <w:rFonts w:ascii="Times New Roman" w:hAnsi="Times New Roman" w:cs="Times New Roman"/>
          <w:b/>
          <w:bCs/>
          <w:iCs/>
          <w:sz w:val="24"/>
          <w:szCs w:val="24"/>
        </w:rPr>
        <w:t>Borg</w:t>
      </w:r>
    </w:p>
    <w:p w14:paraId="4C55F8B7" w14:textId="0307576D" w:rsidR="0020436D" w:rsidRP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0436D">
        <w:rPr>
          <w:rFonts w:ascii="Times New Roman" w:hAnsi="Times New Roman" w:cs="Times New Roman"/>
          <w:iCs/>
          <w:sz w:val="24"/>
          <w:szCs w:val="24"/>
        </w:rPr>
        <w:t>Naalakkersuisoq for Fiskeri</w:t>
      </w:r>
      <w:r w:rsidR="0056592C">
        <w:rPr>
          <w:rFonts w:ascii="Times New Roman" w:hAnsi="Times New Roman" w:cs="Times New Roman"/>
          <w:iCs/>
          <w:sz w:val="24"/>
          <w:szCs w:val="24"/>
        </w:rPr>
        <w:t>,</w:t>
      </w:r>
      <w:r w:rsidRPr="0020436D">
        <w:rPr>
          <w:rFonts w:ascii="Times New Roman" w:hAnsi="Times New Roman" w:cs="Times New Roman"/>
          <w:iCs/>
          <w:sz w:val="24"/>
          <w:szCs w:val="24"/>
        </w:rPr>
        <w:t xml:space="preserve"> Fangst</w:t>
      </w:r>
      <w:r w:rsidR="0056592C">
        <w:rPr>
          <w:rFonts w:ascii="Times New Roman" w:hAnsi="Times New Roman" w:cs="Times New Roman"/>
          <w:iCs/>
          <w:sz w:val="24"/>
          <w:szCs w:val="24"/>
        </w:rPr>
        <w:t>, Landbrug og Selvforsyning</w:t>
      </w:r>
    </w:p>
    <w:p w14:paraId="19336BE2" w14:textId="77777777" w:rsidR="0020436D" w:rsidRDefault="0020436D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646E76" w14:textId="77777777" w:rsidR="00F9002A" w:rsidRPr="0020436D" w:rsidRDefault="00F9002A" w:rsidP="0020436D">
      <w:pPr>
        <w:keepNext/>
        <w:keepLines/>
        <w:spacing w:after="0" w:line="288" w:lineRule="auto"/>
        <w:ind w:left="11" w:hanging="1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BE8A0D" w14:textId="77777777" w:rsidR="0020436D" w:rsidRPr="0020436D" w:rsidRDefault="0020436D" w:rsidP="0020436D">
      <w:pPr>
        <w:keepNext/>
        <w:keepLines/>
        <w:spacing w:after="0" w:line="288" w:lineRule="auto"/>
        <w:ind w:left="11" w:hanging="11"/>
        <w:jc w:val="right"/>
        <w:rPr>
          <w:rFonts w:ascii="Times New Roman" w:hAnsi="Times New Roman" w:cs="Times New Roman"/>
          <w:sz w:val="24"/>
          <w:szCs w:val="24"/>
        </w:rPr>
      </w:pPr>
      <w:r w:rsidRPr="0020436D">
        <w:rPr>
          <w:rFonts w:ascii="Times New Roman" w:hAnsi="Times New Roman" w:cs="Times New Roman"/>
          <w:iCs/>
          <w:sz w:val="24"/>
          <w:szCs w:val="24"/>
        </w:rPr>
        <w:tab/>
        <w:t>/Emanuel Rosing</w:t>
      </w:r>
    </w:p>
    <w:p w14:paraId="34E13890" w14:textId="77777777" w:rsidR="0020436D" w:rsidRPr="0020436D" w:rsidRDefault="0020436D" w:rsidP="002043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20436D" w:rsidRPr="0020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CB"/>
    <w:rsid w:val="00083085"/>
    <w:rsid w:val="000C0628"/>
    <w:rsid w:val="00134B58"/>
    <w:rsid w:val="001505D6"/>
    <w:rsid w:val="00181C02"/>
    <w:rsid w:val="001A10E5"/>
    <w:rsid w:val="0020436D"/>
    <w:rsid w:val="002379BF"/>
    <w:rsid w:val="002565EE"/>
    <w:rsid w:val="0027469A"/>
    <w:rsid w:val="00283CD7"/>
    <w:rsid w:val="00292741"/>
    <w:rsid w:val="002B1506"/>
    <w:rsid w:val="00323AEA"/>
    <w:rsid w:val="0039132A"/>
    <w:rsid w:val="004A43B4"/>
    <w:rsid w:val="004B19AE"/>
    <w:rsid w:val="004B2DA1"/>
    <w:rsid w:val="004D67A2"/>
    <w:rsid w:val="004F0EB4"/>
    <w:rsid w:val="005043C4"/>
    <w:rsid w:val="005430F7"/>
    <w:rsid w:val="005516B8"/>
    <w:rsid w:val="0056592C"/>
    <w:rsid w:val="005C52A3"/>
    <w:rsid w:val="005D30F5"/>
    <w:rsid w:val="005F4DC5"/>
    <w:rsid w:val="005F6E10"/>
    <w:rsid w:val="00637C60"/>
    <w:rsid w:val="00654687"/>
    <w:rsid w:val="00664D43"/>
    <w:rsid w:val="00667F32"/>
    <w:rsid w:val="006777CB"/>
    <w:rsid w:val="006C4AA5"/>
    <w:rsid w:val="00750B74"/>
    <w:rsid w:val="007A32EC"/>
    <w:rsid w:val="007D2AF7"/>
    <w:rsid w:val="007E265A"/>
    <w:rsid w:val="0081499A"/>
    <w:rsid w:val="00836A4F"/>
    <w:rsid w:val="008A124A"/>
    <w:rsid w:val="008A4499"/>
    <w:rsid w:val="008B4542"/>
    <w:rsid w:val="008D2B7D"/>
    <w:rsid w:val="00921073"/>
    <w:rsid w:val="00951158"/>
    <w:rsid w:val="009562AD"/>
    <w:rsid w:val="009D5299"/>
    <w:rsid w:val="009D60FF"/>
    <w:rsid w:val="00A0027E"/>
    <w:rsid w:val="00A55D8D"/>
    <w:rsid w:val="00A70E90"/>
    <w:rsid w:val="00AA71B9"/>
    <w:rsid w:val="00AC0025"/>
    <w:rsid w:val="00B24E97"/>
    <w:rsid w:val="00B77E28"/>
    <w:rsid w:val="00B84C96"/>
    <w:rsid w:val="00C7422C"/>
    <w:rsid w:val="00D360B7"/>
    <w:rsid w:val="00D81176"/>
    <w:rsid w:val="00DA4F3E"/>
    <w:rsid w:val="00DC3D89"/>
    <w:rsid w:val="00DF200A"/>
    <w:rsid w:val="00E04984"/>
    <w:rsid w:val="00E3356A"/>
    <w:rsid w:val="00E61F74"/>
    <w:rsid w:val="00E916DF"/>
    <w:rsid w:val="00E92655"/>
    <w:rsid w:val="00EB01CC"/>
    <w:rsid w:val="00EC2C60"/>
    <w:rsid w:val="00EE4800"/>
    <w:rsid w:val="00F07B74"/>
    <w:rsid w:val="00F1267C"/>
    <w:rsid w:val="00F24E0F"/>
    <w:rsid w:val="00F73410"/>
    <w:rsid w:val="00F9002A"/>
    <w:rsid w:val="00FC1AF6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F1ED"/>
  <w15:chartTrackingRefBased/>
  <w15:docId w15:val="{20E1CC41-F35F-4C80-8191-72326847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77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77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77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77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77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77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7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7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77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77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77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77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77CB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6777CB"/>
    <w:rPr>
      <w:b/>
      <w:bCs/>
    </w:rPr>
  </w:style>
  <w:style w:type="character" w:styleId="Fremhv">
    <w:name w:val="Emphasis"/>
    <w:basedOn w:val="Standardskrifttypeiafsnit"/>
    <w:uiPriority w:val="20"/>
    <w:qFormat/>
    <w:rsid w:val="006777CB"/>
    <w:rPr>
      <w:i/>
      <w:iCs/>
    </w:rPr>
  </w:style>
  <w:style w:type="paragraph" w:styleId="Kommentartekst">
    <w:name w:val="annotation text"/>
    <w:basedOn w:val="Normal"/>
    <w:link w:val="KommentartekstTegn"/>
    <w:uiPriority w:val="99"/>
    <w:unhideWhenUsed/>
    <w:rsid w:val="006777CB"/>
    <w:pPr>
      <w:spacing w:after="200" w:line="240" w:lineRule="auto"/>
    </w:pPr>
    <w:rPr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777CB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77CB"/>
    <w:rPr>
      <w:sz w:val="16"/>
      <w:szCs w:val="16"/>
    </w:rPr>
  </w:style>
  <w:style w:type="paragraph" w:customStyle="1" w:styleId="pf0">
    <w:name w:val="pf0"/>
    <w:basedOn w:val="Normal"/>
    <w:rsid w:val="002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01">
    <w:name w:val="cf01"/>
    <w:basedOn w:val="Standardskrifttypeiafsnit"/>
    <w:rsid w:val="0020436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skrifttypeiafsnit"/>
    <w:rsid w:val="0020436D"/>
    <w:rPr>
      <w:rFonts w:ascii="Segoe UI" w:hAnsi="Segoe UI" w:cs="Segoe UI" w:hint="default"/>
      <w:i/>
      <w:iCs/>
      <w:sz w:val="18"/>
      <w:szCs w:val="18"/>
    </w:rPr>
  </w:style>
  <w:style w:type="paragraph" w:styleId="Korrektur">
    <w:name w:val="Revision"/>
    <w:hidden/>
    <w:uiPriority w:val="99"/>
    <w:semiHidden/>
    <w:rsid w:val="00083085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79BF"/>
    <w:pPr>
      <w:spacing w:after="160"/>
    </w:pPr>
    <w:rPr>
      <w:b/>
      <w:bCs/>
      <w:lang w:val="kl-G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79BF"/>
    <w:rPr>
      <w:b/>
      <w:bCs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5F6E1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6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857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Paulsen</dc:creator>
  <cp:keywords/>
  <dc:description/>
  <cp:lastModifiedBy>Thomas Rassing</cp:lastModifiedBy>
  <cp:revision>21</cp:revision>
  <dcterms:created xsi:type="dcterms:W3CDTF">2025-06-17T15:03:00Z</dcterms:created>
  <dcterms:modified xsi:type="dcterms:W3CDTF">2025-07-09T16:47:00Z</dcterms:modified>
</cp:coreProperties>
</file>