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5A713" w14:textId="77777777" w:rsidR="004C4765" w:rsidRPr="004C4765" w:rsidRDefault="004C4765" w:rsidP="004C4765">
      <w:pPr>
        <w:shd w:val="clear" w:color="auto" w:fill="FFFFFF"/>
        <w:spacing w:after="0" w:line="240" w:lineRule="auto"/>
        <w:rPr>
          <w:rFonts w:ascii="Aptos" w:eastAsia="Times New Roman" w:hAnsi="Aptos" w:cs="Times New Roman"/>
          <w:color w:val="1F1F1F"/>
          <w:sz w:val="24"/>
          <w:szCs w:val="24"/>
          <w:lang w:eastAsia="da-DK"/>
        </w:rPr>
      </w:pPr>
      <w:r w:rsidRPr="004C4765">
        <w:rPr>
          <w:rFonts w:ascii="Verdana" w:eastAsia="Times New Roman" w:hAnsi="Verdana" w:cs="Times New Roman"/>
          <w:color w:val="000000"/>
          <w:sz w:val="18"/>
          <w:szCs w:val="18"/>
          <w:lang w:eastAsia="da-DK"/>
        </w:rPr>
        <w:t>Til Departementet fort Fiskeri og Fangst</w:t>
      </w:r>
    </w:p>
    <w:p w14:paraId="0AC76FE1" w14:textId="77777777" w:rsidR="004C4765" w:rsidRPr="004C4765" w:rsidRDefault="004C4765" w:rsidP="004C4765">
      <w:pPr>
        <w:shd w:val="clear" w:color="auto" w:fill="FFFFFF"/>
        <w:spacing w:after="0" w:line="240" w:lineRule="auto"/>
        <w:rPr>
          <w:rFonts w:ascii="Aptos" w:eastAsia="Times New Roman" w:hAnsi="Aptos" w:cs="Times New Roman"/>
          <w:color w:val="1F1F1F"/>
          <w:sz w:val="24"/>
          <w:szCs w:val="24"/>
          <w:lang w:eastAsia="da-DK"/>
        </w:rPr>
      </w:pPr>
      <w:r w:rsidRPr="004C4765">
        <w:rPr>
          <w:rFonts w:ascii="Verdana" w:eastAsia="Times New Roman" w:hAnsi="Verdana" w:cs="Times New Roman"/>
          <w:color w:val="000000"/>
          <w:sz w:val="18"/>
          <w:szCs w:val="18"/>
          <w:lang w:eastAsia="da-DK"/>
        </w:rPr>
        <w:t> </w:t>
      </w:r>
    </w:p>
    <w:p w14:paraId="201BB467" w14:textId="77777777" w:rsidR="004C4765" w:rsidRPr="004C4765" w:rsidRDefault="004C4765" w:rsidP="004C4765">
      <w:pPr>
        <w:shd w:val="clear" w:color="auto" w:fill="FFFFFF"/>
        <w:spacing w:after="0" w:line="240" w:lineRule="auto"/>
        <w:rPr>
          <w:rFonts w:ascii="Aptos" w:eastAsia="Times New Roman" w:hAnsi="Aptos" w:cs="Times New Roman"/>
          <w:color w:val="1F1F1F"/>
          <w:sz w:val="24"/>
          <w:szCs w:val="24"/>
          <w:lang w:eastAsia="da-DK"/>
        </w:rPr>
      </w:pPr>
      <w:r w:rsidRPr="004C4765">
        <w:rPr>
          <w:rFonts w:ascii="Verdana" w:eastAsia="Times New Roman" w:hAnsi="Verdana" w:cs="Times New Roman"/>
          <w:color w:val="000000"/>
          <w:sz w:val="18"/>
          <w:szCs w:val="18"/>
          <w:lang w:eastAsia="da-DK"/>
        </w:rPr>
        <w:t>Herved fremsendes vores høringssvar vedrørende forslag til ovennævnte bekendtgørelse.</w:t>
      </w:r>
    </w:p>
    <w:p w14:paraId="61E48698" w14:textId="77777777" w:rsidR="004C4765" w:rsidRPr="004C4765" w:rsidRDefault="004C4765" w:rsidP="004C4765">
      <w:pPr>
        <w:shd w:val="clear" w:color="auto" w:fill="FFFFFF"/>
        <w:spacing w:after="0" w:line="240" w:lineRule="auto"/>
        <w:rPr>
          <w:rFonts w:ascii="Aptos" w:eastAsia="Times New Roman" w:hAnsi="Aptos" w:cs="Times New Roman"/>
          <w:color w:val="1F1F1F"/>
          <w:sz w:val="24"/>
          <w:szCs w:val="24"/>
          <w:lang w:eastAsia="da-DK"/>
        </w:rPr>
      </w:pPr>
      <w:r w:rsidRPr="004C4765">
        <w:rPr>
          <w:rFonts w:ascii="Verdana" w:eastAsia="Times New Roman" w:hAnsi="Verdana" w:cs="Times New Roman"/>
          <w:color w:val="000000"/>
          <w:sz w:val="18"/>
          <w:szCs w:val="18"/>
          <w:lang w:eastAsia="da-DK"/>
        </w:rPr>
        <w:t> </w:t>
      </w:r>
    </w:p>
    <w:p w14:paraId="170C5162" w14:textId="77777777" w:rsidR="004C4765" w:rsidRPr="004C4765" w:rsidRDefault="004C4765" w:rsidP="004C4765">
      <w:pPr>
        <w:shd w:val="clear" w:color="auto" w:fill="FFFFFF"/>
        <w:spacing w:after="0" w:line="240" w:lineRule="auto"/>
        <w:rPr>
          <w:rFonts w:ascii="Aptos" w:eastAsia="Times New Roman" w:hAnsi="Aptos" w:cs="Times New Roman"/>
          <w:color w:val="1F1F1F"/>
          <w:sz w:val="24"/>
          <w:szCs w:val="24"/>
          <w:lang w:eastAsia="da-DK"/>
        </w:rPr>
      </w:pPr>
      <w:r w:rsidRPr="004C4765">
        <w:rPr>
          <w:rFonts w:ascii="Verdana" w:eastAsia="Times New Roman" w:hAnsi="Verdana" w:cs="Times New Roman"/>
          <w:b/>
          <w:bCs/>
          <w:color w:val="000000"/>
          <w:sz w:val="18"/>
          <w:szCs w:val="18"/>
          <w:lang w:eastAsia="da-DK"/>
        </w:rPr>
        <w:t>Ad § 4</w:t>
      </w:r>
      <w:r w:rsidRPr="004C4765">
        <w:rPr>
          <w:rFonts w:ascii="Verdana" w:eastAsia="Times New Roman" w:hAnsi="Verdana" w:cs="Times New Roman"/>
          <w:color w:val="000000"/>
          <w:sz w:val="18"/>
          <w:szCs w:val="18"/>
          <w:lang w:eastAsia="da-DK"/>
        </w:rPr>
        <w:t>, Man må være meget i tvivl om man ved udarbejdelse af forslag til bekendtgørelse har været bevidst om, at man udelukker flere at de nuværende krabbefartøjer fra det kystnære fiskeri. Dette forhold er slet ikke beskrevet i departementets høringsbrev, hvor diverse ændringer ellers er beskrevet. Hvis bekendtgørelsen indrettes således som foreslået, vil man reelt fjerne grundlaget under de fleste af nuværende krabbefartøjer, da disse ikke har en størrelse, som ikke muliggør fiskeri udenskærs.</w:t>
      </w:r>
    </w:p>
    <w:p w14:paraId="4E9AE01D" w14:textId="77777777" w:rsidR="004C4765" w:rsidRPr="004C4765" w:rsidRDefault="004C4765" w:rsidP="004C4765">
      <w:pPr>
        <w:shd w:val="clear" w:color="auto" w:fill="FFFFFF"/>
        <w:spacing w:after="0" w:line="240" w:lineRule="auto"/>
        <w:rPr>
          <w:rFonts w:ascii="Aptos" w:eastAsia="Times New Roman" w:hAnsi="Aptos" w:cs="Times New Roman"/>
          <w:color w:val="1F1F1F"/>
          <w:sz w:val="24"/>
          <w:szCs w:val="24"/>
          <w:lang w:eastAsia="da-DK"/>
        </w:rPr>
      </w:pPr>
      <w:r w:rsidRPr="004C4765">
        <w:rPr>
          <w:rFonts w:ascii="Verdana" w:eastAsia="Times New Roman" w:hAnsi="Verdana" w:cs="Times New Roman"/>
          <w:color w:val="000000"/>
          <w:sz w:val="18"/>
          <w:szCs w:val="18"/>
          <w:lang w:eastAsia="da-DK"/>
        </w:rPr>
        <w:t> </w:t>
      </w:r>
    </w:p>
    <w:p w14:paraId="26948543" w14:textId="77777777" w:rsidR="004C4765" w:rsidRPr="004C4765" w:rsidRDefault="004C4765" w:rsidP="004C4765">
      <w:pPr>
        <w:shd w:val="clear" w:color="auto" w:fill="FFFFFF"/>
        <w:spacing w:after="0" w:line="240" w:lineRule="auto"/>
        <w:rPr>
          <w:rFonts w:ascii="Aptos" w:eastAsia="Times New Roman" w:hAnsi="Aptos" w:cs="Times New Roman"/>
          <w:color w:val="1F1F1F"/>
          <w:sz w:val="24"/>
          <w:szCs w:val="24"/>
          <w:lang w:eastAsia="da-DK"/>
        </w:rPr>
      </w:pPr>
      <w:r w:rsidRPr="004C4765">
        <w:rPr>
          <w:rFonts w:ascii="Verdana" w:eastAsia="Times New Roman" w:hAnsi="Verdana" w:cs="Times New Roman"/>
          <w:color w:val="000000"/>
          <w:sz w:val="18"/>
          <w:szCs w:val="18"/>
          <w:lang w:eastAsia="da-DK"/>
        </w:rPr>
        <w:t>Ligeledes hæfter man sig ved, at dette markante indgreb påtænkes gennemført helt uden overgangsregler, hvilket indebærer at det får ekspropriativ karakter med risiko for erstatningskrav fra de rederier, som rammes af indgrebet.</w:t>
      </w:r>
    </w:p>
    <w:p w14:paraId="2AC9352E" w14:textId="77777777" w:rsidR="004C4765" w:rsidRPr="004C4765" w:rsidRDefault="004C4765" w:rsidP="004C4765">
      <w:pPr>
        <w:shd w:val="clear" w:color="auto" w:fill="FFFFFF"/>
        <w:spacing w:after="0" w:line="240" w:lineRule="auto"/>
        <w:rPr>
          <w:rFonts w:ascii="Aptos" w:eastAsia="Times New Roman" w:hAnsi="Aptos" w:cs="Times New Roman"/>
          <w:color w:val="1F1F1F"/>
          <w:sz w:val="24"/>
          <w:szCs w:val="24"/>
          <w:lang w:eastAsia="da-DK"/>
        </w:rPr>
      </w:pPr>
      <w:r w:rsidRPr="004C4765">
        <w:rPr>
          <w:rFonts w:ascii="Verdana" w:eastAsia="Times New Roman" w:hAnsi="Verdana" w:cs="Times New Roman"/>
          <w:color w:val="000000"/>
          <w:sz w:val="18"/>
          <w:szCs w:val="18"/>
          <w:lang w:eastAsia="da-DK"/>
        </w:rPr>
        <w:t> </w:t>
      </w:r>
    </w:p>
    <w:p w14:paraId="0409F763" w14:textId="77777777" w:rsidR="004C4765" w:rsidRPr="004C4765" w:rsidRDefault="004C4765" w:rsidP="004C4765">
      <w:pPr>
        <w:shd w:val="clear" w:color="auto" w:fill="FFFFFF"/>
        <w:spacing w:after="0" w:line="240" w:lineRule="auto"/>
        <w:rPr>
          <w:rFonts w:ascii="Aptos" w:eastAsia="Times New Roman" w:hAnsi="Aptos" w:cs="Times New Roman"/>
          <w:color w:val="1F1F1F"/>
          <w:sz w:val="24"/>
          <w:szCs w:val="24"/>
          <w:lang w:eastAsia="da-DK"/>
        </w:rPr>
      </w:pPr>
      <w:r w:rsidRPr="004C4765">
        <w:rPr>
          <w:rFonts w:ascii="Verdana" w:eastAsia="Times New Roman" w:hAnsi="Verdana" w:cs="Times New Roman"/>
          <w:color w:val="000000"/>
          <w:sz w:val="18"/>
          <w:szCs w:val="18"/>
          <w:lang w:eastAsia="da-DK"/>
        </w:rPr>
        <w:t>Det henstilles, at bestemmelsen indrettes under hensyntagen til ovenstående med een grænse på 24 meter eller 120 BT. Vi anbefaler at anvender længde over alt som måleenhed.</w:t>
      </w:r>
    </w:p>
    <w:p w14:paraId="0D6443FF" w14:textId="77777777" w:rsidR="004C4765" w:rsidRPr="004C4765" w:rsidRDefault="004C4765" w:rsidP="004C4765">
      <w:pPr>
        <w:shd w:val="clear" w:color="auto" w:fill="FFFFFF"/>
        <w:spacing w:after="0" w:line="240" w:lineRule="auto"/>
        <w:rPr>
          <w:rFonts w:ascii="Aptos" w:eastAsia="Times New Roman" w:hAnsi="Aptos" w:cs="Times New Roman"/>
          <w:color w:val="1F1F1F"/>
          <w:sz w:val="24"/>
          <w:szCs w:val="24"/>
          <w:lang w:eastAsia="da-DK"/>
        </w:rPr>
      </w:pPr>
      <w:r w:rsidRPr="004C4765">
        <w:rPr>
          <w:rFonts w:ascii="Verdana" w:eastAsia="Times New Roman" w:hAnsi="Verdana" w:cs="Times New Roman"/>
          <w:color w:val="000000"/>
          <w:sz w:val="18"/>
          <w:szCs w:val="18"/>
          <w:shd w:val="clear" w:color="auto" w:fill="FFFF00"/>
          <w:lang w:eastAsia="da-DK"/>
        </w:rPr>
        <w:t> </w:t>
      </w:r>
    </w:p>
    <w:p w14:paraId="5A91357F" w14:textId="77777777" w:rsidR="004C4765" w:rsidRPr="004C4765" w:rsidRDefault="004C4765" w:rsidP="004C4765">
      <w:pPr>
        <w:shd w:val="clear" w:color="auto" w:fill="FFFFFF"/>
        <w:spacing w:after="0" w:line="240" w:lineRule="auto"/>
        <w:jc w:val="both"/>
        <w:rPr>
          <w:rFonts w:ascii="Aptos" w:eastAsia="Times New Roman" w:hAnsi="Aptos" w:cs="Times New Roman"/>
          <w:color w:val="1F1F1F"/>
          <w:sz w:val="24"/>
          <w:szCs w:val="24"/>
          <w:lang w:eastAsia="da-DK"/>
        </w:rPr>
      </w:pPr>
      <w:r w:rsidRPr="004C4765">
        <w:rPr>
          <w:rFonts w:ascii="Verdana" w:eastAsia="Times New Roman" w:hAnsi="Verdana" w:cs="Times New Roman"/>
          <w:b/>
          <w:bCs/>
          <w:sz w:val="18"/>
          <w:szCs w:val="18"/>
          <w:lang w:eastAsia="da-DK"/>
        </w:rPr>
        <w:t>Ad § 5</w:t>
      </w:r>
      <w:r w:rsidRPr="004C4765">
        <w:rPr>
          <w:rFonts w:ascii="Verdana" w:eastAsia="Times New Roman" w:hAnsi="Verdana" w:cs="Times New Roman"/>
          <w:sz w:val="18"/>
          <w:szCs w:val="18"/>
          <w:lang w:eastAsia="da-DK"/>
        </w:rPr>
        <w:t> fremgår at indenskærs rejefiskeri er forbeholdt fartøjer på indtil 40 meters længde / 1.000 BT. Royal Greenland A/S anbefaler, at fartøjer på indtil 50 meters længde kan drive indenskærs fiskeri. Vi anbefaler ligeledes, at angivelse af BT udelades således, at afgrænsningen kun baseres på fartøjernes længde.</w:t>
      </w:r>
    </w:p>
    <w:p w14:paraId="0FBE3B41" w14:textId="77777777" w:rsidR="004C4765" w:rsidRPr="004C4765" w:rsidRDefault="004C4765" w:rsidP="004C4765">
      <w:pPr>
        <w:shd w:val="clear" w:color="auto" w:fill="FFFFFF"/>
        <w:spacing w:after="0" w:line="240" w:lineRule="auto"/>
        <w:jc w:val="both"/>
        <w:rPr>
          <w:rFonts w:ascii="Aptos" w:eastAsia="Times New Roman" w:hAnsi="Aptos" w:cs="Times New Roman"/>
          <w:color w:val="1F1F1F"/>
          <w:sz w:val="24"/>
          <w:szCs w:val="24"/>
          <w:lang w:eastAsia="da-DK"/>
        </w:rPr>
      </w:pPr>
      <w:r w:rsidRPr="004C4765">
        <w:rPr>
          <w:rFonts w:ascii="Verdana" w:eastAsia="Times New Roman" w:hAnsi="Verdana" w:cs="Times New Roman"/>
          <w:sz w:val="18"/>
          <w:szCs w:val="18"/>
          <w:lang w:eastAsia="da-DK"/>
        </w:rPr>
        <w:t> </w:t>
      </w:r>
    </w:p>
    <w:p w14:paraId="0FF3F898" w14:textId="77777777" w:rsidR="004C4765" w:rsidRPr="004C4765" w:rsidRDefault="004C4765" w:rsidP="004C4765">
      <w:pPr>
        <w:shd w:val="clear" w:color="auto" w:fill="FFFFFF"/>
        <w:spacing w:after="0" w:line="240" w:lineRule="auto"/>
        <w:jc w:val="both"/>
        <w:rPr>
          <w:rFonts w:ascii="Aptos" w:eastAsia="Times New Roman" w:hAnsi="Aptos" w:cs="Times New Roman"/>
          <w:color w:val="1F1F1F"/>
          <w:sz w:val="24"/>
          <w:szCs w:val="24"/>
          <w:lang w:eastAsia="da-DK"/>
        </w:rPr>
      </w:pPr>
      <w:r w:rsidRPr="004C4765">
        <w:rPr>
          <w:rFonts w:ascii="Verdana" w:eastAsia="Times New Roman" w:hAnsi="Verdana" w:cs="Times New Roman"/>
          <w:sz w:val="18"/>
          <w:szCs w:val="18"/>
          <w:lang w:eastAsia="da-DK"/>
        </w:rPr>
        <w:t>Fartøjer på indtil 50 meters længde vil gøre det muligt for aktørerne i det kystnære fiskeri at investere i moderne fartøjer med sådanne forhold ombord, som gør det muligt at skaffe og fastholde en kvalificeret besætning. Denne fartøjsstørrelse har været i fiskeriet indtil nu, og dette har ikke haft negativ betydning for bestanden af rejer indenskærs. Denne fartøjsstørrelse er også den, som indebærer de bedste forudsætninger for at drive et rentabelt fiskeri.</w:t>
      </w:r>
    </w:p>
    <w:p w14:paraId="1D9499BD" w14:textId="77777777" w:rsidR="004C4765" w:rsidRPr="004C4765" w:rsidRDefault="004C4765" w:rsidP="004C4765">
      <w:pPr>
        <w:shd w:val="clear" w:color="auto" w:fill="FFFFFF"/>
        <w:spacing w:after="0" w:line="240" w:lineRule="auto"/>
        <w:jc w:val="both"/>
        <w:rPr>
          <w:rFonts w:ascii="Aptos" w:eastAsia="Times New Roman" w:hAnsi="Aptos" w:cs="Times New Roman"/>
          <w:color w:val="1F1F1F"/>
          <w:sz w:val="24"/>
          <w:szCs w:val="24"/>
          <w:lang w:eastAsia="da-DK"/>
        </w:rPr>
      </w:pPr>
      <w:r w:rsidRPr="004C4765">
        <w:rPr>
          <w:rFonts w:ascii="Verdana" w:eastAsia="Times New Roman" w:hAnsi="Verdana" w:cs="Times New Roman"/>
          <w:sz w:val="18"/>
          <w:szCs w:val="18"/>
          <w:lang w:eastAsia="da-DK"/>
        </w:rPr>
        <w:t> </w:t>
      </w:r>
    </w:p>
    <w:p w14:paraId="68DABC2D" w14:textId="77777777" w:rsidR="004C4765" w:rsidRPr="004C4765" w:rsidRDefault="004C4765" w:rsidP="004C4765">
      <w:pPr>
        <w:shd w:val="clear" w:color="auto" w:fill="FFFFFF"/>
        <w:spacing w:after="0" w:line="240" w:lineRule="auto"/>
        <w:jc w:val="both"/>
        <w:rPr>
          <w:rFonts w:ascii="Aptos" w:eastAsia="Times New Roman" w:hAnsi="Aptos" w:cs="Times New Roman"/>
          <w:color w:val="1F1F1F"/>
          <w:sz w:val="24"/>
          <w:szCs w:val="24"/>
          <w:lang w:eastAsia="da-DK"/>
        </w:rPr>
      </w:pPr>
      <w:r w:rsidRPr="004C4765">
        <w:rPr>
          <w:rFonts w:ascii="Verdana" w:eastAsia="Times New Roman" w:hAnsi="Verdana" w:cs="Times New Roman"/>
          <w:sz w:val="18"/>
          <w:szCs w:val="18"/>
          <w:lang w:eastAsia="da-DK"/>
        </w:rPr>
        <w:t>I departementets fremsendelsesbrev er det fastsat, at nuværende fartøjer over nævnte størrelse skal have fisket for at kunne fortsætte indenskærs fiskeri efter årsskiftet. Men i bekendtgørelsens tekst er det tilstrækkeligt at nuværende fartøjer ”har haft tilladelse til fiskeri ….”. Dette nævnes med tanke på det nyindkøbte skib TUULLIK og dets muligheder for at fiske indenskærs, hvis det ikke kommer i fiskeri før årsskiftet.</w:t>
      </w:r>
    </w:p>
    <w:p w14:paraId="2A72065B" w14:textId="77777777" w:rsidR="004C4765" w:rsidRPr="004C4765" w:rsidRDefault="004C4765" w:rsidP="004C4765">
      <w:pPr>
        <w:shd w:val="clear" w:color="auto" w:fill="FFFFFF"/>
        <w:spacing w:after="0" w:line="240" w:lineRule="auto"/>
        <w:jc w:val="both"/>
        <w:rPr>
          <w:rFonts w:ascii="Aptos" w:eastAsia="Times New Roman" w:hAnsi="Aptos" w:cs="Times New Roman"/>
          <w:color w:val="1F1F1F"/>
          <w:sz w:val="24"/>
          <w:szCs w:val="24"/>
          <w:lang w:eastAsia="da-DK"/>
        </w:rPr>
      </w:pPr>
      <w:r w:rsidRPr="004C4765">
        <w:rPr>
          <w:rFonts w:ascii="Verdana" w:eastAsia="Times New Roman" w:hAnsi="Verdana" w:cs="Times New Roman"/>
          <w:sz w:val="18"/>
          <w:szCs w:val="18"/>
          <w:lang w:eastAsia="da-DK"/>
        </w:rPr>
        <w:t> </w:t>
      </w:r>
    </w:p>
    <w:p w14:paraId="736A9C22" w14:textId="77777777" w:rsidR="004C4765" w:rsidRPr="004C4765" w:rsidRDefault="004C4765" w:rsidP="004C4765">
      <w:pPr>
        <w:shd w:val="clear" w:color="auto" w:fill="FFFFFF"/>
        <w:spacing w:after="0" w:line="240" w:lineRule="auto"/>
        <w:jc w:val="both"/>
        <w:rPr>
          <w:rFonts w:ascii="Aptos" w:eastAsia="Times New Roman" w:hAnsi="Aptos" w:cs="Times New Roman"/>
          <w:color w:val="1F1F1F"/>
          <w:sz w:val="24"/>
          <w:szCs w:val="24"/>
          <w:lang w:eastAsia="da-DK"/>
        </w:rPr>
      </w:pPr>
      <w:r w:rsidRPr="004C4765">
        <w:rPr>
          <w:rFonts w:ascii="Verdana" w:eastAsia="Times New Roman" w:hAnsi="Verdana" w:cs="Times New Roman"/>
          <w:sz w:val="18"/>
          <w:szCs w:val="18"/>
          <w:lang w:eastAsia="da-DK"/>
        </w:rPr>
        <w:t>Vi skal hertil bemærke, at vi forudsætter at bekendtgørelsens tekst vil blive gældende i den foreslåede form på trods af en anderledes formulering i fremsendelsesbrevet.</w:t>
      </w:r>
    </w:p>
    <w:p w14:paraId="5BF4C4B4" w14:textId="77777777" w:rsidR="004C4765" w:rsidRPr="004C4765" w:rsidRDefault="004C4765" w:rsidP="004C4765">
      <w:pPr>
        <w:shd w:val="clear" w:color="auto" w:fill="FFFFFF"/>
        <w:spacing w:after="0" w:line="240" w:lineRule="auto"/>
        <w:jc w:val="both"/>
        <w:rPr>
          <w:rFonts w:ascii="Aptos" w:eastAsia="Times New Roman" w:hAnsi="Aptos" w:cs="Times New Roman"/>
          <w:color w:val="1F1F1F"/>
          <w:sz w:val="24"/>
          <w:szCs w:val="24"/>
          <w:lang w:eastAsia="da-DK"/>
        </w:rPr>
      </w:pPr>
      <w:r w:rsidRPr="004C4765">
        <w:rPr>
          <w:rFonts w:ascii="Verdana" w:eastAsia="Times New Roman" w:hAnsi="Verdana" w:cs="Times New Roman"/>
          <w:sz w:val="18"/>
          <w:szCs w:val="18"/>
          <w:lang w:eastAsia="da-DK"/>
        </w:rPr>
        <w:t> </w:t>
      </w:r>
    </w:p>
    <w:p w14:paraId="582B0D13" w14:textId="77777777" w:rsidR="004C4765" w:rsidRPr="004C4765" w:rsidRDefault="004C4765" w:rsidP="004C4765">
      <w:pPr>
        <w:shd w:val="clear" w:color="auto" w:fill="FFFFFF"/>
        <w:spacing w:after="0" w:line="240" w:lineRule="auto"/>
        <w:rPr>
          <w:rFonts w:ascii="Aptos" w:eastAsia="Times New Roman" w:hAnsi="Aptos" w:cs="Times New Roman"/>
          <w:color w:val="1F1F1F"/>
          <w:sz w:val="24"/>
          <w:szCs w:val="24"/>
          <w:lang w:eastAsia="da-DK"/>
        </w:rPr>
      </w:pPr>
      <w:r w:rsidRPr="004C4765">
        <w:rPr>
          <w:rFonts w:ascii="Verdana" w:eastAsia="Times New Roman" w:hAnsi="Verdana" w:cs="Times New Roman"/>
          <w:b/>
          <w:bCs/>
          <w:color w:val="000000"/>
          <w:sz w:val="18"/>
          <w:szCs w:val="18"/>
          <w:lang w:eastAsia="da-DK"/>
        </w:rPr>
        <w:t>AD § 11</w:t>
      </w:r>
      <w:r w:rsidRPr="004C4765">
        <w:rPr>
          <w:rFonts w:ascii="Verdana" w:eastAsia="Times New Roman" w:hAnsi="Verdana" w:cs="Times New Roman"/>
          <w:color w:val="000000"/>
          <w:sz w:val="18"/>
          <w:szCs w:val="18"/>
          <w:lang w:eastAsia="da-DK"/>
        </w:rPr>
        <w:t> For at undgå misforståelser bør man bruge korrekte og ens positionsangivelser – altså huske at bruge minut tegnet (’) i positionsangivelser, eksempelvis står der i §11 2):</w:t>
      </w:r>
      <w:r w:rsidRPr="004C4765">
        <w:rPr>
          <w:rFonts w:ascii="Aptos" w:eastAsia="Times New Roman" w:hAnsi="Aptos" w:cs="Times New Roman"/>
          <w:color w:val="1F1F1F"/>
          <w:sz w:val="24"/>
          <w:szCs w:val="24"/>
          <w:lang w:eastAsia="da-DK"/>
        </w:rPr>
        <w:t> </w:t>
      </w:r>
      <w:r w:rsidRPr="004C4765">
        <w:rPr>
          <w:rFonts w:ascii="Verdana" w:eastAsia="Times New Roman" w:hAnsi="Verdana" w:cs="Times New Roman"/>
          <w:color w:val="000000"/>
          <w:sz w:val="18"/>
          <w:szCs w:val="18"/>
          <w:lang w:eastAsia="da-DK"/>
        </w:rPr>
        <w:t>62 º13,8’N og 50 º29,0V her mangler et ’ efter 62 º13,8’N og 50 º29,0´V. Lignende eksempler er også at finde andre steder.</w:t>
      </w:r>
    </w:p>
    <w:p w14:paraId="06A16A06" w14:textId="77777777" w:rsidR="004C4765" w:rsidRPr="004C4765" w:rsidRDefault="004C4765" w:rsidP="004C4765">
      <w:pPr>
        <w:shd w:val="clear" w:color="auto" w:fill="FFFFFF"/>
        <w:spacing w:after="0" w:line="240" w:lineRule="auto"/>
        <w:rPr>
          <w:rFonts w:ascii="Aptos" w:eastAsia="Times New Roman" w:hAnsi="Aptos" w:cs="Times New Roman"/>
          <w:color w:val="1F1F1F"/>
          <w:sz w:val="24"/>
          <w:szCs w:val="24"/>
          <w:lang w:eastAsia="da-DK"/>
        </w:rPr>
      </w:pPr>
      <w:r w:rsidRPr="004C4765">
        <w:rPr>
          <w:rFonts w:ascii="Verdana" w:eastAsia="Times New Roman" w:hAnsi="Verdana" w:cs="Times New Roman"/>
          <w:color w:val="000000"/>
          <w:sz w:val="18"/>
          <w:szCs w:val="18"/>
          <w:lang w:eastAsia="da-DK"/>
        </w:rPr>
        <w:t> </w:t>
      </w:r>
    </w:p>
    <w:p w14:paraId="796D0CAB" w14:textId="77777777" w:rsidR="004C4765" w:rsidRPr="004C4765" w:rsidRDefault="004C4765" w:rsidP="004C4765">
      <w:pPr>
        <w:shd w:val="clear" w:color="auto" w:fill="FFFFFF"/>
        <w:spacing w:after="0" w:line="240" w:lineRule="auto"/>
        <w:rPr>
          <w:rFonts w:ascii="Aptos" w:eastAsia="Times New Roman" w:hAnsi="Aptos" w:cs="Times New Roman"/>
          <w:color w:val="1F1F1F"/>
          <w:sz w:val="24"/>
          <w:szCs w:val="24"/>
          <w:lang w:eastAsia="da-DK"/>
        </w:rPr>
      </w:pPr>
      <w:r w:rsidRPr="004C4765">
        <w:rPr>
          <w:rFonts w:ascii="Verdana" w:eastAsia="Times New Roman" w:hAnsi="Verdana" w:cs="Times New Roman"/>
          <w:color w:val="000000"/>
          <w:sz w:val="18"/>
          <w:szCs w:val="18"/>
          <w:lang w:eastAsia="da-DK"/>
        </w:rPr>
        <w:t>I høringsbrevet kan man læse, at der oprettes en krabbekasse i forvaltningsområde Nuuk/Paamiut, jf. §11 stk.1 nr.3. Men i selve forslaget til bekendtgørelsen oplyses to positioner som udgør en linje (en sydlig og en nordlig position), og at der fra linjen og ind til basislinjen er forbud imod fiskeri med </w:t>
      </w:r>
      <w:r w:rsidRPr="004C4765">
        <w:rPr>
          <w:rFonts w:ascii="Verdana" w:eastAsia="Times New Roman" w:hAnsi="Verdana" w:cs="Times New Roman"/>
          <w:i/>
          <w:iCs/>
          <w:color w:val="000000"/>
          <w:sz w:val="18"/>
          <w:szCs w:val="18"/>
          <w:lang w:eastAsia="da-DK"/>
        </w:rPr>
        <w:t>aktive bundberørende redskaber</w:t>
      </w:r>
      <w:r w:rsidRPr="004C4765">
        <w:rPr>
          <w:rFonts w:ascii="Verdana" w:eastAsia="Times New Roman" w:hAnsi="Verdana" w:cs="Times New Roman"/>
          <w:color w:val="000000"/>
          <w:sz w:val="18"/>
          <w:szCs w:val="18"/>
          <w:lang w:eastAsia="da-DK"/>
        </w:rPr>
        <w:t> - altså forbud imod trawlfiskeri. For det første giver disse positioner ikke nogen mening da de strækker sig langt over land (se vedlagte kort). For det anden så er de sydlige position midt i et, i dag lukrativt område for den havgående rejeflåde, et område som flåden ofte fisker i når der ikke er adkommeligt for is i de nordlige områder. Er hensigten den dette afsnit at undgå konflikt imellem den havgående rejeflåde og de kystnære krabbefiskere, så bør dette drøftes med de berørte parter, således at der findes en mindelig løsning begge kan leve med.</w:t>
      </w:r>
    </w:p>
    <w:p w14:paraId="678BE791" w14:textId="77777777" w:rsidR="004C4765" w:rsidRPr="004C4765" w:rsidRDefault="004C4765" w:rsidP="004C4765">
      <w:pPr>
        <w:shd w:val="clear" w:color="auto" w:fill="FFFFFF"/>
        <w:spacing w:after="0" w:line="240" w:lineRule="auto"/>
        <w:rPr>
          <w:rFonts w:ascii="Aptos" w:eastAsia="Times New Roman" w:hAnsi="Aptos" w:cs="Times New Roman"/>
          <w:color w:val="1F1F1F"/>
          <w:sz w:val="24"/>
          <w:szCs w:val="24"/>
          <w:lang w:eastAsia="da-DK"/>
        </w:rPr>
      </w:pPr>
      <w:r w:rsidRPr="004C4765">
        <w:rPr>
          <w:rFonts w:ascii="Verdana" w:eastAsia="Times New Roman" w:hAnsi="Verdana" w:cs="Times New Roman"/>
          <w:color w:val="000000"/>
          <w:sz w:val="18"/>
          <w:szCs w:val="18"/>
          <w:lang w:eastAsia="da-DK"/>
        </w:rPr>
        <w:t> </w:t>
      </w:r>
    </w:p>
    <w:p w14:paraId="7D3F91CB" w14:textId="77777777" w:rsidR="004C4765" w:rsidRPr="004C4765" w:rsidRDefault="004C4765" w:rsidP="004C4765">
      <w:pPr>
        <w:shd w:val="clear" w:color="auto" w:fill="FFFFFF"/>
        <w:spacing w:after="0" w:line="240" w:lineRule="auto"/>
        <w:jc w:val="both"/>
        <w:rPr>
          <w:rFonts w:ascii="Aptos" w:eastAsia="Times New Roman" w:hAnsi="Aptos" w:cs="Times New Roman"/>
          <w:color w:val="1F1F1F"/>
          <w:sz w:val="24"/>
          <w:szCs w:val="24"/>
          <w:lang w:eastAsia="da-DK"/>
        </w:rPr>
      </w:pPr>
      <w:r w:rsidRPr="004C4765">
        <w:rPr>
          <w:rFonts w:ascii="Verdana" w:eastAsia="Times New Roman" w:hAnsi="Verdana" w:cs="Times New Roman"/>
          <w:color w:val="000000"/>
          <w:sz w:val="18"/>
          <w:szCs w:val="18"/>
          <w:lang w:eastAsia="da-DK"/>
        </w:rPr>
        <w:t>§11 stk. 2 har til hensigt at lukke et område for at beskytte en koralhave som blev opdaget for nogle år siden. Og i høringsteksten står at der ikke fiskes med bundberørende redskaber der i dag. Det er måske korrekt at der i dag ikke fiskes i området, men tilbage i tiden er der fisket ret meget i det området som foreslås lukket. RG er tilhænger af at lukke selve området hvor koralhaven er, men ikke et område som er flere gange større end det omtalte område, og især ikke tidligere gunstige fiskepladser. Sådan en lukning vil højst sandsynligt vil komme at påvirke et fremtidigt torskefiskeri ved Vestgrønland. Se vedlagte kort hvor gamle trawlstreger kan ses i den foreslåede lukkede kasse. Som minimum bør feldtkoderne JG012 og JG014 ikke være en del af det lukkede område, da der jo er fiske meget her i tidligere tider.</w:t>
      </w:r>
    </w:p>
    <w:p w14:paraId="0AC91D13" w14:textId="77777777" w:rsidR="004C4765" w:rsidRPr="004C4765" w:rsidRDefault="004C4765" w:rsidP="004C4765">
      <w:pPr>
        <w:shd w:val="clear" w:color="auto" w:fill="FFFFFF"/>
        <w:spacing w:after="0" w:line="240" w:lineRule="auto"/>
        <w:jc w:val="both"/>
        <w:rPr>
          <w:rFonts w:ascii="Aptos" w:eastAsia="Times New Roman" w:hAnsi="Aptos" w:cs="Times New Roman"/>
          <w:color w:val="1F1F1F"/>
          <w:sz w:val="24"/>
          <w:szCs w:val="24"/>
          <w:lang w:eastAsia="da-DK"/>
        </w:rPr>
      </w:pPr>
      <w:r w:rsidRPr="004C4765">
        <w:rPr>
          <w:rFonts w:ascii="Verdana" w:eastAsia="Times New Roman" w:hAnsi="Verdana" w:cs="Times New Roman"/>
          <w:color w:val="000000"/>
          <w:sz w:val="18"/>
          <w:szCs w:val="18"/>
          <w:lang w:eastAsia="da-DK"/>
        </w:rPr>
        <w:t> </w:t>
      </w:r>
    </w:p>
    <w:p w14:paraId="606D0CFC" w14:textId="77777777" w:rsidR="004C4765" w:rsidRPr="004C4765" w:rsidRDefault="004C4765" w:rsidP="004C4765">
      <w:pPr>
        <w:shd w:val="clear" w:color="auto" w:fill="FFFFFF"/>
        <w:spacing w:after="0" w:line="240" w:lineRule="auto"/>
        <w:jc w:val="both"/>
        <w:rPr>
          <w:rFonts w:ascii="Aptos" w:eastAsia="Times New Roman" w:hAnsi="Aptos" w:cs="Times New Roman"/>
          <w:color w:val="1F1F1F"/>
          <w:sz w:val="24"/>
          <w:szCs w:val="24"/>
          <w:lang w:eastAsia="da-DK"/>
        </w:rPr>
      </w:pPr>
      <w:r w:rsidRPr="004C4765">
        <w:rPr>
          <w:rFonts w:ascii="Verdana" w:eastAsia="Times New Roman" w:hAnsi="Verdana" w:cs="Times New Roman"/>
          <w:color w:val="000000"/>
          <w:sz w:val="18"/>
          <w:szCs w:val="18"/>
          <w:lang w:eastAsia="da-DK"/>
        </w:rPr>
        <w:lastRenderedPageBreak/>
        <w:t>Der henvises i denne forbindelse til vedlagte to bilag</w:t>
      </w:r>
    </w:p>
    <w:p w14:paraId="52980A65" w14:textId="77777777" w:rsidR="004C4765" w:rsidRPr="004C4765" w:rsidRDefault="004C4765" w:rsidP="004C4765">
      <w:pPr>
        <w:shd w:val="clear" w:color="auto" w:fill="FFFFFF"/>
        <w:spacing w:after="0" w:line="240" w:lineRule="auto"/>
        <w:jc w:val="both"/>
        <w:rPr>
          <w:rFonts w:ascii="Aptos" w:eastAsia="Times New Roman" w:hAnsi="Aptos" w:cs="Times New Roman"/>
          <w:color w:val="1F1F1F"/>
          <w:sz w:val="24"/>
          <w:szCs w:val="24"/>
          <w:lang w:eastAsia="da-DK"/>
        </w:rPr>
      </w:pPr>
      <w:r w:rsidRPr="004C4765">
        <w:rPr>
          <w:rFonts w:ascii="Verdana" w:eastAsia="Times New Roman" w:hAnsi="Verdana" w:cs="Times New Roman"/>
          <w:color w:val="000000"/>
          <w:sz w:val="18"/>
          <w:szCs w:val="18"/>
          <w:lang w:eastAsia="da-DK"/>
        </w:rPr>
        <w:t> </w:t>
      </w:r>
    </w:p>
    <w:p w14:paraId="2DD39F48" w14:textId="77777777" w:rsidR="004C4765" w:rsidRPr="004C4765" w:rsidRDefault="004C4765" w:rsidP="004C4765">
      <w:pPr>
        <w:shd w:val="clear" w:color="auto" w:fill="FFFFFF"/>
        <w:spacing w:after="0" w:line="240" w:lineRule="auto"/>
        <w:jc w:val="both"/>
        <w:rPr>
          <w:rFonts w:ascii="Aptos" w:eastAsia="Times New Roman" w:hAnsi="Aptos" w:cs="Times New Roman"/>
          <w:color w:val="1F1F1F"/>
          <w:sz w:val="24"/>
          <w:szCs w:val="24"/>
          <w:lang w:eastAsia="da-DK"/>
        </w:rPr>
      </w:pPr>
      <w:r w:rsidRPr="004C4765">
        <w:rPr>
          <w:rFonts w:ascii="Verdana" w:eastAsia="Times New Roman" w:hAnsi="Verdana" w:cs="Times New Roman"/>
          <w:sz w:val="18"/>
          <w:szCs w:val="18"/>
          <w:lang w:eastAsia="da-DK"/>
        </w:rPr>
        <w:t>Ad § 8, stk. 2, ”Åbning af fiskeriperioden ….” kan erstattes med ”Påbegyndelse af fiskeri i fiskeriperioden ….”</w:t>
      </w:r>
    </w:p>
    <w:p w14:paraId="2A9257C9" w14:textId="77777777" w:rsidR="004C4765" w:rsidRPr="004C4765" w:rsidRDefault="004C4765" w:rsidP="004C4765">
      <w:pPr>
        <w:shd w:val="clear" w:color="auto" w:fill="FFFFFF"/>
        <w:spacing w:after="0" w:line="240" w:lineRule="auto"/>
        <w:jc w:val="both"/>
        <w:rPr>
          <w:rFonts w:ascii="Aptos" w:eastAsia="Times New Roman" w:hAnsi="Aptos" w:cs="Times New Roman"/>
          <w:color w:val="1F1F1F"/>
          <w:sz w:val="24"/>
          <w:szCs w:val="24"/>
          <w:lang w:eastAsia="da-DK"/>
        </w:rPr>
      </w:pPr>
      <w:r w:rsidRPr="004C4765">
        <w:rPr>
          <w:rFonts w:ascii="Verdana" w:eastAsia="Times New Roman" w:hAnsi="Verdana" w:cs="Times New Roman"/>
          <w:sz w:val="18"/>
          <w:szCs w:val="18"/>
          <w:lang w:eastAsia="da-DK"/>
        </w:rPr>
        <w:t> </w:t>
      </w:r>
    </w:p>
    <w:p w14:paraId="4B3E9090" w14:textId="77777777" w:rsidR="004C4765" w:rsidRPr="004C4765" w:rsidRDefault="004C4765" w:rsidP="004C4765">
      <w:pPr>
        <w:shd w:val="clear" w:color="auto" w:fill="FFFFFF"/>
        <w:spacing w:after="0" w:line="240" w:lineRule="auto"/>
        <w:jc w:val="both"/>
        <w:rPr>
          <w:rFonts w:ascii="Aptos" w:eastAsia="Times New Roman" w:hAnsi="Aptos" w:cs="Times New Roman"/>
          <w:color w:val="1F1F1F"/>
          <w:sz w:val="24"/>
          <w:szCs w:val="24"/>
          <w:lang w:eastAsia="da-DK"/>
        </w:rPr>
      </w:pPr>
      <w:r w:rsidRPr="004C4765">
        <w:rPr>
          <w:rFonts w:ascii="Verdana" w:eastAsia="Times New Roman" w:hAnsi="Verdana" w:cs="Times New Roman"/>
          <w:sz w:val="18"/>
          <w:szCs w:val="18"/>
          <w:lang w:eastAsia="da-DK"/>
        </w:rPr>
        <w:t>Ad § 9, stk. 1, kan det tilføjes til sidst ”… og at bifangst undgås.”</w:t>
      </w:r>
    </w:p>
    <w:p w14:paraId="3A3CB649" w14:textId="77777777" w:rsidR="004C4765" w:rsidRPr="004C4765" w:rsidRDefault="004C4765" w:rsidP="004C4765">
      <w:pPr>
        <w:shd w:val="clear" w:color="auto" w:fill="FFFFFF"/>
        <w:spacing w:after="0" w:line="240" w:lineRule="auto"/>
        <w:jc w:val="both"/>
        <w:rPr>
          <w:rFonts w:ascii="Aptos" w:eastAsia="Times New Roman" w:hAnsi="Aptos" w:cs="Times New Roman"/>
          <w:color w:val="1F1F1F"/>
          <w:sz w:val="24"/>
          <w:szCs w:val="24"/>
          <w:lang w:eastAsia="da-DK"/>
        </w:rPr>
      </w:pPr>
      <w:r w:rsidRPr="004C4765">
        <w:rPr>
          <w:rFonts w:ascii="Verdana" w:eastAsia="Times New Roman" w:hAnsi="Verdana" w:cs="Times New Roman"/>
          <w:sz w:val="18"/>
          <w:szCs w:val="18"/>
          <w:lang w:eastAsia="da-DK"/>
        </w:rPr>
        <w:t> </w:t>
      </w:r>
    </w:p>
    <w:p w14:paraId="4629DD6B" w14:textId="77777777" w:rsidR="004C4765" w:rsidRPr="004C4765" w:rsidRDefault="004C4765" w:rsidP="004C4765">
      <w:pPr>
        <w:shd w:val="clear" w:color="auto" w:fill="FFFFFF"/>
        <w:spacing w:after="0" w:line="240" w:lineRule="auto"/>
        <w:jc w:val="both"/>
        <w:rPr>
          <w:rFonts w:ascii="Aptos" w:eastAsia="Times New Roman" w:hAnsi="Aptos" w:cs="Times New Roman"/>
          <w:color w:val="1F1F1F"/>
          <w:sz w:val="24"/>
          <w:szCs w:val="24"/>
          <w:lang w:eastAsia="da-DK"/>
        </w:rPr>
      </w:pPr>
      <w:r w:rsidRPr="004C4765">
        <w:rPr>
          <w:rFonts w:ascii="Verdana" w:eastAsia="Times New Roman" w:hAnsi="Verdana" w:cs="Times New Roman"/>
          <w:sz w:val="18"/>
          <w:szCs w:val="18"/>
          <w:lang w:eastAsia="da-DK"/>
        </w:rPr>
        <w:t>Ad § 18, stk. 1, nr. 2 bemærkes, at sortering ikke sker som her fastsat men efter at fangsten er modtaget ombord på brøndbåden. Bestemmelsen bør derfor udgå.</w:t>
      </w:r>
    </w:p>
    <w:p w14:paraId="4F2035FA" w14:textId="77777777" w:rsidR="004C4765" w:rsidRPr="004C4765" w:rsidRDefault="004C4765" w:rsidP="004C4765">
      <w:pPr>
        <w:shd w:val="clear" w:color="auto" w:fill="FFFFFF"/>
        <w:spacing w:after="0" w:line="240" w:lineRule="auto"/>
        <w:jc w:val="both"/>
        <w:rPr>
          <w:rFonts w:ascii="Aptos" w:eastAsia="Times New Roman" w:hAnsi="Aptos" w:cs="Times New Roman"/>
          <w:color w:val="1F1F1F"/>
          <w:sz w:val="24"/>
          <w:szCs w:val="24"/>
          <w:lang w:eastAsia="da-DK"/>
        </w:rPr>
      </w:pPr>
      <w:r w:rsidRPr="004C4765">
        <w:rPr>
          <w:rFonts w:ascii="Verdana" w:eastAsia="Times New Roman" w:hAnsi="Verdana" w:cs="Times New Roman"/>
          <w:b/>
          <w:bCs/>
          <w:sz w:val="18"/>
          <w:szCs w:val="18"/>
          <w:lang w:eastAsia="da-DK"/>
        </w:rPr>
        <w:t> </w:t>
      </w:r>
    </w:p>
    <w:p w14:paraId="21C38513" w14:textId="77777777" w:rsidR="004C4765" w:rsidRPr="004C4765" w:rsidRDefault="004C4765" w:rsidP="004C4765">
      <w:pPr>
        <w:shd w:val="clear" w:color="auto" w:fill="FFFFFF"/>
        <w:spacing w:after="0" w:line="240" w:lineRule="auto"/>
        <w:rPr>
          <w:rFonts w:ascii="Aptos" w:eastAsia="Times New Roman" w:hAnsi="Aptos" w:cs="Times New Roman"/>
          <w:color w:val="1F1F1F"/>
          <w:sz w:val="24"/>
          <w:szCs w:val="24"/>
          <w:lang w:eastAsia="da-DK"/>
        </w:rPr>
      </w:pPr>
      <w:r w:rsidRPr="004C4765">
        <w:rPr>
          <w:rFonts w:ascii="Verdana" w:eastAsia="Times New Roman" w:hAnsi="Verdana" w:cs="Times New Roman"/>
          <w:color w:val="000000"/>
          <w:sz w:val="18"/>
          <w:szCs w:val="18"/>
          <w:lang w:eastAsia="da-DK"/>
        </w:rPr>
        <w:t>Ad § 28 er det uhensigtsmæssigt at man fortsat vil uddelegere lovgivningsmagt til kommuner.</w:t>
      </w:r>
    </w:p>
    <w:p w14:paraId="64D4E7CB" w14:textId="77777777" w:rsidR="004C4765" w:rsidRPr="004C4765" w:rsidRDefault="004C4765" w:rsidP="004C4765">
      <w:pPr>
        <w:shd w:val="clear" w:color="auto" w:fill="FFFFFF"/>
        <w:spacing w:after="0" w:line="240" w:lineRule="auto"/>
        <w:rPr>
          <w:rFonts w:ascii="Aptos" w:eastAsia="Times New Roman" w:hAnsi="Aptos" w:cs="Times New Roman"/>
          <w:color w:val="1F1F1F"/>
          <w:sz w:val="24"/>
          <w:szCs w:val="24"/>
          <w:lang w:eastAsia="da-DK"/>
        </w:rPr>
      </w:pPr>
      <w:r w:rsidRPr="004C4765">
        <w:rPr>
          <w:rFonts w:ascii="Verdana" w:eastAsia="Times New Roman" w:hAnsi="Verdana" w:cs="Times New Roman"/>
          <w:color w:val="000000"/>
          <w:sz w:val="18"/>
          <w:szCs w:val="18"/>
          <w:lang w:eastAsia="da-DK"/>
        </w:rPr>
        <w:t> </w:t>
      </w:r>
    </w:p>
    <w:p w14:paraId="56CD31EF" w14:textId="77777777" w:rsidR="004C4765" w:rsidRPr="004C4765" w:rsidRDefault="004C4765" w:rsidP="004C4765">
      <w:pPr>
        <w:shd w:val="clear" w:color="auto" w:fill="FFFFFF"/>
        <w:spacing w:after="0" w:line="240" w:lineRule="auto"/>
        <w:rPr>
          <w:rFonts w:ascii="Aptos" w:eastAsia="Times New Roman" w:hAnsi="Aptos" w:cs="Times New Roman"/>
          <w:color w:val="1F1F1F"/>
          <w:sz w:val="24"/>
          <w:szCs w:val="24"/>
          <w:lang w:eastAsia="da-DK"/>
        </w:rPr>
      </w:pPr>
      <w:r w:rsidRPr="004C4765">
        <w:rPr>
          <w:rFonts w:ascii="Verdana" w:eastAsia="Times New Roman" w:hAnsi="Verdana" w:cs="Times New Roman"/>
          <w:b/>
          <w:bCs/>
          <w:color w:val="000000"/>
          <w:sz w:val="18"/>
          <w:szCs w:val="18"/>
          <w:lang w:eastAsia="da-DK"/>
        </w:rPr>
        <w:t>Ad § 32</w:t>
      </w:r>
      <w:r w:rsidRPr="004C4765">
        <w:rPr>
          <w:rFonts w:ascii="Verdana" w:eastAsia="Times New Roman" w:hAnsi="Verdana" w:cs="Times New Roman"/>
          <w:color w:val="000000"/>
          <w:sz w:val="18"/>
          <w:szCs w:val="18"/>
          <w:lang w:eastAsia="da-DK"/>
        </w:rPr>
        <w:t>, Vi henstiller til at bestemmelsen udgår som overflødig under hensyntagen til, at det formodede formål med denne bestemmelse – som ikke er beskrevet i forslaget til bekendtgørelse eller i fremsendelsesbrev – opnås allerede ved at den kvotebegrænsning, som gælder for dette fiskeri.</w:t>
      </w:r>
    </w:p>
    <w:p w14:paraId="190179D7" w14:textId="77777777" w:rsidR="004C4765" w:rsidRPr="004C4765" w:rsidRDefault="004C4765" w:rsidP="004C4765">
      <w:pPr>
        <w:shd w:val="clear" w:color="auto" w:fill="FFFFFF"/>
        <w:spacing w:after="0" w:line="240" w:lineRule="auto"/>
        <w:rPr>
          <w:rFonts w:ascii="Aptos" w:eastAsia="Times New Roman" w:hAnsi="Aptos" w:cs="Times New Roman"/>
          <w:color w:val="1F1F1F"/>
          <w:sz w:val="24"/>
          <w:szCs w:val="24"/>
          <w:lang w:eastAsia="da-DK"/>
        </w:rPr>
      </w:pPr>
      <w:r w:rsidRPr="004C4765">
        <w:rPr>
          <w:rFonts w:ascii="Verdana" w:eastAsia="Times New Roman" w:hAnsi="Verdana" w:cs="Times New Roman"/>
          <w:color w:val="000000"/>
          <w:sz w:val="18"/>
          <w:szCs w:val="18"/>
          <w:shd w:val="clear" w:color="auto" w:fill="FFFF00"/>
          <w:lang w:eastAsia="da-DK"/>
        </w:rPr>
        <w:t> </w:t>
      </w:r>
    </w:p>
    <w:p w14:paraId="68ABE2AD" w14:textId="77777777" w:rsidR="004C4765" w:rsidRPr="004C4765" w:rsidRDefault="004C4765" w:rsidP="004C4765">
      <w:pPr>
        <w:shd w:val="clear" w:color="auto" w:fill="FFFFFF"/>
        <w:spacing w:after="0" w:line="240" w:lineRule="auto"/>
        <w:rPr>
          <w:rFonts w:ascii="Aptos" w:eastAsia="Times New Roman" w:hAnsi="Aptos" w:cs="Times New Roman"/>
          <w:color w:val="1F1F1F"/>
          <w:sz w:val="24"/>
          <w:szCs w:val="24"/>
          <w:lang w:eastAsia="da-DK"/>
        </w:rPr>
      </w:pPr>
      <w:r w:rsidRPr="004C4765">
        <w:rPr>
          <w:rFonts w:ascii="Verdana" w:eastAsia="Times New Roman" w:hAnsi="Verdana" w:cs="Times New Roman"/>
          <w:color w:val="000000"/>
          <w:sz w:val="18"/>
          <w:szCs w:val="18"/>
          <w:lang w:eastAsia="da-DK"/>
        </w:rPr>
        <w:t>Ad § 34 er der gentagelse i teksten.</w:t>
      </w:r>
    </w:p>
    <w:p w14:paraId="2524022E" w14:textId="77777777" w:rsidR="004C4765" w:rsidRPr="004C4765" w:rsidRDefault="004C4765" w:rsidP="004C4765">
      <w:pPr>
        <w:shd w:val="clear" w:color="auto" w:fill="FFFFFF"/>
        <w:spacing w:after="0" w:line="240" w:lineRule="auto"/>
        <w:rPr>
          <w:rFonts w:ascii="Aptos" w:eastAsia="Times New Roman" w:hAnsi="Aptos" w:cs="Times New Roman"/>
          <w:color w:val="1F1F1F"/>
          <w:sz w:val="24"/>
          <w:szCs w:val="24"/>
          <w:lang w:eastAsia="da-DK"/>
        </w:rPr>
      </w:pPr>
      <w:r w:rsidRPr="004C4765">
        <w:rPr>
          <w:rFonts w:ascii="Verdana" w:eastAsia="Times New Roman" w:hAnsi="Verdana" w:cs="Times New Roman"/>
          <w:color w:val="000000"/>
          <w:sz w:val="18"/>
          <w:szCs w:val="18"/>
          <w:lang w:eastAsia="da-DK"/>
        </w:rPr>
        <w:t> </w:t>
      </w:r>
    </w:p>
    <w:p w14:paraId="717477CC" w14:textId="77777777" w:rsidR="004C4765" w:rsidRPr="004C4765" w:rsidRDefault="004C4765" w:rsidP="004C4765">
      <w:pPr>
        <w:shd w:val="clear" w:color="auto" w:fill="FFFFFF"/>
        <w:spacing w:after="0" w:line="240" w:lineRule="auto"/>
        <w:rPr>
          <w:rFonts w:ascii="Aptos" w:eastAsia="Times New Roman" w:hAnsi="Aptos" w:cs="Times New Roman"/>
          <w:color w:val="1F1F1F"/>
          <w:sz w:val="24"/>
          <w:szCs w:val="24"/>
          <w:lang w:eastAsia="da-DK"/>
        </w:rPr>
      </w:pPr>
      <w:r w:rsidRPr="004C4765">
        <w:rPr>
          <w:rFonts w:ascii="Verdana" w:eastAsia="Times New Roman" w:hAnsi="Verdana" w:cs="Times New Roman"/>
          <w:color w:val="000000"/>
          <w:sz w:val="18"/>
          <w:szCs w:val="18"/>
          <w:lang w:eastAsia="da-DK"/>
        </w:rPr>
        <w:t> </w:t>
      </w:r>
    </w:p>
    <w:tbl>
      <w:tblPr>
        <w:tblW w:w="5000" w:type="pct"/>
        <w:tblCellMar>
          <w:left w:w="0" w:type="dxa"/>
          <w:right w:w="0" w:type="dxa"/>
        </w:tblCellMar>
        <w:tblLook w:val="04A0" w:firstRow="1" w:lastRow="0" w:firstColumn="1" w:lastColumn="0" w:noHBand="0" w:noVBand="1"/>
        <w:tblDescription w:val="Email signature"/>
      </w:tblPr>
      <w:tblGrid>
        <w:gridCol w:w="9638"/>
      </w:tblGrid>
      <w:tr w:rsidR="004C4765" w:rsidRPr="004C4765" w14:paraId="2FE87FC4" w14:textId="77777777" w:rsidTr="004C4765">
        <w:tc>
          <w:tcPr>
            <w:tcW w:w="5000" w:type="pct"/>
            <w:vAlign w:val="center"/>
            <w:hideMark/>
          </w:tcPr>
          <w:p w14:paraId="1C24CC31" w14:textId="77777777" w:rsidR="004C4765" w:rsidRPr="004C4765" w:rsidRDefault="004C4765" w:rsidP="004C4765">
            <w:pPr>
              <w:spacing w:after="0" w:line="240" w:lineRule="auto"/>
              <w:rPr>
                <w:rFonts w:ascii="Aptos" w:eastAsia="Times New Roman" w:hAnsi="Aptos" w:cs="Times New Roman"/>
                <w:sz w:val="24"/>
                <w:szCs w:val="24"/>
                <w:lang w:eastAsia="da-DK"/>
              </w:rPr>
            </w:pPr>
            <w:r w:rsidRPr="004C4765">
              <w:rPr>
                <w:rFonts w:ascii="Verdana" w:eastAsia="Times New Roman" w:hAnsi="Verdana" w:cs="Times New Roman"/>
                <w:color w:val="707070"/>
                <w:sz w:val="18"/>
                <w:szCs w:val="18"/>
                <w:lang w:eastAsia="da-DK"/>
              </w:rPr>
              <w:t>Med venlig hilsen</w:t>
            </w:r>
          </w:p>
          <w:p w14:paraId="4ABA29AD" w14:textId="77777777" w:rsidR="004C4765" w:rsidRPr="004C4765" w:rsidRDefault="004C4765" w:rsidP="004C4765">
            <w:pPr>
              <w:spacing w:after="0" w:line="240" w:lineRule="auto"/>
              <w:rPr>
                <w:rFonts w:ascii="Aptos" w:eastAsia="Times New Roman" w:hAnsi="Aptos" w:cs="Times New Roman"/>
                <w:sz w:val="24"/>
                <w:szCs w:val="24"/>
                <w:lang w:eastAsia="da-DK"/>
              </w:rPr>
            </w:pPr>
            <w:r w:rsidRPr="004C4765">
              <w:rPr>
                <w:rFonts w:ascii="Verdana" w:eastAsia="Times New Roman" w:hAnsi="Verdana" w:cs="Times New Roman"/>
                <w:color w:val="707070"/>
                <w:sz w:val="18"/>
                <w:szCs w:val="18"/>
                <w:lang w:eastAsia="da-DK"/>
              </w:rPr>
              <w:t> </w:t>
            </w:r>
          </w:p>
          <w:p w14:paraId="62DD9C53" w14:textId="77777777" w:rsidR="004C4765" w:rsidRPr="004C4765" w:rsidRDefault="004C4765" w:rsidP="004C4765">
            <w:pPr>
              <w:spacing w:after="0" w:line="240" w:lineRule="auto"/>
              <w:rPr>
                <w:rFonts w:ascii="Aptos" w:eastAsia="Times New Roman" w:hAnsi="Aptos" w:cs="Times New Roman"/>
                <w:sz w:val="24"/>
                <w:szCs w:val="24"/>
                <w:lang w:eastAsia="da-DK"/>
              </w:rPr>
            </w:pPr>
            <w:r w:rsidRPr="004C4765">
              <w:rPr>
                <w:rFonts w:ascii="Verdana" w:eastAsia="Times New Roman" w:hAnsi="Verdana" w:cs="Times New Roman"/>
                <w:b/>
                <w:bCs/>
                <w:color w:val="002D62"/>
                <w:lang w:eastAsia="da-DK"/>
              </w:rPr>
              <w:t>Andor Thomsen</w:t>
            </w:r>
          </w:p>
          <w:p w14:paraId="6AC30B1E" w14:textId="77777777" w:rsidR="004C4765" w:rsidRPr="004C4765" w:rsidRDefault="004C4765" w:rsidP="004C4765">
            <w:pPr>
              <w:spacing w:after="0" w:line="240" w:lineRule="auto"/>
              <w:rPr>
                <w:rFonts w:ascii="Aptos" w:eastAsia="Times New Roman" w:hAnsi="Aptos" w:cs="Times New Roman"/>
                <w:sz w:val="24"/>
                <w:szCs w:val="24"/>
                <w:lang w:eastAsia="da-DK"/>
              </w:rPr>
            </w:pPr>
            <w:r w:rsidRPr="004C4765">
              <w:rPr>
                <w:rFonts w:ascii="Verdana" w:eastAsia="Times New Roman" w:hAnsi="Verdana" w:cs="Times New Roman"/>
                <w:color w:val="707070"/>
                <w:sz w:val="18"/>
                <w:szCs w:val="18"/>
                <w:lang w:eastAsia="da-DK"/>
              </w:rPr>
              <w:t>Tel.:</w:t>
            </w:r>
            <w:r w:rsidRPr="004C4765">
              <w:rPr>
                <w:rFonts w:ascii="Verdana" w:eastAsia="Times New Roman" w:hAnsi="Verdana" w:cs="Times New Roman"/>
                <w:color w:val="707070"/>
                <w:spacing w:val="120"/>
                <w:sz w:val="18"/>
                <w:szCs w:val="18"/>
                <w:lang w:eastAsia="da-DK"/>
              </w:rPr>
              <w:t> </w:t>
            </w:r>
            <w:r w:rsidRPr="004C4765">
              <w:rPr>
                <w:rFonts w:ascii="Verdana" w:eastAsia="Times New Roman" w:hAnsi="Verdana" w:cs="Times New Roman"/>
                <w:color w:val="707070"/>
                <w:sz w:val="18"/>
                <w:szCs w:val="18"/>
                <w:lang w:eastAsia="da-DK"/>
              </w:rPr>
              <w:t>+299 361300</w:t>
            </w:r>
          </w:p>
          <w:p w14:paraId="578E7E79" w14:textId="77777777" w:rsidR="004C4765" w:rsidRPr="004C4765" w:rsidRDefault="004C4765" w:rsidP="004C4765">
            <w:pPr>
              <w:spacing w:after="0" w:line="240" w:lineRule="auto"/>
              <w:rPr>
                <w:rFonts w:ascii="Aptos" w:eastAsia="Times New Roman" w:hAnsi="Aptos" w:cs="Times New Roman"/>
                <w:sz w:val="24"/>
                <w:szCs w:val="24"/>
                <w:lang w:eastAsia="da-DK"/>
              </w:rPr>
            </w:pPr>
            <w:r w:rsidRPr="004C4765">
              <w:rPr>
                <w:rFonts w:ascii="Verdana" w:eastAsia="Times New Roman" w:hAnsi="Verdana" w:cs="Times New Roman"/>
                <w:color w:val="707070"/>
                <w:sz w:val="18"/>
                <w:szCs w:val="18"/>
                <w:lang w:val="en-US" w:eastAsia="da-DK"/>
              </w:rPr>
              <w:t>Dir.:</w:t>
            </w:r>
            <w:r w:rsidRPr="004C4765">
              <w:rPr>
                <w:rFonts w:ascii="Verdana" w:eastAsia="Times New Roman" w:hAnsi="Verdana" w:cs="Times New Roman"/>
                <w:color w:val="707070"/>
                <w:spacing w:val="120"/>
                <w:sz w:val="18"/>
                <w:szCs w:val="18"/>
                <w:lang w:val="en-US" w:eastAsia="da-DK"/>
              </w:rPr>
              <w:t> </w:t>
            </w:r>
            <w:r w:rsidRPr="004C4765">
              <w:rPr>
                <w:rFonts w:ascii="Verdana" w:eastAsia="Times New Roman" w:hAnsi="Verdana" w:cs="Times New Roman"/>
                <w:color w:val="707070"/>
                <w:sz w:val="18"/>
                <w:szCs w:val="18"/>
                <w:lang w:val="en-US" w:eastAsia="da-DK"/>
              </w:rPr>
              <w:t>+299 36 1307</w:t>
            </w:r>
          </w:p>
          <w:p w14:paraId="1096DC79" w14:textId="77777777" w:rsidR="004C4765" w:rsidRPr="004C4765" w:rsidRDefault="004C4765" w:rsidP="004C4765">
            <w:pPr>
              <w:spacing w:after="0" w:line="240" w:lineRule="auto"/>
              <w:rPr>
                <w:rFonts w:ascii="Aptos" w:eastAsia="Times New Roman" w:hAnsi="Aptos" w:cs="Times New Roman"/>
                <w:sz w:val="24"/>
                <w:szCs w:val="24"/>
                <w:lang w:eastAsia="da-DK"/>
              </w:rPr>
            </w:pPr>
            <w:r w:rsidRPr="004C4765">
              <w:rPr>
                <w:rFonts w:ascii="Verdana" w:eastAsia="Times New Roman" w:hAnsi="Verdana" w:cs="Times New Roman"/>
                <w:color w:val="707070"/>
                <w:sz w:val="18"/>
                <w:szCs w:val="18"/>
                <w:lang w:val="en-US" w:eastAsia="da-DK"/>
              </w:rPr>
              <w:t>Mob.:</w:t>
            </w:r>
            <w:r w:rsidRPr="004C4765">
              <w:rPr>
                <w:rFonts w:ascii="Verdana" w:eastAsia="Times New Roman" w:hAnsi="Verdana" w:cs="Times New Roman"/>
                <w:color w:val="707070"/>
                <w:spacing w:val="15"/>
                <w:sz w:val="18"/>
                <w:szCs w:val="18"/>
                <w:lang w:val="en-US" w:eastAsia="da-DK"/>
              </w:rPr>
              <w:t> </w:t>
            </w:r>
            <w:r w:rsidRPr="004C4765">
              <w:rPr>
                <w:rFonts w:ascii="Verdana" w:eastAsia="Times New Roman" w:hAnsi="Verdana" w:cs="Times New Roman"/>
                <w:color w:val="707070"/>
                <w:sz w:val="18"/>
                <w:szCs w:val="18"/>
                <w:lang w:val="en-US" w:eastAsia="da-DK"/>
              </w:rPr>
              <w:t>+299 48 4706</w:t>
            </w:r>
          </w:p>
          <w:p w14:paraId="0694D2BF" w14:textId="77777777" w:rsidR="004C4765" w:rsidRPr="004C4765" w:rsidRDefault="004C4765" w:rsidP="004C4765">
            <w:pPr>
              <w:spacing w:after="0" w:line="240" w:lineRule="auto"/>
              <w:rPr>
                <w:rFonts w:ascii="Aptos" w:eastAsia="Times New Roman" w:hAnsi="Aptos" w:cs="Times New Roman"/>
                <w:sz w:val="24"/>
                <w:szCs w:val="24"/>
                <w:lang w:eastAsia="da-DK"/>
              </w:rPr>
            </w:pPr>
            <w:hyperlink r:id="rId4" w:history="1">
              <w:r w:rsidRPr="004C4765">
                <w:rPr>
                  <w:rFonts w:ascii="Verdana" w:eastAsia="Times New Roman" w:hAnsi="Verdana" w:cs="Times New Roman"/>
                  <w:color w:val="707070"/>
                  <w:sz w:val="18"/>
                  <w:szCs w:val="18"/>
                  <w:u w:val="single"/>
                  <w:lang w:val="en-US" w:eastAsia="da-DK"/>
                </w:rPr>
                <w:t>adto@royalgreenland.com</w:t>
              </w:r>
            </w:hyperlink>
          </w:p>
          <w:p w14:paraId="16659320" w14:textId="77777777" w:rsidR="004C4765" w:rsidRPr="004C4765" w:rsidRDefault="004C4765" w:rsidP="004C4765">
            <w:pPr>
              <w:spacing w:after="0" w:line="240" w:lineRule="auto"/>
              <w:rPr>
                <w:rFonts w:ascii="Aptos" w:eastAsia="Times New Roman" w:hAnsi="Aptos" w:cs="Times New Roman"/>
                <w:sz w:val="24"/>
                <w:szCs w:val="24"/>
                <w:lang w:eastAsia="da-DK"/>
              </w:rPr>
            </w:pPr>
            <w:r w:rsidRPr="004C4765">
              <w:rPr>
                <w:rFonts w:ascii="Verdana" w:eastAsia="Times New Roman" w:hAnsi="Verdana" w:cs="Times New Roman"/>
                <w:color w:val="707070"/>
                <w:sz w:val="18"/>
                <w:szCs w:val="18"/>
                <w:lang w:val="en-US" w:eastAsia="da-DK"/>
              </w:rPr>
              <w:t> </w:t>
            </w:r>
          </w:p>
          <w:p w14:paraId="51C9ECC5" w14:textId="77777777" w:rsidR="004C4765" w:rsidRPr="004C4765" w:rsidRDefault="004C4765" w:rsidP="004C4765">
            <w:pPr>
              <w:spacing w:after="0" w:line="240" w:lineRule="auto"/>
              <w:rPr>
                <w:rFonts w:ascii="Aptos" w:eastAsia="Times New Roman" w:hAnsi="Aptos" w:cs="Times New Roman"/>
                <w:sz w:val="24"/>
                <w:szCs w:val="24"/>
                <w:lang w:eastAsia="da-DK"/>
              </w:rPr>
            </w:pPr>
            <w:r w:rsidRPr="004C4765">
              <w:rPr>
                <w:rFonts w:ascii="Verdana" w:eastAsia="Times New Roman" w:hAnsi="Verdana" w:cs="Times New Roman"/>
                <w:color w:val="002D62"/>
                <w:sz w:val="20"/>
                <w:szCs w:val="20"/>
                <w:lang w:val="en-US" w:eastAsia="da-DK"/>
              </w:rPr>
              <w:t>Royal Greenland A/S</w:t>
            </w:r>
          </w:p>
          <w:p w14:paraId="4A8D199B" w14:textId="77777777" w:rsidR="004C4765" w:rsidRPr="004C4765" w:rsidRDefault="004C4765" w:rsidP="004C4765">
            <w:pPr>
              <w:spacing w:after="0" w:line="240" w:lineRule="auto"/>
              <w:rPr>
                <w:rFonts w:ascii="Aptos" w:eastAsia="Times New Roman" w:hAnsi="Aptos" w:cs="Times New Roman"/>
                <w:sz w:val="24"/>
                <w:szCs w:val="24"/>
                <w:lang w:eastAsia="da-DK"/>
              </w:rPr>
            </w:pPr>
            <w:r w:rsidRPr="004C4765">
              <w:rPr>
                <w:rFonts w:ascii="Verdana" w:eastAsia="Times New Roman" w:hAnsi="Verdana" w:cs="Times New Roman"/>
                <w:color w:val="707070"/>
                <w:sz w:val="18"/>
                <w:szCs w:val="18"/>
                <w:lang w:val="en-US" w:eastAsia="da-DK"/>
              </w:rPr>
              <w:t>Qasapi 4</w:t>
            </w:r>
            <w:r w:rsidRPr="004C4765">
              <w:rPr>
                <w:rFonts w:ascii="Verdana" w:eastAsia="Times New Roman" w:hAnsi="Verdana" w:cs="Times New Roman"/>
                <w:color w:val="707070"/>
                <w:sz w:val="18"/>
                <w:szCs w:val="18"/>
                <w:lang w:val="en-US" w:eastAsia="da-DK"/>
              </w:rPr>
              <w:br/>
              <w:t>Postbox 1073</w:t>
            </w:r>
            <w:r w:rsidRPr="004C4765">
              <w:rPr>
                <w:rFonts w:ascii="Verdana" w:eastAsia="Times New Roman" w:hAnsi="Verdana" w:cs="Times New Roman"/>
                <w:color w:val="707070"/>
                <w:sz w:val="18"/>
                <w:szCs w:val="18"/>
                <w:lang w:val="en-US" w:eastAsia="da-DK"/>
              </w:rPr>
              <w:br/>
              <w:t>GL-3900 Nuuk</w:t>
            </w:r>
          </w:p>
          <w:p w14:paraId="221C398F" w14:textId="77777777" w:rsidR="004C4765" w:rsidRPr="004C4765" w:rsidRDefault="004C4765" w:rsidP="004C4765">
            <w:pPr>
              <w:spacing w:after="0" w:line="240" w:lineRule="auto"/>
              <w:rPr>
                <w:rFonts w:ascii="Aptos" w:eastAsia="Times New Roman" w:hAnsi="Aptos" w:cs="Times New Roman"/>
                <w:sz w:val="24"/>
                <w:szCs w:val="24"/>
                <w:lang w:eastAsia="da-DK"/>
              </w:rPr>
            </w:pPr>
            <w:hyperlink r:id="rId5" w:history="1">
              <w:r w:rsidRPr="004C4765">
                <w:rPr>
                  <w:rFonts w:ascii="Verdana" w:eastAsia="Times New Roman" w:hAnsi="Verdana" w:cs="Times New Roman"/>
                  <w:color w:val="707070"/>
                  <w:sz w:val="18"/>
                  <w:szCs w:val="18"/>
                  <w:u w:val="single"/>
                  <w:lang w:val="en-US" w:eastAsia="da-DK"/>
                </w:rPr>
                <w:t>www.royalgreenland.com</w:t>
              </w:r>
            </w:hyperlink>
          </w:p>
          <w:p w14:paraId="2FD8EC28" w14:textId="77777777" w:rsidR="004C4765" w:rsidRPr="004C4765" w:rsidRDefault="004C4765" w:rsidP="004C4765">
            <w:pPr>
              <w:spacing w:after="0" w:line="240" w:lineRule="auto"/>
              <w:rPr>
                <w:rFonts w:ascii="Aptos" w:eastAsia="Times New Roman" w:hAnsi="Aptos" w:cs="Times New Roman"/>
                <w:sz w:val="24"/>
                <w:szCs w:val="24"/>
                <w:lang w:eastAsia="da-DK"/>
              </w:rPr>
            </w:pPr>
            <w:r w:rsidRPr="004C4765">
              <w:rPr>
                <w:rFonts w:ascii="Verdana" w:eastAsia="Times New Roman" w:hAnsi="Verdana" w:cs="Times New Roman"/>
                <w:color w:val="00203D"/>
                <w:sz w:val="16"/>
                <w:szCs w:val="16"/>
                <w:lang w:val="en-US" w:eastAsia="da-DK"/>
              </w:rPr>
              <w:br/>
              <w:t>If Royal Greenland processes personal data relating to physical persons, such processing will meet the requirements of applicable data protection legislation. In Royal Greenland's Privacy Policy, we provide you with information on how we collect, store, erase, etc. personal data and how physical persons may exercise their rights as data subjects. </w:t>
            </w:r>
            <w:hyperlink r:id="rId6" w:history="1">
              <w:r w:rsidRPr="004C4765">
                <w:rPr>
                  <w:rFonts w:ascii="Verdana" w:eastAsia="Times New Roman" w:hAnsi="Verdana" w:cs="Times New Roman"/>
                  <w:color w:val="00203D"/>
                  <w:sz w:val="16"/>
                  <w:szCs w:val="16"/>
                  <w:u w:val="single"/>
                  <w:lang w:eastAsia="da-DK"/>
                </w:rPr>
                <w:t>Click here to view our Privacy Policy</w:t>
              </w:r>
            </w:hyperlink>
            <w:r w:rsidRPr="004C4765">
              <w:rPr>
                <w:rFonts w:ascii="Verdana" w:eastAsia="Times New Roman" w:hAnsi="Verdana" w:cs="Times New Roman"/>
                <w:color w:val="00203D"/>
                <w:sz w:val="16"/>
                <w:szCs w:val="16"/>
                <w:lang w:eastAsia="da-DK"/>
              </w:rPr>
              <w:t>.</w:t>
            </w:r>
          </w:p>
        </w:tc>
      </w:tr>
    </w:tbl>
    <w:p w14:paraId="733CC1FF" w14:textId="77777777" w:rsidR="009E2C16" w:rsidRPr="00A45FB4" w:rsidRDefault="009E2C16">
      <w:pPr>
        <w:rPr>
          <w:rFonts w:cs="Times New Roman"/>
        </w:rPr>
      </w:pPr>
    </w:p>
    <w:sectPr w:rsidR="009E2C16" w:rsidRPr="00A45FB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345DC"/>
    <w:rsid w:val="0000792D"/>
    <w:rsid w:val="004C4765"/>
    <w:rsid w:val="005345DC"/>
    <w:rsid w:val="005E2EC3"/>
    <w:rsid w:val="009E2C16"/>
    <w:rsid w:val="00A45FB4"/>
    <w:rsid w:val="00BC3E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700E"/>
  <w15:docId w15:val="{D0CA9D90-B8CC-4883-B376-D679892A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initialstyle">
    <w:name w:val="initialstyle"/>
    <w:basedOn w:val="Standardskrifttypeiafsnit"/>
    <w:rsid w:val="004C4765"/>
  </w:style>
  <w:style w:type="character" w:styleId="Hyperlink">
    <w:name w:val="Hyperlink"/>
    <w:basedOn w:val="Standardskrifttypeiafsnit"/>
    <w:uiPriority w:val="99"/>
    <w:semiHidden/>
    <w:unhideWhenUsed/>
    <w:rsid w:val="004C47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9591">
      <w:bodyDiv w:val="1"/>
      <w:marLeft w:val="0"/>
      <w:marRight w:val="0"/>
      <w:marTop w:val="0"/>
      <w:marBottom w:val="0"/>
      <w:divBdr>
        <w:top w:val="none" w:sz="0" w:space="0" w:color="auto"/>
        <w:left w:val="none" w:sz="0" w:space="0" w:color="auto"/>
        <w:bottom w:val="none" w:sz="0" w:space="0" w:color="auto"/>
        <w:right w:val="none" w:sz="0" w:space="0" w:color="auto"/>
      </w:divBdr>
      <w:divsChild>
        <w:div w:id="1020549978">
          <w:marLeft w:val="0"/>
          <w:marRight w:val="0"/>
          <w:marTop w:val="0"/>
          <w:marBottom w:val="0"/>
          <w:divBdr>
            <w:top w:val="none" w:sz="0" w:space="0" w:color="auto"/>
            <w:left w:val="none" w:sz="0" w:space="0" w:color="auto"/>
            <w:bottom w:val="none" w:sz="0" w:space="0" w:color="auto"/>
            <w:right w:val="none" w:sz="0" w:space="0" w:color="auto"/>
          </w:divBdr>
          <w:divsChild>
            <w:div w:id="964386424">
              <w:marLeft w:val="0"/>
              <w:marRight w:val="0"/>
              <w:marTop w:val="0"/>
              <w:marBottom w:val="0"/>
              <w:divBdr>
                <w:top w:val="none" w:sz="0" w:space="0" w:color="auto"/>
                <w:left w:val="none" w:sz="0" w:space="0" w:color="auto"/>
                <w:bottom w:val="none" w:sz="0" w:space="0" w:color="auto"/>
                <w:right w:val="none" w:sz="0" w:space="0" w:color="auto"/>
              </w:divBdr>
              <w:divsChild>
                <w:div w:id="439108434">
                  <w:marLeft w:val="0"/>
                  <w:marRight w:val="0"/>
                  <w:marTop w:val="0"/>
                  <w:marBottom w:val="0"/>
                  <w:divBdr>
                    <w:top w:val="none" w:sz="0" w:space="0" w:color="auto"/>
                    <w:left w:val="none" w:sz="0" w:space="0" w:color="auto"/>
                    <w:bottom w:val="none" w:sz="0" w:space="0" w:color="auto"/>
                    <w:right w:val="none" w:sz="0" w:space="0" w:color="auto"/>
                  </w:divBdr>
                </w:div>
              </w:divsChild>
            </w:div>
            <w:div w:id="875889102">
              <w:marLeft w:val="0"/>
              <w:marRight w:val="0"/>
              <w:marTop w:val="0"/>
              <w:marBottom w:val="0"/>
              <w:divBdr>
                <w:top w:val="none" w:sz="0" w:space="0" w:color="auto"/>
                <w:left w:val="none" w:sz="0" w:space="0" w:color="auto"/>
                <w:bottom w:val="none" w:sz="0" w:space="0" w:color="auto"/>
                <w:right w:val="none" w:sz="0" w:space="0" w:color="auto"/>
              </w:divBdr>
              <w:divsChild>
                <w:div w:id="105685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12.mailanyone.net/scanner?m=1tOJje-00000006LVB-3i3a&amp;d=4%7Cmail%2F90%2F1734627000%2F1tOJje-00000006LVB-3i3a%7Cin12b%7C57e1b682%7C15246422%7C12695312%7C67644EEA25ECCFD48D322292D1BB3A2E&amp;o=%2Fphtw%3A%2Fwtsgow.ealrrygaen%2Fd.llnoOdaa-Ry%2Fmlrl-nenaGetrd%2FivalPikitilopsv&amp;s=zPv-EacEwHKfXoXgCuk5dfePY1k" TargetMode="External"/><Relationship Id="rId5" Type="http://schemas.openxmlformats.org/officeDocument/2006/relationships/hyperlink" Target="https://url12.mailanyone.net/scanner?m=1tOJje-00000006LVB-3i3a&amp;d=4%7Cmail%2F90%2F1734627000%2F1tOJje-00000006LVB-3i3a%7Cin12b%7C57e1b682%7C15246422%7C12695312%7C67644EEA25ECCFD48D322292D1BB3A2E&amp;o=%2Fphtw%3A%2Fwtsgow.ealrrycaenmd.oln&amp;s=9tYwjXAziUM4XliEQOufAptnsw8" TargetMode="External"/><Relationship Id="rId4" Type="http://schemas.openxmlformats.org/officeDocument/2006/relationships/hyperlink" Target="mailto:adto@royalgreenland.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ra\AppData\Local\cBrain\F2\.tmp\d915aa9bbf524c47a40455486a5dae0e.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d915aa9bbf524c47a40455486a5dae0e</Template>
  <TotalTime>0</TotalTime>
  <Pages>1</Pages>
  <Words>917</Words>
  <Characters>5600</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Rassing</dc:creator>
  <cp:lastModifiedBy>Thomas Rassing</cp:lastModifiedBy>
  <cp:revision>3</cp:revision>
  <dcterms:created xsi:type="dcterms:W3CDTF">2024-12-20T13:45:00Z</dcterms:created>
  <dcterms:modified xsi:type="dcterms:W3CDTF">2024-12-20T13:45:00Z</dcterms:modified>
</cp:coreProperties>
</file>