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FB2C" w14:textId="25DE1AE2" w:rsidR="009E2C16" w:rsidRDefault="00971D08" w:rsidP="00971D08">
      <w:r>
        <w:t>Hermed fremsætter Naalakkersuisut følgende beslutningsforslag i henhold til § 33, i Forretningsorden for Inatsisartut.</w:t>
      </w:r>
    </w:p>
    <w:p w14:paraId="5E16BC19" w14:textId="293AEC44" w:rsidR="00971D08" w:rsidRDefault="00971D08" w:rsidP="00971D08"/>
    <w:p w14:paraId="542217A6" w14:textId="478B62CD" w:rsidR="000878B5" w:rsidRDefault="00E45C69" w:rsidP="000878B5">
      <w:pPr>
        <w:rPr>
          <w:b/>
          <w:bCs/>
        </w:rPr>
      </w:pPr>
      <w:bookmarkStart w:id="0" w:name="_Hlk174347940"/>
      <w:r>
        <w:rPr>
          <w:b/>
          <w:bCs/>
        </w:rPr>
        <w:t xml:space="preserve">Forslag til </w:t>
      </w:r>
      <w:r w:rsidR="000878B5" w:rsidRPr="00971D08">
        <w:rPr>
          <w:b/>
          <w:bCs/>
        </w:rPr>
        <w:t>Inatsisartutbeslutning om</w:t>
      </w:r>
      <w:r w:rsidR="007B5148">
        <w:rPr>
          <w:b/>
          <w:bCs/>
        </w:rPr>
        <w:t>,</w:t>
      </w:r>
      <w:r>
        <w:rPr>
          <w:b/>
          <w:bCs/>
        </w:rPr>
        <w:t xml:space="preserve"> at</w:t>
      </w:r>
      <w:r w:rsidR="000878B5" w:rsidRPr="00971D08">
        <w:rPr>
          <w:b/>
          <w:bCs/>
        </w:rPr>
        <w:t xml:space="preserve"> Grønlands Selvstyre </w:t>
      </w:r>
      <w:r>
        <w:rPr>
          <w:b/>
          <w:bCs/>
        </w:rPr>
        <w:t xml:space="preserve">tilslutter sig </w:t>
      </w:r>
      <w:r w:rsidR="000878B5" w:rsidRPr="00971D08">
        <w:rPr>
          <w:b/>
          <w:bCs/>
        </w:rPr>
        <w:t>forslag til lov for Grønland om oplysninger, der skal medsendes ved overførs</w:t>
      </w:r>
      <w:r w:rsidR="008956FA">
        <w:rPr>
          <w:b/>
          <w:bCs/>
        </w:rPr>
        <w:t>e</w:t>
      </w:r>
      <w:r w:rsidR="000878B5" w:rsidRPr="00971D08">
        <w:rPr>
          <w:b/>
          <w:bCs/>
        </w:rPr>
        <w:t>l</w:t>
      </w:r>
      <w:r w:rsidR="000878B5">
        <w:rPr>
          <w:b/>
          <w:bCs/>
        </w:rPr>
        <w:t xml:space="preserve"> </w:t>
      </w:r>
      <w:r w:rsidR="000878B5" w:rsidRPr="00693107">
        <w:rPr>
          <w:b/>
          <w:bCs/>
        </w:rPr>
        <w:t xml:space="preserve">af </w:t>
      </w:r>
      <w:r w:rsidR="008956FA">
        <w:rPr>
          <w:b/>
          <w:bCs/>
        </w:rPr>
        <w:t>midler</w:t>
      </w:r>
      <w:r w:rsidR="000878B5">
        <w:rPr>
          <w:b/>
          <w:bCs/>
        </w:rPr>
        <w:t>.</w:t>
      </w:r>
    </w:p>
    <w:bookmarkEnd w:id="0"/>
    <w:p w14:paraId="2F506080" w14:textId="332BE286" w:rsidR="00971D08" w:rsidRDefault="00971D08" w:rsidP="00971D08">
      <w:r>
        <w:t>(Naalakkersuisoq for Finanser og Skatter)</w:t>
      </w:r>
    </w:p>
    <w:p w14:paraId="359DEAFF" w14:textId="064D1AF2" w:rsidR="00971D08" w:rsidRDefault="00971D08" w:rsidP="00971D08"/>
    <w:p w14:paraId="570F7561" w14:textId="0716DE50" w:rsidR="00971D08" w:rsidRPr="00693107" w:rsidRDefault="00971D08" w:rsidP="00971D08"/>
    <w:p w14:paraId="0024FBD7" w14:textId="254F58A6" w:rsidR="00971D08" w:rsidRDefault="00693107" w:rsidP="00971D08">
      <w:pPr>
        <w:rPr>
          <w:b/>
          <w:bCs/>
        </w:rPr>
      </w:pPr>
      <w:r w:rsidRPr="00693107">
        <w:rPr>
          <w:b/>
          <w:bCs/>
        </w:rPr>
        <w:t>Begrundelse</w:t>
      </w:r>
    </w:p>
    <w:p w14:paraId="615734F0" w14:textId="068A78DE" w:rsidR="00693107" w:rsidRDefault="00693107" w:rsidP="00693107">
      <w:r>
        <w:t xml:space="preserve">Beslutningsforslaget </w:t>
      </w:r>
      <w:r w:rsidR="00E313EA">
        <w:t>vedrører</w:t>
      </w:r>
      <w:r w:rsidR="00190FC3">
        <w:t>,</w:t>
      </w:r>
      <w:r w:rsidR="00E313EA">
        <w:t xml:space="preserve"> om </w:t>
      </w:r>
      <w:r>
        <w:t xml:space="preserve">Grønlands Selvstyre </w:t>
      </w:r>
      <w:r w:rsidR="00E313EA">
        <w:t xml:space="preserve">vil </w:t>
      </w:r>
      <w:r>
        <w:t xml:space="preserve">tiltræde forslag til lov for Grønland om oplysninger, der skal medsendes ved pengeoverførsler </w:t>
      </w:r>
      <w:r w:rsidRPr="00693107">
        <w:t>og ved overførsler af visse kryptoaktiver</w:t>
      </w:r>
      <w:r>
        <w:t>.</w:t>
      </w:r>
    </w:p>
    <w:p w14:paraId="4799394A" w14:textId="649519B8" w:rsidR="00693107" w:rsidRDefault="00693107" w:rsidP="00693107"/>
    <w:p w14:paraId="23081142" w14:textId="73B1C108" w:rsidR="00281457" w:rsidRDefault="00693107" w:rsidP="00281457">
      <w:r>
        <w:t>Lov</w:t>
      </w:r>
      <w:r w:rsidR="00E72CF1">
        <w:t xml:space="preserve">forslaget </w:t>
      </w:r>
      <w:r>
        <w:t>vil sætte</w:t>
      </w:r>
      <w:r w:rsidR="00E313EA" w:rsidRPr="00E313EA">
        <w:t xml:space="preserve"> </w:t>
      </w:r>
      <w:r w:rsidR="006A5AB9">
        <w:t xml:space="preserve">indholdet af </w:t>
      </w:r>
      <w:r w:rsidR="00E313EA">
        <w:t xml:space="preserve">Europa-Parlamentets og </w:t>
      </w:r>
      <w:r>
        <w:t>Rådets forordning (EU) 2023/1113 af 31. maj 2023 i kraft med virkning f</w:t>
      </w:r>
      <w:r w:rsidR="006A5AB9">
        <w:t>ra</w:t>
      </w:r>
      <w:r>
        <w:t xml:space="preserve"> 30. december 2024. </w:t>
      </w:r>
      <w:r w:rsidR="005A689B">
        <w:t>Forordningen benævnes 3. pengeoverførselsforordning.</w:t>
      </w:r>
    </w:p>
    <w:p w14:paraId="104E29B7" w14:textId="77777777" w:rsidR="00281457" w:rsidRDefault="00281457" w:rsidP="00693107"/>
    <w:p w14:paraId="215EB7F6" w14:textId="6FE85200" w:rsidR="00333C5C" w:rsidRDefault="00333C5C" w:rsidP="00333C5C">
      <w:r>
        <w:t xml:space="preserve">Regelsættet i forordningen bygger i det væsentligste videre på den gældende EU-forordning 2015/847 om oplysninger, der skal medsendes ved pengeoverførsler. </w:t>
      </w:r>
      <w:r w:rsidR="006A5AB9">
        <w:t>Reglerne</w:t>
      </w:r>
      <w:r>
        <w:t xml:space="preserve"> blev sat i kraft for Grønland ved lov nr. 326 af 30. marts 2019. Da der siden </w:t>
      </w:r>
      <w:r w:rsidR="006A5AB9">
        <w:t xml:space="preserve">reglernes </w:t>
      </w:r>
      <w:r>
        <w:t xml:space="preserve">ikrafttræden er sket ændringer, bliver forordningen dog </w:t>
      </w:r>
      <w:r w:rsidR="006A5AB9">
        <w:t>ind</w:t>
      </w:r>
      <w:r>
        <w:t xml:space="preserve">arbejdet i en ny forordning. </w:t>
      </w:r>
    </w:p>
    <w:p w14:paraId="5F141B0D" w14:textId="77777777" w:rsidR="00333C5C" w:rsidRDefault="00333C5C" w:rsidP="00693107"/>
    <w:p w14:paraId="7D04C55B" w14:textId="6D60F765" w:rsidR="00281457" w:rsidRDefault="00333C5C" w:rsidP="00281457">
      <w:r>
        <w:t>Både den gældende forordning og foreslåede f</w:t>
      </w:r>
      <w:r w:rsidR="00281457" w:rsidRPr="00527F3D">
        <w:t>orordning</w:t>
      </w:r>
      <w:r w:rsidR="00600190" w:rsidRPr="00527F3D">
        <w:t xml:space="preserve"> pålægger banker og finansielle institutter m.m. </w:t>
      </w:r>
      <w:r w:rsidR="00281457" w:rsidRPr="00527F3D">
        <w:t xml:space="preserve">sammen med elektroniske pengeoverførsler </w:t>
      </w:r>
      <w:r w:rsidR="00600190" w:rsidRPr="00527F3D">
        <w:t xml:space="preserve">at </w:t>
      </w:r>
      <w:r w:rsidR="00281457" w:rsidRPr="00527F3D">
        <w:t>sende oplysninger om betaler og betalingsmodtager. Regelsættet</w:t>
      </w:r>
      <w:r w:rsidR="00E313EA" w:rsidRPr="00527F3D">
        <w:t>s</w:t>
      </w:r>
      <w:r w:rsidR="00281457" w:rsidRPr="00527F3D">
        <w:t xml:space="preserve"> formål </w:t>
      </w:r>
      <w:r w:rsidRPr="00527F3D">
        <w:t>er</w:t>
      </w:r>
      <w:r w:rsidR="00600190" w:rsidRPr="00527F3D">
        <w:t xml:space="preserve"> </w:t>
      </w:r>
      <w:r w:rsidR="00281457" w:rsidRPr="00527F3D">
        <w:t>at bekæmpe hvidvask af indtægter fra kriminalitet og finansiering af terrorvirksomhed.</w:t>
      </w:r>
      <w:r w:rsidR="00527F3D">
        <w:t xml:space="preserve"> </w:t>
      </w:r>
      <w:r w:rsidR="00A13773">
        <w:t>R</w:t>
      </w:r>
      <w:r w:rsidR="00D759FA">
        <w:t xml:space="preserve">eglerne </w:t>
      </w:r>
      <w:r w:rsidR="00A13773">
        <w:t xml:space="preserve">skal dernæst </w:t>
      </w:r>
      <w:r w:rsidR="00D759FA">
        <w:t>bidrage til at sikre finanssektorens integritet, stabilitet og omdømme.</w:t>
      </w:r>
    </w:p>
    <w:p w14:paraId="57396235" w14:textId="5C35FF76" w:rsidR="00E72CF1" w:rsidRDefault="00E72CF1" w:rsidP="00693107"/>
    <w:p w14:paraId="160F9CCE" w14:textId="5B8D10CB" w:rsidR="00333C5C" w:rsidRDefault="00333C5C" w:rsidP="00333C5C">
      <w:r>
        <w:t xml:space="preserve">Den væsentligste ændring består i, at anvendelsesområdet for regelsættet udvides til også at inkludere kryptovaluta, såsom bitcoins. Disse benævnes kryptoaktiver. </w:t>
      </w:r>
    </w:p>
    <w:p w14:paraId="7C95B361" w14:textId="77777777" w:rsidR="00333C5C" w:rsidRDefault="00333C5C" w:rsidP="00693107"/>
    <w:p w14:paraId="39988F81" w14:textId="0547494B" w:rsidR="00E313EA" w:rsidRDefault="00E313EA" w:rsidP="00E313EA">
      <w:r>
        <w:t xml:space="preserve">Udbydere af </w:t>
      </w:r>
      <w:proofErr w:type="spellStart"/>
      <w:r>
        <w:t>kryptoaktivtjenester</w:t>
      </w:r>
      <w:proofErr w:type="spellEnd"/>
      <w:r w:rsidR="00607016">
        <w:t xml:space="preserve"> </w:t>
      </w:r>
      <w:r>
        <w:t>vil med forordningen bliver pålagt at indhente, opbevare og dele oplysninger med deres modparter og, efter anmodning, at stille oplysningerne til rådighed for de kompetente myndigheder.</w:t>
      </w:r>
      <w:r w:rsidR="00527F3D">
        <w:t xml:space="preserve"> Formålet er at gøre det lette</w:t>
      </w:r>
      <w:r w:rsidR="00A13773">
        <w:t>re</w:t>
      </w:r>
      <w:r w:rsidR="00527F3D">
        <w:t xml:space="preserve"> at spore overførsler af kryptoaktiver.</w:t>
      </w:r>
    </w:p>
    <w:p w14:paraId="1AD37F9D" w14:textId="3ED37ACF" w:rsidR="005A689B" w:rsidRDefault="005A689B" w:rsidP="00E313EA"/>
    <w:p w14:paraId="521B29B2" w14:textId="189E1FAB" w:rsidR="005A689B" w:rsidRDefault="005A689B" w:rsidP="00E313EA">
      <w:r>
        <w:t>Desuden foreslås det, at overtrædelse af 3. pengeoverførselsforordning under særligt skærpede omstændigheder kan foranstaltes med andet en</w:t>
      </w:r>
      <w:r w:rsidR="003A0F84">
        <w:t>d</w:t>
      </w:r>
      <w:r>
        <w:t xml:space="preserve"> bøder. Det kunne eksempelvis være anstaltsanbringelse. Der sker dermed også en skærpelse af sanktionsniveauet, således at dette svarer til, hvad der i dag gælder for </w:t>
      </w:r>
      <w:r w:rsidR="003A0F84">
        <w:t xml:space="preserve">både </w:t>
      </w:r>
      <w:r>
        <w:t>Danmark og Færøerne.</w:t>
      </w:r>
    </w:p>
    <w:p w14:paraId="7B867D16" w14:textId="77777777" w:rsidR="005A689B" w:rsidRDefault="005A689B" w:rsidP="00E313EA"/>
    <w:p w14:paraId="0AF4BB25" w14:textId="69BC33FC" w:rsidR="00054B36" w:rsidRDefault="00054B36" w:rsidP="00E313EA"/>
    <w:p w14:paraId="537A64AF" w14:textId="31D4044E" w:rsidR="00607016" w:rsidRDefault="00054B36" w:rsidP="00054B36">
      <w:r>
        <w:lastRenderedPageBreak/>
        <w:t xml:space="preserve">Både de </w:t>
      </w:r>
      <w:r w:rsidR="00A13773">
        <w:t xml:space="preserve">gældende og de kommende </w:t>
      </w:r>
      <w:r w:rsidR="006A5AB9">
        <w:t>regler</w:t>
      </w:r>
      <w:r>
        <w:t xml:space="preserve"> </w:t>
      </w:r>
      <w:r w:rsidR="006A5AB9">
        <w:t xml:space="preserve">skal </w:t>
      </w:r>
      <w:r>
        <w:t xml:space="preserve">sikre at kravene </w:t>
      </w:r>
      <w:r w:rsidR="002A77FA">
        <w:t xml:space="preserve">og anbefalingerne </w:t>
      </w:r>
      <w:r>
        <w:t xml:space="preserve">fra den Finansielle Aktionsgruppe (FATF) bliver anvendt konsekvent. </w:t>
      </w:r>
      <w:r w:rsidR="006A5AB9">
        <w:t xml:space="preserve">En vedtagelse af </w:t>
      </w:r>
      <w:r w:rsidR="002A77FA">
        <w:t xml:space="preserve">beslutningsforslaget </w:t>
      </w:r>
      <w:r>
        <w:t>sikre</w:t>
      </w:r>
      <w:r w:rsidR="00A13773">
        <w:t>r</w:t>
      </w:r>
      <w:r>
        <w:t xml:space="preserve">e dermed </w:t>
      </w:r>
      <w:r w:rsidR="00A13773">
        <w:t>også</w:t>
      </w:r>
      <w:r w:rsidR="006A5AB9">
        <w:t>,</w:t>
      </w:r>
      <w:r w:rsidR="00A13773">
        <w:t xml:space="preserve"> </w:t>
      </w:r>
      <w:r>
        <w:t xml:space="preserve">at Grønland </w:t>
      </w:r>
      <w:r w:rsidR="006A5AB9">
        <w:t xml:space="preserve">kan </w:t>
      </w:r>
      <w:r>
        <w:t xml:space="preserve">leve op til de samme krav. </w:t>
      </w:r>
    </w:p>
    <w:p w14:paraId="6206CAA2" w14:textId="77777777" w:rsidR="00E313EA" w:rsidRDefault="00E313EA" w:rsidP="00693107"/>
    <w:p w14:paraId="5E867BA0" w14:textId="57237225" w:rsidR="00333C5C" w:rsidRDefault="00333C5C" w:rsidP="00333C5C">
      <w:r>
        <w:t xml:space="preserve">Hvis reglerne ikke træder i kraft for Grønland samtidig med den nye </w:t>
      </w:r>
      <w:r w:rsidR="00E51252">
        <w:t>forordning,</w:t>
      </w:r>
      <w:r>
        <w:t xml:space="preserve"> træder i kraft i EU, vil det betyde, at pengeoverførsler til Grønland skal anses for pengeoverførsler til tredjelande. Det vil medføre, at der vil være krav om at medsende flere oplysninger ved overførsler, hvilket kan besværliggøre </w:t>
      </w:r>
      <w:r w:rsidR="006A5AB9">
        <w:t>penge</w:t>
      </w:r>
      <w:r>
        <w:t>overførsler. I dag behandles sådanne overførsler som overførsler inden for en medlemsstat.</w:t>
      </w:r>
    </w:p>
    <w:p w14:paraId="1370840C" w14:textId="77777777" w:rsidR="00333C5C" w:rsidRDefault="00333C5C" w:rsidP="00693107"/>
    <w:p w14:paraId="17F9CA22" w14:textId="2AC56F40" w:rsidR="00BB30AB" w:rsidRDefault="00BB30AB" w:rsidP="00693107">
      <w:pPr>
        <w:rPr>
          <w:b/>
          <w:bCs/>
        </w:rPr>
      </w:pPr>
      <w:r w:rsidRPr="00BB30AB">
        <w:rPr>
          <w:b/>
          <w:bCs/>
        </w:rPr>
        <w:t>Økonomiske konsekvenser for Selvstyret</w:t>
      </w:r>
    </w:p>
    <w:p w14:paraId="7315046E" w14:textId="4093B4BE" w:rsidR="00BB30AB" w:rsidRDefault="00BB30AB" w:rsidP="00693107">
      <w:r>
        <w:t xml:space="preserve">Gennemførelse af lov for Grønland om </w:t>
      </w:r>
      <w:r w:rsidRPr="00BB30AB">
        <w:t>oplysninger, der skal medsendes ved pengeoverførsler og ved overførsler af visse kryptoaktiver</w:t>
      </w:r>
      <w:r>
        <w:t xml:space="preserve">, vil ikke have økonomiske konsekvenser for </w:t>
      </w:r>
      <w:r w:rsidR="00A13773">
        <w:t>s</w:t>
      </w:r>
      <w:r>
        <w:t>elvstyret.</w:t>
      </w:r>
    </w:p>
    <w:p w14:paraId="66420C5B" w14:textId="0EE0E7F6" w:rsidR="00BB30AB" w:rsidRDefault="00BB30AB" w:rsidP="00693107"/>
    <w:p w14:paraId="652F873B" w14:textId="6E8220D9" w:rsidR="00BB30AB" w:rsidRPr="00BB30AB" w:rsidRDefault="00BB30AB" w:rsidP="00693107">
      <w:pPr>
        <w:rPr>
          <w:b/>
          <w:bCs/>
        </w:rPr>
      </w:pPr>
      <w:r w:rsidRPr="00BB30AB">
        <w:rPr>
          <w:b/>
          <w:bCs/>
        </w:rPr>
        <w:t>Økonomiske og administrative konsekvenser for erhvervslivet m.v.</w:t>
      </w:r>
    </w:p>
    <w:p w14:paraId="59153F83" w14:textId="5D2C5F6E" w:rsidR="00BB30AB" w:rsidRDefault="006A5AB9" w:rsidP="00693107">
      <w:r>
        <w:t>Bliver reglerne ikke sat i kraft vil der ved penge</w:t>
      </w:r>
      <w:r w:rsidR="009E3222">
        <w:t xml:space="preserve">overførelser </w:t>
      </w:r>
      <w:r w:rsidR="00DD1F41">
        <w:t xml:space="preserve">indenfor riget </w:t>
      </w:r>
      <w:r>
        <w:t xml:space="preserve">blive </w:t>
      </w:r>
      <w:r w:rsidR="009E3222">
        <w:t>stille</w:t>
      </w:r>
      <w:r>
        <w:t>t</w:t>
      </w:r>
      <w:r w:rsidR="009E3222">
        <w:t xml:space="preserve"> krav om flere oplysninger, hvilket potentielt kan give problemer for de grønlandske pengeinstitutter</w:t>
      </w:r>
      <w:r w:rsidR="005A689B">
        <w:t>. Dette kan give udfordringer og muligvis merudgifter for grønlandske pengeinstitutter, da samarbejdet med de danske pengeinstitutter ikke i dag tillader</w:t>
      </w:r>
      <w:r w:rsidR="009E3222">
        <w:t>, at de nødvendige informationer</w:t>
      </w:r>
      <w:r w:rsidR="005A689B">
        <w:t xml:space="preserve"> kan</w:t>
      </w:r>
      <w:r w:rsidR="009E3222">
        <w:t xml:space="preserve"> medsendes.</w:t>
      </w:r>
      <w:r w:rsidR="0000052A">
        <w:t xml:space="preserve"> </w:t>
      </w:r>
    </w:p>
    <w:p w14:paraId="7AD1971A" w14:textId="559EC5BE" w:rsidR="009E3222" w:rsidRDefault="009E3222" w:rsidP="00693107"/>
    <w:p w14:paraId="4714E942" w14:textId="17662BDC" w:rsidR="009E3222" w:rsidRDefault="009E3222" w:rsidP="00693107">
      <w:pPr>
        <w:rPr>
          <w:b/>
          <w:bCs/>
        </w:rPr>
      </w:pPr>
      <w:r>
        <w:rPr>
          <w:b/>
          <w:bCs/>
        </w:rPr>
        <w:t xml:space="preserve">Høring </w:t>
      </w:r>
    </w:p>
    <w:p w14:paraId="582A78CF" w14:textId="40339130" w:rsidR="009E3222" w:rsidRDefault="009E3222" w:rsidP="009E3222">
      <w:r>
        <w:t>Forslag til lov for Grønland om oplysninger</w:t>
      </w:r>
      <w:r w:rsidRPr="00BB30AB">
        <w:t>, der skal medsendes ved pengeoverførsler og ved overførsler af visse kryptoaktiver</w:t>
      </w:r>
      <w:r>
        <w:t xml:space="preserve">, har været i offentlig høring fra den </w:t>
      </w:r>
      <w:r w:rsidR="00190FC3">
        <w:t xml:space="preserve">14. juni </w:t>
      </w:r>
      <w:r>
        <w:t xml:space="preserve">til </w:t>
      </w:r>
      <w:r w:rsidR="00190FC3">
        <w:t>19. juli</w:t>
      </w:r>
      <w:r>
        <w:t xml:space="preserve"> 2024 og er sendt til udvalgte høringsparter.</w:t>
      </w:r>
      <w:r w:rsidR="00190FC3">
        <w:t xml:space="preserve"> Ingen af høringsparterne har</w:t>
      </w:r>
    </w:p>
    <w:p w14:paraId="6CDCD7F6" w14:textId="0C68E642" w:rsidR="009E3222" w:rsidRDefault="00190FC3" w:rsidP="009E3222">
      <w:r>
        <w:t>bemærkninger til de foreslåede regler.</w:t>
      </w:r>
    </w:p>
    <w:p w14:paraId="382F8287" w14:textId="77777777" w:rsidR="00333C5C" w:rsidRDefault="00333C5C" w:rsidP="009E3222"/>
    <w:p w14:paraId="0BCB78CA" w14:textId="77777777" w:rsidR="00333C5C" w:rsidRDefault="00333C5C" w:rsidP="009E3222"/>
    <w:p w14:paraId="5BAE4835" w14:textId="77777777" w:rsidR="00333C5C" w:rsidRDefault="00333C5C" w:rsidP="009E3222"/>
    <w:p w14:paraId="677988FB" w14:textId="77777777" w:rsidR="00333C5C" w:rsidRDefault="00333C5C" w:rsidP="009E3222"/>
    <w:p w14:paraId="146750AA" w14:textId="2DA76E61" w:rsidR="009E3222" w:rsidRPr="00AB35AF" w:rsidRDefault="00333C5C" w:rsidP="009E3222">
      <w:pPr>
        <w:rPr>
          <w:b/>
          <w:bCs/>
        </w:rPr>
      </w:pPr>
      <w:r w:rsidRPr="00AB35AF">
        <w:rPr>
          <w:b/>
          <w:bCs/>
        </w:rPr>
        <w:t xml:space="preserve">Bilag </w:t>
      </w:r>
    </w:p>
    <w:p w14:paraId="4020740C" w14:textId="77777777" w:rsidR="00AB35AF" w:rsidRPr="00AB35AF" w:rsidRDefault="00AB35AF" w:rsidP="00333C5C">
      <w:pPr>
        <w:pStyle w:val="Listeafsnit"/>
        <w:numPr>
          <w:ilvl w:val="0"/>
          <w:numId w:val="1"/>
        </w:numPr>
      </w:pPr>
      <w:r w:rsidRPr="00AB35AF">
        <w:t>Forslag til lov for Grønland om oplysninger, der skal medsendes ved pengeoverførsler og ved overførsler af visse kryptoaktiver.</w:t>
      </w:r>
    </w:p>
    <w:sectPr w:rsidR="00AB35AF" w:rsidRPr="00AB35AF" w:rsidSect="008B6F8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8500" w14:textId="77777777" w:rsidR="007233DD" w:rsidRDefault="007233DD" w:rsidP="00971D08">
      <w:pPr>
        <w:spacing w:line="240" w:lineRule="auto"/>
      </w:pPr>
      <w:r>
        <w:separator/>
      </w:r>
    </w:p>
  </w:endnote>
  <w:endnote w:type="continuationSeparator" w:id="0">
    <w:p w14:paraId="1707DABA" w14:textId="77777777" w:rsidR="007233DD" w:rsidRDefault="007233DD" w:rsidP="00971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CE79" w14:textId="37E36242" w:rsidR="00971D08" w:rsidRDefault="00971D08">
    <w:pPr>
      <w:pStyle w:val="Sidefod"/>
      <w:rPr>
        <w:lang w:val="en-US"/>
      </w:rPr>
    </w:pPr>
    <w:r>
      <w:rPr>
        <w:lang w:val="en-US"/>
      </w:rPr>
      <w:t>EM 2024/</w:t>
    </w:r>
    <w:r w:rsidR="001D0B51">
      <w:rPr>
        <w:lang w:val="en-US"/>
      </w:rPr>
      <w:t>18</w:t>
    </w:r>
    <w:r w:rsidR="009E3222">
      <w:rPr>
        <w:lang w:val="en-US"/>
      </w:rPr>
      <w:tab/>
    </w:r>
    <w:r w:rsidR="009E3222" w:rsidRPr="009E3222">
      <w:rPr>
        <w:lang w:val="en-US"/>
      </w:rPr>
      <w:fldChar w:fldCharType="begin"/>
    </w:r>
    <w:r w:rsidR="009E3222" w:rsidRPr="009E3222">
      <w:rPr>
        <w:lang w:val="en-US"/>
      </w:rPr>
      <w:instrText>PAGE   \* MERGEFORMAT</w:instrText>
    </w:r>
    <w:r w:rsidR="009E3222" w:rsidRPr="009E3222">
      <w:rPr>
        <w:lang w:val="en-US"/>
      </w:rPr>
      <w:fldChar w:fldCharType="separate"/>
    </w:r>
    <w:r w:rsidR="003644F3">
      <w:rPr>
        <w:noProof/>
        <w:lang w:val="en-US"/>
      </w:rPr>
      <w:t>1</w:t>
    </w:r>
    <w:r w:rsidR="009E3222" w:rsidRPr="009E3222">
      <w:rPr>
        <w:lang w:val="en-US"/>
      </w:rPr>
      <w:fldChar w:fldCharType="end"/>
    </w:r>
  </w:p>
  <w:p w14:paraId="68D2A9C2" w14:textId="1A5349C0" w:rsidR="00971D08" w:rsidRPr="00971D08" w:rsidRDefault="00971D08">
    <w:pPr>
      <w:pStyle w:val="Sidefod"/>
      <w:rPr>
        <w:lang w:val="en-US"/>
      </w:rPr>
    </w:pPr>
    <w:r>
      <w:rPr>
        <w:lang w:val="en-US"/>
      </w:rPr>
      <w:t>Sagsnr.:2024-5705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9A82" w14:textId="77777777" w:rsidR="007233DD" w:rsidRDefault="007233DD" w:rsidP="00971D08">
      <w:pPr>
        <w:spacing w:line="240" w:lineRule="auto"/>
      </w:pPr>
      <w:r>
        <w:separator/>
      </w:r>
    </w:p>
  </w:footnote>
  <w:footnote w:type="continuationSeparator" w:id="0">
    <w:p w14:paraId="4A16D70F" w14:textId="77777777" w:rsidR="007233DD" w:rsidRDefault="007233DD" w:rsidP="00971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FE7C" w14:textId="260EEBF5" w:rsidR="00971D08" w:rsidRPr="00971D08" w:rsidRDefault="003517CF" w:rsidP="00971D08">
    <w:pPr>
      <w:pStyle w:val="Sidehoved"/>
      <w:rPr>
        <w:lang w:val="en-US"/>
      </w:rPr>
    </w:pPr>
    <w:r>
      <w:rPr>
        <w:lang w:val="en-US"/>
      </w:rPr>
      <w:t>14-08-</w:t>
    </w:r>
    <w:r w:rsidR="00971D08">
      <w:rPr>
        <w:lang w:val="en-US"/>
      </w:rPr>
      <w:t>2024</w:t>
    </w:r>
    <w:r w:rsidR="00971D08">
      <w:rPr>
        <w:lang w:val="en-US"/>
      </w:rPr>
      <w:tab/>
    </w:r>
    <w:r w:rsidR="00971D08">
      <w:rPr>
        <w:lang w:val="en-US"/>
      </w:rPr>
      <w:tab/>
      <w:t>EM 2024/</w:t>
    </w:r>
    <w:r>
      <w:rPr>
        <w:lang w:val="en-US"/>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36BDD"/>
    <w:multiLevelType w:val="hybridMultilevel"/>
    <w:tmpl w:val="975C3BE2"/>
    <w:lvl w:ilvl="0" w:tplc="58AAEA54">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8302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52E"/>
    <w:rsid w:val="0000052A"/>
    <w:rsid w:val="0000792D"/>
    <w:rsid w:val="00054B36"/>
    <w:rsid w:val="0006564C"/>
    <w:rsid w:val="000878B5"/>
    <w:rsid w:val="000C43DF"/>
    <w:rsid w:val="00130346"/>
    <w:rsid w:val="0013655C"/>
    <w:rsid w:val="00190FC3"/>
    <w:rsid w:val="001C60A2"/>
    <w:rsid w:val="001D0B51"/>
    <w:rsid w:val="00202883"/>
    <w:rsid w:val="0023199C"/>
    <w:rsid w:val="00281457"/>
    <w:rsid w:val="002853EB"/>
    <w:rsid w:val="002A77FA"/>
    <w:rsid w:val="00333C5C"/>
    <w:rsid w:val="003517CF"/>
    <w:rsid w:val="003644F3"/>
    <w:rsid w:val="003A0F84"/>
    <w:rsid w:val="003F1B5E"/>
    <w:rsid w:val="003F495F"/>
    <w:rsid w:val="00407BC1"/>
    <w:rsid w:val="00415219"/>
    <w:rsid w:val="004B51A2"/>
    <w:rsid w:val="00527F3D"/>
    <w:rsid w:val="00533976"/>
    <w:rsid w:val="005A689B"/>
    <w:rsid w:val="005E2EC3"/>
    <w:rsid w:val="00600190"/>
    <w:rsid w:val="00607016"/>
    <w:rsid w:val="00693107"/>
    <w:rsid w:val="006A2FF8"/>
    <w:rsid w:val="006A5AB9"/>
    <w:rsid w:val="007233DD"/>
    <w:rsid w:val="00743199"/>
    <w:rsid w:val="007503EA"/>
    <w:rsid w:val="007B371B"/>
    <w:rsid w:val="007B5148"/>
    <w:rsid w:val="00801D16"/>
    <w:rsid w:val="008956FA"/>
    <w:rsid w:val="008B6F81"/>
    <w:rsid w:val="00971D08"/>
    <w:rsid w:val="009C252E"/>
    <w:rsid w:val="009E2C16"/>
    <w:rsid w:val="009E3222"/>
    <w:rsid w:val="009F3FBF"/>
    <w:rsid w:val="00A13773"/>
    <w:rsid w:val="00A3208E"/>
    <w:rsid w:val="00A45FB4"/>
    <w:rsid w:val="00AA7B6F"/>
    <w:rsid w:val="00AB35AF"/>
    <w:rsid w:val="00B61EF0"/>
    <w:rsid w:val="00BB30AB"/>
    <w:rsid w:val="00BC3EAE"/>
    <w:rsid w:val="00BD5C69"/>
    <w:rsid w:val="00BE6D37"/>
    <w:rsid w:val="00C142B9"/>
    <w:rsid w:val="00C31129"/>
    <w:rsid w:val="00C65E46"/>
    <w:rsid w:val="00CA7D14"/>
    <w:rsid w:val="00D106EA"/>
    <w:rsid w:val="00D60EFA"/>
    <w:rsid w:val="00D74226"/>
    <w:rsid w:val="00D759FA"/>
    <w:rsid w:val="00DD1F41"/>
    <w:rsid w:val="00DE7122"/>
    <w:rsid w:val="00E313EA"/>
    <w:rsid w:val="00E45C69"/>
    <w:rsid w:val="00E51252"/>
    <w:rsid w:val="00E72CF1"/>
    <w:rsid w:val="00EB3582"/>
    <w:rsid w:val="00EB3B8A"/>
    <w:rsid w:val="00FB1282"/>
    <w:rsid w:val="00FC3C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0E05"/>
  <w15:docId w15:val="{221D8AC4-9402-49BC-8070-C29505BE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08"/>
    <w:pPr>
      <w:spacing w:after="0"/>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1D0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1D08"/>
    <w:rPr>
      <w:rFonts w:ascii="Times New Roman" w:hAnsi="Times New Roman" w:cs="Times New Roman"/>
      <w:sz w:val="24"/>
      <w:szCs w:val="24"/>
    </w:rPr>
  </w:style>
  <w:style w:type="paragraph" w:styleId="Sidefod">
    <w:name w:val="footer"/>
    <w:basedOn w:val="Normal"/>
    <w:link w:val="SidefodTegn"/>
    <w:uiPriority w:val="99"/>
    <w:unhideWhenUsed/>
    <w:rsid w:val="00971D08"/>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1D08"/>
    <w:rPr>
      <w:rFonts w:ascii="Times New Roman" w:hAnsi="Times New Roman" w:cs="Times New Roman"/>
      <w:sz w:val="24"/>
      <w:szCs w:val="24"/>
    </w:rPr>
  </w:style>
  <w:style w:type="paragraph" w:styleId="Listeafsnit">
    <w:name w:val="List Paragraph"/>
    <w:basedOn w:val="Normal"/>
    <w:uiPriority w:val="34"/>
    <w:qFormat/>
    <w:rsid w:val="00333C5C"/>
    <w:pPr>
      <w:ind w:left="720"/>
      <w:contextualSpacing/>
    </w:pPr>
  </w:style>
  <w:style w:type="paragraph" w:styleId="Korrektur">
    <w:name w:val="Revision"/>
    <w:hidden/>
    <w:uiPriority w:val="99"/>
    <w:semiHidden/>
    <w:rsid w:val="006A5AB9"/>
    <w:pPr>
      <w:spacing w:after="0" w:line="240" w:lineRule="auto"/>
    </w:pPr>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DD1F41"/>
    <w:rPr>
      <w:sz w:val="16"/>
      <w:szCs w:val="16"/>
    </w:rPr>
  </w:style>
  <w:style w:type="paragraph" w:styleId="Kommentartekst">
    <w:name w:val="annotation text"/>
    <w:basedOn w:val="Normal"/>
    <w:link w:val="KommentartekstTegn"/>
    <w:uiPriority w:val="99"/>
    <w:unhideWhenUsed/>
    <w:rsid w:val="00DD1F41"/>
    <w:pPr>
      <w:spacing w:line="240" w:lineRule="auto"/>
    </w:pPr>
    <w:rPr>
      <w:sz w:val="20"/>
      <w:szCs w:val="20"/>
    </w:rPr>
  </w:style>
  <w:style w:type="character" w:customStyle="1" w:styleId="KommentartekstTegn">
    <w:name w:val="Kommentartekst Tegn"/>
    <w:basedOn w:val="Standardskrifttypeiafsnit"/>
    <w:link w:val="Kommentartekst"/>
    <w:uiPriority w:val="99"/>
    <w:rsid w:val="00DD1F41"/>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DD1F41"/>
    <w:rPr>
      <w:b/>
      <w:bCs/>
    </w:rPr>
  </w:style>
  <w:style w:type="character" w:customStyle="1" w:styleId="KommentaremneTegn">
    <w:name w:val="Kommentaremne Tegn"/>
    <w:basedOn w:val="KommentartekstTegn"/>
    <w:link w:val="Kommentaremne"/>
    <w:uiPriority w:val="99"/>
    <w:semiHidden/>
    <w:rsid w:val="00DD1F4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b366ea69908c4819b2f951cfb0f6386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b366ea69908c4819b2f951cfb0f63862</Template>
  <TotalTime>362</TotalTime>
  <Pages>2</Pages>
  <Words>573</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Preben Rasmussen</cp:lastModifiedBy>
  <cp:revision>29</cp:revision>
  <dcterms:created xsi:type="dcterms:W3CDTF">2024-03-11T12:52:00Z</dcterms:created>
  <dcterms:modified xsi:type="dcterms:W3CDTF">2024-08-14T11:40:00Z</dcterms:modified>
</cp:coreProperties>
</file>