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34824" w14:textId="72C06AF3" w:rsidR="00A346F1" w:rsidRPr="00003CAA" w:rsidRDefault="00A346F1" w:rsidP="00A346F1">
      <w:pPr>
        <w:pStyle w:val="Lille"/>
        <w:framePr w:w="1985" w:h="3493" w:hRule="exact" w:hSpace="181" w:wrap="notBeside" w:vAnchor="page" w:hAnchor="page" w:x="9317" w:y="4843" w:anchorLock="1"/>
        <w:rPr>
          <w:rFonts w:cs="Arial"/>
          <w:sz w:val="16"/>
          <w:szCs w:val="16"/>
        </w:rPr>
      </w:pPr>
      <w:r w:rsidRPr="00003CAA">
        <w:rPr>
          <w:rFonts w:cs="Arial"/>
          <w:sz w:val="16"/>
          <w:szCs w:val="16"/>
        </w:rPr>
        <w:t xml:space="preserve">Brevdato: </w:t>
      </w:r>
      <w:r w:rsidR="00762125">
        <w:rPr>
          <w:rFonts w:cs="Arial"/>
          <w:sz w:val="16"/>
          <w:szCs w:val="16"/>
        </w:rPr>
        <w:t>10</w:t>
      </w:r>
      <w:r w:rsidRPr="00003CAA">
        <w:rPr>
          <w:rFonts w:cs="Arial"/>
          <w:sz w:val="16"/>
          <w:szCs w:val="16"/>
        </w:rPr>
        <w:t>-07-2024</w:t>
      </w:r>
    </w:p>
    <w:p w14:paraId="5C73535C" w14:textId="77777777" w:rsidR="00011799" w:rsidRPr="00003CAA" w:rsidRDefault="00011799" w:rsidP="00A346F1">
      <w:pPr>
        <w:pStyle w:val="Lille"/>
        <w:framePr w:w="1985" w:h="3493" w:hRule="exact" w:hSpace="181" w:wrap="notBeside" w:vAnchor="page" w:hAnchor="page" w:x="9317" w:y="4843" w:anchorLock="1"/>
        <w:rPr>
          <w:rFonts w:cs="Arial"/>
          <w:sz w:val="16"/>
          <w:szCs w:val="16"/>
        </w:rPr>
      </w:pPr>
      <w:r w:rsidRPr="00003CAA">
        <w:rPr>
          <w:rFonts w:cs="Arial"/>
          <w:sz w:val="16"/>
          <w:szCs w:val="16"/>
        </w:rPr>
        <w:t>Sagsnr. 2024 - 13766</w:t>
      </w:r>
    </w:p>
    <w:p w14:paraId="4F51D8CC" w14:textId="77777777" w:rsidR="00623A51" w:rsidRPr="00003CAA" w:rsidRDefault="00A010AA" w:rsidP="00A346F1">
      <w:pPr>
        <w:pStyle w:val="Lille"/>
        <w:framePr w:w="1985" w:h="3493" w:hRule="exact" w:hSpace="181" w:wrap="notBeside" w:vAnchor="page" w:hAnchor="page" w:x="9317" w:y="4843" w:anchorLock="1"/>
        <w:rPr>
          <w:rFonts w:cs="Arial"/>
          <w:sz w:val="16"/>
          <w:szCs w:val="16"/>
        </w:rPr>
      </w:pPr>
      <w:r w:rsidRPr="00003CAA">
        <w:rPr>
          <w:rFonts w:cs="Arial"/>
          <w:sz w:val="16"/>
          <w:szCs w:val="16"/>
        </w:rPr>
        <w:t>Akt id</w:t>
      </w:r>
      <w:r w:rsidR="00A346F1" w:rsidRPr="00003CAA">
        <w:rPr>
          <w:rFonts w:cs="Arial"/>
          <w:sz w:val="16"/>
          <w:szCs w:val="16"/>
        </w:rPr>
        <w:t>. 24337459</w:t>
      </w:r>
    </w:p>
    <w:p w14:paraId="11F6E4ED" w14:textId="77777777" w:rsidR="00465A30" w:rsidRPr="00003CAA" w:rsidRDefault="00465A30" w:rsidP="00465A30">
      <w:pPr>
        <w:pStyle w:val="Lille"/>
        <w:framePr w:w="1985" w:h="3493" w:hRule="exact" w:hSpace="181" w:wrap="notBeside" w:vAnchor="page" w:hAnchor="page" w:x="9317" w:y="4843" w:anchorLock="1"/>
        <w:rPr>
          <w:rFonts w:cs="Arial"/>
          <w:sz w:val="16"/>
          <w:szCs w:val="16"/>
        </w:rPr>
      </w:pPr>
      <w:r w:rsidRPr="00003CAA">
        <w:rPr>
          <w:rFonts w:cs="Arial"/>
          <w:sz w:val="16"/>
          <w:szCs w:val="16"/>
        </w:rPr>
        <w:t>P. O. Box 1037</w:t>
      </w:r>
    </w:p>
    <w:p w14:paraId="47B91145" w14:textId="77777777" w:rsidR="00465A30" w:rsidRPr="00003CAA" w:rsidRDefault="00465A30" w:rsidP="00465A30">
      <w:pPr>
        <w:pStyle w:val="Lille"/>
        <w:framePr w:w="1985" w:h="3493" w:hRule="exact" w:hSpace="181" w:wrap="notBeside" w:vAnchor="page" w:hAnchor="page" w:x="9317" w:y="4843" w:anchorLock="1"/>
        <w:rPr>
          <w:rFonts w:cs="Arial"/>
          <w:sz w:val="16"/>
          <w:szCs w:val="16"/>
          <w:lang w:val="en-US"/>
        </w:rPr>
      </w:pPr>
      <w:r w:rsidRPr="00003CAA">
        <w:rPr>
          <w:rFonts w:cs="Arial"/>
          <w:sz w:val="16"/>
          <w:szCs w:val="16"/>
          <w:lang w:val="en-US"/>
        </w:rPr>
        <w:t>3900 Nuuk</w:t>
      </w:r>
    </w:p>
    <w:p w14:paraId="21D84E3F" w14:textId="77777777" w:rsidR="00465A30" w:rsidRPr="00003CAA" w:rsidRDefault="00465A30" w:rsidP="00465A30">
      <w:pPr>
        <w:pStyle w:val="Lille"/>
        <w:framePr w:w="1985" w:h="3493" w:hRule="exact" w:hSpace="181" w:wrap="notBeside" w:vAnchor="page" w:hAnchor="page" w:x="9317" w:y="4843" w:anchorLock="1"/>
        <w:rPr>
          <w:rFonts w:cs="Arial"/>
          <w:sz w:val="16"/>
          <w:szCs w:val="16"/>
          <w:lang w:val="en-US"/>
        </w:rPr>
      </w:pPr>
      <w:r w:rsidRPr="00003CAA">
        <w:rPr>
          <w:rFonts w:cs="Arial"/>
          <w:sz w:val="16"/>
          <w:szCs w:val="16"/>
          <w:lang w:val="en-US"/>
        </w:rPr>
        <w:t>Tel. (+299) 34 50 00</w:t>
      </w:r>
    </w:p>
    <w:p w14:paraId="023E99FC" w14:textId="77777777" w:rsidR="00465A30" w:rsidRPr="00003CAA" w:rsidRDefault="00465A30" w:rsidP="00465A30">
      <w:pPr>
        <w:pStyle w:val="Lille"/>
        <w:framePr w:w="1985" w:h="3493" w:hRule="exact" w:hSpace="181" w:wrap="notBeside" w:vAnchor="page" w:hAnchor="page" w:x="9317" w:y="4843" w:anchorLock="1"/>
        <w:rPr>
          <w:rFonts w:cs="Arial"/>
          <w:sz w:val="16"/>
          <w:szCs w:val="16"/>
          <w:lang w:val="en-US"/>
        </w:rPr>
      </w:pPr>
      <w:r w:rsidRPr="00003CAA">
        <w:rPr>
          <w:rFonts w:cs="Arial"/>
          <w:sz w:val="16"/>
          <w:szCs w:val="16"/>
          <w:lang w:val="en-US"/>
        </w:rPr>
        <w:t>Fax (+299) 34 63 50</w:t>
      </w:r>
    </w:p>
    <w:p w14:paraId="36A61CE2" w14:textId="77777777" w:rsidR="00465A30" w:rsidRPr="00003CAA" w:rsidRDefault="00465A30" w:rsidP="00465A30">
      <w:pPr>
        <w:pStyle w:val="Lille"/>
        <w:framePr w:w="1985" w:h="3493" w:hRule="exact" w:hSpace="181" w:wrap="notBeside" w:vAnchor="page" w:hAnchor="page" w:x="9317" w:y="4843" w:anchorLock="1"/>
        <w:rPr>
          <w:rFonts w:cs="Arial"/>
          <w:sz w:val="16"/>
          <w:szCs w:val="16"/>
          <w:lang w:val="en-US"/>
        </w:rPr>
      </w:pPr>
      <w:r w:rsidRPr="00003CAA">
        <w:rPr>
          <w:rFonts w:cs="Arial"/>
          <w:sz w:val="16"/>
          <w:szCs w:val="16"/>
          <w:lang w:val="en-US"/>
        </w:rPr>
        <w:t>E-mail: oed@nanoq.gl</w:t>
      </w:r>
    </w:p>
    <w:p w14:paraId="1DAED6C2" w14:textId="77777777" w:rsidR="00465A30" w:rsidRPr="00003CAA" w:rsidRDefault="00596A90" w:rsidP="00465A30">
      <w:pPr>
        <w:pStyle w:val="Lille"/>
        <w:framePr w:w="1985" w:h="3493" w:hRule="exact" w:hSpace="181" w:wrap="notBeside" w:vAnchor="page" w:hAnchor="page" w:x="9317" w:y="4843" w:anchorLock="1"/>
        <w:rPr>
          <w:rFonts w:cs="Arial"/>
          <w:sz w:val="16"/>
          <w:szCs w:val="16"/>
          <w:lang w:val="en-US"/>
        </w:rPr>
      </w:pPr>
      <w:r w:rsidRPr="00003CAA">
        <w:rPr>
          <w:rFonts w:cs="Arial"/>
          <w:sz w:val="16"/>
          <w:szCs w:val="16"/>
          <w:lang w:val="en-US"/>
        </w:rPr>
        <w:t>www.naalakkersuisut</w:t>
      </w:r>
      <w:r w:rsidR="00465A30" w:rsidRPr="00003CAA">
        <w:rPr>
          <w:rFonts w:cs="Arial"/>
          <w:sz w:val="16"/>
          <w:szCs w:val="16"/>
          <w:lang w:val="en-US"/>
        </w:rPr>
        <w:t>.gl</w:t>
      </w:r>
    </w:p>
    <w:p w14:paraId="577193FC" w14:textId="77777777" w:rsidR="00465A30" w:rsidRPr="0060272B" w:rsidRDefault="00465A30" w:rsidP="00465A30">
      <w:pPr>
        <w:pStyle w:val="Lille"/>
        <w:framePr w:w="1985" w:h="3493" w:hRule="exact" w:hSpace="181" w:wrap="notBeside" w:vAnchor="page" w:hAnchor="page" w:x="9317" w:y="4843" w:anchorLock="1"/>
        <w:rPr>
          <w:rFonts w:cs="Arial"/>
          <w:sz w:val="20"/>
          <w:szCs w:val="20"/>
          <w:lang w:val="en-US"/>
        </w:rPr>
      </w:pPr>
    </w:p>
    <w:p w14:paraId="3B471DA3" w14:textId="77777777" w:rsidR="00465A30" w:rsidRPr="0060272B" w:rsidRDefault="00465A30" w:rsidP="00465A30">
      <w:pPr>
        <w:pStyle w:val="Lille"/>
        <w:framePr w:w="1985" w:h="3493" w:hRule="exact" w:hSpace="181" w:wrap="notBeside" w:vAnchor="page" w:hAnchor="page" w:x="9317" w:y="4843" w:anchorLock="1"/>
        <w:rPr>
          <w:rFonts w:cs="Arial"/>
          <w:sz w:val="20"/>
          <w:szCs w:val="20"/>
          <w:lang w:val="en-US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465A30" w:rsidRPr="0060272B" w14:paraId="371D908E" w14:textId="77777777" w:rsidTr="00EE48FC">
        <w:trPr>
          <w:trHeight w:val="2552"/>
        </w:trPr>
        <w:tc>
          <w:tcPr>
            <w:tcW w:w="7825" w:type="dxa"/>
          </w:tcPr>
          <w:p w14:paraId="59B74509" w14:textId="77777777" w:rsidR="00FE7BE9" w:rsidRPr="0060272B" w:rsidRDefault="0060272B" w:rsidP="00FE7BE9">
            <w:pPr>
              <w:tabs>
                <w:tab w:val="left" w:pos="6270"/>
              </w:tabs>
              <w:rPr>
                <w:rFonts w:ascii="Arial" w:hAnsi="Arial" w:cs="Arial"/>
                <w:sz w:val="20"/>
                <w:szCs w:val="20"/>
              </w:rPr>
            </w:pPr>
            <w:r w:rsidRPr="0060272B">
              <w:rPr>
                <w:rFonts w:ascii="Arial" w:hAnsi="Arial" w:cs="Arial"/>
                <w:sz w:val="20"/>
                <w:szCs w:val="20"/>
              </w:rPr>
              <w:t>Departementet for Erhverv, Handel, Råstoffer, Justitsområdet og Ligestilling</w:t>
            </w:r>
          </w:p>
          <w:p w14:paraId="121379B4" w14:textId="77777777" w:rsidR="0060272B" w:rsidRPr="0060272B" w:rsidRDefault="0060272B" w:rsidP="00FE7BE9">
            <w:pPr>
              <w:tabs>
                <w:tab w:val="left" w:pos="627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D40B99C" w14:textId="6ED7C4C1" w:rsidR="0060272B" w:rsidRPr="0060272B" w:rsidRDefault="0060272B" w:rsidP="00FE7BE9">
            <w:pPr>
              <w:tabs>
                <w:tab w:val="left" w:pos="6270"/>
              </w:tabs>
              <w:rPr>
                <w:rFonts w:ascii="Arial" w:hAnsi="Arial" w:cs="Arial"/>
                <w:sz w:val="20"/>
                <w:szCs w:val="20"/>
              </w:rPr>
            </w:pPr>
            <w:r w:rsidRPr="0060272B">
              <w:rPr>
                <w:rFonts w:ascii="Arial" w:hAnsi="Arial" w:cs="Arial"/>
                <w:sz w:val="20"/>
                <w:szCs w:val="20"/>
              </w:rPr>
              <w:t xml:space="preserve">Sendt til: </w:t>
            </w:r>
            <w:hyperlink r:id="rId9" w:history="1">
              <w:r w:rsidRPr="0060272B">
                <w:rPr>
                  <w:rStyle w:val="Hyperlink"/>
                  <w:rFonts w:ascii="Arial" w:hAnsi="Arial" w:cs="Arial"/>
                  <w:sz w:val="20"/>
                  <w:szCs w:val="20"/>
                </w:rPr>
                <w:t>isiin@nanoq.gl</w:t>
              </w:r>
            </w:hyperlink>
            <w:r w:rsidRPr="0060272B">
              <w:rPr>
                <w:rFonts w:ascii="Arial" w:hAnsi="Arial" w:cs="Arial"/>
                <w:sz w:val="20"/>
                <w:szCs w:val="20"/>
              </w:rPr>
              <w:t xml:space="preserve"> og cc til: </w:t>
            </w:r>
            <w:hyperlink r:id="rId10" w:history="1">
              <w:r w:rsidRPr="0060272B">
                <w:rPr>
                  <w:rStyle w:val="Hyperlink"/>
                  <w:rFonts w:ascii="Arial" w:hAnsi="Arial" w:cs="Arial"/>
                  <w:sz w:val="20"/>
                  <w:szCs w:val="20"/>
                </w:rPr>
                <w:t>odka@nanoq.gl</w:t>
              </w:r>
            </w:hyperlink>
            <w:r w:rsidRPr="006027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43F6D3C" w14:textId="18BA1A63" w:rsidR="00A346F1" w:rsidRPr="0060272B" w:rsidRDefault="00225C80" w:rsidP="00A346F1">
      <w:pPr>
        <w:spacing w:after="0"/>
        <w:rPr>
          <w:rFonts w:ascii="Arial" w:hAnsi="Arial" w:cs="Arial"/>
          <w:b/>
          <w:sz w:val="20"/>
          <w:szCs w:val="20"/>
        </w:rPr>
      </w:pPr>
      <w:r w:rsidRPr="0060272B">
        <w:rPr>
          <w:rFonts w:ascii="Arial" w:hAnsi="Arial" w:cs="Arial"/>
          <w:b/>
          <w:sz w:val="20"/>
          <w:szCs w:val="20"/>
        </w:rPr>
        <w:t xml:space="preserve">Svar på </w:t>
      </w:r>
      <w:r w:rsidR="0060272B" w:rsidRPr="0060272B">
        <w:rPr>
          <w:rFonts w:ascii="Arial" w:hAnsi="Arial" w:cs="Arial"/>
          <w:b/>
          <w:sz w:val="20"/>
          <w:szCs w:val="20"/>
        </w:rPr>
        <w:t>supplerende h</w:t>
      </w:r>
      <w:r w:rsidRPr="0060272B">
        <w:rPr>
          <w:rFonts w:ascii="Arial" w:hAnsi="Arial" w:cs="Arial"/>
          <w:b/>
          <w:sz w:val="20"/>
          <w:szCs w:val="20"/>
        </w:rPr>
        <w:t>øring af lov om turistvirksomhed</w:t>
      </w:r>
    </w:p>
    <w:p w14:paraId="104E3B84" w14:textId="77777777" w:rsidR="00A346F1" w:rsidRPr="0060272B" w:rsidRDefault="00A346F1" w:rsidP="00A346F1">
      <w:pPr>
        <w:spacing w:after="0"/>
        <w:rPr>
          <w:rFonts w:ascii="Arial" w:hAnsi="Arial" w:cs="Arial"/>
          <w:sz w:val="20"/>
          <w:szCs w:val="20"/>
        </w:rPr>
      </w:pPr>
    </w:p>
    <w:p w14:paraId="5D88F911" w14:textId="0ACCCA88" w:rsidR="0060272B" w:rsidRPr="0060272B" w:rsidRDefault="0060272B" w:rsidP="0060272B">
      <w:pPr>
        <w:spacing w:after="0"/>
        <w:rPr>
          <w:rFonts w:ascii="Arial" w:hAnsi="Arial" w:cs="Arial"/>
          <w:sz w:val="20"/>
          <w:szCs w:val="20"/>
        </w:rPr>
      </w:pPr>
      <w:r w:rsidRPr="0060272B">
        <w:rPr>
          <w:rFonts w:ascii="Arial" w:hAnsi="Arial" w:cs="Arial"/>
          <w:sz w:val="20"/>
          <w:szCs w:val="20"/>
        </w:rPr>
        <w:t>Departementet for Erhverv, Handel, Råstoffer, Justitsområdet og Ligestilling</w:t>
      </w:r>
      <w:r>
        <w:rPr>
          <w:rFonts w:ascii="Arial" w:hAnsi="Arial" w:cs="Arial"/>
          <w:sz w:val="20"/>
          <w:szCs w:val="20"/>
        </w:rPr>
        <w:t xml:space="preserve"> har den 1. juli 2024 sendt</w:t>
      </w:r>
      <w:r w:rsidRPr="006027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272B">
        <w:rPr>
          <w:rFonts w:ascii="Arial" w:hAnsi="Arial" w:cs="Arial"/>
          <w:sz w:val="20"/>
          <w:szCs w:val="20"/>
        </w:rPr>
        <w:t>Inatsisartutlov</w:t>
      </w:r>
      <w:proofErr w:type="spellEnd"/>
      <w:r w:rsidRPr="0060272B">
        <w:rPr>
          <w:rFonts w:ascii="Arial" w:hAnsi="Arial" w:cs="Arial"/>
          <w:sz w:val="20"/>
          <w:szCs w:val="20"/>
        </w:rPr>
        <w:t xml:space="preserve"> om turistvirksomhed, om </w:t>
      </w:r>
    </w:p>
    <w:p w14:paraId="6AC7E221" w14:textId="77777777" w:rsidR="0060272B" w:rsidRPr="0060272B" w:rsidRDefault="0060272B" w:rsidP="0060272B">
      <w:pPr>
        <w:spacing w:after="0"/>
        <w:rPr>
          <w:rFonts w:ascii="Arial" w:hAnsi="Arial" w:cs="Arial"/>
          <w:sz w:val="20"/>
          <w:szCs w:val="20"/>
        </w:rPr>
      </w:pPr>
      <w:r w:rsidRPr="0060272B">
        <w:rPr>
          <w:rFonts w:ascii="Arial" w:hAnsi="Arial" w:cs="Arial"/>
          <w:sz w:val="20"/>
          <w:szCs w:val="20"/>
        </w:rPr>
        <w:t xml:space="preserve">zoneinddeling m.v. for erhvervsmæssig virksomhed og begrænsning i </w:t>
      </w:r>
    </w:p>
    <w:p w14:paraId="5C2D0F5F" w14:textId="5BCB660E" w:rsidR="00A346F1" w:rsidRDefault="0060272B" w:rsidP="0060272B">
      <w:pPr>
        <w:spacing w:after="0"/>
        <w:rPr>
          <w:rFonts w:ascii="Arial" w:hAnsi="Arial" w:cs="Arial"/>
          <w:sz w:val="20"/>
          <w:szCs w:val="20"/>
        </w:rPr>
      </w:pPr>
      <w:r w:rsidRPr="0060272B">
        <w:rPr>
          <w:rFonts w:ascii="Arial" w:hAnsi="Arial" w:cs="Arial"/>
          <w:sz w:val="20"/>
          <w:szCs w:val="20"/>
        </w:rPr>
        <w:t>adgang til visse områder</w:t>
      </w:r>
      <w:r>
        <w:rPr>
          <w:rFonts w:ascii="Arial" w:hAnsi="Arial" w:cs="Arial"/>
          <w:sz w:val="20"/>
          <w:szCs w:val="20"/>
        </w:rPr>
        <w:t xml:space="preserve"> i supplerende høring.</w:t>
      </w:r>
    </w:p>
    <w:p w14:paraId="2516FE01" w14:textId="7E1B3ACF" w:rsidR="0060272B" w:rsidRDefault="0060272B" w:rsidP="0060272B">
      <w:pPr>
        <w:spacing w:after="0"/>
        <w:rPr>
          <w:rFonts w:ascii="Arial" w:hAnsi="Arial" w:cs="Arial"/>
          <w:sz w:val="20"/>
          <w:szCs w:val="20"/>
        </w:rPr>
      </w:pPr>
    </w:p>
    <w:p w14:paraId="75AC1E38" w14:textId="4E97E40C" w:rsidR="0060272B" w:rsidRDefault="0060272B" w:rsidP="0060272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Departementet for Finanser og Skatter har følgende bemærkninger det foreliggende udkast:</w:t>
      </w:r>
    </w:p>
    <w:p w14:paraId="341476C1" w14:textId="101C8E27" w:rsidR="0060272B" w:rsidRPr="006557AF" w:rsidRDefault="0060272B" w:rsidP="0060272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A65F3A7" w14:textId="77777777" w:rsidR="006557AF" w:rsidRPr="006557AF" w:rsidRDefault="00413682" w:rsidP="00413682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6557AF">
        <w:rPr>
          <w:rFonts w:ascii="Arial" w:hAnsi="Arial" w:cs="Arial"/>
          <w:b/>
          <w:bCs/>
          <w:sz w:val="20"/>
          <w:szCs w:val="20"/>
        </w:rPr>
        <w:t xml:space="preserve">1. </w:t>
      </w:r>
    </w:p>
    <w:p w14:paraId="3280E0C7" w14:textId="07EFED0E" w:rsidR="00413682" w:rsidRPr="00413682" w:rsidRDefault="00413682" w:rsidP="00413682">
      <w:pPr>
        <w:spacing w:after="0" w:line="288" w:lineRule="auto"/>
        <w:rPr>
          <w:rFonts w:ascii="Arial" w:hAnsi="Arial" w:cs="Arial"/>
          <w:sz w:val="20"/>
          <w:szCs w:val="20"/>
        </w:rPr>
      </w:pPr>
      <w:r w:rsidRPr="00413682">
        <w:rPr>
          <w:rFonts w:ascii="Arial" w:hAnsi="Arial" w:cs="Arial"/>
          <w:sz w:val="20"/>
          <w:szCs w:val="20"/>
        </w:rPr>
        <w:t>Det fremgår af udkastets § 1</w:t>
      </w:r>
      <w:r>
        <w:rPr>
          <w:rFonts w:ascii="Arial" w:hAnsi="Arial" w:cs="Arial"/>
          <w:sz w:val="20"/>
          <w:szCs w:val="20"/>
        </w:rPr>
        <w:t>,</w:t>
      </w:r>
      <w:r w:rsidRPr="00413682">
        <w:rPr>
          <w:rFonts w:ascii="Arial" w:hAnsi="Arial" w:cs="Arial"/>
          <w:sz w:val="20"/>
          <w:szCs w:val="20"/>
        </w:rPr>
        <w:t xml:space="preserve"> at Inatsisartutloven </w:t>
      </w:r>
      <w:r>
        <w:rPr>
          <w:rFonts w:ascii="Arial" w:hAnsi="Arial" w:cs="Arial"/>
          <w:sz w:val="20"/>
          <w:szCs w:val="20"/>
        </w:rPr>
        <w:t xml:space="preserve">bl.a. </w:t>
      </w:r>
      <w:r w:rsidRPr="00413682">
        <w:rPr>
          <w:rFonts w:ascii="Arial" w:hAnsi="Arial" w:cs="Arial"/>
          <w:sz w:val="20"/>
          <w:szCs w:val="20"/>
        </w:rPr>
        <w:t xml:space="preserve">finder anvendelse på færden og ophold i udvalgte områder </w:t>
      </w:r>
      <w:bookmarkStart w:id="0" w:name="_Hlk170488613"/>
      <w:r w:rsidRPr="00413682">
        <w:rPr>
          <w:rFonts w:ascii="Arial" w:hAnsi="Arial" w:cs="Arial"/>
          <w:sz w:val="20"/>
          <w:szCs w:val="20"/>
        </w:rPr>
        <w:t>samt erhvervsmæssig virksomhed inden for disse</w:t>
      </w:r>
      <w:bookmarkEnd w:id="0"/>
      <w:r w:rsidRPr="00413682">
        <w:rPr>
          <w:rFonts w:ascii="Arial" w:hAnsi="Arial" w:cs="Arial"/>
          <w:sz w:val="20"/>
          <w:szCs w:val="20"/>
        </w:rPr>
        <w:t>.</w:t>
      </w:r>
    </w:p>
    <w:p w14:paraId="645121C9" w14:textId="77777777" w:rsidR="00413682" w:rsidRPr="00413682" w:rsidRDefault="00413682" w:rsidP="00413682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13255B58" w14:textId="1ED99B31" w:rsidR="00413682" w:rsidRDefault="00413682" w:rsidP="00413682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udkastets § 15 </w:t>
      </w:r>
      <w:r w:rsidR="00EE3C1E">
        <w:rPr>
          <w:rFonts w:ascii="Arial" w:hAnsi="Arial" w:cs="Arial"/>
          <w:sz w:val="20"/>
          <w:szCs w:val="20"/>
        </w:rPr>
        <w:t>bestemmes</w:t>
      </w:r>
      <w:r>
        <w:rPr>
          <w:rFonts w:ascii="Arial" w:hAnsi="Arial" w:cs="Arial"/>
          <w:sz w:val="20"/>
          <w:szCs w:val="20"/>
        </w:rPr>
        <w:t xml:space="preserve">, at </w:t>
      </w:r>
      <w:r w:rsidRPr="00413682">
        <w:rPr>
          <w:rFonts w:ascii="Arial" w:hAnsi="Arial" w:cs="Arial"/>
          <w:sz w:val="20"/>
          <w:szCs w:val="20"/>
        </w:rPr>
        <w:t>Naalakkersuisut kan fastsætte nærmere regler om begrænsningen i adgangen til visse områder, og om at erhvervsmæssig virksomhed kun kan finde sted i nærmere bestemte områder, i nærmere fastlagte perioder eller under overholdelse af særlige vilkår.</w:t>
      </w:r>
      <w:r>
        <w:rPr>
          <w:rFonts w:ascii="Arial" w:hAnsi="Arial" w:cs="Arial"/>
          <w:sz w:val="20"/>
          <w:szCs w:val="20"/>
        </w:rPr>
        <w:t xml:space="preserve"> Sådanne r</w:t>
      </w:r>
      <w:r w:rsidRPr="00413682">
        <w:rPr>
          <w:rFonts w:ascii="Arial" w:hAnsi="Arial" w:cs="Arial"/>
          <w:sz w:val="20"/>
          <w:szCs w:val="20"/>
        </w:rPr>
        <w:t xml:space="preserve">egler </w:t>
      </w:r>
      <w:r>
        <w:rPr>
          <w:rFonts w:ascii="Arial" w:hAnsi="Arial" w:cs="Arial"/>
          <w:sz w:val="20"/>
          <w:szCs w:val="20"/>
        </w:rPr>
        <w:t>m</w:t>
      </w:r>
      <w:r w:rsidRPr="00413682">
        <w:rPr>
          <w:rFonts w:ascii="Arial" w:hAnsi="Arial" w:cs="Arial"/>
          <w:sz w:val="20"/>
          <w:szCs w:val="20"/>
        </w:rPr>
        <w:t xml:space="preserve">å </w:t>
      </w:r>
      <w:r>
        <w:rPr>
          <w:rFonts w:ascii="Arial" w:hAnsi="Arial" w:cs="Arial"/>
          <w:sz w:val="20"/>
          <w:szCs w:val="20"/>
        </w:rPr>
        <w:t xml:space="preserve">dog </w:t>
      </w:r>
      <w:r w:rsidRPr="00413682">
        <w:rPr>
          <w:rFonts w:ascii="Arial" w:hAnsi="Arial" w:cs="Arial"/>
          <w:sz w:val="20"/>
          <w:szCs w:val="20"/>
        </w:rPr>
        <w:t>ikke være i strid med kommunalplan-, landsplanlovgivning eller anden lovgivning, der fastlægger regler om begrænsningen i adgangen til visse områder, eller om at erhvervsmæssig virksomhed kun kan finde sted i nærmere bestemte områder, i nærmere fastlagte perioder eller under overholdelse af særlige vilkår.</w:t>
      </w:r>
    </w:p>
    <w:p w14:paraId="5388C37F" w14:textId="40C0B561" w:rsidR="00D93283" w:rsidRDefault="00D93283" w:rsidP="00413682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3BFB26B3" w14:textId="5A4A4569" w:rsidR="00D93283" w:rsidRDefault="009373B4" w:rsidP="009373B4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bemærkningerne til § 15 anføres, at § 15 o</w:t>
      </w:r>
      <w:r w:rsidRPr="009373B4">
        <w:rPr>
          <w:rFonts w:ascii="Arial" w:hAnsi="Arial" w:cs="Arial"/>
          <w:sz w:val="20"/>
          <w:szCs w:val="20"/>
        </w:rPr>
        <w:t>mfatter al erhvervsmæssig virksomhed og ikke alene turistvirksomhed</w:t>
      </w:r>
      <w:r>
        <w:rPr>
          <w:rFonts w:ascii="Arial" w:hAnsi="Arial" w:cs="Arial"/>
          <w:sz w:val="20"/>
          <w:szCs w:val="20"/>
        </w:rPr>
        <w:t xml:space="preserve"> og at </w:t>
      </w:r>
      <w:r w:rsidRPr="009373B4">
        <w:rPr>
          <w:rFonts w:ascii="Arial" w:hAnsi="Arial" w:cs="Arial"/>
          <w:sz w:val="20"/>
          <w:szCs w:val="20"/>
        </w:rPr>
        <w:t xml:space="preserve">Naalakkersuisut </w:t>
      </w:r>
      <w:r>
        <w:rPr>
          <w:rFonts w:ascii="Arial" w:hAnsi="Arial" w:cs="Arial"/>
          <w:sz w:val="20"/>
          <w:szCs w:val="20"/>
        </w:rPr>
        <w:t xml:space="preserve">kan fastsætte regler om adgang </w:t>
      </w:r>
      <w:r w:rsidRPr="009373B4">
        <w:rPr>
          <w:rFonts w:ascii="Arial" w:hAnsi="Arial" w:cs="Arial"/>
          <w:sz w:val="20"/>
          <w:szCs w:val="20"/>
        </w:rPr>
        <w:t xml:space="preserve">til færden </w:t>
      </w:r>
      <w:r>
        <w:rPr>
          <w:rFonts w:ascii="Arial" w:hAnsi="Arial" w:cs="Arial"/>
          <w:sz w:val="20"/>
          <w:szCs w:val="20"/>
        </w:rPr>
        <w:t xml:space="preserve">og ophold </w:t>
      </w:r>
      <w:r w:rsidRPr="009373B4">
        <w:rPr>
          <w:rFonts w:ascii="Arial" w:hAnsi="Arial" w:cs="Arial"/>
          <w:sz w:val="20"/>
          <w:szCs w:val="20"/>
        </w:rPr>
        <w:t xml:space="preserve">inden for </w:t>
      </w:r>
      <w:r>
        <w:rPr>
          <w:rFonts w:ascii="Arial" w:hAnsi="Arial" w:cs="Arial"/>
          <w:sz w:val="20"/>
          <w:szCs w:val="20"/>
        </w:rPr>
        <w:t>visse områder</w:t>
      </w:r>
      <w:r w:rsidRPr="009373B4">
        <w:rPr>
          <w:rFonts w:ascii="Arial" w:hAnsi="Arial" w:cs="Arial"/>
          <w:sz w:val="20"/>
          <w:szCs w:val="20"/>
        </w:rPr>
        <w:t>.</w:t>
      </w:r>
    </w:p>
    <w:p w14:paraId="6E55A628" w14:textId="66D444A4" w:rsidR="009373B4" w:rsidRDefault="009373B4" w:rsidP="009373B4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785A2802" w14:textId="7F04E1BB" w:rsidR="009373B4" w:rsidRDefault="009373B4" w:rsidP="009373B4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Om forholdet til anden lovgivning anføres bl.a., at </w:t>
      </w:r>
      <w:r w:rsidRPr="009373B4">
        <w:rPr>
          <w:rFonts w:ascii="Arial" w:hAnsi="Arial" w:cs="Arial"/>
          <w:sz w:val="20"/>
          <w:szCs w:val="20"/>
        </w:rPr>
        <w:t xml:space="preserve">der skal tages hensyn til </w:t>
      </w:r>
      <w:r w:rsidRPr="009373B4">
        <w:rPr>
          <w:rFonts w:ascii="Arial" w:hAnsi="Arial" w:cs="Arial"/>
          <w:sz w:val="20"/>
          <w:szCs w:val="20"/>
          <w:u w:val="single"/>
        </w:rPr>
        <w:t>eksisterende</w:t>
      </w:r>
      <w:r w:rsidRPr="009373B4">
        <w:rPr>
          <w:rFonts w:ascii="Arial" w:hAnsi="Arial" w:cs="Arial"/>
          <w:sz w:val="20"/>
          <w:szCs w:val="20"/>
        </w:rPr>
        <w:t xml:space="preserve"> kommunalplaner mv., hvor der allerede er taget stilling til en zoneinddeling i eller færden, ophold eller erhvervsvirksomhed inden for et givent område, og at regler fastsat i medfør af den</w:t>
      </w:r>
      <w:r>
        <w:rPr>
          <w:rFonts w:ascii="Arial" w:hAnsi="Arial" w:cs="Arial"/>
          <w:sz w:val="20"/>
          <w:szCs w:val="20"/>
        </w:rPr>
        <w:t xml:space="preserve"> i udkastet foreslåede</w:t>
      </w:r>
      <w:r w:rsidRPr="009373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73B4">
        <w:rPr>
          <w:rFonts w:ascii="Arial" w:hAnsi="Arial" w:cs="Arial"/>
          <w:sz w:val="20"/>
          <w:szCs w:val="20"/>
        </w:rPr>
        <w:t>inatsisartutlov</w:t>
      </w:r>
      <w:proofErr w:type="spellEnd"/>
      <w:r w:rsidRPr="009373B4">
        <w:rPr>
          <w:rFonts w:ascii="Arial" w:hAnsi="Arial" w:cs="Arial"/>
          <w:sz w:val="20"/>
          <w:szCs w:val="20"/>
        </w:rPr>
        <w:t xml:space="preserve"> viger herfor. </w:t>
      </w:r>
    </w:p>
    <w:p w14:paraId="7954CF0C" w14:textId="4597F2F9" w:rsidR="00491286" w:rsidRDefault="00491286" w:rsidP="009373B4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5E5FC682" w14:textId="785453CC" w:rsidR="00491286" w:rsidRDefault="00491286" w:rsidP="009373B4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 er Finansdepartementets opfattelse, at der med denne vide adgang til at bl.a. at regulere i hvilke områder, der kan udøves erhvervsmæssig virksomhed</w:t>
      </w:r>
      <w:r w:rsidR="00EE3C1E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medmindre kommunerne </w:t>
      </w:r>
      <w:r w:rsidR="00EE3C1E">
        <w:rPr>
          <w:rFonts w:ascii="Arial" w:hAnsi="Arial" w:cs="Arial"/>
          <w:sz w:val="20"/>
          <w:szCs w:val="20"/>
        </w:rPr>
        <w:t xml:space="preserve">allerede </w:t>
      </w:r>
      <w:r>
        <w:rPr>
          <w:rFonts w:ascii="Arial" w:hAnsi="Arial" w:cs="Arial"/>
          <w:sz w:val="20"/>
          <w:szCs w:val="20"/>
        </w:rPr>
        <w:t>har taget stilling til dette i kommunalplaner m.v.</w:t>
      </w:r>
      <w:r w:rsidR="00EE3C1E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sker en overførsel af kompetence fra kommunerne til Naalakkersuisut. </w:t>
      </w:r>
    </w:p>
    <w:p w14:paraId="6A5837FA" w14:textId="77777777" w:rsidR="00864F64" w:rsidRDefault="00864F64" w:rsidP="009373B4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71511EC9" w14:textId="02EF5C91" w:rsidR="00491286" w:rsidRDefault="00864F64" w:rsidP="009373B4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forhold til den fysiske planlægning lægges der almindeligvis meget stor vægt på nærhedsprincippet og dermed det lokale demokrati. Den foreslåede bestemmelse vil være et brud på dette. </w:t>
      </w:r>
    </w:p>
    <w:p w14:paraId="33BEE64A" w14:textId="3D9586E4" w:rsidR="00864F64" w:rsidRDefault="00864F64" w:rsidP="009373B4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2C64B9C9" w14:textId="745C84B5" w:rsidR="00864F64" w:rsidRDefault="00EE3C1E" w:rsidP="009373B4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864F64">
        <w:rPr>
          <w:rFonts w:ascii="Arial" w:hAnsi="Arial" w:cs="Arial"/>
          <w:sz w:val="20"/>
          <w:szCs w:val="20"/>
        </w:rPr>
        <w:t xml:space="preserve">egrundelserne for en sådan kompetenceændring </w:t>
      </w:r>
      <w:r>
        <w:rPr>
          <w:rFonts w:ascii="Arial" w:hAnsi="Arial" w:cs="Arial"/>
          <w:sz w:val="20"/>
          <w:szCs w:val="20"/>
        </w:rPr>
        <w:t>synes</w:t>
      </w:r>
      <w:r w:rsidR="00864F64">
        <w:rPr>
          <w:rFonts w:ascii="Arial" w:hAnsi="Arial" w:cs="Arial"/>
          <w:sz w:val="20"/>
          <w:szCs w:val="20"/>
        </w:rPr>
        <w:t xml:space="preserve"> </w:t>
      </w:r>
      <w:r w:rsidR="001061AC">
        <w:rPr>
          <w:rFonts w:ascii="Arial" w:hAnsi="Arial" w:cs="Arial"/>
          <w:sz w:val="20"/>
          <w:szCs w:val="20"/>
        </w:rPr>
        <w:t xml:space="preserve">ikke </w:t>
      </w:r>
      <w:r w:rsidR="00864F64">
        <w:rPr>
          <w:rFonts w:ascii="Arial" w:hAnsi="Arial" w:cs="Arial"/>
          <w:sz w:val="20"/>
          <w:szCs w:val="20"/>
        </w:rPr>
        <w:t xml:space="preserve">klare. Det er således svært at se, hvad der kan begrunde et brud på nærhedsprincippet på dette område og om der er behov, som kommunerne </w:t>
      </w:r>
      <w:r>
        <w:rPr>
          <w:rFonts w:ascii="Arial" w:hAnsi="Arial" w:cs="Arial"/>
          <w:sz w:val="20"/>
          <w:szCs w:val="20"/>
        </w:rPr>
        <w:t xml:space="preserve">og selvstyret </w:t>
      </w:r>
      <w:r w:rsidR="00864F64">
        <w:rPr>
          <w:rFonts w:ascii="Arial" w:hAnsi="Arial" w:cs="Arial"/>
          <w:sz w:val="20"/>
          <w:szCs w:val="20"/>
        </w:rPr>
        <w:t>ikke kan håndtere med de gældende regler.</w:t>
      </w:r>
    </w:p>
    <w:p w14:paraId="7F2BE883" w14:textId="5283E2C0" w:rsidR="002D2D25" w:rsidRDefault="002D2D25" w:rsidP="009373B4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43A56436" w14:textId="115B7E7C" w:rsidR="009373B4" w:rsidRDefault="00673AB5" w:rsidP="009373B4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Hertil kommer, at de hensyn</w:t>
      </w:r>
      <w:r w:rsidR="00EE3C1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som bestemmelsen ifølge bemærkningerne skal søges varetaget</w:t>
      </w:r>
      <w:r w:rsidR="00EE3C1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efter departements opfattelse mere hensigtsmæssigt kan udøves med hjemmel i de relevante love – fx miljølovgivningen, fredningsperioder for dyr m.v. En sådan metodik vil dels sikre større faglighed i beslutningsgrundlaget, dels mindske risikoen for kompetence overlap og uoverensstemmelser mellem forskellige regelsæt.</w:t>
      </w:r>
    </w:p>
    <w:p w14:paraId="600A385E" w14:textId="77777777" w:rsidR="009373B4" w:rsidRDefault="009373B4" w:rsidP="009373B4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50752626" w14:textId="4864B0C0" w:rsidR="00413682" w:rsidRDefault="00673AB5" w:rsidP="00413682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På den baggrund anbefales</w:t>
      </w:r>
      <w:r w:rsidR="00E132E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E132ED">
        <w:rPr>
          <w:rFonts w:ascii="Arial" w:hAnsi="Arial" w:cs="Arial"/>
          <w:sz w:val="20"/>
          <w:szCs w:val="20"/>
        </w:rPr>
        <w:t xml:space="preserve">at forslagets </w:t>
      </w:r>
      <w:r w:rsidR="00EE3C1E">
        <w:rPr>
          <w:rFonts w:ascii="Arial" w:hAnsi="Arial" w:cs="Arial"/>
          <w:sz w:val="20"/>
          <w:szCs w:val="20"/>
        </w:rPr>
        <w:t xml:space="preserve">§ 1, stk. 2, og </w:t>
      </w:r>
      <w:r w:rsidR="00E132ED">
        <w:rPr>
          <w:rFonts w:ascii="Arial" w:hAnsi="Arial" w:cs="Arial"/>
          <w:sz w:val="20"/>
          <w:szCs w:val="20"/>
        </w:rPr>
        <w:t>§ 15</w:t>
      </w:r>
      <w:r w:rsidR="00EE3C1E">
        <w:rPr>
          <w:rFonts w:ascii="Arial" w:hAnsi="Arial" w:cs="Arial"/>
          <w:sz w:val="20"/>
          <w:szCs w:val="20"/>
        </w:rPr>
        <w:t>, stk. 1,</w:t>
      </w:r>
      <w:r w:rsidR="00E132ED">
        <w:rPr>
          <w:rFonts w:ascii="Arial" w:hAnsi="Arial" w:cs="Arial"/>
          <w:sz w:val="20"/>
          <w:szCs w:val="20"/>
        </w:rPr>
        <w:t xml:space="preserve"> begrænses til, at </w:t>
      </w:r>
      <w:r w:rsidR="00EE3C1E">
        <w:rPr>
          <w:rFonts w:ascii="Arial" w:hAnsi="Arial" w:cs="Arial"/>
          <w:sz w:val="20"/>
          <w:szCs w:val="20"/>
        </w:rPr>
        <w:t xml:space="preserve">det er </w:t>
      </w:r>
      <w:r w:rsidR="00E132ED">
        <w:rPr>
          <w:rFonts w:ascii="Arial" w:hAnsi="Arial" w:cs="Arial"/>
          <w:sz w:val="20"/>
          <w:szCs w:val="20"/>
        </w:rPr>
        <w:t xml:space="preserve">erhvervsmæssig </w:t>
      </w:r>
      <w:r w:rsidR="00E132ED">
        <w:rPr>
          <w:rFonts w:ascii="Arial" w:hAnsi="Arial" w:cs="Arial"/>
          <w:sz w:val="20"/>
          <w:szCs w:val="20"/>
          <w:u w:val="single"/>
        </w:rPr>
        <w:t>turist</w:t>
      </w:r>
      <w:r w:rsidR="00E132ED">
        <w:rPr>
          <w:rFonts w:ascii="Arial" w:hAnsi="Arial" w:cs="Arial"/>
          <w:sz w:val="20"/>
          <w:szCs w:val="20"/>
        </w:rPr>
        <w:t>virksomhed</w:t>
      </w:r>
      <w:r w:rsidR="00EE3C1E">
        <w:rPr>
          <w:rFonts w:ascii="Arial" w:hAnsi="Arial" w:cs="Arial"/>
          <w:sz w:val="20"/>
          <w:szCs w:val="20"/>
        </w:rPr>
        <w:t>,</w:t>
      </w:r>
      <w:r w:rsidR="00E132ED">
        <w:rPr>
          <w:rFonts w:ascii="Arial" w:hAnsi="Arial" w:cs="Arial"/>
          <w:sz w:val="20"/>
          <w:szCs w:val="20"/>
        </w:rPr>
        <w:t xml:space="preserve"> </w:t>
      </w:r>
      <w:r w:rsidR="00EE3C1E">
        <w:rPr>
          <w:rFonts w:ascii="Arial" w:hAnsi="Arial" w:cs="Arial"/>
          <w:sz w:val="20"/>
          <w:szCs w:val="20"/>
        </w:rPr>
        <w:t xml:space="preserve">som </w:t>
      </w:r>
      <w:r w:rsidR="00E132ED" w:rsidRPr="00E132ED">
        <w:rPr>
          <w:rFonts w:ascii="Arial" w:hAnsi="Arial" w:cs="Arial"/>
          <w:sz w:val="20"/>
          <w:szCs w:val="20"/>
        </w:rPr>
        <w:t>kun kan finde sted i nærmere bestemte områder</w:t>
      </w:r>
      <w:r w:rsidR="00E132ED">
        <w:rPr>
          <w:rFonts w:ascii="Arial" w:hAnsi="Arial" w:cs="Arial"/>
          <w:sz w:val="20"/>
          <w:szCs w:val="20"/>
        </w:rPr>
        <w:t>.</w:t>
      </w:r>
    </w:p>
    <w:p w14:paraId="7E7F8178" w14:textId="7C96CDC7" w:rsidR="00E132ED" w:rsidRDefault="00E132ED" w:rsidP="00413682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2D0627CE" w14:textId="76D76D2F" w:rsidR="000F241E" w:rsidRDefault="000F241E" w:rsidP="00DD035B">
      <w:pPr>
        <w:spacing w:after="0" w:line="288" w:lineRule="auto"/>
        <w:rPr>
          <w:rFonts w:ascii="Arial" w:hAnsi="Arial" w:cs="Arial"/>
          <w:sz w:val="20"/>
          <w:szCs w:val="20"/>
        </w:rPr>
      </w:pPr>
      <w:r w:rsidRPr="005D3191">
        <w:rPr>
          <w:rFonts w:ascii="Arial" w:hAnsi="Arial" w:cs="Arial"/>
          <w:b/>
          <w:bCs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br/>
        <w:t>Det fremgår af de almindelige bemærkninger til forslaget, at der</w:t>
      </w:r>
      <w:r w:rsidRPr="005D3191">
        <w:rPr>
          <w:rFonts w:ascii="Arial" w:hAnsi="Arial" w:cs="Arial"/>
          <w:sz w:val="20"/>
          <w:szCs w:val="20"/>
        </w:rPr>
        <w:t xml:space="preserve"> bl.a. </w:t>
      </w:r>
      <w:r>
        <w:rPr>
          <w:rFonts w:ascii="Arial" w:hAnsi="Arial" w:cs="Arial"/>
          <w:sz w:val="20"/>
          <w:szCs w:val="20"/>
        </w:rPr>
        <w:t xml:space="preserve">bør </w:t>
      </w:r>
      <w:r w:rsidRPr="005D3191">
        <w:rPr>
          <w:rFonts w:ascii="Arial" w:hAnsi="Arial" w:cs="Arial"/>
          <w:sz w:val="20"/>
          <w:szCs w:val="20"/>
        </w:rPr>
        <w:t>foreligge krav til rettighedshaverens tilhørsforhold til Grønland</w:t>
      </w:r>
      <w:r>
        <w:rPr>
          <w:rFonts w:ascii="Arial" w:hAnsi="Arial" w:cs="Arial"/>
          <w:sz w:val="20"/>
          <w:szCs w:val="20"/>
        </w:rPr>
        <w:t xml:space="preserve">. Forslaget lægger konkret op til, at licens til udøvelse af turistvirksomhed kun kan gives til et selskab, </w:t>
      </w:r>
      <w:r w:rsidR="001061AC">
        <w:rPr>
          <w:rFonts w:ascii="Arial" w:hAnsi="Arial" w:cs="Arial"/>
          <w:sz w:val="20"/>
          <w:szCs w:val="20"/>
        </w:rPr>
        <w:t xml:space="preserve">hvis </w:t>
      </w:r>
      <w:r w:rsidR="00DD035B">
        <w:rPr>
          <w:rFonts w:ascii="Arial" w:hAnsi="Arial" w:cs="Arial"/>
          <w:sz w:val="20"/>
          <w:szCs w:val="20"/>
        </w:rPr>
        <w:t>m</w:t>
      </w:r>
      <w:r w:rsidR="00DD035B" w:rsidRPr="00DD035B">
        <w:rPr>
          <w:rFonts w:ascii="Arial" w:hAnsi="Arial" w:cs="Arial"/>
          <w:sz w:val="20"/>
          <w:szCs w:val="20"/>
        </w:rPr>
        <w:t xml:space="preserve">ere end halvdelen af </w:t>
      </w:r>
      <w:r w:rsidR="001061AC">
        <w:rPr>
          <w:rFonts w:ascii="Arial" w:hAnsi="Arial" w:cs="Arial"/>
          <w:sz w:val="20"/>
          <w:szCs w:val="20"/>
        </w:rPr>
        <w:t>sel</w:t>
      </w:r>
      <w:r w:rsidR="00DD035B" w:rsidRPr="00DD035B">
        <w:rPr>
          <w:rFonts w:ascii="Arial" w:hAnsi="Arial" w:cs="Arial"/>
          <w:sz w:val="20"/>
          <w:szCs w:val="20"/>
        </w:rPr>
        <w:t>skabets kapital ejes direkte eller indirekte af personer, som har folkeregisteradresse i Grønland</w:t>
      </w:r>
      <w:r w:rsidR="00DD035B">
        <w:rPr>
          <w:rFonts w:ascii="Arial" w:hAnsi="Arial" w:cs="Arial"/>
          <w:sz w:val="20"/>
          <w:szCs w:val="20"/>
        </w:rPr>
        <w:t>.</w:t>
      </w:r>
    </w:p>
    <w:p w14:paraId="6031DC68" w14:textId="77777777" w:rsidR="000F241E" w:rsidRDefault="000F241E" w:rsidP="000F241E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4198894E" w14:textId="4696C661" w:rsidR="00743D20" w:rsidRDefault="000F241E" w:rsidP="000F241E">
      <w:pPr>
        <w:spacing w:after="0" w:line="288" w:lineRule="auto"/>
        <w:rPr>
          <w:rFonts w:ascii="Arial" w:hAnsi="Arial" w:cs="Arial"/>
          <w:sz w:val="20"/>
          <w:szCs w:val="20"/>
        </w:rPr>
      </w:pPr>
      <w:r w:rsidRPr="000F241E">
        <w:rPr>
          <w:rFonts w:ascii="Arial" w:hAnsi="Arial" w:cs="Arial"/>
          <w:b/>
          <w:bCs/>
          <w:sz w:val="20"/>
          <w:szCs w:val="20"/>
        </w:rPr>
        <w:t>AAN bemærker</w:t>
      </w:r>
      <w:r>
        <w:rPr>
          <w:rFonts w:ascii="Arial" w:hAnsi="Arial" w:cs="Arial"/>
          <w:sz w:val="20"/>
          <w:szCs w:val="20"/>
        </w:rPr>
        <w:t xml:space="preserve">, at </w:t>
      </w:r>
      <w:r w:rsidR="00743D20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et </w:t>
      </w:r>
      <w:r w:rsidR="001061AC">
        <w:rPr>
          <w:rFonts w:ascii="Arial" w:hAnsi="Arial" w:cs="Arial"/>
          <w:sz w:val="20"/>
          <w:szCs w:val="20"/>
        </w:rPr>
        <w:t>bør</w:t>
      </w:r>
      <w:r>
        <w:rPr>
          <w:rFonts w:ascii="Arial" w:hAnsi="Arial" w:cs="Arial"/>
          <w:sz w:val="20"/>
          <w:szCs w:val="20"/>
        </w:rPr>
        <w:t xml:space="preserve"> </w:t>
      </w:r>
      <w:r w:rsidR="006557AF">
        <w:rPr>
          <w:rFonts w:ascii="Arial" w:hAnsi="Arial" w:cs="Arial"/>
          <w:sz w:val="20"/>
          <w:szCs w:val="20"/>
        </w:rPr>
        <w:t>begrundes nærmere</w:t>
      </w:r>
      <w:r>
        <w:rPr>
          <w:rFonts w:ascii="Arial" w:hAnsi="Arial" w:cs="Arial"/>
          <w:sz w:val="20"/>
          <w:szCs w:val="20"/>
        </w:rPr>
        <w:t xml:space="preserve">, </w:t>
      </w:r>
      <w:r w:rsidRPr="000F241E">
        <w:rPr>
          <w:rFonts w:ascii="Arial" w:hAnsi="Arial" w:cs="Arial"/>
          <w:i/>
          <w:iCs/>
          <w:sz w:val="20"/>
          <w:szCs w:val="20"/>
        </w:rPr>
        <w:t>hvorfor</w:t>
      </w:r>
      <w:r>
        <w:rPr>
          <w:rFonts w:ascii="Arial" w:hAnsi="Arial" w:cs="Arial"/>
          <w:sz w:val="20"/>
          <w:szCs w:val="20"/>
        </w:rPr>
        <w:t xml:space="preserve"> de</w:t>
      </w:r>
      <w:r w:rsidR="00743D20">
        <w:rPr>
          <w:rFonts w:ascii="Arial" w:hAnsi="Arial" w:cs="Arial"/>
          <w:sz w:val="20"/>
          <w:szCs w:val="20"/>
        </w:rPr>
        <w:t xml:space="preserve">r ifølge de almindelige bemærkninger </w:t>
      </w:r>
      <w:r w:rsidR="00743D20">
        <w:rPr>
          <w:rFonts w:ascii="Arial" w:hAnsi="Arial" w:cs="Arial"/>
          <w:i/>
          <w:iCs/>
          <w:sz w:val="20"/>
          <w:szCs w:val="20"/>
        </w:rPr>
        <w:t>bør</w:t>
      </w:r>
      <w:r w:rsidR="00743D20">
        <w:rPr>
          <w:rFonts w:ascii="Arial" w:hAnsi="Arial" w:cs="Arial"/>
          <w:sz w:val="20"/>
          <w:szCs w:val="20"/>
        </w:rPr>
        <w:t xml:space="preserve"> foreligge et</w:t>
      </w:r>
      <w:r w:rsidR="00743D20" w:rsidRPr="00743D20">
        <w:rPr>
          <w:rFonts w:ascii="Arial" w:hAnsi="Arial" w:cs="Arial"/>
          <w:sz w:val="20"/>
          <w:szCs w:val="20"/>
        </w:rPr>
        <w:t xml:space="preserve"> </w:t>
      </w:r>
      <w:r w:rsidR="00743D20" w:rsidRPr="005D3191">
        <w:rPr>
          <w:rFonts w:ascii="Arial" w:hAnsi="Arial" w:cs="Arial"/>
          <w:sz w:val="20"/>
          <w:szCs w:val="20"/>
        </w:rPr>
        <w:t>krav til rettighedshaverens tilhørsforhold til Grønland</w:t>
      </w:r>
      <w:r w:rsidR="00743D20">
        <w:rPr>
          <w:rFonts w:ascii="Arial" w:hAnsi="Arial" w:cs="Arial"/>
          <w:sz w:val="20"/>
          <w:szCs w:val="20"/>
        </w:rPr>
        <w:t>.</w:t>
      </w:r>
    </w:p>
    <w:p w14:paraId="78D6273E" w14:textId="77777777" w:rsidR="00743D20" w:rsidRDefault="00743D20" w:rsidP="000F241E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1B97CE8F" w14:textId="3DEE4E0A" w:rsidR="00DD035B" w:rsidRDefault="00743D20" w:rsidP="000B10AC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AAN bemærker</w:t>
      </w:r>
      <w:r>
        <w:rPr>
          <w:rFonts w:ascii="Arial" w:hAnsi="Arial" w:cs="Arial"/>
          <w:sz w:val="20"/>
          <w:szCs w:val="20"/>
        </w:rPr>
        <w:t xml:space="preserve">, at det </w:t>
      </w:r>
      <w:r w:rsidR="001061AC">
        <w:rPr>
          <w:rFonts w:ascii="Arial" w:hAnsi="Arial" w:cs="Arial"/>
          <w:sz w:val="20"/>
          <w:szCs w:val="20"/>
        </w:rPr>
        <w:t>med fordel kan forklares</w:t>
      </w:r>
      <w:r>
        <w:rPr>
          <w:rFonts w:ascii="Arial" w:hAnsi="Arial" w:cs="Arial"/>
          <w:sz w:val="20"/>
          <w:szCs w:val="20"/>
        </w:rPr>
        <w:t xml:space="preserve">, hvorfor der </w:t>
      </w:r>
      <w:r>
        <w:rPr>
          <w:rFonts w:ascii="Arial" w:hAnsi="Arial" w:cs="Arial"/>
          <w:i/>
          <w:iCs/>
          <w:sz w:val="20"/>
          <w:szCs w:val="20"/>
        </w:rPr>
        <w:t>ikke</w:t>
      </w:r>
      <w:r>
        <w:rPr>
          <w:rFonts w:ascii="Arial" w:hAnsi="Arial" w:cs="Arial"/>
          <w:sz w:val="20"/>
          <w:szCs w:val="20"/>
        </w:rPr>
        <w:t xml:space="preserve"> er tale om ekspropriation </w:t>
      </w:r>
      <w:r w:rsidR="006557AF">
        <w:rPr>
          <w:rFonts w:ascii="Arial" w:hAnsi="Arial" w:cs="Arial"/>
          <w:sz w:val="20"/>
          <w:szCs w:val="20"/>
        </w:rPr>
        <w:t xml:space="preserve">i forhold til </w:t>
      </w:r>
      <w:r>
        <w:rPr>
          <w:rFonts w:ascii="Arial" w:hAnsi="Arial" w:cs="Arial"/>
          <w:sz w:val="20"/>
          <w:szCs w:val="20"/>
        </w:rPr>
        <w:t>eksisterende udenlandsk</w:t>
      </w:r>
      <w:r w:rsidR="000B10AC">
        <w:rPr>
          <w:rFonts w:ascii="Arial" w:hAnsi="Arial" w:cs="Arial"/>
          <w:sz w:val="20"/>
          <w:szCs w:val="20"/>
        </w:rPr>
        <w:t xml:space="preserve"> ejede operatører</w:t>
      </w:r>
      <w:r w:rsidR="001061AC">
        <w:rPr>
          <w:rFonts w:ascii="Arial" w:hAnsi="Arial" w:cs="Arial"/>
          <w:sz w:val="20"/>
          <w:szCs w:val="20"/>
        </w:rPr>
        <w:t>, når</w:t>
      </w:r>
      <w:r>
        <w:rPr>
          <w:rFonts w:ascii="Arial" w:hAnsi="Arial" w:cs="Arial"/>
          <w:sz w:val="20"/>
          <w:szCs w:val="20"/>
        </w:rPr>
        <w:t xml:space="preserve"> </w:t>
      </w:r>
      <w:r w:rsidR="001061AC">
        <w:rPr>
          <w:rFonts w:ascii="Arial" w:hAnsi="Arial" w:cs="Arial"/>
          <w:sz w:val="20"/>
          <w:szCs w:val="20"/>
        </w:rPr>
        <w:t xml:space="preserve">der </w:t>
      </w:r>
      <w:r>
        <w:rPr>
          <w:rFonts w:ascii="Arial" w:hAnsi="Arial" w:cs="Arial"/>
          <w:sz w:val="20"/>
          <w:szCs w:val="20"/>
        </w:rPr>
        <w:t>lægge</w:t>
      </w:r>
      <w:r w:rsidR="001061A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op til, </w:t>
      </w:r>
      <w:r w:rsidR="000B10AC">
        <w:rPr>
          <w:rFonts w:ascii="Arial" w:hAnsi="Arial" w:cs="Arial"/>
          <w:sz w:val="20"/>
          <w:szCs w:val="20"/>
        </w:rPr>
        <w:t>at licens</w:t>
      </w:r>
      <w:r w:rsidR="00DD035B">
        <w:rPr>
          <w:rFonts w:ascii="Arial" w:hAnsi="Arial" w:cs="Arial"/>
          <w:sz w:val="20"/>
          <w:szCs w:val="20"/>
        </w:rPr>
        <w:t>er</w:t>
      </w:r>
      <w:r w:rsidR="000B10AC">
        <w:rPr>
          <w:rFonts w:ascii="Arial" w:hAnsi="Arial" w:cs="Arial"/>
          <w:sz w:val="20"/>
          <w:szCs w:val="20"/>
        </w:rPr>
        <w:t xml:space="preserve"> kun kan gives til et </w:t>
      </w:r>
      <w:r w:rsidR="00DD035B">
        <w:rPr>
          <w:rFonts w:ascii="Arial" w:hAnsi="Arial" w:cs="Arial"/>
          <w:sz w:val="20"/>
          <w:szCs w:val="20"/>
        </w:rPr>
        <w:t xml:space="preserve">selskab, </w:t>
      </w:r>
      <w:r w:rsidR="00175C23">
        <w:rPr>
          <w:rFonts w:ascii="Arial" w:hAnsi="Arial" w:cs="Arial"/>
          <w:sz w:val="20"/>
          <w:szCs w:val="20"/>
        </w:rPr>
        <w:t xml:space="preserve">hvor </w:t>
      </w:r>
      <w:r w:rsidR="00DD035B">
        <w:rPr>
          <w:rFonts w:ascii="Arial" w:hAnsi="Arial" w:cs="Arial"/>
          <w:sz w:val="20"/>
          <w:szCs w:val="20"/>
        </w:rPr>
        <w:t>m</w:t>
      </w:r>
      <w:r w:rsidR="00DD035B" w:rsidRPr="00DD035B">
        <w:rPr>
          <w:rFonts w:ascii="Arial" w:hAnsi="Arial" w:cs="Arial"/>
          <w:sz w:val="20"/>
          <w:szCs w:val="20"/>
        </w:rPr>
        <w:t>ere end halvdelen af skabets kapital ejes direkte eller indirekte af personer, som har folkeregisteradresse i Grønland</w:t>
      </w:r>
      <w:r w:rsidR="00175C23">
        <w:rPr>
          <w:rStyle w:val="Fodnotehenvisning"/>
          <w:rFonts w:ascii="Arial" w:hAnsi="Arial" w:cs="Arial"/>
          <w:sz w:val="20"/>
          <w:szCs w:val="20"/>
        </w:rPr>
        <w:footnoteReference w:id="1"/>
      </w:r>
      <w:r w:rsidR="00DD035B">
        <w:rPr>
          <w:rFonts w:ascii="Arial" w:hAnsi="Arial" w:cs="Arial"/>
          <w:sz w:val="20"/>
          <w:szCs w:val="20"/>
        </w:rPr>
        <w:t>.</w:t>
      </w:r>
    </w:p>
    <w:p w14:paraId="505E7B9A" w14:textId="77777777" w:rsidR="00175C23" w:rsidRDefault="00175C23" w:rsidP="000B10A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395D536D" w14:textId="4BA916FB" w:rsidR="00617699" w:rsidRDefault="00175C23" w:rsidP="000F241E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AAN bemærker, </w:t>
      </w:r>
      <w:r>
        <w:rPr>
          <w:rFonts w:ascii="Arial" w:hAnsi="Arial" w:cs="Arial"/>
          <w:sz w:val="20"/>
          <w:szCs w:val="20"/>
        </w:rPr>
        <w:t xml:space="preserve">at forslaget i sin nuværende form vil reducere adgangen </w:t>
      </w:r>
      <w:r w:rsidR="00617699">
        <w:rPr>
          <w:rFonts w:ascii="Arial" w:hAnsi="Arial" w:cs="Arial"/>
          <w:sz w:val="20"/>
          <w:szCs w:val="20"/>
        </w:rPr>
        <w:t xml:space="preserve">til </w:t>
      </w:r>
      <w:r>
        <w:rPr>
          <w:rFonts w:ascii="Arial" w:hAnsi="Arial" w:cs="Arial"/>
          <w:sz w:val="20"/>
          <w:szCs w:val="20"/>
        </w:rPr>
        <w:t xml:space="preserve">og omfanget af udenlandsk kapital i turismesektoren i Grønland, </w:t>
      </w:r>
      <w:r w:rsidR="00617699">
        <w:rPr>
          <w:rFonts w:ascii="Arial" w:hAnsi="Arial" w:cs="Arial"/>
          <w:sz w:val="20"/>
          <w:szCs w:val="20"/>
        </w:rPr>
        <w:t>herunder fokus på og udbud af rejser til Grønland som turistdestination.</w:t>
      </w:r>
      <w:r w:rsidR="006557AF">
        <w:rPr>
          <w:rFonts w:ascii="Arial" w:hAnsi="Arial" w:cs="Arial"/>
          <w:sz w:val="20"/>
          <w:szCs w:val="20"/>
        </w:rPr>
        <w:t xml:space="preserve"> Dette må forventes at begrænse væksten i sektoren og dermed sektorens bidrag til udviklingen af økonomien.</w:t>
      </w:r>
    </w:p>
    <w:p w14:paraId="50EAE989" w14:textId="77777777" w:rsidR="00617699" w:rsidRDefault="00617699" w:rsidP="000F241E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0031441F" w14:textId="448C48F9" w:rsidR="007F0028" w:rsidRDefault="00617699" w:rsidP="000F241E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Det bemærkes endvidere, at forslaget generelt kan have en negativ effekt på investeringslysten for udenlandske investorer. Dette skal </w:t>
      </w:r>
      <w:r w:rsidR="005A4D78">
        <w:rPr>
          <w:rFonts w:ascii="Arial" w:hAnsi="Arial" w:cs="Arial"/>
          <w:sz w:val="20"/>
          <w:szCs w:val="20"/>
        </w:rPr>
        <w:t xml:space="preserve">bl.a. – men ikke kun – </w:t>
      </w:r>
      <w:r>
        <w:rPr>
          <w:rFonts w:ascii="Arial" w:hAnsi="Arial" w:cs="Arial"/>
          <w:sz w:val="20"/>
          <w:szCs w:val="20"/>
        </w:rPr>
        <w:t>ses</w:t>
      </w:r>
      <w:r w:rsidR="005A4D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 lyset af, at </w:t>
      </w:r>
      <w:r w:rsidR="005A4D78">
        <w:rPr>
          <w:rFonts w:ascii="Arial" w:hAnsi="Arial" w:cs="Arial"/>
          <w:sz w:val="20"/>
          <w:szCs w:val="20"/>
        </w:rPr>
        <w:t>der for nyligt er vedtaget en ny lov for fiskeriområdet, som også medfører, at eksisterende udenlandske aktører bliver nødt til at afvikle deres aktiviteter i Grønland.</w:t>
      </w:r>
    </w:p>
    <w:p w14:paraId="012A31A0" w14:textId="77777777" w:rsidR="005A4D78" w:rsidRDefault="005A4D78" w:rsidP="000F241E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59781050" w14:textId="45A4430B" w:rsidR="005A4D78" w:rsidRDefault="005A4D78" w:rsidP="000F241E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</w:t>
      </w:r>
    </w:p>
    <w:p w14:paraId="4293D409" w14:textId="35620A84" w:rsidR="005A4D78" w:rsidRDefault="005A4D78" w:rsidP="005A4D78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 fremgår af de almindelige bemærkninger, at d</w:t>
      </w:r>
      <w:r w:rsidRPr="005A4D78">
        <w:rPr>
          <w:rFonts w:ascii="Arial" w:hAnsi="Arial" w:cs="Arial"/>
          <w:sz w:val="20"/>
          <w:szCs w:val="20"/>
        </w:rPr>
        <w:t>et vurderes, at forslaget vil have en positiv økonomisk effekt for det offentlige</w:t>
      </w:r>
      <w:r>
        <w:rPr>
          <w:rFonts w:ascii="Arial" w:hAnsi="Arial" w:cs="Arial"/>
          <w:sz w:val="20"/>
          <w:szCs w:val="20"/>
        </w:rPr>
        <w:t>, herunder at</w:t>
      </w:r>
      <w:r w:rsidRPr="005A4D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5A4D78">
        <w:rPr>
          <w:rFonts w:ascii="Arial" w:hAnsi="Arial" w:cs="Arial"/>
          <w:sz w:val="20"/>
          <w:szCs w:val="20"/>
        </w:rPr>
        <w:t>ette forventes primært at ske igennem øget beskæftigelse og omsætning</w:t>
      </w:r>
      <w:r>
        <w:rPr>
          <w:rFonts w:ascii="Arial" w:hAnsi="Arial" w:cs="Arial"/>
          <w:sz w:val="20"/>
          <w:szCs w:val="20"/>
        </w:rPr>
        <w:t xml:space="preserve">. Endvidere fremgår det, at det vurderes, at </w:t>
      </w:r>
      <w:r>
        <w:rPr>
          <w:rFonts w:ascii="Arial" w:hAnsi="Arial" w:cs="Arial"/>
          <w:sz w:val="20"/>
          <w:szCs w:val="20"/>
        </w:rPr>
        <w:lastRenderedPageBreak/>
        <w:t>f</w:t>
      </w:r>
      <w:r w:rsidRPr="005A4D78">
        <w:rPr>
          <w:rFonts w:ascii="Arial" w:hAnsi="Arial" w:cs="Arial"/>
          <w:sz w:val="20"/>
          <w:szCs w:val="20"/>
        </w:rPr>
        <w:t>orslaget vil have langsigtede positive økonomiske konsekvenser for erhvervslivet i forhold til turismevirksomhed i Grønland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6729B68B" w14:textId="77777777" w:rsidR="005A4D78" w:rsidRDefault="005A4D78" w:rsidP="005A4D78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1E7F1E58" w14:textId="768127F8" w:rsidR="006374E5" w:rsidRDefault="005A4D78" w:rsidP="007B1AA3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AAN bemærker, </w:t>
      </w:r>
      <w:r w:rsidRPr="005A4D78"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z w:val="20"/>
          <w:szCs w:val="20"/>
        </w:rPr>
        <w:t xml:space="preserve"> det er</w:t>
      </w:r>
      <w:r w:rsidR="008C1B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uklart, hvad der ligger til grund for disse vurderinger. Det skal bl.a. ses i lyset af, at det også fremgår af de almindelige bemærkninger (i </w:t>
      </w:r>
      <w:r w:rsidR="0067784F">
        <w:rPr>
          <w:rFonts w:ascii="Arial" w:hAnsi="Arial" w:cs="Arial"/>
          <w:sz w:val="20"/>
          <w:szCs w:val="20"/>
        </w:rPr>
        <w:t>direkte</w:t>
      </w:r>
      <w:r>
        <w:rPr>
          <w:rFonts w:ascii="Arial" w:hAnsi="Arial" w:cs="Arial"/>
          <w:sz w:val="20"/>
          <w:szCs w:val="20"/>
        </w:rPr>
        <w:t xml:space="preserve"> forlængelse af ovenstående</w:t>
      </w:r>
      <w:r w:rsidR="0067784F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at forslaget </w:t>
      </w:r>
      <w:r w:rsidR="0067784F">
        <w:rPr>
          <w:rFonts w:ascii="Arial" w:hAnsi="Arial" w:cs="Arial"/>
          <w:sz w:val="20"/>
          <w:szCs w:val="20"/>
        </w:rPr>
        <w:t xml:space="preserve">konkret </w:t>
      </w:r>
      <w:r>
        <w:rPr>
          <w:rFonts w:ascii="Arial" w:hAnsi="Arial" w:cs="Arial"/>
          <w:sz w:val="20"/>
          <w:szCs w:val="20"/>
        </w:rPr>
        <w:t>vurderes at hav</w:t>
      </w:r>
      <w:r w:rsidR="0067784F">
        <w:rPr>
          <w:rFonts w:ascii="Arial" w:hAnsi="Arial" w:cs="Arial"/>
          <w:sz w:val="20"/>
          <w:szCs w:val="20"/>
        </w:rPr>
        <w:t>e en række negative økonomiske og/eller administrative konsekvenser og ikke umiddelbart nogle positive økonomiske og/eller administrative konsekvenser.</w:t>
      </w:r>
    </w:p>
    <w:p w14:paraId="3A3004B4" w14:textId="77777777" w:rsidR="006374E5" w:rsidRDefault="006374E5" w:rsidP="007B1AA3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4EEEF577" w14:textId="06A5E19A" w:rsidR="005A4D78" w:rsidRPr="006557AF" w:rsidRDefault="006374E5" w:rsidP="007B1AA3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Samlet set vurderer AAN, at forslaget overvejende vil have negative økonomiske konsekvenser for </w:t>
      </w:r>
      <w:r w:rsidR="006557AF">
        <w:rPr>
          <w:rFonts w:ascii="Arial" w:hAnsi="Arial" w:cs="Arial"/>
          <w:sz w:val="20"/>
          <w:szCs w:val="20"/>
        </w:rPr>
        <w:t xml:space="preserve">bl.a. </w:t>
      </w:r>
      <w:r>
        <w:rPr>
          <w:rFonts w:ascii="Arial" w:hAnsi="Arial" w:cs="Arial"/>
          <w:sz w:val="20"/>
          <w:szCs w:val="20"/>
        </w:rPr>
        <w:t>erhvervslivet. Det skal ses i lyset af, at forslaget er forbundet med økonomiske og administrative byrder for erhvervslivet</w:t>
      </w:r>
      <w:r w:rsidR="00CA72DA">
        <w:rPr>
          <w:rFonts w:ascii="Arial" w:hAnsi="Arial" w:cs="Arial"/>
          <w:sz w:val="20"/>
          <w:szCs w:val="20"/>
        </w:rPr>
        <w:t>. F</w:t>
      </w:r>
      <w:r>
        <w:rPr>
          <w:rFonts w:ascii="Arial" w:hAnsi="Arial" w:cs="Arial"/>
          <w:sz w:val="20"/>
          <w:szCs w:val="20"/>
        </w:rPr>
        <w:t xml:space="preserve">orslaget </w:t>
      </w:r>
      <w:r w:rsidR="00CA72DA">
        <w:rPr>
          <w:rFonts w:ascii="Arial" w:hAnsi="Arial" w:cs="Arial"/>
          <w:sz w:val="20"/>
          <w:szCs w:val="20"/>
        </w:rPr>
        <w:t>vil samtidig reducere adgangen til og omfanget af udenlandsk kapital i turismesektoren i Grønland, herunder fokus på og udbud af rejser til Grønland som turistdestination.</w:t>
      </w:r>
      <w:r w:rsidR="009F5A28">
        <w:rPr>
          <w:rFonts w:ascii="Arial" w:hAnsi="Arial" w:cs="Arial"/>
          <w:sz w:val="20"/>
          <w:szCs w:val="20"/>
        </w:rPr>
        <w:t xml:space="preserve"> </w:t>
      </w:r>
      <w:r w:rsidR="003B0AF9">
        <w:rPr>
          <w:rFonts w:ascii="Arial" w:hAnsi="Arial" w:cs="Arial"/>
          <w:sz w:val="20"/>
          <w:szCs w:val="20"/>
        </w:rPr>
        <w:t>F</w:t>
      </w:r>
      <w:r w:rsidR="00A223B6">
        <w:rPr>
          <w:rFonts w:ascii="Arial" w:hAnsi="Arial" w:cs="Arial"/>
          <w:sz w:val="20"/>
          <w:szCs w:val="20"/>
        </w:rPr>
        <w:t xml:space="preserve">orslaget </w:t>
      </w:r>
      <w:r w:rsidR="003B0AF9">
        <w:rPr>
          <w:rFonts w:ascii="Arial" w:hAnsi="Arial" w:cs="Arial"/>
          <w:sz w:val="20"/>
          <w:szCs w:val="20"/>
        </w:rPr>
        <w:t xml:space="preserve">vil således </w:t>
      </w:r>
      <w:r w:rsidR="00E01FF8">
        <w:rPr>
          <w:rFonts w:ascii="Arial" w:hAnsi="Arial" w:cs="Arial"/>
          <w:sz w:val="20"/>
          <w:szCs w:val="20"/>
        </w:rPr>
        <w:t xml:space="preserve">også </w:t>
      </w:r>
      <w:r w:rsidR="003B0AF9">
        <w:rPr>
          <w:rFonts w:ascii="Arial" w:hAnsi="Arial" w:cs="Arial"/>
          <w:sz w:val="20"/>
          <w:szCs w:val="20"/>
        </w:rPr>
        <w:t>være forbundet med negative økonomiske konsekvenser for samfundet</w:t>
      </w:r>
      <w:r w:rsidR="009F5A28">
        <w:rPr>
          <w:rFonts w:ascii="Arial" w:hAnsi="Arial" w:cs="Arial"/>
          <w:sz w:val="20"/>
          <w:szCs w:val="20"/>
        </w:rPr>
        <w:t>.</w:t>
      </w:r>
    </w:p>
    <w:p w14:paraId="4B2166B2" w14:textId="77777777" w:rsidR="005D3191" w:rsidRPr="00E132ED" w:rsidRDefault="005D3191" w:rsidP="00413682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7F9F2ADE" w14:textId="77777777" w:rsidR="0060272B" w:rsidRPr="0060272B" w:rsidRDefault="0060272B" w:rsidP="00A346F1">
      <w:pPr>
        <w:spacing w:after="0"/>
        <w:rPr>
          <w:rFonts w:ascii="Arial" w:hAnsi="Arial" w:cs="Arial"/>
          <w:sz w:val="20"/>
          <w:szCs w:val="20"/>
        </w:rPr>
      </w:pPr>
    </w:p>
    <w:p w14:paraId="7F44A33D" w14:textId="77777777" w:rsidR="00A346F1" w:rsidRPr="0060272B" w:rsidRDefault="00A346F1" w:rsidP="00A346F1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60272B">
        <w:rPr>
          <w:rFonts w:ascii="Arial" w:hAnsi="Arial" w:cs="Arial"/>
          <w:sz w:val="20"/>
          <w:szCs w:val="20"/>
        </w:rPr>
        <w:t>Inussiarnersumik</w:t>
      </w:r>
      <w:proofErr w:type="spellEnd"/>
      <w:r w:rsidRPr="006027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0272B">
        <w:rPr>
          <w:rFonts w:ascii="Arial" w:hAnsi="Arial" w:cs="Arial"/>
          <w:sz w:val="20"/>
          <w:szCs w:val="20"/>
        </w:rPr>
        <w:t>inuulluaqqusillunga</w:t>
      </w:r>
      <w:proofErr w:type="spellEnd"/>
    </w:p>
    <w:p w14:paraId="07374AA8" w14:textId="77777777" w:rsidR="00A346F1" w:rsidRPr="0060272B" w:rsidRDefault="00A346F1" w:rsidP="00A346F1">
      <w:pPr>
        <w:spacing w:after="0"/>
        <w:rPr>
          <w:rFonts w:ascii="Arial" w:hAnsi="Arial" w:cs="Arial"/>
          <w:sz w:val="20"/>
          <w:szCs w:val="20"/>
        </w:rPr>
      </w:pPr>
      <w:r w:rsidRPr="0060272B">
        <w:rPr>
          <w:rFonts w:ascii="Arial" w:hAnsi="Arial" w:cs="Arial"/>
          <w:sz w:val="20"/>
          <w:szCs w:val="20"/>
        </w:rPr>
        <w:t>Med venlig hilsen</w:t>
      </w:r>
    </w:p>
    <w:p w14:paraId="6F37CD4B" w14:textId="77777777" w:rsidR="00A346F1" w:rsidRPr="0060272B" w:rsidRDefault="00A346F1" w:rsidP="00A346F1">
      <w:pPr>
        <w:spacing w:after="0"/>
        <w:rPr>
          <w:rFonts w:ascii="Arial" w:hAnsi="Arial" w:cs="Arial"/>
          <w:sz w:val="20"/>
          <w:szCs w:val="20"/>
        </w:rPr>
      </w:pPr>
    </w:p>
    <w:p w14:paraId="4ACBB446" w14:textId="77777777" w:rsidR="00A346F1" w:rsidRPr="0060272B" w:rsidRDefault="00A346F1" w:rsidP="00A346F1">
      <w:pPr>
        <w:spacing w:after="0"/>
        <w:rPr>
          <w:rFonts w:ascii="Arial" w:hAnsi="Arial" w:cs="Arial"/>
          <w:sz w:val="20"/>
          <w:szCs w:val="20"/>
        </w:rPr>
      </w:pPr>
    </w:p>
    <w:p w14:paraId="03CFCF5A" w14:textId="77777777" w:rsidR="00A346F1" w:rsidRPr="0060272B" w:rsidRDefault="00A346F1" w:rsidP="00A346F1">
      <w:pPr>
        <w:spacing w:after="0"/>
        <w:rPr>
          <w:rFonts w:ascii="Arial" w:hAnsi="Arial" w:cs="Arial"/>
          <w:sz w:val="20"/>
          <w:szCs w:val="20"/>
        </w:rPr>
      </w:pPr>
    </w:p>
    <w:p w14:paraId="56527514" w14:textId="76A32D37" w:rsidR="00215CAB" w:rsidRPr="0060272B" w:rsidRDefault="00215CAB" w:rsidP="00215CAB">
      <w:pPr>
        <w:spacing w:after="0"/>
        <w:rPr>
          <w:rFonts w:ascii="Arial" w:hAnsi="Arial" w:cs="Arial"/>
          <w:sz w:val="20"/>
          <w:szCs w:val="20"/>
        </w:rPr>
      </w:pPr>
      <w:r w:rsidRPr="0060272B">
        <w:rPr>
          <w:rFonts w:ascii="Arial" w:hAnsi="Arial" w:cs="Arial"/>
          <w:sz w:val="20"/>
          <w:szCs w:val="20"/>
        </w:rPr>
        <w:t>Morten W</w:t>
      </w:r>
      <w:r w:rsidR="00673AB5">
        <w:rPr>
          <w:rFonts w:ascii="Arial" w:hAnsi="Arial" w:cs="Arial"/>
          <w:sz w:val="20"/>
          <w:szCs w:val="20"/>
        </w:rPr>
        <w:t>.</w:t>
      </w:r>
      <w:r w:rsidRPr="0060272B">
        <w:rPr>
          <w:rFonts w:ascii="Arial" w:hAnsi="Arial" w:cs="Arial"/>
          <w:sz w:val="20"/>
          <w:szCs w:val="20"/>
        </w:rPr>
        <w:t xml:space="preserve"> Selvejer</w:t>
      </w:r>
    </w:p>
    <w:p w14:paraId="44C66BEC" w14:textId="77777777" w:rsidR="00986E1B" w:rsidRPr="0060272B" w:rsidRDefault="00986E1B" w:rsidP="00215CAB">
      <w:pPr>
        <w:spacing w:after="0"/>
        <w:rPr>
          <w:rFonts w:ascii="Arial" w:hAnsi="Arial" w:cs="Arial"/>
          <w:sz w:val="20"/>
          <w:szCs w:val="20"/>
        </w:rPr>
      </w:pPr>
    </w:p>
    <w:sectPr w:rsidR="00986E1B" w:rsidRPr="0060272B" w:rsidSect="004402D4">
      <w:footerReference w:type="default" r:id="rId11"/>
      <w:headerReference w:type="first" r:id="rId12"/>
      <w:footerReference w:type="first" r:id="rId13"/>
      <w:pgSz w:w="11906" w:h="16838" w:code="9"/>
      <w:pgMar w:top="2268" w:right="2835" w:bottom="737" w:left="124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D905A" w14:textId="77777777" w:rsidR="008A78D4" w:rsidRDefault="008A78D4" w:rsidP="00FA2B29">
      <w:pPr>
        <w:spacing w:after="0" w:line="240" w:lineRule="auto"/>
      </w:pPr>
      <w:r>
        <w:separator/>
      </w:r>
    </w:p>
  </w:endnote>
  <w:endnote w:type="continuationSeparator" w:id="0">
    <w:p w14:paraId="07AADF9D" w14:textId="77777777" w:rsidR="008A78D4" w:rsidRDefault="008A78D4" w:rsidP="00FA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3667999"/>
      <w:docPartObj>
        <w:docPartGallery w:val="Page Numbers (Bottom of Page)"/>
        <w:docPartUnique/>
      </w:docPartObj>
    </w:sdtPr>
    <w:sdtEndPr/>
    <w:sdtContent>
      <w:p w14:paraId="79603BCF" w14:textId="1FADDC42" w:rsidR="00D80BF6" w:rsidRDefault="00D80BF6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CAA">
          <w:rPr>
            <w:noProof/>
          </w:rPr>
          <w:t>3</w:t>
        </w:r>
        <w:r>
          <w:fldChar w:fldCharType="end"/>
        </w:r>
      </w:p>
    </w:sdtContent>
  </w:sdt>
  <w:p w14:paraId="7BE38029" w14:textId="77777777" w:rsidR="00D80BF6" w:rsidRDefault="00D80BF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8201982"/>
      <w:docPartObj>
        <w:docPartGallery w:val="Page Numbers (Bottom of Page)"/>
        <w:docPartUnique/>
      </w:docPartObj>
    </w:sdtPr>
    <w:sdtEndPr/>
    <w:sdtContent>
      <w:p w14:paraId="3807D2B1" w14:textId="25D59344" w:rsidR="00D80BF6" w:rsidRDefault="00D80BF6">
        <w:pPr>
          <w:pStyle w:val="Sidefod"/>
          <w:jc w:val="right"/>
        </w:pPr>
        <w:r>
          <w:fldChar w:fldCharType="begin"/>
        </w:r>
        <w:r>
          <w:instrText xml:space="preserve"> PAGE  \* MERGEFORMAT </w:instrText>
        </w:r>
        <w:r>
          <w:fldChar w:fldCharType="separate"/>
        </w:r>
        <w:r w:rsidR="00003CAA">
          <w:rPr>
            <w:noProof/>
          </w:rPr>
          <w:t>1</w:t>
        </w:r>
        <w:r>
          <w:fldChar w:fldCharType="end"/>
        </w:r>
      </w:p>
    </w:sdtContent>
  </w:sdt>
  <w:p w14:paraId="1F2A8F9E" w14:textId="77777777" w:rsidR="00D80BF6" w:rsidRDefault="00D80BF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F96BB" w14:textId="77777777" w:rsidR="008A78D4" w:rsidRDefault="008A78D4" w:rsidP="00FA2B29">
      <w:pPr>
        <w:spacing w:after="0" w:line="240" w:lineRule="auto"/>
      </w:pPr>
      <w:r>
        <w:separator/>
      </w:r>
    </w:p>
  </w:footnote>
  <w:footnote w:type="continuationSeparator" w:id="0">
    <w:p w14:paraId="3741E520" w14:textId="77777777" w:rsidR="008A78D4" w:rsidRDefault="008A78D4" w:rsidP="00FA2B29">
      <w:pPr>
        <w:spacing w:after="0" w:line="240" w:lineRule="auto"/>
      </w:pPr>
      <w:r>
        <w:continuationSeparator/>
      </w:r>
    </w:p>
  </w:footnote>
  <w:footnote w:id="1">
    <w:p w14:paraId="5B9DC7CC" w14:textId="3FC3AB5A" w:rsidR="00175C23" w:rsidRPr="00175C23" w:rsidRDefault="00175C23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>
        <w:rPr>
          <w:rFonts w:ascii="Arial" w:hAnsi="Arial" w:cs="Arial"/>
        </w:rPr>
        <w:t>AAN fortolker forslaget sådan, at eksisterende operatører, hvor 50 pct. eller mere af selskabets kapital er udenlandsk ejet, ikke vil kunne fortsætte med at operere i overensstemmelse med loven fra og med d. 1. januar 2027.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EDA8" w14:textId="77777777" w:rsidR="00D80BF6" w:rsidRDefault="008A78D4" w:rsidP="00FA2B29">
    <w:pPr>
      <w:pStyle w:val="Lillev"/>
    </w:pPr>
    <w:sdt>
      <w:sdtPr>
        <w:id w:val="-2067942624"/>
        <w:docPartObj>
          <w:docPartGallery w:val="Watermarks"/>
          <w:docPartUnique/>
        </w:docPartObj>
      </w:sdtPr>
      <w:sdtEndPr/>
      <w:sdtContent>
        <w:r w:rsidR="00D80BF6">
          <w:rPr>
            <w:noProof/>
            <w:lang w:eastAsia="da-DK"/>
          </w:rPr>
          <w:drawing>
            <wp:anchor distT="0" distB="0" distL="114300" distR="114300" simplePos="0" relativeHeight="251660288" behindDoc="1" locked="1" layoutInCell="1" allowOverlap="1" wp14:anchorId="2313C687" wp14:editId="48B3E19D">
              <wp:simplePos x="0" y="0"/>
              <wp:positionH relativeFrom="column">
                <wp:posOffset>266700</wp:posOffset>
              </wp:positionH>
              <wp:positionV relativeFrom="page">
                <wp:posOffset>5404485</wp:posOffset>
              </wp:positionV>
              <wp:extent cx="6504940" cy="5292725"/>
              <wp:effectExtent l="0" t="0" r="0" b="3175"/>
              <wp:wrapNone/>
              <wp:docPr id="1" name="Billede 1" descr="NANOQ_stor_gradiant_bl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NANOQ_stor_gradiant_bla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04940" cy="5292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D80BF6">
      <w:t xml:space="preserve">   </w:t>
    </w:r>
  </w:p>
  <w:p w14:paraId="3F440951" w14:textId="77777777" w:rsidR="002701D9" w:rsidRDefault="00D80BF6" w:rsidP="002701D9">
    <w:pPr>
      <w:pStyle w:val="Lillev"/>
    </w:pPr>
    <w:r>
      <w:rPr>
        <w:noProof/>
        <w:lang w:eastAsia="da-DK"/>
      </w:rPr>
      <w:drawing>
        <wp:anchor distT="0" distB="0" distL="114300" distR="114300" simplePos="0" relativeHeight="251657216" behindDoc="0" locked="1" layoutInCell="1" allowOverlap="1" wp14:anchorId="37E32332" wp14:editId="1FCA02DE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3" name="Billede 3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noq_logo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1643" w:rsidRPr="00E81643">
      <w:rPr>
        <w:lang w:val="kl-GL"/>
      </w:rPr>
      <w:t>Aningaasaqarnermut Akileraartarnermullu Naalakkersuisoqarfik</w:t>
    </w:r>
    <w:r w:rsidR="002701D9">
      <w:t xml:space="preserve"> </w:t>
    </w:r>
  </w:p>
  <w:p w14:paraId="3026469D" w14:textId="77777777" w:rsidR="00D80BF6" w:rsidRPr="00E25CDA" w:rsidRDefault="00E81643" w:rsidP="00FA2B29">
    <w:pPr>
      <w:pStyle w:val="Lillev"/>
    </w:pPr>
    <w:r w:rsidRPr="00E81643">
      <w:t>Departementet for Finanser og Skatter</w:t>
    </w:r>
  </w:p>
  <w:p w14:paraId="476FB4E0" w14:textId="77777777" w:rsidR="00D80BF6" w:rsidRDefault="00D80BF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4EEA"/>
    <w:multiLevelType w:val="hybridMultilevel"/>
    <w:tmpl w:val="7BB0B498"/>
    <w:lvl w:ilvl="0" w:tplc="048A663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E2115"/>
    <w:multiLevelType w:val="hybridMultilevel"/>
    <w:tmpl w:val="E5A6A27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AE106A"/>
    <w:multiLevelType w:val="hybridMultilevel"/>
    <w:tmpl w:val="83B2B35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152F"/>
    <w:multiLevelType w:val="hybridMultilevel"/>
    <w:tmpl w:val="12C44A3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23E"/>
    <w:rsid w:val="00003CAA"/>
    <w:rsid w:val="00011799"/>
    <w:rsid w:val="00027D8E"/>
    <w:rsid w:val="000B10AC"/>
    <w:rsid w:val="000C6412"/>
    <w:rsid w:val="000D59F4"/>
    <w:rsid w:val="000E02DE"/>
    <w:rsid w:val="000F241E"/>
    <w:rsid w:val="001061AC"/>
    <w:rsid w:val="00121177"/>
    <w:rsid w:val="00175C23"/>
    <w:rsid w:val="0018123E"/>
    <w:rsid w:val="001E0948"/>
    <w:rsid w:val="001E0DA5"/>
    <w:rsid w:val="001F3B9C"/>
    <w:rsid w:val="00215CAB"/>
    <w:rsid w:val="00225C80"/>
    <w:rsid w:val="0026174F"/>
    <w:rsid w:val="002701D9"/>
    <w:rsid w:val="00272D35"/>
    <w:rsid w:val="002D2D25"/>
    <w:rsid w:val="00305F42"/>
    <w:rsid w:val="00331CAB"/>
    <w:rsid w:val="00375D20"/>
    <w:rsid w:val="003B0AF9"/>
    <w:rsid w:val="003F6C90"/>
    <w:rsid w:val="00413682"/>
    <w:rsid w:val="004402D4"/>
    <w:rsid w:val="00465A30"/>
    <w:rsid w:val="004663C2"/>
    <w:rsid w:val="00491286"/>
    <w:rsid w:val="004962F0"/>
    <w:rsid w:val="00496553"/>
    <w:rsid w:val="004D6DBD"/>
    <w:rsid w:val="00561264"/>
    <w:rsid w:val="00572746"/>
    <w:rsid w:val="00596A90"/>
    <w:rsid w:val="005A020A"/>
    <w:rsid w:val="005A226D"/>
    <w:rsid w:val="005A4D78"/>
    <w:rsid w:val="005C6BA2"/>
    <w:rsid w:val="005D3191"/>
    <w:rsid w:val="0060272B"/>
    <w:rsid w:val="00617699"/>
    <w:rsid w:val="00623A51"/>
    <w:rsid w:val="00627BBE"/>
    <w:rsid w:val="006374E5"/>
    <w:rsid w:val="0064470E"/>
    <w:rsid w:val="006557AF"/>
    <w:rsid w:val="0066737B"/>
    <w:rsid w:val="00673AB5"/>
    <w:rsid w:val="006747F2"/>
    <w:rsid w:val="0067784F"/>
    <w:rsid w:val="006861EE"/>
    <w:rsid w:val="006E7131"/>
    <w:rsid w:val="00714661"/>
    <w:rsid w:val="00716BF3"/>
    <w:rsid w:val="00743D20"/>
    <w:rsid w:val="00762125"/>
    <w:rsid w:val="00784E3E"/>
    <w:rsid w:val="00796A5B"/>
    <w:rsid w:val="007B1AA3"/>
    <w:rsid w:val="007C35F5"/>
    <w:rsid w:val="007D0421"/>
    <w:rsid w:val="007D3B61"/>
    <w:rsid w:val="007F0028"/>
    <w:rsid w:val="007F3259"/>
    <w:rsid w:val="00844D2E"/>
    <w:rsid w:val="00864F64"/>
    <w:rsid w:val="00865320"/>
    <w:rsid w:val="00874C50"/>
    <w:rsid w:val="008813D7"/>
    <w:rsid w:val="008A0F75"/>
    <w:rsid w:val="008A78D4"/>
    <w:rsid w:val="008B1DED"/>
    <w:rsid w:val="008B5055"/>
    <w:rsid w:val="008C1B6C"/>
    <w:rsid w:val="008D3025"/>
    <w:rsid w:val="00931D1C"/>
    <w:rsid w:val="009373B4"/>
    <w:rsid w:val="00971F7E"/>
    <w:rsid w:val="00982208"/>
    <w:rsid w:val="00986E1B"/>
    <w:rsid w:val="009956FC"/>
    <w:rsid w:val="009E26D5"/>
    <w:rsid w:val="009F5A28"/>
    <w:rsid w:val="00A010AA"/>
    <w:rsid w:val="00A223B6"/>
    <w:rsid w:val="00A346F1"/>
    <w:rsid w:val="00A467CB"/>
    <w:rsid w:val="00A90DAB"/>
    <w:rsid w:val="00B33FA9"/>
    <w:rsid w:val="00B75A84"/>
    <w:rsid w:val="00BC3331"/>
    <w:rsid w:val="00C63E01"/>
    <w:rsid w:val="00CA72DA"/>
    <w:rsid w:val="00CB47EE"/>
    <w:rsid w:val="00CE6712"/>
    <w:rsid w:val="00CF2E3F"/>
    <w:rsid w:val="00D16DB6"/>
    <w:rsid w:val="00D534F0"/>
    <w:rsid w:val="00D80BF6"/>
    <w:rsid w:val="00D93283"/>
    <w:rsid w:val="00DD035B"/>
    <w:rsid w:val="00E01FF8"/>
    <w:rsid w:val="00E132ED"/>
    <w:rsid w:val="00E55B95"/>
    <w:rsid w:val="00E81643"/>
    <w:rsid w:val="00EE3C1E"/>
    <w:rsid w:val="00EE48FC"/>
    <w:rsid w:val="00EF4840"/>
    <w:rsid w:val="00F07ADB"/>
    <w:rsid w:val="00F34717"/>
    <w:rsid w:val="00F51D64"/>
    <w:rsid w:val="00F56395"/>
    <w:rsid w:val="00FA2B29"/>
    <w:rsid w:val="00FE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BE0F5F"/>
  <w15:docId w15:val="{4707C58C-6FCF-4636-AF18-96C0B42A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402D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02D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2B29"/>
  </w:style>
  <w:style w:type="paragraph" w:styleId="Sidefod">
    <w:name w:val="footer"/>
    <w:basedOn w:val="Normal"/>
    <w:link w:val="Sidefo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2B29"/>
  </w:style>
  <w:style w:type="paragraph" w:customStyle="1" w:styleId="Lillev">
    <w:name w:val="Lille v"/>
    <w:basedOn w:val="Sidehoved"/>
    <w:link w:val="Lille1Tegn"/>
    <w:qFormat/>
    <w:rsid w:val="00FA2B29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ascii="Arial" w:eastAsia="Times New Roman" w:hAnsi="Arial" w:cs="Times New Roman"/>
      <w:sz w:val="14"/>
      <w:szCs w:val="24"/>
    </w:rPr>
  </w:style>
  <w:style w:type="character" w:customStyle="1" w:styleId="Lille1Tegn">
    <w:name w:val="Lille 1 Tegn"/>
    <w:basedOn w:val="SidehovedTegn"/>
    <w:link w:val="Lillev"/>
    <w:rsid w:val="00FA2B29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uiPriority w:val="59"/>
    <w:rsid w:val="0046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465A30"/>
    <w:pPr>
      <w:spacing w:after="0" w:line="200" w:lineRule="atLeast"/>
      <w:jc w:val="right"/>
    </w:pPr>
    <w:rPr>
      <w:rFonts w:ascii="Arial" w:eastAsia="Times New Roman" w:hAnsi="Arial" w:cs="Times New Roman"/>
      <w:sz w:val="14"/>
      <w:szCs w:val="24"/>
    </w:rPr>
  </w:style>
  <w:style w:type="character" w:customStyle="1" w:styleId="LilleTegn">
    <w:name w:val="Lille Tegn"/>
    <w:link w:val="Lille"/>
    <w:rsid w:val="00465A30"/>
    <w:rPr>
      <w:rFonts w:ascii="Arial" w:eastAsia="Times New Roman" w:hAnsi="Arial" w:cs="Times New Roman"/>
      <w:sz w:val="14"/>
      <w:szCs w:val="24"/>
    </w:rPr>
  </w:style>
  <w:style w:type="character" w:styleId="Sidetal">
    <w:name w:val="page number"/>
    <w:rsid w:val="00EE48FC"/>
    <w:rPr>
      <w:rFonts w:ascii="Arial" w:hAnsi="Arial"/>
      <w:sz w:val="14"/>
    </w:rPr>
  </w:style>
  <w:style w:type="character" w:styleId="Hyperlink">
    <w:name w:val="Hyperlink"/>
    <w:basedOn w:val="Standardskrifttypeiafsnit"/>
    <w:uiPriority w:val="99"/>
    <w:unhideWhenUsed/>
    <w:rsid w:val="0060272B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60272B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60272B"/>
    <w:rPr>
      <w:color w:val="800080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60272B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796A5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96A5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96A5B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96A5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96A5B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0F241E"/>
    <w:pPr>
      <w:spacing w:after="0" w:line="240" w:lineRule="auto"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175C23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175C23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175C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odka@nanoq.gl" TargetMode="External"/><Relationship Id="rId4" Type="http://schemas.openxmlformats.org/officeDocument/2006/relationships/styles" Target="styles.xml"/><Relationship Id="rId9" Type="http://schemas.openxmlformats.org/officeDocument/2006/relationships/hyperlink" Target="mailto:isiin@nanoq.g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S\AppData\Local\cBrain\F2\.tmp\0ec6d1ee431b46548ec8bf2674d7e155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ns0:Root xmlns:ns0="Captia">
  <ns0:address>
    <Content xmlns="Captia" id="address1">
      <Value/>
    </Content>
    <Content xmlns="Captia" id="name:name1">
      <Value/>
    </Content>
    <Content xmlns="Captia" id="name:name2">
      <Value/>
    </Content>
    <Content xmlns="Captia" id="address2">
      <Value/>
    </Content>
    <Content xmlns="Captia" id="address3">
      <Value/>
    </Content>
    <Content xmlns="Captia" id="postcode">
      <Value/>
    </Content>
    <Content xmlns="Captia" id="postcode">
      <Elab/>
    </Content>
  </ns0:address>
  <ns0:case>
    <Content xmlns="Captia" id="file_no">
      <Value/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</ns0:case>
  <ns0:record>
    <Content xmlns="Captia" id="title">
      <Value/>
    </Content>
    <Content xmlns="Captia" id="letter_date">
      <Value/>
    </Content>
    <Content xmlns="Captia" id="record_key">
      <Value/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</ns0:record>
</ns0: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96A19-BFE3-489D-A7F8-5522513C57CD}">
  <ds:schemaRefs>
    <ds:schemaRef ds:uri="Captia"/>
  </ds:schemaRefs>
</ds:datastoreItem>
</file>

<file path=customXml/itemProps2.xml><?xml version="1.0" encoding="utf-8"?>
<ds:datastoreItem xmlns:ds="http://schemas.openxmlformats.org/officeDocument/2006/customXml" ds:itemID="{DB702215-7CDD-4AB5-B07B-E7D3CC64F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0ec6d1ee431b46548ec8bf2674d7e155</Template>
  <TotalTime>481</TotalTime>
  <Pages>3</Pages>
  <Words>895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Wenzel Selvejer</dc:creator>
  <cp:lastModifiedBy>Morten Wenzel Selvejer</cp:lastModifiedBy>
  <cp:revision>24</cp:revision>
  <dcterms:created xsi:type="dcterms:W3CDTF">2024-07-04T08:51:00Z</dcterms:created>
  <dcterms:modified xsi:type="dcterms:W3CDTF">2024-07-10T05:33:00Z</dcterms:modified>
</cp:coreProperties>
</file>