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B5DA" w14:textId="77777777" w:rsidR="00990F76" w:rsidRPr="00990F76" w:rsidRDefault="00990F76" w:rsidP="00990F76">
      <w:pPr>
        <w:jc w:val="center"/>
      </w:pPr>
      <w:r w:rsidRPr="00990F76">
        <w:t>Bemærkninger til forslaget</w:t>
      </w:r>
    </w:p>
    <w:p w14:paraId="4E2E3BB6" w14:textId="77777777" w:rsidR="00990F76" w:rsidRDefault="00990F76" w:rsidP="00990F76">
      <w:pPr>
        <w:jc w:val="center"/>
        <w:rPr>
          <w:b/>
          <w:bCs/>
        </w:rPr>
      </w:pPr>
    </w:p>
    <w:p w14:paraId="211F17B3" w14:textId="736CCE48" w:rsidR="00990F76" w:rsidRDefault="00990F76" w:rsidP="00990F76">
      <w:pPr>
        <w:jc w:val="center"/>
        <w:rPr>
          <w:b/>
          <w:bCs/>
        </w:rPr>
      </w:pPr>
      <w:r w:rsidRPr="00990F76">
        <w:rPr>
          <w:b/>
          <w:bCs/>
        </w:rPr>
        <w:t>Almindelige bemærkninge</w:t>
      </w:r>
      <w:r>
        <w:rPr>
          <w:b/>
          <w:bCs/>
        </w:rPr>
        <w:t>r</w:t>
      </w:r>
    </w:p>
    <w:p w14:paraId="32E95C9E" w14:textId="77777777" w:rsidR="00990F76" w:rsidRPr="00990F76" w:rsidRDefault="00990F76" w:rsidP="00990F76">
      <w:pPr>
        <w:rPr>
          <w:b/>
          <w:bCs/>
        </w:rPr>
      </w:pPr>
    </w:p>
    <w:p w14:paraId="7587E6B1" w14:textId="3A887C8E" w:rsidR="00990F76" w:rsidRDefault="00990F76" w:rsidP="00990F76">
      <w:pPr>
        <w:rPr>
          <w:b/>
          <w:bCs/>
        </w:rPr>
      </w:pPr>
      <w:r w:rsidRPr="00990F76">
        <w:rPr>
          <w:b/>
          <w:bCs/>
        </w:rPr>
        <w:t>1. Indledning</w:t>
      </w:r>
    </w:p>
    <w:p w14:paraId="493F8032" w14:textId="0329720B" w:rsidR="00990F76" w:rsidRPr="00990F76" w:rsidRDefault="005506C5" w:rsidP="00990F76">
      <w:r>
        <w:t xml:space="preserve">Der foreslås indført en pligt for grønlandske virksomheder, der lejer arbejdskraft fra udlandet, til at give skatteforvaltningen oplysninger om virksomheden, der er indgået en </w:t>
      </w:r>
      <w:r w:rsidR="003454DC">
        <w:t>aftale med</w:t>
      </w:r>
      <w:r>
        <w:t>.</w:t>
      </w:r>
      <w:r w:rsidR="00252CA8">
        <w:t xml:space="preserve">  </w:t>
      </w:r>
      <w:r w:rsidR="00990F76">
        <w:t xml:space="preserve">Indberetningspligten skal </w:t>
      </w:r>
      <w:r w:rsidR="00252CA8">
        <w:t>bidrage til at fremme</w:t>
      </w:r>
      <w:r w:rsidR="00990F76">
        <w:t xml:space="preserve">, at </w:t>
      </w:r>
      <w:r>
        <w:t xml:space="preserve">udenlandske </w:t>
      </w:r>
      <w:r w:rsidR="003454DC">
        <w:t xml:space="preserve">arbejdstagere betaler den </w:t>
      </w:r>
      <w:r>
        <w:t xml:space="preserve">skat, som de </w:t>
      </w:r>
      <w:r w:rsidR="003454DC">
        <w:t xml:space="preserve">har </w:t>
      </w:r>
      <w:r>
        <w:t>pligt til</w:t>
      </w:r>
      <w:r w:rsidR="00D81F9A">
        <w:t>,</w:t>
      </w:r>
      <w:r w:rsidR="003454DC">
        <w:t xml:space="preserve"> </w:t>
      </w:r>
      <w:r w:rsidR="00252CA8">
        <w:t>mens de udføre</w:t>
      </w:r>
      <w:r w:rsidR="006F366E">
        <w:t>r</w:t>
      </w:r>
      <w:r w:rsidR="00252CA8">
        <w:t xml:space="preserve"> arbejde i </w:t>
      </w:r>
      <w:r w:rsidR="003454DC">
        <w:t>Grønland</w:t>
      </w:r>
      <w:r>
        <w:t xml:space="preserve">. </w:t>
      </w:r>
    </w:p>
    <w:p w14:paraId="3F1B24E9" w14:textId="77777777" w:rsidR="00990F76" w:rsidRDefault="00990F76" w:rsidP="00990F76">
      <w:pPr>
        <w:rPr>
          <w:b/>
          <w:bCs/>
        </w:rPr>
      </w:pPr>
    </w:p>
    <w:p w14:paraId="7567BC29" w14:textId="07D488BD" w:rsidR="00990F76" w:rsidRDefault="00990F76" w:rsidP="00990F76">
      <w:pPr>
        <w:rPr>
          <w:b/>
          <w:bCs/>
        </w:rPr>
      </w:pPr>
      <w:r w:rsidRPr="00990F76">
        <w:rPr>
          <w:b/>
          <w:bCs/>
        </w:rPr>
        <w:t>2. Hovedpunkter i forslaget</w:t>
      </w:r>
    </w:p>
    <w:p w14:paraId="24BE4CF7" w14:textId="11AB98F2" w:rsidR="008A03C4" w:rsidRDefault="003454DC" w:rsidP="006F366E">
      <w:r>
        <w:t xml:space="preserve">Reglerne om arbejdsudleje blev indført </w:t>
      </w:r>
      <w:r w:rsidR="005549E5">
        <w:t>ved Inatsisartut</w:t>
      </w:r>
      <w:r w:rsidR="00A922FD">
        <w:t>lov</w:t>
      </w:r>
      <w:r w:rsidR="005549E5">
        <w:t xml:space="preserve"> nr. 18 af 26. juni 2017 </w:t>
      </w:r>
      <w:r w:rsidR="006F366E">
        <w:t>med tilføjelsen af § 76, stk. 4</w:t>
      </w:r>
      <w:r w:rsidR="005549E5">
        <w:t>,</w:t>
      </w:r>
      <w:r w:rsidR="006F366E">
        <w:t xml:space="preserve"> </w:t>
      </w:r>
      <w:r>
        <w:t xml:space="preserve">i landstingslov om indkomstskat. Arbejdsudleje omfatter de tilfælde, hvor medarbejdere stilles til rådighed for at udføre personligt arbejde for en grønlandske virksomhed, og hvor medarbejderne indgår som en integreret del i denne virksomhed. </w:t>
      </w:r>
      <w:r w:rsidR="00D049B9">
        <w:t xml:space="preserve">De ansatte bevarer i det tilfælde deres formelle ansættelsesforhold til deres udenlandske arbejdsgiver. I </w:t>
      </w:r>
      <w:r>
        <w:t xml:space="preserve">skattemæssig sammenhæng </w:t>
      </w:r>
      <w:r w:rsidR="00D049B9">
        <w:t xml:space="preserve">lægges der </w:t>
      </w:r>
      <w:r>
        <w:t xml:space="preserve">vægt på realiteten om, at medarbejdernes reelle arbejdsgiver, er den grønlandske arbejdsgiver. </w:t>
      </w:r>
    </w:p>
    <w:p w14:paraId="693B6545" w14:textId="77777777" w:rsidR="008A03C4" w:rsidRDefault="008A03C4" w:rsidP="006F366E"/>
    <w:p w14:paraId="1B5B616F" w14:textId="339B55E8" w:rsidR="006F366E" w:rsidRDefault="002F15D9" w:rsidP="006F366E">
      <w:r>
        <w:t xml:space="preserve">Den grønlandske arbejdsgiver har derfor pligt til at indeholde skat af vederlaget til de personer, de </w:t>
      </w:r>
      <w:r w:rsidR="00252CA8">
        <w:t xml:space="preserve">har </w:t>
      </w:r>
      <w:r>
        <w:t xml:space="preserve">lejet. </w:t>
      </w:r>
      <w:r w:rsidR="006F366E">
        <w:t xml:space="preserve"> Når der er tale om arbejdsudleje fra danske virksomheder, er den grønlandske virksomhed, der lejer arbejdskraften, fritaget for at indeholde skat af vederlaget, jf. § 76, stk. 4, sidste punktum, i landstingslov om indkomstskat. Fritagelsen skyldes aftalen om gensidig indeholdelse af kildeskat. Danmark og Grønland er i medfør af aftalen forpligtet til at indeholde kildeskat på hinandens vegne, og overføre skatten til det land, der har beskatningsretten.</w:t>
      </w:r>
    </w:p>
    <w:p w14:paraId="086820B0" w14:textId="1BB5A3F6" w:rsidR="003454DC" w:rsidRDefault="003454DC" w:rsidP="003454DC"/>
    <w:p w14:paraId="30731E43" w14:textId="032C6AAD" w:rsidR="005506C5" w:rsidRDefault="00AF23F8" w:rsidP="00AF23F8">
      <w:r>
        <w:t>Skatteforvaltningen h</w:t>
      </w:r>
      <w:r w:rsidR="00A922FD">
        <w:t>a</w:t>
      </w:r>
      <w:r>
        <w:t>r i</w:t>
      </w:r>
      <w:r w:rsidR="00D12991">
        <w:t xml:space="preserve"> forbindelse med flere </w:t>
      </w:r>
      <w:r>
        <w:t>kontrolbesøg på byggepladser</w:t>
      </w:r>
      <w:r w:rsidR="00C26A08">
        <w:t xml:space="preserve"> </w:t>
      </w:r>
      <w:r>
        <w:t xml:space="preserve">m.m. konstateret, </w:t>
      </w:r>
      <w:r w:rsidR="00252CA8">
        <w:t xml:space="preserve">tilfælde hvor </w:t>
      </w:r>
      <w:r>
        <w:t>der ikke indehold</w:t>
      </w:r>
      <w:r w:rsidR="00D12991">
        <w:t>es korrekt</w:t>
      </w:r>
      <w:r>
        <w:t xml:space="preserve"> kildeskat til Grønland. Der har </w:t>
      </w:r>
      <w:r w:rsidR="005506C5">
        <w:t xml:space="preserve">blandt andet </w:t>
      </w:r>
      <w:r>
        <w:t xml:space="preserve">været tilfælde hvor grønlandske virksomhed har </w:t>
      </w:r>
      <w:r w:rsidR="00B85AC8">
        <w:t xml:space="preserve">lejet </w:t>
      </w:r>
      <w:r>
        <w:t xml:space="preserve">arbejdskraft </w:t>
      </w:r>
      <w:r w:rsidR="005506C5">
        <w:t xml:space="preserve">hos </w:t>
      </w:r>
      <w:r>
        <w:t xml:space="preserve">danske virksomheder eller fra udenlandske virksomheder, der har </w:t>
      </w:r>
      <w:r w:rsidR="007F0A01">
        <w:t xml:space="preserve">datterselskaber i </w:t>
      </w:r>
      <w:r>
        <w:t xml:space="preserve">Danmark. </w:t>
      </w:r>
    </w:p>
    <w:p w14:paraId="0D1C3107" w14:textId="77777777" w:rsidR="00D12991" w:rsidRDefault="00D12991" w:rsidP="00AF23F8"/>
    <w:p w14:paraId="2CF80455" w14:textId="7BCB45C9" w:rsidR="00252CA8" w:rsidRDefault="00F74B94" w:rsidP="004171C3">
      <w:r>
        <w:t xml:space="preserve">Aftalen </w:t>
      </w:r>
      <w:r w:rsidR="006F366E">
        <w:t xml:space="preserve">om gensidig indeholdelsespligt </w:t>
      </w:r>
      <w:r>
        <w:t>indebære</w:t>
      </w:r>
      <w:r w:rsidR="005506C5">
        <w:t>r</w:t>
      </w:r>
      <w:r>
        <w:t xml:space="preserve"> i mange tilfælde en lettelse</w:t>
      </w:r>
      <w:r w:rsidR="006E1692">
        <w:t xml:space="preserve"> for skatteopkrævningen</w:t>
      </w:r>
      <w:r w:rsidR="003454DC">
        <w:t xml:space="preserve">. Men når der </w:t>
      </w:r>
      <w:r w:rsidR="005549E5">
        <w:t xml:space="preserve">ved </w:t>
      </w:r>
      <w:r w:rsidR="003454DC">
        <w:t>arbejdsudleje ikke er in</w:t>
      </w:r>
      <w:r w:rsidR="004171C3">
        <w:t xml:space="preserve">deholdt </w:t>
      </w:r>
      <w:r w:rsidR="003454DC">
        <w:t xml:space="preserve">korrekt skat, medføre det </w:t>
      </w:r>
      <w:r w:rsidR="005506C5">
        <w:t xml:space="preserve">en </w:t>
      </w:r>
      <w:r w:rsidR="00AF23F8">
        <w:t xml:space="preserve">væsentlig </w:t>
      </w:r>
      <w:r w:rsidR="009F3786">
        <w:t>administrativ</w:t>
      </w:r>
      <w:r w:rsidR="005549E5">
        <w:t xml:space="preserve"> </w:t>
      </w:r>
      <w:r w:rsidR="00AF23F8">
        <w:t xml:space="preserve">byrde </w:t>
      </w:r>
      <w:r w:rsidR="009F3786">
        <w:t xml:space="preserve">både for </w:t>
      </w:r>
      <w:r w:rsidR="00AF23F8">
        <w:t>skatteforvaltningen</w:t>
      </w:r>
      <w:r w:rsidR="009F3786">
        <w:t>, virksomhederne og arbejdstagerne</w:t>
      </w:r>
      <w:r w:rsidR="00AF23F8">
        <w:t xml:space="preserve"> </w:t>
      </w:r>
      <w:r w:rsidR="005506C5">
        <w:t xml:space="preserve">at </w:t>
      </w:r>
      <w:r w:rsidR="003454DC">
        <w:t xml:space="preserve">få </w:t>
      </w:r>
      <w:r w:rsidR="00AF23F8">
        <w:t xml:space="preserve">rette </w:t>
      </w:r>
      <w:r w:rsidR="004171C3">
        <w:t xml:space="preserve">op </w:t>
      </w:r>
      <w:r w:rsidR="006F366E">
        <w:t>på forholdene</w:t>
      </w:r>
      <w:r w:rsidR="004171C3">
        <w:t xml:space="preserve">. </w:t>
      </w:r>
      <w:r w:rsidR="006F366E">
        <w:t xml:space="preserve">Manglende viden </w:t>
      </w:r>
      <w:r w:rsidR="005549E5">
        <w:t xml:space="preserve">og manglende indeholdelse af skat </w:t>
      </w:r>
      <w:r w:rsidR="004171C3">
        <w:t xml:space="preserve">medfører desuden en risiko for tab af provenu fra indkomstskatter. </w:t>
      </w:r>
    </w:p>
    <w:p w14:paraId="3CD69256" w14:textId="5ECEE3ED" w:rsidR="00252CA8" w:rsidRDefault="00252CA8" w:rsidP="00990F76"/>
    <w:p w14:paraId="3D7113B3" w14:textId="1241D8FC" w:rsidR="004576CE" w:rsidRDefault="002F15D9" w:rsidP="004576CE">
      <w:r>
        <w:t>Det foreslås derfor</w:t>
      </w:r>
      <w:r w:rsidR="00D81F9A">
        <w:t>,</w:t>
      </w:r>
      <w:r>
        <w:t xml:space="preserve"> at de grønlandske arbejdsgiver</w:t>
      </w:r>
      <w:r w:rsidR="00252CA8">
        <w:t>e</w:t>
      </w:r>
      <w:r>
        <w:t xml:space="preserve"> pålægges at indberette oplysninger om, hvilke </w:t>
      </w:r>
      <w:r w:rsidR="00252CA8">
        <w:t xml:space="preserve">udenlandske, herunder danske og færøske, </w:t>
      </w:r>
      <w:r>
        <w:t>virksomheder</w:t>
      </w:r>
      <w:r w:rsidR="00252CA8">
        <w:t xml:space="preserve"> </w:t>
      </w:r>
      <w:r>
        <w:t xml:space="preserve">de </w:t>
      </w:r>
      <w:r w:rsidR="00252CA8">
        <w:t xml:space="preserve">har </w:t>
      </w:r>
      <w:r>
        <w:t>indgået arbejdsudlejeaftaler med.</w:t>
      </w:r>
      <w:r w:rsidR="004576CE">
        <w:t xml:space="preserve"> </w:t>
      </w:r>
      <w:r w:rsidR="004576CE">
        <w:lastRenderedPageBreak/>
        <w:t xml:space="preserve">Pligten til at indberette </w:t>
      </w:r>
      <w:r w:rsidR="00A922FD">
        <w:t xml:space="preserve">disse oplysninger </w:t>
      </w:r>
      <w:r w:rsidR="004576CE">
        <w:t xml:space="preserve">indtræder </w:t>
      </w:r>
      <w:r w:rsidR="00A922FD">
        <w:t xml:space="preserve">den </w:t>
      </w:r>
      <w:r w:rsidR="004576CE">
        <w:t>10</w:t>
      </w:r>
      <w:r w:rsidR="00A922FD">
        <w:t>.</w:t>
      </w:r>
      <w:r w:rsidR="004576CE">
        <w:t xml:space="preserve"> </w:t>
      </w:r>
      <w:r w:rsidR="00A922FD">
        <w:t xml:space="preserve">i den følgende måned </w:t>
      </w:r>
      <w:r w:rsidR="004576CE">
        <w:t xml:space="preserve">efter, at der er udbetalt løn til de arbejdsindlejede personer, eller at der er indgået en aftale om arbejdsudleje. </w:t>
      </w:r>
    </w:p>
    <w:p w14:paraId="73025E0B" w14:textId="77777777" w:rsidR="002F15D9" w:rsidRDefault="002F15D9" w:rsidP="00990F76"/>
    <w:p w14:paraId="3B8C594E" w14:textId="0B7A46EB" w:rsidR="004576CE" w:rsidRDefault="004171C3" w:rsidP="004576CE">
      <w:r>
        <w:t>Formålet med indberetning</w:t>
      </w:r>
      <w:r w:rsidR="002F15D9">
        <w:t>e</w:t>
      </w:r>
      <w:r w:rsidR="004576CE">
        <w:t>rne</w:t>
      </w:r>
      <w:r>
        <w:t xml:space="preserve"> er</w:t>
      </w:r>
      <w:r w:rsidR="00D81F9A">
        <w:t xml:space="preserve"> at</w:t>
      </w:r>
      <w:r>
        <w:t xml:space="preserve"> </w:t>
      </w:r>
      <w:r w:rsidR="002F15D9">
        <w:t>gøre s</w:t>
      </w:r>
      <w:r>
        <w:t xml:space="preserve">katteforvaltningen </w:t>
      </w:r>
      <w:r w:rsidR="002F15D9">
        <w:t xml:space="preserve">i stand </w:t>
      </w:r>
      <w:r w:rsidR="00A922FD">
        <w:t xml:space="preserve">til, </w:t>
      </w:r>
      <w:r w:rsidR="002F15D9">
        <w:t xml:space="preserve">at </w:t>
      </w:r>
      <w:r w:rsidR="00D12991">
        <w:t xml:space="preserve">rette henvendelse til </w:t>
      </w:r>
      <w:r>
        <w:t xml:space="preserve">de udenlandske </w:t>
      </w:r>
      <w:r w:rsidR="00D12991">
        <w:t>virksomheder</w:t>
      </w:r>
      <w:r w:rsidR="003454DC">
        <w:t>, der udlejer arbejdskraft</w:t>
      </w:r>
      <w:r>
        <w:t>en</w:t>
      </w:r>
      <w:r w:rsidR="003454DC">
        <w:t xml:space="preserve">, </w:t>
      </w:r>
      <w:r w:rsidR="00D12991">
        <w:t xml:space="preserve">og </w:t>
      </w:r>
      <w:r w:rsidR="007F0A01">
        <w:t xml:space="preserve">vejlede </w:t>
      </w:r>
      <w:r>
        <w:t xml:space="preserve">dem </w:t>
      </w:r>
      <w:r w:rsidR="00D12991">
        <w:t xml:space="preserve">om reglerne for indeholdelse af skat. </w:t>
      </w:r>
      <w:r w:rsidR="004576CE">
        <w:t>Oplysningerne er desuden relevante i forbindelse med skatteforvaltningens kontrol af byggepladser m.v. og vurdering af, om der skal indhentes en kopi af aftaler m.v.</w:t>
      </w:r>
      <w:r w:rsidR="004576CE" w:rsidRPr="002F15D9">
        <w:t xml:space="preserve"> </w:t>
      </w:r>
    </w:p>
    <w:p w14:paraId="6458A4AB" w14:textId="7D1BA3BE" w:rsidR="008F3800" w:rsidRDefault="008F3800" w:rsidP="008F3800"/>
    <w:p w14:paraId="6009C4A2" w14:textId="3E21F856" w:rsidR="006F366E" w:rsidRDefault="006F366E" w:rsidP="006F366E">
      <w:r>
        <w:t>Indberetningen skal ske elektronisk</w:t>
      </w:r>
      <w:r w:rsidR="00FA4E2D">
        <w:t xml:space="preserve"> på den måde skatteforvaltningen angiver. Indberetningen </w:t>
      </w:r>
      <w:r>
        <w:t>forventes integreret i det indberetningssystem, som arbejdsgivere i dag benytter til at indberette A-indkomster og indeholdt A-skat m.v. (</w:t>
      </w:r>
      <w:proofErr w:type="spellStart"/>
      <w:r>
        <w:t>Sulinal</w:t>
      </w:r>
      <w:proofErr w:type="spellEnd"/>
      <w:r>
        <w:t xml:space="preserve">). </w:t>
      </w:r>
    </w:p>
    <w:p w14:paraId="7EC4D419" w14:textId="77777777" w:rsidR="006F366E" w:rsidRDefault="006F366E" w:rsidP="008F3800"/>
    <w:p w14:paraId="668E7AEE" w14:textId="15821BFB" w:rsidR="00252CA8" w:rsidRDefault="008F3800" w:rsidP="00990F76">
      <w:r>
        <w:t>Indberetningspligten gælder medmindre den grønlandske virksomhed, der er indberetningspligtig, med sikkerhed har fastslået, at der ikke er tale om arbejdsudleje.</w:t>
      </w:r>
      <w:r w:rsidR="006F366E">
        <w:t xml:space="preserve"> </w:t>
      </w:r>
      <w:r w:rsidR="002F15D9">
        <w:t>En i</w:t>
      </w:r>
      <w:r w:rsidR="004171C3">
        <w:t xml:space="preserve">ndberetning er dog ikke bindende for den indberetningspligtige i forhold til, om der </w:t>
      </w:r>
      <w:r w:rsidR="002F15D9">
        <w:t xml:space="preserve">foreligger </w:t>
      </w:r>
      <w:r w:rsidR="004171C3">
        <w:t xml:space="preserve">arbejdsudleje eller ej. </w:t>
      </w:r>
      <w:r w:rsidR="00D12991">
        <w:t xml:space="preserve">Hvis virksomheden er usikker </w:t>
      </w:r>
      <w:r w:rsidR="004171C3">
        <w:t xml:space="preserve">på </w:t>
      </w:r>
      <w:r w:rsidR="00D12991">
        <w:t xml:space="preserve">om der i det konkrete tilfælde </w:t>
      </w:r>
      <w:r w:rsidR="003454DC">
        <w:t xml:space="preserve">er tale om </w:t>
      </w:r>
      <w:r w:rsidR="00D12991">
        <w:t xml:space="preserve">arbejdsudleje eller ej, skal de således fortsat indberette </w:t>
      </w:r>
      <w:r w:rsidR="00252CA8">
        <w:t>til skatteforvaltningen</w:t>
      </w:r>
      <w:r w:rsidR="00D12991">
        <w:t xml:space="preserve">. </w:t>
      </w:r>
      <w:r w:rsidR="004171C3">
        <w:t>Tilgangen er således</w:t>
      </w:r>
      <w:r w:rsidR="00252CA8">
        <w:t xml:space="preserve"> den</w:t>
      </w:r>
      <w:r w:rsidR="004171C3">
        <w:t xml:space="preserve">, at hvis </w:t>
      </w:r>
      <w:r w:rsidR="00252CA8">
        <w:t xml:space="preserve">arbejdsgiveren </w:t>
      </w:r>
      <w:r w:rsidR="004171C3">
        <w:t xml:space="preserve">er i tvivl, bør </w:t>
      </w:r>
      <w:r w:rsidR="00252CA8">
        <w:t xml:space="preserve">der hellere foretages en indberetning </w:t>
      </w:r>
      <w:r w:rsidR="00A922FD">
        <w:t>1</w:t>
      </w:r>
      <w:r w:rsidR="004171C3">
        <w:t xml:space="preserve"> gang for meget end </w:t>
      </w:r>
      <w:r w:rsidR="00A922FD">
        <w:t>1</w:t>
      </w:r>
      <w:r w:rsidR="004171C3">
        <w:t xml:space="preserve"> gang for lidt.</w:t>
      </w:r>
      <w:r w:rsidR="00252CA8">
        <w:t xml:space="preserve"> </w:t>
      </w:r>
      <w:r w:rsidR="004171C3">
        <w:t xml:space="preserve">Om der er tale om arbejdsudleje </w:t>
      </w:r>
      <w:r w:rsidR="00D12991">
        <w:t>bero</w:t>
      </w:r>
      <w:r w:rsidR="009F3786">
        <w:t>r</w:t>
      </w:r>
      <w:r w:rsidR="00D12991">
        <w:t xml:space="preserve"> på en konkret vurdering i hvert enkelt tilfælde</w:t>
      </w:r>
      <w:r w:rsidR="00252CA8">
        <w:t xml:space="preserve"> i medfør af reglerne i landstingslov om indkomstskat.</w:t>
      </w:r>
    </w:p>
    <w:p w14:paraId="2CECF8D3" w14:textId="77777777" w:rsidR="00252CA8" w:rsidRDefault="00252CA8" w:rsidP="00990F76">
      <w:pPr>
        <w:rPr>
          <w:b/>
          <w:bCs/>
        </w:rPr>
      </w:pPr>
    </w:p>
    <w:p w14:paraId="53609FC2" w14:textId="49F80FDE" w:rsidR="00990F76" w:rsidRDefault="00990F76" w:rsidP="00990F76">
      <w:pPr>
        <w:rPr>
          <w:b/>
          <w:bCs/>
        </w:rPr>
      </w:pPr>
      <w:r w:rsidRPr="00990F76">
        <w:rPr>
          <w:b/>
          <w:bCs/>
        </w:rPr>
        <w:t>3. Økonomiske og administrative konsekvenser for det offentlige</w:t>
      </w:r>
    </w:p>
    <w:p w14:paraId="4A7F9D2F" w14:textId="7EB0C956" w:rsidR="0016670E" w:rsidRDefault="00C26A08" w:rsidP="00990F76">
      <w:r>
        <w:t xml:space="preserve">Forslaget forventes ikke at medføre </w:t>
      </w:r>
      <w:r w:rsidR="006F366E">
        <w:t xml:space="preserve">væsentlige </w:t>
      </w:r>
      <w:r>
        <w:t xml:space="preserve">administrative udgifter for det offentlige. </w:t>
      </w:r>
      <w:r w:rsidR="0016670E">
        <w:t xml:space="preserve">Forslaget forventes at give anledning til tilpasning af arbejdsgiverindberetningen, hvilket forventes at udgøre en engangsudgift på 250.000 kr. </w:t>
      </w:r>
    </w:p>
    <w:p w14:paraId="59C116FE" w14:textId="77777777" w:rsidR="0016670E" w:rsidRDefault="0016670E" w:rsidP="00990F76"/>
    <w:p w14:paraId="1F72B557" w14:textId="0AC5349A" w:rsidR="00C26A08" w:rsidRDefault="00C26A08" w:rsidP="00990F76">
      <w:r>
        <w:t>Forslaget forventes at give skatteforvaltningen bedre muligheder for at opkræve skat ved arbejdsudleje og forhindre fejl, hvilket kan mindske de administrative udgifter</w:t>
      </w:r>
      <w:r w:rsidR="004576CE">
        <w:t xml:space="preserve"> </w:t>
      </w:r>
      <w:r>
        <w:t xml:space="preserve">forbundet </w:t>
      </w:r>
      <w:r w:rsidR="00FA4E2D">
        <w:t>med korrektioner</w:t>
      </w:r>
      <w:r>
        <w:t>.</w:t>
      </w:r>
      <w:r w:rsidR="004171C3">
        <w:t xml:space="preserve"> </w:t>
      </w:r>
      <w:r>
        <w:t xml:space="preserve">Indtægterne lader sig dog ikke </w:t>
      </w:r>
      <w:r w:rsidR="008F3800">
        <w:t xml:space="preserve">anslå på nuværende tidspunkt. </w:t>
      </w:r>
    </w:p>
    <w:p w14:paraId="7D83C9F4" w14:textId="77777777" w:rsidR="00A922FD" w:rsidRDefault="00A922FD" w:rsidP="00990F76"/>
    <w:p w14:paraId="392853B6" w14:textId="7B7545B0" w:rsidR="00A922FD" w:rsidRPr="00C26A08" w:rsidRDefault="00A922FD" w:rsidP="00990F76">
      <w:r>
        <w:t>Forslaget kan medvirke til at indeholdelsespligten overholdes, og at der korrekt opkræves skat for personer, der udlejet til at udføre arbejde i Grønland.</w:t>
      </w:r>
    </w:p>
    <w:p w14:paraId="513F7993" w14:textId="77777777" w:rsidR="00C26A08" w:rsidRPr="00990F76" w:rsidRDefault="00C26A08" w:rsidP="00990F76">
      <w:pPr>
        <w:rPr>
          <w:b/>
          <w:bCs/>
        </w:rPr>
      </w:pPr>
    </w:p>
    <w:p w14:paraId="12EC2B13" w14:textId="12E3C539" w:rsidR="00990F76" w:rsidRDefault="00990F76" w:rsidP="00990F76">
      <w:pPr>
        <w:rPr>
          <w:b/>
          <w:bCs/>
        </w:rPr>
      </w:pPr>
      <w:r w:rsidRPr="00990F76">
        <w:rPr>
          <w:b/>
          <w:bCs/>
        </w:rPr>
        <w:t>4. Økonomiske og administrative konsekvenser for erhvervslivet</w:t>
      </w:r>
    </w:p>
    <w:p w14:paraId="4E8749E6" w14:textId="3079CA93" w:rsidR="00C26A08" w:rsidRDefault="00C26A08" w:rsidP="00990F76">
      <w:r>
        <w:t xml:space="preserve">Forslaget </w:t>
      </w:r>
      <w:r w:rsidR="00FA4E2D">
        <w:t xml:space="preserve">vil </w:t>
      </w:r>
      <w:r>
        <w:t xml:space="preserve">i begrænset omfang pålægge virksomhederne </w:t>
      </w:r>
      <w:r w:rsidR="00D81F9A">
        <w:t>mere</w:t>
      </w:r>
      <w:r>
        <w:t xml:space="preserve"> administration forbundet med</w:t>
      </w:r>
      <w:r w:rsidR="00355E85">
        <w:t xml:space="preserve"> </w:t>
      </w:r>
      <w:r w:rsidR="00252CA8">
        <w:t>indberetning</w:t>
      </w:r>
      <w:r w:rsidR="00FA4E2D">
        <w:t>erne</w:t>
      </w:r>
      <w:r>
        <w:t>.</w:t>
      </w:r>
      <w:r w:rsidR="009F3786">
        <w:t xml:space="preserve"> </w:t>
      </w:r>
    </w:p>
    <w:p w14:paraId="634674BE" w14:textId="77777777" w:rsidR="00355E85" w:rsidRDefault="00355E85" w:rsidP="00990F76"/>
    <w:p w14:paraId="55EF607F" w14:textId="470E9E3A" w:rsidR="00C26A08" w:rsidRDefault="00355E85" w:rsidP="00990F76">
      <w:r>
        <w:t>Der er lagt vægt på en simpel indberetnings</w:t>
      </w:r>
      <w:r w:rsidR="00FA4E2D">
        <w:t xml:space="preserve">pligt med få oplysninger, som kan integreres i </w:t>
      </w:r>
      <w:r w:rsidR="004576CE">
        <w:t xml:space="preserve">arbejdsgivernes </w:t>
      </w:r>
      <w:r w:rsidR="00FA4E2D">
        <w:t>eksisterende rutiner. B</w:t>
      </w:r>
      <w:r w:rsidR="009F3786">
        <w:t xml:space="preserve">yrden </w:t>
      </w:r>
      <w:r w:rsidR="00C26A08">
        <w:t xml:space="preserve">forventes </w:t>
      </w:r>
      <w:r w:rsidR="00FA4E2D">
        <w:t xml:space="preserve">derfor </w:t>
      </w:r>
      <w:r w:rsidR="00C26A08">
        <w:t>at være begrænse</w:t>
      </w:r>
      <w:r>
        <w:t>t</w:t>
      </w:r>
      <w:r w:rsidR="00FA4E2D">
        <w:t xml:space="preserve">, men vil dog </w:t>
      </w:r>
      <w:r w:rsidR="00252CA8">
        <w:t>afhænge af</w:t>
      </w:r>
      <w:r>
        <w:t xml:space="preserve"> </w:t>
      </w:r>
      <w:r w:rsidR="00FA4E2D">
        <w:t xml:space="preserve">brugen af arbejdsudleje fra udlandet. </w:t>
      </w:r>
    </w:p>
    <w:p w14:paraId="01055727" w14:textId="77777777" w:rsidR="00C26A08" w:rsidRPr="00990F76" w:rsidRDefault="00C26A08" w:rsidP="00990F76">
      <w:pPr>
        <w:rPr>
          <w:b/>
          <w:bCs/>
        </w:rPr>
      </w:pPr>
    </w:p>
    <w:p w14:paraId="647A548C" w14:textId="24EA6474" w:rsidR="00990F76" w:rsidRDefault="00990F76" w:rsidP="00990F76">
      <w:pPr>
        <w:rPr>
          <w:b/>
          <w:bCs/>
        </w:rPr>
      </w:pPr>
      <w:r w:rsidRPr="00990F76">
        <w:rPr>
          <w:b/>
          <w:bCs/>
        </w:rPr>
        <w:t>5. Konsekvenser for natur, miljø og folkesundhed</w:t>
      </w:r>
    </w:p>
    <w:p w14:paraId="164ABA41" w14:textId="16D8FBB4" w:rsidR="009F3786" w:rsidRPr="009F3786" w:rsidRDefault="009F3786" w:rsidP="00990F76">
      <w:r>
        <w:t>Forslaget forventes ikke at have konsekvenser for natur, miljø og folkesundheden.</w:t>
      </w:r>
    </w:p>
    <w:p w14:paraId="37CD889B" w14:textId="77777777" w:rsidR="009F3786" w:rsidRPr="00990F76" w:rsidRDefault="009F3786" w:rsidP="00990F76">
      <w:pPr>
        <w:rPr>
          <w:b/>
          <w:bCs/>
        </w:rPr>
      </w:pPr>
    </w:p>
    <w:p w14:paraId="5D01C7E8" w14:textId="3D541E92" w:rsidR="00990F76" w:rsidRDefault="00990F76" w:rsidP="00990F76">
      <w:pPr>
        <w:rPr>
          <w:b/>
          <w:bCs/>
        </w:rPr>
      </w:pPr>
      <w:r w:rsidRPr="00990F76">
        <w:rPr>
          <w:b/>
          <w:bCs/>
        </w:rPr>
        <w:t>6. Konsekvenser for borgerne</w:t>
      </w:r>
    </w:p>
    <w:p w14:paraId="21402664" w14:textId="1D3CD9B2" w:rsidR="009F3786" w:rsidRDefault="009F3786" w:rsidP="00990F76">
      <w:r>
        <w:t>Forslaget forventes ikke at have konsekvenser for borgerne.</w:t>
      </w:r>
    </w:p>
    <w:p w14:paraId="62BF8C93" w14:textId="77777777" w:rsidR="009F3786" w:rsidRPr="00990F76" w:rsidRDefault="009F3786" w:rsidP="00990F76">
      <w:pPr>
        <w:rPr>
          <w:b/>
          <w:bCs/>
        </w:rPr>
      </w:pPr>
    </w:p>
    <w:p w14:paraId="4376073F" w14:textId="10EED8C7" w:rsidR="00990F76" w:rsidRDefault="00990F76" w:rsidP="00990F76">
      <w:pPr>
        <w:rPr>
          <w:b/>
          <w:bCs/>
        </w:rPr>
      </w:pPr>
      <w:r w:rsidRPr="00990F76">
        <w:rPr>
          <w:b/>
          <w:bCs/>
        </w:rPr>
        <w:t>7. Andre væsentlige konsekvenser</w:t>
      </w:r>
    </w:p>
    <w:p w14:paraId="0F4448CB" w14:textId="0278BFD9" w:rsidR="009F3786" w:rsidRDefault="009F3786" w:rsidP="009F3786">
      <w:r>
        <w:t>Forslaget forventes derudover ikke at have andre væsentlige konsekvenser.</w:t>
      </w:r>
    </w:p>
    <w:p w14:paraId="4D917BF4" w14:textId="77777777" w:rsidR="009F3786" w:rsidRPr="00990F76" w:rsidRDefault="009F3786" w:rsidP="00990F76">
      <w:pPr>
        <w:rPr>
          <w:b/>
          <w:bCs/>
        </w:rPr>
      </w:pPr>
    </w:p>
    <w:p w14:paraId="1E18222F" w14:textId="66B6EFCD" w:rsidR="00990F76" w:rsidRPr="00990F76" w:rsidRDefault="00990F76" w:rsidP="00990F76">
      <w:pPr>
        <w:rPr>
          <w:b/>
          <w:bCs/>
        </w:rPr>
      </w:pPr>
      <w:r w:rsidRPr="00990F76">
        <w:rPr>
          <w:b/>
          <w:bCs/>
        </w:rPr>
        <w:t>8. Høring af myndigheder og organisationer mv.</w:t>
      </w:r>
    </w:p>
    <w:p w14:paraId="5164E325" w14:textId="5AB5DCEB" w:rsidR="00FC7487" w:rsidRPr="009A7D31" w:rsidRDefault="00FC7487" w:rsidP="00FC7487">
      <w:pPr>
        <w:rPr>
          <w:rFonts w:eastAsia="Times New Roman"/>
          <w:lang w:eastAsia="da-DK"/>
        </w:rPr>
      </w:pPr>
      <w:r w:rsidRPr="00F9353D">
        <w:rPr>
          <w:rFonts w:eastAsia="Times New Roman"/>
          <w:lang w:eastAsia="da-DK"/>
        </w:rPr>
        <w:t xml:space="preserve">Forslaget har i perioden x. xxx 2024 til x. xxx 2024 været i høring hos følgende høringsparter: Grønlands Erhverv (GE), </w:t>
      </w:r>
      <w:proofErr w:type="spellStart"/>
      <w:r w:rsidRPr="00F9353D">
        <w:rPr>
          <w:rFonts w:eastAsia="Times New Roman"/>
          <w:lang w:eastAsia="da-DK"/>
        </w:rPr>
        <w:t>Sulinermik</w:t>
      </w:r>
      <w:proofErr w:type="spellEnd"/>
      <w:r w:rsidRPr="00F9353D">
        <w:rPr>
          <w:rFonts w:eastAsia="Times New Roman"/>
          <w:lang w:eastAsia="da-DK"/>
        </w:rPr>
        <w:t xml:space="preserve"> </w:t>
      </w:r>
      <w:proofErr w:type="spellStart"/>
      <w:r w:rsidRPr="00F9353D">
        <w:rPr>
          <w:rFonts w:eastAsia="Times New Roman"/>
          <w:lang w:eastAsia="da-DK"/>
        </w:rPr>
        <w:t>Inuussutissarsiuteqartut</w:t>
      </w:r>
      <w:proofErr w:type="spellEnd"/>
      <w:r w:rsidRPr="00F9353D">
        <w:rPr>
          <w:rFonts w:eastAsia="Times New Roman"/>
          <w:lang w:eastAsia="da-DK"/>
        </w:rPr>
        <w:t xml:space="preserve"> </w:t>
      </w:r>
      <w:proofErr w:type="spellStart"/>
      <w:r w:rsidRPr="00F9353D">
        <w:rPr>
          <w:rFonts w:eastAsia="Times New Roman"/>
          <w:lang w:eastAsia="da-DK"/>
        </w:rPr>
        <w:t>Kattuffiat</w:t>
      </w:r>
      <w:proofErr w:type="spellEnd"/>
      <w:r w:rsidRPr="00F9353D">
        <w:rPr>
          <w:rFonts w:eastAsia="Times New Roman"/>
          <w:lang w:eastAsia="da-DK"/>
        </w:rPr>
        <w:t xml:space="preserve"> (SIK), NUSUKA, Deloitte, Grønlands Revisionskontor, BDO, PWC, BK Revision, Grønlandske Advokater.</w:t>
      </w:r>
      <w:r w:rsidRPr="009A7D31">
        <w:rPr>
          <w:rFonts w:eastAsia="Times New Roman"/>
          <w:lang w:eastAsia="da-DK"/>
        </w:rPr>
        <w:t xml:space="preserve"> </w:t>
      </w:r>
    </w:p>
    <w:p w14:paraId="266AD3D1" w14:textId="77777777" w:rsidR="00FC7487" w:rsidRDefault="00FC7487" w:rsidP="00FC7487"/>
    <w:p w14:paraId="0D046219" w14:textId="77777777" w:rsidR="00FC7487" w:rsidRPr="00BB37FA" w:rsidRDefault="00FC7487" w:rsidP="00FC7487">
      <w:pPr>
        <w:rPr>
          <w:rFonts w:eastAsia="Times New Roman"/>
          <w:lang w:eastAsia="da-DK"/>
        </w:rPr>
      </w:pPr>
      <w:r w:rsidRPr="00BB37FA">
        <w:rPr>
          <w:rFonts w:eastAsia="Times New Roman"/>
          <w:lang w:eastAsia="da-DK"/>
        </w:rPr>
        <w:t xml:space="preserve">Forslaget har været offentliggjort på </w:t>
      </w:r>
      <w:proofErr w:type="spellStart"/>
      <w:r w:rsidRPr="00BB37FA">
        <w:rPr>
          <w:rFonts w:eastAsia="Times New Roman"/>
          <w:lang w:eastAsia="da-DK"/>
        </w:rPr>
        <w:t>Naalakkersuisuts</w:t>
      </w:r>
      <w:proofErr w:type="spellEnd"/>
      <w:r w:rsidRPr="00BB37FA">
        <w:rPr>
          <w:rFonts w:eastAsia="Times New Roman"/>
          <w:lang w:eastAsia="da-DK"/>
        </w:rPr>
        <w:t xml:space="preserve"> høringsportal på www.naalakkersuisut.gl.</w:t>
      </w:r>
    </w:p>
    <w:p w14:paraId="7C340CDB" w14:textId="77777777" w:rsidR="00FC7487" w:rsidRPr="00BB37FA" w:rsidRDefault="00FC7487" w:rsidP="00FC7487">
      <w:pPr>
        <w:rPr>
          <w:rFonts w:eastAsia="Times New Roman"/>
          <w:lang w:eastAsia="da-DK"/>
        </w:rPr>
      </w:pPr>
    </w:p>
    <w:p w14:paraId="08153306" w14:textId="28C2BCCC" w:rsidR="00FC7487" w:rsidRDefault="00FC7487" w:rsidP="00FC7487">
      <w:pPr>
        <w:rPr>
          <w:rFonts w:eastAsia="Times New Roman"/>
          <w:lang w:eastAsia="da-DK"/>
        </w:rPr>
      </w:pPr>
      <w:r>
        <w:rPr>
          <w:rFonts w:eastAsia="Times New Roman"/>
          <w:lang w:eastAsia="da-DK"/>
        </w:rPr>
        <w:t xml:space="preserve">For høringsnotat henvises til bilag </w:t>
      </w:r>
      <w:r w:rsidR="00A922FD">
        <w:rPr>
          <w:rFonts w:eastAsia="Times New Roman"/>
          <w:lang w:eastAsia="da-DK"/>
        </w:rPr>
        <w:t>2</w:t>
      </w:r>
      <w:r>
        <w:rPr>
          <w:rFonts w:eastAsia="Times New Roman"/>
          <w:lang w:eastAsia="da-DK"/>
        </w:rPr>
        <w:t>.</w:t>
      </w:r>
    </w:p>
    <w:p w14:paraId="75E1CB5C" w14:textId="77777777" w:rsidR="00990F76" w:rsidRDefault="00990F76" w:rsidP="00990F76"/>
    <w:p w14:paraId="7F09DCC5" w14:textId="77777777" w:rsidR="009F3786" w:rsidRDefault="009F3786" w:rsidP="00990F76"/>
    <w:p w14:paraId="1FE13EA5" w14:textId="77777777" w:rsidR="009F3786" w:rsidRDefault="009F3786" w:rsidP="00990F76"/>
    <w:p w14:paraId="748CD86A" w14:textId="77777777" w:rsidR="009F3786" w:rsidRDefault="009F3786" w:rsidP="00990F76"/>
    <w:p w14:paraId="22816399" w14:textId="32B62D84" w:rsidR="00990F76" w:rsidRPr="00990F76" w:rsidRDefault="00990F76" w:rsidP="00990F76">
      <w:pPr>
        <w:jc w:val="center"/>
        <w:rPr>
          <w:b/>
          <w:bCs/>
        </w:rPr>
      </w:pPr>
      <w:r w:rsidRPr="00990F76">
        <w:rPr>
          <w:b/>
          <w:bCs/>
        </w:rPr>
        <w:t>Bemærkninger til forslagets enkelte bestemmelser</w:t>
      </w:r>
    </w:p>
    <w:p w14:paraId="11007B19" w14:textId="77777777" w:rsidR="00990F76" w:rsidRDefault="00990F76" w:rsidP="00990F76"/>
    <w:p w14:paraId="5B201225" w14:textId="540C145A" w:rsidR="00990F76" w:rsidRDefault="00990F76" w:rsidP="00990F76">
      <w:pPr>
        <w:jc w:val="center"/>
        <w:rPr>
          <w:i/>
          <w:iCs/>
        </w:rPr>
      </w:pPr>
      <w:r w:rsidRPr="00990F76">
        <w:rPr>
          <w:i/>
          <w:iCs/>
        </w:rPr>
        <w:t>Til § 1</w:t>
      </w:r>
    </w:p>
    <w:p w14:paraId="3D05D44D" w14:textId="3EF90D13" w:rsidR="009F3786" w:rsidRDefault="009F3786" w:rsidP="00FA4E2D">
      <w:pPr>
        <w:rPr>
          <w:i/>
          <w:iCs/>
        </w:rPr>
      </w:pPr>
    </w:p>
    <w:p w14:paraId="095C402B" w14:textId="04204D37" w:rsidR="0015218E" w:rsidRDefault="00FA4E2D" w:rsidP="00FA4E2D">
      <w:r>
        <w:t>Det foreslås med tilføjelsen af § 30 b, at der indføres en indberetningspligt</w:t>
      </w:r>
      <w:r w:rsidR="0015218E">
        <w:t xml:space="preserve"> for de</w:t>
      </w:r>
      <w:r w:rsidR="004036D9">
        <w:t>n</w:t>
      </w:r>
      <w:r w:rsidR="00545DE0">
        <w:t>,</w:t>
      </w:r>
      <w:r w:rsidR="004036D9">
        <w:t xml:space="preserve"> der i sin virksomhed</w:t>
      </w:r>
      <w:r w:rsidR="00545DE0">
        <w:t xml:space="preserve">, </w:t>
      </w:r>
      <w:r w:rsidR="0015218E">
        <w:t>har personer beskæftiget</w:t>
      </w:r>
      <w:r>
        <w:t xml:space="preserve">, </w:t>
      </w:r>
      <w:r w:rsidR="00E26B1B">
        <w:t xml:space="preserve">hvor der er tale om arbejdsudleje fra en </w:t>
      </w:r>
      <w:r w:rsidR="001314F9">
        <w:t>udenlandsk,</w:t>
      </w:r>
      <w:r w:rsidR="00E26B1B">
        <w:t xml:space="preserve"> herunder dansk eller færøsk, virksomhed</w:t>
      </w:r>
      <w:r>
        <w:t xml:space="preserve">. </w:t>
      </w:r>
    </w:p>
    <w:p w14:paraId="7F9E25D1" w14:textId="3870241C" w:rsidR="0015218E" w:rsidRDefault="0015218E" w:rsidP="00FA4E2D"/>
    <w:p w14:paraId="41261645" w14:textId="549BAB2D" w:rsidR="00DD2628" w:rsidRDefault="00DD2628" w:rsidP="00FA4E2D">
      <w:r>
        <w:t>I bestemmelsens stk. 1 fastsættes</w:t>
      </w:r>
      <w:r w:rsidR="00D81F9A">
        <w:t>,</w:t>
      </w:r>
      <w:r>
        <w:t xml:space="preserve"> hvem der har pligt til at indberette, hvad der skal indberettes og hvornår indberetningen skal ske.</w:t>
      </w:r>
    </w:p>
    <w:p w14:paraId="13E12072" w14:textId="77777777" w:rsidR="00DD2628" w:rsidRDefault="00DD2628" w:rsidP="00FA4E2D"/>
    <w:p w14:paraId="66735ADD" w14:textId="1612CC73" w:rsidR="0015218E" w:rsidRDefault="0015218E" w:rsidP="00FA4E2D">
      <w:r>
        <w:t>Den</w:t>
      </w:r>
      <w:r w:rsidR="00E26B1B">
        <w:t xml:space="preserve"> virksomhed</w:t>
      </w:r>
      <w:r>
        <w:t xml:space="preserve">, der har pligt til at indberette, skal indberette navnet på den udenlandske, herunder danske eller færøske, virksomhed, der er indgået en aftale med og dennes registreringsnummer. </w:t>
      </w:r>
      <w:r w:rsidR="00DD2628">
        <w:t xml:space="preserve">Ved en </w:t>
      </w:r>
      <w:r>
        <w:t xml:space="preserve">dansk virksomhed </w:t>
      </w:r>
      <w:r w:rsidR="00DD2628">
        <w:t xml:space="preserve">vil dette være </w:t>
      </w:r>
      <w:r>
        <w:t>CVR-nummeret.</w:t>
      </w:r>
    </w:p>
    <w:p w14:paraId="32D0FA1B" w14:textId="7AD95DA9" w:rsidR="0015218E" w:rsidRDefault="0015218E" w:rsidP="00FA4E2D"/>
    <w:p w14:paraId="00C6700A" w14:textId="50117B69" w:rsidR="0015218E" w:rsidRDefault="0015218E" w:rsidP="00FA4E2D">
      <w:r>
        <w:t xml:space="preserve">Oplysningerne skal indberettes </w:t>
      </w:r>
      <w:r w:rsidR="004036D9">
        <w:t xml:space="preserve">senest </w:t>
      </w:r>
      <w:r>
        <w:t>den 10. i måneden efter</w:t>
      </w:r>
      <w:r w:rsidR="00DD2628">
        <w:t>,</w:t>
      </w:r>
      <w:r>
        <w:t xml:space="preserve"> at der er udbetalt vederlag til de arbejds</w:t>
      </w:r>
      <w:r w:rsidR="00E26B1B">
        <w:t xml:space="preserve">indlejede </w:t>
      </w:r>
      <w:r>
        <w:t xml:space="preserve">personer, eller at aftalen om arbejdsudleje er indgået. Indberetningspligten gælder for hver af de måneder, hvor der udbetales </w:t>
      </w:r>
      <w:r w:rsidR="00DD2628">
        <w:t xml:space="preserve">vederlag </w:t>
      </w:r>
      <w:r>
        <w:t xml:space="preserve">til </w:t>
      </w:r>
      <w:r w:rsidR="00E26B1B">
        <w:t xml:space="preserve">de arbejdsindlejede </w:t>
      </w:r>
      <w:r>
        <w:t>personer.</w:t>
      </w:r>
    </w:p>
    <w:p w14:paraId="75FCBE3B" w14:textId="7C1AD0E5" w:rsidR="0015218E" w:rsidRDefault="0015218E" w:rsidP="00FA4E2D"/>
    <w:p w14:paraId="7916998E" w14:textId="32EF43C8" w:rsidR="00DD2628" w:rsidRDefault="0015218E" w:rsidP="00FA4E2D">
      <w:r>
        <w:t>Skatteforvaltningen bemyndiges til at anvise, hvordan indberetningen skal ske</w:t>
      </w:r>
      <w:r w:rsidR="00DD2628">
        <w:t xml:space="preserve">. Det kan </w:t>
      </w:r>
      <w:proofErr w:type="gramStart"/>
      <w:r w:rsidR="00DD2628">
        <w:t>eksempelvis</w:t>
      </w:r>
      <w:proofErr w:type="gramEnd"/>
      <w:r w:rsidR="00DD2628">
        <w:t xml:space="preserve"> fastsættes</w:t>
      </w:r>
      <w:r w:rsidR="00E26B1B">
        <w:t>,</w:t>
      </w:r>
      <w:r w:rsidR="00DD2628">
        <w:t xml:space="preserve"> at oplysningerne skal indberettes ved brug af </w:t>
      </w:r>
      <w:r w:rsidR="001314F9">
        <w:t xml:space="preserve">et </w:t>
      </w:r>
      <w:r w:rsidR="00DD2628">
        <w:t xml:space="preserve">elektronisk indberetningsskema. </w:t>
      </w:r>
    </w:p>
    <w:p w14:paraId="58D3FC6C" w14:textId="2F5FC774" w:rsidR="00DD2628" w:rsidRDefault="00DD2628" w:rsidP="00FA4E2D"/>
    <w:p w14:paraId="234D9C69" w14:textId="7302C3C6" w:rsidR="008803DB" w:rsidRDefault="00DD2628" w:rsidP="00E26B1B">
      <w:r>
        <w:t xml:space="preserve">I bestemmelsen stk. 2 </w:t>
      </w:r>
      <w:r w:rsidR="00E26B1B">
        <w:t>præcisere det</w:t>
      </w:r>
      <w:r w:rsidR="001314F9">
        <w:t>,</w:t>
      </w:r>
      <w:r w:rsidR="00E26B1B">
        <w:t xml:space="preserve"> at </w:t>
      </w:r>
      <w:r>
        <w:t>pligt</w:t>
      </w:r>
      <w:r w:rsidR="001314F9">
        <w:t>en</w:t>
      </w:r>
      <w:r>
        <w:t xml:space="preserve"> til at indberette </w:t>
      </w:r>
      <w:r w:rsidR="001314F9">
        <w:t>gælder</w:t>
      </w:r>
      <w:r>
        <w:t xml:space="preserve"> medmindre den, der har pligt til at indberette, har fastslået med den </w:t>
      </w:r>
      <w:r w:rsidR="008803DB">
        <w:t xml:space="preserve">beskrevne </w:t>
      </w:r>
      <w:r>
        <w:t xml:space="preserve">sikkerhed, at der ikke er tale om arbejdsudleje. </w:t>
      </w:r>
      <w:r w:rsidR="008803DB">
        <w:t xml:space="preserve">Om </w:t>
      </w:r>
      <w:r w:rsidR="00E26B1B">
        <w:t>arbejdsudleje</w:t>
      </w:r>
      <w:r w:rsidR="00901ED3">
        <w:t xml:space="preserve">vurderingen </w:t>
      </w:r>
      <w:r w:rsidR="008803DB">
        <w:t>henvises der til § 76, stk. 4</w:t>
      </w:r>
      <w:r w:rsidR="00E26B1B">
        <w:t>,</w:t>
      </w:r>
      <w:r w:rsidR="008803DB">
        <w:t xml:space="preserve"> i landstingslov om indkomstskat</w:t>
      </w:r>
      <w:r w:rsidR="001314F9">
        <w:t>,</w:t>
      </w:r>
      <w:r w:rsidR="008803DB">
        <w:t xml:space="preserve"> de </w:t>
      </w:r>
      <w:r w:rsidR="001314F9">
        <w:t xml:space="preserve">dertil </w:t>
      </w:r>
      <w:r w:rsidR="008803DB">
        <w:t xml:space="preserve">hørende </w:t>
      </w:r>
      <w:r w:rsidR="00E26B1B">
        <w:t>lov</w:t>
      </w:r>
      <w:r w:rsidR="008803DB">
        <w:t>bemærkninger</w:t>
      </w:r>
      <w:r w:rsidR="001314F9">
        <w:t xml:space="preserve"> og skatteforvaltningens vejledning om skattetræk</w:t>
      </w:r>
      <w:r w:rsidR="008803DB">
        <w:t>.</w:t>
      </w:r>
    </w:p>
    <w:p w14:paraId="17D1949F" w14:textId="77777777" w:rsidR="008803DB" w:rsidRDefault="008803DB" w:rsidP="00DD2628"/>
    <w:p w14:paraId="20766B7F" w14:textId="1FBDF1CA" w:rsidR="001314F9" w:rsidRDefault="00DD2628" w:rsidP="00E04566">
      <w:pPr>
        <w:jc w:val="both"/>
      </w:pPr>
      <w:r>
        <w:t xml:space="preserve">Hvis den indberetningspligtige ikke </w:t>
      </w:r>
      <w:r w:rsidR="00E26B1B">
        <w:t xml:space="preserve">med den </w:t>
      </w:r>
      <w:proofErr w:type="gramStart"/>
      <w:r w:rsidR="00E26B1B">
        <w:t>fornødne</w:t>
      </w:r>
      <w:proofErr w:type="gramEnd"/>
      <w:r w:rsidR="00E26B1B">
        <w:t xml:space="preserve"> sikkerhed </w:t>
      </w:r>
      <w:r>
        <w:t>har fastslået</w:t>
      </w:r>
      <w:r w:rsidR="00E26B1B">
        <w:t>,</w:t>
      </w:r>
      <w:r>
        <w:t xml:space="preserve"> </w:t>
      </w:r>
      <w:r w:rsidR="00E26B1B">
        <w:t>at der ikke var tale om arbejdsudleje</w:t>
      </w:r>
      <w:r>
        <w:t>, skal der</w:t>
      </w:r>
      <w:r w:rsidR="001314F9">
        <w:t xml:space="preserve"> derfor</w:t>
      </w:r>
      <w:r>
        <w:t xml:space="preserve"> foretages en indberetning.</w:t>
      </w:r>
      <w:r w:rsidR="001314F9">
        <w:t xml:space="preserve"> Indberetningen er dog ikke bindende i forhold til spørgsmålet om der foreligger arbejdsudleje. </w:t>
      </w:r>
    </w:p>
    <w:p w14:paraId="6BDBF9E4" w14:textId="77777777" w:rsidR="001314F9" w:rsidRDefault="001314F9" w:rsidP="00E04566">
      <w:pPr>
        <w:jc w:val="both"/>
      </w:pPr>
    </w:p>
    <w:p w14:paraId="2F9ECF08" w14:textId="09DD5F52" w:rsidR="001314F9" w:rsidRDefault="008803DB" w:rsidP="00E04566">
      <w:pPr>
        <w:jc w:val="both"/>
      </w:pPr>
      <w:r>
        <w:t xml:space="preserve">I bestemmelsens stk. 3 fastsættes </w:t>
      </w:r>
      <w:r w:rsidR="001314F9">
        <w:t xml:space="preserve">det at, hvis den, der har pligt til at indberette, indeholder </w:t>
      </w:r>
      <w:r>
        <w:t xml:space="preserve">skat af vederlag til de </w:t>
      </w:r>
      <w:r w:rsidR="001314F9">
        <w:t xml:space="preserve">arbejdsindlejede </w:t>
      </w:r>
      <w:r>
        <w:t>personer, gælder indberetningspligten i den foreslåede § 30 a ikke.</w:t>
      </w:r>
      <w:r w:rsidR="001314F9">
        <w:t xml:space="preserve"> </w:t>
      </w:r>
    </w:p>
    <w:p w14:paraId="6010826B" w14:textId="77777777" w:rsidR="00ED21D3" w:rsidRDefault="00ED21D3" w:rsidP="00E04566">
      <w:pPr>
        <w:jc w:val="both"/>
      </w:pPr>
    </w:p>
    <w:p w14:paraId="1866F6E3" w14:textId="1F3A4F58" w:rsidR="00901ED3" w:rsidRDefault="001314F9" w:rsidP="00703FA4">
      <w:r>
        <w:t xml:space="preserve">Bestemmelsens vil </w:t>
      </w:r>
      <w:r w:rsidR="00E02CAC">
        <w:t xml:space="preserve">dermed </w:t>
      </w:r>
      <w:r>
        <w:t>finde anvendelse</w:t>
      </w:r>
      <w:r w:rsidR="00ED21D3">
        <w:t>,</w:t>
      </w:r>
      <w:r w:rsidR="00E02CAC">
        <w:t xml:space="preserve"> </w:t>
      </w:r>
      <w:r>
        <w:t>hvis der er tale om arbejds</w:t>
      </w:r>
      <w:r w:rsidR="00E02CAC">
        <w:t xml:space="preserve">udleje </w:t>
      </w:r>
      <w:r>
        <w:t>fr</w:t>
      </w:r>
      <w:r w:rsidR="00E02CAC">
        <w:t>a</w:t>
      </w:r>
      <w:r>
        <w:t xml:space="preserve"> </w:t>
      </w:r>
      <w:r w:rsidR="00E02CAC">
        <w:t xml:space="preserve">en danske virksomhed, eller </w:t>
      </w:r>
      <w:r w:rsidR="00901ED3">
        <w:t>når</w:t>
      </w:r>
      <w:r w:rsidR="00E02CAC">
        <w:t xml:space="preserve"> det er tale arbejdsudleje fra virksomheder fra Færøerne eller udlandet, og den</w:t>
      </w:r>
      <w:r w:rsidR="00901ED3">
        <w:t xml:space="preserve">, der har pligt til at indberette, </w:t>
      </w:r>
      <w:r w:rsidR="00E02CAC">
        <w:t>ikke indeholder skat af vederlaget til de arbejdsindlejede personer, jf. § 76, stk. 4</w:t>
      </w:r>
      <w:r w:rsidR="00EF5853">
        <w:t xml:space="preserve">. Der er derimod ikke indberetningspligt, hvis den indberetningspligtige </w:t>
      </w:r>
      <w:r w:rsidR="00E02CAC">
        <w:t>har fastslået med den sikkerhed, der følger af forslagets stk. 3, at der ikke var tale om arbejdsudleje</w:t>
      </w:r>
      <w:r w:rsidR="00901ED3">
        <w:t>.</w:t>
      </w:r>
    </w:p>
    <w:p w14:paraId="731C4DBB" w14:textId="77777777" w:rsidR="00ED21D3" w:rsidRDefault="00ED21D3" w:rsidP="00E04566">
      <w:pPr>
        <w:rPr>
          <w:i/>
          <w:iCs/>
        </w:rPr>
      </w:pPr>
    </w:p>
    <w:p w14:paraId="79C24DCE" w14:textId="7BCD9165" w:rsidR="009F3786" w:rsidRPr="00990F76" w:rsidRDefault="009F3786" w:rsidP="009F3786">
      <w:pPr>
        <w:jc w:val="center"/>
        <w:rPr>
          <w:b/>
          <w:bCs/>
          <w:i/>
          <w:iCs/>
        </w:rPr>
      </w:pPr>
      <w:r w:rsidRPr="00990F76">
        <w:rPr>
          <w:i/>
          <w:iCs/>
        </w:rPr>
        <w:t xml:space="preserve">Til § </w:t>
      </w:r>
      <w:r>
        <w:rPr>
          <w:i/>
          <w:iCs/>
        </w:rPr>
        <w:t>2</w:t>
      </w:r>
    </w:p>
    <w:p w14:paraId="12705039" w14:textId="497EFC18" w:rsidR="009F3786" w:rsidRDefault="009F3786" w:rsidP="00E04566">
      <w:pPr>
        <w:rPr>
          <w:b/>
          <w:bCs/>
          <w:i/>
          <w:iCs/>
        </w:rPr>
      </w:pPr>
    </w:p>
    <w:p w14:paraId="4EA350CA" w14:textId="0DCC90DD" w:rsidR="008803DB" w:rsidRDefault="008803DB" w:rsidP="008803DB">
      <w:r w:rsidRPr="00E04566">
        <w:t xml:space="preserve">Til stk. 1. </w:t>
      </w:r>
    </w:p>
    <w:p w14:paraId="7BDE153F" w14:textId="414DCCAE" w:rsidR="008803DB" w:rsidRDefault="008803DB" w:rsidP="008803DB">
      <w:r>
        <w:t>Det foreslås at bestemmelsen træder i kraft fra og med den 1. januar 2025.</w:t>
      </w:r>
    </w:p>
    <w:p w14:paraId="60B216E9" w14:textId="2B25D179" w:rsidR="008803DB" w:rsidRDefault="008803DB" w:rsidP="008803DB"/>
    <w:p w14:paraId="64E1C6DA" w14:textId="48971BE3" w:rsidR="008803DB" w:rsidRDefault="008803DB" w:rsidP="008803DB">
      <w:r>
        <w:t>Til stk. 2</w:t>
      </w:r>
    </w:p>
    <w:p w14:paraId="60FC7D9C" w14:textId="185161CE" w:rsidR="008803DB" w:rsidRDefault="008803DB" w:rsidP="008803DB">
      <w:r>
        <w:t xml:space="preserve">Det foreslås, at bestemmelsen tillige skal gælde for de aftaler om arbejdsudleje, der er indgået inden denne dato, men som fortsat er i kraft i 2025. Hvis aftalen </w:t>
      </w:r>
      <w:proofErr w:type="gramStart"/>
      <w:r>
        <w:t>eksempelvis</w:t>
      </w:r>
      <w:proofErr w:type="gramEnd"/>
      <w:r>
        <w:t xml:space="preserve"> er indgået den 1. november 2024, skal der således fortsat foretages indberetning, hvis den, der har pligt til at indberette, i 2025 har personer beskæftiget under omstændigheder, der er omfattet af § 76, stk. 4, i landstingslov om indkomstskat.</w:t>
      </w:r>
    </w:p>
    <w:p w14:paraId="0C7DF902" w14:textId="6143DD0A" w:rsidR="00A922FD" w:rsidRDefault="00A922FD">
      <w:pPr>
        <w:spacing w:after="200" w:line="276" w:lineRule="auto"/>
        <w:rPr>
          <w:b/>
          <w:bCs/>
        </w:rPr>
      </w:pPr>
      <w:r>
        <w:rPr>
          <w:b/>
          <w:bCs/>
        </w:rPr>
        <w:br w:type="page"/>
      </w:r>
    </w:p>
    <w:p w14:paraId="74CF2A9A" w14:textId="77777777" w:rsidR="00A922FD" w:rsidRDefault="00A922FD" w:rsidP="00A922FD">
      <w:pPr>
        <w:jc w:val="right"/>
        <w:rPr>
          <w:b/>
          <w:bCs/>
        </w:rPr>
      </w:pPr>
      <w:r>
        <w:rPr>
          <w:b/>
          <w:bCs/>
        </w:rPr>
        <w:lastRenderedPageBreak/>
        <w:t>Bilag 1</w:t>
      </w:r>
    </w:p>
    <w:tbl>
      <w:tblPr>
        <w:tblStyle w:val="Tabel-Gitter"/>
        <w:tblW w:w="0" w:type="auto"/>
        <w:tblLook w:val="04A0" w:firstRow="1" w:lastRow="0" w:firstColumn="1" w:lastColumn="0" w:noHBand="0" w:noVBand="1"/>
      </w:tblPr>
      <w:tblGrid>
        <w:gridCol w:w="4605"/>
        <w:gridCol w:w="4605"/>
      </w:tblGrid>
      <w:tr w:rsidR="00184B2C" w14:paraId="227ACD85" w14:textId="77777777" w:rsidTr="00C07EB8">
        <w:tc>
          <w:tcPr>
            <w:tcW w:w="9210" w:type="dxa"/>
            <w:gridSpan w:val="2"/>
          </w:tcPr>
          <w:p w14:paraId="1123B8F2" w14:textId="77777777" w:rsidR="00184B2C" w:rsidRDefault="00184B2C" w:rsidP="00C07EB8">
            <w:pPr>
              <w:jc w:val="center"/>
              <w:rPr>
                <w:b/>
                <w:bCs/>
              </w:rPr>
            </w:pPr>
            <w:r>
              <w:rPr>
                <w:b/>
                <w:bCs/>
              </w:rPr>
              <w:t>Forslaget sammenholdt med gældende lov</w:t>
            </w:r>
          </w:p>
        </w:tc>
      </w:tr>
      <w:tr w:rsidR="00184B2C" w:rsidRPr="005671D0" w14:paraId="4191937C" w14:textId="77777777" w:rsidTr="00C07EB8">
        <w:tc>
          <w:tcPr>
            <w:tcW w:w="4605" w:type="dxa"/>
          </w:tcPr>
          <w:p w14:paraId="5C2B243B" w14:textId="77777777" w:rsidR="00184B2C" w:rsidRPr="002332F5" w:rsidRDefault="00184B2C" w:rsidP="00C07EB8">
            <w:pPr>
              <w:rPr>
                <w:i/>
                <w:iCs/>
              </w:rPr>
            </w:pPr>
            <w:r w:rsidRPr="002332F5">
              <w:rPr>
                <w:i/>
                <w:iCs/>
              </w:rPr>
              <w:t>Gældende formulering</w:t>
            </w:r>
          </w:p>
        </w:tc>
        <w:tc>
          <w:tcPr>
            <w:tcW w:w="4605" w:type="dxa"/>
          </w:tcPr>
          <w:p w14:paraId="7E19DF1F" w14:textId="77777777" w:rsidR="00184B2C" w:rsidRPr="005671D0" w:rsidRDefault="00184B2C" w:rsidP="00C07EB8">
            <w:pPr>
              <w:rPr>
                <w:i/>
                <w:iCs/>
              </w:rPr>
            </w:pPr>
            <w:r w:rsidRPr="005671D0">
              <w:rPr>
                <w:i/>
                <w:iCs/>
              </w:rPr>
              <w:t>Forslaget</w:t>
            </w:r>
          </w:p>
        </w:tc>
      </w:tr>
      <w:tr w:rsidR="00184B2C" w14:paraId="1795F8BE" w14:textId="77777777" w:rsidTr="00C07EB8">
        <w:tc>
          <w:tcPr>
            <w:tcW w:w="4605" w:type="dxa"/>
          </w:tcPr>
          <w:p w14:paraId="08D3D331" w14:textId="77777777" w:rsidR="00184B2C" w:rsidRDefault="00184B2C" w:rsidP="00C07EB8">
            <w:pPr>
              <w:rPr>
                <w:b/>
                <w:bCs/>
              </w:rPr>
            </w:pPr>
          </w:p>
        </w:tc>
        <w:tc>
          <w:tcPr>
            <w:tcW w:w="4605" w:type="dxa"/>
          </w:tcPr>
          <w:p w14:paraId="4159BBCB" w14:textId="77777777" w:rsidR="00184B2C" w:rsidRPr="007E12C8" w:rsidRDefault="00184B2C" w:rsidP="00C07EB8">
            <w:pPr>
              <w:jc w:val="center"/>
              <w:rPr>
                <w:b/>
                <w:bCs/>
              </w:rPr>
            </w:pPr>
            <w:r w:rsidRPr="007E12C8">
              <w:rPr>
                <w:b/>
                <w:bCs/>
              </w:rPr>
              <w:t>§ 1</w:t>
            </w:r>
          </w:p>
          <w:p w14:paraId="78C779BB" w14:textId="78AF2CA7" w:rsidR="00184B2C" w:rsidRDefault="00184B2C" w:rsidP="00184B2C">
            <w:pPr>
              <w:rPr>
                <w:b/>
                <w:bCs/>
              </w:rPr>
            </w:pPr>
            <w:r w:rsidRPr="00C66060">
              <w:t xml:space="preserve">I landstingslov nr. 11 af 2. november 2006 om forvaltning af skatter, jf. Selvstyrets lovbekendtgørelse nr. 11 af 3. november 2021, som </w:t>
            </w:r>
            <w:r>
              <w:t>senest ændret ved Inatsisartutlov nr. 65 af 20. november 2023</w:t>
            </w:r>
            <w:r w:rsidRPr="00C66060">
              <w:t>, foretages følgende ændringer:</w:t>
            </w:r>
          </w:p>
        </w:tc>
      </w:tr>
      <w:tr w:rsidR="00184B2C" w14:paraId="16B5017F" w14:textId="77777777" w:rsidTr="00C07EB8">
        <w:tc>
          <w:tcPr>
            <w:tcW w:w="4605" w:type="dxa"/>
          </w:tcPr>
          <w:p w14:paraId="4931B40D" w14:textId="77777777" w:rsidR="00184B2C" w:rsidRDefault="00184B2C" w:rsidP="00C07EB8">
            <w:pPr>
              <w:rPr>
                <w:b/>
                <w:bCs/>
              </w:rPr>
            </w:pPr>
          </w:p>
        </w:tc>
        <w:tc>
          <w:tcPr>
            <w:tcW w:w="4605" w:type="dxa"/>
          </w:tcPr>
          <w:p w14:paraId="05B77564" w14:textId="77777777" w:rsidR="00184B2C" w:rsidRPr="00093BF6" w:rsidRDefault="00184B2C" w:rsidP="00184B2C">
            <w:r w:rsidRPr="00093BF6">
              <w:rPr>
                <w:b/>
                <w:bCs/>
              </w:rPr>
              <w:t>1.</w:t>
            </w:r>
            <w:r>
              <w:t xml:space="preserve">  </w:t>
            </w:r>
            <w:r w:rsidRPr="00093BF6">
              <w:t>Efter</w:t>
            </w:r>
            <w:r w:rsidRPr="00093BF6">
              <w:rPr>
                <w:b/>
                <w:bCs/>
              </w:rPr>
              <w:t xml:space="preserve"> </w:t>
            </w:r>
            <w:r w:rsidRPr="00093BF6">
              <w:t>§ 30 a indsættes:</w:t>
            </w:r>
          </w:p>
          <w:p w14:paraId="6A1F4316" w14:textId="77777777" w:rsidR="00184B2C" w:rsidRDefault="00184B2C" w:rsidP="00184B2C">
            <w:proofErr w:type="gramStart"/>
            <w:r>
              <w:t xml:space="preserve">”  </w:t>
            </w:r>
            <w:r w:rsidRPr="00C66060">
              <w:rPr>
                <w:b/>
                <w:bCs/>
              </w:rPr>
              <w:t>30</w:t>
            </w:r>
            <w:proofErr w:type="gramEnd"/>
            <w:r w:rsidRPr="00C66060">
              <w:rPr>
                <w:b/>
                <w:bCs/>
              </w:rPr>
              <w:t xml:space="preserve"> b.</w:t>
            </w:r>
            <w:r>
              <w:t xml:space="preserve">  Enhver, der i sin virksomhed har personer beskæftiget under forhold, som er omfattet af § 76, stk. 4, i landstingslov om indkomstskat, skal senest den 10. i den følgende kalendermåned efter </w:t>
            </w:r>
            <w:r w:rsidRPr="00DA079A">
              <w:t>at aftalen om arbejdsudleje er indgået</w:t>
            </w:r>
            <w:r>
              <w:t xml:space="preserve"> eller der er udbetalt vederlag til de beskæftigede personer indgive oplysninger til skatteforvaltningen om, hvilken udenlandsk, herunder dansk eller færøsk, virksomhed en arbejdsudlejeaftale er indgået med, herunder oplysninger om virksomhedens erhvervsregistreringsnummer. Oplysningerne skal indgives elektronisk på den måde skatteforvaltningen anviser. </w:t>
            </w:r>
          </w:p>
          <w:p w14:paraId="4C5D80F4" w14:textId="77777777" w:rsidR="00184B2C" w:rsidRDefault="00184B2C" w:rsidP="00184B2C">
            <w:r>
              <w:t xml:space="preserve">  </w:t>
            </w:r>
            <w:r w:rsidRPr="00517DB2">
              <w:rPr>
                <w:i/>
                <w:iCs/>
              </w:rPr>
              <w:t xml:space="preserve">Stk. 2. </w:t>
            </w:r>
            <w:r>
              <w:t xml:space="preserve"> Pligten i stk. 1 gælder dog ikke, hvis den indberetningspligtige har fastslået under inddragelse af alle relevante hensyn, at der ikke er tale om arbejdsudleje som defineret i § 76, stk. 4, 1-2. pkt., i landstingslov om indkomstskat. En indberetning efter stk. 1, afskærer ikke den indberetningspligtige fra senere overfor skatteforvaltningen at bestride, at der er tale om arbejdsudleje. </w:t>
            </w:r>
          </w:p>
          <w:p w14:paraId="3A28E1F0" w14:textId="77777777" w:rsidR="00184B2C" w:rsidRDefault="00184B2C" w:rsidP="00184B2C">
            <w:r w:rsidRPr="007F6E33">
              <w:rPr>
                <w:i/>
                <w:iCs/>
              </w:rPr>
              <w:t xml:space="preserve">  Stk. </w:t>
            </w:r>
            <w:r>
              <w:rPr>
                <w:i/>
                <w:iCs/>
              </w:rPr>
              <w:t>3</w:t>
            </w:r>
            <w:r w:rsidRPr="007F6E33">
              <w:rPr>
                <w:i/>
                <w:iCs/>
              </w:rPr>
              <w:t xml:space="preserve">. </w:t>
            </w:r>
            <w:r>
              <w:rPr>
                <w:i/>
                <w:iCs/>
              </w:rPr>
              <w:t xml:space="preserve"> </w:t>
            </w:r>
            <w:r>
              <w:t xml:space="preserve">Indberetningspligten efter de ovenstående stk. 1 og 2 gælder ikke, hvis den indberetningspligtige indeholder skat af vederlaget til de beskæftigede personer efter § 76, stk. 4, 1-2 pkt., i landstingslov om </w:t>
            </w:r>
            <w:r>
              <w:lastRenderedPageBreak/>
              <w:t>indkomstskat.</w:t>
            </w:r>
          </w:p>
          <w:p w14:paraId="12D529E5" w14:textId="77777777" w:rsidR="00184B2C" w:rsidRPr="007E12C8" w:rsidRDefault="00184B2C" w:rsidP="00C07EB8">
            <w:pPr>
              <w:jc w:val="center"/>
              <w:rPr>
                <w:b/>
                <w:bCs/>
              </w:rPr>
            </w:pPr>
          </w:p>
        </w:tc>
      </w:tr>
      <w:tr w:rsidR="00184B2C" w14:paraId="70524885" w14:textId="77777777" w:rsidTr="00C07EB8">
        <w:tc>
          <w:tcPr>
            <w:tcW w:w="4605" w:type="dxa"/>
          </w:tcPr>
          <w:p w14:paraId="577F3EBB" w14:textId="77777777" w:rsidR="00184B2C" w:rsidRDefault="00184B2C" w:rsidP="00C07EB8">
            <w:pPr>
              <w:rPr>
                <w:b/>
                <w:bCs/>
              </w:rPr>
            </w:pPr>
          </w:p>
        </w:tc>
        <w:tc>
          <w:tcPr>
            <w:tcW w:w="4605" w:type="dxa"/>
          </w:tcPr>
          <w:p w14:paraId="60954F64" w14:textId="77777777" w:rsidR="00184B2C" w:rsidRDefault="00184B2C" w:rsidP="00184B2C">
            <w:pPr>
              <w:jc w:val="center"/>
            </w:pPr>
            <w:r w:rsidRPr="00531EB6">
              <w:rPr>
                <w:b/>
                <w:bCs/>
              </w:rPr>
              <w:t>§ 2</w:t>
            </w:r>
          </w:p>
          <w:p w14:paraId="5B13A5B7" w14:textId="77777777" w:rsidR="00184B2C" w:rsidRDefault="00184B2C" w:rsidP="00184B2C"/>
          <w:p w14:paraId="1BC93706" w14:textId="77777777" w:rsidR="00184B2C" w:rsidRDefault="00184B2C" w:rsidP="00184B2C">
            <w:proofErr w:type="spellStart"/>
            <w:r>
              <w:t>Inatsisartutloven</w:t>
            </w:r>
            <w:proofErr w:type="spellEnd"/>
            <w:r>
              <w:t xml:space="preserve"> træder i kraft den 1. januar 2025 og har virkning fra og med indkomståret 2025, jf. dog stk. 2. </w:t>
            </w:r>
          </w:p>
          <w:p w14:paraId="4796694B" w14:textId="77777777" w:rsidR="00184B2C" w:rsidRPr="00093BF6" w:rsidRDefault="00184B2C" w:rsidP="00184B2C">
            <w:pPr>
              <w:rPr>
                <w:b/>
                <w:bCs/>
              </w:rPr>
            </w:pPr>
          </w:p>
        </w:tc>
      </w:tr>
    </w:tbl>
    <w:p w14:paraId="4FFFE6CE" w14:textId="77777777" w:rsidR="00A922FD" w:rsidRDefault="00A922FD" w:rsidP="00E04566">
      <w:pPr>
        <w:rPr>
          <w:b/>
          <w:bCs/>
        </w:rPr>
      </w:pPr>
    </w:p>
    <w:p w14:paraId="56FD8C38" w14:textId="078F8D7D" w:rsidR="00184B2C" w:rsidRDefault="00184B2C">
      <w:pPr>
        <w:spacing w:after="200" w:line="276" w:lineRule="auto"/>
        <w:rPr>
          <w:b/>
          <w:bCs/>
        </w:rPr>
      </w:pPr>
      <w:r>
        <w:rPr>
          <w:b/>
          <w:bCs/>
        </w:rPr>
        <w:br w:type="page"/>
      </w:r>
    </w:p>
    <w:p w14:paraId="59989F43" w14:textId="77777777" w:rsidR="00184B2C" w:rsidRDefault="00184B2C" w:rsidP="00184B2C">
      <w:pPr>
        <w:jc w:val="right"/>
        <w:rPr>
          <w:b/>
          <w:bCs/>
        </w:rPr>
      </w:pPr>
      <w:r>
        <w:rPr>
          <w:b/>
          <w:bCs/>
        </w:rPr>
        <w:lastRenderedPageBreak/>
        <w:t>Bilag 2</w:t>
      </w:r>
    </w:p>
    <w:p w14:paraId="6BFA8718" w14:textId="77777777" w:rsidR="00184B2C" w:rsidRDefault="00184B2C" w:rsidP="00184B2C">
      <w:pPr>
        <w:rPr>
          <w:b/>
          <w:bCs/>
        </w:rPr>
      </w:pPr>
    </w:p>
    <w:p w14:paraId="3D9487F0" w14:textId="77777777" w:rsidR="00184B2C" w:rsidRPr="00F72D94" w:rsidRDefault="00184B2C" w:rsidP="00703FA4">
      <w:pPr>
        <w:jc w:val="center"/>
        <w:rPr>
          <w:b/>
        </w:rPr>
      </w:pPr>
      <w:r w:rsidRPr="00F72D94">
        <w:rPr>
          <w:b/>
        </w:rPr>
        <w:t>Høringssvarnotat</w:t>
      </w:r>
    </w:p>
    <w:p w14:paraId="062FE360" w14:textId="77777777" w:rsidR="00184B2C" w:rsidRPr="00F72D94" w:rsidRDefault="00184B2C" w:rsidP="00184B2C">
      <w:pPr>
        <w:rPr>
          <w:b/>
        </w:rPr>
      </w:pPr>
    </w:p>
    <w:p w14:paraId="76327D8A" w14:textId="77777777" w:rsidR="00184B2C" w:rsidRPr="00F72D94" w:rsidRDefault="00184B2C" w:rsidP="00184B2C">
      <w:r w:rsidRPr="00F72D94">
        <w:t>Der er vedrørende forslaget modtaget høringssvar fra</w:t>
      </w:r>
      <w:r>
        <w:t>:</w:t>
      </w:r>
      <w:r w:rsidRPr="00F72D94">
        <w:t xml:space="preserve"> </w:t>
      </w:r>
    </w:p>
    <w:p w14:paraId="0A0702A9" w14:textId="77777777" w:rsidR="00184B2C" w:rsidRPr="00F72D94" w:rsidRDefault="00184B2C" w:rsidP="00184B2C"/>
    <w:p w14:paraId="49FDB3AF" w14:textId="77777777" w:rsidR="00184B2C" w:rsidRPr="00F72D94" w:rsidRDefault="00184B2C" w:rsidP="00184B2C">
      <w:r w:rsidRPr="00F72D94">
        <w:t>Følgende høringsparter fremsendte høringssvar med bemærkninger til forslaget:</w:t>
      </w:r>
      <w:r>
        <w:t xml:space="preserve"> xxx</w:t>
      </w:r>
    </w:p>
    <w:p w14:paraId="24E31372" w14:textId="77777777" w:rsidR="00184B2C" w:rsidRPr="00F72D94" w:rsidRDefault="00184B2C" w:rsidP="00184B2C"/>
    <w:p w14:paraId="366DD235" w14:textId="77777777" w:rsidR="00184B2C" w:rsidRPr="00F72D94" w:rsidRDefault="00184B2C" w:rsidP="00184B2C">
      <w:r w:rsidRPr="00F72D94">
        <w:t xml:space="preserve">Nedenfor er hovedpunkterne i høringsparternes bemærkninger gengivet med almindelig skrift, mens eventuelle kommentarer fra Naalakkersuisut er anført med </w:t>
      </w:r>
      <w:r w:rsidRPr="00F72D94">
        <w:rPr>
          <w:i/>
          <w:iCs/>
        </w:rPr>
        <w:t>kursiv</w:t>
      </w:r>
      <w:r w:rsidRPr="00F72D94">
        <w:t>.</w:t>
      </w:r>
    </w:p>
    <w:p w14:paraId="62ADFD3C" w14:textId="77777777" w:rsidR="00184B2C" w:rsidRPr="00C07EB8" w:rsidRDefault="00184B2C" w:rsidP="00703FA4">
      <w:pPr>
        <w:rPr>
          <w:b/>
          <w:bCs/>
        </w:rPr>
      </w:pPr>
    </w:p>
    <w:p w14:paraId="29339A53" w14:textId="77777777" w:rsidR="00A922FD" w:rsidRPr="00703FA4" w:rsidRDefault="00A922FD" w:rsidP="00E04566">
      <w:pPr>
        <w:rPr>
          <w:b/>
          <w:bCs/>
        </w:rPr>
      </w:pPr>
    </w:p>
    <w:sectPr w:rsidR="00A922FD" w:rsidRPr="00703FA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E40D" w14:textId="77777777" w:rsidR="00334C6B" w:rsidRDefault="00334C6B" w:rsidP="00990F76">
      <w:pPr>
        <w:spacing w:line="240" w:lineRule="auto"/>
      </w:pPr>
      <w:r>
        <w:separator/>
      </w:r>
    </w:p>
  </w:endnote>
  <w:endnote w:type="continuationSeparator" w:id="0">
    <w:p w14:paraId="32B9BBF4" w14:textId="77777777" w:rsidR="00334C6B" w:rsidRDefault="00334C6B" w:rsidP="00990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5B14" w14:textId="30808CB2" w:rsidR="00990F76" w:rsidRDefault="00990F76">
    <w:pPr>
      <w:pStyle w:val="Sidefod"/>
    </w:pPr>
    <w:r>
      <w:t>EM 2024/xx</w:t>
    </w:r>
    <w:r>
      <w:tab/>
    </w:r>
    <w:r>
      <w:fldChar w:fldCharType="begin"/>
    </w:r>
    <w:r>
      <w:instrText>PAGE   \* MERGEFORMAT</w:instrText>
    </w:r>
    <w:r>
      <w:fldChar w:fldCharType="separate"/>
    </w:r>
    <w:r>
      <w:t>1</w:t>
    </w:r>
    <w:r>
      <w:fldChar w:fldCharType="end"/>
    </w:r>
  </w:p>
  <w:p w14:paraId="7AEE8B3D" w14:textId="38FCE52D" w:rsidR="00990F76" w:rsidRDefault="00990F76">
    <w:pPr>
      <w:pStyle w:val="Sidefod"/>
    </w:pPr>
    <w:r>
      <w:t xml:space="preserve">ANN sagsnr.: </w:t>
    </w:r>
    <w:r w:rsidR="00EF5853">
      <w:t>2024-4427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E3D37" w14:textId="77777777" w:rsidR="00334C6B" w:rsidRDefault="00334C6B" w:rsidP="00990F76">
      <w:pPr>
        <w:spacing w:line="240" w:lineRule="auto"/>
      </w:pPr>
      <w:r>
        <w:separator/>
      </w:r>
    </w:p>
  </w:footnote>
  <w:footnote w:type="continuationSeparator" w:id="0">
    <w:p w14:paraId="7305FD07" w14:textId="77777777" w:rsidR="00334C6B" w:rsidRDefault="00334C6B" w:rsidP="00990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95EA" w14:textId="459E086B" w:rsidR="00990F76" w:rsidRDefault="005A1CF9">
    <w:pPr>
      <w:pStyle w:val="Sidehoved"/>
    </w:pPr>
    <w:r>
      <w:t>11</w:t>
    </w:r>
    <w:r w:rsidR="00990F76">
      <w:t>-0</w:t>
    </w:r>
    <w:r>
      <w:t>6</w:t>
    </w:r>
    <w:r w:rsidR="00990F76">
      <w:t>-2024</w:t>
    </w:r>
    <w:r w:rsidR="00990F76">
      <w:tab/>
    </w:r>
    <w:r w:rsidR="00990F76">
      <w:tab/>
      <w:t>EM2024/xx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5077"/>
    <w:multiLevelType w:val="hybridMultilevel"/>
    <w:tmpl w:val="5AB42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8C925BC"/>
    <w:multiLevelType w:val="hybridMultilevel"/>
    <w:tmpl w:val="9C5A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5778770">
    <w:abstractNumId w:val="0"/>
  </w:num>
  <w:num w:numId="2" w16cid:durableId="1570992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1536"/>
    <w:rsid w:val="00002C13"/>
    <w:rsid w:val="0000792D"/>
    <w:rsid w:val="00042F9D"/>
    <w:rsid w:val="00087462"/>
    <w:rsid w:val="000C2A0F"/>
    <w:rsid w:val="00127C60"/>
    <w:rsid w:val="001314F9"/>
    <w:rsid w:val="0014674B"/>
    <w:rsid w:val="0015218E"/>
    <w:rsid w:val="0016670E"/>
    <w:rsid w:val="00184B2C"/>
    <w:rsid w:val="001B0DF6"/>
    <w:rsid w:val="00252CA8"/>
    <w:rsid w:val="00296DFE"/>
    <w:rsid w:val="002F1536"/>
    <w:rsid w:val="002F15D9"/>
    <w:rsid w:val="002F6221"/>
    <w:rsid w:val="00334C6B"/>
    <w:rsid w:val="003454DC"/>
    <w:rsid w:val="00355E85"/>
    <w:rsid w:val="00393E62"/>
    <w:rsid w:val="003974EA"/>
    <w:rsid w:val="004036D9"/>
    <w:rsid w:val="004171C3"/>
    <w:rsid w:val="00442F3C"/>
    <w:rsid w:val="004576CE"/>
    <w:rsid w:val="00460126"/>
    <w:rsid w:val="00514978"/>
    <w:rsid w:val="00545DE0"/>
    <w:rsid w:val="005506C5"/>
    <w:rsid w:val="005549E5"/>
    <w:rsid w:val="0056340A"/>
    <w:rsid w:val="005A1CF9"/>
    <w:rsid w:val="005E2EC3"/>
    <w:rsid w:val="00657CFD"/>
    <w:rsid w:val="006E1692"/>
    <w:rsid w:val="006F366E"/>
    <w:rsid w:val="00703FA4"/>
    <w:rsid w:val="00717C51"/>
    <w:rsid w:val="00761691"/>
    <w:rsid w:val="007F0A01"/>
    <w:rsid w:val="0087096A"/>
    <w:rsid w:val="008803DB"/>
    <w:rsid w:val="008A03C4"/>
    <w:rsid w:val="008A132E"/>
    <w:rsid w:val="008B2F2D"/>
    <w:rsid w:val="008F3800"/>
    <w:rsid w:val="00901ED3"/>
    <w:rsid w:val="00990F76"/>
    <w:rsid w:val="009E2C16"/>
    <w:rsid w:val="009E2FD5"/>
    <w:rsid w:val="009F3786"/>
    <w:rsid w:val="00A45FB4"/>
    <w:rsid w:val="00A67EC0"/>
    <w:rsid w:val="00A922FD"/>
    <w:rsid w:val="00AA124E"/>
    <w:rsid w:val="00AE686F"/>
    <w:rsid w:val="00AF23F8"/>
    <w:rsid w:val="00B309C8"/>
    <w:rsid w:val="00B85AC8"/>
    <w:rsid w:val="00BA6B85"/>
    <w:rsid w:val="00BC3EAE"/>
    <w:rsid w:val="00BC7CFB"/>
    <w:rsid w:val="00C26A08"/>
    <w:rsid w:val="00C4113F"/>
    <w:rsid w:val="00C60020"/>
    <w:rsid w:val="00C817BA"/>
    <w:rsid w:val="00CD39B4"/>
    <w:rsid w:val="00D049B9"/>
    <w:rsid w:val="00D12991"/>
    <w:rsid w:val="00D738ED"/>
    <w:rsid w:val="00D81F9A"/>
    <w:rsid w:val="00DD2628"/>
    <w:rsid w:val="00E02CAC"/>
    <w:rsid w:val="00E04566"/>
    <w:rsid w:val="00E26B1B"/>
    <w:rsid w:val="00E50B84"/>
    <w:rsid w:val="00ED21D3"/>
    <w:rsid w:val="00EF5853"/>
    <w:rsid w:val="00F41E40"/>
    <w:rsid w:val="00F74B94"/>
    <w:rsid w:val="00F9353D"/>
    <w:rsid w:val="00FA4E2D"/>
    <w:rsid w:val="00FC7487"/>
    <w:rsid w:val="00FE3B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EC4C"/>
  <w15:docId w15:val="{6860EEFC-508C-4E27-B3B2-BB52261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76"/>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90F7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0F76"/>
    <w:rPr>
      <w:rFonts w:ascii="Times New Roman" w:hAnsi="Times New Roman" w:cs="Times New Roman"/>
      <w:sz w:val="24"/>
      <w:szCs w:val="24"/>
    </w:rPr>
  </w:style>
  <w:style w:type="paragraph" w:styleId="Sidefod">
    <w:name w:val="footer"/>
    <w:basedOn w:val="Normal"/>
    <w:link w:val="SidefodTegn"/>
    <w:uiPriority w:val="99"/>
    <w:unhideWhenUsed/>
    <w:rsid w:val="00990F76"/>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0F76"/>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9F3786"/>
    <w:rPr>
      <w:sz w:val="16"/>
      <w:szCs w:val="16"/>
    </w:rPr>
  </w:style>
  <w:style w:type="paragraph" w:styleId="Kommentartekst">
    <w:name w:val="annotation text"/>
    <w:basedOn w:val="Normal"/>
    <w:link w:val="KommentartekstTegn"/>
    <w:uiPriority w:val="99"/>
    <w:unhideWhenUsed/>
    <w:rsid w:val="009F3786"/>
    <w:pPr>
      <w:spacing w:line="240" w:lineRule="auto"/>
    </w:pPr>
    <w:rPr>
      <w:sz w:val="20"/>
      <w:szCs w:val="20"/>
    </w:rPr>
  </w:style>
  <w:style w:type="character" w:customStyle="1" w:styleId="KommentartekstTegn">
    <w:name w:val="Kommentartekst Tegn"/>
    <w:basedOn w:val="Standardskrifttypeiafsnit"/>
    <w:link w:val="Kommentartekst"/>
    <w:uiPriority w:val="99"/>
    <w:rsid w:val="009F3786"/>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9F3786"/>
    <w:rPr>
      <w:b/>
      <w:bCs/>
    </w:rPr>
  </w:style>
  <w:style w:type="character" w:customStyle="1" w:styleId="KommentaremneTegn">
    <w:name w:val="Kommentaremne Tegn"/>
    <w:basedOn w:val="KommentartekstTegn"/>
    <w:link w:val="Kommentaremne"/>
    <w:uiPriority w:val="99"/>
    <w:semiHidden/>
    <w:rsid w:val="009F3786"/>
    <w:rPr>
      <w:rFonts w:ascii="Times New Roman" w:hAnsi="Times New Roman" w:cs="Times New Roman"/>
      <w:b/>
      <w:bCs/>
      <w:sz w:val="20"/>
      <w:szCs w:val="20"/>
    </w:rPr>
  </w:style>
  <w:style w:type="paragraph" w:styleId="Korrektur">
    <w:name w:val="Revision"/>
    <w:hidden/>
    <w:uiPriority w:val="99"/>
    <w:semiHidden/>
    <w:rsid w:val="007F0A01"/>
    <w:pPr>
      <w:spacing w:after="0" w:line="240" w:lineRule="auto"/>
    </w:pPr>
    <w:rPr>
      <w:rFonts w:ascii="Times New Roman" w:hAnsi="Times New Roman" w:cs="Times New Roman"/>
      <w:sz w:val="24"/>
      <w:szCs w:val="24"/>
    </w:rPr>
  </w:style>
  <w:style w:type="paragraph" w:styleId="Listeafsnit">
    <w:name w:val="List Paragraph"/>
    <w:basedOn w:val="Normal"/>
    <w:uiPriority w:val="34"/>
    <w:qFormat/>
    <w:rsid w:val="00ED21D3"/>
    <w:pPr>
      <w:ind w:left="720"/>
      <w:contextualSpacing/>
    </w:pPr>
  </w:style>
  <w:style w:type="table" w:styleId="Tabel-Gitter">
    <w:name w:val="Table Grid"/>
    <w:basedOn w:val="Tabel-Normal"/>
    <w:uiPriority w:val="59"/>
    <w:rsid w:val="00A9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c4c60602b8a7402a9c68a937c88acd7c.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1D52-0ADE-4489-86B1-19D5FD0C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c4c60602b8a7402a9c68a937c88acd7c.dotx</Template>
  <TotalTime>550</TotalTime>
  <Pages>7</Pages>
  <Words>1559</Words>
  <Characters>9512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Nielsen</dc:creator>
  <cp:lastModifiedBy>Per Nielsen</cp:lastModifiedBy>
  <cp:revision>27</cp:revision>
  <dcterms:created xsi:type="dcterms:W3CDTF">2024-02-14T15:01:00Z</dcterms:created>
  <dcterms:modified xsi:type="dcterms:W3CDTF">2024-06-11T08:10:00Z</dcterms:modified>
</cp:coreProperties>
</file>