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D7885" w14:textId="77777777" w:rsidR="00466ECA" w:rsidRDefault="00466ECA" w:rsidP="00F647FB">
      <w:pPr>
        <w:pStyle w:val="Lille"/>
        <w:framePr w:w="1557" w:h="3493" w:hRule="exact" w:hSpace="181" w:wrap="notBeside" w:vAnchor="page" w:hAnchor="page" w:x="9754" w:y="3190" w:anchorLock="1"/>
        <w:spacing w:line="180" w:lineRule="atLeast"/>
        <w:ind w:left="284" w:hanging="284"/>
      </w:pPr>
      <w:r>
        <w:t xml:space="preserve">Brevdato: </w:t>
      </w:r>
      <w:r w:rsidRPr="00B321D6">
        <w:t>08-05-2024</w:t>
      </w:r>
      <w:r w:rsidRPr="00B321D6">
        <w:rPr>
          <w:rFonts w:cs="Arial"/>
        </w:rPr>
        <w:t xml:space="preserve"> </w:t>
      </w:r>
      <w:r w:rsidRPr="00B321D6">
        <w:t xml:space="preserve"> </w:t>
      </w:r>
    </w:p>
    <w:p w14:paraId="0825833A" w14:textId="77777777" w:rsidR="00466ECA" w:rsidRDefault="00466ECA" w:rsidP="00F647FB">
      <w:pPr>
        <w:pStyle w:val="Lille"/>
        <w:framePr w:w="1557" w:h="3493" w:hRule="exact" w:hSpace="181" w:wrap="notBeside" w:vAnchor="page" w:hAnchor="page" w:x="9754" w:y="3190" w:anchorLock="1"/>
        <w:spacing w:line="180" w:lineRule="atLeast"/>
      </w:pPr>
      <w:r>
        <w:t xml:space="preserve">Sagsnr.: </w:t>
      </w:r>
      <w:r w:rsidRPr="00B321D6">
        <w:rPr>
          <w:rFonts w:cs="Arial"/>
          <w:szCs w:val="14"/>
        </w:rPr>
        <w:t>2024 - 9862</w:t>
      </w:r>
      <w:r w:rsidRPr="00B321D6">
        <w:t xml:space="preserve">  </w:t>
      </w:r>
    </w:p>
    <w:p w14:paraId="2227F3AE" w14:textId="77777777" w:rsidR="00466ECA" w:rsidRDefault="00466ECA" w:rsidP="00F647FB">
      <w:pPr>
        <w:pStyle w:val="Lille"/>
        <w:framePr w:w="1557" w:h="3493" w:hRule="exact" w:hSpace="181" w:wrap="notBeside" w:vAnchor="page" w:hAnchor="page" w:x="9754" w:y="3190" w:anchorLock="1"/>
        <w:spacing w:line="180" w:lineRule="atLeast"/>
      </w:pPr>
      <w:r>
        <w:t xml:space="preserve">Akt-id: </w:t>
      </w:r>
      <w:r w:rsidRPr="00B321D6">
        <w:t xml:space="preserve">24169621   </w:t>
      </w:r>
    </w:p>
    <w:p w14:paraId="71BC291C" w14:textId="77777777" w:rsidR="00466ECA" w:rsidRDefault="00466ECA" w:rsidP="00F647FB">
      <w:pPr>
        <w:pStyle w:val="Lille"/>
        <w:framePr w:w="1557" w:h="3493" w:hRule="exact" w:hSpace="181" w:wrap="notBeside" w:vAnchor="page" w:hAnchor="page" w:x="9754" w:y="3190" w:anchorLock="1"/>
        <w:spacing w:line="180" w:lineRule="atLeast"/>
      </w:pPr>
    </w:p>
    <w:p w14:paraId="5A81FB46" w14:textId="77777777" w:rsidR="00466ECA" w:rsidRDefault="00466ECA" w:rsidP="00F647FB">
      <w:pPr>
        <w:pStyle w:val="Lille"/>
        <w:framePr w:w="1557" w:h="3493" w:hRule="exact" w:hSpace="181" w:wrap="notBeside" w:vAnchor="page" w:hAnchor="page" w:x="9754" w:y="3190" w:anchorLock="1"/>
        <w:spacing w:line="180" w:lineRule="atLeast"/>
      </w:pPr>
      <w:r>
        <w:t>Postboks 1614</w:t>
      </w:r>
    </w:p>
    <w:p w14:paraId="4791A00B" w14:textId="77777777" w:rsidR="00466ECA" w:rsidRPr="00B321D6" w:rsidRDefault="00466ECA" w:rsidP="00F647FB">
      <w:pPr>
        <w:pStyle w:val="Lille"/>
        <w:framePr w:w="1557" w:h="3493" w:hRule="exact" w:hSpace="181" w:wrap="notBeside" w:vAnchor="page" w:hAnchor="page" w:x="9754" w:y="3190" w:anchorLock="1"/>
        <w:spacing w:line="180" w:lineRule="atLeast"/>
        <w:rPr>
          <w:lang w:val="en-US"/>
        </w:rPr>
      </w:pPr>
      <w:r w:rsidRPr="00B321D6">
        <w:rPr>
          <w:lang w:val="en-US"/>
        </w:rPr>
        <w:t>3900 Nuuk</w:t>
      </w:r>
    </w:p>
    <w:p w14:paraId="38B5AA40" w14:textId="77777777" w:rsidR="00466ECA" w:rsidRPr="00B321D6" w:rsidRDefault="00466ECA" w:rsidP="00F647FB">
      <w:pPr>
        <w:pStyle w:val="Lille"/>
        <w:framePr w:w="1557" w:h="3493" w:hRule="exact" w:hSpace="181" w:wrap="notBeside" w:vAnchor="page" w:hAnchor="page" w:x="9754" w:y="3190" w:anchorLock="1"/>
        <w:spacing w:line="180" w:lineRule="atLeast"/>
        <w:rPr>
          <w:lang w:val="en-US"/>
        </w:rPr>
      </w:pPr>
      <w:proofErr w:type="spellStart"/>
      <w:r w:rsidRPr="00B321D6">
        <w:rPr>
          <w:lang w:val="en-US"/>
        </w:rPr>
        <w:t>Tlf</w:t>
      </w:r>
      <w:proofErr w:type="spellEnd"/>
      <w:r w:rsidRPr="00B321D6">
        <w:rPr>
          <w:lang w:val="en-US"/>
        </w:rPr>
        <w:t>. (+299) 34 50 00</w:t>
      </w:r>
    </w:p>
    <w:p w14:paraId="2C513470" w14:textId="77777777" w:rsidR="00466ECA" w:rsidRPr="00466ECA" w:rsidRDefault="00466ECA" w:rsidP="00F647FB">
      <w:pPr>
        <w:pStyle w:val="Lille"/>
        <w:framePr w:w="1557" w:h="3493" w:hRule="exact" w:hSpace="181" w:wrap="notBeside" w:vAnchor="page" w:hAnchor="page" w:x="9754" w:y="3190" w:anchorLock="1"/>
        <w:spacing w:line="180" w:lineRule="atLeast"/>
        <w:rPr>
          <w:lang w:val="en-US"/>
        </w:rPr>
      </w:pPr>
      <w:r w:rsidRPr="00466ECA">
        <w:rPr>
          <w:lang w:val="en-US"/>
        </w:rPr>
        <w:t>Fax (+299) 34 54 10</w:t>
      </w:r>
    </w:p>
    <w:p w14:paraId="425588B3" w14:textId="77777777" w:rsidR="00466ECA" w:rsidRPr="00466ECA" w:rsidRDefault="00466ECA" w:rsidP="00F647FB">
      <w:pPr>
        <w:pStyle w:val="Lille"/>
        <w:framePr w:w="1557" w:h="3493" w:hRule="exact" w:hSpace="181" w:wrap="notBeside" w:vAnchor="page" w:hAnchor="page" w:x="9754" w:y="3190" w:anchorLock="1"/>
        <w:spacing w:line="180" w:lineRule="atLeast"/>
        <w:rPr>
          <w:lang w:val="en-US"/>
        </w:rPr>
      </w:pPr>
      <w:r w:rsidRPr="00466ECA">
        <w:rPr>
          <w:lang w:val="en-US"/>
        </w:rPr>
        <w:t>E-mail: pan@nanoq.gl</w:t>
      </w:r>
    </w:p>
    <w:p w14:paraId="666A16F6" w14:textId="77777777" w:rsidR="00466ECA" w:rsidRPr="000737F5" w:rsidRDefault="00466ECA" w:rsidP="00F647FB">
      <w:pPr>
        <w:pStyle w:val="Lille"/>
        <w:framePr w:w="1557" w:h="3493" w:hRule="exact" w:hSpace="181" w:wrap="notBeside" w:vAnchor="page" w:hAnchor="page" w:x="9754" w:y="3190" w:anchorLock="1"/>
        <w:spacing w:line="180" w:lineRule="atLeast"/>
      </w:pPr>
      <w:r>
        <w:t>www.naalakkersuisut.g</w:t>
      </w:r>
      <w:r w:rsidRPr="000737F5">
        <w:t>l</w:t>
      </w:r>
    </w:p>
    <w:p w14:paraId="0EFFD6B4" w14:textId="77777777" w:rsidR="00465A30" w:rsidRPr="000737F5" w:rsidRDefault="00465A30" w:rsidP="00F647FB">
      <w:pPr>
        <w:pStyle w:val="Lille"/>
        <w:framePr w:w="1557" w:h="3493" w:hRule="exact" w:hSpace="181" w:wrap="notBeside" w:vAnchor="page" w:hAnchor="page" w:x="9754" w:y="3190" w:anchorLock="1"/>
      </w:pPr>
    </w:p>
    <w:p w14:paraId="07DC6A1F" w14:textId="77777777" w:rsidR="00465A30" w:rsidRPr="000737F5" w:rsidRDefault="00465A30" w:rsidP="00F647FB">
      <w:pPr>
        <w:pStyle w:val="Lille"/>
        <w:framePr w:w="1557" w:h="3493" w:hRule="exact" w:hSpace="181" w:wrap="notBeside" w:vAnchor="page" w:hAnchor="page" w:x="9754" w:y="3190" w:anchorLock="1"/>
      </w:pPr>
    </w:p>
    <w:p w14:paraId="30D83287" w14:textId="77777777" w:rsidR="000737F5" w:rsidRPr="007A7314" w:rsidRDefault="000737F5" w:rsidP="000737F5">
      <w:pPr>
        <w:rPr>
          <w:rFonts w:cstheme="minorHAnsi"/>
          <w:sz w:val="24"/>
          <w:szCs w:val="24"/>
        </w:rPr>
      </w:pPr>
      <w:r w:rsidRPr="007A7314">
        <w:rPr>
          <w:rFonts w:cstheme="minorHAnsi"/>
          <w:sz w:val="24"/>
          <w:szCs w:val="24"/>
        </w:rPr>
        <w:t>Departementet for Fiskeri og Fangst</w:t>
      </w:r>
    </w:p>
    <w:p w14:paraId="7117234E" w14:textId="77777777" w:rsidR="000737F5" w:rsidRPr="007A7314" w:rsidRDefault="000737F5" w:rsidP="000737F5">
      <w:pPr>
        <w:rPr>
          <w:rFonts w:cstheme="minorHAnsi"/>
          <w:sz w:val="24"/>
          <w:szCs w:val="24"/>
        </w:rPr>
      </w:pPr>
      <w:r w:rsidRPr="007A7314">
        <w:rPr>
          <w:rFonts w:cstheme="minorHAnsi"/>
          <w:sz w:val="24"/>
          <w:szCs w:val="24"/>
        </w:rPr>
        <w:t>Att. Masaana Dorph</w:t>
      </w:r>
    </w:p>
    <w:p w14:paraId="1FB2655E" w14:textId="77777777" w:rsidR="000737F5" w:rsidRPr="007A7314" w:rsidRDefault="000737F5" w:rsidP="000737F5">
      <w:pPr>
        <w:rPr>
          <w:rFonts w:cstheme="minorHAnsi"/>
          <w:sz w:val="24"/>
          <w:szCs w:val="24"/>
        </w:rPr>
      </w:pPr>
    </w:p>
    <w:p w14:paraId="19E78EB5" w14:textId="77777777" w:rsidR="000737F5" w:rsidRPr="007A7314" w:rsidRDefault="000737F5" w:rsidP="000737F5">
      <w:pPr>
        <w:rPr>
          <w:rFonts w:cstheme="minorHAnsi"/>
          <w:b/>
          <w:bCs/>
          <w:sz w:val="24"/>
          <w:szCs w:val="24"/>
        </w:rPr>
      </w:pPr>
      <w:proofErr w:type="spellStart"/>
      <w:r w:rsidRPr="007A7314">
        <w:rPr>
          <w:rFonts w:cstheme="minorHAnsi"/>
          <w:b/>
          <w:bCs/>
          <w:sz w:val="24"/>
          <w:szCs w:val="24"/>
        </w:rPr>
        <w:t>NIPNANs</w:t>
      </w:r>
      <w:proofErr w:type="spellEnd"/>
      <w:r w:rsidRPr="007A7314">
        <w:rPr>
          <w:rFonts w:cstheme="minorHAnsi"/>
          <w:b/>
          <w:bCs/>
          <w:sz w:val="24"/>
          <w:szCs w:val="24"/>
        </w:rPr>
        <w:t xml:space="preserve"> bemærkninger til udkast til bekendtgørelse om </w:t>
      </w:r>
    </w:p>
    <w:p w14:paraId="635A7B23" w14:textId="77777777" w:rsidR="000737F5" w:rsidRPr="007A7314" w:rsidRDefault="000737F5" w:rsidP="000737F5">
      <w:pPr>
        <w:rPr>
          <w:rFonts w:cstheme="minorHAnsi"/>
          <w:b/>
          <w:bCs/>
          <w:sz w:val="24"/>
          <w:szCs w:val="24"/>
        </w:rPr>
      </w:pPr>
      <w:r w:rsidRPr="007A7314">
        <w:rPr>
          <w:rFonts w:cstheme="minorHAnsi"/>
          <w:b/>
          <w:bCs/>
          <w:sz w:val="24"/>
          <w:szCs w:val="24"/>
        </w:rPr>
        <w:t>beskyttelse og fangst af hvid- og narhvaler</w:t>
      </w:r>
    </w:p>
    <w:p w14:paraId="2132CF33" w14:textId="77777777" w:rsidR="000737F5" w:rsidRPr="007A7314" w:rsidRDefault="000737F5" w:rsidP="000737F5">
      <w:pPr>
        <w:rPr>
          <w:rFonts w:cstheme="minorHAnsi"/>
          <w:sz w:val="24"/>
          <w:szCs w:val="24"/>
        </w:rPr>
      </w:pPr>
    </w:p>
    <w:p w14:paraId="35439711" w14:textId="77777777" w:rsidR="000737F5" w:rsidRPr="007A7314" w:rsidRDefault="000737F5" w:rsidP="000737F5">
      <w:pPr>
        <w:rPr>
          <w:rFonts w:cstheme="minorHAnsi"/>
          <w:sz w:val="24"/>
          <w:szCs w:val="24"/>
        </w:rPr>
      </w:pPr>
      <w:r w:rsidRPr="007A7314">
        <w:rPr>
          <w:rFonts w:cstheme="minorHAnsi"/>
          <w:sz w:val="24"/>
          <w:szCs w:val="24"/>
        </w:rPr>
        <w:t xml:space="preserve">Departementet for Landbrug, Selvforsyning, Energi og Miljø (NIPNAN) takker for muligheden for at komme med bemærkninger til udkast til </w:t>
      </w:r>
    </w:p>
    <w:p w14:paraId="7D074236" w14:textId="77777777" w:rsidR="000737F5" w:rsidRPr="007A7314" w:rsidRDefault="000737F5" w:rsidP="000737F5">
      <w:pPr>
        <w:rPr>
          <w:rFonts w:cstheme="minorHAnsi"/>
          <w:sz w:val="24"/>
          <w:szCs w:val="24"/>
        </w:rPr>
      </w:pPr>
      <w:r w:rsidRPr="007A7314">
        <w:rPr>
          <w:rFonts w:cstheme="minorHAnsi"/>
          <w:sz w:val="24"/>
          <w:szCs w:val="24"/>
        </w:rPr>
        <w:t>bekendtgørelse om beskyttelse og fangst af hvid- og narhvaler.</w:t>
      </w:r>
    </w:p>
    <w:p w14:paraId="1A84060F" w14:textId="77777777" w:rsidR="000737F5" w:rsidRPr="007A7314" w:rsidRDefault="000737F5" w:rsidP="000737F5">
      <w:pPr>
        <w:rPr>
          <w:rFonts w:cstheme="minorHAnsi"/>
          <w:sz w:val="24"/>
          <w:szCs w:val="24"/>
        </w:rPr>
      </w:pPr>
    </w:p>
    <w:p w14:paraId="55E92B6A" w14:textId="77777777" w:rsidR="000737F5" w:rsidRPr="007A7314" w:rsidRDefault="000737F5" w:rsidP="000737F5">
      <w:pPr>
        <w:rPr>
          <w:rFonts w:cstheme="minorHAnsi"/>
          <w:i/>
          <w:iCs/>
          <w:sz w:val="24"/>
          <w:szCs w:val="24"/>
        </w:rPr>
      </w:pPr>
      <w:r w:rsidRPr="007A7314">
        <w:rPr>
          <w:rFonts w:cstheme="minorHAnsi"/>
          <w:i/>
          <w:iCs/>
          <w:sz w:val="24"/>
          <w:szCs w:val="24"/>
        </w:rPr>
        <w:t>Hjemmelsbestemmelse</w:t>
      </w:r>
    </w:p>
    <w:p w14:paraId="6D3363A9" w14:textId="77777777" w:rsidR="000737F5" w:rsidRPr="007A7314" w:rsidRDefault="000737F5" w:rsidP="000737F5">
      <w:pPr>
        <w:rPr>
          <w:rFonts w:cstheme="minorHAnsi"/>
          <w:sz w:val="24"/>
          <w:szCs w:val="24"/>
        </w:rPr>
      </w:pPr>
      <w:r w:rsidRPr="007A7314">
        <w:rPr>
          <w:rFonts w:cstheme="minorHAnsi"/>
          <w:sz w:val="24"/>
          <w:szCs w:val="24"/>
        </w:rPr>
        <w:t xml:space="preserve">NIPNAN noterer indledningsvist, at bekendtgørelsesudkastet ikke er </w:t>
      </w:r>
    </w:p>
    <w:p w14:paraId="678348A6" w14:textId="77777777" w:rsidR="000737F5" w:rsidRPr="007A7314" w:rsidRDefault="000737F5" w:rsidP="000737F5">
      <w:pPr>
        <w:rPr>
          <w:rFonts w:cstheme="minorHAnsi"/>
          <w:sz w:val="24"/>
          <w:szCs w:val="24"/>
        </w:rPr>
      </w:pPr>
      <w:r w:rsidRPr="007A7314">
        <w:rPr>
          <w:rFonts w:cstheme="minorHAnsi"/>
          <w:sz w:val="24"/>
          <w:szCs w:val="24"/>
        </w:rPr>
        <w:t xml:space="preserve">hjemlet i Naturbeskyttelsesloven. NIPNAN bemærker, at den ensidige hjemmel i </w:t>
      </w:r>
      <w:proofErr w:type="spellStart"/>
      <w:r w:rsidRPr="007A7314">
        <w:rPr>
          <w:rFonts w:cstheme="minorHAnsi"/>
          <w:sz w:val="24"/>
          <w:szCs w:val="24"/>
        </w:rPr>
        <w:t>Inatsisartutlov</w:t>
      </w:r>
      <w:proofErr w:type="spellEnd"/>
      <w:r w:rsidRPr="007A7314">
        <w:rPr>
          <w:rFonts w:cstheme="minorHAnsi"/>
          <w:sz w:val="24"/>
          <w:szCs w:val="24"/>
        </w:rPr>
        <w:t xml:space="preserve"> om fangst og jagt gør, at bekendtgørelsen har et ensidigt fokus på regulering af </w:t>
      </w:r>
      <w:r w:rsidRPr="007A7314">
        <w:rPr>
          <w:rFonts w:cstheme="minorHAnsi"/>
          <w:i/>
          <w:iCs/>
          <w:sz w:val="24"/>
          <w:szCs w:val="24"/>
        </w:rPr>
        <w:t>fangst</w:t>
      </w:r>
      <w:r w:rsidRPr="007A7314">
        <w:rPr>
          <w:rFonts w:cstheme="minorHAnsi"/>
          <w:sz w:val="24"/>
          <w:szCs w:val="24"/>
        </w:rPr>
        <w:t xml:space="preserve"> af hvid- og narhvaler.</w:t>
      </w:r>
    </w:p>
    <w:p w14:paraId="3286E4B1" w14:textId="77777777" w:rsidR="000737F5" w:rsidRPr="007A7314" w:rsidRDefault="000737F5" w:rsidP="000737F5">
      <w:pPr>
        <w:rPr>
          <w:rFonts w:cstheme="minorHAnsi"/>
          <w:sz w:val="24"/>
          <w:szCs w:val="24"/>
        </w:rPr>
      </w:pPr>
      <w:r w:rsidRPr="007A7314">
        <w:rPr>
          <w:rFonts w:cstheme="minorHAnsi"/>
          <w:sz w:val="24"/>
          <w:szCs w:val="24"/>
        </w:rPr>
        <w:t>NIPNAN bemærker, at særligt narhvaler er meget følsomme over</w:t>
      </w:r>
      <w:r>
        <w:rPr>
          <w:rFonts w:cstheme="minorHAnsi"/>
          <w:sz w:val="24"/>
          <w:szCs w:val="24"/>
        </w:rPr>
        <w:t xml:space="preserve"> </w:t>
      </w:r>
      <w:r w:rsidRPr="007A7314">
        <w:rPr>
          <w:rFonts w:cstheme="minorHAnsi"/>
          <w:sz w:val="24"/>
          <w:szCs w:val="24"/>
        </w:rPr>
        <w:t>for forstyrrelser, og manglende hjemmel i Naturbeskyttelsesloven gør, at det ikke er muligt at regulere aktiviteter i vigtige områder for narhvaler og dermed regulere både beskyttelse og fangst af de to arter.</w:t>
      </w:r>
    </w:p>
    <w:p w14:paraId="7C0032B6" w14:textId="77777777" w:rsidR="000737F5" w:rsidRPr="007A7314" w:rsidRDefault="000737F5" w:rsidP="000737F5">
      <w:pPr>
        <w:rPr>
          <w:rFonts w:cstheme="minorHAnsi"/>
          <w:sz w:val="24"/>
          <w:szCs w:val="24"/>
        </w:rPr>
      </w:pPr>
    </w:p>
    <w:p w14:paraId="2EA67D35" w14:textId="77777777" w:rsidR="000737F5" w:rsidRPr="007A7314" w:rsidRDefault="000737F5" w:rsidP="000737F5">
      <w:pPr>
        <w:rPr>
          <w:rFonts w:cstheme="minorHAnsi"/>
          <w:sz w:val="24"/>
          <w:szCs w:val="24"/>
        </w:rPr>
      </w:pPr>
      <w:r w:rsidRPr="007A7314">
        <w:rPr>
          <w:rFonts w:cstheme="minorHAnsi"/>
          <w:sz w:val="24"/>
          <w:szCs w:val="24"/>
        </w:rPr>
        <w:t xml:space="preserve"> NIPNAN bemærker, at bekendtgørelsen – og dermed forvaltningen af hvid- og narhvaler </w:t>
      </w:r>
      <w:r>
        <w:rPr>
          <w:rFonts w:cstheme="minorHAnsi"/>
          <w:sz w:val="24"/>
          <w:szCs w:val="24"/>
        </w:rPr>
        <w:t xml:space="preserve">– </w:t>
      </w:r>
      <w:r w:rsidRPr="007A7314">
        <w:rPr>
          <w:rFonts w:cstheme="minorHAnsi"/>
          <w:sz w:val="24"/>
          <w:szCs w:val="24"/>
        </w:rPr>
        <w:t>bør</w:t>
      </w:r>
      <w:r>
        <w:rPr>
          <w:rFonts w:cstheme="minorHAnsi"/>
          <w:sz w:val="24"/>
          <w:szCs w:val="24"/>
        </w:rPr>
        <w:t xml:space="preserve"> </w:t>
      </w:r>
      <w:r w:rsidRPr="007A7314">
        <w:rPr>
          <w:rFonts w:cstheme="minorHAnsi"/>
          <w:sz w:val="24"/>
          <w:szCs w:val="24"/>
        </w:rPr>
        <w:t xml:space="preserve">omfatte alle former for aktiviteter, der påvirker de to hvalarter, så det sikres, at de to arter er beskyttet i relevant omfang, og at samfundet og kommende generationer får mest muligt ud af ressourcerne. </w:t>
      </w:r>
    </w:p>
    <w:p w14:paraId="441E354B" w14:textId="77777777" w:rsidR="000737F5" w:rsidRPr="007A7314" w:rsidRDefault="000737F5" w:rsidP="000737F5">
      <w:pPr>
        <w:rPr>
          <w:rFonts w:cstheme="minorHAnsi"/>
          <w:sz w:val="24"/>
          <w:szCs w:val="24"/>
        </w:rPr>
      </w:pPr>
    </w:p>
    <w:p w14:paraId="55EF4C52" w14:textId="77777777" w:rsidR="000737F5" w:rsidRPr="007A7314" w:rsidRDefault="000737F5" w:rsidP="000737F5">
      <w:pPr>
        <w:rPr>
          <w:rFonts w:cstheme="minorHAnsi"/>
          <w:sz w:val="24"/>
          <w:szCs w:val="24"/>
        </w:rPr>
      </w:pPr>
      <w:r w:rsidRPr="007A7314">
        <w:rPr>
          <w:rFonts w:cstheme="minorHAnsi"/>
          <w:sz w:val="24"/>
          <w:szCs w:val="24"/>
        </w:rPr>
        <w:t xml:space="preserve">NIPNAN anbefaler, at hjemmelsbestemmelsen tilpasses, så den også omfatter Naturbeskyttelsesloven og dermed muliggør relevant beskyttelse af hvid- og narhvaler. Dette kunne </w:t>
      </w:r>
      <w:proofErr w:type="gramStart"/>
      <w:r>
        <w:rPr>
          <w:rFonts w:cstheme="minorHAnsi"/>
          <w:sz w:val="24"/>
          <w:szCs w:val="24"/>
        </w:rPr>
        <w:t>eksempelvis</w:t>
      </w:r>
      <w:proofErr w:type="gramEnd"/>
      <w:r>
        <w:rPr>
          <w:rFonts w:cstheme="minorHAnsi"/>
          <w:sz w:val="24"/>
          <w:szCs w:val="24"/>
        </w:rPr>
        <w:t xml:space="preserve"> </w:t>
      </w:r>
      <w:r w:rsidRPr="007A7314">
        <w:rPr>
          <w:rFonts w:cstheme="minorHAnsi"/>
          <w:sz w:val="24"/>
          <w:szCs w:val="24"/>
        </w:rPr>
        <w:t xml:space="preserve">omfatte regulering af sejlads </w:t>
      </w:r>
      <w:r>
        <w:rPr>
          <w:rFonts w:cstheme="minorHAnsi"/>
          <w:sz w:val="24"/>
          <w:szCs w:val="24"/>
        </w:rPr>
        <w:t xml:space="preserve">og brug af garn </w:t>
      </w:r>
      <w:r w:rsidRPr="007A7314">
        <w:rPr>
          <w:rFonts w:cstheme="minorHAnsi"/>
          <w:sz w:val="24"/>
          <w:szCs w:val="24"/>
        </w:rPr>
        <w:t xml:space="preserve">i områder, hvor narhvaler har sommerophold osv. </w:t>
      </w:r>
    </w:p>
    <w:p w14:paraId="584FC9F8" w14:textId="77777777" w:rsidR="000737F5" w:rsidRPr="007A7314" w:rsidRDefault="000737F5" w:rsidP="000737F5">
      <w:pPr>
        <w:rPr>
          <w:rFonts w:cstheme="minorHAnsi"/>
          <w:sz w:val="24"/>
          <w:szCs w:val="24"/>
        </w:rPr>
      </w:pPr>
    </w:p>
    <w:p w14:paraId="08040351" w14:textId="77777777" w:rsidR="000737F5" w:rsidRPr="007A7314" w:rsidRDefault="000737F5" w:rsidP="000737F5">
      <w:pPr>
        <w:rPr>
          <w:rFonts w:cstheme="minorHAnsi"/>
          <w:i/>
          <w:iCs/>
          <w:sz w:val="24"/>
          <w:szCs w:val="24"/>
        </w:rPr>
      </w:pPr>
      <w:r w:rsidRPr="007A7314">
        <w:rPr>
          <w:rFonts w:cstheme="minorHAnsi"/>
          <w:i/>
          <w:iCs/>
          <w:sz w:val="24"/>
          <w:szCs w:val="24"/>
        </w:rPr>
        <w:t>Specifikke bemærkninger</w:t>
      </w:r>
    </w:p>
    <w:p w14:paraId="1CFFF433" w14:textId="77777777" w:rsidR="000737F5" w:rsidRPr="007A7314" w:rsidRDefault="000737F5" w:rsidP="000737F5">
      <w:pPr>
        <w:rPr>
          <w:rFonts w:cstheme="minorHAnsi"/>
          <w:sz w:val="24"/>
          <w:szCs w:val="24"/>
        </w:rPr>
      </w:pPr>
      <w:r w:rsidRPr="007A7314">
        <w:rPr>
          <w:rFonts w:cstheme="minorHAnsi"/>
          <w:sz w:val="24"/>
          <w:szCs w:val="24"/>
        </w:rPr>
        <w:t>NIPNAN har følgende specifikke bemærkninger til bekendtgørelsesudkastet:</w:t>
      </w:r>
    </w:p>
    <w:p w14:paraId="2247FDBB" w14:textId="77777777" w:rsidR="000737F5" w:rsidRPr="007A7314" w:rsidRDefault="000737F5" w:rsidP="000737F5">
      <w:pPr>
        <w:rPr>
          <w:rFonts w:cstheme="minorHAnsi"/>
          <w:sz w:val="24"/>
          <w:szCs w:val="24"/>
        </w:rPr>
      </w:pPr>
    </w:p>
    <w:p w14:paraId="3EDDA110" w14:textId="77777777" w:rsidR="000737F5" w:rsidRPr="007A7314" w:rsidRDefault="000737F5" w:rsidP="000737F5">
      <w:pPr>
        <w:pStyle w:val="Listeafsnit"/>
        <w:numPr>
          <w:ilvl w:val="0"/>
          <w:numId w:val="1"/>
        </w:numPr>
        <w:rPr>
          <w:rFonts w:cstheme="minorHAnsi"/>
          <w:sz w:val="24"/>
          <w:szCs w:val="24"/>
        </w:rPr>
      </w:pPr>
      <w:r w:rsidRPr="007A7314">
        <w:rPr>
          <w:rFonts w:cstheme="minorHAnsi"/>
          <w:sz w:val="24"/>
          <w:szCs w:val="24"/>
        </w:rPr>
        <w:t>§ 2, litra 3 definerer, hvad der i bekendtgørelsen forstå</w:t>
      </w:r>
      <w:r>
        <w:rPr>
          <w:rFonts w:cstheme="minorHAnsi"/>
          <w:sz w:val="24"/>
          <w:szCs w:val="24"/>
        </w:rPr>
        <w:t>s</w:t>
      </w:r>
      <w:r w:rsidRPr="007A7314">
        <w:rPr>
          <w:rFonts w:cstheme="minorHAnsi"/>
          <w:sz w:val="24"/>
          <w:szCs w:val="24"/>
        </w:rPr>
        <w:t xml:space="preserve"> ved ”</w:t>
      </w:r>
      <w:r w:rsidRPr="007A7314">
        <w:rPr>
          <w:rFonts w:cstheme="minorHAnsi"/>
          <w:i/>
          <w:iCs/>
          <w:sz w:val="24"/>
          <w:szCs w:val="24"/>
        </w:rPr>
        <w:t>traditionel fangst”</w:t>
      </w:r>
      <w:r w:rsidRPr="007A7314">
        <w:rPr>
          <w:rFonts w:cstheme="minorHAnsi"/>
          <w:sz w:val="24"/>
          <w:szCs w:val="24"/>
        </w:rPr>
        <w:t>.</w:t>
      </w:r>
    </w:p>
    <w:p w14:paraId="5778AA25" w14:textId="77777777" w:rsidR="000737F5" w:rsidRPr="007A7314" w:rsidRDefault="000737F5" w:rsidP="000737F5">
      <w:pPr>
        <w:pStyle w:val="Listeafsnit"/>
        <w:numPr>
          <w:ilvl w:val="0"/>
          <w:numId w:val="2"/>
        </w:numPr>
        <w:rPr>
          <w:rFonts w:cstheme="minorHAnsi"/>
          <w:sz w:val="24"/>
          <w:szCs w:val="24"/>
        </w:rPr>
      </w:pPr>
      <w:r w:rsidRPr="007A7314">
        <w:rPr>
          <w:rFonts w:cstheme="minorHAnsi"/>
          <w:sz w:val="24"/>
          <w:szCs w:val="24"/>
        </w:rPr>
        <w:t>NIPNAN bemærker, at ”</w:t>
      </w:r>
      <w:r w:rsidRPr="007A7314">
        <w:rPr>
          <w:rFonts w:cstheme="minorHAnsi"/>
          <w:i/>
          <w:iCs/>
          <w:sz w:val="24"/>
          <w:szCs w:val="24"/>
        </w:rPr>
        <w:t>traditionel fangst</w:t>
      </w:r>
      <w:r w:rsidRPr="007A7314">
        <w:rPr>
          <w:rFonts w:cstheme="minorHAnsi"/>
          <w:sz w:val="24"/>
          <w:szCs w:val="24"/>
        </w:rPr>
        <w:t>” ikke nævnes i bekendtgørelsen i øvrigt.</w:t>
      </w:r>
    </w:p>
    <w:p w14:paraId="4B242448" w14:textId="77777777" w:rsidR="000737F5" w:rsidRPr="007A7314" w:rsidRDefault="000737F5" w:rsidP="000737F5">
      <w:pPr>
        <w:rPr>
          <w:rFonts w:cstheme="minorHAnsi"/>
          <w:sz w:val="24"/>
          <w:szCs w:val="24"/>
        </w:rPr>
      </w:pPr>
    </w:p>
    <w:p w14:paraId="4490CC00" w14:textId="77777777" w:rsidR="000737F5" w:rsidRPr="007A7314" w:rsidRDefault="000737F5" w:rsidP="000737F5">
      <w:pPr>
        <w:pStyle w:val="Listeafsnit"/>
        <w:numPr>
          <w:ilvl w:val="0"/>
          <w:numId w:val="1"/>
        </w:numPr>
        <w:rPr>
          <w:rFonts w:cstheme="minorHAnsi"/>
          <w:sz w:val="24"/>
          <w:szCs w:val="24"/>
        </w:rPr>
      </w:pPr>
      <w:r w:rsidRPr="007A7314">
        <w:rPr>
          <w:rFonts w:cstheme="minorHAnsi"/>
          <w:sz w:val="24"/>
          <w:szCs w:val="24"/>
        </w:rPr>
        <w:t>Det fremgår af § 3, stk. 2, at når hvid- og narhvaler ledsages af unger, må hverken hunhvalen eller ungen fanges.</w:t>
      </w:r>
    </w:p>
    <w:p w14:paraId="01EF00C8" w14:textId="77777777" w:rsidR="000737F5" w:rsidRPr="007A7314" w:rsidRDefault="000737F5" w:rsidP="000737F5">
      <w:pPr>
        <w:pStyle w:val="Listeafsnit"/>
        <w:numPr>
          <w:ilvl w:val="0"/>
          <w:numId w:val="2"/>
        </w:numPr>
        <w:rPr>
          <w:rFonts w:cstheme="minorHAnsi"/>
          <w:sz w:val="24"/>
          <w:szCs w:val="24"/>
        </w:rPr>
      </w:pPr>
      <w:r w:rsidRPr="007A7314">
        <w:rPr>
          <w:rFonts w:cstheme="minorHAnsi"/>
          <w:sz w:val="24"/>
          <w:szCs w:val="24"/>
        </w:rPr>
        <w:t>NIPNAN finder det positivt, at der indføres selektiv fangst af hvid- og narhvaler, hvilket kan være med til at forbedre fangstressourcernes bevarelse og reproduktion.</w:t>
      </w:r>
    </w:p>
    <w:p w14:paraId="48FDB7E5" w14:textId="77777777" w:rsidR="000737F5" w:rsidRPr="007A7314" w:rsidRDefault="000737F5" w:rsidP="000737F5">
      <w:pPr>
        <w:pStyle w:val="Listeafsnit"/>
        <w:rPr>
          <w:rFonts w:cstheme="minorHAnsi"/>
          <w:sz w:val="24"/>
          <w:szCs w:val="24"/>
        </w:rPr>
      </w:pPr>
    </w:p>
    <w:p w14:paraId="4884B1B9" w14:textId="77777777" w:rsidR="000737F5" w:rsidRPr="007A7314" w:rsidRDefault="000737F5" w:rsidP="000737F5">
      <w:pPr>
        <w:pStyle w:val="Listeafsnit"/>
        <w:numPr>
          <w:ilvl w:val="0"/>
          <w:numId w:val="1"/>
        </w:numPr>
        <w:rPr>
          <w:rFonts w:cstheme="minorHAnsi"/>
          <w:sz w:val="24"/>
          <w:szCs w:val="24"/>
        </w:rPr>
      </w:pPr>
      <w:r w:rsidRPr="007A7314">
        <w:rPr>
          <w:rFonts w:cstheme="minorHAnsi"/>
          <w:sz w:val="24"/>
          <w:szCs w:val="24"/>
        </w:rPr>
        <w:lastRenderedPageBreak/>
        <w:t xml:space="preserve">Det fremgår af § </w:t>
      </w:r>
      <w:r>
        <w:rPr>
          <w:rFonts w:cstheme="minorHAnsi"/>
          <w:sz w:val="24"/>
          <w:szCs w:val="24"/>
        </w:rPr>
        <w:t>4</w:t>
      </w:r>
      <w:r w:rsidRPr="007A7314">
        <w:rPr>
          <w:rFonts w:cstheme="minorHAnsi"/>
          <w:sz w:val="24"/>
          <w:szCs w:val="24"/>
        </w:rPr>
        <w:t>, stk. 1, at Naalakkersuisut kan fastsætte et- eller flerårige kvoter for fangst af hvid- og narhvaler, særskilt for hver bestand.</w:t>
      </w:r>
    </w:p>
    <w:p w14:paraId="25A2D568" w14:textId="77777777" w:rsidR="000737F5" w:rsidRDefault="000737F5" w:rsidP="000737F5">
      <w:pPr>
        <w:pStyle w:val="Listeafsnit"/>
        <w:numPr>
          <w:ilvl w:val="0"/>
          <w:numId w:val="2"/>
        </w:numPr>
        <w:rPr>
          <w:rFonts w:cstheme="minorHAnsi"/>
          <w:sz w:val="24"/>
          <w:szCs w:val="24"/>
        </w:rPr>
      </w:pPr>
      <w:r>
        <w:rPr>
          <w:rFonts w:cstheme="minorHAnsi"/>
          <w:sz w:val="24"/>
          <w:szCs w:val="24"/>
        </w:rPr>
        <w:t xml:space="preserve">NIPNAN bemærker, at særskilte kvoter for hver bestand ville give mulighed for en mere biologisk bæredygtig udnyttelse af de enkelte bestande. Forvaltningen af bestandsspecifikke kvoter vil dog sætte store krav til, hvor og hvornår fangsten finder sted. Bestande af hvid- og narhvaler er defineret ud fra, hvor de har ophold om sommeren. Hvis hvid- og narhvaler med sikkerhed skal kunne henføres til en bestemt bestand, skal fangsten ske om sommeren, mens hvalerne opholder sig i adskilte bestande. Alternativt skal prøver af nedlagte hvaler dna-testes for at kunne henføres og trækkes fra kvoten for relevante bestand. </w:t>
      </w:r>
    </w:p>
    <w:p w14:paraId="72E1D065" w14:textId="77777777" w:rsidR="000737F5" w:rsidRDefault="000737F5" w:rsidP="000737F5">
      <w:pPr>
        <w:pStyle w:val="Listeafsnit"/>
        <w:rPr>
          <w:rFonts w:cstheme="minorHAnsi"/>
          <w:sz w:val="24"/>
          <w:szCs w:val="24"/>
        </w:rPr>
      </w:pPr>
    </w:p>
    <w:p w14:paraId="5C0495D2" w14:textId="77777777" w:rsidR="000737F5" w:rsidRPr="00DA2A93" w:rsidRDefault="000737F5" w:rsidP="000737F5">
      <w:pPr>
        <w:pStyle w:val="Listeafsnit"/>
        <w:numPr>
          <w:ilvl w:val="0"/>
          <w:numId w:val="1"/>
        </w:numPr>
        <w:rPr>
          <w:rFonts w:cstheme="minorHAnsi"/>
          <w:sz w:val="24"/>
          <w:szCs w:val="24"/>
        </w:rPr>
      </w:pPr>
      <w:r w:rsidRPr="00DA2A93">
        <w:rPr>
          <w:rFonts w:cstheme="minorHAnsi"/>
          <w:sz w:val="24"/>
          <w:szCs w:val="24"/>
        </w:rPr>
        <w:t>Det fremgår af § 6, stk. 2, at fastsættelsen af fangstområder blandt andet sker på baggrund af den nyeste videnskabelige viden om</w:t>
      </w:r>
      <w:r>
        <w:rPr>
          <w:rFonts w:cstheme="minorHAnsi"/>
          <w:sz w:val="24"/>
          <w:szCs w:val="24"/>
        </w:rPr>
        <w:t>,</w:t>
      </w:r>
      <w:r w:rsidRPr="00DA2A93">
        <w:rPr>
          <w:rFonts w:cstheme="minorHAnsi"/>
          <w:sz w:val="24"/>
          <w:szCs w:val="24"/>
        </w:rPr>
        <w:t xml:space="preserve"> hvordan bestandene er geografisk afgrænset</w:t>
      </w:r>
      <w:r>
        <w:rPr>
          <w:rFonts w:cstheme="minorHAnsi"/>
          <w:sz w:val="24"/>
          <w:szCs w:val="24"/>
        </w:rPr>
        <w:t>.</w:t>
      </w:r>
    </w:p>
    <w:p w14:paraId="36F47F1E" w14:textId="77777777" w:rsidR="000737F5" w:rsidRDefault="000737F5" w:rsidP="000737F5">
      <w:pPr>
        <w:pStyle w:val="Listeafsnit"/>
        <w:numPr>
          <w:ilvl w:val="0"/>
          <w:numId w:val="2"/>
        </w:numPr>
        <w:rPr>
          <w:rFonts w:cstheme="minorHAnsi"/>
          <w:sz w:val="24"/>
          <w:szCs w:val="24"/>
        </w:rPr>
      </w:pPr>
      <w:r w:rsidRPr="00B45FB9">
        <w:rPr>
          <w:rFonts w:cstheme="minorHAnsi"/>
          <w:sz w:val="24"/>
          <w:szCs w:val="24"/>
        </w:rPr>
        <w:t xml:space="preserve">NIPNAN bemærker, at fangstområderne for narhvaler ikke følger bestandsafgrænsningerne. Dette gælder særligt for Zone 4 og 5, hvor der fanges narhvaler fra en blanding af forskellige bestande. </w:t>
      </w:r>
    </w:p>
    <w:p w14:paraId="5CBD75F7" w14:textId="77777777" w:rsidR="000737F5" w:rsidRDefault="000737F5" w:rsidP="000737F5">
      <w:pPr>
        <w:rPr>
          <w:rFonts w:cstheme="minorHAnsi"/>
          <w:sz w:val="24"/>
          <w:szCs w:val="24"/>
        </w:rPr>
      </w:pPr>
    </w:p>
    <w:p w14:paraId="6B637D4A" w14:textId="77777777" w:rsidR="000737F5" w:rsidRPr="00BE7E06" w:rsidRDefault="000737F5" w:rsidP="000737F5">
      <w:pPr>
        <w:pStyle w:val="Listeafsnit"/>
        <w:numPr>
          <w:ilvl w:val="0"/>
          <w:numId w:val="1"/>
        </w:numPr>
        <w:rPr>
          <w:rFonts w:cstheme="minorHAnsi"/>
          <w:sz w:val="24"/>
          <w:szCs w:val="24"/>
        </w:rPr>
      </w:pPr>
      <w:r>
        <w:rPr>
          <w:rFonts w:cstheme="minorHAnsi"/>
          <w:sz w:val="24"/>
          <w:szCs w:val="24"/>
        </w:rPr>
        <w:t xml:space="preserve">Det fremgår af § 12, stk. 1, at </w:t>
      </w:r>
      <w:r w:rsidRPr="00F412E2">
        <w:rPr>
          <w:rFonts w:cstheme="minorHAnsi"/>
          <w:sz w:val="24"/>
          <w:szCs w:val="24"/>
        </w:rPr>
        <w:t>fangst af hvid- og narhvaler kun må ske ved anvendelse af rifler</w:t>
      </w:r>
      <w:proofErr w:type="gramStart"/>
      <w:r w:rsidRPr="00F412E2">
        <w:rPr>
          <w:rFonts w:cstheme="minorHAnsi"/>
          <w:sz w:val="24"/>
          <w:szCs w:val="24"/>
        </w:rPr>
        <w:t>… .</w:t>
      </w:r>
      <w:proofErr w:type="gramEnd"/>
    </w:p>
    <w:p w14:paraId="62CA63AF" w14:textId="77777777" w:rsidR="000737F5" w:rsidRPr="00BE7E06" w:rsidRDefault="000737F5" w:rsidP="000737F5">
      <w:pPr>
        <w:pStyle w:val="Listeafsnit"/>
        <w:numPr>
          <w:ilvl w:val="0"/>
          <w:numId w:val="2"/>
        </w:numPr>
        <w:rPr>
          <w:rFonts w:cstheme="minorHAnsi"/>
          <w:sz w:val="24"/>
          <w:szCs w:val="24"/>
        </w:rPr>
      </w:pPr>
      <w:r w:rsidRPr="00F412E2">
        <w:rPr>
          <w:rFonts w:cstheme="minorHAnsi"/>
          <w:sz w:val="24"/>
          <w:szCs w:val="24"/>
        </w:rPr>
        <w:t>NIPNAN bemærker, at bestemmelsen strider mod § 12, stk. 3 og stk. 5, hvoraf det fremgår, at garn og håndharpun også må anvendes til fangst af hvid- og narhvaler.</w:t>
      </w:r>
    </w:p>
    <w:p w14:paraId="095F2EAF" w14:textId="77777777" w:rsidR="000737F5" w:rsidRDefault="000737F5" w:rsidP="000737F5">
      <w:pPr>
        <w:rPr>
          <w:rFonts w:cstheme="minorHAnsi"/>
          <w:sz w:val="24"/>
          <w:szCs w:val="24"/>
        </w:rPr>
      </w:pPr>
    </w:p>
    <w:p w14:paraId="238E9797" w14:textId="77777777" w:rsidR="000737F5" w:rsidRDefault="000737F5" w:rsidP="000737F5">
      <w:pPr>
        <w:pStyle w:val="Listeafsnit"/>
        <w:numPr>
          <w:ilvl w:val="0"/>
          <w:numId w:val="1"/>
        </w:numPr>
        <w:rPr>
          <w:rFonts w:cstheme="minorHAnsi"/>
          <w:sz w:val="24"/>
          <w:szCs w:val="24"/>
        </w:rPr>
      </w:pPr>
      <w:r w:rsidRPr="00CB6B5E">
        <w:rPr>
          <w:rFonts w:cstheme="minorHAnsi"/>
          <w:sz w:val="24"/>
          <w:szCs w:val="24"/>
        </w:rPr>
        <w:t xml:space="preserve">Det fremgår af § 12, stk. 3, at garnfangst af hvid- og narhvaler er tilladt i forvaltningsområde Qaanaaq samt forvaltningsområderne i Østgrønland efter vedtaget kommunal vedtægt. </w:t>
      </w:r>
    </w:p>
    <w:p w14:paraId="305A2F2F" w14:textId="77777777" w:rsidR="000737F5" w:rsidRDefault="000737F5" w:rsidP="000737F5">
      <w:pPr>
        <w:pStyle w:val="Listeafsnit"/>
        <w:numPr>
          <w:ilvl w:val="0"/>
          <w:numId w:val="2"/>
        </w:numPr>
        <w:rPr>
          <w:rFonts w:cstheme="minorHAnsi"/>
          <w:sz w:val="24"/>
          <w:szCs w:val="24"/>
        </w:rPr>
      </w:pPr>
      <w:r>
        <w:rPr>
          <w:rFonts w:cstheme="minorHAnsi"/>
          <w:sz w:val="24"/>
          <w:szCs w:val="24"/>
        </w:rPr>
        <w:t>NIPNAN bemærker, at bestemmelsen om garnfangst strider mod § 3, stk. 2, idet garnfangst ikke er en selektiv fangstmetode, der giver mulighed for at undgå fangst af unger og hunhvaler ifølge med unger.</w:t>
      </w:r>
    </w:p>
    <w:p w14:paraId="0ED0E1D0" w14:textId="77777777" w:rsidR="000737F5" w:rsidRDefault="000737F5" w:rsidP="000737F5">
      <w:pPr>
        <w:pStyle w:val="Listeafsnit"/>
        <w:numPr>
          <w:ilvl w:val="0"/>
          <w:numId w:val="2"/>
        </w:numPr>
        <w:rPr>
          <w:rFonts w:cstheme="minorHAnsi"/>
          <w:sz w:val="24"/>
          <w:szCs w:val="24"/>
        </w:rPr>
      </w:pPr>
      <w:proofErr w:type="gramStart"/>
      <w:r>
        <w:rPr>
          <w:rFonts w:cstheme="minorHAnsi"/>
          <w:sz w:val="24"/>
          <w:szCs w:val="24"/>
        </w:rPr>
        <w:t>Såfremt</w:t>
      </w:r>
      <w:proofErr w:type="gramEnd"/>
      <w:r>
        <w:rPr>
          <w:rFonts w:cstheme="minorHAnsi"/>
          <w:sz w:val="24"/>
          <w:szCs w:val="24"/>
        </w:rPr>
        <w:t xml:space="preserve"> garnfangst skal være tilladt, bør garnet være under konstant opsyn, så det er muligt at forhindre, at unger og hunhvaler ifølge med unger bliver fanget i garnet. Det er ikke muligt at undgå bifangst af unger og hunhvaler ifølge med unger, hvis garnet kun tilses én gang i døgnet, som foreskrevet i § 12, stk. 4.</w:t>
      </w:r>
    </w:p>
    <w:p w14:paraId="7E73A3D4" w14:textId="77777777" w:rsidR="000737F5" w:rsidRDefault="000737F5" w:rsidP="000737F5">
      <w:pPr>
        <w:pStyle w:val="Listeafsnit"/>
        <w:numPr>
          <w:ilvl w:val="0"/>
          <w:numId w:val="2"/>
        </w:numPr>
        <w:rPr>
          <w:rFonts w:cstheme="minorHAnsi"/>
          <w:sz w:val="24"/>
          <w:szCs w:val="24"/>
        </w:rPr>
      </w:pPr>
      <w:r>
        <w:rPr>
          <w:rFonts w:cstheme="minorHAnsi"/>
          <w:sz w:val="24"/>
          <w:szCs w:val="24"/>
        </w:rPr>
        <w:t xml:space="preserve">NIPNAN bemærker, at forbuddet mod garnfangst alene gælder garn, der bliver sat i forbindelse med fangst af hvid- og narhvaler. NIPNAN opfordrer til, at der indføres et generelt forbud mod brug af garn i sommeropholdsområder for narhvaler, så forstyrrelse og antal af </w:t>
      </w:r>
      <w:proofErr w:type="spellStart"/>
      <w:r>
        <w:rPr>
          <w:rFonts w:cstheme="minorHAnsi"/>
          <w:sz w:val="24"/>
          <w:szCs w:val="24"/>
        </w:rPr>
        <w:t>bifangede</w:t>
      </w:r>
      <w:proofErr w:type="spellEnd"/>
      <w:r>
        <w:rPr>
          <w:rFonts w:cstheme="minorHAnsi"/>
          <w:sz w:val="24"/>
          <w:szCs w:val="24"/>
        </w:rPr>
        <w:t xml:space="preserve"> hvaler reduceres i disse kerneområder.</w:t>
      </w:r>
    </w:p>
    <w:p w14:paraId="3560EFDB" w14:textId="77777777" w:rsidR="000737F5" w:rsidRDefault="000737F5" w:rsidP="000737F5">
      <w:pPr>
        <w:pStyle w:val="Listeafsnit"/>
        <w:rPr>
          <w:rFonts w:cstheme="minorHAnsi"/>
          <w:sz w:val="24"/>
          <w:szCs w:val="24"/>
        </w:rPr>
      </w:pPr>
    </w:p>
    <w:p w14:paraId="62DE7781" w14:textId="77777777" w:rsidR="000737F5" w:rsidRPr="00646B8B" w:rsidRDefault="000737F5" w:rsidP="000737F5">
      <w:pPr>
        <w:pStyle w:val="Listeafsnit"/>
        <w:numPr>
          <w:ilvl w:val="0"/>
          <w:numId w:val="1"/>
        </w:numPr>
        <w:rPr>
          <w:rFonts w:cstheme="minorHAnsi"/>
          <w:sz w:val="24"/>
          <w:szCs w:val="24"/>
        </w:rPr>
      </w:pPr>
      <w:r w:rsidRPr="00646B8B">
        <w:rPr>
          <w:rFonts w:cstheme="minorHAnsi"/>
          <w:sz w:val="24"/>
          <w:szCs w:val="24"/>
        </w:rPr>
        <w:t xml:space="preserve">Det fremgår af § 16, stk. 1, at Departementet for Fiskeri og Fangst kan give tilladelse til aflivning af hårdt sårede hvid- eller narhvaler, hvid- eller narhvaler viklet i fiskegarn eller andre fiskeredskaber. Dyr aflivet i </w:t>
      </w:r>
      <w:r w:rsidRPr="00646B8B">
        <w:rPr>
          <w:rFonts w:cstheme="minorHAnsi"/>
          <w:sz w:val="24"/>
          <w:szCs w:val="24"/>
        </w:rPr>
        <w:lastRenderedPageBreak/>
        <w:t>medfør af stk. 1 kan iht. § 16, stk. 3 fordeles til den lokale befolkning</w:t>
      </w:r>
      <w:r>
        <w:rPr>
          <w:rFonts w:cstheme="minorHAnsi"/>
          <w:sz w:val="24"/>
          <w:szCs w:val="24"/>
        </w:rPr>
        <w:t>,</w:t>
      </w:r>
      <w:r w:rsidRPr="00646B8B">
        <w:rPr>
          <w:rFonts w:cstheme="minorHAnsi"/>
          <w:sz w:val="24"/>
          <w:szCs w:val="24"/>
        </w:rPr>
        <w:t xml:space="preserve"> </w:t>
      </w:r>
      <w:proofErr w:type="gramStart"/>
      <w:r w:rsidRPr="00646B8B">
        <w:rPr>
          <w:rFonts w:cstheme="minorHAnsi"/>
          <w:sz w:val="24"/>
          <w:szCs w:val="24"/>
        </w:rPr>
        <w:t>såfremt</w:t>
      </w:r>
      <w:proofErr w:type="gramEnd"/>
      <w:r w:rsidRPr="00646B8B">
        <w:rPr>
          <w:rFonts w:cstheme="minorHAnsi"/>
          <w:sz w:val="24"/>
          <w:szCs w:val="24"/>
        </w:rPr>
        <w:t xml:space="preserve"> dyret egner sig til føde.</w:t>
      </w:r>
    </w:p>
    <w:p w14:paraId="0B9B6CA1" w14:textId="77777777" w:rsidR="000737F5" w:rsidRDefault="000737F5" w:rsidP="000737F5">
      <w:pPr>
        <w:pStyle w:val="Listeafsnit"/>
        <w:numPr>
          <w:ilvl w:val="0"/>
          <w:numId w:val="2"/>
        </w:numPr>
        <w:rPr>
          <w:rFonts w:cstheme="minorHAnsi"/>
          <w:sz w:val="24"/>
          <w:szCs w:val="24"/>
        </w:rPr>
      </w:pPr>
      <w:r>
        <w:rPr>
          <w:rFonts w:cstheme="minorHAnsi"/>
          <w:sz w:val="24"/>
          <w:szCs w:val="24"/>
        </w:rPr>
        <w:t>NIPNAN bemærker, at bestemmelserne i § 16 gør det uklart, hvorvidt unger og hunhvaler ifølge med unger, der bliver fanget i garn, vil blive anset som ulovligt nedlagte dyr iht. § 3, stk. 2, eller som bifangst, der kan fordeles til den lokale befolkning iht. § 16, stk. 3. NIPNAN opfordrer til, at dette tydeliggøres, så der ikke opstår tvivl om, hvordan bestemmelserne skal fortolkes og forvaltes.</w:t>
      </w:r>
    </w:p>
    <w:p w14:paraId="64A30B04" w14:textId="77777777" w:rsidR="000737F5" w:rsidRDefault="000737F5" w:rsidP="000737F5">
      <w:pPr>
        <w:rPr>
          <w:rFonts w:cstheme="minorHAnsi"/>
          <w:sz w:val="24"/>
          <w:szCs w:val="24"/>
        </w:rPr>
      </w:pPr>
    </w:p>
    <w:p w14:paraId="5DEA90F0" w14:textId="77777777" w:rsidR="000737F5" w:rsidRDefault="000737F5" w:rsidP="000737F5">
      <w:pPr>
        <w:pStyle w:val="Listeafsnit"/>
        <w:numPr>
          <w:ilvl w:val="0"/>
          <w:numId w:val="1"/>
        </w:numPr>
        <w:rPr>
          <w:rFonts w:cstheme="minorHAnsi"/>
          <w:sz w:val="24"/>
          <w:szCs w:val="24"/>
        </w:rPr>
      </w:pPr>
      <w:r w:rsidRPr="00996CD1">
        <w:rPr>
          <w:rFonts w:cstheme="minorHAnsi"/>
          <w:sz w:val="24"/>
          <w:szCs w:val="24"/>
        </w:rPr>
        <w:t xml:space="preserve">Det fremgår af § 16, stk. 2, at </w:t>
      </w:r>
      <w:proofErr w:type="gramStart"/>
      <w:r w:rsidRPr="00996CD1">
        <w:rPr>
          <w:rFonts w:cstheme="minorHAnsi"/>
          <w:sz w:val="24"/>
          <w:szCs w:val="24"/>
        </w:rPr>
        <w:t>såfremt</w:t>
      </w:r>
      <w:proofErr w:type="gramEnd"/>
      <w:r w:rsidRPr="00996CD1">
        <w:rPr>
          <w:rFonts w:cstheme="minorHAnsi"/>
          <w:sz w:val="24"/>
          <w:szCs w:val="24"/>
        </w:rPr>
        <w:t xml:space="preserve"> en lovlig fangst af hvidhval eller narhval efterfølgende viser sig ikke at være egnet til menneskeføde grundet sygdomsangreb eller lignende, kan Departementet for Fiskeri og Fangst give tilladelse til, at fangsten betragtes som en aflivning. Hvis der til fangsten har været anvendt licens</w:t>
      </w:r>
      <w:r>
        <w:rPr>
          <w:rFonts w:cstheme="minorHAnsi"/>
          <w:sz w:val="24"/>
          <w:szCs w:val="24"/>
        </w:rPr>
        <w:t xml:space="preserve">, forbliver </w:t>
      </w:r>
      <w:r w:rsidRPr="00996CD1">
        <w:rPr>
          <w:rFonts w:cstheme="minorHAnsi"/>
          <w:sz w:val="24"/>
          <w:szCs w:val="24"/>
        </w:rPr>
        <w:t xml:space="preserve">den </w:t>
      </w:r>
      <w:r>
        <w:rPr>
          <w:rFonts w:cstheme="minorHAnsi"/>
          <w:sz w:val="24"/>
          <w:szCs w:val="24"/>
        </w:rPr>
        <w:t>i kraft.</w:t>
      </w:r>
    </w:p>
    <w:p w14:paraId="0AC72407" w14:textId="77777777" w:rsidR="000737F5" w:rsidRPr="00996CD1" w:rsidRDefault="000737F5" w:rsidP="000737F5">
      <w:pPr>
        <w:pStyle w:val="Listeafsnit"/>
        <w:numPr>
          <w:ilvl w:val="0"/>
          <w:numId w:val="2"/>
        </w:numPr>
        <w:rPr>
          <w:rFonts w:cstheme="minorHAnsi"/>
          <w:sz w:val="24"/>
          <w:szCs w:val="24"/>
        </w:rPr>
      </w:pPr>
      <w:r w:rsidRPr="00996CD1">
        <w:rPr>
          <w:rFonts w:cstheme="minorHAnsi"/>
          <w:sz w:val="24"/>
          <w:szCs w:val="24"/>
        </w:rPr>
        <w:t>NIPNAN bemærker, at al unaturlig dødelighed bør fratrækkes den overordnede kvote – uanset om fangsten er egnet til menneskeføde eller ej.</w:t>
      </w:r>
    </w:p>
    <w:p w14:paraId="14BDD60B" w14:textId="77777777" w:rsidR="000737F5" w:rsidRDefault="000737F5" w:rsidP="000737F5">
      <w:pPr>
        <w:rPr>
          <w:rFonts w:cstheme="minorHAnsi"/>
          <w:sz w:val="24"/>
          <w:szCs w:val="24"/>
        </w:rPr>
      </w:pPr>
    </w:p>
    <w:p w14:paraId="51C931FF" w14:textId="77777777" w:rsidR="000737F5" w:rsidRDefault="000737F5" w:rsidP="000737F5">
      <w:pPr>
        <w:pStyle w:val="Listeafsnit"/>
        <w:numPr>
          <w:ilvl w:val="0"/>
          <w:numId w:val="1"/>
        </w:numPr>
        <w:rPr>
          <w:rFonts w:cstheme="minorHAnsi"/>
          <w:sz w:val="24"/>
          <w:szCs w:val="24"/>
        </w:rPr>
      </w:pPr>
      <w:r w:rsidRPr="00E635E5">
        <w:rPr>
          <w:rFonts w:cstheme="minorHAnsi"/>
          <w:sz w:val="24"/>
          <w:szCs w:val="24"/>
        </w:rPr>
        <w:t xml:space="preserve">Det fremgår af § 17, stk. 4, at kommunalbestyrelsen i særlige tilfælde kan give dispensation til anvendelse af snescootere og </w:t>
      </w:r>
      <w:r w:rsidRPr="00E635E5">
        <w:rPr>
          <w:rFonts w:cstheme="minorHAnsi"/>
          <w:i/>
          <w:iCs/>
          <w:sz w:val="24"/>
          <w:szCs w:val="24"/>
        </w:rPr>
        <w:t>fartøjer</w:t>
      </w:r>
      <w:r>
        <w:t xml:space="preserve"> </w:t>
      </w:r>
      <w:r w:rsidRPr="00E635E5">
        <w:rPr>
          <w:rFonts w:cstheme="minorHAnsi"/>
          <w:sz w:val="24"/>
          <w:szCs w:val="24"/>
        </w:rPr>
        <w:t xml:space="preserve">til brug for hjemtransport af fangstbytte fra </w:t>
      </w:r>
      <w:proofErr w:type="spellStart"/>
      <w:r w:rsidRPr="00E635E5">
        <w:rPr>
          <w:rFonts w:cstheme="minorHAnsi"/>
          <w:sz w:val="24"/>
          <w:szCs w:val="24"/>
        </w:rPr>
        <w:t>sassat</w:t>
      </w:r>
      <w:proofErr w:type="spellEnd"/>
      <w:r w:rsidRPr="00E635E5">
        <w:rPr>
          <w:rFonts w:cstheme="minorHAnsi"/>
          <w:sz w:val="24"/>
          <w:szCs w:val="24"/>
        </w:rPr>
        <w:t xml:space="preserve"> til hjemstede</w:t>
      </w:r>
      <w:r>
        <w:rPr>
          <w:rFonts w:cstheme="minorHAnsi"/>
          <w:sz w:val="24"/>
          <w:szCs w:val="24"/>
        </w:rPr>
        <w:t>t.</w:t>
      </w:r>
    </w:p>
    <w:p w14:paraId="2E8FE0D9" w14:textId="77777777" w:rsidR="000737F5" w:rsidRPr="00E635E5" w:rsidRDefault="000737F5" w:rsidP="000737F5">
      <w:pPr>
        <w:pStyle w:val="Listeafsnit"/>
        <w:numPr>
          <w:ilvl w:val="0"/>
          <w:numId w:val="2"/>
        </w:numPr>
        <w:rPr>
          <w:rFonts w:cstheme="minorHAnsi"/>
          <w:sz w:val="24"/>
          <w:szCs w:val="24"/>
        </w:rPr>
      </w:pPr>
      <w:r>
        <w:rPr>
          <w:rFonts w:cstheme="minorHAnsi"/>
          <w:sz w:val="24"/>
          <w:szCs w:val="24"/>
        </w:rPr>
        <w:t xml:space="preserve">NIPNAN bemærker, at det er uklart, hvilken type fartøjer det kan være relevant at give dispensation til ifm. </w:t>
      </w:r>
      <w:proofErr w:type="spellStart"/>
      <w:r>
        <w:rPr>
          <w:rFonts w:cstheme="minorHAnsi"/>
          <w:sz w:val="24"/>
          <w:szCs w:val="24"/>
        </w:rPr>
        <w:t>sassat</w:t>
      </w:r>
      <w:proofErr w:type="spellEnd"/>
      <w:r>
        <w:rPr>
          <w:rFonts w:cstheme="minorHAnsi"/>
          <w:sz w:val="24"/>
          <w:szCs w:val="24"/>
        </w:rPr>
        <w:t>.</w:t>
      </w:r>
    </w:p>
    <w:p w14:paraId="60B1BD2C" w14:textId="77777777" w:rsidR="000737F5" w:rsidRDefault="000737F5" w:rsidP="000737F5">
      <w:pPr>
        <w:rPr>
          <w:rFonts w:cstheme="minorHAnsi"/>
          <w:sz w:val="24"/>
          <w:szCs w:val="24"/>
        </w:rPr>
      </w:pPr>
    </w:p>
    <w:p w14:paraId="1DB320BF" w14:textId="77777777" w:rsidR="000737F5" w:rsidRDefault="000737F5" w:rsidP="000737F5">
      <w:pPr>
        <w:pStyle w:val="Listeafsnit"/>
        <w:numPr>
          <w:ilvl w:val="0"/>
          <w:numId w:val="1"/>
        </w:numPr>
        <w:rPr>
          <w:rFonts w:cstheme="minorHAnsi"/>
          <w:sz w:val="24"/>
          <w:szCs w:val="24"/>
        </w:rPr>
      </w:pPr>
      <w:r w:rsidRPr="00014460">
        <w:rPr>
          <w:rFonts w:cstheme="minorHAnsi"/>
          <w:sz w:val="24"/>
          <w:szCs w:val="24"/>
        </w:rPr>
        <w:t xml:space="preserve">Det fremgår af § </w:t>
      </w:r>
      <w:r>
        <w:rPr>
          <w:rFonts w:cstheme="minorHAnsi"/>
          <w:sz w:val="24"/>
          <w:szCs w:val="24"/>
        </w:rPr>
        <w:t>20</w:t>
      </w:r>
      <w:r w:rsidRPr="00014460">
        <w:rPr>
          <w:rFonts w:cstheme="minorHAnsi"/>
          <w:sz w:val="24"/>
          <w:szCs w:val="24"/>
        </w:rPr>
        <w:t xml:space="preserve">, stk. 3, at </w:t>
      </w:r>
      <w:r>
        <w:rPr>
          <w:rFonts w:cstheme="minorHAnsi"/>
          <w:sz w:val="24"/>
          <w:szCs w:val="24"/>
        </w:rPr>
        <w:t>fund af ”</w:t>
      </w:r>
      <w:proofErr w:type="spellStart"/>
      <w:r>
        <w:rPr>
          <w:rFonts w:cstheme="minorHAnsi"/>
          <w:sz w:val="24"/>
          <w:szCs w:val="24"/>
        </w:rPr>
        <w:t>siloq</w:t>
      </w:r>
      <w:proofErr w:type="spellEnd"/>
      <w:r>
        <w:rPr>
          <w:rFonts w:cstheme="minorHAnsi"/>
          <w:sz w:val="24"/>
          <w:szCs w:val="24"/>
        </w:rPr>
        <w:t>” rapporteres til Departementet for Fiskeri og Fangst. I henhold til § 30, stk. 1, litra 1, kan det medføre bøde ikke at rapportere fund af ”</w:t>
      </w:r>
      <w:proofErr w:type="spellStart"/>
      <w:r>
        <w:rPr>
          <w:rFonts w:cstheme="minorHAnsi"/>
          <w:sz w:val="24"/>
          <w:szCs w:val="24"/>
        </w:rPr>
        <w:t>siloq</w:t>
      </w:r>
      <w:proofErr w:type="spellEnd"/>
      <w:r>
        <w:rPr>
          <w:rFonts w:cstheme="minorHAnsi"/>
          <w:sz w:val="24"/>
          <w:szCs w:val="24"/>
        </w:rPr>
        <w:t>”.</w:t>
      </w:r>
    </w:p>
    <w:p w14:paraId="7BFBF81B" w14:textId="77777777" w:rsidR="000737F5" w:rsidRDefault="000737F5" w:rsidP="000737F5">
      <w:pPr>
        <w:pStyle w:val="Listeafsnit"/>
        <w:numPr>
          <w:ilvl w:val="0"/>
          <w:numId w:val="2"/>
        </w:numPr>
        <w:rPr>
          <w:rFonts w:cstheme="minorHAnsi"/>
          <w:sz w:val="24"/>
          <w:szCs w:val="24"/>
        </w:rPr>
      </w:pPr>
      <w:r w:rsidRPr="00014460">
        <w:rPr>
          <w:rFonts w:cstheme="minorHAnsi"/>
          <w:sz w:val="24"/>
          <w:szCs w:val="24"/>
        </w:rPr>
        <w:t xml:space="preserve">NIPNAN bemærker, at det ikke fremgår af bestemmelsen, hvorvidt kravet kun gælder for fangere, der </w:t>
      </w:r>
      <w:r>
        <w:rPr>
          <w:rFonts w:cstheme="minorHAnsi"/>
          <w:sz w:val="24"/>
          <w:szCs w:val="24"/>
        </w:rPr>
        <w:t>observerer en død</w:t>
      </w:r>
      <w:r w:rsidRPr="00014460">
        <w:rPr>
          <w:rFonts w:cstheme="minorHAnsi"/>
          <w:sz w:val="24"/>
          <w:szCs w:val="24"/>
        </w:rPr>
        <w:t xml:space="preserve"> </w:t>
      </w:r>
      <w:r>
        <w:rPr>
          <w:rFonts w:cstheme="minorHAnsi"/>
          <w:sz w:val="24"/>
          <w:szCs w:val="24"/>
        </w:rPr>
        <w:t>hvid- eller nar</w:t>
      </w:r>
      <w:r w:rsidRPr="00014460">
        <w:rPr>
          <w:rFonts w:cstheme="minorHAnsi"/>
          <w:sz w:val="24"/>
          <w:szCs w:val="24"/>
        </w:rPr>
        <w:t>hval</w:t>
      </w:r>
      <w:r>
        <w:rPr>
          <w:rFonts w:cstheme="minorHAnsi"/>
          <w:sz w:val="24"/>
          <w:szCs w:val="24"/>
        </w:rPr>
        <w:t xml:space="preserve"> ifm. fangstaktivitet</w:t>
      </w:r>
      <w:r w:rsidRPr="00014460">
        <w:rPr>
          <w:rFonts w:cstheme="minorHAnsi"/>
          <w:sz w:val="24"/>
          <w:szCs w:val="24"/>
        </w:rPr>
        <w:t xml:space="preserve">, eller hvorvidt kravet gælder for alle, der </w:t>
      </w:r>
      <w:r>
        <w:rPr>
          <w:rFonts w:cstheme="minorHAnsi"/>
          <w:sz w:val="24"/>
          <w:szCs w:val="24"/>
        </w:rPr>
        <w:t>observerer en død</w:t>
      </w:r>
      <w:r w:rsidRPr="00014460">
        <w:rPr>
          <w:rFonts w:cstheme="minorHAnsi"/>
          <w:sz w:val="24"/>
          <w:szCs w:val="24"/>
        </w:rPr>
        <w:t xml:space="preserve"> </w:t>
      </w:r>
      <w:r>
        <w:rPr>
          <w:rFonts w:cstheme="minorHAnsi"/>
          <w:sz w:val="24"/>
          <w:szCs w:val="24"/>
        </w:rPr>
        <w:t>hvid- eller nar</w:t>
      </w:r>
      <w:r w:rsidRPr="00014460">
        <w:rPr>
          <w:rFonts w:cstheme="minorHAnsi"/>
          <w:sz w:val="24"/>
          <w:szCs w:val="24"/>
        </w:rPr>
        <w:t xml:space="preserve">hval. </w:t>
      </w:r>
    </w:p>
    <w:p w14:paraId="0C6A10E8" w14:textId="77777777" w:rsidR="000737F5" w:rsidRDefault="000737F5" w:rsidP="000737F5">
      <w:pPr>
        <w:pStyle w:val="Listeafsnit"/>
        <w:numPr>
          <w:ilvl w:val="0"/>
          <w:numId w:val="2"/>
        </w:numPr>
        <w:rPr>
          <w:rFonts w:cstheme="minorHAnsi"/>
          <w:sz w:val="24"/>
          <w:szCs w:val="24"/>
        </w:rPr>
      </w:pPr>
      <w:proofErr w:type="gramStart"/>
      <w:r w:rsidRPr="00014460">
        <w:rPr>
          <w:rFonts w:cstheme="minorHAnsi"/>
          <w:sz w:val="24"/>
          <w:szCs w:val="24"/>
        </w:rPr>
        <w:t>Såfremt</w:t>
      </w:r>
      <w:proofErr w:type="gramEnd"/>
      <w:r w:rsidRPr="00014460">
        <w:rPr>
          <w:rFonts w:cstheme="minorHAnsi"/>
          <w:sz w:val="24"/>
          <w:szCs w:val="24"/>
        </w:rPr>
        <w:t xml:space="preserve"> kravet er tiltænkt at gælde alle, anbefaler NIPNAN, at det sikres, at der er hjemmel til at pålægge borgerne </w:t>
      </w:r>
      <w:r>
        <w:rPr>
          <w:rFonts w:cstheme="minorHAnsi"/>
          <w:sz w:val="24"/>
          <w:szCs w:val="24"/>
        </w:rPr>
        <w:t>denne rapporteringspligt</w:t>
      </w:r>
      <w:r w:rsidRPr="00014460">
        <w:rPr>
          <w:rFonts w:cstheme="minorHAnsi"/>
          <w:sz w:val="24"/>
          <w:szCs w:val="24"/>
        </w:rPr>
        <w:t xml:space="preserve">. Dette er særligt vigtigt, idet det foranstaltes med bøde, hvis man ikke overholder </w:t>
      </w:r>
      <w:r>
        <w:rPr>
          <w:rFonts w:cstheme="minorHAnsi"/>
          <w:sz w:val="24"/>
          <w:szCs w:val="24"/>
        </w:rPr>
        <w:t>afrapporterings</w:t>
      </w:r>
      <w:r w:rsidRPr="00014460">
        <w:rPr>
          <w:rFonts w:cstheme="minorHAnsi"/>
          <w:sz w:val="24"/>
          <w:szCs w:val="24"/>
        </w:rPr>
        <w:t>forpligtelsen.</w:t>
      </w:r>
    </w:p>
    <w:p w14:paraId="5C1759BD" w14:textId="77777777" w:rsidR="000737F5" w:rsidRDefault="000737F5" w:rsidP="000737F5">
      <w:pPr>
        <w:rPr>
          <w:rFonts w:cstheme="minorHAnsi"/>
          <w:sz w:val="24"/>
          <w:szCs w:val="24"/>
        </w:rPr>
      </w:pPr>
    </w:p>
    <w:p w14:paraId="06DA901D" w14:textId="77777777" w:rsidR="000737F5" w:rsidRPr="00783279" w:rsidRDefault="000737F5" w:rsidP="000737F5">
      <w:pPr>
        <w:pStyle w:val="Listeafsnit"/>
        <w:numPr>
          <w:ilvl w:val="0"/>
          <w:numId w:val="2"/>
        </w:numPr>
        <w:rPr>
          <w:rFonts w:cstheme="minorHAnsi"/>
          <w:sz w:val="24"/>
          <w:szCs w:val="24"/>
        </w:rPr>
      </w:pPr>
      <w:r>
        <w:rPr>
          <w:rFonts w:cstheme="minorHAnsi"/>
          <w:sz w:val="24"/>
          <w:szCs w:val="24"/>
        </w:rPr>
        <w:t>NIPNAN bemærker afslutningsvist, at iht. Bilag 3 for hvidhvaler fremgår Nationalparken i Nord- og Østgrønland som fangstområde (skraveret).</w:t>
      </w:r>
    </w:p>
    <w:p w14:paraId="52B31099" w14:textId="77777777" w:rsidR="000737F5" w:rsidRDefault="000737F5" w:rsidP="00AD1BB6">
      <w:pPr>
        <w:rPr>
          <w:rFonts w:cstheme="minorHAnsi"/>
          <w:sz w:val="24"/>
          <w:szCs w:val="24"/>
        </w:rPr>
      </w:pPr>
    </w:p>
    <w:p w14:paraId="566D0EA8" w14:textId="77777777" w:rsidR="000737F5" w:rsidRDefault="000737F5" w:rsidP="00AD1BB6">
      <w:pPr>
        <w:rPr>
          <w:rFonts w:cstheme="minorHAnsi"/>
          <w:sz w:val="24"/>
          <w:szCs w:val="24"/>
        </w:rPr>
      </w:pPr>
    </w:p>
    <w:p w14:paraId="6C8B5EF1" w14:textId="3A908C8F" w:rsidR="00EE48FC" w:rsidRPr="007A7314" w:rsidRDefault="00EE48FC" w:rsidP="00AD1BB6">
      <w:pPr>
        <w:rPr>
          <w:rFonts w:cstheme="minorHAnsi"/>
          <w:sz w:val="24"/>
          <w:szCs w:val="24"/>
        </w:rPr>
      </w:pPr>
      <w:proofErr w:type="spellStart"/>
      <w:r w:rsidRPr="007A7314">
        <w:rPr>
          <w:rFonts w:cstheme="minorHAnsi"/>
          <w:sz w:val="24"/>
          <w:szCs w:val="24"/>
        </w:rPr>
        <w:t>Inussiarnersumik</w:t>
      </w:r>
      <w:proofErr w:type="spellEnd"/>
      <w:r w:rsidRPr="007A7314">
        <w:rPr>
          <w:rFonts w:cstheme="minorHAnsi"/>
          <w:sz w:val="24"/>
          <w:szCs w:val="24"/>
        </w:rPr>
        <w:t xml:space="preserve"> </w:t>
      </w:r>
      <w:proofErr w:type="spellStart"/>
      <w:r w:rsidRPr="007A7314">
        <w:rPr>
          <w:rFonts w:cstheme="minorHAnsi"/>
          <w:sz w:val="24"/>
          <w:szCs w:val="24"/>
        </w:rPr>
        <w:t>inuulluaqqusillunga</w:t>
      </w:r>
      <w:proofErr w:type="spellEnd"/>
    </w:p>
    <w:p w14:paraId="39C62243" w14:textId="77777777" w:rsidR="00EE48FC" w:rsidRDefault="00C63E01" w:rsidP="00AD1BB6">
      <w:pPr>
        <w:rPr>
          <w:rFonts w:cstheme="minorHAnsi"/>
          <w:sz w:val="24"/>
          <w:szCs w:val="24"/>
        </w:rPr>
      </w:pPr>
      <w:r w:rsidRPr="007A7314">
        <w:rPr>
          <w:rFonts w:cstheme="minorHAnsi"/>
          <w:sz w:val="24"/>
          <w:szCs w:val="24"/>
        </w:rPr>
        <w:t>Med venlig hilsen</w:t>
      </w:r>
    </w:p>
    <w:p w14:paraId="3C503AF7" w14:textId="6CF2E47A" w:rsidR="00996CD1" w:rsidRDefault="00466ECA" w:rsidP="00466ECA">
      <w:pPr>
        <w:rPr>
          <w:rFonts w:cstheme="minorHAnsi"/>
          <w:sz w:val="24"/>
          <w:szCs w:val="24"/>
        </w:rPr>
      </w:pPr>
      <w:r w:rsidRPr="007A7314">
        <w:rPr>
          <w:rFonts w:cstheme="minorHAnsi"/>
          <w:sz w:val="24"/>
          <w:szCs w:val="24"/>
        </w:rPr>
        <w:t xml:space="preserve">Martin Schiøtz </w:t>
      </w:r>
    </w:p>
    <w:p w14:paraId="6E3C43C9" w14:textId="3D3418DA" w:rsidR="00466ECA" w:rsidRPr="007A7314" w:rsidRDefault="00466ECA" w:rsidP="00466ECA">
      <w:pPr>
        <w:rPr>
          <w:rFonts w:cstheme="minorHAnsi"/>
          <w:sz w:val="24"/>
          <w:szCs w:val="24"/>
        </w:rPr>
      </w:pPr>
      <w:r w:rsidRPr="007A7314">
        <w:rPr>
          <w:rFonts w:cstheme="minorHAnsi"/>
          <w:sz w:val="24"/>
          <w:szCs w:val="24"/>
        </w:rPr>
        <w:t>Departementet for Landbrug, Selvforsyning, Energi og Miljø</w:t>
      </w:r>
    </w:p>
    <w:p w14:paraId="190163CB" w14:textId="664FA561" w:rsidR="00466ECA" w:rsidRPr="007A7314" w:rsidRDefault="00466ECA" w:rsidP="00466ECA">
      <w:pPr>
        <w:rPr>
          <w:rFonts w:cstheme="minorHAnsi"/>
          <w:sz w:val="24"/>
          <w:szCs w:val="24"/>
          <w:lang w:val="en-US"/>
        </w:rPr>
      </w:pPr>
      <w:proofErr w:type="spellStart"/>
      <w:r w:rsidRPr="007A7314">
        <w:rPr>
          <w:rFonts w:cstheme="minorHAnsi"/>
          <w:sz w:val="24"/>
          <w:szCs w:val="24"/>
          <w:lang w:val="en-US"/>
        </w:rPr>
        <w:t>Toqq</w:t>
      </w:r>
      <w:proofErr w:type="spellEnd"/>
      <w:r w:rsidRPr="007A7314">
        <w:rPr>
          <w:rFonts w:cstheme="minorHAnsi"/>
          <w:sz w:val="24"/>
          <w:szCs w:val="24"/>
          <w:lang w:val="en-US"/>
        </w:rPr>
        <w:t>/</w:t>
      </w:r>
      <w:proofErr w:type="spellStart"/>
      <w:r w:rsidRPr="007A7314">
        <w:rPr>
          <w:rFonts w:cstheme="minorHAnsi"/>
          <w:sz w:val="24"/>
          <w:szCs w:val="24"/>
          <w:lang w:val="en-US"/>
        </w:rPr>
        <w:t>direkte</w:t>
      </w:r>
      <w:proofErr w:type="spellEnd"/>
      <w:r w:rsidRPr="007A7314">
        <w:rPr>
          <w:rFonts w:cstheme="minorHAnsi"/>
          <w:sz w:val="24"/>
          <w:szCs w:val="24"/>
          <w:lang w:val="en-US"/>
        </w:rPr>
        <w:t xml:space="preserve"> 34 </w:t>
      </w:r>
      <w:r w:rsidR="00996CD1">
        <w:rPr>
          <w:rFonts w:cstheme="minorHAnsi"/>
          <w:sz w:val="24"/>
          <w:szCs w:val="24"/>
          <w:lang w:val="en-US"/>
        </w:rPr>
        <w:t>67 17</w:t>
      </w:r>
    </w:p>
    <w:p w14:paraId="01741DAB" w14:textId="2F015B1B" w:rsidR="001C7F38" w:rsidRPr="001C7F38" w:rsidRDefault="00466ECA" w:rsidP="00996CD1">
      <w:pPr>
        <w:rPr>
          <w:rFonts w:ascii="Times New Roman" w:hAnsi="Times New Roman" w:cs="Times New Roman"/>
          <w:sz w:val="24"/>
          <w:szCs w:val="24"/>
        </w:rPr>
      </w:pPr>
      <w:r w:rsidRPr="007A7314">
        <w:rPr>
          <w:rFonts w:cstheme="minorHAnsi"/>
          <w:sz w:val="24"/>
          <w:szCs w:val="24"/>
          <w:lang w:val="en-US"/>
        </w:rPr>
        <w:t>MASC@nanoq.gl</w:t>
      </w:r>
    </w:p>
    <w:sectPr w:rsidR="001C7F38" w:rsidRPr="001C7F38" w:rsidSect="00BD3A41">
      <w:footerReference w:type="default" r:id="rId9"/>
      <w:headerReference w:type="first" r:id="rId10"/>
      <w:footerReference w:type="first" r:id="rId11"/>
      <w:pgSz w:w="11906" w:h="16838" w:code="9"/>
      <w:pgMar w:top="2268" w:right="2835" w:bottom="737" w:left="1247" w:header="567"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70554" w14:textId="77777777" w:rsidR="00C330B0" w:rsidRDefault="00C330B0" w:rsidP="00FA2B29">
      <w:pPr>
        <w:spacing w:line="240" w:lineRule="auto"/>
      </w:pPr>
      <w:r>
        <w:separator/>
      </w:r>
    </w:p>
  </w:endnote>
  <w:endnote w:type="continuationSeparator" w:id="0">
    <w:p w14:paraId="090BC704" w14:textId="77777777" w:rsidR="00C330B0" w:rsidRDefault="00C330B0" w:rsidP="00FA2B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6845171"/>
      <w:docPartObj>
        <w:docPartGallery w:val="Page Numbers (Bottom of Page)"/>
        <w:docPartUnique/>
      </w:docPartObj>
    </w:sdtPr>
    <w:sdtContent>
      <w:p w14:paraId="792FE89A" w14:textId="77777777" w:rsidR="004D553F" w:rsidRDefault="004D553F">
        <w:pPr>
          <w:pStyle w:val="Sidefod"/>
          <w:jc w:val="right"/>
        </w:pPr>
        <w:r>
          <w:fldChar w:fldCharType="begin"/>
        </w:r>
        <w:r>
          <w:instrText>PAGE   \* MERGEFORMAT</w:instrText>
        </w:r>
        <w:r>
          <w:fldChar w:fldCharType="separate"/>
        </w:r>
        <w:r>
          <w:rPr>
            <w:noProof/>
          </w:rPr>
          <w:t>2</w:t>
        </w:r>
        <w:r>
          <w:fldChar w:fldCharType="end"/>
        </w:r>
      </w:p>
    </w:sdtContent>
  </w:sdt>
  <w:p w14:paraId="3DFB60CB" w14:textId="77777777" w:rsidR="004D553F" w:rsidRDefault="004D553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5624114"/>
      <w:docPartObj>
        <w:docPartGallery w:val="Page Numbers (Bottom of Page)"/>
        <w:docPartUnique/>
      </w:docPartObj>
    </w:sdtPr>
    <w:sdtContent>
      <w:p w14:paraId="640F8347" w14:textId="77777777" w:rsidR="004D553F" w:rsidRDefault="004D553F">
        <w:pPr>
          <w:pStyle w:val="Sidefod"/>
          <w:jc w:val="right"/>
        </w:pPr>
        <w:r>
          <w:fldChar w:fldCharType="begin"/>
        </w:r>
        <w:r>
          <w:instrText xml:space="preserve"> PAGE  \* MERGEFORMAT </w:instrText>
        </w:r>
        <w:r>
          <w:fldChar w:fldCharType="separate"/>
        </w:r>
        <w:r w:rsidR="00A72218">
          <w:rPr>
            <w:noProof/>
          </w:rPr>
          <w:t>1</w:t>
        </w:r>
        <w:r>
          <w:fldChar w:fldCharType="end"/>
        </w:r>
      </w:p>
    </w:sdtContent>
  </w:sdt>
  <w:p w14:paraId="422C2185" w14:textId="77777777" w:rsidR="004D553F" w:rsidRDefault="004D553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DED53" w14:textId="77777777" w:rsidR="00C330B0" w:rsidRDefault="00C330B0" w:rsidP="00FA2B29">
      <w:pPr>
        <w:spacing w:line="240" w:lineRule="auto"/>
      </w:pPr>
      <w:r>
        <w:separator/>
      </w:r>
    </w:p>
  </w:footnote>
  <w:footnote w:type="continuationSeparator" w:id="0">
    <w:p w14:paraId="213CDB22" w14:textId="77777777" w:rsidR="00C330B0" w:rsidRDefault="00C330B0" w:rsidP="00FA2B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279CD" w14:textId="77777777" w:rsidR="004D553F" w:rsidRDefault="00000000" w:rsidP="00FA2B29">
    <w:pPr>
      <w:pStyle w:val="Lillev"/>
    </w:pPr>
    <w:sdt>
      <w:sdtPr>
        <w:id w:val="20680398"/>
        <w:docPartObj>
          <w:docPartGallery w:val="Watermarks"/>
          <w:docPartUnique/>
        </w:docPartObj>
      </w:sdtPr>
      <w:sdtContent>
        <w:r w:rsidR="004D553F">
          <w:rPr>
            <w:noProof/>
            <w:lang w:val="kl-GL" w:eastAsia="kl-GL"/>
          </w:rPr>
          <w:drawing>
            <wp:anchor distT="0" distB="0" distL="114300" distR="114300" simplePos="0" relativeHeight="251657728" behindDoc="1" locked="1" layoutInCell="1" allowOverlap="1" wp14:anchorId="16C380A6" wp14:editId="652B2F5A">
              <wp:simplePos x="0" y="0"/>
              <wp:positionH relativeFrom="column">
                <wp:posOffset>266700</wp:posOffset>
              </wp:positionH>
              <wp:positionV relativeFrom="page">
                <wp:posOffset>5404485</wp:posOffset>
              </wp:positionV>
              <wp:extent cx="6504940" cy="5292725"/>
              <wp:effectExtent l="0" t="0" r="0" b="3175"/>
              <wp:wrapNone/>
              <wp:docPr id="5" name="Billede 5" descr="NANOQ_stor_gradiant_bl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NOQ_stor_gradiant_bla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4940" cy="5292725"/>
                      </a:xfrm>
                      <a:prstGeom prst="rect">
                        <a:avLst/>
                      </a:prstGeom>
                      <a:noFill/>
                    </pic:spPr>
                  </pic:pic>
                </a:graphicData>
              </a:graphic>
              <wp14:sizeRelH relativeFrom="page">
                <wp14:pctWidth>0</wp14:pctWidth>
              </wp14:sizeRelH>
              <wp14:sizeRelV relativeFrom="page">
                <wp14:pctHeight>0</wp14:pctHeight>
              </wp14:sizeRelV>
            </wp:anchor>
          </w:drawing>
        </w:r>
      </w:sdtContent>
    </w:sdt>
    <w:r w:rsidR="004D553F">
      <w:t xml:space="preserve">   </w:t>
    </w:r>
  </w:p>
  <w:p w14:paraId="62278ECE" w14:textId="77777777" w:rsidR="003953A0" w:rsidRPr="00650850" w:rsidRDefault="003953A0" w:rsidP="003953A0">
    <w:pPr>
      <w:pStyle w:val="Lillev"/>
      <w:ind w:right="0"/>
      <w:jc w:val="left"/>
      <w:rPr>
        <w:lang w:val="en-US"/>
      </w:rPr>
    </w:pPr>
    <w:r>
      <w:rPr>
        <w:noProof/>
        <w:lang w:val="kl-GL" w:eastAsia="kl-GL"/>
      </w:rPr>
      <w:drawing>
        <wp:anchor distT="0" distB="0" distL="114300" distR="114300" simplePos="0" relativeHeight="251659776" behindDoc="1" locked="1" layoutInCell="1" allowOverlap="1" wp14:anchorId="44C481BC" wp14:editId="41B1F4AB">
          <wp:simplePos x="0" y="0"/>
          <wp:positionH relativeFrom="column">
            <wp:posOffset>4161155</wp:posOffset>
          </wp:positionH>
          <wp:positionV relativeFrom="page">
            <wp:posOffset>365125</wp:posOffset>
          </wp:positionV>
          <wp:extent cx="2162175" cy="714375"/>
          <wp:effectExtent l="0" t="0" r="9525" b="9525"/>
          <wp:wrapThrough wrapText="bothSides">
            <wp:wrapPolygon edited="0">
              <wp:start x="0" y="0"/>
              <wp:lineTo x="0" y="21312"/>
              <wp:lineTo x="21505" y="21312"/>
              <wp:lineTo x="21505" y="0"/>
              <wp:lineTo x="0" y="0"/>
            </wp:wrapPolygon>
          </wp:wrapThrough>
          <wp:docPr id="22" name="Billede 22" descr="Nanoq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anoq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175" cy="7143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650850">
      <w:rPr>
        <w:lang w:val="en-US"/>
      </w:rPr>
      <w:t>Nunalerinermut</w:t>
    </w:r>
    <w:proofErr w:type="spellEnd"/>
    <w:r w:rsidRPr="00650850">
      <w:rPr>
        <w:lang w:val="en-US"/>
      </w:rPr>
      <w:t xml:space="preserve">, </w:t>
    </w:r>
    <w:proofErr w:type="spellStart"/>
    <w:r w:rsidRPr="00650850">
      <w:rPr>
        <w:lang w:val="en-US"/>
      </w:rPr>
      <w:t>Imminut</w:t>
    </w:r>
    <w:proofErr w:type="spellEnd"/>
    <w:r w:rsidRPr="00650850">
      <w:rPr>
        <w:lang w:val="en-US"/>
      </w:rPr>
      <w:t xml:space="preserve"> </w:t>
    </w:r>
    <w:proofErr w:type="spellStart"/>
    <w:r w:rsidRPr="00650850">
      <w:rPr>
        <w:lang w:val="en-US"/>
      </w:rPr>
      <w:t>Pilersornermut</w:t>
    </w:r>
    <w:proofErr w:type="spellEnd"/>
    <w:r w:rsidRPr="00650850">
      <w:rPr>
        <w:lang w:val="en-US"/>
      </w:rPr>
      <w:t xml:space="preserve">, </w:t>
    </w:r>
    <w:proofErr w:type="spellStart"/>
    <w:r w:rsidRPr="00650850">
      <w:rPr>
        <w:lang w:val="en-US"/>
      </w:rPr>
      <w:t>Nukissiutinut</w:t>
    </w:r>
    <w:proofErr w:type="spellEnd"/>
    <w:r w:rsidRPr="00650850">
      <w:rPr>
        <w:lang w:val="en-US"/>
      </w:rPr>
      <w:t xml:space="preserve"> </w:t>
    </w:r>
    <w:proofErr w:type="spellStart"/>
    <w:r w:rsidRPr="00650850">
      <w:rPr>
        <w:lang w:val="en-US"/>
      </w:rPr>
      <w:t>Avatangiisinullu</w:t>
    </w:r>
    <w:proofErr w:type="spellEnd"/>
    <w:r>
      <w:rPr>
        <w:lang w:val="en-US"/>
      </w:rPr>
      <w:t xml:space="preserve"> </w:t>
    </w:r>
    <w:proofErr w:type="spellStart"/>
    <w:r w:rsidRPr="00650850">
      <w:rPr>
        <w:lang w:val="en-US"/>
      </w:rPr>
      <w:t>Naalakkersuisoq</w:t>
    </w:r>
    <w:r w:rsidR="00A72218">
      <w:rPr>
        <w:lang w:val="en-US"/>
      </w:rPr>
      <w:t>arfik</w:t>
    </w:r>
    <w:proofErr w:type="spellEnd"/>
    <w:r w:rsidRPr="00650850">
      <w:rPr>
        <w:lang w:val="en-US"/>
      </w:rPr>
      <w:t xml:space="preserve"> </w:t>
    </w:r>
  </w:p>
  <w:p w14:paraId="229E4CCE" w14:textId="77777777" w:rsidR="003953A0" w:rsidRPr="00351598" w:rsidRDefault="007D292A" w:rsidP="003953A0">
    <w:pPr>
      <w:pStyle w:val="Lillev"/>
      <w:ind w:right="0"/>
      <w:jc w:val="left"/>
    </w:pPr>
    <w:r>
      <w:t>Departementet</w:t>
    </w:r>
    <w:r w:rsidR="003953A0">
      <w:t xml:space="preserve"> for Landbrug, Selvforsyning, Energi og Miljø </w:t>
    </w:r>
  </w:p>
  <w:p w14:paraId="2DF537C1" w14:textId="77777777" w:rsidR="008B79AB" w:rsidRDefault="008B79AB" w:rsidP="004C75A8">
    <w:pPr>
      <w:pStyle w:val="Lillev"/>
      <w:tabs>
        <w:tab w:val="left" w:pos="5245"/>
      </w:tabs>
      <w:ind w:right="2579"/>
      <w:jc w:val="left"/>
    </w:pPr>
  </w:p>
  <w:p w14:paraId="3368B471" w14:textId="77777777" w:rsidR="008B79AB" w:rsidRDefault="008B79AB" w:rsidP="004C75A8">
    <w:pPr>
      <w:pStyle w:val="Lillev"/>
      <w:tabs>
        <w:tab w:val="left" w:pos="5245"/>
      </w:tabs>
      <w:ind w:right="2579"/>
      <w:jc w:val="left"/>
    </w:pPr>
  </w:p>
  <w:p w14:paraId="52DF17E9" w14:textId="77777777" w:rsidR="004D553F" w:rsidRPr="008137F5" w:rsidRDefault="004D553F" w:rsidP="004C75A8">
    <w:pPr>
      <w:pStyle w:val="Lillev"/>
      <w:tabs>
        <w:tab w:val="left" w:pos="5245"/>
      </w:tabs>
      <w:ind w:right="2579"/>
      <w:jc w:val="left"/>
    </w:pPr>
  </w:p>
  <w:p w14:paraId="53A51CB6" w14:textId="77777777" w:rsidR="004D553F" w:rsidRDefault="004D553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C203B"/>
    <w:multiLevelType w:val="hybridMultilevel"/>
    <w:tmpl w:val="99F84F86"/>
    <w:lvl w:ilvl="0" w:tplc="CFC42FEE">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6095F89"/>
    <w:multiLevelType w:val="hybridMultilevel"/>
    <w:tmpl w:val="59322ECE"/>
    <w:lvl w:ilvl="0" w:tplc="51186CA4">
      <w:numFmt w:val="bullet"/>
      <w:lvlText w:val=""/>
      <w:lvlJc w:val="left"/>
      <w:pPr>
        <w:ind w:left="720" w:hanging="360"/>
      </w:pPr>
      <w:rPr>
        <w:rFonts w:ascii="Symbol" w:eastAsiaTheme="minorHAns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91066966">
    <w:abstractNumId w:val="1"/>
  </w:num>
  <w:num w:numId="2" w16cid:durableId="1156800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62F"/>
    <w:rsid w:val="000048AA"/>
    <w:rsid w:val="00014460"/>
    <w:rsid w:val="00027D8E"/>
    <w:rsid w:val="000737F5"/>
    <w:rsid w:val="000B1205"/>
    <w:rsid w:val="00101E69"/>
    <w:rsid w:val="00103773"/>
    <w:rsid w:val="001113B9"/>
    <w:rsid w:val="00151658"/>
    <w:rsid w:val="00166752"/>
    <w:rsid w:val="0017656E"/>
    <w:rsid w:val="001C7F38"/>
    <w:rsid w:val="001F3B9C"/>
    <w:rsid w:val="002375FF"/>
    <w:rsid w:val="002907DD"/>
    <w:rsid w:val="0029289B"/>
    <w:rsid w:val="0037474E"/>
    <w:rsid w:val="0038543E"/>
    <w:rsid w:val="00386064"/>
    <w:rsid w:val="0038683D"/>
    <w:rsid w:val="003953A0"/>
    <w:rsid w:val="003D4E14"/>
    <w:rsid w:val="004402D4"/>
    <w:rsid w:val="00443203"/>
    <w:rsid w:val="00465A30"/>
    <w:rsid w:val="00466ECA"/>
    <w:rsid w:val="004C75A8"/>
    <w:rsid w:val="004D553F"/>
    <w:rsid w:val="0052722A"/>
    <w:rsid w:val="00552F17"/>
    <w:rsid w:val="00574DFE"/>
    <w:rsid w:val="00580FBA"/>
    <w:rsid w:val="00585DC4"/>
    <w:rsid w:val="005A226D"/>
    <w:rsid w:val="005C2519"/>
    <w:rsid w:val="005C2670"/>
    <w:rsid w:val="00645CD0"/>
    <w:rsid w:val="00646B8B"/>
    <w:rsid w:val="006D7809"/>
    <w:rsid w:val="006F53E3"/>
    <w:rsid w:val="00724820"/>
    <w:rsid w:val="00766F82"/>
    <w:rsid w:val="00783279"/>
    <w:rsid w:val="007A7314"/>
    <w:rsid w:val="007D292A"/>
    <w:rsid w:val="007D3B61"/>
    <w:rsid w:val="007F2342"/>
    <w:rsid w:val="007F3259"/>
    <w:rsid w:val="00835854"/>
    <w:rsid w:val="00843F0D"/>
    <w:rsid w:val="008701CE"/>
    <w:rsid w:val="008728BB"/>
    <w:rsid w:val="00874C50"/>
    <w:rsid w:val="00894B1C"/>
    <w:rsid w:val="008B5055"/>
    <w:rsid w:val="008B79AB"/>
    <w:rsid w:val="00941B0A"/>
    <w:rsid w:val="0098608A"/>
    <w:rsid w:val="00986E1B"/>
    <w:rsid w:val="00996CD1"/>
    <w:rsid w:val="009B7083"/>
    <w:rsid w:val="00A24361"/>
    <w:rsid w:val="00A669CF"/>
    <w:rsid w:val="00A72218"/>
    <w:rsid w:val="00AB4C37"/>
    <w:rsid w:val="00AC03C4"/>
    <w:rsid w:val="00AC1A37"/>
    <w:rsid w:val="00AC7977"/>
    <w:rsid w:val="00AD1BB6"/>
    <w:rsid w:val="00AE5CA0"/>
    <w:rsid w:val="00AF3FDB"/>
    <w:rsid w:val="00B11249"/>
    <w:rsid w:val="00B321D6"/>
    <w:rsid w:val="00B3762F"/>
    <w:rsid w:val="00B45FB9"/>
    <w:rsid w:val="00B525FE"/>
    <w:rsid w:val="00B75A84"/>
    <w:rsid w:val="00B77528"/>
    <w:rsid w:val="00BA6D1D"/>
    <w:rsid w:val="00BC0B34"/>
    <w:rsid w:val="00BD3A41"/>
    <w:rsid w:val="00BE7E06"/>
    <w:rsid w:val="00BF3DEF"/>
    <w:rsid w:val="00C330B0"/>
    <w:rsid w:val="00C63E01"/>
    <w:rsid w:val="00CB4DF4"/>
    <w:rsid w:val="00CB6B5E"/>
    <w:rsid w:val="00CF289A"/>
    <w:rsid w:val="00D374B7"/>
    <w:rsid w:val="00D64CED"/>
    <w:rsid w:val="00DA2A93"/>
    <w:rsid w:val="00E03B51"/>
    <w:rsid w:val="00E256C8"/>
    <w:rsid w:val="00E333BF"/>
    <w:rsid w:val="00E635E5"/>
    <w:rsid w:val="00EE48FC"/>
    <w:rsid w:val="00EF3466"/>
    <w:rsid w:val="00F022BD"/>
    <w:rsid w:val="00F23E0B"/>
    <w:rsid w:val="00F36F76"/>
    <w:rsid w:val="00F412E2"/>
    <w:rsid w:val="00F635F7"/>
    <w:rsid w:val="00F647FB"/>
    <w:rsid w:val="00F96341"/>
    <w:rsid w:val="00F96AEA"/>
    <w:rsid w:val="00FA2B29"/>
    <w:rsid w:val="00FC3EAA"/>
    <w:rsid w:val="00FD4F0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A84C5"/>
  <w15:docId w15:val="{0EB942CB-4049-452C-BC39-40D048CA2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53F"/>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402D4"/>
    <w:rPr>
      <w:color w:val="808080"/>
    </w:rPr>
  </w:style>
  <w:style w:type="paragraph" w:styleId="Markeringsbobletekst">
    <w:name w:val="Balloon Text"/>
    <w:basedOn w:val="Normal"/>
    <w:link w:val="MarkeringsbobletekstTegn"/>
    <w:uiPriority w:val="99"/>
    <w:semiHidden/>
    <w:unhideWhenUsed/>
    <w:rsid w:val="004402D4"/>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402D4"/>
    <w:rPr>
      <w:rFonts w:ascii="Tahoma" w:hAnsi="Tahoma" w:cs="Tahoma"/>
      <w:sz w:val="16"/>
      <w:szCs w:val="16"/>
    </w:rPr>
  </w:style>
  <w:style w:type="paragraph" w:styleId="Sidehoved">
    <w:name w:val="header"/>
    <w:basedOn w:val="Normal"/>
    <w:link w:val="SidehovedTegn"/>
    <w:uiPriority w:val="99"/>
    <w:unhideWhenUsed/>
    <w:rsid w:val="00FA2B2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A2B29"/>
  </w:style>
  <w:style w:type="paragraph" w:styleId="Sidefod">
    <w:name w:val="footer"/>
    <w:basedOn w:val="Normal"/>
    <w:link w:val="SidefodTegn"/>
    <w:uiPriority w:val="99"/>
    <w:unhideWhenUsed/>
    <w:rsid w:val="00FA2B29"/>
    <w:pPr>
      <w:tabs>
        <w:tab w:val="center" w:pos="4819"/>
        <w:tab w:val="right" w:pos="9638"/>
      </w:tabs>
      <w:spacing w:line="240" w:lineRule="auto"/>
    </w:pPr>
  </w:style>
  <w:style w:type="character" w:customStyle="1" w:styleId="SidefodTegn">
    <w:name w:val="Sidefod Tegn"/>
    <w:basedOn w:val="Standardskrifttypeiafsnit"/>
    <w:link w:val="Sidefod"/>
    <w:uiPriority w:val="99"/>
    <w:rsid w:val="00FA2B29"/>
  </w:style>
  <w:style w:type="paragraph" w:customStyle="1" w:styleId="Lillev">
    <w:name w:val="Lille v"/>
    <w:basedOn w:val="Sidehoved"/>
    <w:link w:val="Lille1Tegn"/>
    <w:qFormat/>
    <w:rsid w:val="004D553F"/>
    <w:pPr>
      <w:tabs>
        <w:tab w:val="clear" w:pos="4819"/>
        <w:tab w:val="clear" w:pos="9638"/>
      </w:tabs>
      <w:spacing w:line="200" w:lineRule="atLeast"/>
      <w:ind w:right="3289"/>
      <w:jc w:val="both"/>
    </w:pPr>
    <w:rPr>
      <w:rFonts w:ascii="Arial" w:eastAsia="Times New Roman" w:hAnsi="Arial" w:cs="Times New Roman"/>
      <w:sz w:val="14"/>
      <w:szCs w:val="24"/>
    </w:rPr>
  </w:style>
  <w:style w:type="character" w:customStyle="1" w:styleId="Lille1Tegn">
    <w:name w:val="Lille 1 Tegn"/>
    <w:basedOn w:val="SidehovedTegn"/>
    <w:link w:val="Lillev"/>
    <w:rsid w:val="004D553F"/>
    <w:rPr>
      <w:rFonts w:ascii="Arial" w:eastAsia="Times New Roman" w:hAnsi="Arial" w:cs="Times New Roman"/>
      <w:sz w:val="14"/>
      <w:szCs w:val="24"/>
    </w:rPr>
  </w:style>
  <w:style w:type="table" w:styleId="Tabel-Gitter">
    <w:name w:val="Table Grid"/>
    <w:basedOn w:val="Tabel-Normal"/>
    <w:uiPriority w:val="59"/>
    <w:rsid w:val="00465A3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lle">
    <w:name w:val="Lille"/>
    <w:basedOn w:val="Normal"/>
    <w:link w:val="LilleTegn"/>
    <w:rsid w:val="00465A30"/>
    <w:pPr>
      <w:spacing w:line="200" w:lineRule="atLeast"/>
      <w:jc w:val="right"/>
    </w:pPr>
    <w:rPr>
      <w:rFonts w:ascii="Arial" w:eastAsia="Times New Roman" w:hAnsi="Arial" w:cs="Times New Roman"/>
      <w:sz w:val="14"/>
      <w:szCs w:val="24"/>
    </w:rPr>
  </w:style>
  <w:style w:type="character" w:customStyle="1" w:styleId="LilleTegn">
    <w:name w:val="Lille Tegn"/>
    <w:link w:val="Lille"/>
    <w:rsid w:val="00465A30"/>
    <w:rPr>
      <w:rFonts w:ascii="Arial" w:eastAsia="Times New Roman" w:hAnsi="Arial" w:cs="Times New Roman"/>
      <w:sz w:val="14"/>
      <w:szCs w:val="24"/>
    </w:rPr>
  </w:style>
  <w:style w:type="character" w:styleId="Sidetal">
    <w:name w:val="page number"/>
    <w:rsid w:val="00EE48FC"/>
    <w:rPr>
      <w:rFonts w:ascii="Arial" w:hAnsi="Arial"/>
      <w:sz w:val="14"/>
    </w:rPr>
  </w:style>
  <w:style w:type="paragraph" w:styleId="Listeafsnit">
    <w:name w:val="List Paragraph"/>
    <w:basedOn w:val="Normal"/>
    <w:uiPriority w:val="34"/>
    <w:qFormat/>
    <w:rsid w:val="006F53E3"/>
    <w:pPr>
      <w:ind w:left="720"/>
      <w:contextualSpacing/>
    </w:pPr>
  </w:style>
  <w:style w:type="paragraph" w:styleId="Korrektur">
    <w:name w:val="Revision"/>
    <w:hidden/>
    <w:uiPriority w:val="99"/>
    <w:semiHidden/>
    <w:rsid w:val="00E333B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225947">
      <w:bodyDiv w:val="1"/>
      <w:marLeft w:val="0"/>
      <w:marRight w:val="0"/>
      <w:marTop w:val="0"/>
      <w:marBottom w:val="0"/>
      <w:divBdr>
        <w:top w:val="none" w:sz="0" w:space="0" w:color="auto"/>
        <w:left w:val="none" w:sz="0" w:space="0" w:color="auto"/>
        <w:bottom w:val="none" w:sz="0" w:space="0" w:color="auto"/>
        <w:right w:val="none" w:sz="0" w:space="0" w:color="auto"/>
      </w:divBdr>
    </w:div>
    <w:div w:id="360713279">
      <w:bodyDiv w:val="1"/>
      <w:marLeft w:val="0"/>
      <w:marRight w:val="0"/>
      <w:marTop w:val="0"/>
      <w:marBottom w:val="0"/>
      <w:divBdr>
        <w:top w:val="none" w:sz="0" w:space="0" w:color="auto"/>
        <w:left w:val="none" w:sz="0" w:space="0" w:color="auto"/>
        <w:bottom w:val="none" w:sz="0" w:space="0" w:color="auto"/>
        <w:right w:val="none" w:sz="0" w:space="0" w:color="auto"/>
      </w:divBdr>
    </w:div>
    <w:div w:id="927353244">
      <w:bodyDiv w:val="1"/>
      <w:marLeft w:val="0"/>
      <w:marRight w:val="0"/>
      <w:marTop w:val="0"/>
      <w:marBottom w:val="0"/>
      <w:divBdr>
        <w:top w:val="none" w:sz="0" w:space="0" w:color="auto"/>
        <w:left w:val="none" w:sz="0" w:space="0" w:color="auto"/>
        <w:bottom w:val="none" w:sz="0" w:space="0" w:color="auto"/>
        <w:right w:val="none" w:sz="0" w:space="0" w:color="auto"/>
      </w:divBdr>
    </w:div>
    <w:div w:id="191235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c\AppData\Local\cBrain\F2\.tmp\193b080de1ef44f99ba99b02847ef711.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ns0:Root xmlns:ns0="Captia">
  <ns0:address>
    <Content xmlns="Captia" id="address1">
      <Value/>
    </Content>
    <Content xmlns="Captia" id="name:name1">
      <Value/>
    </Content>
    <Content xmlns="Captia" id="name:name2">
      <Value/>
    </Content>
    <Content xmlns="Captia" id="address2">
      <Value/>
    </Content>
    <Content xmlns="Captia" id="address3">
      <Value/>
    </Content>
    <Content xmlns="Captia" id="postcode">
      <Value/>
    </Content>
    <Content xmlns="Captia" id="postcode">
      <Elab/>
    </Content>
  </ns0:address>
  <ns0:case>
    <Content xmlns="Captia" id="file_no">
      <Value/>
    </Content>
    <ns0:officer>
      <Content xmlns="Captia" id="name1">
        <Value/>
      </Content>
      <Content xmlns="Captia" id="name2">
        <Value/>
      </Content>
      <Content xmlns="Captia" id="address_main:phone_no">
        <Value/>
      </Content>
      <Content xmlns="Captia" id="address_main:email">
        <Value/>
      </Content>
    </ns0:officer>
  </ns0:case>
  <ns0:record>
    <Content xmlns="Captia" id="title">
      <Value/>
    </Content>
    <Content xmlns="Captia" id="letter_date">
      <Value/>
    </Content>
    <Content xmlns="Captia" id="record_key">
      <Value/>
    </Content>
    <ns0:officer>
      <Content xmlns="Captia" id="name1">
        <Value/>
      </Content>
      <Content xmlns="Captia" id="name2">
        <Value/>
      </Content>
      <Content xmlns="Captia" id="address_main:phone_no">
        <Value/>
      </Content>
      <Content xmlns="Captia" id="address_main:email">
        <Value/>
      </Content>
    </ns0:officer>
  </ns0:record>
</ns0:Root>
</file>

<file path=customXml/itemProps1.xml><?xml version="1.0" encoding="utf-8"?>
<ds:datastoreItem xmlns:ds="http://schemas.openxmlformats.org/officeDocument/2006/customXml" ds:itemID="{42551231-4875-43B1-BF09-C868E19E6623}">
  <ds:schemaRefs>
    <ds:schemaRef ds:uri="http://schemas.openxmlformats.org/officeDocument/2006/bibliography"/>
  </ds:schemaRefs>
</ds:datastoreItem>
</file>

<file path=customXml/itemProps2.xml><?xml version="1.0" encoding="utf-8"?>
<ds:datastoreItem xmlns:ds="http://schemas.openxmlformats.org/officeDocument/2006/customXml" ds:itemID="{B27B73CA-A8C0-4576-81C5-9253D6CB1BA5}">
  <ds:schemaRefs>
    <ds:schemaRef ds:uri="Captia"/>
  </ds:schemaRefs>
</ds:datastoreItem>
</file>

<file path=docProps/app.xml><?xml version="1.0" encoding="utf-8"?>
<Properties xmlns="http://schemas.openxmlformats.org/officeDocument/2006/extended-properties" xmlns:vt="http://schemas.openxmlformats.org/officeDocument/2006/docPropsVTypes">
  <Template>193b080de1ef44f99ba99b02847ef711</Template>
  <TotalTime>7229</TotalTime>
  <Pages>3</Pages>
  <Words>1073</Words>
  <Characters>6118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Schiøtz</dc:creator>
  <cp:lastModifiedBy>Mettelise Hansen</cp:lastModifiedBy>
  <cp:revision>15</cp:revision>
  <dcterms:created xsi:type="dcterms:W3CDTF">2024-05-08T14:59:00Z</dcterms:created>
  <dcterms:modified xsi:type="dcterms:W3CDTF">2024-05-14T14:53:00Z</dcterms:modified>
</cp:coreProperties>
</file>