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BC007" w14:textId="77777777" w:rsidR="002F25A5" w:rsidRPr="00DB6A7F" w:rsidRDefault="002F25A5" w:rsidP="002F25A5">
      <w:pPr>
        <w:pStyle w:val="Grundlggendeafsnit"/>
        <w:framePr w:w="2337" w:h="9162" w:hRule="exact" w:hSpace="280" w:vSpace="90" w:wrap="around" w:vAnchor="page" w:hAnchor="page" w:x="9240" w:y="3862" w:anchorLock="1"/>
        <w:tabs>
          <w:tab w:val="clear" w:pos="240"/>
          <w:tab w:val="left" w:leader="dot" w:pos="1192"/>
        </w:tabs>
        <w:rPr>
          <w:rFonts w:ascii="Rockwell" w:hAnsi="Rockwell"/>
          <w:sz w:val="18"/>
          <w:szCs w:val="18"/>
        </w:rPr>
      </w:pPr>
      <w:r>
        <w:rPr>
          <w:rFonts w:ascii="Rockwell" w:hAnsi="Rockwell"/>
          <w:noProof/>
          <w:sz w:val="18"/>
          <w:szCs w:val="18"/>
        </w:rPr>
        <w:drawing>
          <wp:inline distT="0" distB="0" distL="0" distR="0" wp14:anchorId="67324464" wp14:editId="0E768CB8">
            <wp:extent cx="1374648" cy="271272"/>
            <wp:effectExtent l="0" t="0" r="0" b="825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s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4648" cy="271272"/>
                    </a:xfrm>
                    <a:prstGeom prst="rect">
                      <a:avLst/>
                    </a:prstGeom>
                  </pic:spPr>
                </pic:pic>
              </a:graphicData>
            </a:graphic>
          </wp:inline>
        </w:drawing>
      </w:r>
    </w:p>
    <w:p w14:paraId="08B2BF1D" w14:textId="77777777" w:rsidR="002F25A5" w:rsidRPr="0027302B" w:rsidRDefault="002F25A5" w:rsidP="002F25A5">
      <w:pPr>
        <w:pStyle w:val="Grundlggendeafsnit"/>
        <w:framePr w:w="2337" w:h="9162" w:hRule="exact" w:hSpace="280" w:vSpace="90" w:wrap="around" w:vAnchor="page" w:hAnchor="page" w:x="9240" w:y="3862" w:anchorLock="1"/>
        <w:tabs>
          <w:tab w:val="clear" w:pos="240"/>
          <w:tab w:val="left" w:leader="dot" w:pos="1192"/>
        </w:tabs>
        <w:rPr>
          <w:rFonts w:ascii="Rockwell" w:hAnsi="Rockwell"/>
          <w:sz w:val="16"/>
          <w:szCs w:val="16"/>
          <w:lang w:val="en-US"/>
        </w:rPr>
      </w:pPr>
      <w:proofErr w:type="spellStart"/>
      <w:r w:rsidRPr="0027302B">
        <w:rPr>
          <w:rFonts w:ascii="Rockwell" w:hAnsi="Rockwell"/>
          <w:sz w:val="16"/>
          <w:szCs w:val="16"/>
          <w:lang w:val="en-US"/>
        </w:rPr>
        <w:t>Kuussuaq</w:t>
      </w:r>
      <w:proofErr w:type="spellEnd"/>
      <w:r w:rsidRPr="0027302B">
        <w:rPr>
          <w:rFonts w:ascii="Rockwell" w:hAnsi="Rockwell"/>
          <w:sz w:val="16"/>
          <w:szCs w:val="16"/>
          <w:lang w:val="en-US"/>
        </w:rPr>
        <w:t xml:space="preserve"> 2</w:t>
      </w:r>
    </w:p>
    <w:p w14:paraId="4C5A6498" w14:textId="77777777" w:rsidR="002F25A5" w:rsidRPr="0027302B" w:rsidRDefault="002F25A5" w:rsidP="002F25A5">
      <w:pPr>
        <w:pStyle w:val="Grundlggendeafsnit"/>
        <w:framePr w:w="2337" w:h="9162" w:hRule="exact" w:hSpace="280" w:vSpace="90" w:wrap="around" w:vAnchor="page" w:hAnchor="page" w:x="9240" w:y="3862" w:anchorLock="1"/>
        <w:tabs>
          <w:tab w:val="clear" w:pos="240"/>
          <w:tab w:val="left" w:leader="dot" w:pos="1192"/>
        </w:tabs>
        <w:rPr>
          <w:rFonts w:ascii="Rockwell" w:hAnsi="Rockwell"/>
          <w:sz w:val="16"/>
          <w:szCs w:val="16"/>
          <w:lang w:val="en-US"/>
        </w:rPr>
      </w:pPr>
      <w:proofErr w:type="spellStart"/>
      <w:r w:rsidRPr="0027302B">
        <w:rPr>
          <w:rFonts w:ascii="Rockwell" w:hAnsi="Rockwell"/>
          <w:sz w:val="16"/>
          <w:szCs w:val="16"/>
          <w:lang w:val="en-US"/>
        </w:rPr>
        <w:t>Postboks</w:t>
      </w:r>
      <w:proofErr w:type="spellEnd"/>
      <w:r w:rsidRPr="0027302B">
        <w:rPr>
          <w:rFonts w:ascii="Rockwell" w:hAnsi="Rockwell"/>
          <w:sz w:val="16"/>
          <w:szCs w:val="16"/>
          <w:lang w:val="en-US"/>
        </w:rPr>
        <w:t xml:space="preserve"> 1005</w:t>
      </w:r>
    </w:p>
    <w:p w14:paraId="42D209BD" w14:textId="77777777" w:rsidR="002F25A5" w:rsidRPr="0027302B" w:rsidRDefault="002F25A5" w:rsidP="002F25A5">
      <w:pPr>
        <w:pStyle w:val="Grundlggendeafsnit"/>
        <w:framePr w:w="2337" w:h="9162" w:hRule="exact" w:hSpace="280" w:vSpace="90" w:wrap="around" w:vAnchor="page" w:hAnchor="page" w:x="9240" w:y="3862" w:anchorLock="1"/>
        <w:tabs>
          <w:tab w:val="clear" w:pos="240"/>
          <w:tab w:val="left" w:leader="dot" w:pos="1192"/>
        </w:tabs>
        <w:rPr>
          <w:rFonts w:ascii="Rockwell" w:hAnsi="Rockwell"/>
          <w:sz w:val="16"/>
          <w:szCs w:val="16"/>
          <w:lang w:val="en-US"/>
        </w:rPr>
      </w:pPr>
      <w:r w:rsidRPr="0027302B">
        <w:rPr>
          <w:rFonts w:ascii="Rockwell" w:hAnsi="Rockwell"/>
          <w:sz w:val="16"/>
          <w:szCs w:val="16"/>
          <w:lang w:val="en-US"/>
        </w:rPr>
        <w:t>3900 Nuuk</w:t>
      </w:r>
    </w:p>
    <w:p w14:paraId="0ECC6E6E" w14:textId="77777777" w:rsidR="002F25A5" w:rsidRPr="0027302B" w:rsidRDefault="002F25A5" w:rsidP="002F25A5">
      <w:pPr>
        <w:pStyle w:val="Grundlggendeafsnit"/>
        <w:framePr w:w="2337" w:h="9162" w:hRule="exact" w:hSpace="280" w:vSpace="90" w:wrap="around" w:vAnchor="page" w:hAnchor="page" w:x="9240" w:y="3862" w:anchorLock="1"/>
        <w:tabs>
          <w:tab w:val="clear" w:pos="240"/>
          <w:tab w:val="left" w:leader="dot" w:pos="1192"/>
        </w:tabs>
        <w:rPr>
          <w:rFonts w:ascii="Rockwell" w:hAnsi="Rockwell"/>
          <w:sz w:val="16"/>
          <w:szCs w:val="16"/>
          <w:lang w:val="en-US"/>
        </w:rPr>
      </w:pPr>
      <w:proofErr w:type="spellStart"/>
      <w:r w:rsidRPr="0027302B">
        <w:rPr>
          <w:rFonts w:ascii="Rockwell" w:hAnsi="Rockwell"/>
          <w:sz w:val="16"/>
          <w:szCs w:val="16"/>
          <w:lang w:val="en-US"/>
        </w:rPr>
        <w:t>Grønland</w:t>
      </w:r>
      <w:proofErr w:type="spellEnd"/>
    </w:p>
    <w:p w14:paraId="53B53279" w14:textId="77777777" w:rsidR="002F25A5" w:rsidRPr="0027302B" w:rsidRDefault="002F25A5" w:rsidP="002F25A5">
      <w:pPr>
        <w:pStyle w:val="Grundlggendeafsnit"/>
        <w:framePr w:w="2337" w:h="9162" w:hRule="exact" w:hSpace="280" w:vSpace="90" w:wrap="around" w:vAnchor="page" w:hAnchor="page" w:x="9240" w:y="3862" w:anchorLock="1"/>
        <w:tabs>
          <w:tab w:val="clear" w:pos="240"/>
          <w:tab w:val="left" w:leader="dot" w:pos="1320"/>
        </w:tabs>
        <w:rPr>
          <w:rFonts w:ascii="Rockwell" w:hAnsi="Rockwell" w:cs="ZillaSlab-SemiBold"/>
          <w:b/>
          <w:bCs/>
          <w:color w:val="005091"/>
          <w:sz w:val="16"/>
          <w:szCs w:val="16"/>
          <w:lang w:val="en-US"/>
        </w:rPr>
      </w:pPr>
      <w:proofErr w:type="spellStart"/>
      <w:r w:rsidRPr="0027302B">
        <w:rPr>
          <w:rFonts w:ascii="Rockwell" w:hAnsi="Rockwell" w:cs="ZillaSlab-SemiBold"/>
          <w:b/>
          <w:bCs/>
          <w:color w:val="005091"/>
          <w:sz w:val="16"/>
          <w:szCs w:val="16"/>
          <w:lang w:val="en-US"/>
        </w:rPr>
        <w:t>kommuneqarfik</w:t>
      </w:r>
      <w:proofErr w:type="spellEnd"/>
      <w:r w:rsidRPr="0027302B">
        <w:rPr>
          <w:rFonts w:ascii="Rockwell" w:hAnsi="Rockwell" w:cs="ZillaSlab-SemiBold"/>
          <w:b/>
          <w:bCs/>
          <w:color w:val="005091"/>
          <w:sz w:val="16"/>
          <w:szCs w:val="16"/>
          <w:lang w:val="en-US"/>
        </w:rPr>
        <w:br/>
        <w:t>@sermersooq.gl</w:t>
      </w:r>
    </w:p>
    <w:p w14:paraId="695E34DB" w14:textId="77777777" w:rsidR="002F25A5" w:rsidRPr="00A6360B" w:rsidRDefault="002F25A5" w:rsidP="002F25A5">
      <w:pPr>
        <w:pStyle w:val="Grundlggendeafsnit"/>
        <w:framePr w:w="2337" w:h="9162" w:hRule="exact" w:hSpace="280" w:vSpace="90" w:wrap="around" w:vAnchor="page" w:hAnchor="page" w:x="9240" w:y="3862" w:anchorLock="1"/>
        <w:tabs>
          <w:tab w:val="clear" w:pos="240"/>
          <w:tab w:val="left" w:leader="dot" w:pos="1192"/>
        </w:tabs>
        <w:rPr>
          <w:rFonts w:ascii="Rockwell" w:hAnsi="Rockwell"/>
          <w:sz w:val="16"/>
          <w:szCs w:val="16"/>
        </w:rPr>
      </w:pPr>
      <w:r w:rsidRPr="00A6360B">
        <w:rPr>
          <w:rFonts w:ascii="Rockwell" w:hAnsi="Rockwell" w:cs="ZillaSlab-SemiBold"/>
          <w:b/>
          <w:bCs/>
          <w:color w:val="005091"/>
          <w:sz w:val="16"/>
          <w:szCs w:val="16"/>
        </w:rPr>
        <w:t>sermersooq.gl</w:t>
      </w:r>
    </w:p>
    <w:p w14:paraId="5E1E9AC9" w14:textId="77777777" w:rsidR="002F25A5" w:rsidRPr="0087004E" w:rsidRDefault="002F25A5" w:rsidP="002F25A5">
      <w:pPr>
        <w:framePr w:w="2337" w:h="9162" w:hRule="exact" w:hSpace="280" w:vSpace="90" w:wrap="around" w:vAnchor="page" w:hAnchor="page" w:x="9240" w:y="3862" w:anchorLock="1"/>
        <w:tabs>
          <w:tab w:val="left" w:pos="1560"/>
        </w:tabs>
        <w:spacing w:line="280" w:lineRule="exact"/>
        <w:rPr>
          <w:rFonts w:ascii="Rockwell" w:hAnsi="Rockwell"/>
          <w:sz w:val="16"/>
          <w:szCs w:val="16"/>
        </w:rPr>
      </w:pPr>
      <w:r w:rsidRPr="0087004E">
        <w:rPr>
          <w:rFonts w:ascii="Rockwell" w:hAnsi="Rockwell"/>
          <w:sz w:val="16"/>
          <w:szCs w:val="16"/>
        </w:rPr>
        <w:t>Tlf. +299 36 74 00</w:t>
      </w:r>
    </w:p>
    <w:p w14:paraId="5724FA11" w14:textId="77777777" w:rsidR="002F25A5" w:rsidRPr="00A6360B" w:rsidRDefault="002F25A5" w:rsidP="002F25A5">
      <w:pPr>
        <w:framePr w:w="2337" w:h="9162" w:hRule="exact" w:hSpace="280" w:vSpace="90" w:wrap="around" w:vAnchor="page" w:hAnchor="page" w:x="9240" w:y="3862" w:anchorLock="1"/>
        <w:tabs>
          <w:tab w:val="left" w:pos="1560"/>
        </w:tabs>
        <w:spacing w:line="280" w:lineRule="exact"/>
        <w:rPr>
          <w:rFonts w:ascii="Rockwell" w:hAnsi="Rockwell" w:cs="Arial"/>
          <w:sz w:val="16"/>
          <w:szCs w:val="16"/>
        </w:rPr>
      </w:pPr>
    </w:p>
    <w:p w14:paraId="409A5157" w14:textId="77777777" w:rsidR="002F25A5" w:rsidRPr="0087004E" w:rsidRDefault="002F25A5" w:rsidP="002F25A5">
      <w:pPr>
        <w:pStyle w:val="Grundlggendeafsnit"/>
        <w:framePr w:w="2337" w:h="9162" w:hRule="exact" w:hSpace="280" w:vSpace="90" w:wrap="around" w:vAnchor="page" w:hAnchor="page" w:x="9240" w:y="3862" w:anchorLock="1"/>
        <w:tabs>
          <w:tab w:val="clear" w:pos="240"/>
          <w:tab w:val="left" w:leader="dot" w:pos="1380"/>
        </w:tabs>
        <w:rPr>
          <w:rFonts w:ascii="Rockwell" w:hAnsi="Rockwell"/>
          <w:sz w:val="16"/>
          <w:szCs w:val="16"/>
        </w:rPr>
      </w:pPr>
      <w:r w:rsidRPr="0087004E">
        <w:rPr>
          <w:rFonts w:ascii="Rockwell" w:hAnsi="Rockwell"/>
          <w:sz w:val="16"/>
          <w:szCs w:val="16"/>
        </w:rPr>
        <w:t>Man. - ons.</w:t>
      </w:r>
      <w:r w:rsidRPr="0087004E">
        <w:rPr>
          <w:rFonts w:ascii="Rockwell" w:hAnsi="Rockwell"/>
          <w:sz w:val="16"/>
          <w:szCs w:val="16"/>
        </w:rPr>
        <w:tab/>
        <w:t>kl. 10 - 15</w:t>
      </w:r>
    </w:p>
    <w:p w14:paraId="7B2F5769" w14:textId="77777777" w:rsidR="002F25A5" w:rsidRPr="0087004E" w:rsidRDefault="002F25A5" w:rsidP="002F25A5">
      <w:pPr>
        <w:pStyle w:val="Grundlggendeafsnit"/>
        <w:framePr w:w="2337" w:h="9162" w:hRule="exact" w:hSpace="280" w:vSpace="90" w:wrap="around" w:vAnchor="page" w:hAnchor="page" w:x="9240" w:y="3862" w:anchorLock="1"/>
        <w:tabs>
          <w:tab w:val="clear" w:pos="240"/>
          <w:tab w:val="left" w:leader="dot" w:pos="1380"/>
        </w:tabs>
        <w:rPr>
          <w:rFonts w:ascii="Rockwell" w:hAnsi="Rockwell"/>
          <w:sz w:val="16"/>
          <w:szCs w:val="16"/>
        </w:rPr>
      </w:pPr>
      <w:r w:rsidRPr="0087004E">
        <w:rPr>
          <w:rFonts w:ascii="Rockwell" w:hAnsi="Rockwell"/>
          <w:sz w:val="16"/>
          <w:szCs w:val="16"/>
        </w:rPr>
        <w:t>Torsdag</w:t>
      </w:r>
      <w:r w:rsidRPr="0087004E">
        <w:rPr>
          <w:rFonts w:ascii="Rockwell" w:hAnsi="Rockwell"/>
          <w:sz w:val="16"/>
          <w:szCs w:val="16"/>
        </w:rPr>
        <w:tab/>
        <w:t>kl. 12 – 17</w:t>
      </w:r>
    </w:p>
    <w:p w14:paraId="62394B0F" w14:textId="77777777" w:rsidR="002F25A5" w:rsidRPr="0087004E" w:rsidRDefault="002F25A5" w:rsidP="002F25A5">
      <w:pPr>
        <w:pStyle w:val="Grundlggendeafsnit"/>
        <w:framePr w:w="2337" w:h="9162" w:hRule="exact" w:hSpace="280" w:vSpace="90" w:wrap="around" w:vAnchor="page" w:hAnchor="page" w:x="9240" w:y="3862" w:anchorLock="1"/>
        <w:tabs>
          <w:tab w:val="clear" w:pos="240"/>
          <w:tab w:val="left" w:leader="dot" w:pos="1380"/>
        </w:tabs>
        <w:rPr>
          <w:rFonts w:ascii="Rockwell" w:hAnsi="Rockwell"/>
          <w:sz w:val="16"/>
          <w:szCs w:val="16"/>
        </w:rPr>
      </w:pPr>
      <w:r w:rsidRPr="0087004E">
        <w:rPr>
          <w:rFonts w:ascii="Rockwell" w:hAnsi="Rockwell"/>
          <w:sz w:val="16"/>
          <w:szCs w:val="16"/>
        </w:rPr>
        <w:t>Fredag</w:t>
      </w:r>
      <w:r w:rsidRPr="0087004E">
        <w:rPr>
          <w:rFonts w:ascii="Rockwell" w:hAnsi="Rockwell"/>
          <w:sz w:val="16"/>
          <w:szCs w:val="16"/>
        </w:rPr>
        <w:tab/>
        <w:t>kl. 10 - 12</w:t>
      </w:r>
    </w:p>
    <w:p w14:paraId="4B01584A" w14:textId="77777777" w:rsidR="002F25A5" w:rsidRPr="0087004E" w:rsidRDefault="002F25A5" w:rsidP="002F25A5">
      <w:pPr>
        <w:framePr w:w="2337" w:h="9162" w:hRule="exact" w:hSpace="280" w:vSpace="90" w:wrap="around" w:vAnchor="page" w:hAnchor="page" w:x="9240" w:y="3862" w:anchorLock="1"/>
        <w:tabs>
          <w:tab w:val="left" w:pos="1560"/>
        </w:tabs>
        <w:spacing w:line="280" w:lineRule="exact"/>
        <w:rPr>
          <w:rFonts w:ascii="Rockwell" w:hAnsi="Rockwell"/>
          <w:sz w:val="16"/>
          <w:szCs w:val="16"/>
        </w:rPr>
      </w:pPr>
    </w:p>
    <w:p w14:paraId="0DA4E08F" w14:textId="77777777" w:rsidR="002F25A5" w:rsidRPr="0087004E" w:rsidRDefault="002F25A5" w:rsidP="002F25A5">
      <w:pPr>
        <w:pStyle w:val="Grundlggendeafsnit"/>
        <w:framePr w:w="2337" w:h="9162" w:hRule="exact" w:hSpace="280" w:vSpace="90" w:wrap="around" w:vAnchor="page" w:hAnchor="page" w:x="9240" w:y="3862" w:anchorLock="1"/>
        <w:tabs>
          <w:tab w:val="clear" w:pos="240"/>
          <w:tab w:val="left" w:leader="dot" w:pos="1320"/>
        </w:tabs>
        <w:rPr>
          <w:rFonts w:ascii="Rockwell" w:hAnsi="Rockwell"/>
          <w:sz w:val="16"/>
          <w:szCs w:val="16"/>
        </w:rPr>
      </w:pPr>
    </w:p>
    <w:p w14:paraId="094780FB" w14:textId="77777777" w:rsidR="002F25A5" w:rsidRPr="00A6360B" w:rsidRDefault="002F25A5" w:rsidP="002F25A5">
      <w:pPr>
        <w:framePr w:w="2337" w:h="9162" w:hRule="exact" w:hSpace="280" w:vSpace="90" w:wrap="around" w:vAnchor="page" w:hAnchor="page" w:x="9240" w:y="3862" w:anchorLock="1"/>
        <w:tabs>
          <w:tab w:val="left" w:pos="1560"/>
        </w:tabs>
        <w:spacing w:line="280" w:lineRule="exact"/>
        <w:rPr>
          <w:rFonts w:ascii="Arial" w:hAnsi="Arial" w:cs="Arial"/>
          <w:sz w:val="16"/>
          <w:szCs w:val="16"/>
        </w:rPr>
      </w:pPr>
    </w:p>
    <w:p w14:paraId="172BC50C" w14:textId="77777777" w:rsidR="002F25A5" w:rsidRDefault="002F25A5" w:rsidP="002F25A5">
      <w:pPr>
        <w:pStyle w:val="Grundlggendeafsnit"/>
        <w:rPr>
          <w:rFonts w:ascii="Rockwell" w:hAnsi="Rockwell"/>
        </w:rPr>
      </w:pPr>
    </w:p>
    <w:p w14:paraId="0533291E" w14:textId="77777777" w:rsidR="002F25A5" w:rsidRDefault="002F25A5" w:rsidP="002F25A5">
      <w:pPr>
        <w:pStyle w:val="Grundlggendeafsnit"/>
        <w:rPr>
          <w:rFonts w:ascii="Rockwell" w:hAnsi="Rockwell"/>
        </w:rPr>
      </w:pPr>
    </w:p>
    <w:p w14:paraId="301C7001" w14:textId="77777777" w:rsidR="0065318F" w:rsidRDefault="0065318F" w:rsidP="0065318F">
      <w:pPr>
        <w:shd w:val="clear" w:color="auto" w:fill="FFFFFF"/>
        <w:rPr>
          <w:rFonts w:ascii="Arial" w:eastAsiaTheme="minorHAnsi" w:hAnsi="Arial" w:cs="Arial"/>
          <w:color w:val="000000"/>
          <w:sz w:val="20"/>
          <w:szCs w:val="20"/>
          <w:lang w:eastAsia="kl-GL"/>
        </w:rPr>
      </w:pPr>
      <w:r>
        <w:rPr>
          <w:rFonts w:ascii="Arial" w:hAnsi="Arial" w:cs="Arial"/>
          <w:color w:val="000000"/>
          <w:sz w:val="20"/>
          <w:szCs w:val="20"/>
          <w:lang w:eastAsia="kl-GL"/>
        </w:rPr>
        <w:t>Departementet for Erhverv, Handel, Råstoffer, Justitsområdet og Ligestilling.</w:t>
      </w:r>
    </w:p>
    <w:p w14:paraId="16BD0984" w14:textId="3C056110" w:rsidR="002F25A5" w:rsidRPr="0065318F" w:rsidRDefault="0065318F" w:rsidP="0065318F">
      <w:pPr>
        <w:pStyle w:val="Grundlggendeafsnit"/>
        <w:rPr>
          <w:rFonts w:ascii="Rockwell" w:hAnsi="Rockwell"/>
          <w:lang w:val="en-US"/>
        </w:rPr>
      </w:pPr>
      <w:r>
        <w:rPr>
          <w:rFonts w:ascii="Arial" w:hAnsi="Arial" w:cs="Arial"/>
          <w:sz w:val="20"/>
          <w:szCs w:val="20"/>
          <w:lang w:val="en-US" w:eastAsia="kl-GL"/>
        </w:rPr>
        <w:t>P.O. Box 1601, GL-3900 Nuuk </w:t>
      </w:r>
      <w:r>
        <w:rPr>
          <w:rFonts w:ascii="Arial" w:hAnsi="Arial" w:cs="Arial"/>
          <w:sz w:val="20"/>
          <w:szCs w:val="20"/>
          <w:lang w:val="en-US" w:eastAsia="kl-GL"/>
        </w:rPr>
        <w:br/>
      </w:r>
    </w:p>
    <w:p w14:paraId="6D22C778" w14:textId="77777777" w:rsidR="002F25A5" w:rsidRPr="0065318F" w:rsidRDefault="002F25A5" w:rsidP="002F25A5">
      <w:pPr>
        <w:pStyle w:val="Grundlggendeafsnit"/>
        <w:rPr>
          <w:rFonts w:ascii="Rockwell" w:hAnsi="Rockwell"/>
          <w:lang w:val="en-US"/>
        </w:rPr>
      </w:pPr>
    </w:p>
    <w:p w14:paraId="6A4B4179" w14:textId="77777777" w:rsidR="002F25A5" w:rsidRPr="0065318F" w:rsidRDefault="002F25A5" w:rsidP="002F25A5">
      <w:pPr>
        <w:pStyle w:val="Grundlggendeafsnit"/>
        <w:rPr>
          <w:rFonts w:ascii="Rockwell" w:hAnsi="Rockwell"/>
          <w:lang w:val="en-US"/>
        </w:rPr>
      </w:pPr>
    </w:p>
    <w:p w14:paraId="641BBAF6" w14:textId="2329BF4E" w:rsidR="002F25A5" w:rsidRPr="00D904BB" w:rsidRDefault="002F25A5" w:rsidP="002F25A5">
      <w:pPr>
        <w:pStyle w:val="Grundlggendeafsnit"/>
        <w:jc w:val="right"/>
        <w:rPr>
          <w:rFonts w:ascii="Rockwell" w:hAnsi="Rockwell"/>
        </w:rPr>
      </w:pPr>
      <w:r>
        <w:rPr>
          <w:rFonts w:ascii="Rockwell" w:hAnsi="Rockwell"/>
        </w:rPr>
        <w:fldChar w:fldCharType="begin"/>
      </w:r>
      <w:r>
        <w:rPr>
          <w:rFonts w:ascii="Rockwell" w:hAnsi="Rockwell"/>
        </w:rPr>
        <w:instrText xml:space="preserve"> CREATEDATE  \@ "dd-MM-yyyy"  \* MERGEFORMAT </w:instrText>
      </w:r>
      <w:r>
        <w:rPr>
          <w:rFonts w:ascii="Rockwell" w:hAnsi="Rockwell"/>
        </w:rPr>
        <w:fldChar w:fldCharType="separate"/>
      </w:r>
      <w:r w:rsidR="00D5693C">
        <w:rPr>
          <w:rFonts w:ascii="Rockwell" w:hAnsi="Rockwell"/>
          <w:noProof/>
        </w:rPr>
        <w:t>28-05</w:t>
      </w:r>
      <w:r>
        <w:rPr>
          <w:rFonts w:ascii="Rockwell" w:hAnsi="Rockwell"/>
          <w:noProof/>
        </w:rPr>
        <w:t>-2024</w:t>
      </w:r>
      <w:r>
        <w:rPr>
          <w:rFonts w:ascii="Rockwell" w:hAnsi="Rockwell"/>
        </w:rPr>
        <w:fldChar w:fldCharType="end"/>
      </w:r>
    </w:p>
    <w:p w14:paraId="16E060D0" w14:textId="77777777" w:rsidR="002F25A5" w:rsidRPr="00D904BB" w:rsidRDefault="002F25A5" w:rsidP="002F25A5">
      <w:pPr>
        <w:pStyle w:val="Grundlggendeafsnit"/>
        <w:rPr>
          <w:rFonts w:ascii="Rockwell" w:hAnsi="Rockwell" w:cs="Rockwell"/>
        </w:rPr>
      </w:pPr>
    </w:p>
    <w:p w14:paraId="38EEBF30" w14:textId="77777777" w:rsidR="002F25A5" w:rsidRPr="00DB6A7F" w:rsidRDefault="002F25A5" w:rsidP="002F25A5">
      <w:pPr>
        <w:pStyle w:val="Grundlggendeafsnit"/>
        <w:jc w:val="right"/>
        <w:rPr>
          <w:rFonts w:ascii="Rockwell" w:hAnsi="Rockwell"/>
          <w:color w:val="FF0000"/>
          <w:sz w:val="20"/>
          <w:szCs w:val="20"/>
        </w:rPr>
      </w:pPr>
    </w:p>
    <w:p w14:paraId="3A29740C" w14:textId="77777777" w:rsidR="002F25A5" w:rsidRDefault="002F25A5" w:rsidP="002F25A5">
      <w:pPr>
        <w:pStyle w:val="Grundlggendeafsnit"/>
        <w:rPr>
          <w:rFonts w:ascii="Rockwell" w:hAnsi="Rockwell"/>
          <w:color w:val="005091"/>
          <w:sz w:val="28"/>
          <w:szCs w:val="28"/>
        </w:rPr>
      </w:pPr>
    </w:p>
    <w:p w14:paraId="6355C181" w14:textId="77777777" w:rsidR="002F25A5" w:rsidRDefault="002F25A5" w:rsidP="002F25A5">
      <w:pPr>
        <w:pStyle w:val="Grundlggendeafsnit"/>
        <w:rPr>
          <w:rFonts w:ascii="Rockwell" w:hAnsi="Rockwell"/>
          <w:color w:val="005091"/>
          <w:sz w:val="28"/>
          <w:szCs w:val="28"/>
        </w:rPr>
      </w:pPr>
    </w:p>
    <w:p w14:paraId="6BED6733" w14:textId="77777777" w:rsidR="002F25A5" w:rsidRDefault="002F25A5" w:rsidP="002F25A5">
      <w:pPr>
        <w:pStyle w:val="Grundlggendeafsnit"/>
        <w:rPr>
          <w:rFonts w:ascii="Rockwell" w:hAnsi="Rockwell"/>
          <w:color w:val="005091"/>
          <w:sz w:val="28"/>
          <w:szCs w:val="28"/>
        </w:rPr>
      </w:pPr>
    </w:p>
    <w:p w14:paraId="0D9CFA9A" w14:textId="77777777" w:rsidR="002F25A5" w:rsidRDefault="002F25A5" w:rsidP="002F25A5">
      <w:pPr>
        <w:pStyle w:val="Grundlggendeafsnit"/>
        <w:rPr>
          <w:rFonts w:ascii="Rockwell" w:hAnsi="Rockwell"/>
          <w:color w:val="005091"/>
          <w:sz w:val="28"/>
          <w:szCs w:val="28"/>
        </w:rPr>
      </w:pPr>
    </w:p>
    <w:p w14:paraId="5A46AF26" w14:textId="77777777" w:rsidR="002F25A5" w:rsidRPr="00D904BB" w:rsidRDefault="002F25A5" w:rsidP="002F25A5">
      <w:pPr>
        <w:pStyle w:val="Grundlggendeafsnit"/>
        <w:rPr>
          <w:rFonts w:ascii="Rockwell" w:hAnsi="Rockwell"/>
          <w:color w:val="005091"/>
          <w:sz w:val="28"/>
          <w:szCs w:val="28"/>
        </w:rPr>
      </w:pPr>
    </w:p>
    <w:p w14:paraId="64BA3066" w14:textId="0A00BAE9" w:rsidR="002F25A5" w:rsidRPr="00D904BB" w:rsidRDefault="002F25A5" w:rsidP="002F25A5">
      <w:pPr>
        <w:pStyle w:val="Grundlggendeafsnit"/>
        <w:rPr>
          <w:rFonts w:ascii="Rockwell" w:hAnsi="Rockwell"/>
        </w:rPr>
      </w:pPr>
      <w:r>
        <w:rPr>
          <w:rFonts w:ascii="Rockwell" w:hAnsi="Rockwell" w:cs="ZillaSlab-Bold"/>
          <w:b/>
          <w:bCs/>
          <w:color w:val="005091"/>
          <w:sz w:val="26"/>
          <w:szCs w:val="26"/>
        </w:rPr>
        <w:t xml:space="preserve">Vedrørende høring af </w:t>
      </w:r>
      <w:proofErr w:type="spellStart"/>
      <w:r>
        <w:rPr>
          <w:rFonts w:ascii="Rockwell" w:hAnsi="Rockwell" w:cs="ZillaSlab-Bold"/>
          <w:b/>
          <w:bCs/>
          <w:color w:val="005091"/>
          <w:sz w:val="26"/>
          <w:szCs w:val="26"/>
        </w:rPr>
        <w:t>Inatsisartutlov</w:t>
      </w:r>
      <w:proofErr w:type="spellEnd"/>
      <w:r>
        <w:rPr>
          <w:rFonts w:ascii="Rockwell" w:hAnsi="Rockwell" w:cs="ZillaSlab-Bold"/>
          <w:b/>
          <w:bCs/>
          <w:color w:val="005091"/>
          <w:sz w:val="26"/>
          <w:szCs w:val="26"/>
        </w:rPr>
        <w:t xml:space="preserve"> om </w:t>
      </w:r>
      <w:r w:rsidR="00217A75">
        <w:rPr>
          <w:rFonts w:ascii="Rockwell" w:hAnsi="Rockwell" w:cs="ZillaSlab-Bold"/>
          <w:b/>
          <w:bCs/>
          <w:color w:val="005091"/>
          <w:sz w:val="26"/>
          <w:szCs w:val="26"/>
        </w:rPr>
        <w:t>koncession til turistvirksomhed i udvalgte områder</w:t>
      </w:r>
    </w:p>
    <w:p w14:paraId="55DFB2F6" w14:textId="77777777" w:rsidR="002F25A5" w:rsidRDefault="002F25A5" w:rsidP="002F25A5">
      <w:pPr>
        <w:pStyle w:val="Grundlggendeafsnit"/>
        <w:rPr>
          <w:rFonts w:ascii="Rockwell" w:hAnsi="Rockwell"/>
        </w:rPr>
      </w:pPr>
    </w:p>
    <w:p w14:paraId="01E17584" w14:textId="37A140D5" w:rsidR="002F25A5" w:rsidRPr="00DB6A7F" w:rsidRDefault="001E6DFD" w:rsidP="002F25A5">
      <w:pPr>
        <w:pStyle w:val="Grundlggendeafsnit"/>
        <w:rPr>
          <w:rFonts w:ascii="Rockwell" w:hAnsi="Rockwell"/>
        </w:rPr>
      </w:pPr>
      <w:r>
        <w:rPr>
          <w:rFonts w:ascii="Rockwell" w:hAnsi="Rockwell"/>
        </w:rPr>
        <w:t>Koncernservice, Erhvervsafdelingen i Kommuneqarfik Sermersooq</w:t>
      </w:r>
      <w:r w:rsidR="002F25A5" w:rsidRPr="00DB6A7F">
        <w:rPr>
          <w:rFonts w:ascii="Rockwell" w:hAnsi="Rockwell"/>
          <w:color w:val="FF0000"/>
        </w:rPr>
        <w:t xml:space="preserve"> </w:t>
      </w:r>
      <w:r w:rsidR="002F25A5" w:rsidRPr="00DB6A7F">
        <w:rPr>
          <w:rFonts w:ascii="Rockwell" w:hAnsi="Rockwell"/>
        </w:rPr>
        <w:t>takker for muligheden for</w:t>
      </w:r>
      <w:r w:rsidR="002F25A5">
        <w:rPr>
          <w:rFonts w:ascii="Rockwell" w:hAnsi="Rockwell"/>
        </w:rPr>
        <w:t>,</w:t>
      </w:r>
      <w:r w:rsidR="002F25A5" w:rsidRPr="00DB6A7F">
        <w:rPr>
          <w:rFonts w:ascii="Rockwell" w:hAnsi="Rockwell"/>
        </w:rPr>
        <w:t xml:space="preserve"> at kunne afgive hø</w:t>
      </w:r>
      <w:r w:rsidR="002F25A5">
        <w:rPr>
          <w:rFonts w:ascii="Rockwell" w:hAnsi="Rockwell"/>
        </w:rPr>
        <w:t>ringssvar</w:t>
      </w:r>
      <w:r w:rsidR="002F25A5" w:rsidRPr="00DB6A7F">
        <w:rPr>
          <w:rFonts w:ascii="Rockwell" w:hAnsi="Rockwell"/>
        </w:rPr>
        <w:t xml:space="preserve">. </w:t>
      </w:r>
    </w:p>
    <w:p w14:paraId="2D9F546A" w14:textId="77777777" w:rsidR="002F25A5" w:rsidRDefault="002F25A5" w:rsidP="002F25A5">
      <w:pPr>
        <w:pStyle w:val="Grundlggendeafsnit"/>
        <w:rPr>
          <w:rFonts w:ascii="Rockwell" w:hAnsi="Rockwell"/>
        </w:rPr>
      </w:pPr>
    </w:p>
    <w:p w14:paraId="1EC3943A" w14:textId="19B05FFD" w:rsidR="00803440" w:rsidRDefault="00803440" w:rsidP="002F25A5">
      <w:pPr>
        <w:pStyle w:val="Grundlggendeafsnit"/>
        <w:rPr>
          <w:rFonts w:ascii="Rockwell" w:hAnsi="Rockwell"/>
        </w:rPr>
      </w:pPr>
      <w:r w:rsidRPr="00803440">
        <w:rPr>
          <w:rFonts w:ascii="Rockwell" w:hAnsi="Rockwell"/>
        </w:rPr>
        <w:t xml:space="preserve">Koncessioner kan bidrage til beskyttelse af natur og miljø samt åbne mulighed for tiltrækning af internationale investeringer. </w:t>
      </w:r>
    </w:p>
    <w:p w14:paraId="7B8EFD32" w14:textId="379454A3" w:rsidR="00AD1527" w:rsidRDefault="00AD1527" w:rsidP="002F25A5">
      <w:pPr>
        <w:pStyle w:val="Grundlggendeafsnit"/>
        <w:rPr>
          <w:rFonts w:ascii="Rockwell" w:hAnsi="Rockwell"/>
        </w:rPr>
      </w:pPr>
    </w:p>
    <w:p w14:paraId="507FB33A" w14:textId="4763CEE3" w:rsidR="00AD1527" w:rsidRDefault="00AD1527" w:rsidP="002F25A5">
      <w:pPr>
        <w:pStyle w:val="Grundlggendeafsnit"/>
        <w:rPr>
          <w:rFonts w:ascii="Rockwell" w:hAnsi="Rockwell"/>
        </w:rPr>
      </w:pPr>
      <w:r>
        <w:rPr>
          <w:rFonts w:ascii="Rockwell" w:hAnsi="Rockwell"/>
        </w:rPr>
        <w:t>Det er p</w:t>
      </w:r>
      <w:r w:rsidRPr="00AD1527">
        <w:rPr>
          <w:rFonts w:ascii="Rockwell" w:hAnsi="Rockwell"/>
        </w:rPr>
        <w:t>ositivt at inddrage kommune</w:t>
      </w:r>
      <w:r>
        <w:rPr>
          <w:rFonts w:ascii="Rockwell" w:hAnsi="Rockwell"/>
        </w:rPr>
        <w:t>rne</w:t>
      </w:r>
      <w:r w:rsidRPr="00AD1527">
        <w:rPr>
          <w:rFonts w:ascii="Rockwell" w:hAnsi="Rockwell"/>
        </w:rPr>
        <w:t xml:space="preserve"> mere i processen med fordeling af koncessioner</w:t>
      </w:r>
      <w:r>
        <w:rPr>
          <w:rFonts w:ascii="Rockwell" w:hAnsi="Rockwell"/>
        </w:rPr>
        <w:t xml:space="preserve">, som skal sammenhænge med kommunernes udviklingsplan af områder. </w:t>
      </w:r>
    </w:p>
    <w:p w14:paraId="18B75BD5" w14:textId="77777777" w:rsidR="00803440" w:rsidRDefault="00803440" w:rsidP="002F25A5">
      <w:pPr>
        <w:pStyle w:val="Grundlggendeafsnit"/>
        <w:rPr>
          <w:rFonts w:ascii="Rockwell" w:hAnsi="Rockwell"/>
        </w:rPr>
      </w:pPr>
    </w:p>
    <w:p w14:paraId="0A940A1F" w14:textId="1921474B" w:rsidR="00D5693C" w:rsidRDefault="00D5693C" w:rsidP="002F25A5">
      <w:pPr>
        <w:pStyle w:val="Grundlggendeafsnit"/>
        <w:rPr>
          <w:rFonts w:ascii="Rockwell" w:hAnsi="Rockwell"/>
        </w:rPr>
      </w:pPr>
      <w:r w:rsidRPr="00D5693C">
        <w:rPr>
          <w:rFonts w:ascii="Rockwell" w:hAnsi="Rockwell"/>
        </w:rPr>
        <w:t>Generelt set, er denne lovgivning og rammerne meget upræcis ift. mange paragrafer og giver enemagt til Naalakkersuisut eller den overdragende myndighed for at selv bestemme mange rammer ind over loven i fremtiden som indtil videre ikke har været præciseret.</w:t>
      </w:r>
      <w:r w:rsidR="00AD1527">
        <w:rPr>
          <w:rFonts w:ascii="Rockwell" w:hAnsi="Rockwell"/>
        </w:rPr>
        <w:t xml:space="preserve"> Der ønskes at lovgivning allerede i den nuværende udkast kunne fremhæve</w:t>
      </w:r>
      <w:r w:rsidR="00AD1527" w:rsidRPr="00AD1527">
        <w:rPr>
          <w:rFonts w:ascii="Rockwell" w:hAnsi="Rockwell"/>
        </w:rPr>
        <w:t xml:space="preserve"> de aspekter, der endnu ikke er tilstrækkeligt definerede</w:t>
      </w:r>
      <w:r w:rsidR="00AD1527">
        <w:rPr>
          <w:rFonts w:ascii="Rockwell" w:hAnsi="Rockwell"/>
        </w:rPr>
        <w:t>.</w:t>
      </w:r>
    </w:p>
    <w:p w14:paraId="01095547" w14:textId="5E192E3A" w:rsidR="00E76E72" w:rsidRDefault="00E76E72" w:rsidP="002F25A5">
      <w:pPr>
        <w:pStyle w:val="Grundlggendeafsnit"/>
        <w:rPr>
          <w:rFonts w:ascii="Rockwell" w:hAnsi="Rockwell"/>
        </w:rPr>
      </w:pPr>
    </w:p>
    <w:p w14:paraId="0D9A2184" w14:textId="1F95612E" w:rsidR="00FF662A" w:rsidRDefault="00E76E72" w:rsidP="002F25A5">
      <w:pPr>
        <w:pStyle w:val="Grundlggendeafsnit"/>
        <w:rPr>
          <w:rFonts w:ascii="Rockwell" w:hAnsi="Rockwell"/>
        </w:rPr>
      </w:pPr>
      <w:r>
        <w:rPr>
          <w:rFonts w:ascii="Rockwell" w:hAnsi="Rockwell"/>
        </w:rPr>
        <w:t>Der opstår et stor administrativ og bureaukratisk krav for processen til koncession.</w:t>
      </w:r>
      <w:r w:rsidR="00803440">
        <w:rPr>
          <w:rFonts w:ascii="Rockwell" w:hAnsi="Rockwell"/>
        </w:rPr>
        <w:t xml:space="preserve"> Der skal evalueres og sikres at modtagende ansvarlige departement har kapacitet til at gennemføre ansøgningsprocessen til godkendelse af koncession samt nye evaluering af forlængelse med en kort behandlingstid.</w:t>
      </w:r>
    </w:p>
    <w:p w14:paraId="44A0D178" w14:textId="77777777" w:rsidR="001E6DFD" w:rsidRDefault="001E6DFD" w:rsidP="002F25A5">
      <w:pPr>
        <w:pStyle w:val="Grundlggendeafsnit"/>
        <w:rPr>
          <w:rFonts w:ascii="Rockwell" w:hAnsi="Rockwell"/>
        </w:rPr>
      </w:pPr>
    </w:p>
    <w:p w14:paraId="0843F71F" w14:textId="77777777" w:rsidR="008E3255" w:rsidRDefault="008E3255" w:rsidP="002F25A5">
      <w:pPr>
        <w:pStyle w:val="Grundlggendeafsnit"/>
        <w:rPr>
          <w:rFonts w:ascii="Rockwell" w:hAnsi="Rockwell"/>
        </w:rPr>
      </w:pPr>
    </w:p>
    <w:p w14:paraId="65817663" w14:textId="7A173CC0" w:rsidR="00E845C8" w:rsidRDefault="00E845C8" w:rsidP="0027302B">
      <w:r>
        <w:lastRenderedPageBreak/>
        <w:t>Kommentarer til enkelte paragraffer:</w:t>
      </w:r>
    </w:p>
    <w:p w14:paraId="68828417" w14:textId="77777777" w:rsidR="00E845C8" w:rsidRDefault="00E845C8" w:rsidP="0027302B"/>
    <w:p w14:paraId="30C75E89" w14:textId="6FECABA3" w:rsidR="0027302B" w:rsidRDefault="0027302B" w:rsidP="0027302B">
      <w:r>
        <w:t>§ 2 stk. 5 g 6 – hvad er forskellen på hjemmehørende og at have folkeregister</w:t>
      </w:r>
    </w:p>
    <w:p w14:paraId="02E1D269" w14:textId="2C51BE58" w:rsidR="0027302B" w:rsidRDefault="0027302B" w:rsidP="0027302B"/>
    <w:p w14:paraId="33FED3D4" w14:textId="4DC4510C" w:rsidR="0027302B" w:rsidRDefault="0027302B" w:rsidP="0027302B">
      <w:r>
        <w:t xml:space="preserve">§3 </w:t>
      </w:r>
      <w:proofErr w:type="spellStart"/>
      <w:r>
        <w:t>stk</w:t>
      </w:r>
      <w:proofErr w:type="spellEnd"/>
      <w:r>
        <w:t xml:space="preserve"> 1. underleverandører som leverer en ydelse til klargøring af koncessionsområdet er også underlagt koncessionskrav – f.eks. tilhørskrav – betyder det f.eks. at man ikke kan bruge en udenlandsk arkitekt til udvikling af hytter/hotel?</w:t>
      </w:r>
    </w:p>
    <w:p w14:paraId="7F660A6E" w14:textId="08AB0C56" w:rsidR="0027302B" w:rsidRDefault="0027302B" w:rsidP="0027302B"/>
    <w:p w14:paraId="4756ABBE" w14:textId="1E8E6DF7" w:rsidR="0027302B" w:rsidRDefault="0027302B" w:rsidP="0027302B">
      <w:r>
        <w:t>§4 st. 5 Er det rigtigt forstået at to forskellig</w:t>
      </w:r>
      <w:r w:rsidR="00E845C8">
        <w:t>e</w:t>
      </w:r>
      <w:r>
        <w:t xml:space="preserve"> aktører kan få koncession til det samme område men med forskellige aktivitet – f.eks. ørred og skiløb</w:t>
      </w:r>
    </w:p>
    <w:p w14:paraId="2504E1C9" w14:textId="1B49BEBD" w:rsidR="0027302B" w:rsidRDefault="0027302B" w:rsidP="0027302B"/>
    <w:p w14:paraId="34CF156D" w14:textId="5F4C09B9" w:rsidR="0011343F" w:rsidRDefault="0011343F" w:rsidP="0011343F">
      <w:r>
        <w:t xml:space="preserve">§ 11 kan kommunen tildeles kompetencen uden at der skal nedsættes bedømmelsesudvalg? </w:t>
      </w:r>
      <w:proofErr w:type="spellStart"/>
      <w:r>
        <w:t>Jf</w:t>
      </w:r>
      <w:proofErr w:type="spellEnd"/>
      <w:r>
        <w:t xml:space="preserve"> §5</w:t>
      </w:r>
    </w:p>
    <w:p w14:paraId="031DE2B1" w14:textId="2C8E43AB" w:rsidR="0011343F" w:rsidRDefault="0011343F" w:rsidP="0011343F"/>
    <w:p w14:paraId="68C6C6C5" w14:textId="334FF3C2" w:rsidR="0011343F" w:rsidRDefault="0011343F" w:rsidP="0011343F">
      <w:r>
        <w:t>§ 12 uhensigtsmæssigt at koncession kan meddeles som led i en sektorplan udenom kommunens involvering og øvrige planlægning</w:t>
      </w:r>
    </w:p>
    <w:p w14:paraId="1D472754" w14:textId="10B963BE" w:rsidR="0011343F" w:rsidRDefault="0011343F" w:rsidP="0011343F"/>
    <w:p w14:paraId="4EF04384" w14:textId="26AD41C9" w:rsidR="0011343F" w:rsidRDefault="0011343F" w:rsidP="0011343F">
      <w:r>
        <w:t>§ 17/18 Det virker vidtgående at der kan fastsættes regler om rettighedshavers pligt til at gøre brug af lokal arbejdskraft og leverandør</w:t>
      </w:r>
    </w:p>
    <w:p w14:paraId="741A21F6" w14:textId="53A3D35C" w:rsidR="0011343F" w:rsidRDefault="0011343F" w:rsidP="0011343F">
      <w:r>
        <w:t xml:space="preserve">uden nærmere definition af hvad de regler indeholder eller i hvilke tilfælde de kan fastsætte dem </w:t>
      </w:r>
    </w:p>
    <w:p w14:paraId="33342FCA" w14:textId="725B09A6" w:rsidR="0011343F" w:rsidRDefault="0011343F" w:rsidP="0011343F"/>
    <w:p w14:paraId="298E1852" w14:textId="56C29485" w:rsidR="0011343F" w:rsidRDefault="0011343F" w:rsidP="0011343F">
      <w:r>
        <w:t>§ 20 – det bør følge turismeloven og bør være et ejerskab 51/49 %</w:t>
      </w:r>
    </w:p>
    <w:p w14:paraId="01EE5C93" w14:textId="77777777" w:rsidR="008725A1" w:rsidRDefault="008725A1" w:rsidP="0011343F"/>
    <w:p w14:paraId="01C88DE2" w14:textId="7D699C7A" w:rsidR="008725A1" w:rsidRDefault="008725A1" w:rsidP="0011343F">
      <w:r>
        <w:t>§22 bør ændres jf. ændring af Turismeloven</w:t>
      </w:r>
    </w:p>
    <w:p w14:paraId="57A50215" w14:textId="704DD2F1" w:rsidR="00106049" w:rsidRDefault="00106049" w:rsidP="0011343F"/>
    <w:p w14:paraId="12D56712" w14:textId="331986E8" w:rsidR="00106049" w:rsidRDefault="00106049" w:rsidP="00106049">
      <w:r>
        <w:t>Er generelt lidt forvirret omkring tildeling af kompetence til kommune ift. tildeling af koncession og tilsyn – er der ændringer her?</w:t>
      </w:r>
    </w:p>
    <w:p w14:paraId="0DC257E4" w14:textId="73B28BBC" w:rsidR="00106049" w:rsidRDefault="00106049" w:rsidP="0027302B">
      <w:bookmarkStart w:id="0" w:name="_GoBack"/>
      <w:bookmarkEnd w:id="0"/>
    </w:p>
    <w:p w14:paraId="23A79732" w14:textId="149A64DE" w:rsidR="00106049" w:rsidRDefault="00106049" w:rsidP="0027302B">
      <w:r>
        <w:t>Er lidt i tvivl om forholdet mellem koncession og turismelov</w:t>
      </w:r>
    </w:p>
    <w:p w14:paraId="56FFF24A" w14:textId="77777777" w:rsidR="0027302B" w:rsidRDefault="0027302B" w:rsidP="0027302B"/>
    <w:p w14:paraId="69425DFD" w14:textId="77777777" w:rsidR="001018DD" w:rsidRPr="00E845C8" w:rsidRDefault="001018DD" w:rsidP="001018DD">
      <w:pPr>
        <w:pStyle w:val="Grundlggendeafsnit"/>
        <w:rPr>
          <w:rFonts w:ascii="Rockwell" w:eastAsiaTheme="minorHAnsi" w:hAnsi="Rockwell"/>
          <w:b/>
          <w:sz w:val="24"/>
          <w:szCs w:val="24"/>
        </w:rPr>
      </w:pPr>
      <w:r w:rsidRPr="00E845C8">
        <w:rPr>
          <w:rFonts w:ascii="Rockwell" w:hAnsi="Rockwell"/>
          <w:b/>
          <w:sz w:val="24"/>
          <w:szCs w:val="24"/>
        </w:rPr>
        <w:t>Forvaltning for Anlæg og Miljø har følgende bemærkninger:</w:t>
      </w:r>
    </w:p>
    <w:p w14:paraId="321C9225" w14:textId="77777777" w:rsidR="001018DD" w:rsidRDefault="001018DD" w:rsidP="001018DD">
      <w:pPr>
        <w:pStyle w:val="Grundlggendeafsnit"/>
        <w:rPr>
          <w:rFonts w:ascii="Rockwell" w:hAnsi="Rockwell"/>
        </w:rPr>
      </w:pPr>
    </w:p>
    <w:p w14:paraId="0D1F6A1D" w14:textId="77777777" w:rsidR="001018DD" w:rsidRDefault="001018DD" w:rsidP="001018DD">
      <w:pPr>
        <w:pStyle w:val="Grundlggendeafsnit"/>
        <w:rPr>
          <w:rFonts w:ascii="Rockwell" w:hAnsi="Rockwell"/>
          <w:b/>
          <w:bCs/>
        </w:rPr>
      </w:pPr>
      <w:r>
        <w:rPr>
          <w:rFonts w:ascii="Rockwell" w:hAnsi="Rockwell"/>
          <w:b/>
          <w:bCs/>
        </w:rPr>
        <w:t>Kapitel 3 §4 stk. 4</w:t>
      </w:r>
    </w:p>
    <w:p w14:paraId="093697C1" w14:textId="77777777" w:rsidR="001018DD" w:rsidRDefault="001018DD" w:rsidP="001018DD">
      <w:pPr>
        <w:pStyle w:val="Grundlggendeafsnit"/>
        <w:rPr>
          <w:rFonts w:ascii="Rockwell" w:hAnsi="Rockwell"/>
        </w:rPr>
      </w:pPr>
      <w:r>
        <w:rPr>
          <w:rFonts w:ascii="Rockwell" w:hAnsi="Rockwell"/>
        </w:rPr>
        <w:t>Forvaltningen ønsker præcision ift. hvilke aktiviteter der kan tildeles koncession til samt præcision ift. tilsynspligten. Skal bestemmelsen forstås som at hvis der er tildelt koncession til topbestigning må herboende ikke bestige pågældende top sammen med besøgende familie bosat i eks. Dk?</w:t>
      </w:r>
    </w:p>
    <w:p w14:paraId="0E6889F4" w14:textId="77777777" w:rsidR="001018DD" w:rsidRDefault="001018DD" w:rsidP="001018DD">
      <w:pPr>
        <w:pStyle w:val="Grundlggendeafsnit"/>
        <w:rPr>
          <w:rFonts w:ascii="Rockwell" w:hAnsi="Rockwell"/>
        </w:rPr>
      </w:pPr>
    </w:p>
    <w:p w14:paraId="5B810A04" w14:textId="77777777" w:rsidR="001018DD" w:rsidRDefault="001018DD" w:rsidP="001018DD">
      <w:pPr>
        <w:pStyle w:val="Grundlggendeafsnit"/>
        <w:rPr>
          <w:rFonts w:ascii="Rockwell" w:hAnsi="Rockwell"/>
          <w:b/>
          <w:bCs/>
        </w:rPr>
      </w:pPr>
      <w:r>
        <w:rPr>
          <w:rFonts w:ascii="Rockwell" w:hAnsi="Rockwell"/>
          <w:b/>
          <w:bCs/>
        </w:rPr>
        <w:t>Kapitel 5 §12 stk. 2</w:t>
      </w:r>
    </w:p>
    <w:p w14:paraId="006A1406" w14:textId="77777777" w:rsidR="001018DD" w:rsidRDefault="001018DD" w:rsidP="001018DD">
      <w:pPr>
        <w:rPr>
          <w:rFonts w:ascii="Calibri" w:hAnsi="Calibri"/>
          <w:u w:val="single"/>
        </w:rPr>
      </w:pPr>
      <w:bookmarkStart w:id="1" w:name="_Hlk165714355"/>
      <w:r>
        <w:rPr>
          <w:rFonts w:ascii="Rockwell" w:hAnsi="Rockwell"/>
        </w:rPr>
        <w:t xml:space="preserve">Forvaltningen ønsker præcision til denne bestemmelse, da en sektorplan hermed er overordnet gældende lovgivning om arealanvendelse (Selvstyrets lovbekendtgørelse af </w:t>
      </w:r>
      <w:proofErr w:type="spellStart"/>
      <w:r>
        <w:rPr>
          <w:rFonts w:ascii="Rockwell" w:hAnsi="Rockwell"/>
        </w:rPr>
        <w:t>Inatsisartutlov</w:t>
      </w:r>
      <w:proofErr w:type="spellEnd"/>
      <w:r>
        <w:rPr>
          <w:rFonts w:ascii="Rockwell" w:hAnsi="Rockwell"/>
        </w:rPr>
        <w:t xml:space="preserve"> om planlægning og arealanvendelse nr. 4 af 25. januar 2024.).</w:t>
      </w:r>
    </w:p>
    <w:bookmarkEnd w:id="1"/>
    <w:p w14:paraId="008ED21F" w14:textId="77777777" w:rsidR="001018DD" w:rsidRDefault="001018DD" w:rsidP="001018DD">
      <w:pPr>
        <w:pStyle w:val="Grundlggendeafsnit"/>
        <w:rPr>
          <w:rFonts w:ascii="Rockwell" w:hAnsi="Rockwell"/>
        </w:rPr>
      </w:pPr>
      <w:r>
        <w:rPr>
          <w:rFonts w:ascii="Rockwell" w:hAnsi="Rockwell"/>
        </w:rPr>
        <w:lastRenderedPageBreak/>
        <w:t xml:space="preserve">Forvaltningen anbefaler, at der </w:t>
      </w:r>
      <w:r>
        <w:rPr>
          <w:rFonts w:ascii="Rockwell" w:hAnsi="Rockwell"/>
          <w:b/>
          <w:bCs/>
          <w:i/>
          <w:iCs/>
        </w:rPr>
        <w:t xml:space="preserve">ikke </w:t>
      </w:r>
      <w:r>
        <w:rPr>
          <w:rFonts w:ascii="Rockwell" w:hAnsi="Rockwell"/>
        </w:rPr>
        <w:t>kan udpeges koncessionsområder i en sektorplan. Forvaltningen vurderer, at arealanvendelse, herunder til koncession udelukkende kan udlægges af kommunen ved forudgående offentlig høring og godkendelse af kommunalbestyrelse. Dermed sikres udarbejdelse af lokalplansbestemmelser, såfremt der ønskes opført byggeri i forbindelse med en given koncession. Processen vil ydermere sikre den enkelte borgers oplysning om arealanvendelsen i kommuneplanen, fremfor at skulle orientere sig i forskellige sektorplaner mv.</w:t>
      </w:r>
    </w:p>
    <w:p w14:paraId="021F9BA0" w14:textId="77777777" w:rsidR="001018DD" w:rsidRDefault="001018DD" w:rsidP="001018DD">
      <w:pPr>
        <w:pStyle w:val="Grundlggendeafsnit"/>
        <w:rPr>
          <w:rFonts w:ascii="Rockwell" w:hAnsi="Rockwell"/>
        </w:rPr>
      </w:pPr>
    </w:p>
    <w:p w14:paraId="11A1F61F" w14:textId="77777777" w:rsidR="001018DD" w:rsidRDefault="001018DD" w:rsidP="001018DD">
      <w:pPr>
        <w:pStyle w:val="Grundlggendeafsnit"/>
        <w:rPr>
          <w:rFonts w:ascii="Rockwell" w:hAnsi="Rockwell"/>
        </w:rPr>
      </w:pPr>
      <w:r>
        <w:rPr>
          <w:rFonts w:ascii="Rockwell" w:hAnsi="Rockwell"/>
        </w:rPr>
        <w:t>Forvaltningen vurderer, at som bestemmelsen er formuleret i forslag til lovgivning, strider det mod den enkelte borgers mulighed for vide hvad der er planlagt i sit nærområde/ kommune.</w:t>
      </w:r>
    </w:p>
    <w:p w14:paraId="0D6BB5D0" w14:textId="77777777" w:rsidR="001018DD" w:rsidRDefault="001018DD" w:rsidP="001018DD">
      <w:pPr>
        <w:pStyle w:val="Grundlggendeafsnit"/>
        <w:rPr>
          <w:rFonts w:ascii="Rockwell" w:hAnsi="Rockwell"/>
        </w:rPr>
      </w:pPr>
    </w:p>
    <w:p w14:paraId="782AAFEC" w14:textId="77777777" w:rsidR="001018DD" w:rsidRDefault="001018DD" w:rsidP="001018DD">
      <w:pPr>
        <w:pStyle w:val="Grundlggendeafsnit"/>
        <w:rPr>
          <w:rFonts w:ascii="Rockwell" w:hAnsi="Rockwell"/>
        </w:rPr>
      </w:pPr>
      <w:r>
        <w:rPr>
          <w:rFonts w:ascii="Rockwell" w:hAnsi="Rockwell"/>
        </w:rPr>
        <w:t>Såfremt bestemmelsen ønskes fastholdt som formuleret i forslaget, ønsker forvaltningen afklaring på, om departementet dermed påtager sig myndighedsbehandling (areal- og byggesagsbehandling mv) af evt. byggeri i forbindelse med koncessionen, da der ikke vil være formuleret lokalplansbestemmelser herfor (på linje med råstof)?</w:t>
      </w:r>
    </w:p>
    <w:p w14:paraId="18ABD5E4" w14:textId="77777777" w:rsidR="001018DD" w:rsidRDefault="001018DD" w:rsidP="001018DD">
      <w:pPr>
        <w:rPr>
          <w:rFonts w:ascii="Calibri" w:hAnsi="Calibri"/>
        </w:rPr>
      </w:pPr>
    </w:p>
    <w:p w14:paraId="32CACC16" w14:textId="77777777" w:rsidR="00E845C8" w:rsidRDefault="00E845C8" w:rsidP="00E845C8">
      <w:pPr>
        <w:pStyle w:val="Grundlggendeafsnit"/>
        <w:rPr>
          <w:rFonts w:ascii="Rockwell" w:hAnsi="Rockwell"/>
        </w:rPr>
      </w:pPr>
      <w:r>
        <w:rPr>
          <w:rFonts w:ascii="Rockwell" w:hAnsi="Rockwell"/>
        </w:rPr>
        <w:t>Vi står til rådighed til videre dialog.</w:t>
      </w:r>
    </w:p>
    <w:p w14:paraId="29042429" w14:textId="77777777" w:rsidR="00E845C8" w:rsidRPr="00DB6A7F" w:rsidRDefault="00E845C8" w:rsidP="00E845C8">
      <w:pPr>
        <w:pStyle w:val="Grundlggendeafsnit"/>
        <w:rPr>
          <w:rFonts w:ascii="Rockwell" w:hAnsi="Rockwell"/>
        </w:rPr>
      </w:pPr>
    </w:p>
    <w:p w14:paraId="1EEC0D44" w14:textId="77777777" w:rsidR="00E845C8" w:rsidRPr="00D904BB" w:rsidRDefault="00E845C8" w:rsidP="00E845C8">
      <w:pPr>
        <w:pStyle w:val="Grundlggendeafsnit"/>
        <w:tabs>
          <w:tab w:val="clear" w:pos="240"/>
          <w:tab w:val="right" w:pos="1640"/>
        </w:tabs>
        <w:rPr>
          <w:rFonts w:ascii="Rockwell" w:hAnsi="Rockwell" w:cs="ZillaSlab-MediumItalic"/>
          <w:i/>
          <w:iCs/>
          <w:spacing w:val="-7"/>
        </w:rPr>
      </w:pPr>
      <w:r w:rsidRPr="00D904BB">
        <w:rPr>
          <w:rFonts w:ascii="Rockwell" w:hAnsi="Rockwell" w:cs="ZillaSlab-MediumItalic"/>
          <w:i/>
          <w:iCs/>
          <w:spacing w:val="-7"/>
        </w:rPr>
        <w:t>Med venlig hilsen</w:t>
      </w:r>
    </w:p>
    <w:p w14:paraId="60C5B168" w14:textId="77777777" w:rsidR="00E845C8" w:rsidRPr="00D904BB" w:rsidRDefault="00E845C8" w:rsidP="00E845C8">
      <w:pPr>
        <w:pStyle w:val="Grundlggendeafsnit"/>
        <w:rPr>
          <w:rFonts w:ascii="Rockwell" w:hAnsi="Rockwell" w:cs="ZillaSlab-SemiBold"/>
          <w:b/>
          <w:bCs/>
          <w:color w:val="3C3C3B"/>
        </w:rPr>
      </w:pPr>
      <w:r>
        <w:rPr>
          <w:rFonts w:ascii="Rockwell" w:hAnsi="Rockwell" w:cs="ZillaSlab-SemiBold"/>
          <w:b/>
          <w:bCs/>
          <w:color w:val="3C3C3B"/>
        </w:rPr>
        <w:t>Koncernservice, Erhvervsafdelingen</w:t>
      </w:r>
    </w:p>
    <w:p w14:paraId="1B33DC78" w14:textId="77777777" w:rsidR="00E845C8" w:rsidRDefault="00E845C8" w:rsidP="00E845C8">
      <w:pPr>
        <w:pStyle w:val="Grundlggendeafsnit"/>
        <w:rPr>
          <w:rFonts w:ascii="Rockwell" w:hAnsi="Rockwell"/>
        </w:rPr>
      </w:pPr>
      <w:r>
        <w:rPr>
          <w:rFonts w:ascii="Rockwell" w:hAnsi="Rockwell"/>
        </w:rPr>
        <w:t>Kommuneqarfik Sermersooq</w:t>
      </w:r>
      <w:r w:rsidRPr="00C07024">
        <w:rPr>
          <w:rFonts w:ascii="Rockwell" w:hAnsi="Rockwell"/>
        </w:rPr>
        <w:t xml:space="preserve"> </w:t>
      </w:r>
    </w:p>
    <w:p w14:paraId="0A0AFB64" w14:textId="77777777" w:rsidR="00B12732" w:rsidRDefault="00B12732"/>
    <w:sectPr w:rsidR="00B12732" w:rsidSect="00B61189">
      <w:headerReference w:type="even" r:id="rId11"/>
      <w:headerReference w:type="default" r:id="rId12"/>
      <w:headerReference w:type="first" r:id="rId13"/>
      <w:pgSz w:w="11900" w:h="16840"/>
      <w:pgMar w:top="1588" w:right="3111"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F8725" w14:textId="77777777" w:rsidR="003D6B55" w:rsidRDefault="003D6B55">
      <w:r>
        <w:separator/>
      </w:r>
    </w:p>
  </w:endnote>
  <w:endnote w:type="continuationSeparator" w:id="0">
    <w:p w14:paraId="5790AD40" w14:textId="77777777" w:rsidR="003D6B55" w:rsidRDefault="003D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ZillaSlab-Light">
    <w:altName w:val="Cambria"/>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ZillaSlab-SemiBol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illaSlab-Bold">
    <w:altName w:val="Cambria"/>
    <w:panose1 w:val="00000000000000000000"/>
    <w:charset w:val="4D"/>
    <w:family w:val="auto"/>
    <w:notTrueType/>
    <w:pitch w:val="default"/>
    <w:sig w:usb0="00000003" w:usb1="00000000" w:usb2="00000000" w:usb3="00000000" w:csb0="00000001" w:csb1="00000000"/>
  </w:font>
  <w:font w:name="ZillaSlab-MediumItalic">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60F7A" w14:textId="77777777" w:rsidR="003D6B55" w:rsidRDefault="003D6B55">
      <w:r>
        <w:separator/>
      </w:r>
    </w:p>
  </w:footnote>
  <w:footnote w:type="continuationSeparator" w:id="0">
    <w:p w14:paraId="1DA9791F" w14:textId="77777777" w:rsidR="003D6B55" w:rsidRDefault="003D6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296B1" w14:textId="77777777" w:rsidR="002418B0" w:rsidRDefault="002F25A5">
    <w:pPr>
      <w:pStyle w:val="Sidehoved"/>
    </w:pPr>
    <w:r>
      <w:rPr>
        <w:noProof/>
        <w:lang w:val="en-US"/>
      </w:rPr>
      <w:drawing>
        <wp:anchor distT="0" distB="0" distL="114300" distR="114300" simplePos="0" relativeHeight="251661312" behindDoc="1" locked="0" layoutInCell="1" allowOverlap="1" wp14:anchorId="08126C74" wp14:editId="45D74A0C">
          <wp:simplePos x="0" y="0"/>
          <wp:positionH relativeFrom="margin">
            <wp:align>center</wp:align>
          </wp:positionH>
          <wp:positionV relativeFrom="margin">
            <wp:align>center</wp:align>
          </wp:positionV>
          <wp:extent cx="7560310" cy="10692130"/>
          <wp:effectExtent l="0" t="0" r="2540" b="0"/>
          <wp:wrapNone/>
          <wp:docPr id="3" name="Billede 3" descr="180320_Brev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0320_Brevpa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3D6B55">
      <w:rPr>
        <w:noProof/>
        <w:lang w:val="en-US"/>
      </w:rPr>
      <w:pict w14:anchorId="6F409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170.1pt;height:340.2pt;z-index:-251657216;mso-wrap-edited:f;mso-position-horizontal:center;mso-position-horizontal-relative:margin;mso-position-vertical:center;mso-position-vertical-relative:margin" wrapcoords="15224 237 14748 285 13607 808 13511 999 12750 1760 12179 2521 12179 2759 12560 3235 7231 3425 5614 3568 5614 4234 6565 4757 7136 4805 5709 5376 5328 5566 5043 6327 5043 7184 5994 7802 8659 8563 5899 8611 3996 8992 3520 10276 4091 10847 4377 10990 8944 11608 5233 11703 2949 11941 2949 12655 3330 13131 3711 13178 3711 13369 13321 13892 2949 13987 285 14082 285 15462 1046 16223 1046 16366 2759 16889 3140 16889 7992 16889 21600 16842 21600 15129 21219 14701 21600 13987 21600 12655 17413 12417 21600 12322 21600 8421 12274 7850 21219 7802 21600 7659 21600 4567 19506 4377 14558 4044 17413 3996 20172 3663 20172 3282 20743 2521 20458 1760 19506 999 19411 808 17508 285 16937 237 15224 237">
          <v:imagedata r:id="rId2" o:title="180320_Brevpapirsvar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83BFF" w14:textId="77777777" w:rsidR="002418B0" w:rsidRDefault="002F25A5">
    <w:pPr>
      <w:pStyle w:val="Sidehoved"/>
    </w:pPr>
    <w:r>
      <w:rPr>
        <w:noProof/>
      </w:rPr>
      <w:drawing>
        <wp:anchor distT="0" distB="0" distL="114300" distR="114300" simplePos="0" relativeHeight="251663360" behindDoc="1" locked="0" layoutInCell="1" allowOverlap="1" wp14:anchorId="1C3F80F9" wp14:editId="4B439F35">
          <wp:simplePos x="0" y="0"/>
          <wp:positionH relativeFrom="column">
            <wp:posOffset>-727873</wp:posOffset>
          </wp:positionH>
          <wp:positionV relativeFrom="paragraph">
            <wp:posOffset>-454660</wp:posOffset>
          </wp:positionV>
          <wp:extent cx="7574831" cy="10706276"/>
          <wp:effectExtent l="0" t="0" r="0" b="0"/>
          <wp:wrapNone/>
          <wp:docPr id="2" name="Billede 2" descr="Forvaltning:TAK:AKNI:Kommunikation:majl:Design:171107_Ny designmanual:00_Skabeloner:00_Brevpapir:180320_Brevpapir_Konc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Forvaltning:TAK:AKNI:Kommunikation:majl:Design:171107_Ny designmanual:00_Skabeloner:00_Brevpapir:180320_Brevpapir_Koncern.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4831" cy="107062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B7F27" w14:textId="77777777" w:rsidR="002418B0" w:rsidRDefault="002F25A5">
    <w:pPr>
      <w:pStyle w:val="Sidehoved"/>
    </w:pPr>
    <w:r>
      <w:rPr>
        <w:noProof/>
        <w:lang w:val="en-US"/>
      </w:rPr>
      <w:drawing>
        <wp:anchor distT="0" distB="0" distL="114300" distR="114300" simplePos="0" relativeHeight="251662336" behindDoc="1" locked="0" layoutInCell="1" allowOverlap="1" wp14:anchorId="7C3F8A6B" wp14:editId="2CAE26BB">
          <wp:simplePos x="0" y="0"/>
          <wp:positionH relativeFrom="margin">
            <wp:align>center</wp:align>
          </wp:positionH>
          <wp:positionV relativeFrom="margin">
            <wp:align>center</wp:align>
          </wp:positionV>
          <wp:extent cx="7560310" cy="10692130"/>
          <wp:effectExtent l="0" t="0" r="2540" b="0"/>
          <wp:wrapNone/>
          <wp:docPr id="1" name="Billede 1" descr="180320_Brev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0320_Brevpa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3D6B55">
      <w:rPr>
        <w:noProof/>
        <w:lang w:val="en-US"/>
      </w:rPr>
      <w:pict w14:anchorId="30109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170.1pt;height:340.2pt;z-index:-251656192;mso-wrap-edited:f;mso-position-horizontal:center;mso-position-horizontal-relative:margin;mso-position-vertical:center;mso-position-vertical-relative:margin" wrapcoords="15224 237 14748 285 13607 808 13511 999 12750 1760 12179 2521 12179 2759 12560 3235 7231 3425 5614 3568 5614 4234 6565 4757 7136 4805 5709 5376 5328 5566 5043 6327 5043 7184 5994 7802 8659 8563 5899 8611 3996 8992 3520 10276 4091 10847 4377 10990 8944 11608 5233 11703 2949 11941 2949 12655 3330 13131 3711 13178 3711 13369 13321 13892 2949 13987 285 14082 285 15462 1046 16223 1046 16366 2759 16889 3140 16889 7992 16889 21600 16842 21600 15129 21219 14701 21600 13987 21600 12655 17413 12417 21600 12322 21600 8421 12274 7850 21219 7802 21600 7659 21600 4567 19506 4377 14558 4044 17413 3996 20172 3663 20172 3282 20743 2521 20458 1760 19506 999 19411 808 17508 285 16937 237 15224 237">
          <v:imagedata r:id="rId2" o:title="180320_Brevpapirsvar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C77A5"/>
    <w:multiLevelType w:val="hybridMultilevel"/>
    <w:tmpl w:val="1FD6B53C"/>
    <w:lvl w:ilvl="0" w:tplc="05201000">
      <w:numFmt w:val="bullet"/>
      <w:lvlText w:val="-"/>
      <w:lvlJc w:val="left"/>
      <w:pPr>
        <w:ind w:left="720" w:hanging="360"/>
      </w:pPr>
      <w:rPr>
        <w:rFonts w:ascii="Rockwell" w:eastAsiaTheme="minorEastAsia" w:hAnsi="Rockwell" w:cs="ZillaSlab-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FDA3667"/>
    <w:multiLevelType w:val="hybridMultilevel"/>
    <w:tmpl w:val="BA0CDA8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4772008"/>
    <w:multiLevelType w:val="hybridMultilevel"/>
    <w:tmpl w:val="394EBB5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86A4045"/>
    <w:multiLevelType w:val="hybridMultilevel"/>
    <w:tmpl w:val="20B6425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EF377D9"/>
    <w:multiLevelType w:val="hybridMultilevel"/>
    <w:tmpl w:val="60D66E14"/>
    <w:lvl w:ilvl="0" w:tplc="F848893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28219D6"/>
    <w:multiLevelType w:val="hybridMultilevel"/>
    <w:tmpl w:val="20B6425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0FB13DF"/>
    <w:multiLevelType w:val="hybridMultilevel"/>
    <w:tmpl w:val="EE76E5F8"/>
    <w:lvl w:ilvl="0" w:tplc="04060017">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A5"/>
    <w:rsid w:val="00051354"/>
    <w:rsid w:val="001018DD"/>
    <w:rsid w:val="00106049"/>
    <w:rsid w:val="0011343F"/>
    <w:rsid w:val="00126A30"/>
    <w:rsid w:val="001E6DFD"/>
    <w:rsid w:val="00217A75"/>
    <w:rsid w:val="002375D4"/>
    <w:rsid w:val="0024556A"/>
    <w:rsid w:val="0027302B"/>
    <w:rsid w:val="002F25A5"/>
    <w:rsid w:val="003B5E3D"/>
    <w:rsid w:val="003D6B55"/>
    <w:rsid w:val="0058408D"/>
    <w:rsid w:val="0065318F"/>
    <w:rsid w:val="0073068D"/>
    <w:rsid w:val="0078267F"/>
    <w:rsid w:val="00783040"/>
    <w:rsid w:val="00803440"/>
    <w:rsid w:val="008725A1"/>
    <w:rsid w:val="008C7A0E"/>
    <w:rsid w:val="008E3255"/>
    <w:rsid w:val="00976F0B"/>
    <w:rsid w:val="00AD1527"/>
    <w:rsid w:val="00B12732"/>
    <w:rsid w:val="00B369AB"/>
    <w:rsid w:val="00B66A0A"/>
    <w:rsid w:val="00CD26A3"/>
    <w:rsid w:val="00CF30BF"/>
    <w:rsid w:val="00D329DA"/>
    <w:rsid w:val="00D5693C"/>
    <w:rsid w:val="00E76E72"/>
    <w:rsid w:val="00E845C8"/>
    <w:rsid w:val="00ED3C7F"/>
    <w:rsid w:val="00EF42AF"/>
    <w:rsid w:val="00F45FC0"/>
    <w:rsid w:val="00FF66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E0291A"/>
  <w15:chartTrackingRefBased/>
  <w15:docId w15:val="{3C12E836-2FAB-4FA9-80EE-0E5B64EA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5A5"/>
    <w:pPr>
      <w:spacing w:after="0" w:line="240" w:lineRule="auto"/>
    </w:pPr>
    <w:rPr>
      <w:rFonts w:eastAsiaTheme="minorEastAsia"/>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Grundlggendeafsnit">
    <w:name w:val="[Grundlæggende afsnit]"/>
    <w:basedOn w:val="Normal"/>
    <w:uiPriority w:val="99"/>
    <w:rsid w:val="002F25A5"/>
    <w:pPr>
      <w:widowControl w:val="0"/>
      <w:tabs>
        <w:tab w:val="left" w:pos="240"/>
      </w:tabs>
      <w:autoSpaceDE w:val="0"/>
      <w:autoSpaceDN w:val="0"/>
      <w:adjustRightInd w:val="0"/>
      <w:spacing w:line="288" w:lineRule="auto"/>
      <w:textAlignment w:val="center"/>
    </w:pPr>
    <w:rPr>
      <w:rFonts w:ascii="ZillaSlab-Light" w:hAnsi="ZillaSlab-Light" w:cs="ZillaSlab-Light"/>
      <w:color w:val="000000"/>
      <w:sz w:val="22"/>
      <w:szCs w:val="22"/>
    </w:rPr>
  </w:style>
  <w:style w:type="paragraph" w:styleId="Sidehoved">
    <w:name w:val="header"/>
    <w:basedOn w:val="Normal"/>
    <w:link w:val="SidehovedTegn"/>
    <w:uiPriority w:val="99"/>
    <w:unhideWhenUsed/>
    <w:rsid w:val="002F25A5"/>
    <w:pPr>
      <w:tabs>
        <w:tab w:val="center" w:pos="4819"/>
        <w:tab w:val="right" w:pos="9638"/>
      </w:tabs>
    </w:pPr>
  </w:style>
  <w:style w:type="character" w:customStyle="1" w:styleId="SidehovedTegn">
    <w:name w:val="Sidehoved Tegn"/>
    <w:basedOn w:val="Standardskrifttypeiafsnit"/>
    <w:link w:val="Sidehoved"/>
    <w:uiPriority w:val="99"/>
    <w:rsid w:val="002F25A5"/>
    <w:rPr>
      <w:rFonts w:eastAsiaTheme="minorEastAsia"/>
      <w:sz w:val="24"/>
      <w:szCs w:val="24"/>
      <w:lang w:eastAsia="da-DK"/>
    </w:rPr>
  </w:style>
  <w:style w:type="paragraph" w:styleId="Listeafsnit">
    <w:name w:val="List Paragraph"/>
    <w:basedOn w:val="Normal"/>
    <w:uiPriority w:val="34"/>
    <w:qFormat/>
    <w:rsid w:val="00106049"/>
    <w:pPr>
      <w:spacing w:after="160" w:line="259" w:lineRule="auto"/>
      <w:ind w:left="720"/>
      <w:contextualSpacing/>
    </w:pPr>
    <w:rPr>
      <w:rFonts w:eastAsiaTheme="minorHAns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98982">
      <w:bodyDiv w:val="1"/>
      <w:marLeft w:val="0"/>
      <w:marRight w:val="0"/>
      <w:marTop w:val="0"/>
      <w:marBottom w:val="0"/>
      <w:divBdr>
        <w:top w:val="none" w:sz="0" w:space="0" w:color="auto"/>
        <w:left w:val="none" w:sz="0" w:space="0" w:color="auto"/>
        <w:bottom w:val="none" w:sz="0" w:space="0" w:color="auto"/>
        <w:right w:val="none" w:sz="0" w:space="0" w:color="auto"/>
      </w:divBdr>
    </w:div>
    <w:div w:id="189623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54E5E47DC47244C8046B9831A33E716" ma:contentTypeVersion="18" ma:contentTypeDescription="Opret et nyt dokument." ma:contentTypeScope="" ma:versionID="6642118b98fc69442041189c8b3adca1">
  <xsd:schema xmlns:xsd="http://www.w3.org/2001/XMLSchema" xmlns:xs="http://www.w3.org/2001/XMLSchema" xmlns:p="http://schemas.microsoft.com/office/2006/metadata/properties" xmlns:ns3="626f0863-7f15-4d87-a68b-e12ad9fc1866" xmlns:ns4="d7bd3f76-47cc-4d2d-a559-f527c4948e7d" targetNamespace="http://schemas.microsoft.com/office/2006/metadata/properties" ma:root="true" ma:fieldsID="3d0b3c253060b65d5e3436bdb1976439" ns3:_="" ns4:_="">
    <xsd:import namespace="626f0863-7f15-4d87-a68b-e12ad9fc1866"/>
    <xsd:import namespace="d7bd3f76-47cc-4d2d-a559-f527c4948e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f0863-7f15-4d87-a68b-e12ad9fc1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bd3f76-47cc-4d2d-a559-f527c4948e7d"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SharingHintHash" ma:index="16"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26f0863-7f15-4d87-a68b-e12ad9fc1866" xsi:nil="true"/>
  </documentManagement>
</p:properties>
</file>

<file path=customXml/itemProps1.xml><?xml version="1.0" encoding="utf-8"?>
<ds:datastoreItem xmlns:ds="http://schemas.openxmlformats.org/officeDocument/2006/customXml" ds:itemID="{E89AF94C-28A1-42AD-9FBE-9C0A0E88B838}">
  <ds:schemaRefs>
    <ds:schemaRef ds:uri="http://schemas.microsoft.com/sharepoint/v3/contenttype/forms"/>
  </ds:schemaRefs>
</ds:datastoreItem>
</file>

<file path=customXml/itemProps2.xml><?xml version="1.0" encoding="utf-8"?>
<ds:datastoreItem xmlns:ds="http://schemas.openxmlformats.org/officeDocument/2006/customXml" ds:itemID="{ECF3C446-53C7-4BD9-809E-6D5D6D5CA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f0863-7f15-4d87-a68b-e12ad9fc1866"/>
    <ds:schemaRef ds:uri="d7bd3f76-47cc-4d2d-a559-f527c4948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9D9048-862A-4659-B3ED-14B694B18B75}">
  <ds:schemaRefs>
    <ds:schemaRef ds:uri="http://schemas.microsoft.com/office/2006/metadata/properties"/>
    <ds:schemaRef ds:uri="http://schemas.microsoft.com/office/infopath/2007/PartnerControls"/>
    <ds:schemaRef ds:uri="626f0863-7f15-4d87-a68b-e12ad9fc186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3975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Nissen</dc:creator>
  <cp:keywords/>
  <dc:description/>
  <cp:lastModifiedBy>Mads-Daniel Skifte</cp:lastModifiedBy>
  <cp:revision>2</cp:revision>
  <dcterms:created xsi:type="dcterms:W3CDTF">2024-05-29T14:13:00Z</dcterms:created>
  <dcterms:modified xsi:type="dcterms:W3CDTF">2024-05-29T14:13:00Z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0x010100F54E5E47DC47244C8046B9831A33E716</vt:lpwstr>
  </property>
</Properties>
</file>