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B3968" w14:textId="77D288B0" w:rsidR="00565C65" w:rsidRPr="00FE527F" w:rsidRDefault="00352136" w:rsidP="00565C65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  <w:r>
        <w:rPr>
          <w:lang w:val="en-US"/>
        </w:rPr>
        <w:t>31</w:t>
      </w:r>
      <w:r w:rsidR="00FE527F" w:rsidRPr="00FE527F">
        <w:rPr>
          <w:lang w:val="en-US"/>
        </w:rPr>
        <w:t>-05-2024</w:t>
      </w:r>
    </w:p>
    <w:p w14:paraId="5C660885" w14:textId="77777777" w:rsidR="00565C65" w:rsidRPr="00CB2A5A" w:rsidRDefault="00FE527F" w:rsidP="00565C65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  <w:r>
        <w:rPr>
          <w:lang w:val="en-US"/>
        </w:rPr>
        <w:t>Sags nr.: 2024 - 9180</w:t>
      </w:r>
      <w:r w:rsidR="00565C65" w:rsidRPr="00CB2A5A">
        <w:rPr>
          <w:lang w:val="en-US"/>
        </w:rPr>
        <w:t xml:space="preserve">  </w:t>
      </w:r>
    </w:p>
    <w:p w14:paraId="5161C9EE" w14:textId="77777777" w:rsidR="00565C65" w:rsidRPr="00FE527F" w:rsidRDefault="00CB2A5A" w:rsidP="00565C65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  <w:r w:rsidRPr="00CB2A5A">
        <w:rPr>
          <w:lang w:val="en-US"/>
        </w:rPr>
        <w:t xml:space="preserve">Dok. nr. </w:t>
      </w:r>
      <w:r w:rsidR="00FE527F">
        <w:rPr>
          <w:lang w:val="en-US"/>
        </w:rPr>
        <w:t>24138395</w:t>
      </w:r>
      <w:r w:rsidR="00565C65" w:rsidRPr="00FE527F">
        <w:rPr>
          <w:lang w:val="en-US"/>
        </w:rPr>
        <w:t xml:space="preserve"> </w:t>
      </w:r>
    </w:p>
    <w:p w14:paraId="2F8C93B7" w14:textId="77777777" w:rsidR="00465A30" w:rsidRPr="00FE527F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  <w:r w:rsidRPr="00FE527F">
        <w:rPr>
          <w:lang w:val="en-US"/>
        </w:rPr>
        <w:t xml:space="preserve"> </w:t>
      </w:r>
    </w:p>
    <w:p w14:paraId="3F0BAEAB" w14:textId="77777777" w:rsidR="00465A30" w:rsidRPr="00FE527F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</w:p>
    <w:p w14:paraId="3E38B222" w14:textId="77777777" w:rsidR="00465A30" w:rsidRPr="007C7BAB" w:rsidRDefault="006F1E1D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  <w:proofErr w:type="spellStart"/>
      <w:r w:rsidRPr="00AB7F38">
        <w:rPr>
          <w:lang w:val="en-US"/>
        </w:rPr>
        <w:t>Postboks</w:t>
      </w:r>
      <w:proofErr w:type="spellEnd"/>
      <w:r w:rsidRPr="00AB7F38">
        <w:rPr>
          <w:lang w:val="en-US"/>
        </w:rPr>
        <w:t xml:space="preserve"> 909</w:t>
      </w:r>
      <w:r w:rsidRPr="00AB7F38">
        <w:rPr>
          <w:lang w:val="en-US"/>
        </w:rPr>
        <w:br/>
      </w:r>
      <w:r w:rsidR="005D1690">
        <w:rPr>
          <w:lang w:val="en-US"/>
        </w:rPr>
        <w:t>3900 Nuuk</w:t>
      </w:r>
      <w:r w:rsidR="005D1690">
        <w:rPr>
          <w:lang w:val="en-US"/>
        </w:rPr>
        <w:br/>
      </w:r>
      <w:proofErr w:type="spellStart"/>
      <w:r w:rsidR="005D1690">
        <w:rPr>
          <w:lang w:val="en-US"/>
        </w:rPr>
        <w:t>Tlf</w:t>
      </w:r>
      <w:proofErr w:type="spellEnd"/>
      <w:r w:rsidR="005D1690">
        <w:rPr>
          <w:lang w:val="en-US"/>
        </w:rPr>
        <w:t>.: (+299) 34 50 00</w:t>
      </w:r>
      <w:r w:rsidRPr="00AB7F38">
        <w:rPr>
          <w:lang w:val="en-US"/>
        </w:rPr>
        <w:br/>
        <w:t xml:space="preserve">E-mail: </w:t>
      </w:r>
      <w:r w:rsidR="005D1690">
        <w:rPr>
          <w:lang w:val="en-US"/>
        </w:rPr>
        <w:t>box909</w:t>
      </w:r>
      <w:r w:rsidRPr="00AB7F38">
        <w:rPr>
          <w:lang w:val="en-US"/>
        </w:rPr>
        <w:t>@nanoq.gl</w:t>
      </w:r>
      <w:r w:rsidRPr="00AB7F38">
        <w:rPr>
          <w:lang w:val="en-US"/>
        </w:rPr>
        <w:br/>
      </w:r>
      <w:r w:rsidRPr="007C7BAB">
        <w:rPr>
          <w:lang w:val="en-US"/>
        </w:rPr>
        <w:t>www.naalakkersuisut.gl</w:t>
      </w:r>
    </w:p>
    <w:p w14:paraId="20169E4A" w14:textId="77777777" w:rsidR="00465A30" w:rsidRPr="007C7BAB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</w:p>
    <w:p w14:paraId="1EC351DB" w14:textId="77777777" w:rsidR="00465A30" w:rsidRPr="007C7BAB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465A30" w:rsidRPr="003B779A" w14:paraId="327BDBC0" w14:textId="77777777" w:rsidTr="00EE48FC">
        <w:trPr>
          <w:trHeight w:val="2552"/>
        </w:trPr>
        <w:tc>
          <w:tcPr>
            <w:tcW w:w="7825" w:type="dxa"/>
          </w:tcPr>
          <w:p w14:paraId="4627F149" w14:textId="03AC25BB" w:rsidR="00465A30" w:rsidRPr="00352136" w:rsidRDefault="00000000" w:rsidP="00171D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(Modtagere) Navn 1"/>
                <w:id w:val="2070769747"/>
                <w:placeholder>
                  <w:docPart w:val="4B76DC81B92140B0A54DC3010D0F5805"/>
                </w:placeholder>
                <w:dataBinding w:prefixMappings="xmlns:ns0='Captia'" w:xpath="/ns0:Root[1]/ns0:address/ns0:Content[@id='name:name1']/ns0:Value[1]" w:storeItemID="{4E58D8CC-2510-4C5E-8403-B5C46FC56E19}"/>
                <w:text/>
              </w:sdtPr>
              <w:sdtContent>
                <w:r w:rsidR="00194FBA" w:rsidRPr="00352136">
                  <w:rPr>
                    <w:rFonts w:ascii="Arial" w:hAnsi="Arial" w:cs="Arial"/>
                    <w:sz w:val="20"/>
                    <w:szCs w:val="20"/>
                  </w:rPr>
                  <w:t>Departementet for Erhverv, Handel, Råstoffer, Justitsområdet og Ligestilling</w:t>
                </w:r>
              </w:sdtContent>
            </w:sdt>
            <w:r w:rsidR="00465A30" w:rsidRPr="0035213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(Modtagere) Navn 2"/>
                <w:id w:val="-985776027"/>
                <w:placeholder>
                  <w:docPart w:val="7D3656FEB66B43F08F5826B0CE3B81D0"/>
                </w:placeholder>
                <w:showingPlcHdr/>
                <w:dataBinding w:prefixMappings="xmlns:ns0='Captia'" w:xpath="/ns0:Root[1]/ns0:address/ns0:Content[@id='name:name2']/ns0:Value[1]" w:storeItemID="{4E58D8CC-2510-4C5E-8403-B5C46FC56E19}"/>
                <w:text/>
              </w:sdtPr>
              <w:sdtContent>
                <w:r w:rsidR="00465A30" w:rsidRPr="00352136">
                  <w:rPr>
                    <w:rStyle w:val="Pladsholdertekst"/>
                    <w:rFonts w:ascii="Arial" w:hAnsi="Arial" w:cs="Arial"/>
                    <w:sz w:val="20"/>
                    <w:szCs w:val="20"/>
                  </w:rPr>
                  <w:t>[Navn 2]</w:t>
                </w:r>
              </w:sdtContent>
            </w:sdt>
          </w:p>
          <w:p w14:paraId="0560563D" w14:textId="53AC8E9B" w:rsidR="00465A30" w:rsidRPr="00352136" w:rsidRDefault="00000000" w:rsidP="00171D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(Modtagere) Adresse 1"/>
                <w:id w:val="-2016906168"/>
                <w:placeholder>
                  <w:docPart w:val="57C4BA2911F24B98A2B3D0897C17B2C9"/>
                </w:placeholder>
                <w:dataBinding w:prefixMappings="xmlns:ns0='Captia'" w:xpath="/ns0:Root[1]/ns0:address/ns0:Content[@id='address1']/ns0:Value[1]" w:storeItemID="{4E58D8CC-2510-4C5E-8403-B5C46FC56E19}"/>
                <w:text/>
              </w:sdtPr>
              <w:sdtContent>
                <w:proofErr w:type="spellStart"/>
                <w:r w:rsidR="009B1365" w:rsidRPr="00352136">
                  <w:rPr>
                    <w:rFonts w:ascii="Arial" w:hAnsi="Arial" w:cs="Arial"/>
                    <w:sz w:val="20"/>
                    <w:szCs w:val="20"/>
                  </w:rPr>
                  <w:t>Att</w:t>
                </w:r>
                <w:proofErr w:type="spellEnd"/>
                <w:r w:rsidR="009B1365" w:rsidRPr="00352136">
                  <w:rPr>
                    <w:rFonts w:ascii="Arial" w:hAnsi="Arial" w:cs="Arial"/>
                    <w:sz w:val="20"/>
                    <w:szCs w:val="20"/>
                  </w:rPr>
                  <w:t>: Kathrine Ødegård</w:t>
                </w:r>
              </w:sdtContent>
            </w:sdt>
          </w:p>
          <w:p w14:paraId="5BD91808" w14:textId="2BB011F5" w:rsidR="009B1365" w:rsidRPr="00352136" w:rsidRDefault="009B1365" w:rsidP="00171D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52136">
              <w:rPr>
                <w:rFonts w:ascii="Arial" w:hAnsi="Arial" w:cs="Arial"/>
                <w:sz w:val="20"/>
                <w:szCs w:val="20"/>
              </w:rPr>
              <w:t>isiin@nanoq.gl med kopi til odka@nanoq.gl</w:t>
            </w:r>
          </w:p>
        </w:tc>
      </w:tr>
      <w:tr w:rsidR="00465A30" w:rsidRPr="00171DDA" w14:paraId="163E7995" w14:textId="77777777" w:rsidTr="00EE48FC">
        <w:tc>
          <w:tcPr>
            <w:tcW w:w="7825" w:type="dxa"/>
          </w:tcPr>
          <w:p w14:paraId="447A4C01" w14:textId="77777777" w:rsidR="00465A30" w:rsidRPr="00352136" w:rsidRDefault="00000000" w:rsidP="00171DD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alias w:val="(Dokumenter) Titel"/>
                <w:id w:val="851538291"/>
                <w:placeholder>
                  <w:docPart w:val="79EE7187B29F441891042FA3CDADDA0A"/>
                </w:placeholder>
                <w:dataBinding w:prefixMappings="xmlns:ns0='Captia'" w:xpath="/ns0:Root[1]/ns0:record/ns0:Content[@id='title']/ns0:Value[1]" w:storeItemID="{4E58D8CC-2510-4C5E-8403-B5C46FC56E19}"/>
                <w:text/>
              </w:sdtPr>
              <w:sdtContent>
                <w:r w:rsidR="00B3560E" w:rsidRPr="00352136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Departementet for Boliger og Infrastrukturs høringssvar til ”</w:t>
                </w:r>
              </w:sdtContent>
            </w:sdt>
            <w:r w:rsidR="00B3560E" w:rsidRPr="00352136">
              <w:rPr>
                <w:rFonts w:ascii="Arial" w:hAnsi="Arial" w:cs="Arial"/>
                <w:b/>
                <w:bCs/>
                <w:sz w:val="24"/>
                <w:szCs w:val="24"/>
              </w:rPr>
              <w:t>Forslag til: Inatsisartutlov om koncession til turistvirksomhed i udvalgte områder”</w:t>
            </w:r>
          </w:p>
          <w:p w14:paraId="1D350646" w14:textId="30FCECE6" w:rsidR="00B3560E" w:rsidRPr="00352136" w:rsidRDefault="00B3560E" w:rsidP="00171DD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7D12761" w14:textId="77777777" w:rsidR="00352136" w:rsidRDefault="00352136" w:rsidP="00352136">
      <w:pPr>
        <w:spacing w:after="160" w:line="360" w:lineRule="auto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</w:p>
    <w:p w14:paraId="268E4110" w14:textId="30D7F8D3" w:rsidR="00B3560E" w:rsidRDefault="00B3560E" w:rsidP="00352136">
      <w:pPr>
        <w:spacing w:after="160" w:line="360" w:lineRule="auto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  <w:r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Departementet for Boliger og Infrastruktur vil gerne takke for muligheden for at fremkomme med høringssvar til </w:t>
      </w:r>
      <w:r w:rsidRPr="00B3560E">
        <w:rPr>
          <w:rFonts w:ascii="Arial" w:eastAsia="Calibri" w:hAnsi="Arial" w:cs="Arial"/>
          <w:i/>
          <w:iCs/>
          <w:kern w:val="2"/>
          <w:sz w:val="20"/>
          <w:szCs w:val="20"/>
          <w14:ligatures w14:val="standardContextual"/>
        </w:rPr>
        <w:t>”Forslag til: Inatsisartutlov om koncession til turistvirksomhed i udvalgte områder”</w:t>
      </w:r>
      <w:r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 og bemærkninger til lovforslaget. Departementet modtog høringsmaterialet den 29. april 2024 og med frist for fremsendelse af høringssvar fastsat til den 28. maj 2024. </w:t>
      </w:r>
      <w:r w:rsidR="00352136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Det forsinkede høringssvar beklages. </w:t>
      </w:r>
    </w:p>
    <w:p w14:paraId="15BCE8A8" w14:textId="77777777" w:rsidR="00352136" w:rsidRDefault="00352136" w:rsidP="00352136">
      <w:pPr>
        <w:spacing w:after="160" w:line="360" w:lineRule="auto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</w:p>
    <w:p w14:paraId="3B036D91" w14:textId="1FF21EA4" w:rsidR="00B3560E" w:rsidRPr="00B3560E" w:rsidRDefault="00B3560E" w:rsidP="00352136">
      <w:pPr>
        <w:spacing w:after="160" w:line="360" w:lineRule="auto"/>
        <w:rPr>
          <w:rFonts w:ascii="Arial" w:eastAsia="Calibri" w:hAnsi="Arial" w:cs="Arial"/>
          <w:i/>
          <w:iCs/>
          <w:kern w:val="2"/>
          <w:sz w:val="20"/>
          <w:szCs w:val="20"/>
          <w14:ligatures w14:val="standardContextual"/>
        </w:rPr>
      </w:pPr>
      <w:r w:rsidRPr="00B3560E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Departementet for Boliger og Infrastruktur bemærker, at </w:t>
      </w:r>
      <w:r w:rsidRPr="00B3560E">
        <w:rPr>
          <w:rFonts w:ascii="Arial" w:eastAsia="Calibri" w:hAnsi="Arial" w:cs="Arial"/>
          <w:i/>
          <w:iCs/>
          <w:kern w:val="2"/>
          <w:sz w:val="20"/>
          <w:szCs w:val="20"/>
          <w14:ligatures w14:val="standardContextual"/>
        </w:rPr>
        <w:t xml:space="preserve">”Forslag til: Inatsisartutlov om koncession til turistvirksomhed i udvalgte områder” </w:t>
      </w:r>
      <w:r w:rsidRPr="00B3560E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i vidt omfang svarer til den gældende</w:t>
      </w:r>
      <w:r w:rsidRPr="00B3560E">
        <w:rPr>
          <w:rFonts w:ascii="Arial" w:eastAsia="Calibri" w:hAnsi="Arial" w:cs="Arial"/>
          <w:i/>
          <w:iCs/>
          <w:kern w:val="2"/>
          <w:sz w:val="20"/>
          <w:szCs w:val="20"/>
          <w14:ligatures w14:val="standardContextual"/>
        </w:rPr>
        <w:t xml:space="preserve"> ”Inatsisartutlov om koncession til turistvirksomhed i udvalgte landområder”.</w:t>
      </w:r>
    </w:p>
    <w:p w14:paraId="1EC007EC" w14:textId="77777777" w:rsidR="00B3560E" w:rsidRDefault="00B3560E" w:rsidP="00352136">
      <w:pPr>
        <w:spacing w:after="160" w:line="360" w:lineRule="auto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  <w:r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Nedenstående høringssvar vil alene gå </w:t>
      </w:r>
      <w:r w:rsidRPr="00B3560E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i dybden med lovforslaget, for så vidt bestemmelserne </w:t>
      </w:r>
      <w:r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i lovforslaget adskiller sig fra den gældende lov</w:t>
      </w:r>
      <w:r w:rsidRPr="00B3560E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. </w:t>
      </w:r>
    </w:p>
    <w:p w14:paraId="41415769" w14:textId="18D786E9" w:rsidR="00F4208B" w:rsidRPr="00F4208B" w:rsidRDefault="00B3560E" w:rsidP="00352136">
      <w:pPr>
        <w:spacing w:after="160" w:line="360" w:lineRule="auto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  <w:r w:rsidRPr="00F4208B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Departementet har dog tilføjet en række </w:t>
      </w:r>
      <w:r w:rsidR="00F4208B" w:rsidRPr="00F4208B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tekstnære </w:t>
      </w:r>
      <w:r w:rsidRPr="00F4208B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kommentarer </w:t>
      </w:r>
      <w:r w:rsidR="00F4208B" w:rsidRPr="00F4208B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i dokumentet </w:t>
      </w:r>
      <w:r w:rsidRPr="00F4208B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med lovforslag</w:t>
      </w:r>
      <w:r w:rsidR="00F4208B" w:rsidRPr="00F4208B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et</w:t>
      </w:r>
      <w:r w:rsidRPr="00F4208B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, herunder i relation til bestemmelser, der </w:t>
      </w:r>
      <w:r w:rsidR="00F4208B" w:rsidRPr="00F4208B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i lovforslaget er videreført fra den gældende lov. </w:t>
      </w:r>
      <w:r w:rsidR="00F4208B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K</w:t>
      </w:r>
      <w:r w:rsidR="00F4208B" w:rsidRPr="00F4208B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ommentarer</w:t>
      </w:r>
      <w:r w:rsidR="00F4208B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ne</w:t>
      </w:r>
      <w:r w:rsidR="00F4208B" w:rsidRPr="00F4208B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 sigter til at forbedre lovforslaget </w:t>
      </w:r>
      <w:r w:rsidR="00ED44EF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i sin</w:t>
      </w:r>
      <w:r w:rsidR="00F4208B" w:rsidRPr="00F4208B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 helhed.</w:t>
      </w:r>
    </w:p>
    <w:p w14:paraId="292E2DF3" w14:textId="77777777" w:rsidR="00352136" w:rsidRDefault="00352136" w:rsidP="00352136">
      <w:pPr>
        <w:spacing w:after="160" w:line="360" w:lineRule="auto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</w:p>
    <w:p w14:paraId="5917C25F" w14:textId="1F5F618D" w:rsidR="00ED44EF" w:rsidRPr="00ED44EF" w:rsidRDefault="00B3560E" w:rsidP="00352136">
      <w:pPr>
        <w:spacing w:after="160" w:line="360" w:lineRule="auto"/>
        <w:rPr>
          <w:rFonts w:ascii="Arial" w:eastAsia="Calibri" w:hAnsi="Arial" w:cs="Arial"/>
          <w:i/>
          <w:iCs/>
          <w:kern w:val="2"/>
          <w:sz w:val="20"/>
          <w:szCs w:val="20"/>
          <w14:ligatures w14:val="standardContextual"/>
        </w:rPr>
      </w:pPr>
      <w:r w:rsidRPr="00B3560E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Departementet bemærker, at </w:t>
      </w:r>
      <w:r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d</w:t>
      </w:r>
      <w:r w:rsidRPr="00B3560E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efinitionerne i lovforslagets § 2, er mere fyldestgørende end den gældende lovs § 3. Departementet anser det i denne sammenhæng for </w:t>
      </w:r>
      <w:r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gavnligt</w:t>
      </w:r>
      <w:r w:rsidRPr="00B3560E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, at lovforslagets § 2 stemmer overens med </w:t>
      </w:r>
      <w:r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definitionerne i </w:t>
      </w:r>
      <w:r w:rsidR="00ED44EF" w:rsidRPr="00ED44EF">
        <w:rPr>
          <w:rFonts w:ascii="Arial" w:eastAsia="Calibri" w:hAnsi="Arial" w:cs="Arial"/>
          <w:i/>
          <w:iCs/>
          <w:kern w:val="2"/>
          <w:sz w:val="20"/>
          <w:szCs w:val="20"/>
          <w14:ligatures w14:val="standardContextual"/>
        </w:rPr>
        <w:t>”Forslag til: Inatsisartutlov om turistvirksomhed, om zoneinddeling m.v. for erhvervsmæssig virksomhed og begrænsning i adgang til visse områder”</w:t>
      </w:r>
      <w:r w:rsidR="00ED44EF">
        <w:rPr>
          <w:rFonts w:ascii="Arial" w:eastAsia="Calibri" w:hAnsi="Arial" w:cs="Arial"/>
          <w:i/>
          <w:iCs/>
          <w:kern w:val="2"/>
          <w:sz w:val="20"/>
          <w:szCs w:val="20"/>
          <w14:ligatures w14:val="standardContextual"/>
        </w:rPr>
        <w:t>.</w:t>
      </w:r>
    </w:p>
    <w:p w14:paraId="5DBFADB2" w14:textId="77777777" w:rsidR="00832350" w:rsidRDefault="00832350" w:rsidP="00352136">
      <w:pPr>
        <w:spacing w:after="160" w:line="360" w:lineRule="auto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</w:p>
    <w:p w14:paraId="0ADC23E8" w14:textId="02B121A5" w:rsidR="00832350" w:rsidRPr="00832350" w:rsidRDefault="00832350" w:rsidP="00352136">
      <w:pPr>
        <w:spacing w:after="160" w:line="360" w:lineRule="auto"/>
        <w:rPr>
          <w:rFonts w:ascii="Arial" w:eastAsia="Calibri" w:hAnsi="Arial" w:cs="Arial"/>
          <w:b/>
          <w:bCs/>
          <w:kern w:val="2"/>
          <w:sz w:val="20"/>
          <w:szCs w:val="20"/>
          <w14:ligatures w14:val="standardContextual"/>
        </w:rPr>
      </w:pPr>
      <w:r w:rsidRPr="00832350">
        <w:rPr>
          <w:rFonts w:ascii="Arial" w:eastAsia="Calibri" w:hAnsi="Arial" w:cs="Arial"/>
          <w:b/>
          <w:bCs/>
          <w:kern w:val="2"/>
          <w:sz w:val="20"/>
          <w:szCs w:val="20"/>
          <w14:ligatures w14:val="standardContextual"/>
        </w:rPr>
        <w:t>Begreberne ”grønlandske arbejdstagere” og ”grønlandske leverandører”</w:t>
      </w:r>
    </w:p>
    <w:p w14:paraId="78CA38FF" w14:textId="1D77754F" w:rsidR="00B3560E" w:rsidRPr="00B3560E" w:rsidRDefault="003B0563" w:rsidP="00352136">
      <w:pPr>
        <w:spacing w:after="160" w:line="360" w:lineRule="auto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  <w:r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lastRenderedPageBreak/>
        <w:t>Begreberne</w:t>
      </w:r>
      <w:r w:rsidR="00B3560E" w:rsidRPr="00B3560E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 </w:t>
      </w:r>
      <w:r w:rsidR="00B3560E" w:rsidRPr="00B3560E">
        <w:rPr>
          <w:rFonts w:ascii="Arial" w:eastAsia="Calibri" w:hAnsi="Arial" w:cs="Arial"/>
          <w:i/>
          <w:iCs/>
          <w:kern w:val="2"/>
          <w:sz w:val="20"/>
          <w:szCs w:val="20"/>
          <w14:ligatures w14:val="standardContextual"/>
        </w:rPr>
        <w:t>”grønlandske leverandører”</w:t>
      </w:r>
      <w:r w:rsidR="00B3560E" w:rsidRPr="00B3560E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 og </w:t>
      </w:r>
      <w:r w:rsidR="00B3560E" w:rsidRPr="00B3560E">
        <w:rPr>
          <w:rFonts w:ascii="Arial" w:eastAsia="Calibri" w:hAnsi="Arial" w:cs="Arial"/>
          <w:i/>
          <w:iCs/>
          <w:kern w:val="2"/>
          <w:sz w:val="20"/>
          <w:szCs w:val="20"/>
          <w14:ligatures w14:val="standardContextual"/>
        </w:rPr>
        <w:t>”grønlandske arbejdstagere”</w:t>
      </w:r>
      <w:r w:rsidR="00B3560E" w:rsidRPr="00B3560E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 adskiller sig væsentligt fra den gældende lov. Ordlyden </w:t>
      </w:r>
      <w:r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med hensyn til </w:t>
      </w:r>
      <w:r w:rsidRPr="003B0563">
        <w:rPr>
          <w:rFonts w:ascii="Arial" w:eastAsia="Calibri" w:hAnsi="Arial" w:cs="Arial"/>
          <w:i/>
          <w:iCs/>
          <w:kern w:val="2"/>
          <w:sz w:val="20"/>
          <w:szCs w:val="20"/>
          <w14:ligatures w14:val="standardContextual"/>
        </w:rPr>
        <w:t>”grønlandske”</w:t>
      </w:r>
      <w:r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 </w:t>
      </w:r>
      <w:r w:rsidR="00B3560E" w:rsidRPr="00B3560E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kan umiddelbart give det indtryk, at der skelnes på baggrund af etnicitet. Definitionerne </w:t>
      </w:r>
      <w:r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i lovforslaget </w:t>
      </w:r>
      <w:r w:rsidR="00B3560E" w:rsidRPr="00B3560E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gør det dog tydeligt, at det alene angår, at arbejdstageren har folkeregisteradresse i Grønland eller at leverandøren er registreret som hjemmehørende i Grønland, jfr. § 2, stk. 5 og stk. 6.</w:t>
      </w:r>
      <w:r w:rsidR="00ED44EF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 </w:t>
      </w:r>
      <w:r w:rsidR="00B3560E" w:rsidRPr="00B3560E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Departementet for Boliger og Infrastruktur finder det derfor positivt, at forslaget angår ikke-diskriminerende og saglige kriterier. </w:t>
      </w:r>
    </w:p>
    <w:p w14:paraId="00F98E05" w14:textId="7CD8BAA7" w:rsidR="00B3560E" w:rsidRPr="00B3560E" w:rsidRDefault="00B3560E" w:rsidP="00352136">
      <w:pPr>
        <w:spacing w:after="160" w:line="360" w:lineRule="auto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  <w:r w:rsidRPr="00B3560E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Departementet anerkender ligeledes kriterierne i blandt andet § 13, stk. 1, såsom beskyttelse af natur, miljø, klima og arbejdstagerrettigheder. Departementet finder det desuden positivt med § 13, stk. 2, der angiver: </w:t>
      </w:r>
      <w:r w:rsidRPr="00B3560E">
        <w:rPr>
          <w:rFonts w:ascii="Arial" w:eastAsia="Calibri" w:hAnsi="Arial" w:cs="Arial"/>
          <w:i/>
          <w:iCs/>
          <w:kern w:val="2"/>
          <w:sz w:val="20"/>
          <w:szCs w:val="20"/>
          <w14:ligatures w14:val="standardContextual"/>
        </w:rPr>
        <w:t>”Naalakkersuisut kan endvidere fastsætte andre relevante, objektive og ikke-diskriminerende udvælgelseskriterier”.</w:t>
      </w:r>
    </w:p>
    <w:p w14:paraId="00CA0134" w14:textId="217D9128" w:rsidR="00B3560E" w:rsidRPr="00B3560E" w:rsidRDefault="00B3560E" w:rsidP="00352136">
      <w:pPr>
        <w:spacing w:after="160" w:line="360" w:lineRule="auto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  <w:r w:rsidRPr="00B3560E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Under § 13 indgår henvisningen til </w:t>
      </w:r>
      <w:r w:rsidRPr="00B3560E">
        <w:rPr>
          <w:rFonts w:ascii="Arial" w:eastAsia="Calibri" w:hAnsi="Arial" w:cs="Arial"/>
          <w:i/>
          <w:iCs/>
          <w:kern w:val="2"/>
          <w:sz w:val="20"/>
          <w:szCs w:val="20"/>
          <w14:ligatures w14:val="standardContextual"/>
        </w:rPr>
        <w:t>”Ansøgerens evne og villighed til at anvende grønlandske arbejdstagere og grønlandske leverandører af varer og tjenesteydelser ved udførelsen af aktiviteter efter koncessionen”</w:t>
      </w:r>
      <w:r w:rsidRPr="00B3560E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. Departementet finder, at kriteriet </w:t>
      </w:r>
      <w:r w:rsidR="003B0563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også her </w:t>
      </w:r>
      <w:r w:rsidRPr="00B3560E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anvendes på en ikke-diskriminerende og saglig måde</w:t>
      </w:r>
      <w:r w:rsidR="003B0563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. Departementet </w:t>
      </w:r>
      <w:r w:rsidRPr="00B3560E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bemærker samtidig, at kriteriet alene anvendes som ét blandt flere kriterier. </w:t>
      </w:r>
    </w:p>
    <w:p w14:paraId="093926B1" w14:textId="77777777" w:rsidR="00832350" w:rsidRDefault="00832350" w:rsidP="00352136">
      <w:pPr>
        <w:spacing w:after="160" w:line="360" w:lineRule="auto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</w:p>
    <w:p w14:paraId="164B5242" w14:textId="71DA22D1" w:rsidR="00832350" w:rsidRPr="00832350" w:rsidRDefault="00832350" w:rsidP="00352136">
      <w:pPr>
        <w:spacing w:after="160" w:line="360" w:lineRule="auto"/>
        <w:rPr>
          <w:rFonts w:ascii="Arial" w:eastAsia="Calibri" w:hAnsi="Arial" w:cs="Arial"/>
          <w:b/>
          <w:bCs/>
          <w:kern w:val="2"/>
          <w:sz w:val="20"/>
          <w:szCs w:val="20"/>
          <w14:ligatures w14:val="standardContextual"/>
        </w:rPr>
      </w:pPr>
      <w:r w:rsidRPr="00832350">
        <w:rPr>
          <w:rFonts w:ascii="Arial" w:eastAsia="Calibri" w:hAnsi="Arial" w:cs="Arial"/>
          <w:b/>
          <w:bCs/>
          <w:kern w:val="2"/>
          <w:sz w:val="20"/>
          <w:szCs w:val="20"/>
          <w14:ligatures w14:val="standardContextual"/>
        </w:rPr>
        <w:t>Folkeregisteradresse i Grønland</w:t>
      </w:r>
    </w:p>
    <w:p w14:paraId="2034D96A" w14:textId="708E1868" w:rsidR="00F4208B" w:rsidRDefault="00B3560E" w:rsidP="00352136">
      <w:pPr>
        <w:spacing w:after="160" w:line="360" w:lineRule="auto"/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</w:pPr>
      <w:r w:rsidRPr="00B3560E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§ 19 er en udvikling af § 14 i den gældende lov. Departementet for Boliger og Infrastruktur bemærker her, at det følger af den gældende lov, at koncession </w:t>
      </w:r>
      <w:r w:rsidRPr="00B3560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til turistvirksomhed kun </w:t>
      </w:r>
      <w:r w:rsidR="003B0563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kan </w:t>
      </w:r>
      <w:r w:rsidRPr="00B3560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meddeles til en person, der har haft folkeregisteradresse i Grønland i en periode, der mindst omfatter de forudgående 2 år. Dette er i lovforslagets § 19, stk. 1, nr. 1, udvidet til </w:t>
      </w:r>
      <w:r w:rsidRPr="00B3560E">
        <w:rPr>
          <w:rFonts w:ascii="Arial" w:eastAsia="Calibri" w:hAnsi="Arial" w:cs="Arial"/>
          <w:i/>
          <w:iCs/>
          <w:kern w:val="2"/>
          <w:sz w:val="20"/>
          <w:szCs w:val="20"/>
          <w:lang w:val="kl-GL"/>
          <w14:ligatures w14:val="standardContextual"/>
        </w:rPr>
        <w:t>“en samlet periode, der mindst omfatter de forudgående 5 år”</w:t>
      </w:r>
      <w:r w:rsidRPr="00B3560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. </w:t>
      </w:r>
    </w:p>
    <w:p w14:paraId="7E2E5C17" w14:textId="452368A2" w:rsidR="001D53AE" w:rsidRDefault="001D53AE" w:rsidP="00352136">
      <w:pPr>
        <w:spacing w:after="160" w:line="360" w:lineRule="auto"/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</w:pPr>
      <w:r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Ordlyden i lovforslaget er </w:t>
      </w:r>
      <w:r w:rsidRPr="001D53AE">
        <w:rPr>
          <w:rFonts w:ascii="Arial" w:eastAsia="Calibri" w:hAnsi="Arial" w:cs="Arial"/>
          <w:i/>
          <w:iCs/>
          <w:kern w:val="2"/>
          <w:sz w:val="20"/>
          <w:szCs w:val="20"/>
          <w:lang w:val="kl-GL"/>
          <w14:ligatures w14:val="standardContextual"/>
        </w:rPr>
        <w:t>“samlet”</w:t>
      </w:r>
      <w:r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 periode</w:t>
      </w:r>
      <w:r w:rsidR="00B3560E" w:rsidRPr="00B3560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. </w:t>
      </w:r>
      <w:r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Bemærkningerne giver imidlertid indtrykket, at det har været tanken </w:t>
      </w:r>
      <w:r w:rsidR="00B646D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>med</w:t>
      </w:r>
      <w:r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 lovforslaget, at der skulle stå </w:t>
      </w:r>
      <w:r w:rsidRPr="001D53AE">
        <w:rPr>
          <w:rFonts w:ascii="Arial" w:eastAsia="Calibri" w:hAnsi="Arial" w:cs="Arial"/>
          <w:i/>
          <w:iCs/>
          <w:kern w:val="2"/>
          <w:sz w:val="20"/>
          <w:szCs w:val="20"/>
          <w:lang w:val="kl-GL"/>
          <w14:ligatures w14:val="standardContextual"/>
        </w:rPr>
        <w:t xml:space="preserve">“sammenhængende” </w:t>
      </w:r>
      <w:r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>periode.</w:t>
      </w:r>
      <w:r w:rsidR="00B646D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Det skal </w:t>
      </w:r>
      <w:r w:rsidR="00B646D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>her</w:t>
      </w:r>
      <w:r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 bemærkes, at det får vidt</w:t>
      </w:r>
      <w:r w:rsidRPr="001D53A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 forskellig</w:t>
      </w:r>
      <w:r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>e konsekvenser</w:t>
      </w:r>
      <w:r w:rsidRPr="001D53A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, om der står </w:t>
      </w:r>
      <w:r w:rsidRPr="001D53AE">
        <w:rPr>
          <w:rFonts w:ascii="Arial" w:eastAsia="Calibri" w:hAnsi="Arial" w:cs="Arial"/>
          <w:i/>
          <w:iCs/>
          <w:kern w:val="2"/>
          <w:sz w:val="20"/>
          <w:szCs w:val="20"/>
          <w:lang w:val="kl-GL"/>
          <w14:ligatures w14:val="standardContextual"/>
        </w:rPr>
        <w:t>”samlet”</w:t>
      </w:r>
      <w:r w:rsidRPr="001D53A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 eller </w:t>
      </w:r>
      <w:r w:rsidRPr="001D53AE">
        <w:rPr>
          <w:rFonts w:ascii="Arial" w:eastAsia="Calibri" w:hAnsi="Arial" w:cs="Arial"/>
          <w:i/>
          <w:iCs/>
          <w:kern w:val="2"/>
          <w:sz w:val="20"/>
          <w:szCs w:val="20"/>
          <w:lang w:val="kl-GL"/>
          <w14:ligatures w14:val="standardContextual"/>
        </w:rPr>
        <w:t>”sammenhængende”</w:t>
      </w:r>
      <w:r w:rsidRPr="001D53A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>.</w:t>
      </w:r>
      <w:r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 </w:t>
      </w:r>
    </w:p>
    <w:p w14:paraId="6DA6992F" w14:textId="699092CF" w:rsidR="001D53AE" w:rsidRDefault="001D53AE" w:rsidP="00352136">
      <w:pPr>
        <w:spacing w:after="160" w:line="360" w:lineRule="auto"/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</w:pPr>
      <w:r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Hvis kravet blot er en </w:t>
      </w:r>
      <w:r w:rsidRPr="00E6479B">
        <w:rPr>
          <w:rFonts w:ascii="Arial" w:eastAsia="Calibri" w:hAnsi="Arial" w:cs="Arial"/>
          <w:i/>
          <w:iCs/>
          <w:kern w:val="2"/>
          <w:sz w:val="20"/>
          <w:szCs w:val="20"/>
          <w:lang w:val="kl-GL"/>
          <w14:ligatures w14:val="standardContextual"/>
        </w:rPr>
        <w:t>“samlet”</w:t>
      </w:r>
      <w:r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 periode på 5 år, s</w:t>
      </w:r>
      <w:r w:rsidRPr="001D53A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>å afholder det ikke en person fra i en periode at få folkeregisteradresse i et andet lan</w:t>
      </w:r>
      <w:r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d. </w:t>
      </w:r>
    </w:p>
    <w:p w14:paraId="6BF96E4E" w14:textId="75C35B61" w:rsidR="001D53AE" w:rsidRPr="001D53AE" w:rsidRDefault="00E6479B" w:rsidP="00352136">
      <w:pPr>
        <w:spacing w:after="160" w:line="360" w:lineRule="auto"/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</w:pPr>
      <w:r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I det nedestående tager Departementet for Boliger og Infrastruktur udgangspunkt i, at tanken med lovforslaget er en </w:t>
      </w:r>
      <w:r w:rsidRPr="00E6479B">
        <w:rPr>
          <w:rFonts w:ascii="Arial" w:eastAsia="Calibri" w:hAnsi="Arial" w:cs="Arial"/>
          <w:i/>
          <w:iCs/>
          <w:kern w:val="2"/>
          <w:sz w:val="20"/>
          <w:szCs w:val="20"/>
          <w:lang w:val="kl-GL"/>
          <w14:ligatures w14:val="standardContextual"/>
        </w:rPr>
        <w:t>“sammenhængende”</w:t>
      </w:r>
      <w:r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 periode på de forudgående 5 år. </w:t>
      </w:r>
      <w:r w:rsidR="001D53AE" w:rsidRPr="001D53A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 </w:t>
      </w:r>
    </w:p>
    <w:p w14:paraId="7D929711" w14:textId="16DD9DAB" w:rsidR="00B3560E" w:rsidRPr="00B3560E" w:rsidRDefault="00B3560E" w:rsidP="00352136">
      <w:pPr>
        <w:spacing w:after="160" w:line="360" w:lineRule="auto"/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</w:pPr>
      <w:r w:rsidRPr="00B3560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>Departementet vil gerne opfordre til</w:t>
      </w:r>
      <w:r w:rsidR="00E6479B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>, at det</w:t>
      </w:r>
      <w:r w:rsidRPr="00B3560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 </w:t>
      </w:r>
      <w:r w:rsidR="00E6479B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bliver </w:t>
      </w:r>
      <w:r w:rsidRPr="00B3560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>grundig</w:t>
      </w:r>
      <w:r w:rsidR="00E6479B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t overvejet, hvilke uhensigtsmæssige konsekvenser det kan få at udvide perioden til 5 år, i forhold til bestemmelsen i den gældende lov hvor perioden er på 2 år. </w:t>
      </w:r>
      <w:r w:rsidR="00B646D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Der kan tænkes en række </w:t>
      </w:r>
      <w:r w:rsidR="00B646D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lastRenderedPageBreak/>
        <w:t xml:space="preserve">tilfælde, hvor en person kan have behov for at skifte folkeregisteradresse i en periode og hvor det derfor synes drastisk, at behovet for at skifte folkeregisteradresse skal medføre, at personens ret til at drive koncessioneret virksomhed ophører. </w:t>
      </w:r>
      <w:r w:rsidRPr="00B3560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 </w:t>
      </w:r>
    </w:p>
    <w:p w14:paraId="7BBA5159" w14:textId="2AF39F1B" w:rsidR="00B3560E" w:rsidRPr="00B3560E" w:rsidRDefault="00B3560E" w:rsidP="00352136">
      <w:pPr>
        <w:spacing w:after="160" w:line="360" w:lineRule="auto"/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</w:pPr>
      <w:r w:rsidRPr="00B3560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>Til gengæld mener departementet, at § 19, stk. 1, nr. 2-5 alle er udmærkede. Kravene om folkeregisteradresse i Grønland</w:t>
      </w:r>
      <w:r w:rsidR="00E126A4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 på tidspunktet for meddelelse af koncession</w:t>
      </w:r>
      <w:r w:rsidRPr="00B3560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, fuld skattepligt til Grønland og sund økonomi </w:t>
      </w:r>
      <w:r w:rsidR="008F73FB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forekommer </w:t>
      </w:r>
      <w:r w:rsidRPr="00B3560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således </w:t>
      </w:r>
      <w:r w:rsidR="008F73FB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>proportionale</w:t>
      </w:r>
      <w:r w:rsidRPr="00B3560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. </w:t>
      </w:r>
    </w:p>
    <w:p w14:paraId="35CFAC02" w14:textId="3FA35D9D" w:rsidR="00B3560E" w:rsidRPr="00B3560E" w:rsidRDefault="00B3560E" w:rsidP="00352136">
      <w:pPr>
        <w:spacing w:after="160" w:line="360" w:lineRule="auto"/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</w:pPr>
      <w:r w:rsidRPr="00B3560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>Departementet mener, at det bør overvejes, hvilke uhensigtsmæssige konsekvenser det kan få, når § 19, stk. 2 fastslår</w:t>
      </w:r>
      <w:r w:rsidR="003B0563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>,</w:t>
      </w:r>
      <w:r w:rsidRPr="00B3560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 at kravene i § 19, stk. 1 skal være opfyldt i hele koncessionsperioden. De</w:t>
      </w:r>
      <w:r w:rsidR="00E126A4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partementet vil således foreslå, at der indsættes en bestemmelse, som indrømmer undtagelse til kravet om </w:t>
      </w:r>
      <w:r w:rsidR="00E6479B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>opretholdelse af</w:t>
      </w:r>
      <w:r w:rsidR="00E126A4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 folkeregisteradresse i Grønland. Undtagelsen kan eksempelvis være i form af mulighed for at søge om dispensation ved behov for at skifte folkeregisteradresse i en periode.  </w:t>
      </w:r>
      <w:r w:rsidRPr="00B3560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 </w:t>
      </w:r>
    </w:p>
    <w:p w14:paraId="7B06991F" w14:textId="47B4689E" w:rsidR="00B3560E" w:rsidRPr="00B3560E" w:rsidRDefault="00B3560E" w:rsidP="00352136">
      <w:pPr>
        <w:spacing w:after="160" w:line="360" w:lineRule="auto"/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</w:pPr>
      <w:r w:rsidRPr="00B3560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Mens § 19 i lovforslaget angår meddelse af koncession til fysiske personer, </w:t>
      </w:r>
      <w:r w:rsidR="00E6479B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så </w:t>
      </w:r>
      <w:r w:rsidRPr="00B3560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angår § 20 selskaber. Departementet for Boliger og Infrastruktur finder, at paragraffen er udmærket, for så vidt angår kravene om hjemsted i Grønland og sund økonomi. </w:t>
      </w:r>
    </w:p>
    <w:p w14:paraId="472D36A4" w14:textId="1D81F59B" w:rsidR="00B3560E" w:rsidRPr="00B3560E" w:rsidRDefault="00B3560E" w:rsidP="00352136">
      <w:pPr>
        <w:spacing w:after="160" w:line="360" w:lineRule="auto"/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</w:pPr>
      <w:r w:rsidRPr="00B3560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>Departementet vil dog påpege, at overvejelserne angående § 19, stk. 1, nr. 1, nævnt ovenfor, også gør sig gældende i det omfang, § 20 henviser til kravene i § 19.</w:t>
      </w:r>
    </w:p>
    <w:p w14:paraId="2C961F80" w14:textId="3F24CF1B" w:rsidR="00B3560E" w:rsidRPr="00B3560E" w:rsidRDefault="00B3560E" w:rsidP="00352136">
      <w:pPr>
        <w:spacing w:after="160" w:line="360" w:lineRule="auto"/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</w:pPr>
      <w:r w:rsidRPr="00B3560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Ovenstående kommentar til § 19, stk. 2 må gentages for så vidt angår § 20, stk. 2. Forslaget til § 20, stk. 2 lyder: </w:t>
      </w:r>
      <w:r w:rsidRPr="00B3560E">
        <w:rPr>
          <w:rFonts w:ascii="Arial" w:eastAsia="Calibri" w:hAnsi="Arial" w:cs="Arial"/>
          <w:i/>
          <w:iCs/>
          <w:kern w:val="2"/>
          <w:sz w:val="20"/>
          <w:szCs w:val="20"/>
          <w:lang w:val="kl-GL"/>
          <w14:ligatures w14:val="standardContextual"/>
        </w:rPr>
        <w:t>“Et selskab, der er rettighedshaver efter koncession, skal i hele koncessionsperioden opfylde kravene i stk. 1”.</w:t>
      </w:r>
      <w:r w:rsidRPr="00B3560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 Departementet vil således opfordre til, at der eventuelt indsættes </w:t>
      </w:r>
      <w:r w:rsidR="00B646D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en </w:t>
      </w:r>
      <w:r w:rsidRPr="00B3560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>undtagelse</w:t>
      </w:r>
      <w:r w:rsidR="00E126A4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>/</w:t>
      </w:r>
      <w:r w:rsidRPr="00B3560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>dispensationsmulighed i forhold til kravet om folkeregisteradresse i Grønland i de forudgående 5 år.</w:t>
      </w:r>
    </w:p>
    <w:p w14:paraId="57411327" w14:textId="77777777" w:rsidR="00832350" w:rsidRDefault="00832350" w:rsidP="00352136">
      <w:pPr>
        <w:spacing w:after="160" w:line="360" w:lineRule="auto"/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</w:pPr>
    </w:p>
    <w:p w14:paraId="715FD386" w14:textId="09A0E6A7" w:rsidR="00832350" w:rsidRPr="00832350" w:rsidRDefault="00832350" w:rsidP="00352136">
      <w:pPr>
        <w:spacing w:after="160" w:line="360" w:lineRule="auto"/>
        <w:rPr>
          <w:rFonts w:ascii="Arial" w:eastAsia="Calibri" w:hAnsi="Arial" w:cs="Arial"/>
          <w:b/>
          <w:bCs/>
          <w:kern w:val="2"/>
          <w:sz w:val="20"/>
          <w:szCs w:val="20"/>
          <w:lang w:val="kl-GL"/>
          <w14:ligatures w14:val="standardContextual"/>
        </w:rPr>
      </w:pPr>
      <w:r w:rsidRPr="00832350">
        <w:rPr>
          <w:rFonts w:ascii="Arial" w:eastAsia="Calibri" w:hAnsi="Arial" w:cs="Arial"/>
          <w:b/>
          <w:bCs/>
          <w:kern w:val="2"/>
          <w:sz w:val="20"/>
          <w:szCs w:val="20"/>
          <w:lang w:val="kl-GL"/>
          <w14:ligatures w14:val="standardContextual"/>
        </w:rPr>
        <w:t>Aktivitetsplan</w:t>
      </w:r>
    </w:p>
    <w:p w14:paraId="164336E3" w14:textId="69ECFCAD" w:rsidR="00B3560E" w:rsidRPr="00B3560E" w:rsidRDefault="00B3560E" w:rsidP="00352136">
      <w:pPr>
        <w:spacing w:after="160" w:line="360" w:lineRule="auto"/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</w:pPr>
      <w:r w:rsidRPr="00B3560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§ 24 i lovforslaget tager udgangspunkt i den gældende lovs §§ 17, 19 og 24. Departementet finder det </w:t>
      </w:r>
      <w:r w:rsidR="008F73FB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>relevant</w:t>
      </w:r>
      <w:r w:rsidRPr="00B3560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>, at lovforslagets § 24 understrege</w:t>
      </w:r>
      <w:r w:rsidR="00E126A4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>r</w:t>
      </w:r>
      <w:r w:rsidR="00194FBA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>, at der i vurderingen af en aktivitetsplan lægges vægt på</w:t>
      </w:r>
      <w:r w:rsidRPr="00B3560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 </w:t>
      </w:r>
      <w:r w:rsidR="00194FBA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opfyldelsen af </w:t>
      </w:r>
      <w:r w:rsidRPr="00B3560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sikkerhedsmæssige forpligtelser, </w:t>
      </w:r>
      <w:r w:rsidR="00B646D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>overholdelse af</w:t>
      </w:r>
      <w:r w:rsidR="00194FBA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 arbejdsret og kollektive aftaler, bestræbelserne på at </w:t>
      </w:r>
      <w:r w:rsidRPr="00B3560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>undgå personskade, natur- og miljøbeskyttelse, samt miljøgenopretning.</w:t>
      </w:r>
    </w:p>
    <w:p w14:paraId="2B9D5D96" w14:textId="2AFA6A12" w:rsidR="00B3560E" w:rsidRDefault="00B3560E" w:rsidP="00352136">
      <w:pPr>
        <w:spacing w:after="160" w:line="360" w:lineRule="auto"/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</w:pPr>
      <w:r w:rsidRPr="00B3560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>Lovforslagets § 24, stk. 1, nr. 3</w:t>
      </w:r>
      <w:r w:rsidR="00194FBA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>,</w:t>
      </w:r>
      <w:r w:rsidRPr="00B3560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 fastslår, at rettighedshaverens anvendelse af </w:t>
      </w:r>
      <w:r w:rsidR="00194FBA" w:rsidRPr="00194FBA">
        <w:rPr>
          <w:rFonts w:ascii="Arial" w:eastAsia="Calibri" w:hAnsi="Arial" w:cs="Arial"/>
          <w:i/>
          <w:iCs/>
          <w:kern w:val="2"/>
          <w:sz w:val="20"/>
          <w:szCs w:val="20"/>
          <w:lang w:val="kl-GL"/>
          <w14:ligatures w14:val="standardContextual"/>
        </w:rPr>
        <w:t>“</w:t>
      </w:r>
      <w:r w:rsidRPr="00B3560E">
        <w:rPr>
          <w:rFonts w:ascii="Arial" w:eastAsia="Calibri" w:hAnsi="Arial" w:cs="Arial"/>
          <w:i/>
          <w:iCs/>
          <w:kern w:val="2"/>
          <w:sz w:val="20"/>
          <w:szCs w:val="20"/>
          <w:lang w:val="kl-GL"/>
          <w14:ligatures w14:val="standardContextual"/>
        </w:rPr>
        <w:t>grønlandske arbejdstagere og grønlandske leverandører</w:t>
      </w:r>
      <w:r w:rsidR="00194FBA" w:rsidRPr="00194FBA">
        <w:rPr>
          <w:rFonts w:ascii="Arial" w:eastAsia="Calibri" w:hAnsi="Arial" w:cs="Arial"/>
          <w:i/>
          <w:iCs/>
          <w:kern w:val="2"/>
          <w:sz w:val="20"/>
          <w:szCs w:val="20"/>
          <w:lang w:val="kl-GL"/>
          <w14:ligatures w14:val="standardContextual"/>
        </w:rPr>
        <w:t>”</w:t>
      </w:r>
      <w:r w:rsidRPr="00B3560E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 skal indgå i aktivitetsplanen. Departementet finder, at dette er et væsentligt forhold at få belyst i en aktivitetsplan og finder samtidig, at bestemmelsen er saglig og ikke-diskriminerende. </w:t>
      </w:r>
    </w:p>
    <w:p w14:paraId="0579DA20" w14:textId="77777777" w:rsidR="00832350" w:rsidRDefault="00832350" w:rsidP="00352136">
      <w:pPr>
        <w:spacing w:after="160" w:line="360" w:lineRule="auto"/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</w:pPr>
    </w:p>
    <w:p w14:paraId="71150D6D" w14:textId="77777777" w:rsidR="00832350" w:rsidRDefault="00832350" w:rsidP="00352136">
      <w:pPr>
        <w:spacing w:after="160" w:line="360" w:lineRule="auto"/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</w:pPr>
    </w:p>
    <w:p w14:paraId="54F97295" w14:textId="640E8D73" w:rsidR="00832350" w:rsidRPr="00832350" w:rsidRDefault="00832350" w:rsidP="00352136">
      <w:pPr>
        <w:spacing w:after="160" w:line="360" w:lineRule="auto"/>
        <w:rPr>
          <w:rFonts w:ascii="Arial" w:eastAsia="Calibri" w:hAnsi="Arial" w:cs="Arial"/>
          <w:b/>
          <w:bCs/>
          <w:kern w:val="2"/>
          <w:sz w:val="20"/>
          <w:szCs w:val="20"/>
          <w:lang w:val="kl-GL"/>
          <w14:ligatures w14:val="standardContextual"/>
        </w:rPr>
      </w:pPr>
      <w:r w:rsidRPr="00832350">
        <w:rPr>
          <w:rFonts w:ascii="Arial" w:eastAsia="Calibri" w:hAnsi="Arial" w:cs="Arial"/>
          <w:b/>
          <w:bCs/>
          <w:kern w:val="2"/>
          <w:sz w:val="20"/>
          <w:szCs w:val="20"/>
          <w:lang w:val="kl-GL"/>
          <w14:ligatures w14:val="standardContextual"/>
        </w:rPr>
        <w:t>Overgangsperiode</w:t>
      </w:r>
    </w:p>
    <w:p w14:paraId="4A2A454F" w14:textId="2EB1ABB5" w:rsidR="00B51FD8" w:rsidRPr="00B646DE" w:rsidRDefault="00B51FD8" w:rsidP="00352136">
      <w:pPr>
        <w:spacing w:after="160" w:line="360" w:lineRule="auto"/>
        <w:rPr>
          <w:rFonts w:ascii="Arial" w:eastAsia="Calibri" w:hAnsi="Arial" w:cs="Arial"/>
          <w:i/>
          <w:iCs/>
          <w:kern w:val="2"/>
          <w:sz w:val="20"/>
          <w:szCs w:val="20"/>
          <w14:ligatures w14:val="standardContextual"/>
        </w:rPr>
      </w:pPr>
      <w:r w:rsidRPr="00ED44EF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Det følger af lovforslagets § 36, stk. 3, at </w:t>
      </w:r>
      <w:r w:rsidRPr="00B646DE">
        <w:rPr>
          <w:rFonts w:ascii="Arial" w:eastAsia="Calibri" w:hAnsi="Arial" w:cs="Arial"/>
          <w:i/>
          <w:iCs/>
          <w:kern w:val="2"/>
          <w:sz w:val="20"/>
          <w:szCs w:val="20"/>
          <w:lang w:val="kl-GL"/>
          <w14:ligatures w14:val="standardContextual"/>
        </w:rPr>
        <w:t>“</w:t>
      </w:r>
      <w:proofErr w:type="spellStart"/>
      <w:r w:rsidR="00E6479B" w:rsidRPr="00B646DE">
        <w:rPr>
          <w:rFonts w:ascii="Arial" w:eastAsia="Calibri" w:hAnsi="Arial" w:cs="Arial"/>
          <w:i/>
          <w:iCs/>
          <w:kern w:val="2"/>
          <w:sz w:val="20"/>
          <w:szCs w:val="20"/>
          <w14:ligatures w14:val="standardContextual"/>
        </w:rPr>
        <w:t>Inatisartutlovens</w:t>
      </w:r>
      <w:proofErr w:type="spellEnd"/>
      <w:r w:rsidR="00E6479B" w:rsidRPr="00B646DE">
        <w:rPr>
          <w:rFonts w:ascii="Arial" w:eastAsia="Calibri" w:hAnsi="Arial" w:cs="Arial"/>
          <w:i/>
          <w:iCs/>
          <w:kern w:val="2"/>
          <w:sz w:val="20"/>
          <w:szCs w:val="20"/>
          <w14:ligatures w14:val="standardContextual"/>
        </w:rPr>
        <w:t xml:space="preserve"> §§ 19 og 20 finder til og med 1. januar 2026 ikke anvendelse på koncessioner til turistvirksomhed, der lovligt udøves på tidspunktet for </w:t>
      </w:r>
      <w:proofErr w:type="spellStart"/>
      <w:r w:rsidR="00E6479B" w:rsidRPr="00B646DE">
        <w:rPr>
          <w:rFonts w:ascii="Arial" w:eastAsia="Calibri" w:hAnsi="Arial" w:cs="Arial"/>
          <w:i/>
          <w:iCs/>
          <w:kern w:val="2"/>
          <w:sz w:val="20"/>
          <w:szCs w:val="20"/>
          <w14:ligatures w14:val="standardContextual"/>
        </w:rPr>
        <w:t>inatsiartutlovens</w:t>
      </w:r>
      <w:proofErr w:type="spellEnd"/>
      <w:r w:rsidR="00E6479B" w:rsidRPr="00B646DE">
        <w:rPr>
          <w:rFonts w:ascii="Arial" w:eastAsia="Calibri" w:hAnsi="Arial" w:cs="Arial"/>
          <w:i/>
          <w:iCs/>
          <w:kern w:val="2"/>
          <w:sz w:val="20"/>
          <w:szCs w:val="20"/>
          <w14:ligatures w14:val="standardContextual"/>
        </w:rPr>
        <w:t xml:space="preserve"> ikrafttræden.</w:t>
      </w:r>
      <w:r w:rsidRPr="00B646DE">
        <w:rPr>
          <w:rFonts w:ascii="Arial" w:eastAsia="Calibri" w:hAnsi="Arial" w:cs="Arial"/>
          <w:i/>
          <w:iCs/>
          <w:kern w:val="2"/>
          <w:sz w:val="20"/>
          <w:szCs w:val="20"/>
          <w14:ligatures w14:val="standardContextual"/>
        </w:rPr>
        <w:t>”</w:t>
      </w:r>
    </w:p>
    <w:p w14:paraId="7078C9BE" w14:textId="77777777" w:rsidR="00832350" w:rsidRDefault="00B51FD8" w:rsidP="00352136">
      <w:pPr>
        <w:spacing w:after="160" w:line="360" w:lineRule="auto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  <w:r w:rsidRPr="00ED44EF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Den foreslåede bestemmelse i § 36, stk. 3 giver imidlertid ikke den fysiske eller juridiske person adgang til at opfylde kravene i forslagets §§ 19 og 20, idet kravene i §§ 19 og 20 </w:t>
      </w:r>
      <w:r w:rsidR="00ED44EF" w:rsidRPr="00ED44EF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angå</w:t>
      </w:r>
      <w:r w:rsidR="00B646DE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r</w:t>
      </w:r>
      <w:r w:rsidR="00ED44EF" w:rsidRPr="00ED44EF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 en sammenhængende periode på de forudgående 5 år. Den fysiske eller juridiske person har selvsagt ikke mulighed for at komme i overensstemmelse med disse krav inden den 1. januar 2026.</w:t>
      </w:r>
    </w:p>
    <w:p w14:paraId="135A289E" w14:textId="77777777" w:rsidR="00832350" w:rsidRDefault="00832350" w:rsidP="00352136">
      <w:pPr>
        <w:spacing w:after="160" w:line="360" w:lineRule="auto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</w:p>
    <w:p w14:paraId="09C7AC62" w14:textId="71D26ADC" w:rsidR="00B51FD8" w:rsidRPr="00832350" w:rsidRDefault="00832350" w:rsidP="00352136">
      <w:pPr>
        <w:spacing w:after="160" w:line="360" w:lineRule="auto"/>
        <w:rPr>
          <w:rFonts w:ascii="Arial" w:eastAsia="Calibri" w:hAnsi="Arial" w:cs="Arial"/>
          <w:b/>
          <w:bCs/>
          <w:kern w:val="2"/>
          <w:sz w:val="20"/>
          <w:szCs w:val="20"/>
          <w14:ligatures w14:val="standardContextual"/>
        </w:rPr>
      </w:pPr>
      <w:r w:rsidRPr="00832350">
        <w:rPr>
          <w:rFonts w:ascii="Arial" w:eastAsia="Calibri" w:hAnsi="Arial" w:cs="Arial"/>
          <w:b/>
          <w:bCs/>
          <w:kern w:val="2"/>
          <w:sz w:val="20"/>
          <w:szCs w:val="20"/>
          <w14:ligatures w14:val="standardContextual"/>
        </w:rPr>
        <w:t>Tekstnære kommentarer</w:t>
      </w:r>
      <w:r w:rsidR="00ED44EF" w:rsidRPr="00832350">
        <w:rPr>
          <w:rFonts w:ascii="Arial" w:eastAsia="Calibri" w:hAnsi="Arial" w:cs="Arial"/>
          <w:b/>
          <w:bCs/>
          <w:kern w:val="2"/>
          <w:sz w:val="20"/>
          <w:szCs w:val="20"/>
          <w14:ligatures w14:val="standardContextual"/>
        </w:rPr>
        <w:t xml:space="preserve"> </w:t>
      </w:r>
    </w:p>
    <w:p w14:paraId="64C97608" w14:textId="77777777" w:rsidR="008F73FB" w:rsidRDefault="00ED44EF" w:rsidP="00352136">
      <w:pPr>
        <w:spacing w:after="160" w:line="360" w:lineRule="auto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  <w:r w:rsidRPr="00ED44EF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Departementet har i sin gennemgang af </w:t>
      </w:r>
      <w:r w:rsidRPr="00845C89">
        <w:rPr>
          <w:rFonts w:ascii="Arial" w:eastAsia="Calibri" w:hAnsi="Arial" w:cs="Arial"/>
          <w:i/>
          <w:iCs/>
          <w:kern w:val="2"/>
          <w:sz w:val="20"/>
          <w:szCs w:val="20"/>
          <w14:ligatures w14:val="standardContextual"/>
        </w:rPr>
        <w:t>”</w:t>
      </w:r>
      <w:r w:rsidRPr="00ED44EF">
        <w:rPr>
          <w:rFonts w:ascii="Arial" w:eastAsia="Calibri" w:hAnsi="Arial" w:cs="Arial"/>
          <w:i/>
          <w:iCs/>
          <w:kern w:val="2"/>
          <w:sz w:val="20"/>
          <w:szCs w:val="20"/>
          <w14:ligatures w14:val="standardContextual"/>
        </w:rPr>
        <w:t>Forslag til:</w:t>
      </w:r>
      <w:r w:rsidRPr="00845C89">
        <w:rPr>
          <w:rFonts w:ascii="Arial" w:eastAsia="Calibri" w:hAnsi="Arial" w:cs="Arial"/>
          <w:i/>
          <w:iCs/>
          <w:kern w:val="2"/>
          <w:sz w:val="20"/>
          <w:szCs w:val="20"/>
          <w14:ligatures w14:val="standardContextual"/>
        </w:rPr>
        <w:t xml:space="preserve"> </w:t>
      </w:r>
      <w:bookmarkStart w:id="0" w:name="_Hlk166484954"/>
      <w:r w:rsidRPr="00ED44EF">
        <w:rPr>
          <w:rFonts w:ascii="Arial" w:eastAsia="Calibri" w:hAnsi="Arial" w:cs="Arial"/>
          <w:i/>
          <w:iCs/>
          <w:kern w:val="2"/>
          <w:sz w:val="20"/>
          <w:szCs w:val="20"/>
          <w14:ligatures w14:val="standardContextual"/>
        </w:rPr>
        <w:t>Inatsisartutlov om turistvirksomhed, om zoneinddeling m.v. for erhvervsmæssig virksomhed og begrænsning i adgang til visse områder</w:t>
      </w:r>
      <w:r w:rsidRPr="00845C89">
        <w:rPr>
          <w:rFonts w:ascii="Arial" w:eastAsia="Calibri" w:hAnsi="Arial" w:cs="Arial"/>
          <w:i/>
          <w:iCs/>
          <w:kern w:val="2"/>
          <w:sz w:val="20"/>
          <w:szCs w:val="20"/>
          <w14:ligatures w14:val="standardContextual"/>
        </w:rPr>
        <w:t>”</w:t>
      </w:r>
      <w:r w:rsidRPr="00ED44EF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 bidraget med </w:t>
      </w:r>
      <w:r w:rsidR="00845C89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rettelser af korrekturmæssig karakter til</w:t>
      </w:r>
      <w:r w:rsidRPr="00ED44EF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 bemærkningerne. Bemærkningerne til det nævnte lovforslag indehold</w:t>
      </w:r>
      <w:r w:rsidR="00845C89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er</w:t>
      </w:r>
      <w:r w:rsidRPr="00ED44EF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 blot enkelte trykfejl, grammatiske fejl mv., som departementet </w:t>
      </w:r>
      <w:r w:rsidR="00845C89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har haft mulighed for at</w:t>
      </w:r>
      <w:r w:rsidRPr="00ED44EF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 være behjælpelig med. </w:t>
      </w:r>
    </w:p>
    <w:p w14:paraId="6E76E620" w14:textId="77777777" w:rsidR="008F73FB" w:rsidRDefault="008F73FB" w:rsidP="00352136">
      <w:pPr>
        <w:spacing w:after="160" w:line="360" w:lineRule="auto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</w:p>
    <w:p w14:paraId="2EE1DE64" w14:textId="1FC1F23E" w:rsidR="00EE48FC" w:rsidRPr="00845C89" w:rsidRDefault="00ED44EF" w:rsidP="00352136">
      <w:pPr>
        <w:spacing w:after="160" w:line="360" w:lineRule="auto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  <w:r w:rsidRPr="00ED44EF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Det modtagne udkast til bemærkninger til </w:t>
      </w:r>
      <w:r w:rsidRPr="00845C89">
        <w:rPr>
          <w:rFonts w:ascii="Arial" w:eastAsia="Calibri" w:hAnsi="Arial" w:cs="Arial"/>
          <w:i/>
          <w:iCs/>
          <w:kern w:val="2"/>
          <w:sz w:val="20"/>
          <w:szCs w:val="20"/>
          <w14:ligatures w14:val="standardContextual"/>
        </w:rPr>
        <w:t xml:space="preserve">”Forslag til: Inatsisartutlov om koncession til turistvirksomhed i udvalgte områder” </w:t>
      </w:r>
      <w:r w:rsidRPr="00ED44EF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bærer imidlertid præg af</w:t>
      </w:r>
      <w:r w:rsidR="00845C89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 en mangelfuld korrektur.</w:t>
      </w:r>
      <w:bookmarkEnd w:id="0"/>
      <w:r w:rsidR="00845C89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 </w:t>
      </w:r>
      <w:r w:rsidR="00194FBA" w:rsidRPr="00ED44EF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Departementet </w:t>
      </w:r>
      <w:r w:rsidRPr="00ED44EF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for Boliger og Infrastruktur har derfor </w:t>
      </w:r>
      <w:r w:rsidR="00194FBA" w:rsidRPr="00ED44EF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>fokuseret sine kommentarer imod lovforslaget</w:t>
      </w:r>
      <w:r w:rsidRPr="00ED44EF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 og opfordrer afsenderne til at </w:t>
      </w:r>
      <w:r w:rsidR="00845C89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>foretage</w:t>
      </w:r>
      <w:r w:rsidRPr="00ED44EF">
        <w:rPr>
          <w:rFonts w:ascii="Arial" w:eastAsia="Calibri" w:hAnsi="Arial" w:cs="Arial"/>
          <w:kern w:val="2"/>
          <w:sz w:val="20"/>
          <w:szCs w:val="20"/>
          <w:lang w:val="kl-GL"/>
          <w14:ligatures w14:val="standardContextual"/>
        </w:rPr>
        <w:t xml:space="preserve"> en grundig korrektur på bemærkningerne. </w:t>
      </w:r>
    </w:p>
    <w:p w14:paraId="2A1D8157" w14:textId="77777777" w:rsidR="00EE48FC" w:rsidRDefault="00EE48FC" w:rsidP="00171DDA">
      <w:pPr>
        <w:spacing w:after="0"/>
        <w:rPr>
          <w:rFonts w:ascii="Arial" w:hAnsi="Arial" w:cs="Arial"/>
          <w:sz w:val="20"/>
          <w:szCs w:val="20"/>
        </w:rPr>
      </w:pPr>
    </w:p>
    <w:p w14:paraId="2D985DAF" w14:textId="77777777" w:rsidR="008F73FB" w:rsidRPr="003B779A" w:rsidRDefault="008F73FB" w:rsidP="00171DDA">
      <w:pPr>
        <w:spacing w:after="0"/>
        <w:rPr>
          <w:rFonts w:ascii="Arial" w:hAnsi="Arial" w:cs="Arial"/>
          <w:sz w:val="20"/>
          <w:szCs w:val="20"/>
        </w:rPr>
      </w:pPr>
    </w:p>
    <w:p w14:paraId="48F7A65F" w14:textId="77777777" w:rsidR="00EE48FC" w:rsidRPr="003B779A" w:rsidRDefault="00EE48FC" w:rsidP="00171DDA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3B779A">
        <w:rPr>
          <w:rFonts w:ascii="Arial" w:hAnsi="Arial" w:cs="Arial"/>
          <w:sz w:val="20"/>
          <w:szCs w:val="20"/>
        </w:rPr>
        <w:t>Inussiarnersumik</w:t>
      </w:r>
      <w:proofErr w:type="spellEnd"/>
      <w:r w:rsidRPr="003B77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779A">
        <w:rPr>
          <w:rFonts w:ascii="Arial" w:hAnsi="Arial" w:cs="Arial"/>
          <w:sz w:val="20"/>
          <w:szCs w:val="20"/>
        </w:rPr>
        <w:t>inuulluaqqusillunga</w:t>
      </w:r>
      <w:proofErr w:type="spellEnd"/>
    </w:p>
    <w:p w14:paraId="5FB65417" w14:textId="77777777" w:rsidR="00EE48FC" w:rsidRPr="003B779A" w:rsidRDefault="00C63E01" w:rsidP="00171DDA">
      <w:pPr>
        <w:spacing w:after="0"/>
        <w:rPr>
          <w:rFonts w:ascii="Arial" w:hAnsi="Arial" w:cs="Arial"/>
          <w:sz w:val="20"/>
          <w:szCs w:val="20"/>
        </w:rPr>
      </w:pPr>
      <w:r w:rsidRPr="003B779A">
        <w:rPr>
          <w:rFonts w:ascii="Arial" w:hAnsi="Arial" w:cs="Arial"/>
          <w:sz w:val="20"/>
          <w:szCs w:val="20"/>
        </w:rPr>
        <w:t>Med venlig hilsen</w:t>
      </w:r>
    </w:p>
    <w:p w14:paraId="4B960743" w14:textId="77777777" w:rsidR="00EB7195" w:rsidRPr="003B779A" w:rsidRDefault="00EB7195" w:rsidP="00171DDA">
      <w:pPr>
        <w:spacing w:after="0"/>
        <w:rPr>
          <w:rFonts w:ascii="Arial" w:hAnsi="Arial" w:cs="Arial"/>
          <w:sz w:val="20"/>
          <w:szCs w:val="20"/>
        </w:rPr>
      </w:pPr>
    </w:p>
    <w:p w14:paraId="55A1855B" w14:textId="77777777" w:rsidR="00EB7195" w:rsidRDefault="00EB7195" w:rsidP="00171DDA">
      <w:pPr>
        <w:spacing w:after="0"/>
        <w:rPr>
          <w:rFonts w:ascii="Arial" w:hAnsi="Arial" w:cs="Arial"/>
          <w:sz w:val="20"/>
          <w:szCs w:val="20"/>
        </w:rPr>
      </w:pPr>
    </w:p>
    <w:p w14:paraId="6F51185C" w14:textId="77777777" w:rsidR="008F73FB" w:rsidRDefault="008F73FB" w:rsidP="00171DDA">
      <w:pPr>
        <w:spacing w:after="0"/>
        <w:rPr>
          <w:rFonts w:ascii="Arial" w:hAnsi="Arial" w:cs="Arial"/>
          <w:sz w:val="20"/>
          <w:szCs w:val="20"/>
        </w:rPr>
      </w:pPr>
    </w:p>
    <w:p w14:paraId="58E772A1" w14:textId="224E0204" w:rsidR="00194FBA" w:rsidRPr="003B779A" w:rsidRDefault="00194FBA" w:rsidP="00171DD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Jurist Jakob Sjøberg</w:t>
      </w:r>
    </w:p>
    <w:p w14:paraId="3085E31B" w14:textId="77777777" w:rsidR="00A2260D" w:rsidRPr="00B3560E" w:rsidRDefault="00A2260D" w:rsidP="00171DDA">
      <w:pPr>
        <w:spacing w:after="0"/>
        <w:rPr>
          <w:rFonts w:ascii="Arial" w:hAnsi="Arial" w:cs="Arial"/>
          <w:sz w:val="20"/>
          <w:szCs w:val="20"/>
        </w:rPr>
      </w:pPr>
      <w:r w:rsidRPr="00B3560E">
        <w:rPr>
          <w:rFonts w:ascii="Arial" w:hAnsi="Arial" w:cs="Arial"/>
          <w:sz w:val="20"/>
          <w:szCs w:val="20"/>
        </w:rPr>
        <w:t>Officiel post til IAN</w:t>
      </w:r>
    </w:p>
    <w:p w14:paraId="3C571385" w14:textId="77777777" w:rsidR="00A2260D" w:rsidRPr="003B779A" w:rsidRDefault="00A2260D" w:rsidP="00171DDA">
      <w:pPr>
        <w:spacing w:after="0"/>
        <w:rPr>
          <w:rFonts w:ascii="Arial" w:hAnsi="Arial" w:cs="Arial"/>
          <w:sz w:val="20"/>
          <w:szCs w:val="20"/>
        </w:rPr>
      </w:pPr>
      <w:r w:rsidRPr="003B779A">
        <w:rPr>
          <w:rFonts w:ascii="Arial" w:hAnsi="Arial" w:cs="Arial"/>
          <w:sz w:val="20"/>
          <w:szCs w:val="20"/>
        </w:rPr>
        <w:t>box909@nanoq.gl</w:t>
      </w:r>
    </w:p>
    <w:p w14:paraId="73949A79" w14:textId="77777777" w:rsidR="00986E1B" w:rsidRPr="00EB7195" w:rsidRDefault="00986E1B" w:rsidP="00986E1B">
      <w:pPr>
        <w:spacing w:after="0"/>
        <w:rPr>
          <w:rFonts w:ascii="Arial" w:hAnsi="Arial" w:cs="Arial"/>
          <w:sz w:val="16"/>
          <w:szCs w:val="16"/>
        </w:rPr>
      </w:pPr>
    </w:p>
    <w:p w14:paraId="26F706E6" w14:textId="77777777" w:rsidR="00986E1B" w:rsidRPr="00EB7195" w:rsidRDefault="00986E1B" w:rsidP="00986E1B">
      <w:pPr>
        <w:spacing w:after="0"/>
        <w:rPr>
          <w:rFonts w:ascii="Arial" w:hAnsi="Arial" w:cs="Arial"/>
          <w:sz w:val="20"/>
          <w:szCs w:val="20"/>
        </w:rPr>
      </w:pPr>
    </w:p>
    <w:sectPr w:rsidR="00986E1B" w:rsidRPr="00EB7195" w:rsidSect="004402D4">
      <w:footerReference w:type="default" r:id="rId8"/>
      <w:headerReference w:type="first" r:id="rId9"/>
      <w:footerReference w:type="first" r:id="rId10"/>
      <w:pgSz w:w="11906" w:h="16838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2C9B8" w14:textId="77777777" w:rsidR="001E1B3B" w:rsidRDefault="001E1B3B" w:rsidP="00FA2B29">
      <w:pPr>
        <w:spacing w:after="0" w:line="240" w:lineRule="auto"/>
      </w:pPr>
      <w:r>
        <w:separator/>
      </w:r>
    </w:p>
  </w:endnote>
  <w:endnote w:type="continuationSeparator" w:id="0">
    <w:p w14:paraId="2B77E38F" w14:textId="77777777" w:rsidR="001E1B3B" w:rsidRDefault="001E1B3B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3667999"/>
      <w:docPartObj>
        <w:docPartGallery w:val="Page Numbers (Bottom of Page)"/>
        <w:docPartUnique/>
      </w:docPartObj>
    </w:sdtPr>
    <w:sdtContent>
      <w:p w14:paraId="65E0A384" w14:textId="77777777" w:rsidR="00986E1B" w:rsidRDefault="00986E1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5EDE9A6" w14:textId="77777777" w:rsidR="00874C50" w:rsidRDefault="00874C5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8201982"/>
      <w:docPartObj>
        <w:docPartGallery w:val="Page Numbers (Bottom of Page)"/>
        <w:docPartUnique/>
      </w:docPartObj>
    </w:sdtPr>
    <w:sdtContent>
      <w:p w14:paraId="1606D9AA" w14:textId="77777777" w:rsidR="00986E1B" w:rsidRDefault="00986E1B">
        <w:pPr>
          <w:pStyle w:val="Sidefod"/>
          <w:jc w:val="right"/>
        </w:pPr>
        <w:r>
          <w:fldChar w:fldCharType="begin"/>
        </w:r>
        <w:r>
          <w:instrText xml:space="preserve"> PAGE  \* MERGEFORMAT </w:instrText>
        </w:r>
        <w:r>
          <w:fldChar w:fldCharType="separate"/>
        </w:r>
        <w:r w:rsidR="00FF1515">
          <w:rPr>
            <w:noProof/>
          </w:rPr>
          <w:t>1</w:t>
        </w:r>
        <w:r>
          <w:fldChar w:fldCharType="end"/>
        </w:r>
      </w:p>
    </w:sdtContent>
  </w:sdt>
  <w:p w14:paraId="1FD91CC3" w14:textId="77777777" w:rsidR="005A226D" w:rsidRDefault="005A22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77CB5" w14:textId="77777777" w:rsidR="001E1B3B" w:rsidRDefault="001E1B3B" w:rsidP="00FA2B29">
      <w:pPr>
        <w:spacing w:after="0" w:line="240" w:lineRule="auto"/>
      </w:pPr>
      <w:r>
        <w:separator/>
      </w:r>
    </w:p>
  </w:footnote>
  <w:footnote w:type="continuationSeparator" w:id="0">
    <w:p w14:paraId="637AE232" w14:textId="77777777" w:rsidR="001E1B3B" w:rsidRDefault="001E1B3B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9B4BD" w14:textId="77777777" w:rsidR="005A226D" w:rsidRDefault="00000000" w:rsidP="00FA2B29">
    <w:pPr>
      <w:pStyle w:val="Lillev"/>
    </w:pPr>
    <w:sdt>
      <w:sdtPr>
        <w:id w:val="-1312632220"/>
        <w:docPartObj>
          <w:docPartGallery w:val="Watermarks"/>
          <w:docPartUnique/>
        </w:docPartObj>
      </w:sdtPr>
      <w:sdtContent>
        <w:r w:rsidR="00883655">
          <w:rPr>
            <w:noProof/>
            <w:lang w:eastAsia="da-DK"/>
          </w:rPr>
          <w:drawing>
            <wp:anchor distT="0" distB="0" distL="114300" distR="114300" simplePos="0" relativeHeight="251661312" behindDoc="1" locked="1" layoutInCell="1" allowOverlap="1" wp14:anchorId="36240E8D" wp14:editId="204F164F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1" name="Billede 1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5A226D">
      <w:t xml:space="preserve">   </w:t>
    </w:r>
  </w:p>
  <w:p w14:paraId="0E976D10" w14:textId="77777777" w:rsidR="002165A0" w:rsidRDefault="005A226D" w:rsidP="002165A0">
    <w:pPr>
      <w:pStyle w:val="Lillev"/>
      <w:ind w:right="1020"/>
      <w:jc w:val="left"/>
    </w:pP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15179B6F" wp14:editId="45B2B6C8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F1515">
      <w:t>Ineqarnermut</w:t>
    </w:r>
    <w:proofErr w:type="spellEnd"/>
    <w:r w:rsidR="00F67CE4" w:rsidRPr="00F67CE4">
      <w:t xml:space="preserve"> </w:t>
    </w:r>
    <w:proofErr w:type="spellStart"/>
    <w:r w:rsidR="00F67CE4" w:rsidRPr="00F67CE4">
      <w:t>Attaveqaasersuutinu</w:t>
    </w:r>
    <w:r w:rsidR="00FF1515">
      <w:t>l</w:t>
    </w:r>
    <w:r w:rsidR="00F67CE4" w:rsidRPr="00F67CE4">
      <w:t>lu</w:t>
    </w:r>
    <w:proofErr w:type="spellEnd"/>
    <w:r w:rsidR="00F67CE4" w:rsidRPr="00F67CE4">
      <w:t xml:space="preserve"> </w:t>
    </w:r>
    <w:proofErr w:type="spellStart"/>
    <w:r w:rsidR="00F67CE4" w:rsidRPr="00F67CE4">
      <w:t>Naalakkersuisoqarfik</w:t>
    </w:r>
    <w:proofErr w:type="spellEnd"/>
  </w:p>
  <w:p w14:paraId="623FAD57" w14:textId="77777777" w:rsidR="002165A0" w:rsidRDefault="003B779A" w:rsidP="002165A0">
    <w:pPr>
      <w:pStyle w:val="Lillev"/>
      <w:ind w:right="1020"/>
    </w:pPr>
    <w:r>
      <w:t>D</w:t>
    </w:r>
    <w:r w:rsidRPr="003B779A">
      <w:t>epartement</w:t>
    </w:r>
    <w:r w:rsidR="00910996">
      <w:t>et</w:t>
    </w:r>
    <w:r w:rsidR="00FF1515">
      <w:t xml:space="preserve"> for Boliger og</w:t>
    </w:r>
    <w:r w:rsidRPr="003B779A">
      <w:t xml:space="preserve"> Infrastruktur </w:t>
    </w:r>
  </w:p>
  <w:p w14:paraId="3FE9DB17" w14:textId="77777777" w:rsidR="005A226D" w:rsidRDefault="005A226D" w:rsidP="002165A0">
    <w:pPr>
      <w:pStyle w:val="Lillev"/>
      <w:spacing w:line="180" w:lineRule="atLeast"/>
      <w:ind w:right="2862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29"/>
    <w:rsid w:val="00027D8E"/>
    <w:rsid w:val="00040AD9"/>
    <w:rsid w:val="000C76E2"/>
    <w:rsid w:val="000F3927"/>
    <w:rsid w:val="00115913"/>
    <w:rsid w:val="00136411"/>
    <w:rsid w:val="00147C5D"/>
    <w:rsid w:val="00164B89"/>
    <w:rsid w:val="00164BA4"/>
    <w:rsid w:val="00171DDA"/>
    <w:rsid w:val="00194FBA"/>
    <w:rsid w:val="001A5BA9"/>
    <w:rsid w:val="001D53AE"/>
    <w:rsid w:val="001D6815"/>
    <w:rsid w:val="001E1B3B"/>
    <w:rsid w:val="001F3B9C"/>
    <w:rsid w:val="002165A0"/>
    <w:rsid w:val="00281BC3"/>
    <w:rsid w:val="00294B7A"/>
    <w:rsid w:val="002975F1"/>
    <w:rsid w:val="0032226E"/>
    <w:rsid w:val="00344751"/>
    <w:rsid w:val="00352136"/>
    <w:rsid w:val="003B0563"/>
    <w:rsid w:val="003B779A"/>
    <w:rsid w:val="003D77FE"/>
    <w:rsid w:val="00405676"/>
    <w:rsid w:val="0043108C"/>
    <w:rsid w:val="00433F70"/>
    <w:rsid w:val="004402D4"/>
    <w:rsid w:val="00442AB7"/>
    <w:rsid w:val="004524EC"/>
    <w:rsid w:val="00462CFB"/>
    <w:rsid w:val="00465A30"/>
    <w:rsid w:val="00493CCF"/>
    <w:rsid w:val="004A46AF"/>
    <w:rsid w:val="004A5112"/>
    <w:rsid w:val="004F5A45"/>
    <w:rsid w:val="005222BF"/>
    <w:rsid w:val="00565C65"/>
    <w:rsid w:val="00577C08"/>
    <w:rsid w:val="00580796"/>
    <w:rsid w:val="005A226D"/>
    <w:rsid w:val="005A2401"/>
    <w:rsid w:val="005D1690"/>
    <w:rsid w:val="005E1291"/>
    <w:rsid w:val="005F2104"/>
    <w:rsid w:val="006403E6"/>
    <w:rsid w:val="00696112"/>
    <w:rsid w:val="006D338C"/>
    <w:rsid w:val="006F145E"/>
    <w:rsid w:val="006F1E1D"/>
    <w:rsid w:val="007142C8"/>
    <w:rsid w:val="00723F78"/>
    <w:rsid w:val="00754E2C"/>
    <w:rsid w:val="00796799"/>
    <w:rsid w:val="007C7BAB"/>
    <w:rsid w:val="007D3B61"/>
    <w:rsid w:val="007D746B"/>
    <w:rsid w:val="007F3259"/>
    <w:rsid w:val="00832350"/>
    <w:rsid w:val="00845C89"/>
    <w:rsid w:val="00874C50"/>
    <w:rsid w:val="00883655"/>
    <w:rsid w:val="008B5055"/>
    <w:rsid w:val="008C33DA"/>
    <w:rsid w:val="008D1BBE"/>
    <w:rsid w:val="008F73FB"/>
    <w:rsid w:val="00910996"/>
    <w:rsid w:val="00986E1B"/>
    <w:rsid w:val="009A21D2"/>
    <w:rsid w:val="009B1365"/>
    <w:rsid w:val="009F2ED5"/>
    <w:rsid w:val="009F6E38"/>
    <w:rsid w:val="00A06729"/>
    <w:rsid w:val="00A06DC9"/>
    <w:rsid w:val="00A2260D"/>
    <w:rsid w:val="00A630C5"/>
    <w:rsid w:val="00A74BEE"/>
    <w:rsid w:val="00AB7F38"/>
    <w:rsid w:val="00B057E3"/>
    <w:rsid w:val="00B07417"/>
    <w:rsid w:val="00B3560E"/>
    <w:rsid w:val="00B51FD8"/>
    <w:rsid w:val="00B56759"/>
    <w:rsid w:val="00B646DE"/>
    <w:rsid w:val="00B75A84"/>
    <w:rsid w:val="00BA1D5B"/>
    <w:rsid w:val="00BB4E87"/>
    <w:rsid w:val="00BD260B"/>
    <w:rsid w:val="00BD2677"/>
    <w:rsid w:val="00BE2CAF"/>
    <w:rsid w:val="00C27FDB"/>
    <w:rsid w:val="00C63E01"/>
    <w:rsid w:val="00C66B33"/>
    <w:rsid w:val="00C931F3"/>
    <w:rsid w:val="00C933AD"/>
    <w:rsid w:val="00CA632E"/>
    <w:rsid w:val="00CB2A5A"/>
    <w:rsid w:val="00D22C68"/>
    <w:rsid w:val="00D32276"/>
    <w:rsid w:val="00D32DC6"/>
    <w:rsid w:val="00DD56A6"/>
    <w:rsid w:val="00DF54AF"/>
    <w:rsid w:val="00E126A4"/>
    <w:rsid w:val="00E6479B"/>
    <w:rsid w:val="00EB1ADD"/>
    <w:rsid w:val="00EB7195"/>
    <w:rsid w:val="00ED44EF"/>
    <w:rsid w:val="00EE48FC"/>
    <w:rsid w:val="00F07C37"/>
    <w:rsid w:val="00F24829"/>
    <w:rsid w:val="00F4208B"/>
    <w:rsid w:val="00F607BE"/>
    <w:rsid w:val="00F67CE4"/>
    <w:rsid w:val="00FA2B29"/>
    <w:rsid w:val="00FE4690"/>
    <w:rsid w:val="00FE527F"/>
    <w:rsid w:val="00FE5324"/>
    <w:rsid w:val="00FF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99097"/>
  <w15:docId w15:val="{1CAE1B22-9297-463E-ABBF-09FF9EFF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32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6479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6479B"/>
    <w:pPr>
      <w:spacing w:after="160" w:line="240" w:lineRule="auto"/>
    </w:pPr>
    <w:rPr>
      <w:kern w:val="2"/>
      <w:sz w:val="20"/>
      <w:szCs w:val="20"/>
      <w:lang w:val="kl-GL"/>
      <w14:ligatures w14:val="standardContextual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6479B"/>
    <w:rPr>
      <w:kern w:val="2"/>
      <w:sz w:val="20"/>
      <w:szCs w:val="20"/>
      <w:lang w:val="kl-G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3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g\AppData\Local\cBrain\F2\.tmp\a972695aac85474dbfdc6ad2324a86c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76DC81B92140B0A54DC3010D0F58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C954B1-266C-4D12-84C6-D2707A215E46}"/>
      </w:docPartPr>
      <w:docPartBody>
        <w:p w:rsidR="002B544C" w:rsidRDefault="00000000">
          <w:pPr>
            <w:pStyle w:val="4B76DC81B92140B0A54DC3010D0F5805"/>
          </w:pPr>
          <w:r w:rsidRPr="001924DA">
            <w:rPr>
              <w:rStyle w:val="Pladsholdertekst"/>
            </w:rPr>
            <w:t>[Navn 1]</w:t>
          </w:r>
        </w:p>
      </w:docPartBody>
    </w:docPart>
    <w:docPart>
      <w:docPartPr>
        <w:name w:val="7D3656FEB66B43F08F5826B0CE3B81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78BD0A-7C74-4DB8-9CC7-82E6B7A3E87B}"/>
      </w:docPartPr>
      <w:docPartBody>
        <w:p w:rsidR="002B544C" w:rsidRDefault="00000000">
          <w:pPr>
            <w:pStyle w:val="7D3656FEB66B43F08F5826B0CE3B81D0"/>
          </w:pPr>
          <w:r w:rsidRPr="001924DA">
            <w:rPr>
              <w:rStyle w:val="Pladsholdertekst"/>
            </w:rPr>
            <w:t>[Navn 2]</w:t>
          </w:r>
        </w:p>
      </w:docPartBody>
    </w:docPart>
    <w:docPart>
      <w:docPartPr>
        <w:name w:val="57C4BA2911F24B98A2B3D0897C17B2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1EDB28-620A-4464-9328-EE9735D0CAD5}"/>
      </w:docPartPr>
      <w:docPartBody>
        <w:p w:rsidR="002B544C" w:rsidRDefault="00000000">
          <w:pPr>
            <w:pStyle w:val="57C4BA2911F24B98A2B3D0897C17B2C9"/>
          </w:pPr>
          <w:r w:rsidRPr="001924DA">
            <w:rPr>
              <w:rStyle w:val="Pladsholdertekst"/>
            </w:rPr>
            <w:t>[Adresse 1]</w:t>
          </w:r>
        </w:p>
      </w:docPartBody>
    </w:docPart>
    <w:docPart>
      <w:docPartPr>
        <w:name w:val="79EE7187B29F441891042FA3CDADDA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EA6841-AFC1-4F10-9C44-6C943E748521}"/>
      </w:docPartPr>
      <w:docPartBody>
        <w:p w:rsidR="002B544C" w:rsidRDefault="00000000">
          <w:pPr>
            <w:pStyle w:val="79EE7187B29F441891042FA3CDADDA0A"/>
          </w:pPr>
          <w:r w:rsidRPr="00003BFD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82"/>
    <w:rsid w:val="000C76E2"/>
    <w:rsid w:val="001B53B8"/>
    <w:rsid w:val="002B544C"/>
    <w:rsid w:val="002E1179"/>
    <w:rsid w:val="0032226E"/>
    <w:rsid w:val="00462CFB"/>
    <w:rsid w:val="006D338C"/>
    <w:rsid w:val="0086377B"/>
    <w:rsid w:val="00BE2CAF"/>
    <w:rsid w:val="00E60D89"/>
    <w:rsid w:val="00E76E99"/>
    <w:rsid w:val="00F3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kl-GL" w:eastAsia="kl-G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4B76DC81B92140B0A54DC3010D0F5805">
    <w:name w:val="4B76DC81B92140B0A54DC3010D0F5805"/>
  </w:style>
  <w:style w:type="paragraph" w:customStyle="1" w:styleId="7D3656FEB66B43F08F5826B0CE3B81D0">
    <w:name w:val="7D3656FEB66B43F08F5826B0CE3B81D0"/>
  </w:style>
  <w:style w:type="paragraph" w:customStyle="1" w:styleId="57C4BA2911F24B98A2B3D0897C17B2C9">
    <w:name w:val="57C4BA2911F24B98A2B3D0897C17B2C9"/>
  </w:style>
  <w:style w:type="paragraph" w:customStyle="1" w:styleId="79EE7187B29F441891042FA3CDADDA0A">
    <w:name w:val="79EE7187B29F441891042FA3CDADDA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ns0:Root xmlns:ns0="Captia">
  <ns0:address>
    <Content xmlns="Captia" id="address1">
      <Value>Att: Kathrine Ødegård</Value>
    </Content>
    <Content xmlns="Captia" id="name:name1">
      <Value>Departementet for Erhverv, Handel, Råstoffer, Justitsområdet og Ligestilling</Value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record>
    <Content xmlns="Captia" id="title">
      <Value>Departementet for Boliger og Infrastrukturs høringssvar til ”</Value>
    </Content>
    <Content xmlns="Captia" id="letter_date">
      <Value/>
    </Content>
    <Content xmlns="Captia" id="record_key">
      <Value/>
    </Content>
  </ns0:record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case>
</ns0:Root>
</file>

<file path=customXml/itemProps1.xml><?xml version="1.0" encoding="utf-8"?>
<ds:datastoreItem xmlns:ds="http://schemas.openxmlformats.org/officeDocument/2006/customXml" ds:itemID="{50E828CC-F9BC-4FB3-BCBB-FD21A727DF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58D8CC-2510-4C5E-8403-B5C46FC56E19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a972695aac85474dbfdc6ad2324a86c7</Template>
  <TotalTime>110</TotalTime>
  <Pages>4</Pages>
  <Words>1221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 Sjøberg</dc:creator>
  <cp:lastModifiedBy>Kenneth Lund Bøjler</cp:lastModifiedBy>
  <cp:revision>7</cp:revision>
  <dcterms:created xsi:type="dcterms:W3CDTF">2024-05-17T18:21:00Z</dcterms:created>
  <dcterms:modified xsi:type="dcterms:W3CDTF">2024-05-31T18:03:00Z</dcterms:modified>
</cp:coreProperties>
</file>