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C5970" w14:textId="42B39076" w:rsidR="00875126" w:rsidRPr="005035FB" w:rsidRDefault="00875126" w:rsidP="00ED66A0">
      <w:pPr>
        <w:jc w:val="center"/>
        <w:rPr>
          <w:rFonts w:ascii="Times New Roman" w:hAnsi="Times New Roman" w:cs="Times New Roman"/>
          <w:sz w:val="36"/>
          <w:szCs w:val="36"/>
        </w:rPr>
      </w:pPr>
      <w:r w:rsidRPr="005035FB">
        <w:rPr>
          <w:rFonts w:ascii="Times New Roman" w:hAnsi="Times New Roman" w:cs="Times New Roman"/>
          <w:sz w:val="36"/>
          <w:szCs w:val="36"/>
        </w:rPr>
        <w:t>Bekendtgørelse</w:t>
      </w:r>
      <w:r w:rsidR="007D2D36" w:rsidRPr="005035FB">
        <w:rPr>
          <w:rFonts w:ascii="Times New Roman" w:hAnsi="Times New Roman" w:cs="Times New Roman"/>
          <w:sz w:val="36"/>
          <w:szCs w:val="36"/>
        </w:rPr>
        <w:t xml:space="preserve"> for Grønland</w:t>
      </w:r>
      <w:r w:rsidRPr="005035FB">
        <w:rPr>
          <w:rFonts w:ascii="Times New Roman" w:hAnsi="Times New Roman" w:cs="Times New Roman"/>
          <w:sz w:val="36"/>
          <w:szCs w:val="36"/>
        </w:rPr>
        <w:t xml:space="preserve"> om opgørelse af systemisk buffer</w:t>
      </w:r>
    </w:p>
    <w:p w14:paraId="639FE16C" w14:textId="77777777" w:rsidR="00875126" w:rsidRPr="005035FB" w:rsidRDefault="00875126" w:rsidP="00F60597">
      <w:pPr>
        <w:rPr>
          <w:rFonts w:ascii="Times New Roman" w:hAnsi="Times New Roman" w:cs="Times New Roman"/>
          <w:sz w:val="24"/>
          <w:szCs w:val="28"/>
        </w:rPr>
      </w:pPr>
    </w:p>
    <w:p w14:paraId="0797CDDF" w14:textId="7DB9CA77" w:rsidR="00875126" w:rsidRPr="005035FB" w:rsidRDefault="00875126" w:rsidP="00F60597">
      <w:pPr>
        <w:rPr>
          <w:rFonts w:ascii="Times New Roman" w:hAnsi="Times New Roman" w:cs="Times New Roman"/>
          <w:sz w:val="24"/>
          <w:szCs w:val="24"/>
          <w:lang w:val="fo-FO"/>
        </w:rPr>
      </w:pPr>
      <w:r w:rsidRPr="005035FB">
        <w:rPr>
          <w:rFonts w:ascii="Times New Roman" w:hAnsi="Times New Roman" w:cs="Times New Roman"/>
          <w:sz w:val="24"/>
          <w:szCs w:val="28"/>
        </w:rPr>
        <w:t>I medfør af § 125 h, stk. 5, og § 373, stk. 4, i lov om finansiel virksomhed,</w:t>
      </w:r>
      <w:r w:rsidR="00CD1197" w:rsidRPr="005035FB">
        <w:rPr>
          <w:rFonts w:ascii="Times New Roman" w:hAnsi="Times New Roman" w:cs="Times New Roman"/>
          <w:sz w:val="24"/>
          <w:szCs w:val="28"/>
        </w:rPr>
        <w:t xml:space="preserve"> </w:t>
      </w:r>
      <w:r w:rsidR="00CD1197" w:rsidRPr="005035FB">
        <w:rPr>
          <w:rFonts w:ascii="Times New Roman" w:hAnsi="Times New Roman" w:cs="Times New Roman"/>
          <w:sz w:val="24"/>
          <w:szCs w:val="28"/>
          <w:lang w:val="fo-FO"/>
        </w:rPr>
        <w:t xml:space="preserve">som sat i kraft for Grønland ved kongelig anordning nr. 1252 af 15. december 2004, som ændret ved anordning nr. 1047 af 1. september 2010, anordning nr. 838 af 14. august 2012, anordning nr. 1675 af 16. december 2015, anordning nr. 1676 af 16. december 2015, anordning nr. 1677 af 16. december 2015, anordning nr. 1678 af 16. december 2015, anordning nr. 1679 af 16. december 2015, anordning nr. 1680 af 16. december 2015, anordning nr. 1681 af 16. december 2015, anordning nr. 1682 af 16. december 2015, anordning nr. 1683 af 16. december 2015, anordning nr. 1684 af 16. december 2015, anordning nr. 1685 af 16. december 2015, anordning nr. 1686 af 16. december 2015, anordning nr. 1687 af 16. december 2015, anordning nr. 1688 af 16. december 2015, anordning nr. 1330 af 6. december 2019, anordning nr. 1327 af 6. december 2019, anordning nr. 1323 af 6. december 2019, anordning nr. 1324 af 6. december 2019, anordning nr. 68 af 29. januar 2020, anordning nr. 1096 af 29. juni 2022 og anordning nr. 921 af 26. juni 2023, fastsættes: </w:t>
      </w:r>
    </w:p>
    <w:p w14:paraId="65C18B1F" w14:textId="77777777" w:rsidR="00875126" w:rsidRPr="005035FB" w:rsidRDefault="00875126" w:rsidP="00F60597">
      <w:pPr>
        <w:rPr>
          <w:rFonts w:ascii="Times New Roman" w:hAnsi="Times New Roman" w:cs="Times New Roman"/>
          <w:sz w:val="24"/>
          <w:szCs w:val="28"/>
        </w:rPr>
      </w:pPr>
    </w:p>
    <w:p w14:paraId="4D031D6C" w14:textId="77777777" w:rsidR="00875126" w:rsidRPr="005035FB" w:rsidRDefault="00875126" w:rsidP="00C82969">
      <w:pPr>
        <w:jc w:val="center"/>
        <w:rPr>
          <w:rFonts w:ascii="Times New Roman" w:hAnsi="Times New Roman" w:cs="Times New Roman"/>
          <w:i/>
          <w:iCs/>
          <w:sz w:val="24"/>
          <w:szCs w:val="28"/>
        </w:rPr>
      </w:pPr>
      <w:r w:rsidRPr="005035FB">
        <w:rPr>
          <w:rFonts w:ascii="Times New Roman" w:hAnsi="Times New Roman" w:cs="Times New Roman"/>
          <w:i/>
          <w:iCs/>
          <w:sz w:val="24"/>
          <w:szCs w:val="28"/>
        </w:rPr>
        <w:t>Anvendelsesområde</w:t>
      </w:r>
    </w:p>
    <w:p w14:paraId="0B8C8710" w14:textId="77777777" w:rsidR="00875126" w:rsidRPr="005035FB" w:rsidRDefault="00875126" w:rsidP="00F60597">
      <w:pPr>
        <w:rPr>
          <w:rFonts w:ascii="Times New Roman" w:hAnsi="Times New Roman" w:cs="Times New Roman"/>
          <w:sz w:val="24"/>
          <w:szCs w:val="28"/>
        </w:rPr>
      </w:pPr>
    </w:p>
    <w:p w14:paraId="37C976DD" w14:textId="5B9941FF" w:rsidR="00875126" w:rsidRPr="005035FB" w:rsidRDefault="00875126" w:rsidP="00F60597">
      <w:pPr>
        <w:rPr>
          <w:rFonts w:ascii="Times New Roman" w:hAnsi="Times New Roman" w:cs="Times New Roman"/>
          <w:sz w:val="24"/>
          <w:szCs w:val="28"/>
        </w:rPr>
      </w:pPr>
      <w:r w:rsidRPr="005035FB">
        <w:rPr>
          <w:rFonts w:ascii="Times New Roman" w:hAnsi="Times New Roman" w:cs="Times New Roman"/>
          <w:b/>
          <w:bCs/>
          <w:sz w:val="24"/>
          <w:szCs w:val="28"/>
        </w:rPr>
        <w:t>§ 1.</w:t>
      </w:r>
      <w:r w:rsidRPr="005035FB">
        <w:rPr>
          <w:rFonts w:ascii="Times New Roman" w:hAnsi="Times New Roman" w:cs="Times New Roman"/>
          <w:sz w:val="24"/>
          <w:szCs w:val="28"/>
        </w:rPr>
        <w:t xml:space="preserve"> Bekendtgørelsen finder anvendelse på følgende virksomheder: </w:t>
      </w:r>
    </w:p>
    <w:p w14:paraId="46E1E02A" w14:textId="77777777" w:rsidR="00875126" w:rsidRPr="005035FB" w:rsidRDefault="00875126" w:rsidP="00875126">
      <w:pPr>
        <w:pStyle w:val="Listeafsnit"/>
        <w:numPr>
          <w:ilvl w:val="0"/>
          <w:numId w:val="1"/>
        </w:numPr>
        <w:rPr>
          <w:rFonts w:ascii="Times New Roman" w:hAnsi="Times New Roman" w:cs="Times New Roman"/>
          <w:sz w:val="24"/>
          <w:szCs w:val="28"/>
        </w:rPr>
      </w:pPr>
      <w:r w:rsidRPr="005035FB">
        <w:rPr>
          <w:rFonts w:ascii="Times New Roman" w:hAnsi="Times New Roman" w:cs="Times New Roman"/>
          <w:sz w:val="24"/>
          <w:szCs w:val="28"/>
        </w:rPr>
        <w:t xml:space="preserve">Pengeinstitutter. </w:t>
      </w:r>
    </w:p>
    <w:p w14:paraId="626189F7" w14:textId="77777777" w:rsidR="00875126" w:rsidRPr="005035FB" w:rsidRDefault="00875126" w:rsidP="00875126">
      <w:pPr>
        <w:pStyle w:val="Listeafsnit"/>
        <w:numPr>
          <w:ilvl w:val="0"/>
          <w:numId w:val="1"/>
        </w:numPr>
        <w:rPr>
          <w:rFonts w:ascii="Times New Roman" w:hAnsi="Times New Roman" w:cs="Times New Roman"/>
          <w:sz w:val="24"/>
          <w:szCs w:val="28"/>
        </w:rPr>
      </w:pPr>
      <w:r w:rsidRPr="005035FB">
        <w:rPr>
          <w:rFonts w:ascii="Times New Roman" w:hAnsi="Times New Roman" w:cs="Times New Roman"/>
          <w:sz w:val="24"/>
          <w:szCs w:val="28"/>
        </w:rPr>
        <w:t xml:space="preserve">Realkreditinstitutter. </w:t>
      </w:r>
    </w:p>
    <w:p w14:paraId="52F6B959" w14:textId="77777777" w:rsidR="00875126" w:rsidRPr="005035FB" w:rsidRDefault="00875126" w:rsidP="00875126">
      <w:pPr>
        <w:pStyle w:val="Listeafsnit"/>
        <w:numPr>
          <w:ilvl w:val="0"/>
          <w:numId w:val="1"/>
        </w:numPr>
        <w:rPr>
          <w:rFonts w:ascii="Times New Roman" w:hAnsi="Times New Roman" w:cs="Times New Roman"/>
          <w:sz w:val="24"/>
          <w:szCs w:val="28"/>
        </w:rPr>
      </w:pPr>
      <w:r w:rsidRPr="005035FB">
        <w:rPr>
          <w:rFonts w:ascii="Times New Roman" w:hAnsi="Times New Roman" w:cs="Times New Roman"/>
          <w:sz w:val="24"/>
          <w:szCs w:val="28"/>
        </w:rPr>
        <w:t>Fondsmæglerselskaber I, hvis fondsmæglerselskabet I har tilladelse til at udøve de aktiviteter, der er nævnt i bilag 4, afsnit A, nr. 3 og 6, i lov om finansiel virksomhed</w:t>
      </w:r>
      <w:r w:rsidR="00207B00" w:rsidRPr="005035FB">
        <w:rPr>
          <w:rFonts w:ascii="Times New Roman" w:hAnsi="Times New Roman" w:cs="Times New Roman"/>
          <w:sz w:val="24"/>
          <w:szCs w:val="28"/>
          <w:lang w:eastAsia="fo-FO"/>
        </w:rPr>
        <w:t>, som sat i kraft for Grønland ved kongelig anordning</w:t>
      </w:r>
      <w:r w:rsidRPr="005035FB">
        <w:rPr>
          <w:rFonts w:ascii="Times New Roman" w:hAnsi="Times New Roman" w:cs="Times New Roman"/>
          <w:sz w:val="24"/>
          <w:szCs w:val="28"/>
        </w:rPr>
        <w:t xml:space="preserve">. </w:t>
      </w:r>
    </w:p>
    <w:p w14:paraId="5E316565" w14:textId="77777777" w:rsidR="00875126" w:rsidRPr="005035FB" w:rsidRDefault="00875126" w:rsidP="00875126">
      <w:pPr>
        <w:rPr>
          <w:rFonts w:ascii="Times New Roman" w:hAnsi="Times New Roman" w:cs="Times New Roman"/>
          <w:sz w:val="24"/>
          <w:szCs w:val="28"/>
        </w:rPr>
      </w:pPr>
    </w:p>
    <w:p w14:paraId="280BBA45" w14:textId="77777777" w:rsidR="00875126" w:rsidRPr="005035FB" w:rsidRDefault="00875126" w:rsidP="00C82969">
      <w:pPr>
        <w:jc w:val="center"/>
        <w:rPr>
          <w:rFonts w:ascii="Times New Roman" w:hAnsi="Times New Roman" w:cs="Times New Roman"/>
          <w:i/>
          <w:iCs/>
          <w:sz w:val="24"/>
          <w:szCs w:val="28"/>
        </w:rPr>
      </w:pPr>
      <w:r w:rsidRPr="005035FB">
        <w:rPr>
          <w:rFonts w:ascii="Times New Roman" w:hAnsi="Times New Roman" w:cs="Times New Roman"/>
          <w:i/>
          <w:iCs/>
          <w:sz w:val="24"/>
          <w:szCs w:val="28"/>
        </w:rPr>
        <w:t>Opgørelse af systemisk buffer</w:t>
      </w:r>
    </w:p>
    <w:p w14:paraId="64F5B617" w14:textId="77777777" w:rsidR="00875126" w:rsidRPr="005035FB" w:rsidRDefault="00875126" w:rsidP="00875126">
      <w:pPr>
        <w:rPr>
          <w:rFonts w:ascii="Times New Roman" w:hAnsi="Times New Roman" w:cs="Times New Roman"/>
          <w:sz w:val="24"/>
          <w:szCs w:val="28"/>
        </w:rPr>
      </w:pPr>
    </w:p>
    <w:p w14:paraId="41578611" w14:textId="77777777" w:rsidR="00875126" w:rsidRPr="005035FB" w:rsidRDefault="00875126" w:rsidP="00875126">
      <w:pPr>
        <w:rPr>
          <w:rFonts w:ascii="Times New Roman" w:hAnsi="Times New Roman" w:cs="Times New Roman"/>
          <w:sz w:val="24"/>
          <w:szCs w:val="28"/>
        </w:rPr>
      </w:pPr>
      <w:r w:rsidRPr="005035FB">
        <w:rPr>
          <w:rFonts w:ascii="Times New Roman" w:hAnsi="Times New Roman" w:cs="Times New Roman"/>
          <w:b/>
          <w:bCs/>
          <w:sz w:val="24"/>
          <w:szCs w:val="28"/>
        </w:rPr>
        <w:t>§ 2.</w:t>
      </w:r>
      <w:r w:rsidRPr="005035FB">
        <w:rPr>
          <w:rFonts w:ascii="Times New Roman" w:hAnsi="Times New Roman" w:cs="Times New Roman"/>
          <w:sz w:val="24"/>
          <w:szCs w:val="28"/>
        </w:rPr>
        <w:t xml:space="preserve"> Virksomheden skal beregne sin systemiske buffer i overensstemmelse med bilag 1. </w:t>
      </w:r>
    </w:p>
    <w:p w14:paraId="55BF21BA" w14:textId="77777777" w:rsidR="00875126" w:rsidRPr="005035FB" w:rsidRDefault="00875126" w:rsidP="00875126">
      <w:pPr>
        <w:rPr>
          <w:rFonts w:ascii="Times New Roman" w:hAnsi="Times New Roman" w:cs="Times New Roman"/>
          <w:sz w:val="24"/>
          <w:szCs w:val="28"/>
        </w:rPr>
      </w:pPr>
    </w:p>
    <w:p w14:paraId="207DB776" w14:textId="77777777" w:rsidR="00875126" w:rsidRPr="005035FB" w:rsidRDefault="00875126" w:rsidP="00875126">
      <w:pPr>
        <w:rPr>
          <w:rFonts w:ascii="Times New Roman" w:hAnsi="Times New Roman" w:cs="Times New Roman"/>
          <w:sz w:val="24"/>
          <w:szCs w:val="28"/>
        </w:rPr>
      </w:pPr>
      <w:r w:rsidRPr="005035FB">
        <w:rPr>
          <w:rFonts w:ascii="Times New Roman" w:hAnsi="Times New Roman" w:cs="Times New Roman"/>
          <w:b/>
          <w:bCs/>
          <w:sz w:val="24"/>
          <w:szCs w:val="28"/>
        </w:rPr>
        <w:t>§ 3.</w:t>
      </w:r>
      <w:r w:rsidRPr="005035FB">
        <w:rPr>
          <w:rFonts w:ascii="Times New Roman" w:hAnsi="Times New Roman" w:cs="Times New Roman"/>
          <w:sz w:val="24"/>
          <w:szCs w:val="28"/>
        </w:rPr>
        <w:t xml:space="preserve"> Erhvervsministeren kan fastsætte systemiske buffersatser for følgende grupper af eksponeringer: </w:t>
      </w:r>
    </w:p>
    <w:p w14:paraId="11F3EA02" w14:textId="77777777" w:rsidR="00875126" w:rsidRPr="005035FB" w:rsidRDefault="00875126" w:rsidP="00875126">
      <w:pPr>
        <w:rPr>
          <w:rFonts w:ascii="Times New Roman" w:hAnsi="Times New Roman" w:cs="Times New Roman"/>
          <w:sz w:val="24"/>
          <w:szCs w:val="28"/>
        </w:rPr>
      </w:pPr>
    </w:p>
    <w:p w14:paraId="556514C9" w14:textId="2185BCC3" w:rsidR="00875126" w:rsidRPr="005035FB" w:rsidRDefault="00875126" w:rsidP="00875126">
      <w:pPr>
        <w:rPr>
          <w:rFonts w:ascii="Times New Roman" w:hAnsi="Times New Roman" w:cs="Times New Roman"/>
          <w:sz w:val="24"/>
          <w:szCs w:val="28"/>
        </w:rPr>
      </w:pPr>
      <w:r w:rsidRPr="005035FB">
        <w:rPr>
          <w:rFonts w:ascii="Times New Roman" w:hAnsi="Times New Roman" w:cs="Times New Roman"/>
          <w:sz w:val="24"/>
          <w:szCs w:val="28"/>
        </w:rPr>
        <w:t xml:space="preserve">1) Alle eksponeringer, der befinder sig i </w:t>
      </w:r>
      <w:r w:rsidR="00207B00" w:rsidRPr="005035FB">
        <w:rPr>
          <w:rFonts w:ascii="Times New Roman" w:hAnsi="Times New Roman" w:cs="Times New Roman"/>
          <w:sz w:val="24"/>
          <w:szCs w:val="28"/>
        </w:rPr>
        <w:t>Grønland</w:t>
      </w:r>
      <w:r w:rsidRPr="005035FB">
        <w:rPr>
          <w:rFonts w:ascii="Times New Roman" w:hAnsi="Times New Roman" w:cs="Times New Roman"/>
          <w:sz w:val="24"/>
          <w:szCs w:val="28"/>
        </w:rPr>
        <w:t xml:space="preserve">. </w:t>
      </w:r>
    </w:p>
    <w:p w14:paraId="21DB367E" w14:textId="77777777" w:rsidR="00875126" w:rsidRPr="005035FB" w:rsidRDefault="00875126" w:rsidP="00875126">
      <w:pPr>
        <w:rPr>
          <w:rFonts w:ascii="Times New Roman" w:hAnsi="Times New Roman" w:cs="Times New Roman"/>
          <w:sz w:val="24"/>
          <w:szCs w:val="28"/>
        </w:rPr>
      </w:pPr>
    </w:p>
    <w:p w14:paraId="71C64095" w14:textId="22A7589D" w:rsidR="003E14A1" w:rsidRPr="005035FB" w:rsidRDefault="00875126" w:rsidP="00875126">
      <w:pPr>
        <w:rPr>
          <w:rFonts w:ascii="Times New Roman" w:hAnsi="Times New Roman" w:cs="Times New Roman"/>
          <w:sz w:val="24"/>
          <w:szCs w:val="28"/>
        </w:rPr>
      </w:pPr>
      <w:r w:rsidRPr="005035FB">
        <w:rPr>
          <w:rFonts w:ascii="Times New Roman" w:hAnsi="Times New Roman" w:cs="Times New Roman"/>
          <w:sz w:val="24"/>
          <w:szCs w:val="28"/>
        </w:rPr>
        <w:t xml:space="preserve">2) Følgende sektoreksponeringer, der befinder sig i </w:t>
      </w:r>
      <w:r w:rsidR="00207B00" w:rsidRPr="005035FB">
        <w:rPr>
          <w:rFonts w:ascii="Times New Roman" w:hAnsi="Times New Roman" w:cs="Times New Roman"/>
          <w:sz w:val="24"/>
          <w:szCs w:val="28"/>
        </w:rPr>
        <w:t>Grønland</w:t>
      </w:r>
      <w:r w:rsidRPr="005035FB">
        <w:rPr>
          <w:rFonts w:ascii="Times New Roman" w:hAnsi="Times New Roman" w:cs="Times New Roman"/>
          <w:sz w:val="24"/>
          <w:szCs w:val="28"/>
        </w:rPr>
        <w:t xml:space="preserve">: </w:t>
      </w:r>
    </w:p>
    <w:p w14:paraId="5DA898E6" w14:textId="77777777" w:rsidR="003E14A1" w:rsidRPr="005035FB" w:rsidRDefault="00875126" w:rsidP="003E14A1">
      <w:pPr>
        <w:pStyle w:val="Listeafsnit"/>
        <w:numPr>
          <w:ilvl w:val="0"/>
          <w:numId w:val="3"/>
        </w:numPr>
        <w:rPr>
          <w:rFonts w:ascii="Times New Roman" w:hAnsi="Times New Roman" w:cs="Times New Roman"/>
          <w:sz w:val="24"/>
          <w:szCs w:val="28"/>
        </w:rPr>
      </w:pPr>
      <w:r w:rsidRPr="005035FB">
        <w:rPr>
          <w:rFonts w:ascii="Times New Roman" w:hAnsi="Times New Roman" w:cs="Times New Roman"/>
          <w:sz w:val="24"/>
          <w:szCs w:val="28"/>
        </w:rPr>
        <w:t xml:space="preserve">Alle detaileksponeringer over for fysiske personer, der er stillet sikkerhed for ved pant i beboelsesejendom. </w:t>
      </w:r>
    </w:p>
    <w:p w14:paraId="27FEAAAA" w14:textId="77777777" w:rsidR="003E14A1" w:rsidRPr="005035FB" w:rsidRDefault="00875126" w:rsidP="003E14A1">
      <w:pPr>
        <w:pStyle w:val="Listeafsnit"/>
        <w:numPr>
          <w:ilvl w:val="0"/>
          <w:numId w:val="3"/>
        </w:numPr>
        <w:rPr>
          <w:rFonts w:ascii="Times New Roman" w:hAnsi="Times New Roman" w:cs="Times New Roman"/>
          <w:sz w:val="24"/>
          <w:szCs w:val="28"/>
        </w:rPr>
      </w:pPr>
      <w:r w:rsidRPr="005035FB">
        <w:rPr>
          <w:rFonts w:ascii="Times New Roman" w:hAnsi="Times New Roman" w:cs="Times New Roman"/>
          <w:sz w:val="24"/>
          <w:szCs w:val="28"/>
        </w:rPr>
        <w:t xml:space="preserve">Alle eksponeringer over for juridiske personer, der er stillet sikkerhed for ved pant i erhvervsejendom. </w:t>
      </w:r>
    </w:p>
    <w:p w14:paraId="6FE5FFF1" w14:textId="77777777" w:rsidR="003E14A1" w:rsidRPr="005035FB" w:rsidRDefault="00875126" w:rsidP="003E14A1">
      <w:pPr>
        <w:pStyle w:val="Listeafsnit"/>
        <w:numPr>
          <w:ilvl w:val="0"/>
          <w:numId w:val="3"/>
        </w:numPr>
        <w:rPr>
          <w:rFonts w:ascii="Times New Roman" w:hAnsi="Times New Roman" w:cs="Times New Roman"/>
          <w:sz w:val="24"/>
          <w:szCs w:val="28"/>
        </w:rPr>
      </w:pPr>
      <w:r w:rsidRPr="005035FB">
        <w:rPr>
          <w:rFonts w:ascii="Times New Roman" w:hAnsi="Times New Roman" w:cs="Times New Roman"/>
          <w:sz w:val="24"/>
          <w:szCs w:val="28"/>
        </w:rPr>
        <w:t xml:space="preserve">Alle eksponeringer over for juridiske personer, bortset fra dem, der er angivet i litra b. </w:t>
      </w:r>
    </w:p>
    <w:p w14:paraId="6598A5A1" w14:textId="77777777" w:rsidR="00875126" w:rsidRPr="005035FB" w:rsidRDefault="00875126" w:rsidP="003E14A1">
      <w:pPr>
        <w:pStyle w:val="Listeafsnit"/>
        <w:numPr>
          <w:ilvl w:val="0"/>
          <w:numId w:val="3"/>
        </w:numPr>
        <w:rPr>
          <w:rFonts w:ascii="Times New Roman" w:hAnsi="Times New Roman" w:cs="Times New Roman"/>
          <w:sz w:val="24"/>
          <w:szCs w:val="28"/>
        </w:rPr>
      </w:pPr>
      <w:r w:rsidRPr="005035FB">
        <w:rPr>
          <w:rFonts w:ascii="Times New Roman" w:hAnsi="Times New Roman" w:cs="Times New Roman"/>
          <w:sz w:val="24"/>
          <w:szCs w:val="28"/>
        </w:rPr>
        <w:t xml:space="preserve">Alle eksponeringer over for fysiske personer, bortset fra dem, der er angivet i litra a. </w:t>
      </w:r>
    </w:p>
    <w:p w14:paraId="2C16ECAD" w14:textId="77777777" w:rsidR="00875126" w:rsidRPr="005035FB" w:rsidRDefault="00875126" w:rsidP="00875126">
      <w:pPr>
        <w:rPr>
          <w:rFonts w:ascii="Times New Roman" w:hAnsi="Times New Roman" w:cs="Times New Roman"/>
          <w:sz w:val="24"/>
          <w:szCs w:val="28"/>
        </w:rPr>
      </w:pPr>
    </w:p>
    <w:p w14:paraId="068284DD" w14:textId="77777777" w:rsidR="00875126" w:rsidRPr="005035FB" w:rsidRDefault="00875126" w:rsidP="00875126">
      <w:pPr>
        <w:rPr>
          <w:rFonts w:ascii="Times New Roman" w:hAnsi="Times New Roman" w:cs="Times New Roman"/>
          <w:sz w:val="24"/>
          <w:szCs w:val="28"/>
        </w:rPr>
      </w:pPr>
      <w:r w:rsidRPr="005035FB">
        <w:rPr>
          <w:rFonts w:ascii="Times New Roman" w:hAnsi="Times New Roman" w:cs="Times New Roman"/>
          <w:sz w:val="24"/>
          <w:szCs w:val="28"/>
        </w:rPr>
        <w:t xml:space="preserve">3) Undergrupper af sektoreksponeringerne i nr. 2. </w:t>
      </w:r>
    </w:p>
    <w:p w14:paraId="582FC7DC" w14:textId="77777777" w:rsidR="00875126" w:rsidRPr="005035FB" w:rsidRDefault="00875126" w:rsidP="00875126">
      <w:pPr>
        <w:rPr>
          <w:rFonts w:ascii="Times New Roman" w:hAnsi="Times New Roman" w:cs="Times New Roman"/>
          <w:sz w:val="24"/>
          <w:szCs w:val="28"/>
        </w:rPr>
      </w:pPr>
    </w:p>
    <w:p w14:paraId="3C1317E4" w14:textId="08FF355D" w:rsidR="00875126" w:rsidRPr="005035FB" w:rsidRDefault="00875126" w:rsidP="00875126">
      <w:pPr>
        <w:rPr>
          <w:rFonts w:ascii="Times New Roman" w:hAnsi="Times New Roman" w:cs="Times New Roman"/>
          <w:sz w:val="24"/>
          <w:szCs w:val="28"/>
        </w:rPr>
      </w:pPr>
      <w:r w:rsidRPr="005035FB">
        <w:rPr>
          <w:rFonts w:ascii="Times New Roman" w:hAnsi="Times New Roman" w:cs="Times New Roman"/>
          <w:sz w:val="24"/>
          <w:szCs w:val="28"/>
        </w:rPr>
        <w:t xml:space="preserve">4) Alle eksponeringer, der befinder sig i et land inden for Den Europæiske Union eller i et land, som Unionen har indgået en aftale med på det finansielle område, jf. dog § 4. </w:t>
      </w:r>
    </w:p>
    <w:p w14:paraId="43885EEB" w14:textId="77777777" w:rsidR="00875126" w:rsidRPr="005035FB" w:rsidRDefault="00875126" w:rsidP="00875126">
      <w:pPr>
        <w:rPr>
          <w:rFonts w:ascii="Times New Roman" w:hAnsi="Times New Roman" w:cs="Times New Roman"/>
          <w:sz w:val="24"/>
          <w:szCs w:val="28"/>
        </w:rPr>
      </w:pPr>
    </w:p>
    <w:p w14:paraId="61AE3616" w14:textId="41AED859" w:rsidR="00875126" w:rsidRPr="005035FB" w:rsidRDefault="00875126" w:rsidP="00875126">
      <w:pPr>
        <w:rPr>
          <w:rFonts w:ascii="Times New Roman" w:hAnsi="Times New Roman" w:cs="Times New Roman"/>
          <w:sz w:val="24"/>
          <w:szCs w:val="28"/>
        </w:rPr>
      </w:pPr>
      <w:r w:rsidRPr="005035FB">
        <w:rPr>
          <w:rFonts w:ascii="Times New Roman" w:hAnsi="Times New Roman" w:cs="Times New Roman"/>
          <w:sz w:val="24"/>
          <w:szCs w:val="28"/>
        </w:rPr>
        <w:t xml:space="preserve">5) De sektoreksponeringer, der er identificeret i nr. 2, og en eller flere undergrupper heraf i nr. 3, som befinder sig i et land inden for Den Europæiske Union eller i et land, som Unionen har indgået en </w:t>
      </w:r>
      <w:r w:rsidRPr="005035FB">
        <w:rPr>
          <w:rFonts w:ascii="Times New Roman" w:hAnsi="Times New Roman" w:cs="Times New Roman"/>
          <w:sz w:val="24"/>
          <w:szCs w:val="28"/>
        </w:rPr>
        <w:lastRenderedPageBreak/>
        <w:t>aftale med på det finansielle område alene med det formål at kunne få anerkendt en buffersats, der er fastsat af det pågældende land, jf. § 125 h, stk. 2 og 3</w:t>
      </w:r>
      <w:r w:rsidR="00335F00" w:rsidRPr="005035FB">
        <w:rPr>
          <w:rFonts w:ascii="Times New Roman" w:hAnsi="Times New Roman" w:cs="Times New Roman"/>
          <w:sz w:val="24"/>
          <w:szCs w:val="28"/>
        </w:rPr>
        <w:t>,</w:t>
      </w:r>
      <w:r w:rsidRPr="005035FB">
        <w:rPr>
          <w:rFonts w:ascii="Times New Roman" w:hAnsi="Times New Roman" w:cs="Times New Roman"/>
          <w:sz w:val="24"/>
          <w:szCs w:val="28"/>
        </w:rPr>
        <w:t xml:space="preserve"> i lov om finansiel virksomhed</w:t>
      </w:r>
      <w:r w:rsidR="00207B00" w:rsidRPr="005035FB">
        <w:rPr>
          <w:rFonts w:ascii="Times New Roman" w:hAnsi="Times New Roman" w:cs="Times New Roman"/>
          <w:sz w:val="24"/>
          <w:szCs w:val="28"/>
          <w:lang w:eastAsia="fo-FO"/>
        </w:rPr>
        <w:t>, som sat i kraft for Grønland ved kongelig anordning</w:t>
      </w:r>
      <w:r w:rsidRPr="005035FB">
        <w:rPr>
          <w:rFonts w:ascii="Times New Roman" w:hAnsi="Times New Roman" w:cs="Times New Roman"/>
          <w:sz w:val="24"/>
          <w:szCs w:val="28"/>
        </w:rPr>
        <w:t xml:space="preserve">. </w:t>
      </w:r>
    </w:p>
    <w:p w14:paraId="735DC63A" w14:textId="77777777" w:rsidR="00875126" w:rsidRPr="005035FB" w:rsidRDefault="00875126" w:rsidP="00875126">
      <w:pPr>
        <w:rPr>
          <w:rFonts w:ascii="Times New Roman" w:hAnsi="Times New Roman" w:cs="Times New Roman"/>
          <w:sz w:val="24"/>
          <w:szCs w:val="28"/>
        </w:rPr>
      </w:pPr>
    </w:p>
    <w:p w14:paraId="6F8A8FE9" w14:textId="6BAEA492" w:rsidR="00875126" w:rsidRPr="005035FB" w:rsidRDefault="00875126" w:rsidP="00875126">
      <w:pPr>
        <w:rPr>
          <w:rFonts w:ascii="Times New Roman" w:hAnsi="Times New Roman" w:cs="Times New Roman"/>
          <w:sz w:val="24"/>
          <w:szCs w:val="28"/>
        </w:rPr>
      </w:pPr>
      <w:r w:rsidRPr="005035FB">
        <w:rPr>
          <w:rFonts w:ascii="Times New Roman" w:hAnsi="Times New Roman" w:cs="Times New Roman"/>
          <w:sz w:val="24"/>
          <w:szCs w:val="28"/>
        </w:rPr>
        <w:t xml:space="preserve">6) Eksponeringer, der befinder sig i et land uden for </w:t>
      </w:r>
      <w:r w:rsidR="00716047" w:rsidRPr="005035FB">
        <w:rPr>
          <w:rFonts w:ascii="Times New Roman" w:hAnsi="Times New Roman" w:cs="Times New Roman"/>
          <w:sz w:val="24"/>
          <w:szCs w:val="28"/>
        </w:rPr>
        <w:t>D</w:t>
      </w:r>
      <w:r w:rsidRPr="005035FB">
        <w:rPr>
          <w:rFonts w:ascii="Times New Roman" w:hAnsi="Times New Roman" w:cs="Times New Roman"/>
          <w:sz w:val="24"/>
          <w:szCs w:val="28"/>
        </w:rPr>
        <w:t xml:space="preserve">en Europæiske Union, som Unionen ikke har indgået aftale med på det finansielle område. </w:t>
      </w:r>
    </w:p>
    <w:p w14:paraId="31BFCCC4" w14:textId="77777777" w:rsidR="00875126" w:rsidRPr="005035FB" w:rsidRDefault="00875126" w:rsidP="00875126">
      <w:pPr>
        <w:rPr>
          <w:rFonts w:ascii="Times New Roman" w:hAnsi="Times New Roman" w:cs="Times New Roman"/>
          <w:sz w:val="24"/>
          <w:szCs w:val="28"/>
        </w:rPr>
      </w:pPr>
    </w:p>
    <w:p w14:paraId="261F3D11" w14:textId="77777777" w:rsidR="00875126" w:rsidRPr="005035FB" w:rsidRDefault="00875126" w:rsidP="00875126">
      <w:pPr>
        <w:rPr>
          <w:rFonts w:ascii="Times New Roman" w:hAnsi="Times New Roman" w:cs="Times New Roman"/>
          <w:sz w:val="24"/>
          <w:szCs w:val="28"/>
        </w:rPr>
      </w:pPr>
      <w:r w:rsidRPr="005035FB">
        <w:rPr>
          <w:rFonts w:ascii="Times New Roman" w:hAnsi="Times New Roman" w:cs="Times New Roman"/>
          <w:i/>
          <w:iCs/>
          <w:sz w:val="24"/>
          <w:szCs w:val="28"/>
        </w:rPr>
        <w:t>Stk. 2.</w:t>
      </w:r>
      <w:r w:rsidRPr="005035FB">
        <w:rPr>
          <w:rFonts w:ascii="Times New Roman" w:hAnsi="Times New Roman" w:cs="Times New Roman"/>
          <w:sz w:val="24"/>
          <w:szCs w:val="28"/>
        </w:rPr>
        <w:t xml:space="preserve"> En systemisk buffersats skal gælde for alle eksponeringer, en eller flere sektoreksponeringer eller undergrupper af eksponeringer, og for alle virksomheder eller en eller flere undergrupper af disse virksomheder, i tilpasningstrin på 0,5 procentpoint. </w:t>
      </w:r>
    </w:p>
    <w:p w14:paraId="1776820E" w14:textId="77777777" w:rsidR="00875126" w:rsidRPr="005035FB" w:rsidRDefault="00875126" w:rsidP="00875126">
      <w:pPr>
        <w:rPr>
          <w:rFonts w:ascii="Times New Roman" w:hAnsi="Times New Roman" w:cs="Times New Roman"/>
          <w:sz w:val="24"/>
          <w:szCs w:val="28"/>
        </w:rPr>
      </w:pPr>
    </w:p>
    <w:p w14:paraId="38681480" w14:textId="71F39A77" w:rsidR="00875126" w:rsidRPr="005035FB" w:rsidRDefault="00875126" w:rsidP="00875126">
      <w:pPr>
        <w:rPr>
          <w:rFonts w:ascii="Times New Roman" w:hAnsi="Times New Roman" w:cs="Times New Roman"/>
          <w:sz w:val="24"/>
          <w:szCs w:val="28"/>
        </w:rPr>
      </w:pPr>
      <w:r w:rsidRPr="005035FB">
        <w:rPr>
          <w:rFonts w:ascii="Times New Roman" w:hAnsi="Times New Roman" w:cs="Times New Roman"/>
          <w:b/>
          <w:bCs/>
          <w:sz w:val="24"/>
          <w:szCs w:val="28"/>
        </w:rPr>
        <w:t xml:space="preserve">§ 4. </w:t>
      </w:r>
      <w:r w:rsidRPr="005035FB">
        <w:rPr>
          <w:rFonts w:ascii="Times New Roman" w:hAnsi="Times New Roman" w:cs="Times New Roman"/>
          <w:sz w:val="24"/>
          <w:szCs w:val="28"/>
        </w:rPr>
        <w:t>Fastsætter erhvervsministeren en systemisk buffersats for eksponeringer, der befinder sig i et land inden for Den Europæiske Union eller i et land, som Unionen har indgået en aftale med på det finansielle område, skal buffersatsen være ens for alle eksponeringer i  lande</w:t>
      </w:r>
      <w:r w:rsidR="0030127E" w:rsidRPr="005035FB">
        <w:rPr>
          <w:rFonts w:ascii="Times New Roman" w:hAnsi="Times New Roman" w:cs="Times New Roman"/>
          <w:sz w:val="24"/>
          <w:szCs w:val="28"/>
        </w:rPr>
        <w:t>ne</w:t>
      </w:r>
      <w:r w:rsidRPr="005035FB">
        <w:rPr>
          <w:rFonts w:ascii="Times New Roman" w:hAnsi="Times New Roman" w:cs="Times New Roman"/>
          <w:sz w:val="24"/>
          <w:szCs w:val="28"/>
        </w:rPr>
        <w:t xml:space="preserve"> inden for Den Europæiske Union, medmindre buffersatsen fastsættes for at anerkende den systemiske buffersats, der er fastsat af det pågældende land, jf. § 125 h, stk. 2 og 3, i lov om finansiel virksomhed</w:t>
      </w:r>
      <w:r w:rsidR="00207B00" w:rsidRPr="005035FB">
        <w:rPr>
          <w:rFonts w:ascii="Times New Roman" w:hAnsi="Times New Roman" w:cs="Times New Roman"/>
          <w:sz w:val="24"/>
          <w:szCs w:val="28"/>
          <w:lang w:eastAsia="fo-FO"/>
        </w:rPr>
        <w:t>, som sat i kraft for Grønland ved kongelig anordning</w:t>
      </w:r>
      <w:r w:rsidRPr="005035FB">
        <w:rPr>
          <w:rFonts w:ascii="Times New Roman" w:hAnsi="Times New Roman" w:cs="Times New Roman"/>
          <w:sz w:val="24"/>
          <w:szCs w:val="28"/>
        </w:rPr>
        <w:t xml:space="preserve">. </w:t>
      </w:r>
    </w:p>
    <w:p w14:paraId="0BE73BEF" w14:textId="77777777" w:rsidR="00875126" w:rsidRPr="005035FB" w:rsidRDefault="00875126" w:rsidP="00875126">
      <w:pPr>
        <w:rPr>
          <w:rFonts w:ascii="Times New Roman" w:hAnsi="Times New Roman" w:cs="Times New Roman"/>
          <w:sz w:val="24"/>
          <w:szCs w:val="28"/>
        </w:rPr>
      </w:pPr>
    </w:p>
    <w:p w14:paraId="40F2F39A" w14:textId="77777777" w:rsidR="00875126" w:rsidRPr="005035FB" w:rsidRDefault="00875126" w:rsidP="00C82969">
      <w:pPr>
        <w:jc w:val="center"/>
        <w:rPr>
          <w:rFonts w:ascii="Times New Roman" w:hAnsi="Times New Roman" w:cs="Times New Roman"/>
          <w:i/>
          <w:iCs/>
          <w:sz w:val="24"/>
          <w:szCs w:val="28"/>
        </w:rPr>
      </w:pPr>
      <w:r w:rsidRPr="005035FB">
        <w:rPr>
          <w:rFonts w:ascii="Times New Roman" w:hAnsi="Times New Roman" w:cs="Times New Roman"/>
          <w:i/>
          <w:iCs/>
          <w:sz w:val="24"/>
          <w:szCs w:val="28"/>
        </w:rPr>
        <w:t xml:space="preserve">Offentliggørelse </w:t>
      </w:r>
    </w:p>
    <w:p w14:paraId="43782221" w14:textId="77777777" w:rsidR="00875126" w:rsidRPr="005035FB" w:rsidRDefault="00875126" w:rsidP="00875126">
      <w:pPr>
        <w:rPr>
          <w:rFonts w:ascii="Times New Roman" w:hAnsi="Times New Roman" w:cs="Times New Roman"/>
          <w:sz w:val="24"/>
          <w:szCs w:val="28"/>
        </w:rPr>
      </w:pPr>
    </w:p>
    <w:p w14:paraId="72C214E4" w14:textId="77777777" w:rsidR="00875126" w:rsidRPr="005035FB" w:rsidRDefault="00875126" w:rsidP="00875126">
      <w:pPr>
        <w:rPr>
          <w:rFonts w:ascii="Times New Roman" w:hAnsi="Times New Roman" w:cs="Times New Roman"/>
          <w:sz w:val="24"/>
          <w:szCs w:val="28"/>
        </w:rPr>
      </w:pPr>
      <w:r w:rsidRPr="005035FB">
        <w:rPr>
          <w:rFonts w:ascii="Times New Roman" w:hAnsi="Times New Roman" w:cs="Times New Roman"/>
          <w:b/>
          <w:bCs/>
          <w:sz w:val="24"/>
          <w:szCs w:val="28"/>
        </w:rPr>
        <w:t>§ 5.</w:t>
      </w:r>
      <w:r w:rsidRPr="005035FB">
        <w:rPr>
          <w:rFonts w:ascii="Times New Roman" w:hAnsi="Times New Roman" w:cs="Times New Roman"/>
          <w:sz w:val="24"/>
          <w:szCs w:val="28"/>
        </w:rPr>
        <w:t xml:space="preserve"> Erhvervsministeren offentliggør på Erhvervsministeriets hjemmeside en meddelelse om fastsættelsen eller genfastsættelsen af alle systemiske buffersatser. Meddelelsen skal mindst indeholde følgende oplysninger: </w:t>
      </w:r>
    </w:p>
    <w:p w14:paraId="1AA864EB" w14:textId="77777777" w:rsidR="00875126" w:rsidRPr="005035FB" w:rsidRDefault="00875126" w:rsidP="00875126">
      <w:pPr>
        <w:rPr>
          <w:rFonts w:ascii="Times New Roman" w:hAnsi="Times New Roman" w:cs="Times New Roman"/>
          <w:sz w:val="24"/>
          <w:szCs w:val="28"/>
        </w:rPr>
      </w:pPr>
      <w:r w:rsidRPr="005035FB">
        <w:rPr>
          <w:rFonts w:ascii="Times New Roman" w:hAnsi="Times New Roman" w:cs="Times New Roman"/>
          <w:sz w:val="24"/>
          <w:szCs w:val="28"/>
        </w:rPr>
        <w:t xml:space="preserve">1) den systemiske buffersats eller de systemiske buffersatser, </w:t>
      </w:r>
    </w:p>
    <w:p w14:paraId="49344909" w14:textId="77777777" w:rsidR="00875126" w:rsidRPr="005035FB" w:rsidRDefault="00875126" w:rsidP="00875126">
      <w:pPr>
        <w:rPr>
          <w:rFonts w:ascii="Times New Roman" w:hAnsi="Times New Roman" w:cs="Times New Roman"/>
          <w:sz w:val="24"/>
          <w:szCs w:val="28"/>
        </w:rPr>
      </w:pPr>
      <w:r w:rsidRPr="005035FB">
        <w:rPr>
          <w:rFonts w:ascii="Times New Roman" w:hAnsi="Times New Roman" w:cs="Times New Roman"/>
          <w:sz w:val="24"/>
          <w:szCs w:val="28"/>
        </w:rPr>
        <w:t xml:space="preserve">2) de eksponeringer, den systemiske buffersats eller systemiske buffersatser finder anvendelse for, </w:t>
      </w:r>
    </w:p>
    <w:p w14:paraId="75E2CAEA" w14:textId="77777777" w:rsidR="00875126" w:rsidRPr="005035FB" w:rsidRDefault="00875126" w:rsidP="00875126">
      <w:pPr>
        <w:rPr>
          <w:rFonts w:ascii="Times New Roman" w:hAnsi="Times New Roman" w:cs="Times New Roman"/>
          <w:sz w:val="24"/>
          <w:szCs w:val="28"/>
        </w:rPr>
      </w:pPr>
      <w:r w:rsidRPr="005035FB">
        <w:rPr>
          <w:rFonts w:ascii="Times New Roman" w:hAnsi="Times New Roman" w:cs="Times New Roman"/>
          <w:sz w:val="24"/>
          <w:szCs w:val="28"/>
        </w:rPr>
        <w:t xml:space="preserve">3) de virksomheder, den systemiske buffersats eller de systemiske buffersatser finder anvendelse for, </w:t>
      </w:r>
    </w:p>
    <w:p w14:paraId="188F5B63" w14:textId="77777777" w:rsidR="00875126" w:rsidRPr="005035FB" w:rsidRDefault="00875126" w:rsidP="00875126">
      <w:pPr>
        <w:rPr>
          <w:rFonts w:ascii="Times New Roman" w:hAnsi="Times New Roman" w:cs="Times New Roman"/>
          <w:sz w:val="24"/>
          <w:szCs w:val="28"/>
        </w:rPr>
      </w:pPr>
      <w:r w:rsidRPr="005035FB">
        <w:rPr>
          <w:rFonts w:ascii="Times New Roman" w:hAnsi="Times New Roman" w:cs="Times New Roman"/>
          <w:sz w:val="24"/>
          <w:szCs w:val="28"/>
        </w:rPr>
        <w:t>4)</w:t>
      </w:r>
      <w:r w:rsidR="003E14A1" w:rsidRPr="005035FB">
        <w:rPr>
          <w:rFonts w:ascii="Times New Roman" w:hAnsi="Times New Roman" w:cs="Times New Roman"/>
          <w:sz w:val="24"/>
          <w:szCs w:val="28"/>
        </w:rPr>
        <w:t xml:space="preserve"> </w:t>
      </w:r>
      <w:r w:rsidRPr="005035FB">
        <w:rPr>
          <w:rFonts w:ascii="Times New Roman" w:hAnsi="Times New Roman" w:cs="Times New Roman"/>
          <w:sz w:val="24"/>
          <w:szCs w:val="28"/>
        </w:rPr>
        <w:t xml:space="preserve">en begrundelse for fastsættelsen af den systemiske buffersats eller de systemiske buffersatser, medmindre den kan udgøre en trussel mod det finansielle systems stabilitet, </w:t>
      </w:r>
    </w:p>
    <w:p w14:paraId="4EB1997D" w14:textId="77777777" w:rsidR="00875126" w:rsidRPr="005035FB" w:rsidRDefault="00875126" w:rsidP="00875126">
      <w:pPr>
        <w:rPr>
          <w:rFonts w:ascii="Times New Roman" w:hAnsi="Times New Roman" w:cs="Times New Roman"/>
          <w:sz w:val="24"/>
          <w:szCs w:val="28"/>
        </w:rPr>
      </w:pPr>
      <w:r w:rsidRPr="005035FB">
        <w:rPr>
          <w:rFonts w:ascii="Times New Roman" w:hAnsi="Times New Roman" w:cs="Times New Roman"/>
          <w:sz w:val="24"/>
          <w:szCs w:val="28"/>
        </w:rPr>
        <w:t xml:space="preserve">5) fra hvilken dato virksomhederne skal anvende den systemiske buffersats eller de systemiske buffersatser til opgørelse af deres systemiske buffer i medfør af § 2, og </w:t>
      </w:r>
    </w:p>
    <w:p w14:paraId="35F97511" w14:textId="3EE7CA74" w:rsidR="00875126" w:rsidRPr="005035FB" w:rsidRDefault="00875126" w:rsidP="00875126">
      <w:pPr>
        <w:rPr>
          <w:rFonts w:ascii="Times New Roman" w:hAnsi="Times New Roman" w:cs="Times New Roman"/>
          <w:sz w:val="24"/>
          <w:szCs w:val="28"/>
        </w:rPr>
      </w:pPr>
      <w:r w:rsidRPr="005035FB">
        <w:rPr>
          <w:rFonts w:ascii="Times New Roman" w:hAnsi="Times New Roman" w:cs="Times New Roman"/>
          <w:sz w:val="24"/>
          <w:szCs w:val="28"/>
        </w:rPr>
        <w:t xml:space="preserve">6) navne på de lande, hvor erhvervsministeren anerkender de pågældende landes systemiske buffersats eller buffersatser. </w:t>
      </w:r>
    </w:p>
    <w:p w14:paraId="3E0CE0A5" w14:textId="77777777" w:rsidR="00875126" w:rsidRPr="005035FB" w:rsidRDefault="00875126" w:rsidP="00875126">
      <w:pPr>
        <w:rPr>
          <w:rFonts w:ascii="Times New Roman" w:hAnsi="Times New Roman" w:cs="Times New Roman"/>
          <w:sz w:val="24"/>
          <w:szCs w:val="28"/>
        </w:rPr>
      </w:pPr>
      <w:r w:rsidRPr="005035FB">
        <w:rPr>
          <w:rFonts w:ascii="Times New Roman" w:hAnsi="Times New Roman" w:cs="Times New Roman"/>
          <w:i/>
          <w:iCs/>
          <w:sz w:val="24"/>
          <w:szCs w:val="28"/>
        </w:rPr>
        <w:t>Stk. 2.</w:t>
      </w:r>
      <w:r w:rsidRPr="005035FB">
        <w:rPr>
          <w:rFonts w:ascii="Times New Roman" w:hAnsi="Times New Roman" w:cs="Times New Roman"/>
          <w:sz w:val="24"/>
          <w:szCs w:val="28"/>
        </w:rPr>
        <w:t xml:space="preserve"> Virksomheden skal på sin hjemmeside på et sted, hvor den naturligt hører hjemme, offentliggøre sin institutspecifikke systemiske buffersats fra den dato, hvor virksomheden skal anvende den systemiske buffersats eller de systemiske buffersatser. Virksomheden opgør sin institutspecifikke systemiske buffersats ved at dividere virksomhedens systemiske buffer beregnet i medfør af § 2 med virksomhedens samlede risikoeksponeringsbeløb i overensstemmelse med artikel 92, stk. 3, i Europa-Parlamentets og Rådets forordning (EU) nr. 575/2013 af 26. juni 2013 om tilsynsmæssige krav til kreditinstitutter og investeringsselskaber</w:t>
      </w:r>
      <w:r w:rsidR="00207B00" w:rsidRPr="005035FB">
        <w:rPr>
          <w:rFonts w:ascii="Times New Roman" w:hAnsi="Times New Roman" w:cs="Times New Roman"/>
          <w:sz w:val="24"/>
          <w:szCs w:val="28"/>
          <w:lang w:eastAsia="fo-FO"/>
        </w:rPr>
        <w:t>, som sat i kraft for Grønland ved lov</w:t>
      </w:r>
      <w:r w:rsidRPr="005035FB">
        <w:rPr>
          <w:rFonts w:ascii="Times New Roman" w:hAnsi="Times New Roman" w:cs="Times New Roman"/>
          <w:sz w:val="24"/>
          <w:szCs w:val="28"/>
        </w:rPr>
        <w:t xml:space="preserve">. </w:t>
      </w:r>
    </w:p>
    <w:p w14:paraId="0F13011F" w14:textId="77777777" w:rsidR="00875126" w:rsidRPr="005035FB" w:rsidRDefault="00875126" w:rsidP="00875126">
      <w:pPr>
        <w:rPr>
          <w:rFonts w:ascii="Times New Roman" w:hAnsi="Times New Roman" w:cs="Times New Roman"/>
          <w:sz w:val="24"/>
          <w:szCs w:val="28"/>
        </w:rPr>
      </w:pPr>
    </w:p>
    <w:p w14:paraId="671EBA4E" w14:textId="5D4E8F84" w:rsidR="00875126" w:rsidRPr="005035FB" w:rsidRDefault="004D6A9E" w:rsidP="00ED66A0">
      <w:pPr>
        <w:jc w:val="center"/>
        <w:rPr>
          <w:rFonts w:ascii="Times New Roman" w:hAnsi="Times New Roman" w:cs="Times New Roman"/>
          <w:i/>
          <w:iCs/>
          <w:sz w:val="24"/>
          <w:szCs w:val="28"/>
        </w:rPr>
      </w:pPr>
      <w:r w:rsidRPr="005035FB">
        <w:rPr>
          <w:rFonts w:ascii="Times New Roman" w:hAnsi="Times New Roman" w:cs="Times New Roman"/>
          <w:i/>
          <w:iCs/>
          <w:sz w:val="24"/>
          <w:szCs w:val="28"/>
        </w:rPr>
        <w:t>Foranstaltninger</w:t>
      </w:r>
    </w:p>
    <w:p w14:paraId="20DE3D72" w14:textId="77777777" w:rsidR="00875126" w:rsidRPr="005035FB" w:rsidRDefault="00875126" w:rsidP="00875126">
      <w:pPr>
        <w:rPr>
          <w:rFonts w:ascii="Times New Roman" w:hAnsi="Times New Roman" w:cs="Times New Roman"/>
          <w:sz w:val="24"/>
          <w:szCs w:val="28"/>
        </w:rPr>
      </w:pPr>
    </w:p>
    <w:p w14:paraId="08E8029A" w14:textId="117AF25F" w:rsidR="00207B00" w:rsidRPr="005035FB" w:rsidRDefault="00875126" w:rsidP="00875126">
      <w:pPr>
        <w:rPr>
          <w:rFonts w:ascii="Times New Roman" w:hAnsi="Times New Roman" w:cs="Times New Roman"/>
          <w:sz w:val="24"/>
          <w:szCs w:val="28"/>
        </w:rPr>
      </w:pPr>
      <w:r w:rsidRPr="005035FB">
        <w:rPr>
          <w:rFonts w:ascii="Times New Roman" w:hAnsi="Times New Roman" w:cs="Times New Roman"/>
          <w:b/>
          <w:bCs/>
          <w:sz w:val="24"/>
          <w:szCs w:val="28"/>
        </w:rPr>
        <w:t>§ 6.</w:t>
      </w:r>
      <w:r w:rsidRPr="005035FB">
        <w:rPr>
          <w:rFonts w:ascii="Times New Roman" w:hAnsi="Times New Roman" w:cs="Times New Roman"/>
          <w:sz w:val="24"/>
          <w:szCs w:val="28"/>
        </w:rPr>
        <w:t xml:space="preserve"> Overtrædelse af § 5, stk. 2, </w:t>
      </w:r>
      <w:r w:rsidR="00207B00" w:rsidRPr="005035FB">
        <w:rPr>
          <w:rFonts w:ascii="Times New Roman" w:hAnsi="Times New Roman" w:cs="Times New Roman"/>
          <w:sz w:val="24"/>
          <w:szCs w:val="28"/>
        </w:rPr>
        <w:t>foranstaltes efter kriminallov for Grønland</w:t>
      </w:r>
      <w:r w:rsidRPr="005035FB">
        <w:rPr>
          <w:rFonts w:ascii="Times New Roman" w:hAnsi="Times New Roman" w:cs="Times New Roman"/>
          <w:sz w:val="24"/>
          <w:szCs w:val="28"/>
        </w:rPr>
        <w:t xml:space="preserve"> med bøde. Med bøde </w:t>
      </w:r>
      <w:r w:rsidR="00207B00" w:rsidRPr="005035FB">
        <w:rPr>
          <w:rFonts w:ascii="Times New Roman" w:hAnsi="Times New Roman" w:cs="Times New Roman"/>
          <w:sz w:val="24"/>
          <w:szCs w:val="28"/>
        </w:rPr>
        <w:t xml:space="preserve">foranstaltes </w:t>
      </w:r>
      <w:r w:rsidRPr="005035FB">
        <w:rPr>
          <w:rFonts w:ascii="Times New Roman" w:hAnsi="Times New Roman" w:cs="Times New Roman"/>
          <w:sz w:val="24"/>
          <w:szCs w:val="28"/>
        </w:rPr>
        <w:t xml:space="preserve">desuden den, der ikke efterkommer et påbud om at foretage eller undlade at foretage bestemte handlinger med henblik på at overholde bekendtgørelsens bestemmelser. </w:t>
      </w:r>
    </w:p>
    <w:p w14:paraId="47B88CA9" w14:textId="77777777" w:rsidR="00207B00" w:rsidRPr="005035FB" w:rsidRDefault="00207B00" w:rsidP="00875126">
      <w:pPr>
        <w:rPr>
          <w:rFonts w:ascii="Times New Roman" w:hAnsi="Times New Roman" w:cs="Times New Roman"/>
          <w:sz w:val="24"/>
          <w:szCs w:val="28"/>
        </w:rPr>
      </w:pPr>
    </w:p>
    <w:p w14:paraId="0DF90A83" w14:textId="01AA1970" w:rsidR="00875126" w:rsidRPr="005035FB" w:rsidRDefault="00875126" w:rsidP="00875126">
      <w:pPr>
        <w:rPr>
          <w:rFonts w:ascii="Times New Roman" w:hAnsi="Times New Roman" w:cs="Times New Roman"/>
          <w:sz w:val="24"/>
          <w:szCs w:val="28"/>
        </w:rPr>
      </w:pPr>
      <w:r w:rsidRPr="005035FB">
        <w:rPr>
          <w:rFonts w:ascii="Times New Roman" w:hAnsi="Times New Roman" w:cs="Times New Roman"/>
          <w:i/>
          <w:iCs/>
          <w:sz w:val="24"/>
          <w:szCs w:val="28"/>
        </w:rPr>
        <w:lastRenderedPageBreak/>
        <w:t>Stk. 2.</w:t>
      </w:r>
      <w:r w:rsidRPr="005035FB">
        <w:rPr>
          <w:rFonts w:ascii="Times New Roman" w:hAnsi="Times New Roman" w:cs="Times New Roman"/>
          <w:sz w:val="24"/>
          <w:szCs w:val="28"/>
        </w:rPr>
        <w:t xml:space="preserve"> Der kan pålægges selskaber m.v. (juridiske personer) </w:t>
      </w:r>
      <w:r w:rsidR="00207B00" w:rsidRPr="005035FB">
        <w:rPr>
          <w:rFonts w:ascii="Times New Roman" w:hAnsi="Times New Roman" w:cs="Times New Roman"/>
          <w:sz w:val="24"/>
          <w:szCs w:val="28"/>
        </w:rPr>
        <w:t>kriminal</w:t>
      </w:r>
      <w:r w:rsidRPr="005035FB">
        <w:rPr>
          <w:rFonts w:ascii="Times New Roman" w:hAnsi="Times New Roman" w:cs="Times New Roman"/>
          <w:sz w:val="24"/>
          <w:szCs w:val="28"/>
        </w:rPr>
        <w:t>ansvar efter reglerne i 5. kapitel</w:t>
      </w:r>
      <w:r w:rsidR="00207B00" w:rsidRPr="005035FB">
        <w:rPr>
          <w:rFonts w:ascii="Times New Roman" w:hAnsi="Times New Roman" w:cs="Times New Roman"/>
          <w:sz w:val="24"/>
          <w:szCs w:val="28"/>
        </w:rPr>
        <w:t xml:space="preserve"> </w:t>
      </w:r>
      <w:r w:rsidR="00207B00" w:rsidRPr="005035FB">
        <w:rPr>
          <w:rFonts w:ascii="Times New Roman" w:hAnsi="Times New Roman" w:cs="Times New Roman"/>
          <w:sz w:val="24"/>
          <w:szCs w:val="28"/>
          <w:lang w:eastAsia="fo-FO"/>
        </w:rPr>
        <w:t>i kriminallov for Grønland</w:t>
      </w:r>
      <w:r w:rsidRPr="005035FB">
        <w:rPr>
          <w:rFonts w:ascii="Times New Roman" w:hAnsi="Times New Roman" w:cs="Times New Roman"/>
          <w:sz w:val="24"/>
          <w:szCs w:val="28"/>
        </w:rPr>
        <w:t xml:space="preserve">. </w:t>
      </w:r>
    </w:p>
    <w:p w14:paraId="2614F246" w14:textId="77777777" w:rsidR="00875126" w:rsidRPr="005035FB" w:rsidRDefault="00875126" w:rsidP="00875126">
      <w:pPr>
        <w:rPr>
          <w:rFonts w:ascii="Times New Roman" w:hAnsi="Times New Roman" w:cs="Times New Roman"/>
          <w:sz w:val="24"/>
          <w:szCs w:val="28"/>
        </w:rPr>
      </w:pPr>
    </w:p>
    <w:p w14:paraId="0C9F2121" w14:textId="77777777" w:rsidR="00875126" w:rsidRPr="005035FB" w:rsidRDefault="00875126" w:rsidP="00ED66A0">
      <w:pPr>
        <w:jc w:val="center"/>
        <w:rPr>
          <w:rFonts w:ascii="Times New Roman" w:hAnsi="Times New Roman" w:cs="Times New Roman"/>
          <w:i/>
          <w:iCs/>
          <w:sz w:val="24"/>
          <w:szCs w:val="28"/>
        </w:rPr>
      </w:pPr>
      <w:r w:rsidRPr="005035FB">
        <w:rPr>
          <w:rFonts w:ascii="Times New Roman" w:hAnsi="Times New Roman" w:cs="Times New Roman"/>
          <w:i/>
          <w:iCs/>
          <w:sz w:val="24"/>
          <w:szCs w:val="28"/>
        </w:rPr>
        <w:t>Ikrafttræden</w:t>
      </w:r>
    </w:p>
    <w:p w14:paraId="4FC69D38" w14:textId="77777777" w:rsidR="00875126" w:rsidRPr="005035FB" w:rsidRDefault="00875126" w:rsidP="00875126">
      <w:pPr>
        <w:rPr>
          <w:rFonts w:ascii="Times New Roman" w:hAnsi="Times New Roman" w:cs="Times New Roman"/>
          <w:sz w:val="24"/>
          <w:szCs w:val="28"/>
        </w:rPr>
      </w:pPr>
    </w:p>
    <w:p w14:paraId="118A49F5" w14:textId="14493A2D" w:rsidR="00875126" w:rsidRPr="005035FB" w:rsidRDefault="00875126" w:rsidP="00875126">
      <w:pPr>
        <w:rPr>
          <w:rFonts w:ascii="Times New Roman" w:hAnsi="Times New Roman" w:cs="Times New Roman"/>
          <w:sz w:val="24"/>
          <w:szCs w:val="28"/>
        </w:rPr>
      </w:pPr>
      <w:r w:rsidRPr="005035FB">
        <w:rPr>
          <w:rFonts w:ascii="Times New Roman" w:hAnsi="Times New Roman" w:cs="Times New Roman"/>
          <w:b/>
          <w:bCs/>
          <w:sz w:val="24"/>
          <w:szCs w:val="28"/>
        </w:rPr>
        <w:t>§ 7.</w:t>
      </w:r>
      <w:r w:rsidRPr="005035FB">
        <w:rPr>
          <w:rFonts w:ascii="Times New Roman" w:hAnsi="Times New Roman" w:cs="Times New Roman"/>
          <w:sz w:val="24"/>
          <w:szCs w:val="28"/>
        </w:rPr>
        <w:t xml:space="preserve"> Bekendtgørelsen træder i kraft den </w:t>
      </w:r>
      <w:r w:rsidR="00DC547A" w:rsidRPr="005035FB">
        <w:rPr>
          <w:rFonts w:ascii="Times New Roman" w:hAnsi="Times New Roman" w:cs="Times New Roman"/>
          <w:sz w:val="24"/>
          <w:szCs w:val="28"/>
        </w:rPr>
        <w:t>1</w:t>
      </w:r>
      <w:r w:rsidR="00C92FA4" w:rsidRPr="005035FB">
        <w:rPr>
          <w:rFonts w:ascii="Times New Roman" w:hAnsi="Times New Roman" w:cs="Times New Roman"/>
          <w:sz w:val="24"/>
          <w:szCs w:val="28"/>
        </w:rPr>
        <w:t xml:space="preserve">. </w:t>
      </w:r>
      <w:r w:rsidR="00677B66">
        <w:rPr>
          <w:rFonts w:ascii="Times New Roman" w:hAnsi="Times New Roman" w:cs="Times New Roman"/>
          <w:sz w:val="24"/>
          <w:szCs w:val="28"/>
        </w:rPr>
        <w:t>februar</w:t>
      </w:r>
      <w:r w:rsidR="00C92FA4" w:rsidRPr="005035FB">
        <w:rPr>
          <w:rFonts w:ascii="Times New Roman" w:hAnsi="Times New Roman" w:cs="Times New Roman"/>
          <w:sz w:val="24"/>
          <w:szCs w:val="28"/>
        </w:rPr>
        <w:t xml:space="preserve"> 202</w:t>
      </w:r>
      <w:r w:rsidR="00A66F26" w:rsidRPr="005035FB">
        <w:rPr>
          <w:rFonts w:ascii="Times New Roman" w:hAnsi="Times New Roman" w:cs="Times New Roman"/>
          <w:sz w:val="24"/>
          <w:szCs w:val="28"/>
        </w:rPr>
        <w:t>4</w:t>
      </w:r>
      <w:r w:rsidRPr="005035FB">
        <w:rPr>
          <w:rFonts w:ascii="Times New Roman" w:hAnsi="Times New Roman" w:cs="Times New Roman"/>
          <w:sz w:val="24"/>
          <w:szCs w:val="28"/>
        </w:rPr>
        <w:t xml:space="preserve">. </w:t>
      </w:r>
    </w:p>
    <w:p w14:paraId="014402F7" w14:textId="77777777" w:rsidR="00875126" w:rsidRPr="005035FB" w:rsidRDefault="00875126" w:rsidP="00875126">
      <w:pPr>
        <w:rPr>
          <w:rFonts w:ascii="Times New Roman" w:hAnsi="Times New Roman" w:cs="Times New Roman"/>
          <w:sz w:val="24"/>
          <w:szCs w:val="28"/>
        </w:rPr>
      </w:pPr>
    </w:p>
    <w:p w14:paraId="0F41EF06" w14:textId="77777777" w:rsidR="001A716D" w:rsidRPr="005035FB" w:rsidRDefault="001A716D" w:rsidP="00875126">
      <w:pPr>
        <w:rPr>
          <w:rFonts w:ascii="Times New Roman" w:hAnsi="Times New Roman" w:cs="Times New Roman"/>
          <w:sz w:val="24"/>
          <w:szCs w:val="28"/>
        </w:rPr>
      </w:pPr>
    </w:p>
    <w:p w14:paraId="6F7B8138" w14:textId="1A75033F" w:rsidR="001A716D" w:rsidRPr="009A7CB9" w:rsidRDefault="00BC5B43" w:rsidP="001A716D">
      <w:pPr>
        <w:jc w:val="center"/>
        <w:rPr>
          <w:rFonts w:ascii="Times New Roman" w:hAnsi="Times New Roman" w:cs="Times New Roman"/>
          <w:i/>
          <w:iCs/>
          <w:sz w:val="24"/>
          <w:szCs w:val="28"/>
        </w:rPr>
      </w:pPr>
      <w:r w:rsidRPr="009A7CB9">
        <w:rPr>
          <w:rFonts w:ascii="Times New Roman" w:hAnsi="Times New Roman" w:cs="Times New Roman"/>
          <w:i/>
          <w:iCs/>
          <w:sz w:val="24"/>
          <w:szCs w:val="28"/>
        </w:rPr>
        <w:t>Erhvervsministeriet, den xx.xx 202</w:t>
      </w:r>
      <w:r w:rsidR="00677B66">
        <w:rPr>
          <w:rFonts w:ascii="Times New Roman" w:hAnsi="Times New Roman" w:cs="Times New Roman"/>
          <w:i/>
          <w:iCs/>
          <w:sz w:val="24"/>
          <w:szCs w:val="28"/>
        </w:rPr>
        <w:t>4</w:t>
      </w:r>
    </w:p>
    <w:p w14:paraId="70194733" w14:textId="77777777" w:rsidR="001A716D" w:rsidRPr="009A7CB9" w:rsidRDefault="0030127E" w:rsidP="001A716D">
      <w:pPr>
        <w:jc w:val="center"/>
        <w:rPr>
          <w:rFonts w:ascii="Times New Roman" w:hAnsi="Times New Roman" w:cs="Times New Roman"/>
          <w:sz w:val="24"/>
          <w:szCs w:val="28"/>
        </w:rPr>
      </w:pPr>
      <w:r w:rsidRPr="009A7CB9">
        <w:rPr>
          <w:rFonts w:ascii="Times New Roman" w:hAnsi="Times New Roman" w:cs="Times New Roman"/>
          <w:sz w:val="24"/>
          <w:szCs w:val="28"/>
        </w:rPr>
        <w:t>xxxx</w:t>
      </w:r>
    </w:p>
    <w:p w14:paraId="14CD6FE2" w14:textId="77777777" w:rsidR="001A716D" w:rsidRPr="005035FB" w:rsidRDefault="001A716D" w:rsidP="00ED66A0">
      <w:pPr>
        <w:jc w:val="right"/>
        <w:rPr>
          <w:rFonts w:ascii="Times New Roman" w:hAnsi="Times New Roman" w:cs="Times New Roman"/>
          <w:sz w:val="24"/>
          <w:szCs w:val="28"/>
        </w:rPr>
      </w:pPr>
      <w:r w:rsidRPr="009A7CB9">
        <w:rPr>
          <w:rFonts w:ascii="Times New Roman" w:hAnsi="Times New Roman" w:cs="Times New Roman"/>
          <w:sz w:val="24"/>
          <w:szCs w:val="28"/>
        </w:rPr>
        <w:t xml:space="preserve">/ </w:t>
      </w:r>
      <w:r w:rsidR="0030127E" w:rsidRPr="009A7CB9">
        <w:rPr>
          <w:rFonts w:ascii="Times New Roman" w:hAnsi="Times New Roman" w:cs="Times New Roman"/>
          <w:sz w:val="24"/>
          <w:szCs w:val="28"/>
        </w:rPr>
        <w:t>xxx</w:t>
      </w:r>
    </w:p>
    <w:p w14:paraId="2849EA6C" w14:textId="77777777" w:rsidR="0026096B" w:rsidRPr="005035FB" w:rsidRDefault="0026096B" w:rsidP="00875126">
      <w:pPr>
        <w:jc w:val="right"/>
        <w:rPr>
          <w:rFonts w:ascii="Times New Roman" w:hAnsi="Times New Roman" w:cs="Times New Roman"/>
          <w:b/>
          <w:bCs/>
          <w:sz w:val="24"/>
          <w:szCs w:val="28"/>
        </w:rPr>
      </w:pPr>
    </w:p>
    <w:p w14:paraId="36B3095A" w14:textId="77777777" w:rsidR="0026096B" w:rsidRPr="005035FB" w:rsidRDefault="0026096B" w:rsidP="00875126">
      <w:pPr>
        <w:jc w:val="right"/>
        <w:rPr>
          <w:rFonts w:ascii="Times New Roman" w:hAnsi="Times New Roman" w:cs="Times New Roman"/>
          <w:b/>
          <w:bCs/>
          <w:sz w:val="24"/>
          <w:szCs w:val="28"/>
        </w:rPr>
      </w:pPr>
    </w:p>
    <w:p w14:paraId="0D7A8C8D" w14:textId="77777777" w:rsidR="001A716D" w:rsidRPr="005035FB" w:rsidRDefault="001A716D" w:rsidP="00875126">
      <w:pPr>
        <w:jc w:val="right"/>
        <w:rPr>
          <w:rFonts w:ascii="Times New Roman" w:hAnsi="Times New Roman" w:cs="Times New Roman"/>
          <w:b/>
          <w:bCs/>
          <w:sz w:val="24"/>
          <w:szCs w:val="28"/>
        </w:rPr>
      </w:pPr>
    </w:p>
    <w:p w14:paraId="316EC24F" w14:textId="77777777" w:rsidR="001A716D" w:rsidRPr="005035FB" w:rsidRDefault="001A716D" w:rsidP="00875126">
      <w:pPr>
        <w:jc w:val="right"/>
        <w:rPr>
          <w:rFonts w:ascii="Times New Roman" w:hAnsi="Times New Roman" w:cs="Times New Roman"/>
          <w:b/>
          <w:bCs/>
          <w:sz w:val="24"/>
          <w:szCs w:val="28"/>
        </w:rPr>
      </w:pPr>
    </w:p>
    <w:p w14:paraId="01211650" w14:textId="77777777" w:rsidR="001A716D" w:rsidRPr="005035FB" w:rsidRDefault="001A716D" w:rsidP="00875126">
      <w:pPr>
        <w:jc w:val="right"/>
        <w:rPr>
          <w:rFonts w:ascii="Times New Roman" w:hAnsi="Times New Roman" w:cs="Times New Roman"/>
          <w:b/>
          <w:bCs/>
          <w:sz w:val="24"/>
          <w:szCs w:val="28"/>
        </w:rPr>
      </w:pPr>
    </w:p>
    <w:p w14:paraId="6D61A4B8" w14:textId="77777777" w:rsidR="001A716D" w:rsidRPr="005035FB" w:rsidRDefault="001A716D" w:rsidP="00875126">
      <w:pPr>
        <w:jc w:val="right"/>
        <w:rPr>
          <w:rFonts w:ascii="Times New Roman" w:hAnsi="Times New Roman" w:cs="Times New Roman"/>
          <w:b/>
          <w:bCs/>
          <w:sz w:val="24"/>
          <w:szCs w:val="28"/>
        </w:rPr>
      </w:pPr>
    </w:p>
    <w:p w14:paraId="55F926BF" w14:textId="77777777" w:rsidR="001A716D" w:rsidRPr="005035FB" w:rsidRDefault="001A716D" w:rsidP="00875126">
      <w:pPr>
        <w:jc w:val="right"/>
        <w:rPr>
          <w:rFonts w:ascii="Times New Roman" w:hAnsi="Times New Roman" w:cs="Times New Roman"/>
          <w:b/>
          <w:bCs/>
          <w:sz w:val="24"/>
          <w:szCs w:val="28"/>
        </w:rPr>
      </w:pPr>
    </w:p>
    <w:p w14:paraId="52505529" w14:textId="77777777" w:rsidR="001A716D" w:rsidRPr="005035FB" w:rsidRDefault="001A716D" w:rsidP="00875126">
      <w:pPr>
        <w:jc w:val="right"/>
        <w:rPr>
          <w:rFonts w:ascii="Times New Roman" w:hAnsi="Times New Roman" w:cs="Times New Roman"/>
          <w:b/>
          <w:bCs/>
          <w:sz w:val="24"/>
          <w:szCs w:val="28"/>
        </w:rPr>
      </w:pPr>
    </w:p>
    <w:p w14:paraId="6EDFF5AF" w14:textId="77777777" w:rsidR="001A716D" w:rsidRPr="005035FB" w:rsidRDefault="001A716D" w:rsidP="00875126">
      <w:pPr>
        <w:jc w:val="right"/>
        <w:rPr>
          <w:rFonts w:ascii="Times New Roman" w:hAnsi="Times New Roman" w:cs="Times New Roman"/>
          <w:b/>
          <w:bCs/>
          <w:sz w:val="24"/>
          <w:szCs w:val="28"/>
        </w:rPr>
      </w:pPr>
    </w:p>
    <w:p w14:paraId="20E13B14" w14:textId="77777777" w:rsidR="001A716D" w:rsidRPr="005035FB" w:rsidRDefault="001A716D" w:rsidP="00875126">
      <w:pPr>
        <w:jc w:val="right"/>
        <w:rPr>
          <w:rFonts w:ascii="Times New Roman" w:hAnsi="Times New Roman" w:cs="Times New Roman"/>
          <w:b/>
          <w:bCs/>
          <w:sz w:val="24"/>
          <w:szCs w:val="28"/>
        </w:rPr>
      </w:pPr>
    </w:p>
    <w:p w14:paraId="7BA43585" w14:textId="77777777" w:rsidR="001A716D" w:rsidRPr="005035FB" w:rsidRDefault="001A716D" w:rsidP="00875126">
      <w:pPr>
        <w:jc w:val="right"/>
        <w:rPr>
          <w:rFonts w:ascii="Times New Roman" w:hAnsi="Times New Roman" w:cs="Times New Roman"/>
          <w:b/>
          <w:bCs/>
          <w:sz w:val="24"/>
          <w:szCs w:val="28"/>
        </w:rPr>
      </w:pPr>
    </w:p>
    <w:p w14:paraId="65A6258D" w14:textId="77777777" w:rsidR="001A716D" w:rsidRPr="005035FB" w:rsidRDefault="001A716D" w:rsidP="00875126">
      <w:pPr>
        <w:jc w:val="right"/>
        <w:rPr>
          <w:rFonts w:ascii="Times New Roman" w:hAnsi="Times New Roman" w:cs="Times New Roman"/>
          <w:b/>
          <w:bCs/>
          <w:sz w:val="24"/>
          <w:szCs w:val="28"/>
        </w:rPr>
      </w:pPr>
    </w:p>
    <w:p w14:paraId="31FB8457" w14:textId="77777777" w:rsidR="001A716D" w:rsidRPr="005035FB" w:rsidRDefault="001A716D" w:rsidP="00875126">
      <w:pPr>
        <w:jc w:val="right"/>
        <w:rPr>
          <w:rFonts w:ascii="Times New Roman" w:hAnsi="Times New Roman" w:cs="Times New Roman"/>
          <w:b/>
          <w:bCs/>
          <w:sz w:val="24"/>
          <w:szCs w:val="28"/>
        </w:rPr>
      </w:pPr>
    </w:p>
    <w:p w14:paraId="1910C996" w14:textId="77777777" w:rsidR="001A716D" w:rsidRPr="005035FB" w:rsidRDefault="001A716D" w:rsidP="00875126">
      <w:pPr>
        <w:jc w:val="right"/>
        <w:rPr>
          <w:rFonts w:ascii="Times New Roman" w:hAnsi="Times New Roman" w:cs="Times New Roman"/>
          <w:b/>
          <w:bCs/>
          <w:sz w:val="24"/>
          <w:szCs w:val="28"/>
        </w:rPr>
      </w:pPr>
    </w:p>
    <w:p w14:paraId="34123A03" w14:textId="77777777" w:rsidR="001A716D" w:rsidRPr="005035FB" w:rsidRDefault="001A716D" w:rsidP="00875126">
      <w:pPr>
        <w:jc w:val="right"/>
        <w:rPr>
          <w:rFonts w:ascii="Times New Roman" w:hAnsi="Times New Roman" w:cs="Times New Roman"/>
          <w:b/>
          <w:bCs/>
          <w:sz w:val="24"/>
          <w:szCs w:val="28"/>
        </w:rPr>
      </w:pPr>
    </w:p>
    <w:p w14:paraId="3A48599C" w14:textId="77777777" w:rsidR="001A716D" w:rsidRPr="005035FB" w:rsidRDefault="001A716D" w:rsidP="00875126">
      <w:pPr>
        <w:jc w:val="right"/>
        <w:rPr>
          <w:rFonts w:ascii="Times New Roman" w:hAnsi="Times New Roman" w:cs="Times New Roman"/>
          <w:b/>
          <w:bCs/>
          <w:sz w:val="24"/>
          <w:szCs w:val="28"/>
        </w:rPr>
      </w:pPr>
    </w:p>
    <w:p w14:paraId="04A28B52" w14:textId="77777777" w:rsidR="001A716D" w:rsidRPr="005035FB" w:rsidRDefault="001A716D" w:rsidP="00875126">
      <w:pPr>
        <w:jc w:val="right"/>
        <w:rPr>
          <w:rFonts w:ascii="Times New Roman" w:hAnsi="Times New Roman" w:cs="Times New Roman"/>
          <w:b/>
          <w:bCs/>
          <w:sz w:val="24"/>
          <w:szCs w:val="28"/>
        </w:rPr>
      </w:pPr>
    </w:p>
    <w:p w14:paraId="6AC76D80" w14:textId="77777777" w:rsidR="001A716D" w:rsidRPr="005035FB" w:rsidRDefault="001A716D" w:rsidP="00875126">
      <w:pPr>
        <w:jc w:val="right"/>
        <w:rPr>
          <w:rFonts w:ascii="Times New Roman" w:hAnsi="Times New Roman" w:cs="Times New Roman"/>
          <w:b/>
          <w:bCs/>
          <w:sz w:val="24"/>
          <w:szCs w:val="28"/>
        </w:rPr>
      </w:pPr>
    </w:p>
    <w:p w14:paraId="7FC0C7D9" w14:textId="77777777" w:rsidR="001A716D" w:rsidRPr="005035FB" w:rsidRDefault="001A716D" w:rsidP="00875126">
      <w:pPr>
        <w:jc w:val="right"/>
        <w:rPr>
          <w:rFonts w:ascii="Times New Roman" w:hAnsi="Times New Roman" w:cs="Times New Roman"/>
          <w:b/>
          <w:bCs/>
          <w:sz w:val="24"/>
          <w:szCs w:val="28"/>
        </w:rPr>
      </w:pPr>
    </w:p>
    <w:p w14:paraId="21BFD5E2" w14:textId="77777777" w:rsidR="001A716D" w:rsidRPr="005035FB" w:rsidRDefault="001A716D" w:rsidP="00875126">
      <w:pPr>
        <w:jc w:val="right"/>
        <w:rPr>
          <w:rFonts w:ascii="Times New Roman" w:hAnsi="Times New Roman" w:cs="Times New Roman"/>
          <w:b/>
          <w:bCs/>
          <w:sz w:val="24"/>
          <w:szCs w:val="28"/>
        </w:rPr>
      </w:pPr>
    </w:p>
    <w:p w14:paraId="577CF0EE" w14:textId="77777777" w:rsidR="001A716D" w:rsidRPr="005035FB" w:rsidRDefault="001A716D" w:rsidP="00875126">
      <w:pPr>
        <w:jc w:val="right"/>
        <w:rPr>
          <w:rFonts w:ascii="Times New Roman" w:hAnsi="Times New Roman" w:cs="Times New Roman"/>
          <w:b/>
          <w:bCs/>
          <w:sz w:val="24"/>
          <w:szCs w:val="28"/>
        </w:rPr>
      </w:pPr>
    </w:p>
    <w:p w14:paraId="6F33AC48" w14:textId="77777777" w:rsidR="001A716D" w:rsidRPr="005035FB" w:rsidRDefault="001A716D" w:rsidP="00875126">
      <w:pPr>
        <w:jc w:val="right"/>
        <w:rPr>
          <w:rFonts w:ascii="Times New Roman" w:hAnsi="Times New Roman" w:cs="Times New Roman"/>
          <w:b/>
          <w:bCs/>
          <w:sz w:val="24"/>
          <w:szCs w:val="28"/>
        </w:rPr>
      </w:pPr>
    </w:p>
    <w:p w14:paraId="2C652D7C" w14:textId="77777777" w:rsidR="001A716D" w:rsidRPr="005035FB" w:rsidRDefault="001A716D" w:rsidP="00875126">
      <w:pPr>
        <w:jc w:val="right"/>
        <w:rPr>
          <w:rFonts w:ascii="Times New Roman" w:hAnsi="Times New Roman" w:cs="Times New Roman"/>
          <w:b/>
          <w:bCs/>
          <w:sz w:val="24"/>
          <w:szCs w:val="28"/>
        </w:rPr>
      </w:pPr>
    </w:p>
    <w:p w14:paraId="408EB41B" w14:textId="77777777" w:rsidR="001A716D" w:rsidRPr="005035FB" w:rsidRDefault="001A716D" w:rsidP="00875126">
      <w:pPr>
        <w:jc w:val="right"/>
        <w:rPr>
          <w:rFonts w:ascii="Times New Roman" w:hAnsi="Times New Roman" w:cs="Times New Roman"/>
          <w:b/>
          <w:bCs/>
          <w:sz w:val="24"/>
          <w:szCs w:val="28"/>
        </w:rPr>
      </w:pPr>
    </w:p>
    <w:p w14:paraId="3DA04347" w14:textId="77777777" w:rsidR="001A716D" w:rsidRPr="005035FB" w:rsidRDefault="001A716D" w:rsidP="00875126">
      <w:pPr>
        <w:jc w:val="right"/>
        <w:rPr>
          <w:rFonts w:ascii="Times New Roman" w:hAnsi="Times New Roman" w:cs="Times New Roman"/>
          <w:b/>
          <w:bCs/>
          <w:sz w:val="24"/>
          <w:szCs w:val="28"/>
        </w:rPr>
      </w:pPr>
    </w:p>
    <w:p w14:paraId="4841E1F8" w14:textId="77777777" w:rsidR="001A716D" w:rsidRPr="005035FB" w:rsidRDefault="001A716D" w:rsidP="00875126">
      <w:pPr>
        <w:jc w:val="right"/>
        <w:rPr>
          <w:rFonts w:ascii="Times New Roman" w:hAnsi="Times New Roman" w:cs="Times New Roman"/>
          <w:b/>
          <w:bCs/>
          <w:sz w:val="24"/>
          <w:szCs w:val="28"/>
        </w:rPr>
      </w:pPr>
    </w:p>
    <w:p w14:paraId="2286C581" w14:textId="77777777" w:rsidR="00206118" w:rsidRPr="005035FB" w:rsidRDefault="00206118" w:rsidP="003A1B44">
      <w:pPr>
        <w:rPr>
          <w:rFonts w:ascii="Times New Roman" w:hAnsi="Times New Roman" w:cs="Times New Roman"/>
          <w:b/>
          <w:bCs/>
          <w:sz w:val="24"/>
          <w:szCs w:val="28"/>
        </w:rPr>
      </w:pPr>
    </w:p>
    <w:p w14:paraId="2753BA9C" w14:textId="77777777" w:rsidR="003A1B44" w:rsidRPr="005035FB" w:rsidRDefault="003A1B44" w:rsidP="00FA1264">
      <w:pPr>
        <w:rPr>
          <w:rFonts w:ascii="Times New Roman" w:hAnsi="Times New Roman" w:cs="Times New Roman"/>
          <w:b/>
          <w:bCs/>
          <w:sz w:val="24"/>
          <w:szCs w:val="28"/>
        </w:rPr>
      </w:pPr>
    </w:p>
    <w:p w14:paraId="522AB6DB" w14:textId="77777777" w:rsidR="00206118" w:rsidRPr="005035FB" w:rsidRDefault="00206118" w:rsidP="00875126">
      <w:pPr>
        <w:jc w:val="right"/>
        <w:rPr>
          <w:rFonts w:ascii="Times New Roman" w:hAnsi="Times New Roman" w:cs="Times New Roman"/>
          <w:b/>
          <w:bCs/>
          <w:sz w:val="24"/>
          <w:szCs w:val="28"/>
        </w:rPr>
      </w:pPr>
    </w:p>
    <w:p w14:paraId="4BB5D4A3" w14:textId="77777777" w:rsidR="00206118" w:rsidRPr="005035FB" w:rsidRDefault="00206118" w:rsidP="00875126">
      <w:pPr>
        <w:jc w:val="right"/>
        <w:rPr>
          <w:rFonts w:ascii="Times New Roman" w:hAnsi="Times New Roman" w:cs="Times New Roman"/>
          <w:b/>
          <w:bCs/>
          <w:sz w:val="24"/>
          <w:szCs w:val="28"/>
        </w:rPr>
      </w:pPr>
    </w:p>
    <w:p w14:paraId="19AB4C55" w14:textId="77777777" w:rsidR="00206118" w:rsidRPr="005035FB" w:rsidRDefault="00206118" w:rsidP="00875126">
      <w:pPr>
        <w:jc w:val="right"/>
        <w:rPr>
          <w:rFonts w:ascii="Times New Roman" w:hAnsi="Times New Roman" w:cs="Times New Roman"/>
          <w:b/>
          <w:bCs/>
          <w:sz w:val="24"/>
          <w:szCs w:val="28"/>
        </w:rPr>
      </w:pPr>
    </w:p>
    <w:p w14:paraId="5E33CA56" w14:textId="77777777" w:rsidR="00FA1264" w:rsidRPr="005035FB" w:rsidRDefault="00FA1264" w:rsidP="00206118">
      <w:pPr>
        <w:jc w:val="right"/>
        <w:rPr>
          <w:rFonts w:ascii="Times New Roman" w:hAnsi="Times New Roman" w:cs="Times New Roman"/>
          <w:b/>
          <w:bCs/>
          <w:sz w:val="24"/>
          <w:szCs w:val="28"/>
        </w:rPr>
      </w:pPr>
    </w:p>
    <w:p w14:paraId="325C6B19" w14:textId="77777777" w:rsidR="00FA1264" w:rsidRPr="005035FB" w:rsidRDefault="00FA1264" w:rsidP="00206118">
      <w:pPr>
        <w:jc w:val="right"/>
        <w:rPr>
          <w:rFonts w:ascii="Times New Roman" w:hAnsi="Times New Roman" w:cs="Times New Roman"/>
          <w:b/>
          <w:bCs/>
          <w:sz w:val="24"/>
          <w:szCs w:val="28"/>
        </w:rPr>
      </w:pPr>
    </w:p>
    <w:p w14:paraId="00119906" w14:textId="77777777" w:rsidR="00FA1264" w:rsidRPr="005035FB" w:rsidRDefault="00FA1264" w:rsidP="00206118">
      <w:pPr>
        <w:jc w:val="right"/>
        <w:rPr>
          <w:rFonts w:ascii="Times New Roman" w:hAnsi="Times New Roman" w:cs="Times New Roman"/>
          <w:b/>
          <w:bCs/>
          <w:sz w:val="24"/>
          <w:szCs w:val="28"/>
        </w:rPr>
      </w:pPr>
    </w:p>
    <w:p w14:paraId="274D8C4D" w14:textId="77777777" w:rsidR="00FA1264" w:rsidRPr="005035FB" w:rsidRDefault="00FA1264" w:rsidP="00206118">
      <w:pPr>
        <w:jc w:val="right"/>
        <w:rPr>
          <w:rFonts w:ascii="Times New Roman" w:hAnsi="Times New Roman" w:cs="Times New Roman"/>
          <w:b/>
          <w:bCs/>
          <w:sz w:val="24"/>
          <w:szCs w:val="28"/>
        </w:rPr>
      </w:pPr>
    </w:p>
    <w:p w14:paraId="1E4CEA87" w14:textId="77777777" w:rsidR="00FA1264" w:rsidRPr="005035FB" w:rsidRDefault="00FA1264" w:rsidP="00206118">
      <w:pPr>
        <w:jc w:val="right"/>
        <w:rPr>
          <w:rFonts w:ascii="Times New Roman" w:hAnsi="Times New Roman" w:cs="Times New Roman"/>
          <w:b/>
          <w:bCs/>
          <w:sz w:val="24"/>
          <w:szCs w:val="28"/>
        </w:rPr>
      </w:pPr>
    </w:p>
    <w:p w14:paraId="0BDAD903" w14:textId="650C274F" w:rsidR="004C6C36" w:rsidRPr="005035FB" w:rsidRDefault="00875126" w:rsidP="00206118">
      <w:pPr>
        <w:jc w:val="right"/>
        <w:rPr>
          <w:rFonts w:ascii="Times New Roman" w:hAnsi="Times New Roman" w:cs="Times New Roman"/>
          <w:b/>
          <w:bCs/>
          <w:sz w:val="24"/>
          <w:szCs w:val="28"/>
        </w:rPr>
      </w:pPr>
      <w:r w:rsidRPr="005035FB">
        <w:rPr>
          <w:rFonts w:ascii="Times New Roman" w:hAnsi="Times New Roman" w:cs="Times New Roman"/>
          <w:b/>
          <w:bCs/>
          <w:sz w:val="24"/>
          <w:szCs w:val="28"/>
        </w:rPr>
        <w:lastRenderedPageBreak/>
        <w:t>Bilag 1</w:t>
      </w:r>
    </w:p>
    <w:p w14:paraId="65C3F652" w14:textId="77777777" w:rsidR="00875126" w:rsidRPr="005035FB" w:rsidRDefault="00875126" w:rsidP="00FA1264">
      <w:pPr>
        <w:jc w:val="center"/>
        <w:rPr>
          <w:rFonts w:ascii="Times New Roman" w:hAnsi="Times New Roman" w:cs="Times New Roman"/>
          <w:sz w:val="24"/>
          <w:szCs w:val="28"/>
        </w:rPr>
      </w:pPr>
    </w:p>
    <w:p w14:paraId="29CD8467" w14:textId="77777777" w:rsidR="00875126" w:rsidRPr="005035FB" w:rsidRDefault="00875126" w:rsidP="00FA1264">
      <w:pPr>
        <w:jc w:val="center"/>
        <w:rPr>
          <w:rFonts w:ascii="Times New Roman" w:hAnsi="Times New Roman" w:cs="Times New Roman"/>
          <w:b/>
          <w:bCs/>
          <w:sz w:val="24"/>
          <w:szCs w:val="28"/>
        </w:rPr>
      </w:pPr>
      <w:r w:rsidRPr="005035FB">
        <w:rPr>
          <w:rFonts w:ascii="Times New Roman" w:hAnsi="Times New Roman" w:cs="Times New Roman"/>
          <w:b/>
          <w:bCs/>
          <w:sz w:val="24"/>
          <w:szCs w:val="28"/>
        </w:rPr>
        <w:t>Opgørelse af systemisk buffer</w:t>
      </w:r>
    </w:p>
    <w:p w14:paraId="4C5D2A60" w14:textId="77777777" w:rsidR="00875126" w:rsidRPr="005035FB" w:rsidRDefault="00875126" w:rsidP="00875126">
      <w:pPr>
        <w:rPr>
          <w:rFonts w:ascii="Times New Roman" w:hAnsi="Times New Roman" w:cs="Times New Roman"/>
          <w:sz w:val="24"/>
          <w:szCs w:val="28"/>
        </w:rPr>
      </w:pPr>
    </w:p>
    <w:p w14:paraId="2D2F7F3D" w14:textId="77777777" w:rsidR="00875126" w:rsidRPr="005035FB" w:rsidRDefault="00875126" w:rsidP="00875126">
      <w:pPr>
        <w:rPr>
          <w:rFonts w:ascii="Times New Roman" w:hAnsi="Times New Roman" w:cs="Times New Roman"/>
          <w:sz w:val="24"/>
          <w:szCs w:val="28"/>
        </w:rPr>
      </w:pPr>
      <w:r w:rsidRPr="005035FB">
        <w:rPr>
          <w:rFonts w:ascii="Times New Roman" w:hAnsi="Times New Roman" w:cs="Times New Roman"/>
          <w:sz w:val="24"/>
          <w:szCs w:val="28"/>
        </w:rPr>
        <w:t xml:space="preserve">Virksomheden skal beregne sin systemiske buffer som: </w:t>
      </w:r>
    </w:p>
    <w:p w14:paraId="12312340" w14:textId="77777777" w:rsidR="00875126" w:rsidRPr="005035FB" w:rsidRDefault="00875126" w:rsidP="00875126">
      <w:pPr>
        <w:rPr>
          <w:rFonts w:ascii="Times New Roman" w:hAnsi="Times New Roman" w:cs="Times New Roman"/>
          <w:sz w:val="24"/>
          <w:szCs w:val="28"/>
        </w:rPr>
      </w:pPr>
    </w:p>
    <w:p w14:paraId="02220ACC" w14:textId="77777777" w:rsidR="00875126" w:rsidRPr="005035FB" w:rsidRDefault="00000000" w:rsidP="00875126">
      <w:pPr>
        <w:pStyle w:val="Opstilling-punkttegn"/>
        <w:numPr>
          <w:ilvl w:val="0"/>
          <w:numId w:val="0"/>
        </w:numPr>
        <w:spacing w:line="480" w:lineRule="auto"/>
        <w:ind w:left="357" w:hanging="357"/>
        <w:rPr>
          <w:rFonts w:ascii="Times New Roman" w:hAnsi="Times New Roman" w:cs="Times New Roman"/>
          <w:sz w:val="24"/>
          <w:szCs w:val="28"/>
        </w:rPr>
      </w:pPr>
      <m:oMathPara>
        <m:oMathParaPr>
          <m:jc m:val="center"/>
        </m:oMathParaPr>
        <m:oMath>
          <m:sSub>
            <m:sSubPr>
              <m:ctrlPr>
                <w:rPr>
                  <w:rFonts w:ascii="Cambria Math" w:hAnsi="Cambria Math" w:cs="Times New Roman"/>
                  <w:i/>
                  <w:sz w:val="24"/>
                  <w:szCs w:val="28"/>
                </w:rPr>
              </m:ctrlPr>
            </m:sSubPr>
            <m:e>
              <m:r>
                <w:rPr>
                  <w:rFonts w:ascii="Cambria Math" w:hAnsi="Cambria Math" w:cs="Times New Roman"/>
                  <w:sz w:val="24"/>
                  <w:szCs w:val="28"/>
                </w:rPr>
                <m:t>B</m:t>
              </m:r>
            </m:e>
            <m:sub>
              <m:r>
                <w:rPr>
                  <w:rFonts w:ascii="Cambria Math" w:hAnsi="Cambria Math" w:cs="Times New Roman"/>
                  <w:sz w:val="24"/>
                  <w:szCs w:val="28"/>
                </w:rPr>
                <m:t>SR</m:t>
              </m:r>
            </m:sub>
          </m:sSub>
          <m:r>
            <w:rPr>
              <w:rFonts w:ascii="Cambria Math" w:hAnsi="Cambria Math" w:cs="Times New Roman"/>
              <w:sz w:val="24"/>
              <w:szCs w:val="28"/>
            </w:rPr>
            <m:t>=</m:t>
          </m:r>
          <m:sSub>
            <m:sSubPr>
              <m:ctrlPr>
                <w:rPr>
                  <w:rFonts w:ascii="Cambria Math" w:hAnsi="Cambria Math" w:cs="Times New Roman"/>
                  <w:i/>
                  <w:sz w:val="24"/>
                  <w:szCs w:val="28"/>
                </w:rPr>
              </m:ctrlPr>
            </m:sSubPr>
            <m:e>
              <m:r>
                <w:rPr>
                  <w:rFonts w:ascii="Cambria Math" w:hAnsi="Cambria Math" w:cs="Times New Roman"/>
                  <w:sz w:val="24"/>
                  <w:szCs w:val="28"/>
                </w:rPr>
                <m:t>r</m:t>
              </m:r>
            </m:e>
            <m:sub>
              <m:r>
                <w:rPr>
                  <w:rFonts w:ascii="Cambria Math" w:hAnsi="Cambria Math" w:cs="Times New Roman"/>
                  <w:sz w:val="24"/>
                  <w:szCs w:val="28"/>
                </w:rPr>
                <m:t>T</m:t>
              </m:r>
            </m:sub>
          </m:sSub>
          <m:r>
            <w:rPr>
              <w:rFonts w:ascii="Cambria Math" w:hAnsi="Cambria Math" w:cs="Times New Roman"/>
              <w:sz w:val="24"/>
              <w:szCs w:val="28"/>
            </w:rPr>
            <m:t>*</m:t>
          </m:r>
          <m:sSub>
            <m:sSubPr>
              <m:ctrlPr>
                <w:rPr>
                  <w:rFonts w:ascii="Cambria Math" w:hAnsi="Cambria Math" w:cs="Times New Roman"/>
                  <w:i/>
                  <w:sz w:val="24"/>
                  <w:szCs w:val="28"/>
                </w:rPr>
              </m:ctrlPr>
            </m:sSubPr>
            <m:e>
              <m:r>
                <w:rPr>
                  <w:rFonts w:ascii="Cambria Math" w:hAnsi="Cambria Math" w:cs="Times New Roman"/>
                  <w:sz w:val="24"/>
                  <w:szCs w:val="28"/>
                </w:rPr>
                <m:t>E</m:t>
              </m:r>
            </m:e>
            <m:sub>
              <m:r>
                <w:rPr>
                  <w:rFonts w:ascii="Cambria Math" w:hAnsi="Cambria Math" w:cs="Times New Roman"/>
                  <w:sz w:val="24"/>
                  <w:szCs w:val="28"/>
                </w:rPr>
                <m:t>T</m:t>
              </m:r>
            </m:sub>
          </m:sSub>
          <m:r>
            <w:rPr>
              <w:rFonts w:ascii="Cambria Math" w:hAnsi="Cambria Math" w:cs="Times New Roman"/>
              <w:sz w:val="24"/>
              <w:szCs w:val="28"/>
            </w:rPr>
            <m:t>+</m:t>
          </m:r>
          <m:nary>
            <m:naryPr>
              <m:chr m:val="∑"/>
              <m:limLoc m:val="undOvr"/>
              <m:supHide m:val="1"/>
              <m:ctrlPr>
                <w:rPr>
                  <w:rFonts w:ascii="Cambria Math" w:hAnsi="Cambria Math" w:cs="Times New Roman"/>
                  <w:i/>
                  <w:sz w:val="24"/>
                  <w:szCs w:val="28"/>
                </w:rPr>
              </m:ctrlPr>
            </m:naryPr>
            <m:sub>
              <m:r>
                <w:rPr>
                  <w:rFonts w:ascii="Cambria Math" w:hAnsi="Cambria Math" w:cs="Times New Roman"/>
                  <w:sz w:val="24"/>
                  <w:szCs w:val="28"/>
                </w:rPr>
                <m:t>i</m:t>
              </m:r>
            </m:sub>
            <m:sup/>
            <m:e>
              <m:sSub>
                <m:sSubPr>
                  <m:ctrlPr>
                    <w:rPr>
                      <w:rFonts w:ascii="Cambria Math" w:hAnsi="Cambria Math" w:cs="Times New Roman"/>
                      <w:i/>
                      <w:sz w:val="24"/>
                      <w:szCs w:val="28"/>
                    </w:rPr>
                  </m:ctrlPr>
                </m:sSubPr>
                <m:e>
                  <m:r>
                    <w:rPr>
                      <w:rFonts w:ascii="Cambria Math" w:hAnsi="Cambria Math" w:cs="Times New Roman"/>
                      <w:sz w:val="24"/>
                      <w:szCs w:val="28"/>
                    </w:rPr>
                    <m:t>r</m:t>
                  </m:r>
                </m:e>
                <m:sub>
                  <m:r>
                    <w:rPr>
                      <w:rFonts w:ascii="Cambria Math" w:hAnsi="Cambria Math" w:cs="Times New Roman"/>
                      <w:sz w:val="24"/>
                      <w:szCs w:val="28"/>
                    </w:rPr>
                    <m:t>i</m:t>
                  </m:r>
                </m:sub>
              </m:sSub>
              <m:r>
                <w:rPr>
                  <w:rFonts w:ascii="Cambria Math" w:hAnsi="Cambria Math" w:cs="Times New Roman"/>
                  <w:sz w:val="24"/>
                  <w:szCs w:val="28"/>
                </w:rPr>
                <m:t>*</m:t>
              </m:r>
              <m:sSub>
                <m:sSubPr>
                  <m:ctrlPr>
                    <w:rPr>
                      <w:rFonts w:ascii="Cambria Math" w:hAnsi="Cambria Math" w:cs="Times New Roman"/>
                      <w:i/>
                      <w:sz w:val="24"/>
                      <w:szCs w:val="28"/>
                    </w:rPr>
                  </m:ctrlPr>
                </m:sSubPr>
                <m:e>
                  <m:r>
                    <w:rPr>
                      <w:rFonts w:ascii="Cambria Math" w:hAnsi="Cambria Math" w:cs="Times New Roman"/>
                      <w:sz w:val="24"/>
                      <w:szCs w:val="28"/>
                    </w:rPr>
                    <m:t>E</m:t>
                  </m:r>
                </m:e>
                <m:sub>
                  <m:r>
                    <w:rPr>
                      <w:rFonts w:ascii="Cambria Math" w:hAnsi="Cambria Math" w:cs="Times New Roman"/>
                      <w:sz w:val="24"/>
                      <w:szCs w:val="28"/>
                    </w:rPr>
                    <m:t>i</m:t>
                  </m:r>
                </m:sub>
              </m:sSub>
            </m:e>
          </m:nary>
        </m:oMath>
      </m:oMathPara>
    </w:p>
    <w:p w14:paraId="6F04DE97" w14:textId="77777777" w:rsidR="00875126" w:rsidRPr="005035FB" w:rsidRDefault="00875126" w:rsidP="00875126">
      <w:pPr>
        <w:rPr>
          <w:rFonts w:ascii="Times New Roman" w:hAnsi="Times New Roman" w:cs="Times New Roman"/>
          <w:sz w:val="24"/>
          <w:szCs w:val="28"/>
        </w:rPr>
      </w:pPr>
    </w:p>
    <w:p w14:paraId="28DC46B0" w14:textId="77777777" w:rsidR="00875126" w:rsidRPr="005035FB" w:rsidRDefault="00875126" w:rsidP="00875126">
      <w:pPr>
        <w:rPr>
          <w:rFonts w:ascii="Times New Roman" w:hAnsi="Times New Roman" w:cs="Times New Roman"/>
          <w:sz w:val="24"/>
          <w:szCs w:val="28"/>
        </w:rPr>
      </w:pPr>
      <w:r w:rsidRPr="005035FB">
        <w:rPr>
          <w:rFonts w:ascii="Times New Roman" w:hAnsi="Times New Roman" w:cs="Times New Roman"/>
          <w:sz w:val="24"/>
          <w:szCs w:val="28"/>
        </w:rPr>
        <w:t xml:space="preserve">hvor: </w:t>
      </w:r>
    </w:p>
    <w:p w14:paraId="259093D9" w14:textId="77777777" w:rsidR="00875126" w:rsidRPr="005035FB" w:rsidRDefault="00875126" w:rsidP="00875126">
      <w:pPr>
        <w:rPr>
          <w:rFonts w:ascii="Times New Roman" w:hAnsi="Times New Roman" w:cs="Times New Roman"/>
          <w:sz w:val="24"/>
          <w:szCs w:val="28"/>
        </w:rPr>
      </w:pPr>
    </w:p>
    <w:p w14:paraId="3684B15E" w14:textId="77777777" w:rsidR="00875126" w:rsidRPr="005035FB" w:rsidRDefault="00000000" w:rsidP="00875126">
      <w:pPr>
        <w:rPr>
          <w:rFonts w:ascii="Times New Roman" w:hAnsi="Times New Roman" w:cs="Times New Roman"/>
          <w:sz w:val="24"/>
          <w:szCs w:val="28"/>
        </w:rPr>
      </w:pPr>
      <m:oMath>
        <m:sSub>
          <m:sSubPr>
            <m:ctrlPr>
              <w:rPr>
                <w:rFonts w:ascii="Cambria Math" w:hAnsi="Cambria Math" w:cs="Times New Roman"/>
                <w:i/>
                <w:sz w:val="24"/>
                <w:szCs w:val="28"/>
              </w:rPr>
            </m:ctrlPr>
          </m:sSubPr>
          <m:e>
            <m:r>
              <w:rPr>
                <w:rFonts w:ascii="Cambria Math" w:hAnsi="Cambria Math" w:cs="Times New Roman"/>
                <w:sz w:val="24"/>
                <w:szCs w:val="28"/>
              </w:rPr>
              <m:t>B</m:t>
            </m:r>
          </m:e>
          <m:sub>
            <m:r>
              <w:rPr>
                <w:rFonts w:ascii="Cambria Math" w:hAnsi="Cambria Math" w:cs="Times New Roman"/>
                <w:sz w:val="24"/>
                <w:szCs w:val="28"/>
              </w:rPr>
              <m:t>SR</m:t>
            </m:r>
          </m:sub>
        </m:sSub>
      </m:oMath>
      <w:r w:rsidR="00875126" w:rsidRPr="005035FB">
        <w:rPr>
          <w:rFonts w:ascii="Times New Roman" w:hAnsi="Times New Roman" w:cs="Times New Roman"/>
          <w:sz w:val="24"/>
          <w:szCs w:val="28"/>
        </w:rPr>
        <w:t xml:space="preserve"> = den systemiske buffer </w:t>
      </w:r>
    </w:p>
    <w:p w14:paraId="1B952C35" w14:textId="77777777" w:rsidR="00875126" w:rsidRPr="005035FB" w:rsidRDefault="00875126" w:rsidP="00875126">
      <w:pPr>
        <w:rPr>
          <w:rFonts w:ascii="Times New Roman" w:hAnsi="Times New Roman" w:cs="Times New Roman"/>
          <w:sz w:val="24"/>
          <w:szCs w:val="28"/>
        </w:rPr>
      </w:pPr>
    </w:p>
    <w:p w14:paraId="44CDA48D" w14:textId="77777777" w:rsidR="00875126" w:rsidRPr="005035FB" w:rsidRDefault="00000000" w:rsidP="00875126">
      <w:pPr>
        <w:rPr>
          <w:rFonts w:ascii="Times New Roman" w:hAnsi="Times New Roman" w:cs="Times New Roman"/>
          <w:sz w:val="24"/>
          <w:szCs w:val="28"/>
        </w:rPr>
      </w:pPr>
      <m:oMath>
        <m:sSub>
          <m:sSubPr>
            <m:ctrlPr>
              <w:rPr>
                <w:rFonts w:ascii="Cambria Math" w:hAnsi="Cambria Math" w:cs="Times New Roman"/>
                <w:i/>
                <w:sz w:val="24"/>
                <w:szCs w:val="28"/>
              </w:rPr>
            </m:ctrlPr>
          </m:sSubPr>
          <m:e>
            <m:r>
              <w:rPr>
                <w:rFonts w:ascii="Cambria Math" w:hAnsi="Cambria Math" w:cs="Times New Roman"/>
                <w:sz w:val="24"/>
                <w:szCs w:val="28"/>
              </w:rPr>
              <m:t>r</m:t>
            </m:r>
          </m:e>
          <m:sub>
            <m:r>
              <w:rPr>
                <w:rFonts w:ascii="Cambria Math" w:hAnsi="Cambria Math" w:cs="Times New Roman"/>
                <w:sz w:val="24"/>
                <w:szCs w:val="28"/>
              </w:rPr>
              <m:t>T</m:t>
            </m:r>
          </m:sub>
        </m:sSub>
      </m:oMath>
      <w:r w:rsidR="00875126" w:rsidRPr="005035FB">
        <w:rPr>
          <w:rFonts w:ascii="Times New Roman" w:hAnsi="Times New Roman" w:cs="Times New Roman"/>
          <w:sz w:val="24"/>
          <w:szCs w:val="28"/>
        </w:rPr>
        <w:t xml:space="preserve"> = den buffersats, der finder anvendelse på en virksomheds samlede risikoeksponeringsbeløb </w:t>
      </w:r>
    </w:p>
    <w:p w14:paraId="202E9103" w14:textId="77777777" w:rsidR="00875126" w:rsidRPr="005035FB" w:rsidRDefault="00875126" w:rsidP="00875126">
      <w:pPr>
        <w:rPr>
          <w:rFonts w:ascii="Times New Roman" w:hAnsi="Times New Roman" w:cs="Times New Roman"/>
          <w:sz w:val="24"/>
          <w:szCs w:val="28"/>
        </w:rPr>
      </w:pPr>
    </w:p>
    <w:p w14:paraId="357DE71F" w14:textId="77777777" w:rsidR="00875126" w:rsidRPr="005035FB" w:rsidRDefault="00000000" w:rsidP="00875126">
      <w:pPr>
        <w:rPr>
          <w:rFonts w:ascii="Times New Roman" w:hAnsi="Times New Roman" w:cs="Times New Roman"/>
          <w:sz w:val="24"/>
          <w:szCs w:val="28"/>
        </w:rPr>
      </w:pPr>
      <m:oMath>
        <m:sSub>
          <m:sSubPr>
            <m:ctrlPr>
              <w:rPr>
                <w:rFonts w:ascii="Cambria Math" w:hAnsi="Cambria Math" w:cs="Times New Roman"/>
                <w:i/>
                <w:sz w:val="24"/>
                <w:szCs w:val="28"/>
              </w:rPr>
            </m:ctrlPr>
          </m:sSubPr>
          <m:e>
            <m:r>
              <w:rPr>
                <w:rFonts w:ascii="Cambria Math" w:hAnsi="Cambria Math" w:cs="Times New Roman"/>
                <w:sz w:val="24"/>
                <w:szCs w:val="28"/>
              </w:rPr>
              <m:t>E</m:t>
            </m:r>
          </m:e>
          <m:sub>
            <m:r>
              <w:rPr>
                <w:rFonts w:ascii="Cambria Math" w:hAnsi="Cambria Math" w:cs="Times New Roman"/>
                <w:sz w:val="24"/>
                <w:szCs w:val="28"/>
              </w:rPr>
              <m:t>T</m:t>
            </m:r>
          </m:sub>
        </m:sSub>
      </m:oMath>
      <w:r w:rsidR="00875126" w:rsidRPr="005035FB">
        <w:rPr>
          <w:rFonts w:ascii="Times New Roman" w:hAnsi="Times New Roman" w:cs="Times New Roman"/>
          <w:sz w:val="24"/>
          <w:szCs w:val="28"/>
        </w:rPr>
        <w:t xml:space="preserve"> = en virksomheds samlede risikoeksponeringsbeløb beregnet i overensstemmelse med artikel 92, stk. 3, i Europa-Parlamentets og Rådets forordning (EU) nr. 575/2013 af 26. juni 2013 om tilsynsmæssige krav til kreditinstitutter og investeringsselskaber</w:t>
      </w:r>
      <w:r w:rsidR="00207B00" w:rsidRPr="005035FB">
        <w:rPr>
          <w:rFonts w:ascii="Times New Roman" w:hAnsi="Times New Roman" w:cs="Times New Roman"/>
          <w:sz w:val="24"/>
          <w:szCs w:val="28"/>
          <w:lang w:eastAsia="fo-FO"/>
        </w:rPr>
        <w:t>, som sat i kraft for Grønland ved lov</w:t>
      </w:r>
      <w:r w:rsidR="00875126" w:rsidRPr="005035FB">
        <w:rPr>
          <w:rFonts w:ascii="Times New Roman" w:hAnsi="Times New Roman" w:cs="Times New Roman"/>
          <w:sz w:val="24"/>
          <w:szCs w:val="28"/>
        </w:rPr>
        <w:t xml:space="preserve"> </w:t>
      </w:r>
    </w:p>
    <w:p w14:paraId="3A187198" w14:textId="77777777" w:rsidR="00875126" w:rsidRPr="005035FB" w:rsidRDefault="00875126" w:rsidP="00875126">
      <w:pPr>
        <w:rPr>
          <w:rFonts w:ascii="Times New Roman" w:hAnsi="Times New Roman" w:cs="Times New Roman"/>
          <w:sz w:val="24"/>
          <w:szCs w:val="28"/>
        </w:rPr>
      </w:pPr>
    </w:p>
    <w:p w14:paraId="56CAAC2F" w14:textId="77777777" w:rsidR="00875126" w:rsidRPr="005035FB" w:rsidRDefault="0070582C" w:rsidP="00875126">
      <w:pPr>
        <w:rPr>
          <w:rFonts w:ascii="Times New Roman" w:hAnsi="Times New Roman" w:cs="Times New Roman"/>
          <w:sz w:val="24"/>
          <w:szCs w:val="28"/>
        </w:rPr>
      </w:pPr>
      <m:oMath>
        <m:r>
          <w:rPr>
            <w:rFonts w:ascii="Cambria Math" w:hAnsi="Cambria Math" w:cs="Times New Roman"/>
            <w:sz w:val="24"/>
            <w:szCs w:val="28"/>
          </w:rPr>
          <m:t>i</m:t>
        </m:r>
      </m:oMath>
      <w:r w:rsidR="00875126" w:rsidRPr="005035FB">
        <w:rPr>
          <w:rFonts w:ascii="Times New Roman" w:hAnsi="Times New Roman" w:cs="Times New Roman"/>
          <w:sz w:val="24"/>
          <w:szCs w:val="28"/>
        </w:rPr>
        <w:t xml:space="preserve"> = indekset for undergruppen af eksponeringer som omhandlet i § 3, stk. 1 </w:t>
      </w:r>
    </w:p>
    <w:p w14:paraId="383C6A5B" w14:textId="77777777" w:rsidR="00875126" w:rsidRPr="005035FB" w:rsidRDefault="00875126" w:rsidP="00875126">
      <w:pPr>
        <w:rPr>
          <w:rFonts w:ascii="Times New Roman" w:hAnsi="Times New Roman" w:cs="Times New Roman"/>
          <w:sz w:val="24"/>
          <w:szCs w:val="28"/>
        </w:rPr>
      </w:pPr>
    </w:p>
    <w:p w14:paraId="00C8F264" w14:textId="77777777" w:rsidR="00875126" w:rsidRPr="005035FB" w:rsidRDefault="00000000" w:rsidP="00875126">
      <w:pPr>
        <w:rPr>
          <w:rFonts w:ascii="Times New Roman" w:hAnsi="Times New Roman" w:cs="Times New Roman"/>
          <w:sz w:val="24"/>
          <w:szCs w:val="28"/>
        </w:rPr>
      </w:pPr>
      <m:oMath>
        <m:sSub>
          <m:sSubPr>
            <m:ctrlPr>
              <w:rPr>
                <w:rFonts w:ascii="Cambria Math" w:hAnsi="Cambria Math" w:cs="Times New Roman"/>
                <w:i/>
                <w:sz w:val="24"/>
                <w:szCs w:val="28"/>
              </w:rPr>
            </m:ctrlPr>
          </m:sSubPr>
          <m:e>
            <m:r>
              <w:rPr>
                <w:rFonts w:ascii="Cambria Math" w:hAnsi="Cambria Math" w:cs="Times New Roman"/>
                <w:sz w:val="24"/>
                <w:szCs w:val="28"/>
              </w:rPr>
              <m:t>r</m:t>
            </m:r>
          </m:e>
          <m:sub>
            <m:r>
              <w:rPr>
                <w:rFonts w:ascii="Cambria Math" w:hAnsi="Cambria Math" w:cs="Times New Roman"/>
                <w:sz w:val="24"/>
                <w:szCs w:val="28"/>
              </w:rPr>
              <m:t>i</m:t>
            </m:r>
          </m:sub>
        </m:sSub>
      </m:oMath>
      <w:r w:rsidR="00875126" w:rsidRPr="005035FB">
        <w:rPr>
          <w:rFonts w:ascii="Times New Roman" w:hAnsi="Times New Roman" w:cs="Times New Roman"/>
          <w:sz w:val="24"/>
          <w:szCs w:val="28"/>
        </w:rPr>
        <w:t xml:space="preserve"> = den buffersats, der finder anvendelse på risikoeksponeringsbeløbet for undergruppen af eksponeringer i, og </w:t>
      </w:r>
    </w:p>
    <w:p w14:paraId="380784D3" w14:textId="77777777" w:rsidR="00875126" w:rsidRPr="005035FB" w:rsidRDefault="00875126" w:rsidP="00875126">
      <w:pPr>
        <w:rPr>
          <w:rFonts w:ascii="Times New Roman" w:hAnsi="Times New Roman" w:cs="Times New Roman"/>
          <w:sz w:val="24"/>
          <w:szCs w:val="28"/>
        </w:rPr>
      </w:pPr>
    </w:p>
    <w:p w14:paraId="137F69B9" w14:textId="77777777" w:rsidR="001B637F" w:rsidRPr="005035FB" w:rsidRDefault="00000000" w:rsidP="00875126">
      <w:pPr>
        <w:rPr>
          <w:rFonts w:ascii="Times New Roman" w:hAnsi="Times New Roman" w:cs="Times New Roman"/>
          <w:sz w:val="24"/>
          <w:szCs w:val="28"/>
        </w:rPr>
      </w:pPr>
      <m:oMath>
        <m:sSub>
          <m:sSubPr>
            <m:ctrlPr>
              <w:rPr>
                <w:rFonts w:ascii="Cambria Math" w:hAnsi="Cambria Math" w:cs="Times New Roman"/>
                <w:i/>
                <w:sz w:val="24"/>
                <w:szCs w:val="28"/>
              </w:rPr>
            </m:ctrlPr>
          </m:sSubPr>
          <m:e>
            <m:r>
              <w:rPr>
                <w:rFonts w:ascii="Cambria Math" w:hAnsi="Cambria Math" w:cs="Times New Roman"/>
                <w:sz w:val="24"/>
                <w:szCs w:val="28"/>
              </w:rPr>
              <m:t>E</m:t>
            </m:r>
          </m:e>
          <m:sub>
            <m:r>
              <w:rPr>
                <w:rFonts w:ascii="Cambria Math" w:hAnsi="Cambria Math" w:cs="Times New Roman"/>
                <w:sz w:val="24"/>
                <w:szCs w:val="28"/>
              </w:rPr>
              <m:t>i</m:t>
            </m:r>
          </m:sub>
        </m:sSub>
      </m:oMath>
      <w:r w:rsidR="00875126" w:rsidRPr="005035FB">
        <w:rPr>
          <w:rFonts w:ascii="Times New Roman" w:hAnsi="Times New Roman" w:cs="Times New Roman"/>
          <w:sz w:val="24"/>
          <w:szCs w:val="28"/>
        </w:rPr>
        <w:t xml:space="preserve"> = en virksomheds samlede risikoeksponeringsbeløb for undergruppen af eksponeringer i beregnet i overensstemmelse med artikel 92, stk. 3, i Europa-Parlamentets og Rådets forordning (EU) nr. 575/2013 af 26. juni 2013 om tilsynsmæssige krav til kreditinstitutter og investeringsselskaber</w:t>
      </w:r>
      <w:r w:rsidR="00207B00" w:rsidRPr="005035FB">
        <w:rPr>
          <w:rFonts w:ascii="Times New Roman" w:hAnsi="Times New Roman" w:cs="Times New Roman"/>
          <w:sz w:val="24"/>
          <w:szCs w:val="28"/>
          <w:lang w:eastAsia="fo-FO"/>
        </w:rPr>
        <w:t>, som sat i kraft for Grønland ved lov</w:t>
      </w:r>
      <w:r w:rsidR="00875126" w:rsidRPr="005035FB">
        <w:rPr>
          <w:rFonts w:ascii="Times New Roman" w:hAnsi="Times New Roman" w:cs="Times New Roman"/>
          <w:sz w:val="24"/>
          <w:szCs w:val="28"/>
        </w:rPr>
        <w:t>.</w:t>
      </w:r>
    </w:p>
    <w:sectPr w:rsidR="001B637F" w:rsidRPr="005035FB" w:rsidSect="007E75F4">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45886" w14:textId="77777777" w:rsidR="0034661A" w:rsidRDefault="0034661A" w:rsidP="00875126">
      <w:pPr>
        <w:spacing w:line="240" w:lineRule="auto"/>
      </w:pPr>
      <w:r>
        <w:separator/>
      </w:r>
    </w:p>
  </w:endnote>
  <w:endnote w:type="continuationSeparator" w:id="0">
    <w:p w14:paraId="2B3B914C" w14:textId="77777777" w:rsidR="0034661A" w:rsidRDefault="0034661A" w:rsidP="008751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C346D" w14:textId="77777777" w:rsidR="00154ECD" w:rsidRDefault="00154ECD">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FFAA3" w14:textId="77777777" w:rsidR="00154ECD" w:rsidRDefault="00154ECD">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DCAD4" w14:textId="77777777" w:rsidR="00154ECD" w:rsidRDefault="00154EC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8A2ED" w14:textId="77777777" w:rsidR="0034661A" w:rsidRDefault="0034661A" w:rsidP="00875126">
      <w:pPr>
        <w:spacing w:line="240" w:lineRule="auto"/>
      </w:pPr>
      <w:r>
        <w:separator/>
      </w:r>
    </w:p>
  </w:footnote>
  <w:footnote w:type="continuationSeparator" w:id="0">
    <w:p w14:paraId="1C812660" w14:textId="77777777" w:rsidR="0034661A" w:rsidRDefault="0034661A" w:rsidP="008751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8DBB0" w14:textId="1F111740" w:rsidR="00154ECD" w:rsidRDefault="00154ECD">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59041" w14:textId="6DB5C75E" w:rsidR="00154ECD" w:rsidRDefault="00154ECD">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16755" w14:textId="56E4B56E" w:rsidR="00154ECD" w:rsidRDefault="00154ECD">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EC45FCC"/>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072A7F74"/>
    <w:multiLevelType w:val="hybridMultilevel"/>
    <w:tmpl w:val="928C8F22"/>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2F3840B1"/>
    <w:multiLevelType w:val="hybridMultilevel"/>
    <w:tmpl w:val="4896127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2017492494">
    <w:abstractNumId w:val="2"/>
  </w:num>
  <w:num w:numId="2" w16cid:durableId="1854109631">
    <w:abstractNumId w:val="0"/>
  </w:num>
  <w:num w:numId="3" w16cid:durableId="342767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XmlVersion" w:val="Empty"/>
  </w:docVars>
  <w:rsids>
    <w:rsidRoot w:val="00875126"/>
    <w:rsid w:val="00061655"/>
    <w:rsid w:val="000640EA"/>
    <w:rsid w:val="000E6586"/>
    <w:rsid w:val="000F57C3"/>
    <w:rsid w:val="00116777"/>
    <w:rsid w:val="001518F3"/>
    <w:rsid w:val="00154ECD"/>
    <w:rsid w:val="00162184"/>
    <w:rsid w:val="001A716D"/>
    <w:rsid w:val="001B637F"/>
    <w:rsid w:val="00205C9B"/>
    <w:rsid w:val="00206118"/>
    <w:rsid w:val="00207B00"/>
    <w:rsid w:val="0026096B"/>
    <w:rsid w:val="00280F15"/>
    <w:rsid w:val="0030127E"/>
    <w:rsid w:val="00304456"/>
    <w:rsid w:val="00335F00"/>
    <w:rsid w:val="00340090"/>
    <w:rsid w:val="0034661A"/>
    <w:rsid w:val="003A1B44"/>
    <w:rsid w:val="003A4BCE"/>
    <w:rsid w:val="003D51DF"/>
    <w:rsid w:val="003E14A1"/>
    <w:rsid w:val="0049131D"/>
    <w:rsid w:val="004C6C36"/>
    <w:rsid w:val="004D6A9E"/>
    <w:rsid w:val="005035FB"/>
    <w:rsid w:val="0051274C"/>
    <w:rsid w:val="0053668E"/>
    <w:rsid w:val="005506C7"/>
    <w:rsid w:val="005D31BA"/>
    <w:rsid w:val="00603033"/>
    <w:rsid w:val="00677B66"/>
    <w:rsid w:val="00693A3F"/>
    <w:rsid w:val="0070582C"/>
    <w:rsid w:val="00716047"/>
    <w:rsid w:val="007D2D36"/>
    <w:rsid w:val="007E75F4"/>
    <w:rsid w:val="00806E13"/>
    <w:rsid w:val="00850161"/>
    <w:rsid w:val="008512FD"/>
    <w:rsid w:val="00875126"/>
    <w:rsid w:val="0088452F"/>
    <w:rsid w:val="008B182D"/>
    <w:rsid w:val="008B2DF1"/>
    <w:rsid w:val="008C6EE4"/>
    <w:rsid w:val="009A7CB9"/>
    <w:rsid w:val="009F6843"/>
    <w:rsid w:val="00A00635"/>
    <w:rsid w:val="00A66F26"/>
    <w:rsid w:val="00A94494"/>
    <w:rsid w:val="00AA6FBE"/>
    <w:rsid w:val="00AD2659"/>
    <w:rsid w:val="00AD490B"/>
    <w:rsid w:val="00AF2617"/>
    <w:rsid w:val="00B27004"/>
    <w:rsid w:val="00B40E7C"/>
    <w:rsid w:val="00B915A3"/>
    <w:rsid w:val="00BC5B43"/>
    <w:rsid w:val="00C35000"/>
    <w:rsid w:val="00C5798C"/>
    <w:rsid w:val="00C66AE2"/>
    <w:rsid w:val="00C82969"/>
    <w:rsid w:val="00C92FA4"/>
    <w:rsid w:val="00CD1197"/>
    <w:rsid w:val="00CD3448"/>
    <w:rsid w:val="00D14B8A"/>
    <w:rsid w:val="00D64D5C"/>
    <w:rsid w:val="00DC547A"/>
    <w:rsid w:val="00DE5ECF"/>
    <w:rsid w:val="00E8269F"/>
    <w:rsid w:val="00EA193D"/>
    <w:rsid w:val="00EB57FA"/>
    <w:rsid w:val="00ED66A0"/>
    <w:rsid w:val="00EE5BEB"/>
    <w:rsid w:val="00F05DAC"/>
    <w:rsid w:val="00F60597"/>
    <w:rsid w:val="00FA1264"/>
    <w:rsid w:val="00FA5373"/>
    <w:rsid w:val="00FF150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B224F5"/>
  <w15:chartTrackingRefBased/>
  <w15:docId w15:val="{7B814759-DEEF-4B7B-B2F6-D91756AF8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1"/>
        <w:szCs w:val="22"/>
        <w:lang w:val="da-DK"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597"/>
    <w:pPr>
      <w:spacing w:after="0" w:line="280" w:lineRule="exact"/>
      <w:jc w:val="both"/>
    </w:pPr>
  </w:style>
  <w:style w:type="paragraph" w:styleId="Overskrift1">
    <w:name w:val="heading 1"/>
    <w:basedOn w:val="Normal"/>
    <w:next w:val="Normal"/>
    <w:link w:val="Overskrift1Tegn"/>
    <w:uiPriority w:val="9"/>
    <w:qFormat/>
    <w:rsid w:val="00F60597"/>
    <w:pPr>
      <w:keepNext/>
      <w:keepLines/>
      <w:spacing w:line="480" w:lineRule="exact"/>
      <w:outlineLvl w:val="0"/>
    </w:pPr>
    <w:rPr>
      <w:rFonts w:ascii="Constantia" w:eastAsiaTheme="majorEastAsia" w:hAnsi="Constantia" w:cstheme="majorBidi"/>
      <w:b/>
      <w:bCs/>
      <w:color w:val="990000"/>
      <w:sz w:val="32"/>
      <w:szCs w:val="28"/>
    </w:rPr>
  </w:style>
  <w:style w:type="paragraph" w:styleId="Overskrift2">
    <w:name w:val="heading 2"/>
    <w:basedOn w:val="Normal"/>
    <w:next w:val="Normal"/>
    <w:link w:val="Overskrift2Tegn"/>
    <w:uiPriority w:val="9"/>
    <w:semiHidden/>
    <w:unhideWhenUsed/>
    <w:qFormat/>
    <w:rsid w:val="00F60597"/>
    <w:pPr>
      <w:keepNext/>
      <w:keepLines/>
      <w:outlineLvl w:val="1"/>
    </w:pPr>
    <w:rPr>
      <w:rFonts w:ascii="Constantia" w:eastAsiaTheme="majorEastAsia" w:hAnsi="Constantia" w:cstheme="majorBidi"/>
      <w:b/>
      <w:bCs/>
      <w:sz w:val="22"/>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60597"/>
    <w:rPr>
      <w:rFonts w:ascii="Constantia" w:eastAsiaTheme="majorEastAsia" w:hAnsi="Constantia" w:cstheme="majorBidi"/>
      <w:b/>
      <w:bCs/>
      <w:color w:val="990000"/>
      <w:sz w:val="32"/>
      <w:szCs w:val="28"/>
    </w:rPr>
  </w:style>
  <w:style w:type="character" w:customStyle="1" w:styleId="Overskrift2Tegn">
    <w:name w:val="Overskrift 2 Tegn"/>
    <w:basedOn w:val="Standardskrifttypeiafsnit"/>
    <w:link w:val="Overskrift2"/>
    <w:uiPriority w:val="9"/>
    <w:semiHidden/>
    <w:rsid w:val="00F60597"/>
    <w:rPr>
      <w:rFonts w:ascii="Constantia" w:eastAsiaTheme="majorEastAsia" w:hAnsi="Constantia" w:cstheme="majorBidi"/>
      <w:b/>
      <w:bCs/>
      <w:sz w:val="22"/>
      <w:szCs w:val="26"/>
    </w:rPr>
  </w:style>
  <w:style w:type="paragraph" w:styleId="Fodnotetekst">
    <w:name w:val="footnote text"/>
    <w:basedOn w:val="Normal"/>
    <w:link w:val="FodnotetekstTegn"/>
    <w:uiPriority w:val="99"/>
    <w:semiHidden/>
    <w:unhideWhenUsed/>
    <w:rsid w:val="00875126"/>
    <w:pPr>
      <w:spacing w:line="240" w:lineRule="auto"/>
    </w:pPr>
    <w:rPr>
      <w:sz w:val="20"/>
      <w:szCs w:val="20"/>
    </w:rPr>
  </w:style>
  <w:style w:type="character" w:customStyle="1" w:styleId="FodnotetekstTegn">
    <w:name w:val="Fodnotetekst Tegn"/>
    <w:basedOn w:val="Standardskrifttypeiafsnit"/>
    <w:link w:val="Fodnotetekst"/>
    <w:uiPriority w:val="99"/>
    <w:semiHidden/>
    <w:rsid w:val="00875126"/>
    <w:rPr>
      <w:sz w:val="20"/>
      <w:szCs w:val="20"/>
    </w:rPr>
  </w:style>
  <w:style w:type="character" w:styleId="Fodnotehenvisning">
    <w:name w:val="footnote reference"/>
    <w:basedOn w:val="Standardskrifttypeiafsnit"/>
    <w:uiPriority w:val="99"/>
    <w:semiHidden/>
    <w:unhideWhenUsed/>
    <w:rsid w:val="00875126"/>
    <w:rPr>
      <w:vertAlign w:val="superscript"/>
    </w:rPr>
  </w:style>
  <w:style w:type="paragraph" w:styleId="Listeafsnit">
    <w:name w:val="List Paragraph"/>
    <w:basedOn w:val="Normal"/>
    <w:uiPriority w:val="34"/>
    <w:rsid w:val="00875126"/>
    <w:pPr>
      <w:ind w:left="720"/>
      <w:contextualSpacing/>
    </w:pPr>
  </w:style>
  <w:style w:type="paragraph" w:styleId="Opstilling-punkttegn">
    <w:name w:val="List Bullet"/>
    <w:basedOn w:val="Normal"/>
    <w:uiPriority w:val="99"/>
    <w:unhideWhenUsed/>
    <w:rsid w:val="00875126"/>
    <w:pPr>
      <w:numPr>
        <w:numId w:val="2"/>
      </w:numPr>
      <w:contextualSpacing/>
    </w:pPr>
  </w:style>
  <w:style w:type="character" w:styleId="Pladsholdertekst">
    <w:name w:val="Placeholder Text"/>
    <w:basedOn w:val="Standardskrifttypeiafsnit"/>
    <w:uiPriority w:val="99"/>
    <w:semiHidden/>
    <w:rsid w:val="00875126"/>
    <w:rPr>
      <w:color w:val="808080"/>
    </w:rPr>
  </w:style>
  <w:style w:type="character" w:styleId="Kommentarhenvisning">
    <w:name w:val="annotation reference"/>
    <w:basedOn w:val="Standardskrifttypeiafsnit"/>
    <w:uiPriority w:val="99"/>
    <w:semiHidden/>
    <w:unhideWhenUsed/>
    <w:rsid w:val="003E14A1"/>
    <w:rPr>
      <w:sz w:val="16"/>
      <w:szCs w:val="16"/>
    </w:rPr>
  </w:style>
  <w:style w:type="paragraph" w:styleId="Kommentartekst">
    <w:name w:val="annotation text"/>
    <w:basedOn w:val="Normal"/>
    <w:link w:val="KommentartekstTegn"/>
    <w:uiPriority w:val="99"/>
    <w:unhideWhenUsed/>
    <w:rsid w:val="003E14A1"/>
    <w:pPr>
      <w:spacing w:line="240" w:lineRule="auto"/>
    </w:pPr>
    <w:rPr>
      <w:sz w:val="20"/>
      <w:szCs w:val="20"/>
    </w:rPr>
  </w:style>
  <w:style w:type="character" w:customStyle="1" w:styleId="KommentartekstTegn">
    <w:name w:val="Kommentartekst Tegn"/>
    <w:basedOn w:val="Standardskrifttypeiafsnit"/>
    <w:link w:val="Kommentartekst"/>
    <w:uiPriority w:val="99"/>
    <w:rsid w:val="003E14A1"/>
    <w:rPr>
      <w:sz w:val="20"/>
      <w:szCs w:val="20"/>
    </w:rPr>
  </w:style>
  <w:style w:type="paragraph" w:styleId="Kommentaremne">
    <w:name w:val="annotation subject"/>
    <w:basedOn w:val="Kommentartekst"/>
    <w:next w:val="Kommentartekst"/>
    <w:link w:val="KommentaremneTegn"/>
    <w:uiPriority w:val="99"/>
    <w:semiHidden/>
    <w:unhideWhenUsed/>
    <w:rsid w:val="003E14A1"/>
    <w:rPr>
      <w:b/>
      <w:bCs/>
    </w:rPr>
  </w:style>
  <w:style w:type="character" w:customStyle="1" w:styleId="KommentaremneTegn">
    <w:name w:val="Kommentaremne Tegn"/>
    <w:basedOn w:val="KommentartekstTegn"/>
    <w:link w:val="Kommentaremne"/>
    <w:uiPriority w:val="99"/>
    <w:semiHidden/>
    <w:rsid w:val="003E14A1"/>
    <w:rPr>
      <w:b/>
      <w:bCs/>
      <w:sz w:val="20"/>
      <w:szCs w:val="20"/>
    </w:rPr>
  </w:style>
  <w:style w:type="paragraph" w:styleId="Korrektur">
    <w:name w:val="Revision"/>
    <w:hidden/>
    <w:uiPriority w:val="99"/>
    <w:semiHidden/>
    <w:rsid w:val="00207B00"/>
    <w:pPr>
      <w:spacing w:after="0" w:line="240" w:lineRule="auto"/>
    </w:pPr>
  </w:style>
  <w:style w:type="paragraph" w:styleId="Sidehoved">
    <w:name w:val="header"/>
    <w:basedOn w:val="Normal"/>
    <w:link w:val="SidehovedTegn"/>
    <w:uiPriority w:val="99"/>
    <w:unhideWhenUsed/>
    <w:rsid w:val="00154ECD"/>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154ECD"/>
  </w:style>
  <w:style w:type="paragraph" w:styleId="Sidefod">
    <w:name w:val="footer"/>
    <w:basedOn w:val="Normal"/>
    <w:link w:val="SidefodTegn"/>
    <w:uiPriority w:val="99"/>
    <w:unhideWhenUsed/>
    <w:rsid w:val="00154ECD"/>
    <w:pPr>
      <w:tabs>
        <w:tab w:val="center" w:pos="4819"/>
        <w:tab w:val="right" w:pos="9638"/>
      </w:tabs>
      <w:spacing w:line="240" w:lineRule="auto"/>
    </w:pPr>
  </w:style>
  <w:style w:type="character" w:customStyle="1" w:styleId="SidefodTegn">
    <w:name w:val="Sidefod Tegn"/>
    <w:basedOn w:val="Standardskrifttypeiafsnit"/>
    <w:link w:val="Sidefod"/>
    <w:uiPriority w:val="99"/>
    <w:rsid w:val="00154ECD"/>
  </w:style>
  <w:style w:type="character" w:customStyle="1" w:styleId="cf01">
    <w:name w:val="cf01"/>
    <w:basedOn w:val="Standardskrifttypeiafsnit"/>
    <w:rsid w:val="000F57C3"/>
    <w:rPr>
      <w:rFonts w:ascii="Segoe UI" w:hAnsi="Segoe UI" w:cs="Segoe UI" w:hint="default"/>
      <w:sz w:val="18"/>
      <w:szCs w:val="18"/>
    </w:rPr>
  </w:style>
  <w:style w:type="character" w:customStyle="1" w:styleId="cf11">
    <w:name w:val="cf11"/>
    <w:basedOn w:val="Standardskrifttypeiafsnit"/>
    <w:rsid w:val="000F57C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ontortema">
  <a:themeElements>
    <a:clrScheme name="FT farver">
      <a:dk1>
        <a:sysClr val="windowText" lastClr="000000"/>
      </a:dk1>
      <a:lt1>
        <a:sysClr val="window" lastClr="FFFFFF"/>
      </a:lt1>
      <a:dk2>
        <a:srgbClr val="5F1A15"/>
      </a:dk2>
      <a:lt2>
        <a:srgbClr val="F0E1CD"/>
      </a:lt2>
      <a:accent1>
        <a:srgbClr val="990000"/>
      </a:accent1>
      <a:accent2>
        <a:srgbClr val="FF9933"/>
      </a:accent2>
      <a:accent3>
        <a:srgbClr val="00505F"/>
      </a:accent3>
      <a:accent4>
        <a:srgbClr val="82A0AA"/>
      </a:accent4>
      <a:accent5>
        <a:srgbClr val="1E5F32"/>
      </a:accent5>
      <a:accent6>
        <a:srgbClr val="9BD2AA"/>
      </a:accent6>
      <a:hlink>
        <a:srgbClr val="990000"/>
      </a:hlink>
      <a:folHlink>
        <a:srgbClr val="FF9933"/>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2189B-1EF5-4252-9810-152CBB8FF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1080</Words>
  <Characters>6158</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Finanstilsynet</Company>
  <LinksUpToDate>false</LinksUpToDate>
  <CharactersWithSpaces>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Kasper Skærlund Werlauff (FT)</dc:creator>
  <cp:keywords/>
  <dc:description/>
  <cp:lastModifiedBy>Marie Færch</cp:lastModifiedBy>
  <cp:revision>3</cp:revision>
  <dcterms:created xsi:type="dcterms:W3CDTF">2023-11-01T15:49:00Z</dcterms:created>
  <dcterms:modified xsi:type="dcterms:W3CDTF">2023-11-10T13:31:00Z</dcterms:modified>
</cp:coreProperties>
</file>