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EDB1" w14:textId="77777777" w:rsidR="00B82AD3" w:rsidRPr="00747944" w:rsidRDefault="00B82AD3" w:rsidP="00B82AD3">
      <w:pPr>
        <w:pStyle w:val="Brdtekst"/>
        <w:jc w:val="center"/>
        <w:rPr>
          <w:rFonts w:ascii="Times New Roman" w:hAnsi="Times New Roman"/>
          <w:sz w:val="28"/>
          <w:szCs w:val="28"/>
        </w:rPr>
      </w:pPr>
      <w:bookmarkStart w:id="0" w:name="PCAStart"/>
      <w:bookmarkStart w:id="1" w:name="_Hlk133583046"/>
      <w:bookmarkEnd w:id="0"/>
      <w:r w:rsidRPr="00747944">
        <w:rPr>
          <w:rFonts w:ascii="Times New Roman" w:hAnsi="Times New Roman"/>
          <w:sz w:val="28"/>
          <w:szCs w:val="28"/>
        </w:rPr>
        <w:t>Bekendtgørelse for Grønland om kapital til opfyldelse af det individuelle solvenstillæg for pengeinstitutter og realkreditinstitutter</w:t>
      </w:r>
    </w:p>
    <w:bookmarkEnd w:id="1"/>
    <w:p w14:paraId="71728607" w14:textId="77777777" w:rsidR="00B82AD3" w:rsidRPr="00747944" w:rsidRDefault="00B82AD3" w:rsidP="00B82AD3">
      <w:pPr>
        <w:pStyle w:val="indledning2"/>
        <w:ind w:firstLine="0"/>
        <w:rPr>
          <w:rFonts w:ascii="Times New Roman" w:hAnsi="Times New Roman" w:cs="Times New Roman"/>
          <w:b/>
          <w:color w:val="auto"/>
          <w:sz w:val="21"/>
          <w:szCs w:val="20"/>
        </w:rPr>
      </w:pPr>
    </w:p>
    <w:p w14:paraId="518CA0F8" w14:textId="77777777" w:rsidR="00B82AD3" w:rsidRPr="00747944" w:rsidRDefault="00B82AD3" w:rsidP="00B82AD3">
      <w:pPr>
        <w:rPr>
          <w:rFonts w:ascii="Times New Roman" w:hAnsi="Times New Roman"/>
          <w:sz w:val="24"/>
          <w:szCs w:val="24"/>
          <w:lang w:val="fo-FO"/>
        </w:rPr>
      </w:pPr>
      <w:r w:rsidRPr="00747944">
        <w:rPr>
          <w:rFonts w:ascii="Times New Roman" w:hAnsi="Times New Roman"/>
          <w:sz w:val="24"/>
          <w:szCs w:val="24"/>
        </w:rPr>
        <w:t xml:space="preserve">I medfør af § 124, stk. 8, i lov om finansiel virksomhed, </w:t>
      </w:r>
      <w:r w:rsidRPr="00747944">
        <w:rPr>
          <w:rFonts w:ascii="Times New Roman" w:hAnsi="Times New Roman"/>
          <w:sz w:val="24"/>
          <w:szCs w:val="24"/>
          <w:lang w:val="fo-FO"/>
        </w:rPr>
        <w:t xml:space="preserve">som sat i kraft for Grønland ved kongelig anordning nr. 1252 af 15. december 2004, som ændret ved anordning nr. 1047 af 1. september 2010, anordning nr. 838 af 14. august 2012, anordning nr. 1675 af 16. december 2015, anordning nr. 1676 af 16. 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anordning nr. 1688 af 16. december 2015, anordning nr. 1330 af 6. december 2019, anordning nr. 1327 af 6. december 2019, anordning nr. 1323 af 6. december 2019, anordning nr. 1324 af 6. december 2019, anordning nr. 68 af 29. januar 2020, anordning nr. 1096 af 29. juni 2022 og anordning nr. 921 af 26. juni 2023, fastsættes: </w:t>
      </w:r>
    </w:p>
    <w:p w14:paraId="1B082FA0" w14:textId="77777777" w:rsidR="00B82AD3" w:rsidRPr="00747944" w:rsidRDefault="00B82AD3" w:rsidP="00B82AD3">
      <w:pPr>
        <w:rPr>
          <w:rFonts w:ascii="Times New Roman" w:hAnsi="Times New Roman"/>
          <w:sz w:val="24"/>
          <w:szCs w:val="24"/>
        </w:rPr>
      </w:pPr>
    </w:p>
    <w:p w14:paraId="2417C553" w14:textId="77777777" w:rsidR="00B82AD3" w:rsidRPr="00747944" w:rsidRDefault="00B82AD3" w:rsidP="00B82AD3">
      <w:pPr>
        <w:pStyle w:val="Brdtekst"/>
        <w:spacing w:line="276" w:lineRule="auto"/>
        <w:jc w:val="center"/>
        <w:rPr>
          <w:rFonts w:ascii="Times New Roman" w:hAnsi="Times New Roman"/>
          <w:i/>
          <w:sz w:val="24"/>
          <w:szCs w:val="24"/>
        </w:rPr>
      </w:pPr>
      <w:r w:rsidRPr="00747944">
        <w:rPr>
          <w:rFonts w:ascii="Times New Roman" w:hAnsi="Times New Roman"/>
          <w:i/>
          <w:sz w:val="24"/>
          <w:szCs w:val="24"/>
        </w:rPr>
        <w:t>Anvendelsesområde</w:t>
      </w:r>
    </w:p>
    <w:p w14:paraId="3EF9BD78" w14:textId="77777777" w:rsidR="00B82AD3" w:rsidRPr="00747944" w:rsidRDefault="00B82AD3" w:rsidP="00B82AD3">
      <w:pPr>
        <w:pStyle w:val="Brdtekst"/>
        <w:spacing w:line="276" w:lineRule="auto"/>
        <w:jc w:val="center"/>
        <w:rPr>
          <w:rFonts w:ascii="Times New Roman" w:hAnsi="Times New Roman"/>
          <w:i/>
          <w:sz w:val="24"/>
          <w:szCs w:val="24"/>
        </w:rPr>
      </w:pPr>
    </w:p>
    <w:p w14:paraId="0DE686E7" w14:textId="77777777" w:rsidR="00B82AD3" w:rsidRPr="00747944" w:rsidRDefault="00B82AD3" w:rsidP="00B82AD3">
      <w:pPr>
        <w:rPr>
          <w:rFonts w:ascii="Times New Roman" w:hAnsi="Times New Roman"/>
          <w:sz w:val="24"/>
          <w:szCs w:val="24"/>
        </w:rPr>
      </w:pPr>
      <w:r w:rsidRPr="00747944">
        <w:rPr>
          <w:rFonts w:ascii="Times New Roman" w:hAnsi="Times New Roman"/>
          <w:b/>
          <w:bCs/>
          <w:sz w:val="24"/>
          <w:szCs w:val="24"/>
        </w:rPr>
        <w:t>§ 1.</w:t>
      </w:r>
      <w:r w:rsidRPr="00747944">
        <w:rPr>
          <w:rFonts w:ascii="Times New Roman" w:hAnsi="Times New Roman"/>
          <w:sz w:val="24"/>
          <w:szCs w:val="24"/>
        </w:rPr>
        <w:t xml:space="preserve"> Denne bekendtgørelse finder anvendelse på:</w:t>
      </w:r>
    </w:p>
    <w:p w14:paraId="5FD20B61" w14:textId="77777777" w:rsidR="00B82AD3" w:rsidRPr="00747944" w:rsidRDefault="00B82AD3" w:rsidP="00B82AD3">
      <w:pPr>
        <w:pStyle w:val="Listeafsnit"/>
        <w:numPr>
          <w:ilvl w:val="0"/>
          <w:numId w:val="2"/>
        </w:numPr>
        <w:rPr>
          <w:rFonts w:ascii="Times New Roman" w:hAnsi="Times New Roman"/>
          <w:sz w:val="24"/>
          <w:szCs w:val="24"/>
        </w:rPr>
      </w:pPr>
      <w:r w:rsidRPr="00747944">
        <w:rPr>
          <w:rFonts w:ascii="Times New Roman" w:hAnsi="Times New Roman"/>
          <w:sz w:val="24"/>
          <w:szCs w:val="24"/>
        </w:rPr>
        <w:t>Pengeinstitutter.</w:t>
      </w:r>
    </w:p>
    <w:p w14:paraId="180B82AD" w14:textId="77777777" w:rsidR="00B82AD3" w:rsidRPr="00747944" w:rsidRDefault="00B82AD3" w:rsidP="00B82AD3">
      <w:pPr>
        <w:pStyle w:val="Listeafsnit"/>
        <w:numPr>
          <w:ilvl w:val="0"/>
          <w:numId w:val="2"/>
        </w:numPr>
        <w:rPr>
          <w:rFonts w:ascii="Times New Roman" w:hAnsi="Times New Roman"/>
          <w:sz w:val="24"/>
          <w:szCs w:val="24"/>
        </w:rPr>
      </w:pPr>
      <w:r w:rsidRPr="00747944">
        <w:rPr>
          <w:rFonts w:ascii="Times New Roman" w:hAnsi="Times New Roman"/>
          <w:sz w:val="24"/>
          <w:szCs w:val="24"/>
        </w:rPr>
        <w:t>Realkreditinstitutter.</w:t>
      </w:r>
    </w:p>
    <w:p w14:paraId="0CA0D2AF" w14:textId="77777777" w:rsidR="00B82AD3" w:rsidRPr="00747944" w:rsidRDefault="00B82AD3" w:rsidP="00B82AD3">
      <w:pPr>
        <w:pStyle w:val="Listeafsnit"/>
        <w:numPr>
          <w:ilvl w:val="0"/>
          <w:numId w:val="2"/>
        </w:numPr>
        <w:rPr>
          <w:rFonts w:ascii="Times New Roman" w:hAnsi="Times New Roman"/>
          <w:sz w:val="24"/>
          <w:szCs w:val="24"/>
        </w:rPr>
      </w:pPr>
      <w:r w:rsidRPr="00747944">
        <w:rPr>
          <w:rFonts w:ascii="Times New Roman" w:hAnsi="Times New Roman"/>
          <w:sz w:val="24"/>
          <w:szCs w:val="24"/>
        </w:rPr>
        <w:t>Koncerner, hvor den øverste modervirksomhed i Grønland er et pengeinstitut eller en pengeinstitutholdingvirksomhed.</w:t>
      </w:r>
    </w:p>
    <w:p w14:paraId="10BF4105" w14:textId="77777777" w:rsidR="00B82AD3" w:rsidRPr="00747944" w:rsidRDefault="00B82AD3" w:rsidP="00B82AD3">
      <w:pPr>
        <w:pStyle w:val="Listeafsnit"/>
        <w:numPr>
          <w:ilvl w:val="0"/>
          <w:numId w:val="2"/>
        </w:numPr>
        <w:rPr>
          <w:rFonts w:ascii="Times New Roman" w:hAnsi="Times New Roman"/>
          <w:sz w:val="24"/>
          <w:szCs w:val="24"/>
        </w:rPr>
      </w:pPr>
      <w:r w:rsidRPr="00747944">
        <w:rPr>
          <w:rFonts w:ascii="Times New Roman" w:hAnsi="Times New Roman"/>
          <w:sz w:val="24"/>
          <w:szCs w:val="24"/>
        </w:rPr>
        <w:t>Koncerner, hvor den øverste modervirksomhed i Grønland er et realkreditinstitut eller en realkreditinstitutholdingvirksomhed.</w:t>
      </w:r>
    </w:p>
    <w:p w14:paraId="142E0E32" w14:textId="77777777" w:rsidR="00B82AD3" w:rsidRPr="00747944" w:rsidRDefault="00B82AD3" w:rsidP="00B82AD3">
      <w:pPr>
        <w:pStyle w:val="Brdtekst"/>
        <w:spacing w:line="276" w:lineRule="auto"/>
        <w:jc w:val="center"/>
        <w:rPr>
          <w:rFonts w:ascii="Times New Roman" w:hAnsi="Times New Roman"/>
          <w:i/>
          <w:sz w:val="24"/>
          <w:szCs w:val="24"/>
        </w:rPr>
      </w:pPr>
    </w:p>
    <w:p w14:paraId="45E3628A" w14:textId="77777777" w:rsidR="00B82AD3" w:rsidRPr="00747944" w:rsidRDefault="00B82AD3" w:rsidP="00B82AD3">
      <w:pPr>
        <w:pStyle w:val="Brdtekst"/>
        <w:spacing w:line="276" w:lineRule="auto"/>
        <w:jc w:val="center"/>
        <w:rPr>
          <w:rFonts w:ascii="Times New Roman" w:hAnsi="Times New Roman"/>
          <w:i/>
          <w:sz w:val="24"/>
          <w:szCs w:val="24"/>
        </w:rPr>
      </w:pPr>
      <w:r w:rsidRPr="00747944">
        <w:rPr>
          <w:rFonts w:ascii="Times New Roman" w:hAnsi="Times New Roman"/>
          <w:i/>
          <w:sz w:val="24"/>
          <w:szCs w:val="24"/>
        </w:rPr>
        <w:t xml:space="preserve">Kapitalens kvalitet og sammensætning </w:t>
      </w:r>
    </w:p>
    <w:p w14:paraId="3F4821D3" w14:textId="77777777" w:rsidR="00B82AD3" w:rsidRPr="00747944" w:rsidRDefault="00B82AD3" w:rsidP="00B82AD3">
      <w:pPr>
        <w:pStyle w:val="Brdtekst"/>
        <w:spacing w:line="276" w:lineRule="auto"/>
        <w:jc w:val="center"/>
        <w:rPr>
          <w:rFonts w:ascii="Times New Roman" w:hAnsi="Times New Roman"/>
          <w:i/>
          <w:sz w:val="24"/>
          <w:szCs w:val="24"/>
        </w:rPr>
      </w:pPr>
    </w:p>
    <w:p w14:paraId="4D465F63" w14:textId="77777777" w:rsidR="00B82AD3" w:rsidRPr="00747944" w:rsidRDefault="00B82AD3" w:rsidP="00B82AD3">
      <w:pPr>
        <w:rPr>
          <w:rFonts w:ascii="Times New Roman" w:hAnsi="Times New Roman"/>
          <w:sz w:val="24"/>
          <w:szCs w:val="24"/>
        </w:rPr>
      </w:pPr>
      <w:r w:rsidRPr="00747944">
        <w:rPr>
          <w:rFonts w:ascii="Times New Roman" w:hAnsi="Times New Roman"/>
          <w:b/>
          <w:bCs/>
          <w:sz w:val="24"/>
          <w:szCs w:val="24"/>
        </w:rPr>
        <w:t>§ 2.</w:t>
      </w:r>
      <w:r w:rsidRPr="00747944">
        <w:rPr>
          <w:rFonts w:ascii="Times New Roman" w:hAnsi="Times New Roman"/>
          <w:sz w:val="24"/>
          <w:szCs w:val="24"/>
        </w:rPr>
        <w:t xml:space="preserve"> Den kapital, der anvendes til dækning af det i § 124, stk. 3, i lov om finansiel virksomhed, som sat i kraft for Grønland ved kongelig anordning, nævnte individuelle solvenstillæg, skal bestå af </w:t>
      </w:r>
      <w:bookmarkStart w:id="2" w:name="_Hlk133584957"/>
      <w:r w:rsidRPr="00747944">
        <w:rPr>
          <w:rFonts w:ascii="Times New Roman" w:hAnsi="Times New Roman"/>
          <w:sz w:val="24"/>
          <w:szCs w:val="24"/>
        </w:rPr>
        <w:t>mindst 56,25 pct. egentlig kernekapital. Mindst 75 pct. af kapitalen skal bestå af kernekapital. De resterende 25 pct. kan bestå af egentlig kernekapital, hybrid kernekapital eller supplerende kapital.</w:t>
      </w:r>
      <w:bookmarkEnd w:id="2"/>
    </w:p>
    <w:p w14:paraId="1FC63A99" w14:textId="77777777" w:rsidR="00B82AD3" w:rsidRPr="00747944" w:rsidRDefault="00B82AD3" w:rsidP="00B82AD3">
      <w:pPr>
        <w:rPr>
          <w:rFonts w:ascii="Times New Roman" w:hAnsi="Times New Roman"/>
          <w:sz w:val="24"/>
          <w:szCs w:val="24"/>
        </w:rPr>
      </w:pPr>
      <w:r w:rsidRPr="00747944">
        <w:rPr>
          <w:rFonts w:ascii="Times New Roman" w:hAnsi="Times New Roman"/>
          <w:i/>
          <w:iCs/>
          <w:sz w:val="24"/>
          <w:szCs w:val="24"/>
        </w:rPr>
        <w:t>Stk. 2</w:t>
      </w:r>
      <w:r w:rsidRPr="00747944">
        <w:rPr>
          <w:rFonts w:ascii="Times New Roman" w:hAnsi="Times New Roman"/>
          <w:sz w:val="24"/>
          <w:szCs w:val="24"/>
        </w:rPr>
        <w:t>. Finanstilsynet kan pålægge en virksomhed at anvende en højere andel egentlig kernekapital eller kernekapital end angivet i stk. 1 under hensyntagen til de specifikke forhold, som er gældende for virksomheden.</w:t>
      </w:r>
    </w:p>
    <w:p w14:paraId="12C2CD10" w14:textId="77777777" w:rsidR="00B82AD3" w:rsidRPr="00747944" w:rsidRDefault="00B82AD3" w:rsidP="00B82AD3">
      <w:pPr>
        <w:rPr>
          <w:rFonts w:ascii="Times New Roman" w:hAnsi="Times New Roman"/>
          <w:sz w:val="24"/>
          <w:szCs w:val="24"/>
        </w:rPr>
      </w:pPr>
    </w:p>
    <w:p w14:paraId="56418B3E" w14:textId="77777777" w:rsidR="00B82AD3" w:rsidRPr="00747944" w:rsidRDefault="00B82AD3" w:rsidP="00B82AD3">
      <w:pPr>
        <w:pStyle w:val="Brdtekst"/>
        <w:spacing w:line="276" w:lineRule="auto"/>
        <w:jc w:val="center"/>
        <w:rPr>
          <w:rFonts w:ascii="Times New Roman" w:hAnsi="Times New Roman"/>
          <w:i/>
          <w:sz w:val="24"/>
          <w:szCs w:val="24"/>
        </w:rPr>
      </w:pPr>
      <w:r w:rsidRPr="00747944">
        <w:rPr>
          <w:rFonts w:ascii="Times New Roman" w:hAnsi="Times New Roman"/>
          <w:i/>
          <w:sz w:val="24"/>
          <w:szCs w:val="24"/>
        </w:rPr>
        <w:t xml:space="preserve">Ikrafttræden </w:t>
      </w:r>
    </w:p>
    <w:p w14:paraId="2B87BEB6" w14:textId="77777777" w:rsidR="00B82AD3" w:rsidRPr="00747944" w:rsidRDefault="00B82AD3" w:rsidP="00B82AD3">
      <w:pPr>
        <w:rPr>
          <w:rFonts w:ascii="Times New Roman" w:hAnsi="Times New Roman"/>
          <w:b/>
          <w:bCs/>
          <w:sz w:val="24"/>
          <w:szCs w:val="24"/>
        </w:rPr>
      </w:pPr>
    </w:p>
    <w:p w14:paraId="11AC2942" w14:textId="606F3EA6" w:rsidR="00B82AD3" w:rsidRPr="00747944" w:rsidRDefault="00B82AD3" w:rsidP="00B82AD3">
      <w:pPr>
        <w:rPr>
          <w:rFonts w:ascii="Times New Roman" w:hAnsi="Times New Roman"/>
          <w:sz w:val="24"/>
          <w:szCs w:val="24"/>
        </w:rPr>
      </w:pPr>
      <w:r w:rsidRPr="00747944">
        <w:rPr>
          <w:rFonts w:ascii="Times New Roman" w:hAnsi="Times New Roman"/>
          <w:b/>
          <w:bCs/>
          <w:sz w:val="24"/>
          <w:szCs w:val="24"/>
        </w:rPr>
        <w:t xml:space="preserve">§ 3. </w:t>
      </w:r>
      <w:r w:rsidRPr="00747944">
        <w:rPr>
          <w:rFonts w:ascii="Times New Roman" w:hAnsi="Times New Roman"/>
          <w:sz w:val="24"/>
          <w:szCs w:val="24"/>
        </w:rPr>
        <w:t xml:space="preserve">Bekendtgørelsen træder i kraft den 1. </w:t>
      </w:r>
      <w:r w:rsidR="00376556">
        <w:rPr>
          <w:rFonts w:ascii="Times New Roman" w:hAnsi="Times New Roman"/>
          <w:sz w:val="24"/>
          <w:szCs w:val="24"/>
        </w:rPr>
        <w:t>februar</w:t>
      </w:r>
      <w:r w:rsidRPr="00747944">
        <w:rPr>
          <w:rFonts w:ascii="Times New Roman" w:hAnsi="Times New Roman"/>
          <w:sz w:val="24"/>
          <w:szCs w:val="24"/>
        </w:rPr>
        <w:t xml:space="preserve"> 2024.</w:t>
      </w:r>
    </w:p>
    <w:p w14:paraId="14B773FD" w14:textId="77777777" w:rsidR="00B82AD3" w:rsidRPr="00747944" w:rsidRDefault="00B82AD3" w:rsidP="00B82AD3">
      <w:pPr>
        <w:rPr>
          <w:rFonts w:ascii="Times New Roman" w:hAnsi="Times New Roman"/>
          <w:sz w:val="24"/>
          <w:szCs w:val="24"/>
        </w:rPr>
      </w:pPr>
    </w:p>
    <w:p w14:paraId="5CE96E6D" w14:textId="5ACD31F6" w:rsidR="00B82AD3" w:rsidRPr="00747944" w:rsidRDefault="00B82AD3" w:rsidP="00B82AD3">
      <w:pPr>
        <w:jc w:val="center"/>
        <w:rPr>
          <w:rFonts w:ascii="Times New Roman" w:hAnsi="Times New Roman"/>
          <w:i/>
          <w:iCs/>
          <w:sz w:val="24"/>
          <w:szCs w:val="24"/>
        </w:rPr>
      </w:pPr>
      <w:r w:rsidRPr="00747944">
        <w:rPr>
          <w:rFonts w:ascii="Times New Roman" w:hAnsi="Times New Roman"/>
          <w:i/>
          <w:iCs/>
          <w:sz w:val="24"/>
          <w:szCs w:val="24"/>
        </w:rPr>
        <w:t xml:space="preserve">Erhvervsministeriet, den </w:t>
      </w:r>
      <w:r w:rsidRPr="00D46FE9">
        <w:rPr>
          <w:rFonts w:ascii="Times New Roman" w:hAnsi="Times New Roman"/>
          <w:i/>
          <w:iCs/>
          <w:sz w:val="24"/>
          <w:szCs w:val="24"/>
        </w:rPr>
        <w:t>XX</w:t>
      </w:r>
      <w:r w:rsidR="007A5820" w:rsidRPr="00747944">
        <w:rPr>
          <w:rFonts w:ascii="Times New Roman" w:hAnsi="Times New Roman"/>
          <w:i/>
          <w:iCs/>
          <w:sz w:val="24"/>
          <w:szCs w:val="24"/>
        </w:rPr>
        <w:t xml:space="preserve"> </w:t>
      </w:r>
      <w:r w:rsidR="00657FD7">
        <w:rPr>
          <w:rFonts w:ascii="Times New Roman" w:hAnsi="Times New Roman"/>
          <w:i/>
          <w:iCs/>
          <w:sz w:val="24"/>
          <w:szCs w:val="24"/>
        </w:rPr>
        <w:t>2024</w:t>
      </w:r>
    </w:p>
    <w:p w14:paraId="023E2A50" w14:textId="396605B8" w:rsidR="00B82AD3" w:rsidRPr="00747944" w:rsidRDefault="004D4729" w:rsidP="00B82AD3">
      <w:pPr>
        <w:jc w:val="center"/>
        <w:rPr>
          <w:rFonts w:ascii="Times New Roman" w:hAnsi="Times New Roman"/>
          <w:i/>
          <w:iCs/>
          <w:sz w:val="24"/>
          <w:szCs w:val="24"/>
        </w:rPr>
      </w:pPr>
      <w:r w:rsidRPr="00747944">
        <w:rPr>
          <w:rFonts w:ascii="Times New Roman" w:hAnsi="Times New Roman"/>
          <w:i/>
          <w:iCs/>
          <w:sz w:val="24"/>
          <w:szCs w:val="24"/>
        </w:rPr>
        <w:t>xxx</w:t>
      </w:r>
    </w:p>
    <w:p w14:paraId="25E9E2F4" w14:textId="77777777" w:rsidR="00B82AD3" w:rsidRPr="00747944" w:rsidRDefault="00B82AD3" w:rsidP="00B82AD3">
      <w:pPr>
        <w:jc w:val="right"/>
        <w:rPr>
          <w:rFonts w:ascii="Times New Roman" w:hAnsi="Times New Roman"/>
          <w:sz w:val="24"/>
          <w:szCs w:val="24"/>
        </w:rPr>
      </w:pPr>
      <w:r w:rsidRPr="00D46FE9">
        <w:rPr>
          <w:rFonts w:ascii="Times New Roman" w:hAnsi="Times New Roman"/>
          <w:sz w:val="24"/>
          <w:szCs w:val="24"/>
        </w:rPr>
        <w:t>/xxx</w:t>
      </w:r>
    </w:p>
    <w:p w14:paraId="18B484B6" w14:textId="77777777" w:rsidR="00B82AD3" w:rsidRPr="00747944" w:rsidRDefault="00B82AD3" w:rsidP="00B82AD3">
      <w:pPr>
        <w:pStyle w:val="Brdtekst"/>
        <w:rPr>
          <w:rFonts w:ascii="Times New Roman" w:hAnsi="Times New Roman"/>
          <w:sz w:val="24"/>
          <w:szCs w:val="24"/>
        </w:rPr>
      </w:pPr>
    </w:p>
    <w:p w14:paraId="25493713" w14:textId="77777777" w:rsidR="001B637F" w:rsidRPr="00747944" w:rsidRDefault="001B637F" w:rsidP="00F60597">
      <w:pPr>
        <w:rPr>
          <w:rFonts w:ascii="Times New Roman" w:hAnsi="Times New Roman"/>
          <w:sz w:val="24"/>
          <w:szCs w:val="24"/>
        </w:rPr>
      </w:pPr>
    </w:p>
    <w:sectPr w:rsidR="001B637F" w:rsidRPr="00747944" w:rsidSect="003B4CAE">
      <w:headerReference w:type="default" r:id="rId8"/>
      <w:pgSz w:w="11906" w:h="16838" w:code="9"/>
      <w:pgMar w:top="1560" w:right="849"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5276" w14:textId="77777777" w:rsidR="00FC3F58" w:rsidRDefault="00FC3F58">
      <w:pPr>
        <w:spacing w:line="240" w:lineRule="auto"/>
      </w:pPr>
      <w:r>
        <w:separator/>
      </w:r>
    </w:p>
  </w:endnote>
  <w:endnote w:type="continuationSeparator" w:id="0">
    <w:p w14:paraId="3B69F399" w14:textId="77777777" w:rsidR="00FC3F58" w:rsidRDefault="00FC3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36AB" w14:textId="77777777" w:rsidR="00FC3F58" w:rsidRDefault="00FC3F58">
      <w:pPr>
        <w:spacing w:line="240" w:lineRule="auto"/>
      </w:pPr>
      <w:r>
        <w:separator/>
      </w:r>
    </w:p>
  </w:footnote>
  <w:footnote w:type="continuationSeparator" w:id="0">
    <w:p w14:paraId="647F01D1" w14:textId="77777777" w:rsidR="00FC3F58" w:rsidRDefault="00FC3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EAF8" w14:textId="77777777" w:rsidR="007A5820" w:rsidRDefault="007A5820">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2</w:t>
    </w:r>
    <w:r>
      <w:rPr>
        <w:rStyle w:val="Sidetal"/>
      </w:rPr>
      <w:fldChar w:fldCharType="end"/>
    </w:r>
  </w:p>
  <w:p w14:paraId="0E6A166C" w14:textId="77777777" w:rsidR="007A5820" w:rsidRDefault="007A5820">
    <w:pPr>
      <w:framePr w:w="1531" w:h="851" w:wrap="around" w:vAnchor="page" w:hAnchor="page" w:x="9186" w:y="721"/>
    </w:pPr>
  </w:p>
  <w:p w14:paraId="16EAD70C" w14:textId="77777777" w:rsidR="007A5820" w:rsidRDefault="007A5820">
    <w:pPr>
      <w:framePr w:w="1531" w:h="851" w:wrap="around" w:vAnchor="page" w:hAnchor="page" w:x="9186" w:y="721"/>
    </w:pPr>
  </w:p>
  <w:p w14:paraId="4A48A879" w14:textId="77777777" w:rsidR="007A5820" w:rsidRDefault="007A58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CB3"/>
    <w:multiLevelType w:val="hybridMultilevel"/>
    <w:tmpl w:val="0AF227B8"/>
    <w:lvl w:ilvl="0" w:tplc="6CD6AA40">
      <w:start w:val="1"/>
      <w:numFmt w:val="decimal"/>
      <w:lvlText w:val="%1)"/>
      <w:lvlJc w:val="left"/>
      <w:pPr>
        <w:ind w:left="643" w:hanging="360"/>
      </w:pPr>
      <w:rPr>
        <w:rFonts w:hint="default"/>
      </w:rPr>
    </w:lvl>
    <w:lvl w:ilvl="1" w:tplc="04060019" w:tentative="1">
      <w:start w:val="1"/>
      <w:numFmt w:val="lowerLetter"/>
      <w:lvlText w:val="%2."/>
      <w:lvlJc w:val="left"/>
      <w:pPr>
        <w:ind w:left="1443" w:hanging="360"/>
      </w:pPr>
    </w:lvl>
    <w:lvl w:ilvl="2" w:tplc="0406001B" w:tentative="1">
      <w:start w:val="1"/>
      <w:numFmt w:val="lowerRoman"/>
      <w:lvlText w:val="%3."/>
      <w:lvlJc w:val="right"/>
      <w:pPr>
        <w:ind w:left="2163" w:hanging="180"/>
      </w:pPr>
    </w:lvl>
    <w:lvl w:ilvl="3" w:tplc="0406000F" w:tentative="1">
      <w:start w:val="1"/>
      <w:numFmt w:val="decimal"/>
      <w:lvlText w:val="%4."/>
      <w:lvlJc w:val="left"/>
      <w:pPr>
        <w:ind w:left="2883" w:hanging="360"/>
      </w:pPr>
    </w:lvl>
    <w:lvl w:ilvl="4" w:tplc="04060019" w:tentative="1">
      <w:start w:val="1"/>
      <w:numFmt w:val="lowerLetter"/>
      <w:lvlText w:val="%5."/>
      <w:lvlJc w:val="left"/>
      <w:pPr>
        <w:ind w:left="3603" w:hanging="360"/>
      </w:pPr>
    </w:lvl>
    <w:lvl w:ilvl="5" w:tplc="0406001B" w:tentative="1">
      <w:start w:val="1"/>
      <w:numFmt w:val="lowerRoman"/>
      <w:lvlText w:val="%6."/>
      <w:lvlJc w:val="right"/>
      <w:pPr>
        <w:ind w:left="4323" w:hanging="180"/>
      </w:pPr>
    </w:lvl>
    <w:lvl w:ilvl="6" w:tplc="0406000F" w:tentative="1">
      <w:start w:val="1"/>
      <w:numFmt w:val="decimal"/>
      <w:lvlText w:val="%7."/>
      <w:lvlJc w:val="left"/>
      <w:pPr>
        <w:ind w:left="5043" w:hanging="360"/>
      </w:pPr>
    </w:lvl>
    <w:lvl w:ilvl="7" w:tplc="04060019" w:tentative="1">
      <w:start w:val="1"/>
      <w:numFmt w:val="lowerLetter"/>
      <w:lvlText w:val="%8."/>
      <w:lvlJc w:val="left"/>
      <w:pPr>
        <w:ind w:left="5763" w:hanging="360"/>
      </w:pPr>
    </w:lvl>
    <w:lvl w:ilvl="8" w:tplc="0406001B" w:tentative="1">
      <w:start w:val="1"/>
      <w:numFmt w:val="lowerRoman"/>
      <w:lvlText w:val="%9."/>
      <w:lvlJc w:val="right"/>
      <w:pPr>
        <w:ind w:left="6483" w:hanging="180"/>
      </w:pPr>
    </w:lvl>
  </w:abstractNum>
  <w:abstractNum w:abstractNumId="1" w15:restartNumberingAfterBreak="0">
    <w:nsid w:val="2A3C7D2F"/>
    <w:multiLevelType w:val="hybridMultilevel"/>
    <w:tmpl w:val="7B14156E"/>
    <w:lvl w:ilvl="0" w:tplc="91284876">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558053170">
    <w:abstractNumId w:val="1"/>
  </w:num>
  <w:num w:numId="2" w16cid:durableId="1341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82AD3"/>
    <w:rsid w:val="00061655"/>
    <w:rsid w:val="000640EA"/>
    <w:rsid w:val="000B2180"/>
    <w:rsid w:val="000E6586"/>
    <w:rsid w:val="00162184"/>
    <w:rsid w:val="001B637F"/>
    <w:rsid w:val="00205C9B"/>
    <w:rsid w:val="002A7565"/>
    <w:rsid w:val="00304456"/>
    <w:rsid w:val="00376556"/>
    <w:rsid w:val="003A4BCE"/>
    <w:rsid w:val="003D51DF"/>
    <w:rsid w:val="004054E3"/>
    <w:rsid w:val="004D4729"/>
    <w:rsid w:val="004D6585"/>
    <w:rsid w:val="004F3810"/>
    <w:rsid w:val="0053668E"/>
    <w:rsid w:val="00603033"/>
    <w:rsid w:val="00657FD7"/>
    <w:rsid w:val="006808A2"/>
    <w:rsid w:val="00747944"/>
    <w:rsid w:val="007A5820"/>
    <w:rsid w:val="007E75F4"/>
    <w:rsid w:val="00817700"/>
    <w:rsid w:val="008C6EE4"/>
    <w:rsid w:val="00A51C8E"/>
    <w:rsid w:val="00A94494"/>
    <w:rsid w:val="00AD490B"/>
    <w:rsid w:val="00AF2617"/>
    <w:rsid w:val="00B27004"/>
    <w:rsid w:val="00B82AD3"/>
    <w:rsid w:val="00B915A3"/>
    <w:rsid w:val="00C05834"/>
    <w:rsid w:val="00D43735"/>
    <w:rsid w:val="00D46FE9"/>
    <w:rsid w:val="00DE5ECF"/>
    <w:rsid w:val="00DF7EFC"/>
    <w:rsid w:val="00EA193D"/>
    <w:rsid w:val="00F60597"/>
    <w:rsid w:val="00FA7F6A"/>
    <w:rsid w:val="00FC3F58"/>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F1EC"/>
  <w15:chartTrackingRefBased/>
  <w15:docId w15:val="{65117BE6-1014-4626-B420-6835C07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D3"/>
    <w:pPr>
      <w:spacing w:after="0" w:line="280" w:lineRule="exact"/>
      <w:jc w:val="both"/>
    </w:pPr>
    <w:rPr>
      <w:rFonts w:eastAsia="Times New Roman" w:cs="Times New Roman"/>
      <w:kern w:val="0"/>
      <w:szCs w:val="20"/>
      <w:lang w:eastAsia="da-DK"/>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character" w:styleId="Sidetal">
    <w:name w:val="page number"/>
    <w:basedOn w:val="Standardskrifttypeiafsnit"/>
    <w:rsid w:val="00B82AD3"/>
  </w:style>
  <w:style w:type="paragraph" w:styleId="Sidehoved">
    <w:name w:val="header"/>
    <w:basedOn w:val="Normal"/>
    <w:link w:val="SidehovedTegn"/>
    <w:rsid w:val="00B82AD3"/>
    <w:pPr>
      <w:tabs>
        <w:tab w:val="center" w:pos="4819"/>
        <w:tab w:val="right" w:pos="9638"/>
      </w:tabs>
    </w:pPr>
  </w:style>
  <w:style w:type="character" w:customStyle="1" w:styleId="SidehovedTegn">
    <w:name w:val="Sidehoved Tegn"/>
    <w:basedOn w:val="Standardskrifttypeiafsnit"/>
    <w:link w:val="Sidehoved"/>
    <w:rsid w:val="00B82AD3"/>
    <w:rPr>
      <w:rFonts w:eastAsia="Times New Roman" w:cs="Times New Roman"/>
      <w:kern w:val="0"/>
      <w:szCs w:val="20"/>
      <w:lang w:eastAsia="da-DK"/>
    </w:rPr>
  </w:style>
  <w:style w:type="paragraph" w:styleId="Brdtekst">
    <w:name w:val="Body Text"/>
    <w:basedOn w:val="Normal"/>
    <w:link w:val="BrdtekstTegn"/>
    <w:rsid w:val="00B82AD3"/>
  </w:style>
  <w:style w:type="character" w:customStyle="1" w:styleId="BrdtekstTegn">
    <w:name w:val="Brødtekst Tegn"/>
    <w:basedOn w:val="Standardskrifttypeiafsnit"/>
    <w:link w:val="Brdtekst"/>
    <w:rsid w:val="00B82AD3"/>
    <w:rPr>
      <w:rFonts w:eastAsia="Times New Roman" w:cs="Times New Roman"/>
      <w:kern w:val="0"/>
      <w:szCs w:val="20"/>
      <w:lang w:eastAsia="da-DK"/>
    </w:rPr>
  </w:style>
  <w:style w:type="paragraph" w:styleId="Listeafsnit">
    <w:name w:val="List Paragraph"/>
    <w:basedOn w:val="Normal"/>
    <w:uiPriority w:val="1"/>
    <w:qFormat/>
    <w:rsid w:val="00B82AD3"/>
    <w:pPr>
      <w:numPr>
        <w:numId w:val="1"/>
      </w:numPr>
      <w:tabs>
        <w:tab w:val="num" w:pos="360"/>
      </w:tabs>
      <w:ind w:left="0" w:firstLine="0"/>
      <w:contextualSpacing/>
    </w:pPr>
  </w:style>
  <w:style w:type="paragraph" w:customStyle="1" w:styleId="indledning2">
    <w:name w:val="indledning2"/>
    <w:basedOn w:val="Normal"/>
    <w:rsid w:val="00B82AD3"/>
    <w:pPr>
      <w:spacing w:line="240" w:lineRule="auto"/>
      <w:ind w:firstLine="240"/>
      <w:jc w:val="left"/>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Finanstilsynet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Olsen (FT)</dc:creator>
  <cp:keywords/>
  <dc:description/>
  <cp:lastModifiedBy>Marie Færch</cp:lastModifiedBy>
  <cp:revision>5</cp:revision>
  <dcterms:created xsi:type="dcterms:W3CDTF">2023-11-01T15:50:00Z</dcterms:created>
  <dcterms:modified xsi:type="dcterms:W3CDTF">2023-11-10T12:46:00Z</dcterms:modified>
</cp:coreProperties>
</file>