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408"/>
      </w:tblGrid>
      <w:tr w:rsidR="00163A8D" w14:paraId="7E300893" w14:textId="77777777">
        <w:trPr>
          <w:trHeight w:hRule="exact" w:val="2835"/>
        </w:trPr>
        <w:tc>
          <w:tcPr>
            <w:tcW w:w="2408" w:type="dxa"/>
            <w:tcBorders>
              <w:bottom w:val="nil"/>
            </w:tcBorders>
          </w:tcPr>
          <w:p w14:paraId="5E1DEEAF" w14:textId="77777777" w:rsidR="00163A8D" w:rsidRPr="00B23B9D" w:rsidRDefault="00163A8D" w:rsidP="002E6F9A">
            <w:pPr>
              <w:pStyle w:val="skakt"/>
              <w:keepNext/>
              <w:keepLines/>
              <w:framePr w:w="0" w:h="8505" w:hRule="exact" w:hSpace="142" w:wrap="around" w:vAnchor="text" w:x="8931" w:y="1"/>
              <w:jc w:val="left"/>
              <w:rPr>
                <w:rFonts w:ascii="Arial Black" w:hAnsi="Arial Black"/>
                <w:sz w:val="16"/>
              </w:rPr>
            </w:pPr>
            <w:r w:rsidRPr="00B23B9D">
              <w:rPr>
                <w:rFonts w:ascii="Arial Black" w:hAnsi="Arial Black"/>
                <w:sz w:val="16"/>
              </w:rPr>
              <w:t>Finanstilsynet</w:t>
            </w:r>
          </w:p>
          <w:p w14:paraId="3D5AA31D" w14:textId="77777777" w:rsidR="00163A8D" w:rsidRDefault="00163A8D" w:rsidP="002E6F9A">
            <w:pPr>
              <w:pStyle w:val="skakt"/>
              <w:keepNext/>
              <w:keepLines/>
              <w:framePr w:w="0" w:h="8505" w:hRule="exact" w:hSpace="142" w:wrap="around" w:vAnchor="text" w:x="8931" w:y="1"/>
              <w:jc w:val="left"/>
              <w:rPr>
                <w:sz w:val="16"/>
              </w:rPr>
            </w:pPr>
          </w:p>
          <w:p w14:paraId="59306CD2" w14:textId="4D08760A" w:rsidR="006C7261" w:rsidRDefault="008C2B59" w:rsidP="002E6F9A">
            <w:pPr>
              <w:pStyle w:val="skakt"/>
              <w:keepNext/>
              <w:keepLines/>
              <w:framePr w:w="0" w:h="8505" w:hRule="exact" w:hSpace="142" w:wrap="around" w:vAnchor="text" w:x="8931" w:y="1"/>
              <w:jc w:val="left"/>
              <w:rPr>
                <w:sz w:val="16"/>
              </w:rPr>
            </w:pPr>
            <w:bookmarkStart w:id="0" w:name="PCAdato"/>
            <w:bookmarkEnd w:id="0"/>
            <w:r>
              <w:rPr>
                <w:sz w:val="16"/>
              </w:rPr>
              <w:t>5. december 2022</w:t>
            </w:r>
          </w:p>
          <w:p w14:paraId="31CB9399" w14:textId="77777777" w:rsidR="00163A8D" w:rsidRDefault="00163A8D" w:rsidP="002E6F9A">
            <w:pPr>
              <w:pStyle w:val="skakt"/>
              <w:keepNext/>
              <w:keepLines/>
              <w:framePr w:w="0" w:h="8505" w:hRule="exact" w:hSpace="142" w:wrap="around" w:vAnchor="text" w:x="8931" w:y="1"/>
              <w:jc w:val="left"/>
              <w:rPr>
                <w:sz w:val="16"/>
              </w:rPr>
            </w:pPr>
            <w:bookmarkStart w:id="1" w:name="Kontor"/>
            <w:bookmarkEnd w:id="1"/>
          </w:p>
          <w:p w14:paraId="69EA3038" w14:textId="77777777" w:rsidR="00163A8D" w:rsidRDefault="006C7261" w:rsidP="002E6F9A">
            <w:pPr>
              <w:pStyle w:val="skakt"/>
              <w:keepNext/>
              <w:keepLines/>
              <w:framePr w:w="0" w:h="8505" w:hRule="exact" w:hSpace="142" w:wrap="around" w:vAnchor="text" w:x="8931" w:y="1"/>
              <w:jc w:val="left"/>
              <w:rPr>
                <w:sz w:val="16"/>
              </w:rPr>
            </w:pPr>
            <w:r>
              <w:rPr>
                <w:sz w:val="16"/>
              </w:rPr>
              <w:t>J.nr.</w:t>
            </w:r>
            <w:bookmarkStart w:id="2" w:name="PCASag"/>
            <w:bookmarkEnd w:id="2"/>
          </w:p>
          <w:p w14:paraId="5848B3CD" w14:textId="621DFCAD" w:rsidR="00C5465E" w:rsidRDefault="00792E00" w:rsidP="002E6F9A">
            <w:pPr>
              <w:pStyle w:val="skakt"/>
              <w:keepNext/>
              <w:keepLines/>
              <w:framePr w:w="0" w:h="8505" w:hRule="exact" w:hSpace="142" w:wrap="around" w:vAnchor="text" w:x="8931" w:y="1"/>
              <w:jc w:val="left"/>
              <w:rPr>
                <w:sz w:val="16"/>
              </w:rPr>
            </w:pPr>
            <w:bookmarkStart w:id="3" w:name="Initialer"/>
            <w:r>
              <w:rPr>
                <w:sz w:val="16"/>
              </w:rPr>
              <w:t>/</w:t>
            </w:r>
            <w:bookmarkEnd w:id="3"/>
            <w:r w:rsidR="00D04015">
              <w:rPr>
                <w:sz w:val="16"/>
              </w:rPr>
              <w:t>SBAK</w:t>
            </w:r>
            <w:r w:rsidR="00525206">
              <w:rPr>
                <w:sz w:val="16"/>
              </w:rPr>
              <w:t>+ESLA</w:t>
            </w:r>
          </w:p>
          <w:p w14:paraId="7826A90B" w14:textId="77777777" w:rsidR="00163A8D" w:rsidRDefault="00163A8D">
            <w:pPr>
              <w:pStyle w:val="skakt"/>
              <w:keepNext/>
              <w:keepLines/>
              <w:framePr w:w="0" w:h="8505" w:hRule="exact" w:hSpace="142" w:wrap="around" w:vAnchor="text" w:x="8931" w:y="1"/>
            </w:pPr>
          </w:p>
        </w:tc>
      </w:tr>
    </w:tbl>
    <w:tbl>
      <w:tblPr>
        <w:tblW w:w="0" w:type="auto"/>
        <w:tblLayout w:type="fixed"/>
        <w:tblCellMar>
          <w:left w:w="0" w:type="dxa"/>
          <w:right w:w="0" w:type="dxa"/>
        </w:tblCellMar>
        <w:tblLook w:val="0000" w:firstRow="0" w:lastRow="0" w:firstColumn="0" w:lastColumn="0" w:noHBand="0" w:noVBand="0"/>
      </w:tblPr>
      <w:tblGrid>
        <w:gridCol w:w="7258"/>
      </w:tblGrid>
      <w:tr w:rsidR="00163A8D" w14:paraId="6B49BBE2" w14:textId="77777777">
        <w:trPr>
          <w:cantSplit/>
          <w:trHeight w:val="2040"/>
        </w:trPr>
        <w:tc>
          <w:tcPr>
            <w:tcW w:w="7258" w:type="dxa"/>
          </w:tcPr>
          <w:p w14:paraId="13C5D9BB" w14:textId="77777777" w:rsidR="00163A8D" w:rsidRDefault="00163A8D"/>
          <w:p w14:paraId="283E84D2" w14:textId="77777777" w:rsidR="00163A8D" w:rsidRDefault="00163A8D"/>
          <w:p w14:paraId="017A3460" w14:textId="77777777" w:rsidR="00163A8D" w:rsidRDefault="00163A8D">
            <w:bookmarkStart w:id="4" w:name="PCAmodtager"/>
            <w:bookmarkEnd w:id="4"/>
          </w:p>
          <w:p w14:paraId="4837F04F" w14:textId="77777777" w:rsidR="00163A8D" w:rsidRDefault="00163A8D"/>
          <w:p w14:paraId="250AF1B3" w14:textId="77777777" w:rsidR="00163A8D" w:rsidRDefault="00163A8D"/>
          <w:p w14:paraId="2FE72DA8" w14:textId="77777777" w:rsidR="00163A8D" w:rsidRDefault="00163A8D"/>
          <w:p w14:paraId="52CF4066" w14:textId="77777777" w:rsidR="00163A8D" w:rsidRDefault="00163A8D"/>
          <w:p w14:paraId="73E675FF" w14:textId="77777777" w:rsidR="00163A8D" w:rsidRDefault="00163A8D"/>
        </w:tc>
      </w:tr>
    </w:tbl>
    <w:p w14:paraId="06B9BDDF" w14:textId="77777777" w:rsidR="00163A8D" w:rsidRDefault="00163A8D" w:rsidP="00CF4780">
      <w:pPr>
        <w:pStyle w:val="Brdtekst"/>
      </w:pPr>
    </w:p>
    <w:p w14:paraId="1EB5D5BA" w14:textId="03F344CA" w:rsidR="00792E00" w:rsidRPr="00B33F11" w:rsidRDefault="00792E00" w:rsidP="00D04015">
      <w:pPr>
        <w:pStyle w:val="Overskrift1"/>
        <w:rPr>
          <w:szCs w:val="32"/>
        </w:rPr>
      </w:pPr>
      <w:bookmarkStart w:id="5" w:name="PCAoverskrift"/>
      <w:bookmarkStart w:id="6" w:name="PEmne"/>
      <w:bookmarkEnd w:id="5"/>
      <w:r>
        <w:t xml:space="preserve">Resume af </w:t>
      </w:r>
      <w:bookmarkEnd w:id="6"/>
      <w:r w:rsidR="00B33F11">
        <w:t xml:space="preserve">forslag til </w:t>
      </w:r>
      <w:r w:rsidR="00D04015">
        <w:rPr>
          <w:rFonts w:eastAsia="Calibri"/>
          <w:szCs w:val="24"/>
        </w:rPr>
        <w:t>l</w:t>
      </w:r>
      <w:r w:rsidR="00D04015" w:rsidRPr="002A6373">
        <w:rPr>
          <w:rFonts w:eastAsia="Calibri"/>
          <w:szCs w:val="24"/>
        </w:rPr>
        <w:t>ov om ændring af lov</w:t>
      </w:r>
      <w:r w:rsidR="00D04015">
        <w:rPr>
          <w:rFonts w:eastAsia="Calibri"/>
          <w:szCs w:val="24"/>
        </w:rPr>
        <w:t xml:space="preserve"> for Grønland</w:t>
      </w:r>
      <w:r w:rsidR="00D04015" w:rsidRPr="002A6373">
        <w:rPr>
          <w:rFonts w:eastAsia="Calibri"/>
          <w:szCs w:val="24"/>
        </w:rPr>
        <w:t xml:space="preserve"> om </w:t>
      </w:r>
      <w:r w:rsidR="00D04015">
        <w:rPr>
          <w:rFonts w:eastAsia="Calibri"/>
          <w:szCs w:val="24"/>
        </w:rPr>
        <w:t xml:space="preserve">kapitalkrav og tilsynsmæssige krav for </w:t>
      </w:r>
      <w:r w:rsidR="00D04015" w:rsidRPr="00B33F11">
        <w:rPr>
          <w:rFonts w:eastAsia="Calibri"/>
          <w:szCs w:val="32"/>
        </w:rPr>
        <w:t>kreditinstitutter og investeringsselskaber</w:t>
      </w:r>
      <w:r w:rsidR="00B33F11" w:rsidRPr="00B33F11">
        <w:rPr>
          <w:rFonts w:eastAsia="Calibri"/>
          <w:szCs w:val="32"/>
        </w:rPr>
        <w:t xml:space="preserve"> (</w:t>
      </w:r>
      <w:r w:rsidR="00B33F11" w:rsidRPr="00B33F11">
        <w:rPr>
          <w:rFonts w:cs="Arial"/>
          <w:szCs w:val="32"/>
        </w:rPr>
        <w:t>Gennemførelse for Grønland af visse ændringsforordninger til forordning (EU) nr. 575/2013 om tilsynsmæssige krav til kreditinstitutter og investeringsselskaber)</w:t>
      </w:r>
    </w:p>
    <w:p w14:paraId="40D4FF83" w14:textId="77777777" w:rsidR="00792E00" w:rsidRDefault="00792E00" w:rsidP="00792E00">
      <w:pPr>
        <w:pStyle w:val="Brdtekst"/>
      </w:pPr>
    </w:p>
    <w:p w14:paraId="277F4EDC" w14:textId="34C3D6A4" w:rsidR="007E5EDE" w:rsidRDefault="007E5EDE" w:rsidP="00C97F60">
      <w:r>
        <w:t>Ned</w:t>
      </w:r>
      <w:r w:rsidR="00C97F60">
        <w:t>enfor findes et resum</w:t>
      </w:r>
      <w:r w:rsidR="00330483">
        <w:t>é</w:t>
      </w:r>
      <w:r w:rsidR="00C97F60">
        <w:t xml:space="preserve"> over</w:t>
      </w:r>
      <w:r>
        <w:t xml:space="preserve"> ændringer </w:t>
      </w:r>
      <w:r w:rsidR="00C97F60">
        <w:t>som følge af forslag til lov om ændring af lov for Grønland om kapitalkrav og tilsynsmæssige krav for kreditinstitutter og investeringsselskaber.</w:t>
      </w:r>
    </w:p>
    <w:p w14:paraId="0130D24D" w14:textId="30A5AF2D" w:rsidR="00C97F60" w:rsidRDefault="00C97F60" w:rsidP="00C97F60"/>
    <w:p w14:paraId="5F3E0BCA" w14:textId="553E13B7" w:rsidR="00C97F60" w:rsidRDefault="00C97F60" w:rsidP="00C97F60">
      <w:r>
        <w:t>Resuméet indeholder de væsentligste ændringer af lov for Grønland om kapitalkrav og tilsynsmæssige krav for kreditinstitutter og investeringsselskaber og de væsentligste tilpasninger til grønlandske forhold</w:t>
      </w:r>
      <w:r w:rsidR="00330483">
        <w:t>.</w:t>
      </w:r>
    </w:p>
    <w:p w14:paraId="50FE90DD" w14:textId="78333433" w:rsidR="00C97F60" w:rsidRDefault="00C97F60" w:rsidP="00C97F60">
      <w:pPr>
        <w:pStyle w:val="Underoverskrift"/>
      </w:pPr>
      <w:r>
        <w:t>Formål og f</w:t>
      </w:r>
      <w:r w:rsidR="007E5EDE">
        <w:t>orhold til EU</w:t>
      </w:r>
    </w:p>
    <w:p w14:paraId="300939B7" w14:textId="2FA522EE" w:rsidR="00933A68" w:rsidRDefault="00460BA4" w:rsidP="00933A68">
      <w:pPr>
        <w:rPr>
          <w:szCs w:val="26"/>
        </w:rPr>
      </w:pPr>
      <w:r w:rsidRPr="00B401DC">
        <w:rPr>
          <w:szCs w:val="26"/>
        </w:rPr>
        <w:t xml:space="preserve">Lovforslaget har til formål at sætte Europa-Parlamentets og Rådets forordning (EU) 2019/876 om ændring af forordning (EU) nr. 575/2013 for så vidt angår gearingsgrad, net stable </w:t>
      </w:r>
      <w:proofErr w:type="spellStart"/>
      <w:r w:rsidRPr="00B401DC">
        <w:rPr>
          <w:szCs w:val="26"/>
        </w:rPr>
        <w:t>funding</w:t>
      </w:r>
      <w:proofErr w:type="spellEnd"/>
      <w:r w:rsidRPr="00B401DC">
        <w:rPr>
          <w:szCs w:val="26"/>
        </w:rPr>
        <w:t xml:space="preserve"> ratio, krav til kapital-grundlag og nedskrivningsrelevante passiver, modpartskreditrisiko, markedsrisiko, eksponeringer mod centrale modparter, eksponeringer mod kollektive investeringsordninger, store eksponeringer og indberetnings- og oplysningskrav (CRR II)</w:t>
      </w:r>
      <w:r>
        <w:rPr>
          <w:szCs w:val="26"/>
        </w:rPr>
        <w:t xml:space="preserve">, </w:t>
      </w:r>
      <w:r w:rsidRPr="003E325B">
        <w:rPr>
          <w:szCs w:val="26"/>
        </w:rPr>
        <w:t>Europa-Parlamentets og Rådets forordning (EU) 2019/630 af 17. april 2019 om ændring af forordning (EU) nr. 575/2013, for så vidt angår krav til minimumsdækning af tab for misligholdte eksponeringer</w:t>
      </w:r>
      <w:r>
        <w:rPr>
          <w:szCs w:val="26"/>
        </w:rPr>
        <w:t xml:space="preserve"> (NPE)</w:t>
      </w:r>
      <w:r w:rsidRPr="00B401DC">
        <w:rPr>
          <w:szCs w:val="26"/>
        </w:rPr>
        <w:t xml:space="preserve"> og Europa-Parlamentets og Rådets forordning (EU) 2020/873 om ændring af forordning (EU) nr. 575/2013 og (EU) 2019/876, for så vidt angår visse justeringer som reaktion på covid-19-pandemien (CRR </w:t>
      </w:r>
      <w:r>
        <w:rPr>
          <w:szCs w:val="26"/>
        </w:rPr>
        <w:t>Covid-19-relaterede justeringer</w:t>
      </w:r>
      <w:r w:rsidRPr="00B401DC">
        <w:rPr>
          <w:szCs w:val="26"/>
        </w:rPr>
        <w:t xml:space="preserve">) i kraft for </w:t>
      </w:r>
      <w:r>
        <w:rPr>
          <w:szCs w:val="26"/>
        </w:rPr>
        <w:t>Grønland</w:t>
      </w:r>
      <w:r w:rsidRPr="00B401DC">
        <w:rPr>
          <w:szCs w:val="26"/>
        </w:rPr>
        <w:t>.</w:t>
      </w:r>
      <w:r w:rsidR="00933A68" w:rsidRPr="00933A68">
        <w:rPr>
          <w:szCs w:val="26"/>
        </w:rPr>
        <w:t xml:space="preserve"> </w:t>
      </w:r>
    </w:p>
    <w:p w14:paraId="72D9D54D" w14:textId="77777777" w:rsidR="00933A68" w:rsidRDefault="00933A68" w:rsidP="00933A68">
      <w:pPr>
        <w:rPr>
          <w:szCs w:val="26"/>
        </w:rPr>
      </w:pPr>
    </w:p>
    <w:p w14:paraId="13EF9122" w14:textId="1E6B0BA1" w:rsidR="00933A68" w:rsidRDefault="00933A68" w:rsidP="00933A68">
      <w:pPr>
        <w:rPr>
          <w:szCs w:val="26"/>
        </w:rPr>
      </w:pPr>
      <w:r w:rsidRPr="00B401DC">
        <w:rPr>
          <w:szCs w:val="26"/>
        </w:rPr>
        <w:lastRenderedPageBreak/>
        <w:t>Formålet med CRR II er at styrke kreditinstitutternes robusthed og øge den finansielle stabilitet samtidig med</w:t>
      </w:r>
      <w:r w:rsidR="003E5A33">
        <w:rPr>
          <w:szCs w:val="26"/>
        </w:rPr>
        <w:t>,</w:t>
      </w:r>
      <w:r w:rsidRPr="00B401DC">
        <w:rPr>
          <w:szCs w:val="26"/>
        </w:rPr>
        <w:t xml:space="preserve"> at </w:t>
      </w:r>
      <w:r>
        <w:rPr>
          <w:szCs w:val="26"/>
        </w:rPr>
        <w:t>reglerne</w:t>
      </w:r>
      <w:r w:rsidRPr="00B401DC">
        <w:rPr>
          <w:szCs w:val="26"/>
        </w:rPr>
        <w:t xml:space="preserve"> understøtter kreditformidling, vækst og beskæftigelse. </w:t>
      </w:r>
    </w:p>
    <w:p w14:paraId="0BA9ECD1" w14:textId="77777777" w:rsidR="00447533" w:rsidRPr="00B401DC" w:rsidRDefault="00447533" w:rsidP="00933A68">
      <w:pPr>
        <w:rPr>
          <w:szCs w:val="26"/>
        </w:rPr>
      </w:pPr>
    </w:p>
    <w:p w14:paraId="529C5707" w14:textId="77777777" w:rsidR="00933A68" w:rsidRDefault="00933A68" w:rsidP="00933A68">
      <w:pPr>
        <w:rPr>
          <w:szCs w:val="26"/>
        </w:rPr>
      </w:pPr>
      <w:r>
        <w:rPr>
          <w:szCs w:val="26"/>
        </w:rPr>
        <w:t xml:space="preserve">Formålet med NPE </w:t>
      </w:r>
      <w:r w:rsidRPr="003E325B">
        <w:rPr>
          <w:szCs w:val="26"/>
        </w:rPr>
        <w:t xml:space="preserve">er at medvirke til at begrænse opbygning af misligholdte </w:t>
      </w:r>
      <w:r>
        <w:rPr>
          <w:szCs w:val="26"/>
        </w:rPr>
        <w:t>lån</w:t>
      </w:r>
      <w:r w:rsidRPr="003E325B">
        <w:rPr>
          <w:szCs w:val="26"/>
        </w:rPr>
        <w:t xml:space="preserve"> ved at sikre, at banker nedskriver ret</w:t>
      </w:r>
      <w:r>
        <w:rPr>
          <w:szCs w:val="26"/>
        </w:rPr>
        <w:t>tidigt og tilstrækkeligt på mis</w:t>
      </w:r>
      <w:r w:rsidRPr="003E325B">
        <w:rPr>
          <w:szCs w:val="26"/>
        </w:rPr>
        <w:t xml:space="preserve">ligholdte lån. Det vil bl.a. forbedre bankernes muligheder for at afhænde porteføljer af misligholdte lån uden betydelige, negative økonomiske konsekvenser for bankerne, der dermed har mindre risiko for at måtte begrænse udlånskapaciteten eller blive nødlidende som følge af en stor mængde </w:t>
      </w:r>
      <w:proofErr w:type="gramStart"/>
      <w:r w:rsidRPr="003E325B">
        <w:rPr>
          <w:szCs w:val="26"/>
        </w:rPr>
        <w:t>misligholdte</w:t>
      </w:r>
      <w:proofErr w:type="gramEnd"/>
      <w:r w:rsidRPr="003E325B">
        <w:rPr>
          <w:szCs w:val="26"/>
        </w:rPr>
        <w:t xml:space="preserve"> lån.</w:t>
      </w:r>
    </w:p>
    <w:p w14:paraId="52C38607" w14:textId="77777777" w:rsidR="00933A68" w:rsidRPr="00B401DC" w:rsidRDefault="00933A68" w:rsidP="00933A68">
      <w:pPr>
        <w:rPr>
          <w:szCs w:val="26"/>
        </w:rPr>
      </w:pPr>
    </w:p>
    <w:p w14:paraId="31F99642" w14:textId="77777777" w:rsidR="00933A68" w:rsidRPr="00B401DC" w:rsidRDefault="00933A68" w:rsidP="00933A68">
      <w:pPr>
        <w:rPr>
          <w:szCs w:val="26"/>
        </w:rPr>
      </w:pPr>
      <w:r w:rsidRPr="00B401DC">
        <w:rPr>
          <w:szCs w:val="26"/>
        </w:rPr>
        <w:t xml:space="preserve">Formålet med CRR </w:t>
      </w:r>
      <w:r>
        <w:rPr>
          <w:szCs w:val="26"/>
        </w:rPr>
        <w:t>Covid-19-relaterede justeringer</w:t>
      </w:r>
      <w:r w:rsidRPr="00B401DC">
        <w:rPr>
          <w:szCs w:val="26"/>
        </w:rPr>
        <w:t xml:space="preserve"> er at understøtte kreditinstitutter i EU-landene i fortsat at låne ud til virksomheder og privatpersoner under COVID-19-krisen og den følgende genopretning af europæisk økonomi.</w:t>
      </w:r>
    </w:p>
    <w:p w14:paraId="4F06220A" w14:textId="77777777" w:rsidR="00933A68" w:rsidRDefault="00933A68" w:rsidP="00933A68">
      <w:pPr>
        <w:rPr>
          <w:szCs w:val="26"/>
        </w:rPr>
      </w:pPr>
    </w:p>
    <w:p w14:paraId="3954BF16" w14:textId="77777777" w:rsidR="00933A68" w:rsidRDefault="00933A68" w:rsidP="00933A68">
      <w:pPr>
        <w:rPr>
          <w:szCs w:val="26"/>
        </w:rPr>
      </w:pPr>
      <w:r w:rsidRPr="00B401DC">
        <w:rPr>
          <w:szCs w:val="26"/>
        </w:rPr>
        <w:t xml:space="preserve">CRR </w:t>
      </w:r>
      <w:r>
        <w:rPr>
          <w:szCs w:val="26"/>
        </w:rPr>
        <w:t>Covid-19-relaterede justeringer</w:t>
      </w:r>
      <w:r w:rsidRPr="00B401DC">
        <w:rPr>
          <w:szCs w:val="26"/>
        </w:rPr>
        <w:t xml:space="preserve"> indeholder lempelser af nogle af kapitalkrav</w:t>
      </w:r>
      <w:r>
        <w:rPr>
          <w:szCs w:val="26"/>
        </w:rPr>
        <w:t>ene</w:t>
      </w:r>
      <w:r w:rsidRPr="00B401DC">
        <w:rPr>
          <w:szCs w:val="26"/>
        </w:rPr>
        <w:t xml:space="preserve"> til kreditinstitutter i CRR II.</w:t>
      </w:r>
    </w:p>
    <w:p w14:paraId="03338696" w14:textId="77777777" w:rsidR="00933A68" w:rsidRDefault="00933A68" w:rsidP="00933A68">
      <w:pPr>
        <w:rPr>
          <w:szCs w:val="26"/>
        </w:rPr>
      </w:pPr>
    </w:p>
    <w:p w14:paraId="3D9976DB" w14:textId="3C785D12" w:rsidR="007E5EDE" w:rsidRPr="00933A68" w:rsidRDefault="00933A68" w:rsidP="007E5EDE">
      <w:pPr>
        <w:rPr>
          <w:szCs w:val="26"/>
        </w:rPr>
      </w:pPr>
      <w:r w:rsidRPr="00B401DC">
        <w:rPr>
          <w:szCs w:val="26"/>
        </w:rPr>
        <w:t>Med lovforsl</w:t>
      </w:r>
      <w:r>
        <w:rPr>
          <w:szCs w:val="26"/>
        </w:rPr>
        <w:t>a</w:t>
      </w:r>
      <w:r w:rsidRPr="00B401DC">
        <w:rPr>
          <w:szCs w:val="26"/>
        </w:rPr>
        <w:t xml:space="preserve">get er det hensigten at sikre, at der gælder regler for </w:t>
      </w:r>
      <w:r>
        <w:rPr>
          <w:szCs w:val="26"/>
        </w:rPr>
        <w:t>Grønland</w:t>
      </w:r>
      <w:r w:rsidRPr="00B401DC">
        <w:rPr>
          <w:szCs w:val="26"/>
        </w:rPr>
        <w:t xml:space="preserve">, der – tilpasset de </w:t>
      </w:r>
      <w:r>
        <w:rPr>
          <w:szCs w:val="26"/>
        </w:rPr>
        <w:t>grønlandsk</w:t>
      </w:r>
      <w:r w:rsidRPr="00B401DC">
        <w:rPr>
          <w:szCs w:val="26"/>
        </w:rPr>
        <w:t xml:space="preserve">e forhold – svarer til de regler, som gælder i Danmark i medfør af </w:t>
      </w:r>
      <w:r>
        <w:rPr>
          <w:szCs w:val="26"/>
        </w:rPr>
        <w:t>ændringsforordningerne til CRR.</w:t>
      </w:r>
      <w:r w:rsidR="004E0ED5">
        <w:rPr>
          <w:szCs w:val="26"/>
        </w:rPr>
        <w:t xml:space="preserve"> Det bemærkes, at CRR er sat i kraft for Grønland. </w:t>
      </w:r>
    </w:p>
    <w:p w14:paraId="437186ED" w14:textId="11A86268" w:rsidR="00792E00" w:rsidRDefault="00933A68" w:rsidP="00933A68">
      <w:pPr>
        <w:pStyle w:val="Overskrift2"/>
      </w:pPr>
      <w:r>
        <w:t>2. De væsentligste ændringer</w:t>
      </w:r>
      <w:r w:rsidR="004E0ED5">
        <w:t xml:space="preserve"> som følge af CRR</w:t>
      </w:r>
      <w:r w:rsidR="004B2B7F">
        <w:t xml:space="preserve"> II</w:t>
      </w:r>
    </w:p>
    <w:p w14:paraId="3346C615" w14:textId="79569497" w:rsidR="00933A68" w:rsidRDefault="004E0ED5" w:rsidP="00525206">
      <w:pPr>
        <w:pStyle w:val="Underoverskrift"/>
        <w:numPr>
          <w:ilvl w:val="0"/>
          <w:numId w:val="0"/>
        </w:numPr>
      </w:pPr>
      <w:r>
        <w:t>2</w:t>
      </w:r>
      <w:r w:rsidR="00933A68">
        <w:t>.1. Markedsrisiko</w:t>
      </w:r>
    </w:p>
    <w:p w14:paraId="689A5BE9" w14:textId="6D3612D0" w:rsidR="004E0ED5" w:rsidRDefault="004E0ED5" w:rsidP="004E0ED5">
      <w:pPr>
        <w:rPr>
          <w:rFonts w:eastAsiaTheme="majorEastAsia"/>
        </w:rPr>
      </w:pPr>
      <w:r>
        <w:rPr>
          <w:rFonts w:eastAsiaTheme="majorEastAsia"/>
        </w:rPr>
        <w:t>Metoden til fastlæggelse af kapitalgrundlagskravet for markedsrisiko er uændret i CRR</w:t>
      </w:r>
      <w:r w:rsidR="004B2B7F">
        <w:rPr>
          <w:rFonts w:eastAsiaTheme="majorEastAsia"/>
        </w:rPr>
        <w:t xml:space="preserve"> II</w:t>
      </w:r>
      <w:r>
        <w:rPr>
          <w:rFonts w:eastAsiaTheme="majorEastAsia"/>
        </w:rPr>
        <w:t xml:space="preserve">. </w:t>
      </w:r>
      <w:r w:rsidRPr="002E41C2">
        <w:rPr>
          <w:rFonts w:eastAsiaTheme="majorEastAsia"/>
        </w:rPr>
        <w:t xml:space="preserve">Med </w:t>
      </w:r>
      <w:r>
        <w:rPr>
          <w:rFonts w:eastAsiaTheme="majorEastAsia"/>
        </w:rPr>
        <w:t>forordningen indfør</w:t>
      </w:r>
      <w:r w:rsidR="004B2B7F">
        <w:rPr>
          <w:rFonts w:eastAsiaTheme="majorEastAsia"/>
        </w:rPr>
        <w:t>es dog</w:t>
      </w:r>
      <w:r>
        <w:rPr>
          <w:rFonts w:eastAsiaTheme="majorEastAsia"/>
        </w:rPr>
        <w:t xml:space="preserve"> et rapporteringskrav på en</w:t>
      </w:r>
      <w:r w:rsidRPr="002E41C2">
        <w:rPr>
          <w:rFonts w:eastAsiaTheme="majorEastAsia"/>
        </w:rPr>
        <w:t xml:space="preserve"> ny standardmetode og en ny avanceret intern metode for opgørelse af markedsrisiko på baggrund af en Basel-standard</w:t>
      </w:r>
      <w:r>
        <w:rPr>
          <w:rFonts w:eastAsiaTheme="majorEastAsia"/>
        </w:rPr>
        <w:t>.</w:t>
      </w:r>
    </w:p>
    <w:p w14:paraId="3658A9D0" w14:textId="77777777" w:rsidR="004E0ED5" w:rsidRDefault="004E0ED5" w:rsidP="004E0ED5">
      <w:pPr>
        <w:rPr>
          <w:rFonts w:eastAsiaTheme="majorEastAsia"/>
        </w:rPr>
      </w:pPr>
    </w:p>
    <w:p w14:paraId="0D417F02" w14:textId="77777777" w:rsidR="004E0ED5" w:rsidRDefault="004E0ED5" w:rsidP="004E0ED5">
      <w:pPr>
        <w:rPr>
          <w:rFonts w:eastAsiaTheme="majorEastAsia"/>
        </w:rPr>
      </w:pPr>
      <w:r w:rsidRPr="002E41C2">
        <w:rPr>
          <w:rFonts w:eastAsiaTheme="majorEastAsia"/>
        </w:rPr>
        <w:t>Med indførelsen af den nye standardmetode og den nye interne metode vil kapitalbelastningen generelt blive højere, særligt for kreditinstitutters beholdninger af realkreditobligation</w:t>
      </w:r>
      <w:r>
        <w:rPr>
          <w:rFonts w:eastAsiaTheme="majorEastAsia"/>
        </w:rPr>
        <w:t>er.</w:t>
      </w:r>
    </w:p>
    <w:p w14:paraId="63F24A3B" w14:textId="2833186F" w:rsidR="00933A68" w:rsidRDefault="00933A68" w:rsidP="00525206">
      <w:pPr>
        <w:pStyle w:val="Underoverskrift"/>
        <w:numPr>
          <w:ilvl w:val="0"/>
          <w:numId w:val="0"/>
        </w:numPr>
      </w:pPr>
      <w:r>
        <w:t>2.2. Gearingsgrad</w:t>
      </w:r>
    </w:p>
    <w:p w14:paraId="2EABEFA4" w14:textId="77777777" w:rsidR="0038635A" w:rsidRPr="002E41C2" w:rsidRDefault="0038635A" w:rsidP="0038635A">
      <w:r>
        <w:t xml:space="preserve">CRR II indebærer, </w:t>
      </w:r>
      <w:r w:rsidRPr="002E41C2">
        <w:t>at institutterne skal opfylde et gearings</w:t>
      </w:r>
      <w:r>
        <w:t>grads</w:t>
      </w:r>
      <w:r w:rsidRPr="002E41C2">
        <w:t xml:space="preserve">krav på 3 pct., dvs. et minimumskrav til et kreditinstituts kapital i forhold til instituttets samlede ikke-risikovægtede eksponeringer, f.eks. udlån. </w:t>
      </w:r>
    </w:p>
    <w:p w14:paraId="6610D045" w14:textId="6BF04271" w:rsidR="004E0ED5" w:rsidRDefault="004E0ED5" w:rsidP="004E0ED5">
      <w:pPr>
        <w:rPr>
          <w:rFonts w:eastAsiaTheme="majorEastAsia"/>
        </w:rPr>
      </w:pPr>
    </w:p>
    <w:p w14:paraId="7B31DC5D" w14:textId="7F64AC91" w:rsidR="0038635A" w:rsidRDefault="0038635A" w:rsidP="004E0ED5">
      <w:r>
        <w:t>Gearingsgradskrav</w:t>
      </w:r>
      <w:r w:rsidRPr="002E41C2">
        <w:t xml:space="preserve">et bliver et kapitalgrundlagskrav på linje med de øvrige lovbestemte minimumskrav, og brud på </w:t>
      </w:r>
      <w:r>
        <w:t>gearingsgradskrav</w:t>
      </w:r>
      <w:r w:rsidRPr="002E41C2">
        <w:t>et medfører derfor reaktioner som ved brud på søjle I-krav, dvs. at tilsynsmyndigheden skal inddrage banklicensen, hvis kravet ikke opfyldes inden for en kort frist.</w:t>
      </w:r>
    </w:p>
    <w:p w14:paraId="0F4C80C0" w14:textId="67324CDB" w:rsidR="00933A68" w:rsidRDefault="00933A68" w:rsidP="00525206">
      <w:pPr>
        <w:pStyle w:val="Underoverskrift"/>
        <w:numPr>
          <w:ilvl w:val="0"/>
          <w:numId w:val="0"/>
        </w:numPr>
        <w:ind w:left="360" w:hanging="360"/>
      </w:pPr>
      <w:r>
        <w:lastRenderedPageBreak/>
        <w:t>2.3 Store eksponeringer</w:t>
      </w:r>
    </w:p>
    <w:p w14:paraId="4A238BC7" w14:textId="04BB9827" w:rsidR="0038635A" w:rsidRDefault="0038635A" w:rsidP="004E0ED5">
      <w:pPr>
        <w:rPr>
          <w:rFonts w:eastAsiaTheme="majorEastAsia"/>
        </w:rPr>
      </w:pPr>
      <w:r w:rsidRPr="002E41C2">
        <w:rPr>
          <w:rFonts w:eastAsiaTheme="majorEastAsia"/>
        </w:rPr>
        <w:t xml:space="preserve">Med </w:t>
      </w:r>
      <w:r>
        <w:rPr>
          <w:rFonts w:eastAsiaTheme="majorEastAsia"/>
        </w:rPr>
        <w:t xml:space="preserve">CRR II </w:t>
      </w:r>
      <w:r w:rsidRPr="002E41C2">
        <w:rPr>
          <w:rFonts w:eastAsiaTheme="majorEastAsia"/>
        </w:rPr>
        <w:t xml:space="preserve">præciseres beregningsmetoden for store eksponeringer, hvorved </w:t>
      </w:r>
      <w:r>
        <w:rPr>
          <w:rFonts w:eastAsiaTheme="majorEastAsia"/>
        </w:rPr>
        <w:t>reglerne</w:t>
      </w:r>
      <w:r w:rsidRPr="002E41C2">
        <w:rPr>
          <w:rFonts w:eastAsiaTheme="majorEastAsia"/>
        </w:rPr>
        <w:t xml:space="preserve"> tilpasses Basel-standarden for store eksponeringer fra 2014. </w:t>
      </w:r>
      <w:r>
        <w:rPr>
          <w:rFonts w:eastAsiaTheme="majorEastAsia"/>
        </w:rPr>
        <w:t>E</w:t>
      </w:r>
      <w:r w:rsidRPr="002E41C2">
        <w:rPr>
          <w:rFonts w:eastAsiaTheme="majorEastAsia"/>
        </w:rPr>
        <w:t>t instituts store eksponeringer udmåles fremadrettet i forhold til et snævrere kapitalbegreb end i dag.</w:t>
      </w:r>
      <w:r>
        <w:rPr>
          <w:rFonts w:eastAsiaTheme="majorEastAsia"/>
        </w:rPr>
        <w:t xml:space="preserve"> </w:t>
      </w:r>
    </w:p>
    <w:p w14:paraId="2BC8BC3A" w14:textId="32F6E659" w:rsidR="0038635A" w:rsidRDefault="0038635A" w:rsidP="004E0ED5">
      <w:pPr>
        <w:rPr>
          <w:rFonts w:eastAsiaTheme="majorEastAsia"/>
        </w:rPr>
      </w:pPr>
    </w:p>
    <w:p w14:paraId="516E655D" w14:textId="10EED2CA" w:rsidR="0038635A" w:rsidRPr="002E41C2" w:rsidRDefault="0038635A" w:rsidP="0038635A">
      <w:pPr>
        <w:rPr>
          <w:rFonts w:eastAsiaTheme="majorEastAsia"/>
        </w:rPr>
      </w:pPr>
      <w:r w:rsidRPr="002E41C2">
        <w:rPr>
          <w:rFonts w:eastAsiaTheme="majorEastAsia"/>
        </w:rPr>
        <w:t>Det vil alt andet lige medføre, at flere eksponeringer vil blive klassificeret som store eksponeringer ligesom flere eksponeringer vil overstige den generelle grænse (på 25 pct. af kernekapitalen) for, hvor stor en eksponering må udgøre i forhold</w:t>
      </w:r>
      <w:r w:rsidR="00E4365B">
        <w:rPr>
          <w:rFonts w:eastAsiaTheme="majorEastAsia"/>
        </w:rPr>
        <w:t xml:space="preserve"> til</w:t>
      </w:r>
      <w:r w:rsidRPr="002E41C2">
        <w:rPr>
          <w:rFonts w:eastAsiaTheme="majorEastAsia"/>
        </w:rPr>
        <w:t xml:space="preserve"> instituttets kapitalgrundlag. Hvis grænsen overskrides</w:t>
      </w:r>
      <w:r w:rsidR="00447533">
        <w:rPr>
          <w:rFonts w:eastAsiaTheme="majorEastAsia"/>
        </w:rPr>
        <w:t>,</w:t>
      </w:r>
      <w:r w:rsidRPr="002E41C2">
        <w:rPr>
          <w:rFonts w:eastAsiaTheme="majorEastAsia"/>
        </w:rPr>
        <w:t xml:space="preserve"> skal instituttet reducere de konkrete eksponeringer. </w:t>
      </w:r>
    </w:p>
    <w:p w14:paraId="44EFAEA9" w14:textId="222E63B9" w:rsidR="0038635A" w:rsidRDefault="0038635A" w:rsidP="004E0ED5"/>
    <w:p w14:paraId="3DADED17" w14:textId="4E7CA3A2" w:rsidR="0038635A" w:rsidRDefault="0038635A" w:rsidP="004E0ED5">
      <w:r w:rsidRPr="002E41C2">
        <w:rPr>
          <w:rFonts w:eastAsiaTheme="majorEastAsia"/>
        </w:rPr>
        <w:t>I de gældende regler er der en række undtagelser for store eksponeringer, der for størstedelen foreslås videreført uændret</w:t>
      </w:r>
      <w:r>
        <w:rPr>
          <w:rFonts w:eastAsiaTheme="majorEastAsia"/>
        </w:rPr>
        <w:t>.</w:t>
      </w:r>
    </w:p>
    <w:p w14:paraId="6FB16A58" w14:textId="3144E8CC" w:rsidR="00933A68" w:rsidRDefault="00933A68" w:rsidP="00525206">
      <w:pPr>
        <w:pStyle w:val="Underoverskrift"/>
        <w:numPr>
          <w:ilvl w:val="0"/>
          <w:numId w:val="0"/>
        </w:numPr>
      </w:pPr>
      <w:r>
        <w:t>2.4. Reguleringsmæssig indberetning</w:t>
      </w:r>
    </w:p>
    <w:p w14:paraId="24ACA132" w14:textId="38CCB9FB" w:rsidR="0038635A" w:rsidRDefault="0038635A" w:rsidP="004E0ED5">
      <w:pPr>
        <w:rPr>
          <w:rFonts w:eastAsiaTheme="majorEastAsia"/>
        </w:rPr>
      </w:pPr>
      <w:r>
        <w:rPr>
          <w:rFonts w:eastAsiaTheme="majorEastAsia"/>
        </w:rPr>
        <w:t xml:space="preserve">CRR II </w:t>
      </w:r>
      <w:r w:rsidRPr="002E41C2">
        <w:rPr>
          <w:rFonts w:eastAsiaTheme="majorEastAsia"/>
        </w:rPr>
        <w:t>indeholder flere ændringer</w:t>
      </w:r>
      <w:r w:rsidR="004B2B7F">
        <w:rPr>
          <w:rFonts w:eastAsiaTheme="majorEastAsia"/>
        </w:rPr>
        <w:t xml:space="preserve">, der har til formål </w:t>
      </w:r>
      <w:r w:rsidRPr="002E41C2">
        <w:rPr>
          <w:rFonts w:eastAsiaTheme="majorEastAsia"/>
        </w:rPr>
        <w:t xml:space="preserve">at øge proportionaliteten i </w:t>
      </w:r>
      <w:r>
        <w:rPr>
          <w:rFonts w:eastAsiaTheme="majorEastAsia"/>
        </w:rPr>
        <w:t>reglerne</w:t>
      </w:r>
      <w:r w:rsidRPr="002E41C2">
        <w:rPr>
          <w:rFonts w:eastAsiaTheme="majorEastAsia"/>
        </w:rPr>
        <w:t xml:space="preserve">. </w:t>
      </w:r>
      <w:r>
        <w:rPr>
          <w:rFonts w:eastAsiaTheme="majorEastAsia"/>
        </w:rPr>
        <w:t xml:space="preserve">Små </w:t>
      </w:r>
      <w:r w:rsidRPr="002E41C2">
        <w:rPr>
          <w:rFonts w:eastAsiaTheme="majorEastAsia"/>
        </w:rPr>
        <w:t xml:space="preserve">institutters forpligtigelse til at indberette til tilsynsmyndigheden reduceres </w:t>
      </w:r>
      <w:r w:rsidR="004B2B7F">
        <w:rPr>
          <w:rFonts w:eastAsiaTheme="majorEastAsia"/>
        </w:rPr>
        <w:t xml:space="preserve">således </w:t>
      </w:r>
      <w:r w:rsidRPr="002E41C2">
        <w:rPr>
          <w:rFonts w:eastAsiaTheme="majorEastAsia"/>
        </w:rPr>
        <w:t xml:space="preserve">fra mindst halvårligt til årligt på en række områder.  </w:t>
      </w:r>
    </w:p>
    <w:p w14:paraId="3AFC14D8" w14:textId="1A7273E3" w:rsidR="0038635A" w:rsidRDefault="0038635A" w:rsidP="004E0ED5">
      <w:pPr>
        <w:rPr>
          <w:rFonts w:eastAsiaTheme="majorEastAsia"/>
        </w:rPr>
      </w:pPr>
    </w:p>
    <w:p w14:paraId="33D4933F" w14:textId="2107AFD9" w:rsidR="0038635A" w:rsidRPr="0038635A" w:rsidRDefault="004B2B7F" w:rsidP="004E0ED5">
      <w:pPr>
        <w:rPr>
          <w:rFonts w:eastAsiaTheme="majorEastAsia"/>
        </w:rPr>
      </w:pPr>
      <w:r>
        <w:rPr>
          <w:rFonts w:eastAsiaTheme="majorEastAsia"/>
        </w:rPr>
        <w:t>Derudover</w:t>
      </w:r>
      <w:r w:rsidRPr="002E41C2">
        <w:rPr>
          <w:rFonts w:eastAsiaTheme="majorEastAsia"/>
        </w:rPr>
        <w:t xml:space="preserve"> </w:t>
      </w:r>
      <w:r w:rsidR="0038635A" w:rsidRPr="002E41C2">
        <w:rPr>
          <w:rFonts w:eastAsiaTheme="majorEastAsia"/>
        </w:rPr>
        <w:t>åbnes der op for, at tilsynsmyndigheden kan undtage institutter fra at indberette et antal specifikke skemaer, hvis data tilvejebringes ad anden vej, ligesom der er krav om, at der ikke må anmodes om samme oplysninger to gange.</w:t>
      </w:r>
    </w:p>
    <w:p w14:paraId="05AD542B" w14:textId="573337BC" w:rsidR="00933A68" w:rsidRDefault="00933A68" w:rsidP="00525206">
      <w:pPr>
        <w:pStyle w:val="Underoverskrift"/>
        <w:numPr>
          <w:ilvl w:val="0"/>
          <w:numId w:val="0"/>
        </w:numPr>
        <w:ind w:left="360" w:hanging="360"/>
      </w:pPr>
      <w:r>
        <w:t>2.5 Oplysningspligt</w:t>
      </w:r>
    </w:p>
    <w:p w14:paraId="78379ED3" w14:textId="6683D7A2" w:rsidR="0038635A" w:rsidRPr="002E41C2" w:rsidRDefault="0038635A" w:rsidP="0038635A">
      <w:pPr>
        <w:rPr>
          <w:rFonts w:eastAsiaTheme="majorEastAsia"/>
        </w:rPr>
      </w:pPr>
      <w:r>
        <w:rPr>
          <w:rFonts w:eastAsiaTheme="majorEastAsia"/>
        </w:rPr>
        <w:t>CRR II</w:t>
      </w:r>
      <w:r w:rsidRPr="002E41C2">
        <w:rPr>
          <w:rFonts w:eastAsiaTheme="majorEastAsia"/>
        </w:rPr>
        <w:t xml:space="preserve"> indarbejder øget proportionalitet i reglerne for offentliggørelse, hvor </w:t>
      </w:r>
      <w:r>
        <w:rPr>
          <w:rFonts w:eastAsiaTheme="majorEastAsia"/>
        </w:rPr>
        <w:t xml:space="preserve">der </w:t>
      </w:r>
      <w:r w:rsidRPr="002E41C2">
        <w:rPr>
          <w:rFonts w:eastAsiaTheme="majorEastAsia"/>
        </w:rPr>
        <w:t>etablere</w:t>
      </w:r>
      <w:r w:rsidR="0011589E">
        <w:rPr>
          <w:rFonts w:eastAsiaTheme="majorEastAsia"/>
        </w:rPr>
        <w:t>s</w:t>
      </w:r>
      <w:r w:rsidRPr="002E41C2">
        <w:rPr>
          <w:rFonts w:eastAsiaTheme="majorEastAsia"/>
        </w:rPr>
        <w:t xml:space="preserve"> tre offentliggørelsesregimer afhængig af institutternes størrelse. </w:t>
      </w:r>
    </w:p>
    <w:p w14:paraId="49DA2382" w14:textId="733694A7" w:rsidR="0038635A" w:rsidRDefault="0038635A" w:rsidP="004E0ED5"/>
    <w:p w14:paraId="446BBAFE" w14:textId="77777777" w:rsidR="0038635A" w:rsidRPr="002E41C2" w:rsidRDefault="0038635A" w:rsidP="0038635A">
      <w:pPr>
        <w:rPr>
          <w:rFonts w:eastAsiaTheme="majorEastAsia"/>
        </w:rPr>
      </w:pPr>
      <w:r>
        <w:rPr>
          <w:rFonts w:eastAsiaTheme="majorEastAsia"/>
        </w:rPr>
        <w:t>Derudover indføres</w:t>
      </w:r>
      <w:r w:rsidRPr="002E41C2">
        <w:rPr>
          <w:rFonts w:eastAsiaTheme="majorEastAsia"/>
        </w:rPr>
        <w:t xml:space="preserve"> en række tilpasninger om offentliggørelse af de </w:t>
      </w:r>
      <w:r>
        <w:rPr>
          <w:rFonts w:eastAsiaTheme="majorEastAsia"/>
        </w:rPr>
        <w:t>nye eller ændrede søjle I-krav</w:t>
      </w:r>
      <w:r w:rsidRPr="002E41C2">
        <w:rPr>
          <w:rFonts w:eastAsiaTheme="majorEastAsia"/>
        </w:rPr>
        <w:t xml:space="preserve">, modpartsrisiko og markedsrisiko. Ændringerne har til formål at bringe bestemmelserne i overensstemmelse med internationale standarder. </w:t>
      </w:r>
    </w:p>
    <w:p w14:paraId="73F17571" w14:textId="77777777" w:rsidR="0038635A" w:rsidRPr="002E41C2" w:rsidRDefault="0038635A" w:rsidP="0038635A">
      <w:pPr>
        <w:rPr>
          <w:rFonts w:eastAsiaTheme="majorEastAsia"/>
        </w:rPr>
      </w:pPr>
    </w:p>
    <w:p w14:paraId="417D5FFD" w14:textId="7D358B13" w:rsidR="0038635A" w:rsidRPr="0038635A" w:rsidRDefault="0011589E" w:rsidP="004E0ED5">
      <w:pPr>
        <w:rPr>
          <w:rFonts w:eastAsiaTheme="majorEastAsia"/>
        </w:rPr>
      </w:pPr>
      <w:r>
        <w:rPr>
          <w:rFonts w:eastAsiaTheme="majorEastAsia"/>
        </w:rPr>
        <w:t>Endelig</w:t>
      </w:r>
      <w:r w:rsidRPr="002E41C2">
        <w:rPr>
          <w:rFonts w:eastAsiaTheme="majorEastAsia"/>
        </w:rPr>
        <w:t xml:space="preserve"> </w:t>
      </w:r>
      <w:r w:rsidR="0038635A" w:rsidRPr="002E41C2">
        <w:rPr>
          <w:rFonts w:eastAsiaTheme="majorEastAsia"/>
        </w:rPr>
        <w:t>lægges der op til, at institutter, som anvender interne modelmetoder til opgørelse af deres risikovægtede poster, også skal offentliggøre deres risikovægtede poster under standardmetoden.</w:t>
      </w:r>
    </w:p>
    <w:p w14:paraId="7FF73751" w14:textId="459D1C22" w:rsidR="00933A68" w:rsidRDefault="004E0ED5" w:rsidP="00525206">
      <w:pPr>
        <w:pStyle w:val="Underoverskrift"/>
        <w:numPr>
          <w:ilvl w:val="0"/>
          <w:numId w:val="0"/>
        </w:numPr>
        <w:ind w:left="360" w:hanging="360"/>
      </w:pPr>
      <w:r>
        <w:t>2</w:t>
      </w:r>
      <w:r w:rsidR="00933A68">
        <w:t>.6. Krav om stabil finansiering</w:t>
      </w:r>
      <w:r w:rsidR="00AB628C">
        <w:t xml:space="preserve"> </w:t>
      </w:r>
      <w:r w:rsidR="00525206">
        <w:t>(Net Stabel Funding Ration – NSFR)</w:t>
      </w:r>
    </w:p>
    <w:p w14:paraId="0A850A58" w14:textId="58679CDC" w:rsidR="00525206" w:rsidRPr="00B401DC" w:rsidRDefault="00525206" w:rsidP="00525206">
      <w:r w:rsidRPr="00B401DC">
        <w:t xml:space="preserve">Med CRR II indføres et krav til institutternes stabile finansiering (Net Stable Funding Ratio, NSFR), der generelt skal sikre, at institutternes udlån og andre aktiver i højere grad er finansieret af finansieringskilder med tilstrækkelig lange løbetider. Formålet er at forhindre, at udlån med lange løbetider i for høj </w:t>
      </w:r>
      <w:r w:rsidRPr="00B401DC">
        <w:lastRenderedPageBreak/>
        <w:t>grad finansieres med gæld med korte løbetider, hvilket kan sætte et kreditinstitut i en klemme, hvis instituttet på grund af markedsuro har vanskeligt ved at få adgang til kortsigtet finansiering, som det f.eks. var tilfældet ved udbruddet af den seneste finansielle krise.</w:t>
      </w:r>
    </w:p>
    <w:p w14:paraId="5DD7D560" w14:textId="2ADFDEC2" w:rsidR="00525206" w:rsidRDefault="00525206" w:rsidP="004E0ED5"/>
    <w:p w14:paraId="38EF7806" w14:textId="00BA98D6" w:rsidR="0038635A" w:rsidRDefault="00525206" w:rsidP="004E0ED5">
      <w:r>
        <w:rPr>
          <w:rFonts w:eastAsiaTheme="majorEastAsia"/>
        </w:rPr>
        <w:t>CRR II</w:t>
      </w:r>
      <w:r w:rsidRPr="002E41C2">
        <w:rPr>
          <w:rFonts w:eastAsiaTheme="majorEastAsia"/>
        </w:rPr>
        <w:t xml:space="preserve"> indeholder – i lighed med Basel-standarden – imidlertid en undtagelsesmulighed til NSFR-kravet for såkaldt ”indbyrdes afhængige” aktiver og passiver, der har samme løbetid som </w:t>
      </w:r>
      <w:proofErr w:type="gramStart"/>
      <w:r w:rsidRPr="002E41C2">
        <w:rPr>
          <w:rFonts w:eastAsiaTheme="majorEastAsia"/>
        </w:rPr>
        <w:t>eksempelvis</w:t>
      </w:r>
      <w:proofErr w:type="gramEnd"/>
      <w:r w:rsidRPr="002E41C2">
        <w:rPr>
          <w:rFonts w:eastAsiaTheme="majorEastAsia"/>
        </w:rPr>
        <w:t xml:space="preserve"> danske realkreditlån og dertilhørende realkreditobligationer med samme løbetid. Derudover omfatter undtagelsesmuligheden i Kommissionens forslag også kortere realkreditobligationer, der finansierer lån med længere løbetid, </w:t>
      </w:r>
      <w:proofErr w:type="gramStart"/>
      <w:r w:rsidRPr="002E41C2">
        <w:rPr>
          <w:rFonts w:eastAsiaTheme="majorEastAsia"/>
        </w:rPr>
        <w:t>såfremt</w:t>
      </w:r>
      <w:proofErr w:type="gramEnd"/>
      <w:r w:rsidRPr="002E41C2">
        <w:rPr>
          <w:rFonts w:eastAsiaTheme="majorEastAsia"/>
        </w:rPr>
        <w:t xml:space="preserve"> de bl.a. er omfattet af en ikke-diskretionær forlængelsestrigger, som det f.eks. kendes fra den danske refinansieringslov</w:t>
      </w:r>
      <w:r>
        <w:rPr>
          <w:rFonts w:eastAsiaTheme="majorEastAsia"/>
        </w:rPr>
        <w:t>.</w:t>
      </w:r>
    </w:p>
    <w:p w14:paraId="421DE618" w14:textId="19DEB986" w:rsidR="00933A68" w:rsidRDefault="00933A68" w:rsidP="00525206">
      <w:pPr>
        <w:pStyle w:val="Underoverskrift"/>
        <w:numPr>
          <w:ilvl w:val="0"/>
          <w:numId w:val="0"/>
        </w:numPr>
      </w:pPr>
      <w:r>
        <w:t>2.7. Undtagelse fra kapital- og likviditetskrav</w:t>
      </w:r>
    </w:p>
    <w:p w14:paraId="6F273CF2" w14:textId="77777777" w:rsidR="0011589E" w:rsidRDefault="00525206" w:rsidP="004E0ED5">
      <w:pPr>
        <w:rPr>
          <w:rFonts w:eastAsiaTheme="majorEastAsia"/>
        </w:rPr>
      </w:pPr>
      <w:r w:rsidRPr="002E41C2">
        <w:rPr>
          <w:rFonts w:eastAsiaTheme="majorEastAsia"/>
        </w:rPr>
        <w:t xml:space="preserve">Med </w:t>
      </w:r>
      <w:r>
        <w:rPr>
          <w:rFonts w:eastAsiaTheme="majorEastAsia"/>
        </w:rPr>
        <w:t>CRR II</w:t>
      </w:r>
      <w:r w:rsidRPr="002E41C2">
        <w:rPr>
          <w:rFonts w:eastAsiaTheme="majorEastAsia"/>
        </w:rPr>
        <w:t xml:space="preserve"> får tilsynsmyndigheder, som fører tilsyn med institutter beliggende i flere medlemsstater, mulighed for at undtage datterselskaber fra kapital- og likviditetskravene. I praksis vil det være </w:t>
      </w:r>
      <w:r w:rsidRPr="002E41C2">
        <w:t>Den Fælles Tilsynsmekanisme (SSM),</w:t>
      </w:r>
      <w:r w:rsidRPr="002E41C2">
        <w:rPr>
          <w:rFonts w:eastAsiaTheme="majorEastAsia"/>
        </w:rPr>
        <w:t xml:space="preserve"> der får mulighed for at anvende undtagelsen, da de er den eneste myndighed, der i dag fører tilsyn </w:t>
      </w:r>
      <w:r>
        <w:rPr>
          <w:rFonts w:eastAsiaTheme="majorEastAsia"/>
        </w:rPr>
        <w:t xml:space="preserve">med koncernforbundne moder- og datterselskaber </w:t>
      </w:r>
      <w:r w:rsidRPr="002E41C2">
        <w:rPr>
          <w:rFonts w:eastAsiaTheme="majorEastAsia"/>
        </w:rPr>
        <w:t xml:space="preserve">i flere medlemslande. </w:t>
      </w:r>
    </w:p>
    <w:p w14:paraId="443C04FF" w14:textId="77777777" w:rsidR="0011589E" w:rsidRDefault="0011589E" w:rsidP="004E0ED5">
      <w:pPr>
        <w:rPr>
          <w:rFonts w:eastAsiaTheme="majorEastAsia"/>
        </w:rPr>
      </w:pPr>
    </w:p>
    <w:p w14:paraId="385A960D" w14:textId="77777777" w:rsidR="0011589E" w:rsidRDefault="00525206" w:rsidP="004E0ED5">
      <w:pPr>
        <w:rPr>
          <w:rFonts w:eastAsiaTheme="majorEastAsia"/>
        </w:rPr>
      </w:pPr>
      <w:r w:rsidRPr="002E41C2">
        <w:rPr>
          <w:rFonts w:eastAsiaTheme="majorEastAsia"/>
        </w:rPr>
        <w:t xml:space="preserve">Justeringerne er således rettet mod bankunionslande (aktuelt kun eurolande), ud fra et princip om, at SSM har den tilstrækkelige indsigt i både datterselskaber og moderinstitutter lokaliseret i forskellige medlemsstater til at anvende undtagelsen. </w:t>
      </w:r>
    </w:p>
    <w:p w14:paraId="26F52D7F" w14:textId="77777777" w:rsidR="0011589E" w:rsidRDefault="0011589E" w:rsidP="004E0ED5">
      <w:pPr>
        <w:rPr>
          <w:rFonts w:eastAsiaTheme="majorEastAsia"/>
        </w:rPr>
      </w:pPr>
    </w:p>
    <w:p w14:paraId="40170BE1" w14:textId="1E9E5140" w:rsidR="00525206" w:rsidRDefault="00525206" w:rsidP="004E0ED5">
      <w:r w:rsidRPr="002E41C2">
        <w:rPr>
          <w:rFonts w:eastAsiaTheme="majorEastAsia"/>
        </w:rPr>
        <w:t>Undtagelsesmuligheden betinges af, at moderinstituttet stiller en delvist sikret garanti. Garantien skal sikre, at moderinstituttet kan understøtte datterselskabet, hvis det kommer i problemer. I dag er det kun det land, hvor datterselskabet er etableret (værtslandet), der kan anvende undtagelserne.</w:t>
      </w:r>
    </w:p>
    <w:p w14:paraId="01CE7E60" w14:textId="52FFBBF0" w:rsidR="00933A68" w:rsidRDefault="00933A68" w:rsidP="00525206">
      <w:pPr>
        <w:pStyle w:val="Underoverskrift"/>
        <w:numPr>
          <w:ilvl w:val="0"/>
          <w:numId w:val="0"/>
        </w:numPr>
        <w:ind w:left="360" w:hanging="360"/>
      </w:pPr>
      <w:r>
        <w:t>2.8. Nedskrivningsrelevante passiver</w:t>
      </w:r>
    </w:p>
    <w:p w14:paraId="5B43066A" w14:textId="608C9163" w:rsidR="00525206" w:rsidRPr="00BA575E" w:rsidRDefault="00525206" w:rsidP="00525206">
      <w:pPr>
        <w:rPr>
          <w:rFonts w:eastAsia="Calibri"/>
        </w:rPr>
      </w:pPr>
      <w:r>
        <w:rPr>
          <w:rFonts w:eastAsia="Calibri"/>
        </w:rPr>
        <w:t>CRR II</w:t>
      </w:r>
      <w:r w:rsidRPr="00BA575E">
        <w:rPr>
          <w:rFonts w:eastAsia="Calibri"/>
        </w:rPr>
        <w:t xml:space="preserve"> indeholder en række ændring</w:t>
      </w:r>
      <w:r>
        <w:rPr>
          <w:rFonts w:eastAsia="Calibri"/>
        </w:rPr>
        <w:t>er af CRR som følge af implemen</w:t>
      </w:r>
      <w:r w:rsidRPr="00BA575E">
        <w:rPr>
          <w:rFonts w:eastAsia="Calibri"/>
        </w:rPr>
        <w:t xml:space="preserve">teringen af FSB-standarden vedr. </w:t>
      </w:r>
      <w:r w:rsidR="00E4365B">
        <w:rPr>
          <w:rFonts w:eastAsia="Calibri"/>
        </w:rPr>
        <w:t xml:space="preserve">Total </w:t>
      </w:r>
      <w:proofErr w:type="spellStart"/>
      <w:r w:rsidR="00E4365B">
        <w:rPr>
          <w:rFonts w:eastAsia="Calibri"/>
        </w:rPr>
        <w:t>Loss-absorbing</w:t>
      </w:r>
      <w:proofErr w:type="spellEnd"/>
      <w:r w:rsidR="00E4365B">
        <w:rPr>
          <w:rFonts w:eastAsia="Calibri"/>
        </w:rPr>
        <w:t xml:space="preserve"> </w:t>
      </w:r>
      <w:proofErr w:type="spellStart"/>
      <w:r w:rsidR="00E4365B">
        <w:rPr>
          <w:rFonts w:eastAsia="Calibri"/>
        </w:rPr>
        <w:t>Capacity</w:t>
      </w:r>
      <w:proofErr w:type="spellEnd"/>
      <w:r w:rsidR="00E4365B">
        <w:rPr>
          <w:rFonts w:eastAsia="Calibri"/>
        </w:rPr>
        <w:t xml:space="preserve"> (</w:t>
      </w:r>
      <w:r w:rsidRPr="00BA575E">
        <w:rPr>
          <w:rFonts w:eastAsia="Calibri"/>
        </w:rPr>
        <w:t>TL</w:t>
      </w:r>
      <w:r>
        <w:rPr>
          <w:rFonts w:eastAsia="Calibri"/>
        </w:rPr>
        <w:t>AC</w:t>
      </w:r>
      <w:r w:rsidR="00E4365B">
        <w:rPr>
          <w:rFonts w:eastAsia="Calibri"/>
        </w:rPr>
        <w:t>)</w:t>
      </w:r>
      <w:r>
        <w:rPr>
          <w:rFonts w:eastAsia="Calibri"/>
        </w:rPr>
        <w:t>. TLAC er et krav om nedskriv</w:t>
      </w:r>
      <w:r w:rsidRPr="00BA575E">
        <w:rPr>
          <w:rFonts w:eastAsia="Calibri"/>
        </w:rPr>
        <w:t>ningsegnede passiver i de globalt systemiske vigtige kreditinstitutter (</w:t>
      </w:r>
      <w:proofErr w:type="spellStart"/>
      <w:r w:rsidRPr="00BA575E">
        <w:rPr>
          <w:rFonts w:eastAsia="Calibri"/>
        </w:rPr>
        <w:t>G-SIFI’er</w:t>
      </w:r>
      <w:proofErr w:type="spellEnd"/>
      <w:r w:rsidRPr="00BA575E">
        <w:rPr>
          <w:rFonts w:eastAsia="Calibri"/>
        </w:rPr>
        <w:t xml:space="preserve">). </w:t>
      </w:r>
    </w:p>
    <w:p w14:paraId="355A07DF" w14:textId="77777777" w:rsidR="00525206" w:rsidRPr="00BA575E" w:rsidRDefault="00525206" w:rsidP="00525206">
      <w:pPr>
        <w:rPr>
          <w:rFonts w:eastAsia="Calibri"/>
        </w:rPr>
      </w:pPr>
    </w:p>
    <w:p w14:paraId="730C3878" w14:textId="4EBCC0FB" w:rsidR="00525206" w:rsidRPr="00525206" w:rsidRDefault="00525206" w:rsidP="004E0ED5">
      <w:pPr>
        <w:rPr>
          <w:rFonts w:eastAsia="Calibri"/>
        </w:rPr>
      </w:pPr>
      <w:r w:rsidRPr="00BA575E">
        <w:rPr>
          <w:rFonts w:eastAsia="Calibri"/>
        </w:rPr>
        <w:t>Ændringerne følger i vid udstrækning af forslagene til ændring af BRRD indeholdt i Kommissionens forslag vedrø</w:t>
      </w:r>
      <w:r>
        <w:rPr>
          <w:rFonts w:eastAsia="Calibri"/>
        </w:rPr>
        <w:t xml:space="preserve">rende tabsabsorbering og </w:t>
      </w:r>
      <w:proofErr w:type="spellStart"/>
      <w:r>
        <w:rPr>
          <w:rFonts w:eastAsia="Calibri"/>
        </w:rPr>
        <w:t>rekapitalis</w:t>
      </w:r>
      <w:r w:rsidRPr="00BA575E">
        <w:rPr>
          <w:rFonts w:eastAsia="Calibri"/>
        </w:rPr>
        <w:t>ering</w:t>
      </w:r>
      <w:proofErr w:type="spellEnd"/>
      <w:r w:rsidRPr="00BA575E">
        <w:rPr>
          <w:rFonts w:eastAsia="Calibri"/>
        </w:rPr>
        <w:t xml:space="preserve"> for kreditinsti</w:t>
      </w:r>
      <w:r>
        <w:rPr>
          <w:rFonts w:eastAsia="Calibri"/>
        </w:rPr>
        <w:t>tutter og investeringsselskaber.</w:t>
      </w:r>
    </w:p>
    <w:p w14:paraId="72CA82CE" w14:textId="6FA845EE" w:rsidR="00525206" w:rsidRDefault="00525206" w:rsidP="004E0ED5"/>
    <w:p w14:paraId="176EB5E6" w14:textId="3A9FBE18" w:rsidR="00525206" w:rsidRDefault="00525206" w:rsidP="00525206">
      <w:pPr>
        <w:rPr>
          <w:rFonts w:eastAsia="Calibri"/>
        </w:rPr>
      </w:pPr>
      <w:r>
        <w:rPr>
          <w:rFonts w:eastAsia="Calibri"/>
        </w:rPr>
        <w:t>Den danske lov, der implementerer BRRD</w:t>
      </w:r>
      <w:r w:rsidR="0011589E">
        <w:rPr>
          <w:rFonts w:eastAsia="Calibri"/>
        </w:rPr>
        <w:t>,</w:t>
      </w:r>
      <w:r>
        <w:rPr>
          <w:rFonts w:eastAsia="Calibri"/>
        </w:rPr>
        <w:t xml:space="preserve"> er sat i kraft for Grønland ved kongelig anordning om ikrafttræden af lov om finansiel virksomhed og lov om restrukturering og afvikling visse finansielle institutter.</w:t>
      </w:r>
    </w:p>
    <w:p w14:paraId="0D4500F0" w14:textId="77777777" w:rsidR="00525206" w:rsidRDefault="00525206" w:rsidP="00525206">
      <w:pPr>
        <w:rPr>
          <w:rFonts w:eastAsia="Calibri"/>
        </w:rPr>
      </w:pPr>
    </w:p>
    <w:p w14:paraId="2B41BC7F" w14:textId="2BD395BD" w:rsidR="00525206" w:rsidRDefault="00525206" w:rsidP="00525206">
      <w:pPr>
        <w:rPr>
          <w:rFonts w:eastAsia="Calibri"/>
        </w:rPr>
      </w:pPr>
      <w:r>
        <w:rPr>
          <w:rFonts w:eastAsia="Calibri"/>
        </w:rPr>
        <w:t xml:space="preserve">Ændringerne af lov om finansiel virksomhed og lov om restrukturering og afvikling </w:t>
      </w:r>
      <w:r w:rsidR="0011589E">
        <w:rPr>
          <w:rFonts w:eastAsia="Calibri"/>
        </w:rPr>
        <w:t xml:space="preserve">af </w:t>
      </w:r>
      <w:r>
        <w:rPr>
          <w:rFonts w:eastAsia="Calibri"/>
        </w:rPr>
        <w:t>visse finansielle institutter, som følger af ændringen af BRRD, vil blive sat i kraft for Grønland ved kongelig anordning således, at denne lov og de kongelige anordninger træder i kraft samtidig.</w:t>
      </w:r>
    </w:p>
    <w:p w14:paraId="12F47F3B" w14:textId="169DE644" w:rsidR="004E0ED5" w:rsidRDefault="00933A68" w:rsidP="00525206">
      <w:pPr>
        <w:pStyle w:val="Underoverskrift"/>
        <w:numPr>
          <w:ilvl w:val="0"/>
          <w:numId w:val="0"/>
        </w:numPr>
      </w:pPr>
      <w:r>
        <w:t>2.9. Modpartsrisiko</w:t>
      </w:r>
    </w:p>
    <w:p w14:paraId="256445C9" w14:textId="77777777" w:rsidR="00525206" w:rsidRPr="002E41C2" w:rsidRDefault="00525206" w:rsidP="00525206">
      <w:pPr>
        <w:rPr>
          <w:rFonts w:cs="Arial"/>
          <w:kern w:val="36"/>
          <w:szCs w:val="21"/>
        </w:rPr>
      </w:pPr>
      <w:r>
        <w:rPr>
          <w:rFonts w:cs="Arial"/>
          <w:kern w:val="36"/>
          <w:szCs w:val="21"/>
        </w:rPr>
        <w:t xml:space="preserve">CRR II </w:t>
      </w:r>
      <w:r w:rsidRPr="002E41C2">
        <w:rPr>
          <w:rFonts w:cs="Arial"/>
          <w:kern w:val="36"/>
          <w:szCs w:val="21"/>
        </w:rPr>
        <w:t xml:space="preserve">implementerer tre nye standardmetoder for opgørelse af kapitalkrav til modpartsrisiko på baggrund af en Basel-standard. </w:t>
      </w:r>
    </w:p>
    <w:p w14:paraId="4AFCE872" w14:textId="4EEF2DF3" w:rsidR="00525206" w:rsidRDefault="00525206" w:rsidP="004E0ED5"/>
    <w:p w14:paraId="48C2946D" w14:textId="0D33D266" w:rsidR="00525206" w:rsidRDefault="00525206" w:rsidP="004E0ED5">
      <w:r>
        <w:t>De tre nye standardmetoder:</w:t>
      </w:r>
    </w:p>
    <w:p w14:paraId="6475FF14" w14:textId="708F6029" w:rsidR="00525206" w:rsidRPr="0011589E" w:rsidRDefault="00525206" w:rsidP="004E0ED5">
      <w:pPr>
        <w:rPr>
          <w:rFonts w:cs="Arial"/>
          <w:szCs w:val="21"/>
        </w:rPr>
      </w:pPr>
    </w:p>
    <w:p w14:paraId="0C9C95C0" w14:textId="77777777" w:rsidR="00525206" w:rsidRPr="00EF33A2" w:rsidRDefault="00525206" w:rsidP="00525206">
      <w:pPr>
        <w:pStyle w:val="Opstilling-punkttegn"/>
        <w:numPr>
          <w:ilvl w:val="0"/>
          <w:numId w:val="0"/>
        </w:numPr>
        <w:ind w:left="360" w:hanging="360"/>
        <w:jc w:val="both"/>
        <w:rPr>
          <w:rFonts w:ascii="Arial" w:hAnsi="Arial" w:cs="Arial"/>
          <w:sz w:val="21"/>
          <w:szCs w:val="21"/>
        </w:rPr>
      </w:pPr>
      <w:r w:rsidRPr="00EF33A2">
        <w:rPr>
          <w:rFonts w:ascii="Arial" w:hAnsi="Arial" w:cs="Arial"/>
          <w:sz w:val="21"/>
          <w:szCs w:val="21"/>
          <w:u w:val="single"/>
        </w:rPr>
        <w:t>Ny standardmetode (SA-CCR),</w:t>
      </w:r>
      <w:r w:rsidRPr="00EF33A2">
        <w:rPr>
          <w:rFonts w:ascii="Arial" w:hAnsi="Arial" w:cs="Arial"/>
          <w:sz w:val="21"/>
          <w:szCs w:val="21"/>
        </w:rPr>
        <w:t xml:space="preserve"> der er mere risikofølsom, men også mere kompleks.</w:t>
      </w:r>
    </w:p>
    <w:p w14:paraId="6E299E32" w14:textId="77777777" w:rsidR="00525206" w:rsidRPr="00EF33A2" w:rsidRDefault="00525206" w:rsidP="00525206">
      <w:pPr>
        <w:pStyle w:val="Opstilling-punkttegn"/>
        <w:numPr>
          <w:ilvl w:val="0"/>
          <w:numId w:val="0"/>
        </w:numPr>
        <w:ind w:left="360" w:hanging="360"/>
        <w:jc w:val="both"/>
        <w:rPr>
          <w:rFonts w:ascii="Arial" w:hAnsi="Arial" w:cs="Arial"/>
          <w:sz w:val="21"/>
          <w:szCs w:val="21"/>
        </w:rPr>
      </w:pPr>
      <w:r w:rsidRPr="00EF33A2">
        <w:rPr>
          <w:rFonts w:ascii="Arial" w:hAnsi="Arial" w:cs="Arial"/>
          <w:sz w:val="21"/>
          <w:szCs w:val="21"/>
          <w:u w:val="single"/>
        </w:rPr>
        <w:t xml:space="preserve">Simpel udgave af den nye standardmetode (simpel SA-CCR), </w:t>
      </w:r>
      <w:r w:rsidRPr="00EF33A2">
        <w:rPr>
          <w:rFonts w:ascii="Arial" w:hAnsi="Arial" w:cs="Arial"/>
          <w:sz w:val="21"/>
          <w:szCs w:val="21"/>
        </w:rPr>
        <w:t>der kan anvendes af institutter, hvis balanceførte og ikke-balanceførte derivatforretninger er mindre end 10 pct. af instituttets samlede balance og 150 mio. euro.</w:t>
      </w:r>
    </w:p>
    <w:p w14:paraId="5AFCFA0C" w14:textId="1D4C8140" w:rsidR="00525206" w:rsidRPr="0011589E" w:rsidRDefault="00525206" w:rsidP="00EF33A2">
      <w:pPr>
        <w:pStyle w:val="Opstilling-punkttegn"/>
        <w:numPr>
          <w:ilvl w:val="0"/>
          <w:numId w:val="0"/>
        </w:numPr>
        <w:ind w:left="360" w:hanging="360"/>
        <w:jc w:val="both"/>
      </w:pPr>
      <w:r w:rsidRPr="00EF33A2">
        <w:rPr>
          <w:rFonts w:ascii="Arial" w:hAnsi="Arial" w:cs="Arial"/>
          <w:sz w:val="21"/>
          <w:szCs w:val="21"/>
          <w:u w:val="single"/>
        </w:rPr>
        <w:t xml:space="preserve">En ny udgave af den </w:t>
      </w:r>
      <w:r w:rsidRPr="00EF33A2">
        <w:rPr>
          <w:rFonts w:ascii="Arial" w:hAnsi="Arial" w:cs="Arial"/>
          <w:kern w:val="36"/>
          <w:sz w:val="21"/>
          <w:szCs w:val="21"/>
          <w:u w:val="single"/>
        </w:rPr>
        <w:t>oprindelige eksponeringsmetode</w:t>
      </w:r>
      <w:r w:rsidRPr="00EF33A2">
        <w:rPr>
          <w:rFonts w:ascii="Arial" w:hAnsi="Arial" w:cs="Arial"/>
          <w:i/>
          <w:kern w:val="36"/>
          <w:sz w:val="21"/>
          <w:szCs w:val="21"/>
        </w:rPr>
        <w:t>,</w:t>
      </w:r>
      <w:r w:rsidRPr="00EF33A2">
        <w:rPr>
          <w:rFonts w:ascii="Arial" w:hAnsi="Arial" w:cs="Arial"/>
          <w:i/>
          <w:sz w:val="21"/>
          <w:szCs w:val="21"/>
        </w:rPr>
        <w:t xml:space="preserve"> </w:t>
      </w:r>
      <w:r w:rsidRPr="00EF33A2">
        <w:rPr>
          <w:rFonts w:ascii="Arial" w:hAnsi="Arial" w:cs="Arial"/>
          <w:sz w:val="21"/>
          <w:szCs w:val="21"/>
        </w:rPr>
        <w:t>som er tilpasset SA-CCR, men mindre kompleks end simpel SA-CCR, og som kan anvendes af institutter, hvis balanceførte og ikke-balanceførte derivatforretninger er mindre end 5 pct. af instituttets samlede balance og 20 mio. euro.</w:t>
      </w:r>
    </w:p>
    <w:p w14:paraId="5DDA4C90" w14:textId="382DA304" w:rsidR="004E0ED5" w:rsidRDefault="004E0ED5" w:rsidP="00525206">
      <w:pPr>
        <w:pStyle w:val="Underoverskrift"/>
        <w:numPr>
          <w:ilvl w:val="0"/>
          <w:numId w:val="0"/>
        </w:numPr>
        <w:ind w:left="360" w:hanging="360"/>
      </w:pPr>
      <w:r>
        <w:t>2.10. Eksponeringer mod centrale modparter</w:t>
      </w:r>
    </w:p>
    <w:p w14:paraId="6766CE4F" w14:textId="77777777" w:rsidR="00525206" w:rsidRPr="00EF33A2" w:rsidRDefault="00525206" w:rsidP="00525206">
      <w:pPr>
        <w:rPr>
          <w:rFonts w:cs="Arial"/>
        </w:rPr>
      </w:pPr>
      <w:r>
        <w:rPr>
          <w:rFonts w:eastAsiaTheme="majorEastAsia"/>
        </w:rPr>
        <w:t xml:space="preserve">CRR II </w:t>
      </w:r>
      <w:r w:rsidRPr="002E41C2">
        <w:rPr>
          <w:rFonts w:eastAsiaTheme="majorEastAsia"/>
        </w:rPr>
        <w:t xml:space="preserve">justerer i reglerne om opgørelse af kapitalkrav for institutternes eksponering over for centrale modparter, </w:t>
      </w:r>
      <w:proofErr w:type="spellStart"/>
      <w:r w:rsidRPr="002E41C2">
        <w:rPr>
          <w:rFonts w:eastAsiaTheme="majorEastAsia"/>
        </w:rPr>
        <w:t>CCP’er</w:t>
      </w:r>
      <w:proofErr w:type="spellEnd"/>
      <w:r w:rsidRPr="002E41C2">
        <w:rPr>
          <w:rFonts w:eastAsiaTheme="majorEastAsia"/>
        </w:rPr>
        <w:t xml:space="preserve">. En central modpart agerer mellemled mellem parterne i en værdipapirhandel ved at agere modpart mod sælger og modpart mod køber. Forslaget implementerer </w:t>
      </w:r>
      <w:r w:rsidRPr="0011589E">
        <w:rPr>
          <w:rFonts w:eastAsiaTheme="majorEastAsia" w:cs="Arial"/>
        </w:rPr>
        <w:t xml:space="preserve">en </w:t>
      </w:r>
      <w:r w:rsidRPr="00EF33A2">
        <w:rPr>
          <w:rFonts w:cs="Arial"/>
        </w:rPr>
        <w:t>Basel III-standard.</w:t>
      </w:r>
    </w:p>
    <w:p w14:paraId="403DD346" w14:textId="521FE8F5" w:rsidR="004E0ED5" w:rsidRDefault="004E0ED5" w:rsidP="00525206">
      <w:pPr>
        <w:pStyle w:val="Underoverskrift"/>
        <w:numPr>
          <w:ilvl w:val="0"/>
          <w:numId w:val="0"/>
        </w:numPr>
      </w:pPr>
      <w:r>
        <w:t>2.11. Eksponeringer mod kollektive investeringsordninger</w:t>
      </w:r>
    </w:p>
    <w:p w14:paraId="4807DDA7" w14:textId="7BB6DDF4" w:rsidR="004E0ED5" w:rsidRDefault="00525206" w:rsidP="00933A68">
      <w:r>
        <w:t>CRR II</w:t>
      </w:r>
      <w:r w:rsidRPr="0050355B">
        <w:t xml:space="preserve"> justerer risikovægtningen af eksponeringer (i form af andele eller aktier) mod kollektive investeringsordninger (CIU), på baggrund af en standard fra Basel-Komitéen. Ændrin</w:t>
      </w:r>
      <w:r>
        <w:t>gerne har til formål at gøre be</w:t>
      </w:r>
      <w:r w:rsidRPr="0050355B">
        <w:t>handlingen af disse eksponeringer mere risikofølsom og internationalt konsistent.</w:t>
      </w:r>
      <w:r>
        <w:t xml:space="preserve"> </w:t>
      </w:r>
    </w:p>
    <w:p w14:paraId="21BF1BF8" w14:textId="4D73BB55" w:rsidR="004E0ED5" w:rsidRDefault="004E0ED5" w:rsidP="004E0ED5">
      <w:pPr>
        <w:pStyle w:val="Overskrift2"/>
      </w:pPr>
      <w:r>
        <w:t>3. De væsentligste ændringer som følge af NPE</w:t>
      </w:r>
    </w:p>
    <w:p w14:paraId="6BE68471" w14:textId="32DEC752" w:rsidR="004E0ED5" w:rsidRDefault="004E0ED5" w:rsidP="00525206">
      <w:pPr>
        <w:pStyle w:val="Underoverskrift"/>
        <w:numPr>
          <w:ilvl w:val="0"/>
          <w:numId w:val="0"/>
        </w:numPr>
        <w:ind w:left="360" w:hanging="360"/>
      </w:pPr>
      <w:r>
        <w:t>3.1. Nødlidende lån</w:t>
      </w:r>
    </w:p>
    <w:p w14:paraId="60DB65A0" w14:textId="56179EC8" w:rsidR="00525206" w:rsidRPr="00A91744" w:rsidRDefault="00525206" w:rsidP="00525206">
      <w:r>
        <w:t xml:space="preserve">Forordningen </w:t>
      </w:r>
      <w:r w:rsidRPr="00A91744">
        <w:t>indeholder minimumskrav til den mængde kapital</w:t>
      </w:r>
      <w:r w:rsidR="00447533">
        <w:t>,</w:t>
      </w:r>
      <w:r w:rsidRPr="00A91744">
        <w:t xml:space="preserve"> bankerne skal sætte til side på lån</w:t>
      </w:r>
      <w:r w:rsidR="00E675C1">
        <w:t>,</w:t>
      </w:r>
      <w:r w:rsidR="00447533">
        <w:t xml:space="preserve"> som bliver nødlidende</w:t>
      </w:r>
      <w:r w:rsidR="00E675C1">
        <w:t>,</w:t>
      </w:r>
      <w:r w:rsidRPr="00A91744">
        <w:t xml:space="preserve"> </w:t>
      </w:r>
      <w:r w:rsidR="00E675C1">
        <w:t xml:space="preserve">og som er </w:t>
      </w:r>
      <w:r>
        <w:t>ydet efter fremsættelse af forslaget</w:t>
      </w:r>
      <w:r w:rsidRPr="00A91744">
        <w:t xml:space="preserve"> (solvensmæssig reservation). </w:t>
      </w:r>
      <w:r>
        <w:t>Forordningen</w:t>
      </w:r>
      <w:r w:rsidRPr="00A91744">
        <w:t xml:space="preserve"> indeholder en definition af </w:t>
      </w:r>
      <w:r>
        <w:t>nødlidende</w:t>
      </w:r>
      <w:r w:rsidRPr="00A91744">
        <w:t xml:space="preserve"> lån, og angiver strenge kriterier for, hvornår et kreditinstitut kan ophøre med at behandle en eksponering som </w:t>
      </w:r>
      <w:r>
        <w:t>nødlidende.</w:t>
      </w:r>
    </w:p>
    <w:p w14:paraId="2057BDA8" w14:textId="65E97F09" w:rsidR="00525206" w:rsidRDefault="00525206" w:rsidP="00525206"/>
    <w:p w14:paraId="49BB57D5" w14:textId="0179C379" w:rsidR="00525206" w:rsidRDefault="00525206" w:rsidP="00525206">
      <w:r w:rsidRPr="00A91744">
        <w:lastRenderedPageBreak/>
        <w:t>Et krav om solvensmæssig reservation fremkommer ved at sammenholde minimumskravet med summen af bankens nedskrivninger og andre fradrag i kapitalen</w:t>
      </w:r>
      <w:r>
        <w:t>, f</w:t>
      </w:r>
      <w:r w:rsidR="008D08B3">
        <w:t>.eks.</w:t>
      </w:r>
      <w:r>
        <w:t xml:space="preserve"> som følge af anvendelsen af IRB-metoden,</w:t>
      </w:r>
      <w:r w:rsidRPr="00A91744">
        <w:t xml:space="preserve"> relateret til de </w:t>
      </w:r>
      <w:r>
        <w:t>nødlidende</w:t>
      </w:r>
      <w:r w:rsidRPr="00A91744">
        <w:t xml:space="preserve"> eksponeringer. Hvis minimumskravet er størst, skal banken foretage en solvensmæssig reservation i form af fradrag i den egentlige kernekapital (CET1). Minimumskravet fungerer dermed som en bagstopper</w:t>
      </w:r>
      <w:r>
        <w:t>.</w:t>
      </w:r>
    </w:p>
    <w:p w14:paraId="6957FE02" w14:textId="77777777" w:rsidR="00525206" w:rsidRDefault="00525206" w:rsidP="00525206"/>
    <w:p w14:paraId="3DAC15C8" w14:textId="77777777" w:rsidR="00525206" w:rsidRPr="00A91744" w:rsidRDefault="00525206" w:rsidP="00525206">
      <w:r w:rsidRPr="00A91744">
        <w:t xml:space="preserve">Størrelsen af minimumskravet afhænger ifølge forslaget af </w:t>
      </w:r>
      <w:r>
        <w:t xml:space="preserve">1) </w:t>
      </w:r>
      <w:r w:rsidRPr="00A91744">
        <w:t xml:space="preserve">omfanget af bankens </w:t>
      </w:r>
      <w:r>
        <w:t>nødlidende</w:t>
      </w:r>
      <w:r w:rsidRPr="00A91744">
        <w:t xml:space="preserve"> lån, </w:t>
      </w:r>
      <w:r>
        <w:t xml:space="preserve">2) </w:t>
      </w:r>
      <w:r w:rsidRPr="00A91744">
        <w:t xml:space="preserve">hvor længe lånene har været </w:t>
      </w:r>
      <w:r>
        <w:t>nødlidende</w:t>
      </w:r>
      <w:r w:rsidRPr="00A91744">
        <w:t xml:space="preserve">, </w:t>
      </w:r>
      <w:r>
        <w:t xml:space="preserve">3) </w:t>
      </w:r>
      <w:r w:rsidRPr="00A91744">
        <w:t xml:space="preserve">om låntagerne har været mere end 90 dage bagud med at betale sit lån (i restance) og </w:t>
      </w:r>
      <w:r>
        <w:t xml:space="preserve">4) </w:t>
      </w:r>
      <w:r w:rsidRPr="00A91744">
        <w:t xml:space="preserve">omfanget af sikkerheder. </w:t>
      </w:r>
    </w:p>
    <w:p w14:paraId="0DCC767F" w14:textId="77777777" w:rsidR="00525206" w:rsidRPr="00A91744" w:rsidRDefault="00525206" w:rsidP="00525206"/>
    <w:p w14:paraId="4F9DBF89" w14:textId="1285DB40" w:rsidR="00525206" w:rsidRDefault="008D08B3" w:rsidP="00525206">
      <w:r>
        <w:t>H</w:t>
      </w:r>
      <w:r w:rsidR="00525206" w:rsidRPr="00A91744">
        <w:t>ovedprincippet</w:t>
      </w:r>
      <w:r>
        <w:t xml:space="preserve"> er</w:t>
      </w:r>
      <w:r w:rsidR="00525206" w:rsidRPr="00A91744">
        <w:t xml:space="preserve">, at jo længere tid en eksponering har været </w:t>
      </w:r>
      <w:r w:rsidR="00525206">
        <w:t>nødlidende</w:t>
      </w:r>
      <w:r w:rsidR="00525206" w:rsidRPr="00A91744">
        <w:t>, jo større er risikoen for, at lånet ikke tilbagebetales til banken, og des større er minimumskravet til afdækning af eksponeringen.</w:t>
      </w:r>
      <w:r w:rsidR="00525206">
        <w:t xml:space="preserve"> </w:t>
      </w:r>
    </w:p>
    <w:p w14:paraId="2F6D3212" w14:textId="72BDFBB1" w:rsidR="004E0ED5" w:rsidRDefault="004E0ED5" w:rsidP="004E0ED5">
      <w:pPr>
        <w:pStyle w:val="Overskrift2"/>
      </w:pPr>
      <w:r>
        <w:t>4. De væsentligste ændringer som følge af CRR Covid-19 relaterede justeringer</w:t>
      </w:r>
    </w:p>
    <w:p w14:paraId="7D6DB7D3" w14:textId="0645228E" w:rsidR="004E0ED5" w:rsidRDefault="004E0ED5" w:rsidP="00525206">
      <w:pPr>
        <w:pStyle w:val="Underoverskrift"/>
        <w:numPr>
          <w:ilvl w:val="0"/>
          <w:numId w:val="0"/>
        </w:numPr>
        <w:ind w:left="360" w:hanging="360"/>
      </w:pPr>
      <w:r>
        <w:t xml:space="preserve">4.1. </w:t>
      </w:r>
      <w:r w:rsidRPr="004E0ED5">
        <w:t>Lempelse af minimumskapitalkrav ved</w:t>
      </w:r>
      <w:r>
        <w:t>r. offentligt garanterede nødli</w:t>
      </w:r>
      <w:r w:rsidRPr="004E0ED5">
        <w:t>dende lån</w:t>
      </w:r>
    </w:p>
    <w:p w14:paraId="16588C5A" w14:textId="77777777" w:rsidR="00525206" w:rsidRDefault="00525206" w:rsidP="00525206">
      <w:pPr>
        <w:tabs>
          <w:tab w:val="left" w:pos="-1440"/>
          <w:tab w:val="left" w:pos="-720"/>
          <w:tab w:val="left" w:pos="0"/>
        </w:tabs>
        <w:rPr>
          <w:spacing w:val="-3"/>
        </w:rPr>
      </w:pPr>
      <w:r>
        <w:rPr>
          <w:spacing w:val="-3"/>
        </w:rPr>
        <w:t xml:space="preserve">Krav til det kapitalgrundlag, som et institut mindst skal have til at dække tab på nødlidende eksponeringer, kaldes også for NPE-bagstopperen. NPE-bagstopperen er etableret med en ændring af kapitalkravsforordningen i april 2019. </w:t>
      </w:r>
    </w:p>
    <w:p w14:paraId="5E0D0AAC" w14:textId="77777777" w:rsidR="00525206" w:rsidRDefault="00525206" w:rsidP="00525206">
      <w:pPr>
        <w:tabs>
          <w:tab w:val="left" w:pos="-1440"/>
          <w:tab w:val="left" w:pos="-720"/>
          <w:tab w:val="left" w:pos="0"/>
        </w:tabs>
        <w:rPr>
          <w:spacing w:val="-3"/>
        </w:rPr>
      </w:pPr>
    </w:p>
    <w:p w14:paraId="355F483E" w14:textId="3438F201" w:rsidR="00525206" w:rsidRDefault="00525206" w:rsidP="00525206">
      <w:pPr>
        <w:tabs>
          <w:tab w:val="left" w:pos="-1440"/>
          <w:tab w:val="left" w:pos="-720"/>
          <w:tab w:val="left" w:pos="0"/>
        </w:tabs>
        <w:rPr>
          <w:spacing w:val="-3"/>
        </w:rPr>
      </w:pPr>
      <w:r>
        <w:rPr>
          <w:spacing w:val="-3"/>
        </w:rPr>
        <w:t xml:space="preserve">NPE-bagstopperen og kravet om mindstekapital indeholder en overgangsordning, </w:t>
      </w:r>
      <w:r w:rsidR="008D08B3">
        <w:rPr>
          <w:spacing w:val="-3"/>
        </w:rPr>
        <w:t>og</w:t>
      </w:r>
      <w:r>
        <w:rPr>
          <w:spacing w:val="-3"/>
        </w:rPr>
        <w:t xml:space="preserve"> omfatter</w:t>
      </w:r>
      <w:r w:rsidR="008D08B3">
        <w:rPr>
          <w:spacing w:val="-3"/>
        </w:rPr>
        <w:t xml:space="preserve"> derfor</w:t>
      </w:r>
      <w:r>
        <w:rPr>
          <w:spacing w:val="-3"/>
        </w:rPr>
        <w:t xml:space="preserve"> ikke eksponeringer bevilget før den 26. april 2019, medmindre kreditinstitutterne ændrer lånevilkår, som øger eksponeringen.</w:t>
      </w:r>
    </w:p>
    <w:p w14:paraId="2363519C" w14:textId="77777777" w:rsidR="00525206" w:rsidRDefault="00525206" w:rsidP="00525206">
      <w:pPr>
        <w:tabs>
          <w:tab w:val="left" w:pos="-1440"/>
          <w:tab w:val="left" w:pos="-720"/>
          <w:tab w:val="left" w:pos="0"/>
        </w:tabs>
        <w:rPr>
          <w:spacing w:val="-3"/>
        </w:rPr>
      </w:pPr>
    </w:p>
    <w:p w14:paraId="343E9468" w14:textId="07A8DC58" w:rsidR="00525206" w:rsidRDefault="00525206" w:rsidP="00525206">
      <w:pPr>
        <w:tabs>
          <w:tab w:val="left" w:pos="-1440"/>
          <w:tab w:val="left" w:pos="-720"/>
          <w:tab w:val="left" w:pos="0"/>
        </w:tabs>
        <w:rPr>
          <w:spacing w:val="-3"/>
        </w:rPr>
      </w:pPr>
      <w:r>
        <w:rPr>
          <w:spacing w:val="-3"/>
        </w:rPr>
        <w:t>Under NPE-bagstopperen bestemmes et kapitalkrav til en nødlidende eksponering ud fra, hvor længe eksponeringen har været nødlidende (dvs. hvor længe udlånet har indebåret tab for det långivende institut),</w:t>
      </w:r>
      <w:r w:rsidRPr="00B35425">
        <w:rPr>
          <w:spacing w:val="-3"/>
        </w:rPr>
        <w:t xml:space="preserve"> hvor stor en del</w:t>
      </w:r>
      <w:r>
        <w:rPr>
          <w:spacing w:val="-3"/>
        </w:rPr>
        <w:t xml:space="preserve"> af eksponeringen, der er stillet sikkerhed for og typen af denne sikkerhed (f</w:t>
      </w:r>
      <w:r w:rsidR="008D08B3">
        <w:rPr>
          <w:spacing w:val="-3"/>
        </w:rPr>
        <w:t>.eks.</w:t>
      </w:r>
      <w:r>
        <w:rPr>
          <w:spacing w:val="-3"/>
        </w:rPr>
        <w:t xml:space="preserve"> fast ejendom). Dette sammenfattes i en faktor. Når faktoren er 0, stilles der ikke et kapitalkrav under NPE-bagstopperen. Når faktoren er 1, stilles der det fulde minimumskrav til kapital under NPE-bagstopperen</w:t>
      </w:r>
      <w:r w:rsidRPr="00B35425">
        <w:rPr>
          <w:spacing w:val="-3"/>
        </w:rPr>
        <w:t xml:space="preserve">. </w:t>
      </w:r>
      <w:r w:rsidRPr="00614A33">
        <w:rPr>
          <w:spacing w:val="-3"/>
        </w:rPr>
        <w:t xml:space="preserve"> </w:t>
      </w:r>
    </w:p>
    <w:p w14:paraId="5FD01F3D" w14:textId="77777777" w:rsidR="00525206" w:rsidRDefault="00525206" w:rsidP="00525206">
      <w:pPr>
        <w:tabs>
          <w:tab w:val="left" w:pos="-1440"/>
          <w:tab w:val="left" w:pos="-720"/>
          <w:tab w:val="left" w:pos="0"/>
        </w:tabs>
        <w:rPr>
          <w:spacing w:val="-3"/>
        </w:rPr>
      </w:pPr>
    </w:p>
    <w:p w14:paraId="492B0111" w14:textId="7419D67C" w:rsidR="00525206" w:rsidRDefault="00525206" w:rsidP="00EF33A2">
      <w:pPr>
        <w:tabs>
          <w:tab w:val="left" w:pos="-1440"/>
          <w:tab w:val="left" w:pos="-720"/>
          <w:tab w:val="left" w:pos="0"/>
        </w:tabs>
      </w:pPr>
      <w:r>
        <w:rPr>
          <w:spacing w:val="-3"/>
        </w:rPr>
        <w:t>V</w:t>
      </w:r>
      <w:r w:rsidRPr="00BB134A">
        <w:rPr>
          <w:spacing w:val="-3"/>
        </w:rPr>
        <w:t xml:space="preserve">ægten </w:t>
      </w:r>
      <w:r>
        <w:rPr>
          <w:spacing w:val="-3"/>
        </w:rPr>
        <w:t>på nødlidende eksponeringer, der er omfattet af en offentlig garanti, skal med CRR Covid-19-relaterede justeringer i stedet være 0</w:t>
      </w:r>
      <w:r w:rsidRPr="00BB134A">
        <w:rPr>
          <w:spacing w:val="-3"/>
        </w:rPr>
        <w:t xml:space="preserve"> i</w:t>
      </w:r>
      <w:r>
        <w:rPr>
          <w:spacing w:val="-3"/>
        </w:rPr>
        <w:t>ndtil det 8. år</w:t>
      </w:r>
      <w:r w:rsidRPr="00BB134A">
        <w:rPr>
          <w:spacing w:val="-3"/>
        </w:rPr>
        <w:t xml:space="preserve">. </w:t>
      </w:r>
      <w:r>
        <w:rPr>
          <w:spacing w:val="-3"/>
        </w:rPr>
        <w:t xml:space="preserve">Det betyder, at der ikke vil være en reduktion i kapitalgrundlaget i denne periode for sådanne nødlidende eksponeringer. </w:t>
      </w:r>
    </w:p>
    <w:p w14:paraId="2E8B6EF4" w14:textId="5E768A00" w:rsidR="004E0ED5" w:rsidRDefault="004E0ED5" w:rsidP="00525206">
      <w:pPr>
        <w:pStyle w:val="Underoverskrift"/>
        <w:numPr>
          <w:ilvl w:val="0"/>
          <w:numId w:val="0"/>
        </w:numPr>
        <w:ind w:left="360" w:hanging="360"/>
      </w:pPr>
      <w:r>
        <w:lastRenderedPageBreak/>
        <w:t xml:space="preserve">4.2. </w:t>
      </w:r>
      <w:r w:rsidRPr="004E0ED5">
        <w:t>Udskydelse af anvendelsesdato for tillæg til gearingsgradskravet</w:t>
      </w:r>
    </w:p>
    <w:p w14:paraId="03D3B13C" w14:textId="262C3461" w:rsidR="00525206" w:rsidRDefault="00525206" w:rsidP="00525206">
      <w:r>
        <w:t xml:space="preserve">CRR Covid-19-relaterede justeringer udskyder ikrafttrædelsesdatoen for gearingsgradbufferen for </w:t>
      </w:r>
      <w:proofErr w:type="spellStart"/>
      <w:r>
        <w:t>G-SIFI'er</w:t>
      </w:r>
      <w:proofErr w:type="spellEnd"/>
      <w:r>
        <w:t xml:space="preserve"> med et år, så den først træder i kraft </w:t>
      </w:r>
      <w:r w:rsidR="008D08B3">
        <w:t xml:space="preserve">den </w:t>
      </w:r>
      <w:r>
        <w:t xml:space="preserve">1. januar 2023 i stedet for </w:t>
      </w:r>
      <w:r w:rsidR="008D08B3">
        <w:t xml:space="preserve">den </w:t>
      </w:r>
      <w:r>
        <w:t>1. januar 2022. Det følger en anbefaling fra Basel-komitéen.</w:t>
      </w:r>
    </w:p>
    <w:p w14:paraId="6B430AA2" w14:textId="77777777" w:rsidR="00525206" w:rsidRDefault="00525206" w:rsidP="00525206"/>
    <w:p w14:paraId="4AA5CA01" w14:textId="5664E350" w:rsidR="00525206" w:rsidRDefault="00525206" w:rsidP="00525206">
      <w:r>
        <w:t xml:space="preserve">Med CRR Covid-19-relaterede justeringer vil de største institutter i EU (de institutter, der er udpeget </w:t>
      </w:r>
      <w:proofErr w:type="spellStart"/>
      <w:r>
        <w:t>G-SIFI'er</w:t>
      </w:r>
      <w:proofErr w:type="spellEnd"/>
      <w:r>
        <w:t>) først skulle overholde gearings</w:t>
      </w:r>
      <w:r w:rsidR="00E675C1">
        <w:softHyphen/>
      </w:r>
      <w:r>
        <w:t>grad</w:t>
      </w:r>
      <w:r w:rsidR="00E675C1">
        <w:softHyphen/>
      </w:r>
      <w:r>
        <w:t xml:space="preserve">bufferkravet et år senere end ellers tiltænkt. Ingen grønlandske institutter er underlagt gearingsgradbufferen, idet ingen grønlandske kreditinstitutter aktuelt er udpeget som </w:t>
      </w:r>
      <w:proofErr w:type="spellStart"/>
      <w:r>
        <w:t>G-SIFI'er</w:t>
      </w:r>
      <w:proofErr w:type="spellEnd"/>
      <w:r>
        <w:t xml:space="preserve">. </w:t>
      </w:r>
    </w:p>
    <w:p w14:paraId="1271F342" w14:textId="5A54A820" w:rsidR="004E0ED5" w:rsidRPr="004E0ED5" w:rsidRDefault="004E0ED5" w:rsidP="00525206">
      <w:pPr>
        <w:pStyle w:val="Underoverskrift"/>
        <w:numPr>
          <w:ilvl w:val="0"/>
          <w:numId w:val="0"/>
        </w:numPr>
        <w:ind w:left="360" w:hanging="360"/>
      </w:pPr>
      <w:r>
        <w:t xml:space="preserve">4.3. </w:t>
      </w:r>
      <w:r w:rsidRPr="004E0ED5">
        <w:t>Ændring af behandling af eksponeringer mod centralbanker i beregning af gearingsgraden</w:t>
      </w:r>
    </w:p>
    <w:p w14:paraId="3786614D" w14:textId="3270E4BD" w:rsidR="00525206" w:rsidRDefault="00525206" w:rsidP="00525206">
      <w:r>
        <w:t>CRR Covid-19-relaterede justeringer indebærer, at der alene udregnes et justeret gearingsgradkrav på det tidspunkt, hvor myndighederne efter høring af den relevante centralbank har erklæret</w:t>
      </w:r>
      <w:r w:rsidR="008D08B3">
        <w:t>, at</w:t>
      </w:r>
      <w:r>
        <w:t xml:space="preserve"> der foreligger særlige omstændigheder, der berettiger at undtagelsen af institutternes eksponeringer mod centralbanken tages i brug for at understøtte pengepolitikken. Der skal ikke (som ellers vedtaget med CRR II) foretages løbende justeringer til gearingsgradkravet, uanset at institutternes eksponeringer mod deres respektive centralbanker måtte ændre sig.</w:t>
      </w:r>
    </w:p>
    <w:p w14:paraId="394FA994" w14:textId="77777777" w:rsidR="00525206" w:rsidRDefault="00525206" w:rsidP="00525206"/>
    <w:p w14:paraId="1D1D45F9" w14:textId="2C2CC9BF" w:rsidR="00B434CE" w:rsidRDefault="00525206" w:rsidP="00B434CE">
      <w:r>
        <w:t>CRR Covid-19-relaterede justeringer vil muliggøre en større kapitaloverdækning for et kreditinstitut (gearingsgrad ift. gearingsgradkrav) og derved understøtte pengepolitikken, og at instituttet ikke reducerer sine udlån til virksomheder og husholdninger.</w:t>
      </w:r>
    </w:p>
    <w:sectPr w:rsidR="00B434CE" w:rsidSect="002779D0">
      <w:headerReference w:type="default" r:id="rId8"/>
      <w:headerReference w:type="first" r:id="rId9"/>
      <w:pgSz w:w="11906" w:h="16838" w:code="9"/>
      <w:pgMar w:top="2325" w:right="3686"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7E82" w14:textId="77777777" w:rsidR="00FC1E82" w:rsidRDefault="00FC1E82">
      <w:pPr>
        <w:spacing w:line="240" w:lineRule="auto"/>
      </w:pPr>
      <w:r>
        <w:separator/>
      </w:r>
    </w:p>
  </w:endnote>
  <w:endnote w:type="continuationSeparator" w:id="0">
    <w:p w14:paraId="045F45A0" w14:textId="77777777" w:rsidR="00FC1E82" w:rsidRDefault="00FC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51FF" w14:textId="77777777" w:rsidR="00FC1E82" w:rsidRDefault="00FC1E82">
      <w:pPr>
        <w:spacing w:line="240" w:lineRule="auto"/>
      </w:pPr>
      <w:r>
        <w:separator/>
      </w:r>
    </w:p>
  </w:footnote>
  <w:footnote w:type="continuationSeparator" w:id="0">
    <w:p w14:paraId="7E57AD77" w14:textId="77777777" w:rsidR="00FC1E82" w:rsidRDefault="00FC1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FD83" w14:textId="4BE38ED9" w:rsidR="00150DDA" w:rsidRDefault="00150DDA">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8C2B59">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C2B59">
      <w:rPr>
        <w:rStyle w:val="Sidetal"/>
        <w:noProof/>
      </w:rPr>
      <w:t>7</w:t>
    </w:r>
    <w:r>
      <w:rPr>
        <w:rStyle w:val="Sidetal"/>
      </w:rPr>
      <w:fldChar w:fldCharType="end"/>
    </w:r>
  </w:p>
  <w:p w14:paraId="259C62C8" w14:textId="77777777" w:rsidR="00150DDA" w:rsidRDefault="00150DDA">
    <w:pPr>
      <w:framePr w:w="1531" w:h="851" w:wrap="around" w:vAnchor="page" w:hAnchor="page" w:x="9186" w:y="721"/>
    </w:pPr>
  </w:p>
  <w:p w14:paraId="7B86647A" w14:textId="77777777" w:rsidR="00150DDA" w:rsidRDefault="00150DDA">
    <w:pPr>
      <w:framePr w:w="1531" w:h="851" w:wrap="around" w:vAnchor="page" w:hAnchor="page" w:x="9186" w:y="721"/>
    </w:pPr>
  </w:p>
  <w:p w14:paraId="6DC983A5" w14:textId="77777777" w:rsidR="00150DDA" w:rsidRDefault="00150D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EC55" w14:textId="77777777" w:rsidR="00150DDA" w:rsidRDefault="00150DDA">
    <w:pPr>
      <w:pStyle w:val="Sidehoved"/>
    </w:pPr>
    <w:r>
      <w:rPr>
        <w:noProof/>
      </w:rPr>
      <w:drawing>
        <wp:anchor distT="0" distB="0" distL="114300" distR="114300" simplePos="0" relativeHeight="251658752" behindDoc="0" locked="0" layoutInCell="1" allowOverlap="1" wp14:anchorId="253488E2" wp14:editId="6B73FD2C">
          <wp:simplePos x="0" y="0"/>
          <wp:positionH relativeFrom="page">
            <wp:posOffset>2952750</wp:posOffset>
          </wp:positionH>
          <wp:positionV relativeFrom="page">
            <wp:posOffset>142875</wp:posOffset>
          </wp:positionV>
          <wp:extent cx="1600200" cy="504825"/>
          <wp:effectExtent l="1905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r>
      <w:rPr>
        <w:noProof/>
      </w:rPr>
      <w:drawing>
        <wp:anchor distT="0" distB="0" distL="114300" distR="114300" simplePos="0" relativeHeight="251657728" behindDoc="0" locked="1" layoutInCell="0" allowOverlap="1" wp14:anchorId="5BC46E3A" wp14:editId="19C5A0FB">
          <wp:simplePos x="0" y="0"/>
          <wp:positionH relativeFrom="margin">
            <wp:posOffset>-9525</wp:posOffset>
          </wp:positionH>
          <wp:positionV relativeFrom="page">
            <wp:posOffset>1503045</wp:posOffset>
          </wp:positionV>
          <wp:extent cx="638175" cy="114300"/>
          <wp:effectExtent l="1905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38175"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8A0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A56C9E"/>
    <w:multiLevelType w:val="multilevel"/>
    <w:tmpl w:val="B4443E96"/>
    <w:lvl w:ilvl="0">
      <w:start w:val="1"/>
      <w:numFmt w:val="decimal"/>
      <w:pStyle w:val="Underoverskrift"/>
      <w:lvlText w:val="%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3C7D2F"/>
    <w:multiLevelType w:val="hybridMultilevel"/>
    <w:tmpl w:val="7B14156E"/>
    <w:lvl w:ilvl="0" w:tplc="91284876">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E2C0E20"/>
    <w:multiLevelType w:val="hybridMultilevel"/>
    <w:tmpl w:val="DE68F320"/>
    <w:lvl w:ilvl="0" w:tplc="A1ACD74E">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4B287A84"/>
    <w:multiLevelType w:val="hybridMultilevel"/>
    <w:tmpl w:val="BBB49F4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53E53794"/>
    <w:multiLevelType w:val="hybridMultilevel"/>
    <w:tmpl w:val="308E1D24"/>
    <w:lvl w:ilvl="0" w:tplc="3E0CC88A">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num w:numId="1" w16cid:durableId="1586300889">
    <w:abstractNumId w:val="6"/>
  </w:num>
  <w:num w:numId="2" w16cid:durableId="565455520">
    <w:abstractNumId w:val="4"/>
  </w:num>
  <w:num w:numId="3" w16cid:durableId="1170366533">
    <w:abstractNumId w:val="2"/>
  </w:num>
  <w:num w:numId="4" w16cid:durableId="1244339971">
    <w:abstractNumId w:val="3"/>
  </w:num>
  <w:num w:numId="5" w16cid:durableId="1423792813">
    <w:abstractNumId w:val="5"/>
  </w:num>
  <w:num w:numId="6" w16cid:durableId="1464230737">
    <w:abstractNumId w:val="1"/>
  </w:num>
  <w:num w:numId="7" w16cid:durableId="117985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8969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8574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419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728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362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95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574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314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47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348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8382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331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763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69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216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322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1259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2715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2445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76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Initialer" w:val="Empty"/>
    <w:docVar w:name="Kontor" w:val="Empty"/>
    <w:docVar w:name="PCAdato" w:val="Empty"/>
    <w:docVar w:name="PCAmodtager" w:val="Empty"/>
    <w:docVar w:name="PCAoverskrift" w:val="Empty"/>
    <w:docVar w:name="PCASag" w:val="Empty"/>
    <w:docVar w:name="PCAStart" w:val="Empty"/>
  </w:docVars>
  <w:rsids>
    <w:rsidRoot w:val="00792E00"/>
    <w:rsid w:val="00005423"/>
    <w:rsid w:val="0002744C"/>
    <w:rsid w:val="0008171E"/>
    <w:rsid w:val="000A3975"/>
    <w:rsid w:val="000C0183"/>
    <w:rsid w:val="000C13A3"/>
    <w:rsid w:val="000C2840"/>
    <w:rsid w:val="000C485A"/>
    <w:rsid w:val="000E7818"/>
    <w:rsid w:val="0011589E"/>
    <w:rsid w:val="00120388"/>
    <w:rsid w:val="00145D5A"/>
    <w:rsid w:val="00146C8A"/>
    <w:rsid w:val="00150DDA"/>
    <w:rsid w:val="00163A8D"/>
    <w:rsid w:val="001960EF"/>
    <w:rsid w:val="001E4A6B"/>
    <w:rsid w:val="00212A2C"/>
    <w:rsid w:val="00230D73"/>
    <w:rsid w:val="00260676"/>
    <w:rsid w:val="002779D0"/>
    <w:rsid w:val="002A499B"/>
    <w:rsid w:val="002B5E76"/>
    <w:rsid w:val="002E6F9A"/>
    <w:rsid w:val="002F13A8"/>
    <w:rsid w:val="002F5A4D"/>
    <w:rsid w:val="00305117"/>
    <w:rsid w:val="00330483"/>
    <w:rsid w:val="00330B76"/>
    <w:rsid w:val="00331EDD"/>
    <w:rsid w:val="003852FF"/>
    <w:rsid w:val="0038635A"/>
    <w:rsid w:val="003E3B9B"/>
    <w:rsid w:val="003E4349"/>
    <w:rsid w:val="003E5A33"/>
    <w:rsid w:val="0044286B"/>
    <w:rsid w:val="00447533"/>
    <w:rsid w:val="00451936"/>
    <w:rsid w:val="00460BA4"/>
    <w:rsid w:val="004B2B7F"/>
    <w:rsid w:val="004C0883"/>
    <w:rsid w:val="004E0ED5"/>
    <w:rsid w:val="004F0952"/>
    <w:rsid w:val="00525206"/>
    <w:rsid w:val="005439BC"/>
    <w:rsid w:val="00564AE8"/>
    <w:rsid w:val="00565D34"/>
    <w:rsid w:val="00586C74"/>
    <w:rsid w:val="00597760"/>
    <w:rsid w:val="005F063C"/>
    <w:rsid w:val="006115B0"/>
    <w:rsid w:val="00634E19"/>
    <w:rsid w:val="0063728A"/>
    <w:rsid w:val="00643B77"/>
    <w:rsid w:val="00646B27"/>
    <w:rsid w:val="006724DD"/>
    <w:rsid w:val="0067309D"/>
    <w:rsid w:val="006853B3"/>
    <w:rsid w:val="00693058"/>
    <w:rsid w:val="006C3314"/>
    <w:rsid w:val="006C7261"/>
    <w:rsid w:val="006D756B"/>
    <w:rsid w:val="006F2346"/>
    <w:rsid w:val="006F510B"/>
    <w:rsid w:val="00700253"/>
    <w:rsid w:val="00703E18"/>
    <w:rsid w:val="00717B14"/>
    <w:rsid w:val="00756A5F"/>
    <w:rsid w:val="0079206A"/>
    <w:rsid w:val="00792E00"/>
    <w:rsid w:val="007E5EDE"/>
    <w:rsid w:val="007E5F37"/>
    <w:rsid w:val="00865CA4"/>
    <w:rsid w:val="008713A9"/>
    <w:rsid w:val="00885E3C"/>
    <w:rsid w:val="008C2B59"/>
    <w:rsid w:val="008D08B3"/>
    <w:rsid w:val="00904F2B"/>
    <w:rsid w:val="00907B69"/>
    <w:rsid w:val="00911391"/>
    <w:rsid w:val="00933A68"/>
    <w:rsid w:val="009916F7"/>
    <w:rsid w:val="009C70F7"/>
    <w:rsid w:val="009E06F6"/>
    <w:rsid w:val="00A00B56"/>
    <w:rsid w:val="00A13FA0"/>
    <w:rsid w:val="00A30B33"/>
    <w:rsid w:val="00A736EB"/>
    <w:rsid w:val="00A73860"/>
    <w:rsid w:val="00A87425"/>
    <w:rsid w:val="00AA185B"/>
    <w:rsid w:val="00AB628C"/>
    <w:rsid w:val="00B00DB4"/>
    <w:rsid w:val="00B21AF8"/>
    <w:rsid w:val="00B23B9D"/>
    <w:rsid w:val="00B33F11"/>
    <w:rsid w:val="00B434CE"/>
    <w:rsid w:val="00B57A46"/>
    <w:rsid w:val="00B9028E"/>
    <w:rsid w:val="00BA2345"/>
    <w:rsid w:val="00BA7522"/>
    <w:rsid w:val="00BD2E25"/>
    <w:rsid w:val="00BF501F"/>
    <w:rsid w:val="00C12726"/>
    <w:rsid w:val="00C5465E"/>
    <w:rsid w:val="00C83878"/>
    <w:rsid w:val="00C97F60"/>
    <w:rsid w:val="00CD5C1F"/>
    <w:rsid w:val="00CF4780"/>
    <w:rsid w:val="00D04015"/>
    <w:rsid w:val="00D224BB"/>
    <w:rsid w:val="00D96765"/>
    <w:rsid w:val="00DA0880"/>
    <w:rsid w:val="00DB1666"/>
    <w:rsid w:val="00DB713B"/>
    <w:rsid w:val="00E1243B"/>
    <w:rsid w:val="00E2456A"/>
    <w:rsid w:val="00E34E1B"/>
    <w:rsid w:val="00E4365B"/>
    <w:rsid w:val="00E44B59"/>
    <w:rsid w:val="00E675C1"/>
    <w:rsid w:val="00EC3FFA"/>
    <w:rsid w:val="00EE19D4"/>
    <w:rsid w:val="00EF33A2"/>
    <w:rsid w:val="00F606B8"/>
    <w:rsid w:val="00F8665F"/>
    <w:rsid w:val="00F924F2"/>
    <w:rsid w:val="00FA2C9F"/>
    <w:rsid w:val="00FC1E82"/>
    <w:rsid w:val="00FC77DE"/>
    <w:rsid w:val="00FF7A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6A"/>
    <w:pPr>
      <w:spacing w:line="280" w:lineRule="exact"/>
      <w:jc w:val="both"/>
    </w:pPr>
    <w:rPr>
      <w:rFonts w:ascii="Arial" w:hAnsi="Arial"/>
      <w:sz w:val="21"/>
    </w:rPr>
  </w:style>
  <w:style w:type="paragraph" w:styleId="Overskrift1">
    <w:name w:val="heading 1"/>
    <w:basedOn w:val="Normal"/>
    <w:next w:val="Brdtekst"/>
    <w:qFormat/>
    <w:rsid w:val="00907B69"/>
    <w:pPr>
      <w:keepNext/>
      <w:spacing w:line="480" w:lineRule="exact"/>
      <w:outlineLvl w:val="0"/>
    </w:pPr>
    <w:rPr>
      <w:rFonts w:ascii="Constantia" w:hAnsi="Constantia"/>
      <w:b/>
      <w:color w:val="990000"/>
      <w:sz w:val="32"/>
    </w:rPr>
  </w:style>
  <w:style w:type="paragraph" w:styleId="Overskrift2">
    <w:name w:val="heading 2"/>
    <w:basedOn w:val="Normal"/>
    <w:next w:val="Normal"/>
    <w:link w:val="Overskrift2Tegn"/>
    <w:qFormat/>
    <w:rsid w:val="00586C74"/>
    <w:pPr>
      <w:keepNext/>
      <w:keepLines/>
      <w:spacing w:before="280" w:after="140"/>
      <w:outlineLvl w:val="1"/>
    </w:pPr>
    <w:rPr>
      <w:rFonts w:ascii="Constantia" w:eastAsiaTheme="majorEastAsia" w:hAnsi="Constant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44B59"/>
    <w:pPr>
      <w:framePr w:w="2268" w:h="7370" w:hSpace="141" w:wrap="around" w:hAnchor="page" w:x="9270" w:anchorLock="1"/>
    </w:pPr>
    <w:rPr>
      <w:sz w:val="15"/>
    </w:rPr>
  </w:style>
  <w:style w:type="paragraph" w:customStyle="1" w:styleId="diverse">
    <w:name w:val="diverse"/>
    <w:basedOn w:val="Normal"/>
    <w:rsid w:val="00E44B59"/>
    <w:rPr>
      <w:sz w:val="18"/>
    </w:rPr>
  </w:style>
  <w:style w:type="character" w:styleId="Sidetal">
    <w:name w:val="page number"/>
    <w:basedOn w:val="Standardskrifttypeiafsnit"/>
    <w:rsid w:val="00E44B59"/>
  </w:style>
  <w:style w:type="paragraph" w:customStyle="1" w:styleId="datomv">
    <w:name w:val="datomv"/>
    <w:basedOn w:val="skakt"/>
    <w:rsid w:val="00E44B59"/>
    <w:pPr>
      <w:framePr w:w="0" w:hRule="auto" w:hSpace="142" w:wrap="around" w:vAnchor="text" w:hAnchor="text" w:x="9073" w:y="1"/>
    </w:pPr>
    <w:rPr>
      <w:rFonts w:ascii="Times New Roman" w:hAnsi="Times New Roman"/>
      <w:sz w:val="24"/>
    </w:rPr>
  </w:style>
  <w:style w:type="paragraph" w:styleId="Sidehoved">
    <w:name w:val="header"/>
    <w:basedOn w:val="Normal"/>
    <w:rsid w:val="00E44B59"/>
    <w:pPr>
      <w:tabs>
        <w:tab w:val="center" w:pos="4819"/>
        <w:tab w:val="right" w:pos="9638"/>
      </w:tabs>
    </w:pPr>
  </w:style>
  <w:style w:type="paragraph" w:customStyle="1" w:styleId="modt">
    <w:name w:val="modt"/>
    <w:basedOn w:val="Normal"/>
    <w:rsid w:val="00E44B59"/>
  </w:style>
  <w:style w:type="paragraph" w:styleId="Sidefod">
    <w:name w:val="footer"/>
    <w:basedOn w:val="Normal"/>
    <w:rsid w:val="00331EDD"/>
    <w:pPr>
      <w:tabs>
        <w:tab w:val="center" w:pos="4819"/>
        <w:tab w:val="right" w:pos="9638"/>
      </w:tabs>
      <w:spacing w:line="240" w:lineRule="auto"/>
    </w:pPr>
    <w:rPr>
      <w:sz w:val="16"/>
    </w:rPr>
  </w:style>
  <w:style w:type="paragraph" w:customStyle="1" w:styleId="Enhed">
    <w:name w:val="Enhed"/>
    <w:basedOn w:val="Normal"/>
    <w:rsid w:val="00E44B59"/>
    <w:pPr>
      <w:framePr w:h="454" w:hRule="exact" w:wrap="around" w:vAnchor="page" w:hAnchor="page" w:x="9186" w:y="1702"/>
    </w:pPr>
    <w:rPr>
      <w:b/>
      <w:caps/>
      <w:sz w:val="15"/>
    </w:rPr>
  </w:style>
  <w:style w:type="paragraph" w:styleId="Brdtekst">
    <w:name w:val="Body Text"/>
    <w:basedOn w:val="Normal"/>
    <w:rsid w:val="00CF4780"/>
  </w:style>
  <w:style w:type="paragraph" w:styleId="Markeringsbobletekst">
    <w:name w:val="Balloon Text"/>
    <w:basedOn w:val="Normal"/>
    <w:link w:val="MarkeringsbobletekstTegn"/>
    <w:uiPriority w:val="99"/>
    <w:semiHidden/>
    <w:unhideWhenUsed/>
    <w:rsid w:val="00CD5C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1F"/>
    <w:rPr>
      <w:rFonts w:ascii="Tahoma" w:hAnsi="Tahoma" w:cs="Tahoma"/>
      <w:sz w:val="16"/>
      <w:szCs w:val="16"/>
    </w:rPr>
  </w:style>
  <w:style w:type="character" w:customStyle="1" w:styleId="Overskrift2Tegn">
    <w:name w:val="Overskrift 2 Tegn"/>
    <w:basedOn w:val="Standardskrifttypeiafsnit"/>
    <w:link w:val="Overskrift2"/>
    <w:rsid w:val="00586C74"/>
    <w:rPr>
      <w:rFonts w:ascii="Constantia" w:eastAsiaTheme="majorEastAsia" w:hAnsi="Constantia" w:cstheme="majorBidi"/>
      <w:b/>
      <w:bCs/>
      <w:color w:val="000000" w:themeColor="text1"/>
      <w:sz w:val="22"/>
      <w:szCs w:val="26"/>
    </w:rPr>
  </w:style>
  <w:style w:type="paragraph" w:styleId="Listeafsnit">
    <w:name w:val="List Paragraph"/>
    <w:basedOn w:val="Normal"/>
    <w:uiPriority w:val="1"/>
    <w:qFormat/>
    <w:rsid w:val="00586C74"/>
    <w:pPr>
      <w:numPr>
        <w:numId w:val="3"/>
      </w:numPr>
      <w:ind w:left="426" w:hanging="426"/>
      <w:contextualSpacing/>
    </w:pPr>
  </w:style>
  <w:style w:type="paragraph" w:customStyle="1" w:styleId="Underoverskrift">
    <w:name w:val="Underoverskrift"/>
    <w:basedOn w:val="Overskrift2"/>
    <w:next w:val="Normal"/>
    <w:qFormat/>
    <w:rsid w:val="00586C74"/>
    <w:pPr>
      <w:numPr>
        <w:numId w:val="6"/>
      </w:numPr>
    </w:pPr>
  </w:style>
  <w:style w:type="paragraph" w:customStyle="1" w:styleId="ListeTal">
    <w:name w:val="ListeTal"/>
    <w:basedOn w:val="Listeafsnit"/>
    <w:uiPriority w:val="1"/>
    <w:qFormat/>
    <w:rsid w:val="00586C74"/>
    <w:pPr>
      <w:numPr>
        <w:numId w:val="5"/>
      </w:numPr>
      <w:ind w:left="426" w:hanging="426"/>
    </w:pPr>
  </w:style>
  <w:style w:type="paragraph" w:customStyle="1" w:styleId="ListeBogstaver">
    <w:name w:val="ListeBogstaver"/>
    <w:basedOn w:val="Listeafsnit"/>
    <w:uiPriority w:val="1"/>
    <w:qFormat/>
    <w:rsid w:val="00586C74"/>
    <w:pPr>
      <w:numPr>
        <w:numId w:val="4"/>
      </w:numPr>
      <w:ind w:left="426" w:hanging="426"/>
    </w:pPr>
  </w:style>
  <w:style w:type="paragraph" w:styleId="Fodnotetekst">
    <w:name w:val="footnote text"/>
    <w:basedOn w:val="Normal"/>
    <w:link w:val="FodnotetekstTegn"/>
    <w:uiPriority w:val="2"/>
    <w:qFormat/>
    <w:rsid w:val="00E2456A"/>
    <w:pPr>
      <w:spacing w:line="360" w:lineRule="auto"/>
    </w:pPr>
    <w:rPr>
      <w:sz w:val="16"/>
    </w:rPr>
  </w:style>
  <w:style w:type="character" w:customStyle="1" w:styleId="FodnotetekstTegn">
    <w:name w:val="Fodnotetekst Tegn"/>
    <w:basedOn w:val="Standardskrifttypeiafsnit"/>
    <w:link w:val="Fodnotetekst"/>
    <w:uiPriority w:val="2"/>
    <w:rsid w:val="00E2456A"/>
    <w:rPr>
      <w:rFonts w:ascii="Arial" w:hAnsi="Arial"/>
      <w:sz w:val="16"/>
    </w:rPr>
  </w:style>
  <w:style w:type="character" w:styleId="Fodnotehenvisning">
    <w:name w:val="footnote reference"/>
    <w:basedOn w:val="Standardskrifttypeiafsnit"/>
    <w:uiPriority w:val="99"/>
    <w:semiHidden/>
    <w:unhideWhenUsed/>
    <w:rsid w:val="00E2456A"/>
    <w:rPr>
      <w:vertAlign w:val="superscript"/>
    </w:rPr>
  </w:style>
  <w:style w:type="character" w:customStyle="1" w:styleId="italic2">
    <w:name w:val="italic2"/>
    <w:basedOn w:val="Standardskrifttypeiafsnit"/>
    <w:rsid w:val="00B434CE"/>
  </w:style>
  <w:style w:type="character" w:customStyle="1" w:styleId="italic">
    <w:name w:val="italic"/>
    <w:basedOn w:val="Standardskrifttypeiafsnit"/>
    <w:rsid w:val="00BA7522"/>
  </w:style>
  <w:style w:type="paragraph" w:styleId="Kommentartekst">
    <w:name w:val="annotation text"/>
    <w:basedOn w:val="Normal"/>
    <w:link w:val="KommentartekstTegn"/>
    <w:unhideWhenUsed/>
    <w:rsid w:val="00F8665F"/>
    <w:pPr>
      <w:spacing w:line="240" w:lineRule="auto"/>
    </w:pPr>
    <w:rPr>
      <w:rFonts w:eastAsiaTheme="minorHAnsi" w:cstheme="minorBidi"/>
      <w:sz w:val="20"/>
      <w:lang w:eastAsia="en-US"/>
    </w:rPr>
  </w:style>
  <w:style w:type="character" w:customStyle="1" w:styleId="KommentartekstTegn">
    <w:name w:val="Kommentartekst Tegn"/>
    <w:basedOn w:val="Standardskrifttypeiafsnit"/>
    <w:link w:val="Kommentartekst"/>
    <w:rsid w:val="00F8665F"/>
    <w:rPr>
      <w:rFonts w:ascii="Arial" w:eastAsiaTheme="minorHAnsi" w:hAnsi="Arial" w:cstheme="minorBidi"/>
      <w:lang w:eastAsia="en-US"/>
    </w:rPr>
  </w:style>
  <w:style w:type="character" w:styleId="Kommentarhenvisning">
    <w:name w:val="annotation reference"/>
    <w:basedOn w:val="Standardskrifttypeiafsnit"/>
    <w:unhideWhenUsed/>
    <w:rsid w:val="004C0883"/>
    <w:rPr>
      <w:sz w:val="16"/>
      <w:szCs w:val="16"/>
    </w:rPr>
  </w:style>
  <w:style w:type="paragraph" w:styleId="Kommentaremne">
    <w:name w:val="annotation subject"/>
    <w:basedOn w:val="Kommentartekst"/>
    <w:next w:val="Kommentartekst"/>
    <w:link w:val="KommentaremneTegn"/>
    <w:uiPriority w:val="99"/>
    <w:semiHidden/>
    <w:unhideWhenUsed/>
    <w:rsid w:val="00145D5A"/>
    <w:rPr>
      <w:rFonts w:eastAsia="Times New Roman" w:cs="Times New Roman"/>
      <w:b/>
      <w:bCs/>
      <w:lang w:eastAsia="da-DK"/>
    </w:rPr>
  </w:style>
  <w:style w:type="character" w:customStyle="1" w:styleId="KommentaremneTegn">
    <w:name w:val="Kommentaremne Tegn"/>
    <w:basedOn w:val="KommentartekstTegn"/>
    <w:link w:val="Kommentaremne"/>
    <w:uiPriority w:val="99"/>
    <w:semiHidden/>
    <w:rsid w:val="00145D5A"/>
    <w:rPr>
      <w:rFonts w:ascii="Arial" w:eastAsiaTheme="minorHAnsi" w:hAnsi="Arial" w:cstheme="minorBidi"/>
      <w:b/>
      <w:bCs/>
      <w:lang w:eastAsia="en-US"/>
    </w:rPr>
  </w:style>
  <w:style w:type="paragraph" w:styleId="Opstilling-punkttegn">
    <w:name w:val="List Bullet"/>
    <w:basedOn w:val="Normal"/>
    <w:uiPriority w:val="99"/>
    <w:unhideWhenUsed/>
    <w:rsid w:val="00525206"/>
    <w:pPr>
      <w:numPr>
        <w:numId w:val="27"/>
      </w:numPr>
      <w:contextualSpacing/>
      <w:jc w:val="left"/>
    </w:pPr>
    <w:rPr>
      <w:rFonts w:ascii="Times New Roman" w:hAnsi="Times New Roman"/>
      <w:sz w:val="24"/>
    </w:rPr>
  </w:style>
  <w:style w:type="paragraph" w:styleId="Korrektur">
    <w:name w:val="Revision"/>
    <w:hidden/>
    <w:uiPriority w:val="99"/>
    <w:semiHidden/>
    <w:rsid w:val="00447533"/>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5679-9EA9-4EFA-84FC-D1161550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2022-12-15T12:45:00Z</dcterms:created>
  <dcterms:modified xsi:type="dcterms:W3CDTF">2022-12-15T12:45:00Z</dcterms:modified>
</cp:coreProperties>
</file>