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A83BD" w14:textId="64D26B43" w:rsidR="00F0531D" w:rsidRDefault="00F0531D" w:rsidP="00A456AA">
      <w:pPr>
        <w:jc w:val="center"/>
        <w:rPr>
          <w:rFonts w:eastAsia="Calibri" w:cs="Times New Roman"/>
          <w:b/>
          <w:szCs w:val="24"/>
        </w:rPr>
      </w:pPr>
      <w:r>
        <w:rPr>
          <w:rFonts w:eastAsia="Calibri" w:cs="Times New Roman"/>
          <w:b/>
          <w:szCs w:val="24"/>
        </w:rPr>
        <w:t>Forslag</w:t>
      </w:r>
    </w:p>
    <w:p w14:paraId="3A3CD6C2" w14:textId="77777777" w:rsidR="00F0531D" w:rsidRPr="002A6373" w:rsidRDefault="00F0531D" w:rsidP="00A456AA">
      <w:pPr>
        <w:jc w:val="center"/>
        <w:rPr>
          <w:rFonts w:eastAsia="Calibri" w:cs="Times New Roman"/>
          <w:b/>
          <w:szCs w:val="24"/>
        </w:rPr>
      </w:pPr>
      <w:r w:rsidRPr="002A6373">
        <w:rPr>
          <w:rFonts w:eastAsia="Calibri" w:cs="Times New Roman"/>
          <w:b/>
          <w:szCs w:val="24"/>
        </w:rPr>
        <w:t>til</w:t>
      </w:r>
    </w:p>
    <w:p w14:paraId="4B0795EF" w14:textId="2792B6E1" w:rsidR="00F0531D" w:rsidRDefault="00F0531D" w:rsidP="00A456AA">
      <w:pPr>
        <w:jc w:val="center"/>
        <w:rPr>
          <w:rFonts w:eastAsia="Calibri" w:cs="Times New Roman"/>
          <w:b/>
          <w:szCs w:val="24"/>
        </w:rPr>
      </w:pPr>
      <w:r w:rsidRPr="002A6373">
        <w:rPr>
          <w:rFonts w:eastAsia="Calibri" w:cs="Times New Roman"/>
          <w:b/>
          <w:szCs w:val="24"/>
        </w:rPr>
        <w:t>Lov om ændring af lov</w:t>
      </w:r>
      <w:r w:rsidR="00A56C05">
        <w:rPr>
          <w:rFonts w:eastAsia="Calibri" w:cs="Times New Roman"/>
          <w:b/>
          <w:szCs w:val="24"/>
        </w:rPr>
        <w:t xml:space="preserve"> for </w:t>
      </w:r>
      <w:r w:rsidR="00AF4868">
        <w:rPr>
          <w:rFonts w:eastAsia="Calibri" w:cs="Times New Roman"/>
          <w:b/>
          <w:szCs w:val="24"/>
        </w:rPr>
        <w:t>Grønland</w:t>
      </w:r>
      <w:r w:rsidRPr="002A6373">
        <w:rPr>
          <w:rFonts w:eastAsia="Calibri" w:cs="Times New Roman"/>
          <w:b/>
          <w:szCs w:val="24"/>
        </w:rPr>
        <w:t xml:space="preserve"> om </w:t>
      </w:r>
      <w:r w:rsidR="00A56C05">
        <w:rPr>
          <w:rFonts w:eastAsia="Calibri" w:cs="Times New Roman"/>
          <w:b/>
          <w:szCs w:val="24"/>
        </w:rPr>
        <w:t>kapitalkrav og tilsynsmæssige krav for kreditinstitutter og investeringsselskaber</w:t>
      </w:r>
    </w:p>
    <w:p w14:paraId="427E9042" w14:textId="77777777" w:rsidR="002012CB" w:rsidRPr="002A6373" w:rsidRDefault="002012CB" w:rsidP="00A456AA">
      <w:pPr>
        <w:jc w:val="center"/>
        <w:rPr>
          <w:rFonts w:eastAsia="Calibri" w:cs="Times New Roman"/>
          <w:b/>
          <w:szCs w:val="24"/>
        </w:rPr>
      </w:pPr>
    </w:p>
    <w:p w14:paraId="73013EA2" w14:textId="048BAE6D" w:rsidR="00DF178E" w:rsidRPr="00DF178E" w:rsidRDefault="00DF178E" w:rsidP="00DF178E">
      <w:pPr>
        <w:jc w:val="center"/>
        <w:rPr>
          <w:rFonts w:eastAsia="Calibri" w:cs="Times New Roman"/>
          <w:szCs w:val="24"/>
        </w:rPr>
      </w:pPr>
      <w:r w:rsidRPr="00DF178E">
        <w:rPr>
          <w:rFonts w:eastAsia="Calibri" w:cs="Times New Roman"/>
          <w:szCs w:val="24"/>
        </w:rPr>
        <w:t>(</w:t>
      </w:r>
      <w:r w:rsidR="00ED41FE">
        <w:rPr>
          <w:rFonts w:eastAsia="Calibri" w:cs="Times New Roman"/>
          <w:szCs w:val="24"/>
        </w:rPr>
        <w:t>G</w:t>
      </w:r>
      <w:r w:rsidRPr="00DF178E">
        <w:rPr>
          <w:rFonts w:eastAsia="Calibri" w:cs="Times New Roman"/>
          <w:szCs w:val="24"/>
        </w:rPr>
        <w:t>ennemfør</w:t>
      </w:r>
      <w:r w:rsidR="002012CB">
        <w:rPr>
          <w:rFonts w:eastAsia="Calibri" w:cs="Times New Roman"/>
          <w:szCs w:val="24"/>
        </w:rPr>
        <w:t>els</w:t>
      </w:r>
      <w:r w:rsidR="00AF6C7A">
        <w:rPr>
          <w:rFonts w:eastAsia="Calibri" w:cs="Times New Roman"/>
          <w:szCs w:val="24"/>
        </w:rPr>
        <w:t>e</w:t>
      </w:r>
      <w:r w:rsidRPr="00DF178E">
        <w:rPr>
          <w:rFonts w:eastAsia="Calibri" w:cs="Times New Roman"/>
          <w:szCs w:val="24"/>
        </w:rPr>
        <w:t xml:space="preserve"> </w:t>
      </w:r>
      <w:r w:rsidR="002012CB">
        <w:rPr>
          <w:rFonts w:eastAsia="Calibri" w:cs="Times New Roman"/>
          <w:szCs w:val="24"/>
        </w:rPr>
        <w:t xml:space="preserve">for Grønland </w:t>
      </w:r>
      <w:r w:rsidRPr="00DF178E">
        <w:rPr>
          <w:rFonts w:eastAsia="Calibri" w:cs="Times New Roman"/>
          <w:szCs w:val="24"/>
        </w:rPr>
        <w:t>af visse ændringsforordninger til forordning</w:t>
      </w:r>
    </w:p>
    <w:p w14:paraId="12823ED2" w14:textId="19C98F76" w:rsidR="00856C4E" w:rsidRDefault="00DF178E" w:rsidP="00537D37">
      <w:pPr>
        <w:spacing w:line="320" w:lineRule="exact"/>
        <w:ind w:left="851" w:hanging="851"/>
        <w:jc w:val="center"/>
        <w:outlineLvl w:val="0"/>
        <w:rPr>
          <w:rFonts w:eastAsia="Calibri" w:cs="Times New Roman"/>
          <w:szCs w:val="24"/>
        </w:rPr>
      </w:pPr>
      <w:r w:rsidRPr="00DF178E">
        <w:rPr>
          <w:rFonts w:eastAsia="Calibri" w:cs="Times New Roman"/>
          <w:szCs w:val="24"/>
        </w:rPr>
        <w:t>(EU) nr. 575/2013</w:t>
      </w:r>
      <w:r w:rsidR="0094572F">
        <w:rPr>
          <w:rFonts w:eastAsia="Calibri" w:cs="Times New Roman"/>
          <w:szCs w:val="24"/>
        </w:rPr>
        <w:t xml:space="preserve"> o</w:t>
      </w:r>
      <w:r w:rsidR="0094572F" w:rsidRPr="00EB3C84">
        <w:rPr>
          <w:rFonts w:eastAsia="Calibri" w:cs="Times New Roman"/>
          <w:bCs/>
          <w:szCs w:val="24"/>
        </w:rPr>
        <w:t>m tilsynsmæssige krav til kreditinstitutter og investeringsselskaber</w:t>
      </w:r>
      <w:r w:rsidRPr="00DF178E">
        <w:rPr>
          <w:rFonts w:eastAsia="Calibri" w:cs="Times New Roman"/>
          <w:szCs w:val="24"/>
        </w:rPr>
        <w:t>)</w:t>
      </w:r>
      <w:bookmarkStart w:id="0" w:name="_Toc40267892"/>
      <w:bookmarkStart w:id="1" w:name="_Toc49209175"/>
      <w:bookmarkStart w:id="2" w:name="_Toc49209409"/>
    </w:p>
    <w:p w14:paraId="7A86EC32" w14:textId="77777777" w:rsidR="00856C4E" w:rsidRDefault="00856C4E" w:rsidP="00537D37">
      <w:pPr>
        <w:spacing w:line="320" w:lineRule="exact"/>
        <w:ind w:left="851" w:hanging="851"/>
        <w:jc w:val="center"/>
        <w:outlineLvl w:val="0"/>
        <w:rPr>
          <w:rFonts w:eastAsia="Calibri" w:cs="Times New Roman"/>
          <w:szCs w:val="24"/>
        </w:rPr>
      </w:pPr>
    </w:p>
    <w:p w14:paraId="64359136" w14:textId="32BF9369" w:rsidR="00537D37" w:rsidRPr="00757F01" w:rsidRDefault="00537D37" w:rsidP="00537D37">
      <w:pPr>
        <w:spacing w:line="320" w:lineRule="exact"/>
        <w:ind w:left="851" w:hanging="851"/>
        <w:jc w:val="center"/>
        <w:outlineLvl w:val="0"/>
        <w:rPr>
          <w:b/>
        </w:rPr>
      </w:pPr>
      <w:r w:rsidRPr="00757F01">
        <w:rPr>
          <w:b/>
        </w:rPr>
        <w:t>§ 1</w:t>
      </w:r>
      <w:bookmarkEnd w:id="0"/>
      <w:bookmarkEnd w:id="1"/>
      <w:bookmarkEnd w:id="2"/>
    </w:p>
    <w:p w14:paraId="7610A01A" w14:textId="77777777" w:rsidR="00F0531D" w:rsidRPr="003B0B97" w:rsidRDefault="00F0531D" w:rsidP="00A456AA">
      <w:pPr>
        <w:jc w:val="center"/>
        <w:rPr>
          <w:rFonts w:eastAsia="Calibri" w:cs="Times New Roman"/>
          <w:szCs w:val="24"/>
        </w:rPr>
      </w:pPr>
    </w:p>
    <w:p w14:paraId="76DAFD54" w14:textId="0F90111C" w:rsidR="00F0531D" w:rsidRPr="003B0B97" w:rsidRDefault="00F0531D" w:rsidP="00A456AA">
      <w:pPr>
        <w:rPr>
          <w:rFonts w:eastAsia="Calibri" w:cs="Times New Roman"/>
          <w:szCs w:val="24"/>
        </w:rPr>
      </w:pPr>
      <w:r w:rsidRPr="003B0B97">
        <w:rPr>
          <w:rFonts w:eastAsia="Calibri" w:cs="Times New Roman"/>
          <w:szCs w:val="24"/>
        </w:rPr>
        <w:t>I lov</w:t>
      </w:r>
      <w:r>
        <w:rPr>
          <w:rFonts w:eastAsia="Calibri" w:cs="Times New Roman"/>
          <w:szCs w:val="24"/>
        </w:rPr>
        <w:t xml:space="preserve"> </w:t>
      </w:r>
      <w:r w:rsidR="00A56C05">
        <w:rPr>
          <w:rFonts w:eastAsia="Calibri" w:cs="Times New Roman"/>
          <w:szCs w:val="24"/>
        </w:rPr>
        <w:t xml:space="preserve">for </w:t>
      </w:r>
      <w:r w:rsidR="00AF4868">
        <w:rPr>
          <w:rFonts w:eastAsia="Calibri" w:cs="Times New Roman"/>
          <w:szCs w:val="24"/>
        </w:rPr>
        <w:t>Grønland</w:t>
      </w:r>
      <w:r w:rsidR="00A56C05">
        <w:rPr>
          <w:rFonts w:eastAsia="Calibri" w:cs="Times New Roman"/>
          <w:szCs w:val="24"/>
        </w:rPr>
        <w:t xml:space="preserve"> nr. </w:t>
      </w:r>
      <w:r w:rsidR="00AF4868">
        <w:rPr>
          <w:rFonts w:eastAsia="Calibri" w:cs="Times New Roman"/>
          <w:szCs w:val="24"/>
        </w:rPr>
        <w:t>15</w:t>
      </w:r>
      <w:r w:rsidR="002012CB">
        <w:rPr>
          <w:rFonts w:eastAsia="Calibri" w:cs="Times New Roman"/>
          <w:szCs w:val="24"/>
        </w:rPr>
        <w:t>6</w:t>
      </w:r>
      <w:r w:rsidR="00AF4868">
        <w:rPr>
          <w:rFonts w:eastAsia="Calibri" w:cs="Times New Roman"/>
          <w:szCs w:val="24"/>
        </w:rPr>
        <w:t xml:space="preserve">6 </w:t>
      </w:r>
      <w:r w:rsidR="00E56CBE">
        <w:rPr>
          <w:rFonts w:eastAsia="Calibri" w:cs="Times New Roman"/>
          <w:szCs w:val="24"/>
        </w:rPr>
        <w:t>af 1</w:t>
      </w:r>
      <w:r w:rsidR="00AF4868">
        <w:rPr>
          <w:rFonts w:eastAsia="Calibri" w:cs="Times New Roman"/>
          <w:szCs w:val="24"/>
        </w:rPr>
        <w:t>5</w:t>
      </w:r>
      <w:r w:rsidR="00E56CBE">
        <w:rPr>
          <w:rFonts w:eastAsia="Calibri" w:cs="Times New Roman"/>
          <w:szCs w:val="24"/>
        </w:rPr>
        <w:t xml:space="preserve">. </w:t>
      </w:r>
      <w:r w:rsidR="00AF4868">
        <w:rPr>
          <w:rFonts w:eastAsia="Calibri" w:cs="Times New Roman"/>
          <w:szCs w:val="24"/>
        </w:rPr>
        <w:t>december</w:t>
      </w:r>
      <w:r w:rsidR="00E56CBE">
        <w:rPr>
          <w:rFonts w:eastAsia="Calibri" w:cs="Times New Roman"/>
          <w:szCs w:val="24"/>
        </w:rPr>
        <w:t xml:space="preserve"> 2015 </w:t>
      </w:r>
      <w:r w:rsidR="003F2926">
        <w:rPr>
          <w:rFonts w:eastAsia="Calibri" w:cs="Times New Roman"/>
          <w:szCs w:val="24"/>
        </w:rPr>
        <w:t>om</w:t>
      </w:r>
      <w:r w:rsidR="00A56C05" w:rsidRPr="00A56C05">
        <w:rPr>
          <w:rFonts w:eastAsia="Calibri" w:cs="Times New Roman"/>
          <w:szCs w:val="24"/>
        </w:rPr>
        <w:t xml:space="preserve"> kapitalkrav og tilsynsmæssige k</w:t>
      </w:r>
      <w:r w:rsidR="00A56C05">
        <w:rPr>
          <w:rFonts w:eastAsia="Calibri" w:cs="Times New Roman"/>
          <w:szCs w:val="24"/>
        </w:rPr>
        <w:t>rav for kreditinstitutter og in</w:t>
      </w:r>
      <w:r w:rsidR="00A56C05" w:rsidRPr="00A56C05">
        <w:rPr>
          <w:rFonts w:eastAsia="Calibri" w:cs="Times New Roman"/>
          <w:szCs w:val="24"/>
        </w:rPr>
        <w:t xml:space="preserve">vesteringsselskaber </w:t>
      </w:r>
      <w:r w:rsidRPr="003B0B97">
        <w:rPr>
          <w:rFonts w:eastAsia="Calibri" w:cs="Times New Roman"/>
          <w:szCs w:val="24"/>
        </w:rPr>
        <w:t>foretages følgende ændring</w:t>
      </w:r>
      <w:r>
        <w:rPr>
          <w:rFonts w:eastAsia="Calibri" w:cs="Times New Roman"/>
          <w:szCs w:val="24"/>
        </w:rPr>
        <w:t>er</w:t>
      </w:r>
      <w:r w:rsidRPr="003B0B97">
        <w:rPr>
          <w:rFonts w:eastAsia="Calibri" w:cs="Times New Roman"/>
          <w:szCs w:val="24"/>
        </w:rPr>
        <w:t>:</w:t>
      </w:r>
    </w:p>
    <w:p w14:paraId="4A357155" w14:textId="77777777" w:rsidR="00F0531D" w:rsidRPr="003B0B97" w:rsidRDefault="00F0531D" w:rsidP="00A456AA">
      <w:pPr>
        <w:rPr>
          <w:rFonts w:eastAsia="Calibri" w:cs="Times New Roman"/>
          <w:szCs w:val="24"/>
        </w:rPr>
      </w:pPr>
    </w:p>
    <w:p w14:paraId="7F49A06B" w14:textId="77777777" w:rsidR="00367237" w:rsidRPr="00367237" w:rsidRDefault="00367237" w:rsidP="00367237">
      <w:pPr>
        <w:pStyle w:val="Listeafsnit"/>
        <w:numPr>
          <w:ilvl w:val="0"/>
          <w:numId w:val="6"/>
        </w:numPr>
        <w:ind w:left="426" w:hanging="426"/>
        <w:rPr>
          <w:rFonts w:ascii="Times New Roman" w:hAnsi="Times New Roman" w:cs="Times New Roman"/>
          <w:sz w:val="24"/>
          <w:szCs w:val="24"/>
        </w:rPr>
      </w:pPr>
      <w:r w:rsidRPr="00C41F47">
        <w:rPr>
          <w:rFonts w:ascii="Times New Roman" w:eastAsia="Calibri" w:hAnsi="Times New Roman" w:cs="Times New Roman"/>
          <w:i/>
          <w:sz w:val="24"/>
          <w:szCs w:val="24"/>
        </w:rPr>
        <w:t>§ 1</w:t>
      </w:r>
      <w:r>
        <w:rPr>
          <w:rFonts w:ascii="Times New Roman" w:eastAsia="Calibri" w:hAnsi="Times New Roman" w:cs="Times New Roman"/>
          <w:sz w:val="24"/>
          <w:szCs w:val="24"/>
        </w:rPr>
        <w:t xml:space="preserve"> affattes således:</w:t>
      </w:r>
    </w:p>
    <w:p w14:paraId="469C2135" w14:textId="451A1B5F" w:rsidR="00367237" w:rsidRDefault="00367237" w:rsidP="00367237">
      <w:pPr>
        <w:rPr>
          <w:rFonts w:cs="Times New Roman"/>
          <w:szCs w:val="24"/>
        </w:rPr>
      </w:pPr>
      <w:r>
        <w:rPr>
          <w:rFonts w:cs="Times New Roman"/>
          <w:b/>
          <w:szCs w:val="24"/>
        </w:rPr>
        <w:t xml:space="preserve">»§ 1. </w:t>
      </w:r>
      <w:r>
        <w:rPr>
          <w:rFonts w:cs="Times New Roman"/>
          <w:szCs w:val="24"/>
        </w:rPr>
        <w:t xml:space="preserve">Bestemmelserne i følgende forordninger gælder for </w:t>
      </w:r>
      <w:r w:rsidR="00AF4868">
        <w:rPr>
          <w:rFonts w:cs="Times New Roman"/>
          <w:szCs w:val="24"/>
        </w:rPr>
        <w:t>Grønland</w:t>
      </w:r>
      <w:r>
        <w:rPr>
          <w:rFonts w:cs="Times New Roman"/>
          <w:szCs w:val="24"/>
        </w:rPr>
        <w:t>:</w:t>
      </w:r>
    </w:p>
    <w:p w14:paraId="6EB2BD4D" w14:textId="77777777" w:rsidR="00367237" w:rsidRDefault="00367237" w:rsidP="00367237">
      <w:pPr>
        <w:rPr>
          <w:rFonts w:cs="Times New Roman"/>
          <w:szCs w:val="24"/>
        </w:rPr>
      </w:pPr>
      <w:r>
        <w:rPr>
          <w:rFonts w:cs="Times New Roman"/>
          <w:szCs w:val="24"/>
        </w:rPr>
        <w:t>1) Europa-Parlamentets og Rådes forordning 2013</w:t>
      </w:r>
      <w:r w:rsidR="00573DB1">
        <w:rPr>
          <w:rFonts w:cs="Times New Roman"/>
          <w:szCs w:val="24"/>
        </w:rPr>
        <w:t>/575/EU</w:t>
      </w:r>
      <w:r w:rsidR="00D64B0D">
        <w:rPr>
          <w:rFonts w:cs="Times New Roman"/>
          <w:szCs w:val="24"/>
        </w:rPr>
        <w:t xml:space="preserve"> af 26. juni 2013</w:t>
      </w:r>
      <w:r>
        <w:rPr>
          <w:rFonts w:cs="Times New Roman"/>
          <w:szCs w:val="24"/>
        </w:rPr>
        <w:t xml:space="preserve"> om tilsynsmæssige krav </w:t>
      </w:r>
      <w:r w:rsidR="00DB5856">
        <w:rPr>
          <w:rFonts w:cs="Times New Roman"/>
          <w:szCs w:val="24"/>
        </w:rPr>
        <w:t>til kreditinstitutter og investeringsselskaber, jf. bilag 1.</w:t>
      </w:r>
    </w:p>
    <w:p w14:paraId="5A152503" w14:textId="6CBC40DC" w:rsidR="00DB5856" w:rsidRDefault="00DB5856" w:rsidP="00367237">
      <w:pPr>
        <w:rPr>
          <w:rFonts w:eastAsia="Calibri" w:cs="Times New Roman"/>
          <w:szCs w:val="24"/>
        </w:rPr>
      </w:pPr>
      <w:r>
        <w:rPr>
          <w:rFonts w:cs="Times New Roman"/>
          <w:szCs w:val="24"/>
        </w:rPr>
        <w:t xml:space="preserve">2) </w:t>
      </w:r>
      <w:r w:rsidRPr="00606432">
        <w:rPr>
          <w:rFonts w:eastAsia="Calibri" w:cs="Times New Roman"/>
          <w:szCs w:val="24"/>
        </w:rPr>
        <w:t>Europa-Parlamentets og Rådets forordning 2019/876</w:t>
      </w:r>
      <w:r w:rsidR="00573DB1">
        <w:rPr>
          <w:rFonts w:eastAsia="Calibri" w:cs="Times New Roman"/>
          <w:szCs w:val="24"/>
        </w:rPr>
        <w:t>/EU</w:t>
      </w:r>
      <w:r w:rsidRPr="00606432">
        <w:rPr>
          <w:rFonts w:eastAsia="Calibri" w:cs="Times New Roman"/>
          <w:szCs w:val="24"/>
        </w:rPr>
        <w:t xml:space="preserve"> </w:t>
      </w:r>
      <w:r w:rsidR="009B40E1">
        <w:rPr>
          <w:rFonts w:eastAsia="Calibri" w:cs="Times New Roman"/>
          <w:szCs w:val="24"/>
        </w:rPr>
        <w:t xml:space="preserve">af 20. maj 2019 </w:t>
      </w:r>
      <w:r w:rsidRPr="00606432">
        <w:rPr>
          <w:rFonts w:eastAsia="Calibri" w:cs="Times New Roman"/>
          <w:szCs w:val="24"/>
        </w:rPr>
        <w:t>om ændring af forordning 2013</w:t>
      </w:r>
      <w:r w:rsidR="00573DB1">
        <w:rPr>
          <w:rFonts w:eastAsia="Calibri" w:cs="Times New Roman"/>
          <w:szCs w:val="24"/>
        </w:rPr>
        <w:t>/575/EU</w:t>
      </w:r>
      <w:r w:rsidRPr="00606432">
        <w:rPr>
          <w:rFonts w:eastAsia="Calibri" w:cs="Times New Roman"/>
          <w:szCs w:val="24"/>
        </w:rPr>
        <w:t xml:space="preserve"> for så vidt angår gearingsgrad, net </w:t>
      </w:r>
      <w:proofErr w:type="gramStart"/>
      <w:r w:rsidRPr="00606432">
        <w:rPr>
          <w:rFonts w:eastAsia="Calibri" w:cs="Times New Roman"/>
          <w:szCs w:val="24"/>
        </w:rPr>
        <w:t>stable</w:t>
      </w:r>
      <w:proofErr w:type="gramEnd"/>
      <w:r w:rsidRPr="00606432">
        <w:rPr>
          <w:rFonts w:eastAsia="Calibri" w:cs="Times New Roman"/>
          <w:szCs w:val="24"/>
        </w:rPr>
        <w:t xml:space="preserve"> </w:t>
      </w:r>
      <w:proofErr w:type="spellStart"/>
      <w:r w:rsidRPr="00606432">
        <w:rPr>
          <w:rFonts w:eastAsia="Calibri" w:cs="Times New Roman"/>
          <w:szCs w:val="24"/>
        </w:rPr>
        <w:t>funding</w:t>
      </w:r>
      <w:proofErr w:type="spellEnd"/>
      <w:r w:rsidRPr="00606432">
        <w:rPr>
          <w:rFonts w:eastAsia="Calibri" w:cs="Times New Roman"/>
          <w:szCs w:val="24"/>
        </w:rPr>
        <w:t xml:space="preserve"> ratio, krav til kapitalgrundlag og nedskrivningsrelevante passiver, modpartskreditrisiko, markedsrisiko, eksponeringer mod centrale modparter, eksponeringer mod kollektive investeringsordninger, store eksponeringer og indberetnings- og oplysningskrav</w:t>
      </w:r>
      <w:r w:rsidR="002012CB">
        <w:rPr>
          <w:rFonts w:eastAsia="Calibri" w:cs="Times New Roman"/>
          <w:szCs w:val="24"/>
        </w:rPr>
        <w:t>,</w:t>
      </w:r>
      <w:r w:rsidRPr="00606432">
        <w:rPr>
          <w:rFonts w:eastAsia="Calibri" w:cs="Times New Roman"/>
          <w:szCs w:val="24"/>
        </w:rPr>
        <w:t xml:space="preserve"> og forordning 2012</w:t>
      </w:r>
      <w:r w:rsidR="00573DB1">
        <w:rPr>
          <w:rFonts w:eastAsia="Calibri" w:cs="Times New Roman"/>
          <w:szCs w:val="24"/>
        </w:rPr>
        <w:t>/648/EU</w:t>
      </w:r>
      <w:r>
        <w:rPr>
          <w:rFonts w:eastAsia="Calibri" w:cs="Times New Roman"/>
          <w:szCs w:val="24"/>
        </w:rPr>
        <w:t>, jf. bilag 2.</w:t>
      </w:r>
    </w:p>
    <w:p w14:paraId="7839CF9C" w14:textId="77777777" w:rsidR="009000C7" w:rsidRDefault="00DB5856" w:rsidP="00367237">
      <w:pPr>
        <w:rPr>
          <w:rFonts w:eastAsia="Calibri" w:cs="Times New Roman"/>
          <w:szCs w:val="24"/>
        </w:rPr>
      </w:pPr>
      <w:r>
        <w:rPr>
          <w:rFonts w:eastAsia="Calibri" w:cs="Times New Roman"/>
          <w:szCs w:val="24"/>
        </w:rPr>
        <w:t xml:space="preserve">3) </w:t>
      </w:r>
      <w:r w:rsidR="009000C7" w:rsidRPr="009000C7">
        <w:rPr>
          <w:rFonts w:eastAsia="Calibri" w:cs="Times New Roman"/>
          <w:szCs w:val="24"/>
        </w:rPr>
        <w:t>Europa-Parlame</w:t>
      </w:r>
      <w:r w:rsidR="009000C7">
        <w:rPr>
          <w:rFonts w:eastAsia="Calibri" w:cs="Times New Roman"/>
          <w:szCs w:val="24"/>
        </w:rPr>
        <w:t xml:space="preserve">ntets og Rådets forordning </w:t>
      </w:r>
      <w:r w:rsidR="009000C7" w:rsidRPr="009000C7">
        <w:rPr>
          <w:rFonts w:eastAsia="Calibri" w:cs="Times New Roman"/>
          <w:szCs w:val="24"/>
        </w:rPr>
        <w:t>2019/630</w:t>
      </w:r>
      <w:r w:rsidR="009000C7">
        <w:rPr>
          <w:rFonts w:eastAsia="Calibri" w:cs="Times New Roman"/>
          <w:szCs w:val="24"/>
        </w:rPr>
        <w:t>/EU</w:t>
      </w:r>
      <w:r w:rsidR="009000C7" w:rsidRPr="009000C7">
        <w:rPr>
          <w:rFonts w:eastAsia="Calibri" w:cs="Times New Roman"/>
          <w:szCs w:val="24"/>
        </w:rPr>
        <w:t xml:space="preserve"> af 17. april 2019 om ændring af forordning (EU) nr. 575/2013, for så vidt angår krav til minimumsdækning af tab for misligholdte eksponeringer</w:t>
      </w:r>
      <w:r w:rsidR="006252E4">
        <w:rPr>
          <w:rFonts w:eastAsia="Calibri" w:cs="Times New Roman"/>
          <w:szCs w:val="24"/>
        </w:rPr>
        <w:t>, jf. bilag 3</w:t>
      </w:r>
      <w:r w:rsidR="009000C7">
        <w:rPr>
          <w:rFonts w:eastAsia="Calibri" w:cs="Times New Roman"/>
          <w:szCs w:val="24"/>
        </w:rPr>
        <w:t>.</w:t>
      </w:r>
    </w:p>
    <w:p w14:paraId="5CDE869C" w14:textId="6EE8E945" w:rsidR="00D51241" w:rsidRDefault="009000C7" w:rsidP="00367237">
      <w:pPr>
        <w:rPr>
          <w:rFonts w:eastAsia="Calibri" w:cs="Times New Roman"/>
          <w:szCs w:val="24"/>
        </w:rPr>
      </w:pPr>
      <w:r>
        <w:rPr>
          <w:rFonts w:eastAsia="Calibri" w:cs="Times New Roman"/>
          <w:szCs w:val="24"/>
        </w:rPr>
        <w:lastRenderedPageBreak/>
        <w:t xml:space="preserve">4) </w:t>
      </w:r>
      <w:r w:rsidR="00DB5856" w:rsidRPr="00DB5856">
        <w:rPr>
          <w:rFonts w:eastAsia="Calibri" w:cs="Times New Roman"/>
          <w:szCs w:val="24"/>
        </w:rPr>
        <w:t>Europa-Parlamentets og Rådets forordning</w:t>
      </w:r>
      <w:r w:rsidR="002012CB">
        <w:rPr>
          <w:rFonts w:eastAsia="Calibri" w:cs="Times New Roman"/>
          <w:szCs w:val="24"/>
        </w:rPr>
        <w:t xml:space="preserve"> </w:t>
      </w:r>
      <w:r w:rsidR="00DB5856" w:rsidRPr="00DB5856">
        <w:rPr>
          <w:rFonts w:eastAsia="Calibri" w:cs="Times New Roman"/>
          <w:szCs w:val="24"/>
        </w:rPr>
        <w:t>2020/873</w:t>
      </w:r>
      <w:r w:rsidR="00573DB1">
        <w:rPr>
          <w:rFonts w:eastAsia="Calibri" w:cs="Times New Roman"/>
          <w:szCs w:val="24"/>
        </w:rPr>
        <w:t>/EU</w:t>
      </w:r>
      <w:r w:rsidR="00DB5856" w:rsidRPr="00DB5856">
        <w:rPr>
          <w:rFonts w:eastAsia="Calibri" w:cs="Times New Roman"/>
          <w:szCs w:val="24"/>
        </w:rPr>
        <w:t xml:space="preserve"> </w:t>
      </w:r>
      <w:r w:rsidR="009B40E1">
        <w:rPr>
          <w:rFonts w:eastAsia="Calibri" w:cs="Times New Roman"/>
          <w:szCs w:val="24"/>
        </w:rPr>
        <w:t xml:space="preserve">af 24. juni 2020 </w:t>
      </w:r>
      <w:r w:rsidR="00DB5856" w:rsidRPr="00DB5856">
        <w:rPr>
          <w:rFonts w:eastAsia="Calibri" w:cs="Times New Roman"/>
          <w:szCs w:val="24"/>
        </w:rPr>
        <w:t>om ændring af forordning 2013</w:t>
      </w:r>
      <w:r w:rsidR="00573DB1">
        <w:rPr>
          <w:rFonts w:eastAsia="Calibri" w:cs="Times New Roman"/>
          <w:szCs w:val="24"/>
        </w:rPr>
        <w:t>/575/EU</w:t>
      </w:r>
      <w:r w:rsidR="00DB5856" w:rsidRPr="00DB5856">
        <w:rPr>
          <w:rFonts w:eastAsia="Calibri" w:cs="Times New Roman"/>
          <w:szCs w:val="24"/>
        </w:rPr>
        <w:t xml:space="preserve"> og 2019/876</w:t>
      </w:r>
      <w:r w:rsidR="00573DB1">
        <w:rPr>
          <w:rFonts w:eastAsia="Calibri" w:cs="Times New Roman"/>
          <w:szCs w:val="24"/>
        </w:rPr>
        <w:t>/EU</w:t>
      </w:r>
      <w:r w:rsidR="00DB5856" w:rsidRPr="00DB5856">
        <w:rPr>
          <w:rFonts w:eastAsia="Calibri" w:cs="Times New Roman"/>
          <w:szCs w:val="24"/>
        </w:rPr>
        <w:t xml:space="preserve"> for så vidt angår visse justeringer som reaktion på covid-19-pandemien</w:t>
      </w:r>
      <w:r w:rsidR="006252E4">
        <w:rPr>
          <w:rFonts w:eastAsia="Calibri" w:cs="Times New Roman"/>
          <w:szCs w:val="24"/>
        </w:rPr>
        <w:t>, jf. bilag 4</w:t>
      </w:r>
      <w:r w:rsidR="00D51241">
        <w:rPr>
          <w:rFonts w:eastAsia="Calibri" w:cs="Times New Roman"/>
          <w:szCs w:val="24"/>
        </w:rPr>
        <w:t>.«</w:t>
      </w:r>
    </w:p>
    <w:p w14:paraId="5FDF0116" w14:textId="77777777" w:rsidR="00D51241" w:rsidRDefault="00D51241" w:rsidP="00367237">
      <w:pPr>
        <w:rPr>
          <w:rFonts w:eastAsia="Calibri" w:cs="Times New Roman"/>
          <w:szCs w:val="24"/>
        </w:rPr>
      </w:pPr>
    </w:p>
    <w:p w14:paraId="093990D9" w14:textId="70CF9A1A" w:rsidR="00E23A86" w:rsidRDefault="00D51241" w:rsidP="00367237">
      <w:pPr>
        <w:rPr>
          <w:rFonts w:eastAsia="Calibri" w:cs="Times New Roman"/>
          <w:szCs w:val="24"/>
        </w:rPr>
      </w:pPr>
      <w:r w:rsidRPr="00D51241">
        <w:rPr>
          <w:rFonts w:eastAsia="Calibri" w:cs="Times New Roman"/>
          <w:b/>
          <w:szCs w:val="24"/>
        </w:rPr>
        <w:t>2.</w:t>
      </w:r>
      <w:r>
        <w:rPr>
          <w:rFonts w:eastAsia="Calibri" w:cs="Times New Roman"/>
          <w:b/>
          <w:szCs w:val="24"/>
        </w:rPr>
        <w:t xml:space="preserve"> </w:t>
      </w:r>
      <w:r w:rsidR="00E23A86">
        <w:rPr>
          <w:rFonts w:eastAsia="Calibri" w:cs="Times New Roman"/>
          <w:szCs w:val="24"/>
        </w:rPr>
        <w:t xml:space="preserve">I </w:t>
      </w:r>
      <w:r w:rsidR="00E23A86" w:rsidRPr="00AF4868">
        <w:rPr>
          <w:rFonts w:eastAsia="Calibri" w:cs="Times New Roman"/>
          <w:i/>
          <w:szCs w:val="24"/>
        </w:rPr>
        <w:t xml:space="preserve">§§ 2 </w:t>
      </w:r>
      <w:r w:rsidR="00E23A86" w:rsidRPr="00A6043D">
        <w:rPr>
          <w:rFonts w:eastAsia="Calibri" w:cs="Times New Roman"/>
          <w:szCs w:val="24"/>
        </w:rPr>
        <w:t>og</w:t>
      </w:r>
      <w:r w:rsidR="00E23A86" w:rsidRPr="00AF4868">
        <w:rPr>
          <w:rFonts w:eastAsia="Calibri" w:cs="Times New Roman"/>
          <w:i/>
          <w:szCs w:val="24"/>
        </w:rPr>
        <w:t xml:space="preserve"> 3</w:t>
      </w:r>
      <w:r w:rsidR="00E23A86">
        <w:rPr>
          <w:rFonts w:eastAsia="Calibri" w:cs="Times New Roman"/>
          <w:szCs w:val="24"/>
        </w:rPr>
        <w:t xml:space="preserve"> ændres </w:t>
      </w:r>
      <w:r w:rsidR="00E23A86" w:rsidRPr="00AF4868">
        <w:rPr>
          <w:rFonts w:cs="Times New Roman"/>
          <w:szCs w:val="24"/>
        </w:rPr>
        <w:t>»</w:t>
      </w:r>
      <w:r w:rsidR="00E23A86">
        <w:rPr>
          <w:rFonts w:eastAsia="Calibri" w:cs="Times New Roman"/>
          <w:szCs w:val="24"/>
        </w:rPr>
        <w:t>forordningen« til</w:t>
      </w:r>
      <w:r w:rsidR="002012CB">
        <w:rPr>
          <w:rFonts w:eastAsia="Calibri" w:cs="Times New Roman"/>
          <w:szCs w:val="24"/>
        </w:rPr>
        <w:t>:</w:t>
      </w:r>
      <w:r w:rsidR="00E23A86">
        <w:rPr>
          <w:rFonts w:eastAsia="Calibri" w:cs="Times New Roman"/>
          <w:szCs w:val="24"/>
        </w:rPr>
        <w:t xml:space="preserve"> </w:t>
      </w:r>
      <w:r w:rsidR="00E23A86" w:rsidRPr="00374D6B">
        <w:rPr>
          <w:rFonts w:cs="Times New Roman"/>
          <w:szCs w:val="24"/>
        </w:rPr>
        <w:t>»</w:t>
      </w:r>
      <w:r w:rsidR="00E23A86">
        <w:rPr>
          <w:rFonts w:eastAsia="Calibri" w:cs="Times New Roman"/>
          <w:szCs w:val="24"/>
        </w:rPr>
        <w:t>forordningerne«</w:t>
      </w:r>
      <w:r w:rsidR="002012CB">
        <w:rPr>
          <w:rFonts w:eastAsia="Calibri" w:cs="Times New Roman"/>
          <w:szCs w:val="24"/>
        </w:rPr>
        <w:t>.</w:t>
      </w:r>
    </w:p>
    <w:p w14:paraId="00767EDF" w14:textId="77777777" w:rsidR="009F1AB0" w:rsidRPr="00AF4868" w:rsidRDefault="009F1AB0" w:rsidP="00367237">
      <w:pPr>
        <w:rPr>
          <w:rFonts w:eastAsia="Calibri" w:cs="Times New Roman"/>
          <w:szCs w:val="24"/>
        </w:rPr>
      </w:pPr>
    </w:p>
    <w:p w14:paraId="5CEDE0AA" w14:textId="77777777" w:rsidR="00D51241" w:rsidRPr="00D1602C" w:rsidRDefault="00E23A86" w:rsidP="00367237">
      <w:r>
        <w:rPr>
          <w:rFonts w:eastAsia="Calibri" w:cs="Times New Roman"/>
          <w:b/>
          <w:szCs w:val="24"/>
        </w:rPr>
        <w:t xml:space="preserve">3. </w:t>
      </w:r>
      <w:r w:rsidR="00D51241" w:rsidRPr="00D1602C">
        <w:t xml:space="preserve">Som </w:t>
      </w:r>
      <w:r w:rsidR="00D51241" w:rsidRPr="00A6043D">
        <w:rPr>
          <w:i/>
        </w:rPr>
        <w:t>bilag</w:t>
      </w:r>
      <w:r w:rsidR="00D51241" w:rsidRPr="00D1602C">
        <w:t xml:space="preserve"> </w:t>
      </w:r>
      <w:r w:rsidR="00D51241" w:rsidRPr="00D1602C">
        <w:rPr>
          <w:i/>
        </w:rPr>
        <w:t>2</w:t>
      </w:r>
      <w:r w:rsidR="009000C7">
        <w:t>-</w:t>
      </w:r>
      <w:r w:rsidR="009000C7">
        <w:rPr>
          <w:i/>
        </w:rPr>
        <w:t>4</w:t>
      </w:r>
      <w:r w:rsidR="009000C7">
        <w:t xml:space="preserve"> </w:t>
      </w:r>
      <w:r w:rsidR="00D51241" w:rsidRPr="00D1602C">
        <w:t>indsættes bilag 1</w:t>
      </w:r>
      <w:r w:rsidR="009000C7">
        <w:t>-3</w:t>
      </w:r>
      <w:r w:rsidR="00D51241" w:rsidRPr="00D1602C">
        <w:t xml:space="preserve"> til denne lov.</w:t>
      </w:r>
    </w:p>
    <w:p w14:paraId="2CD0C7AE" w14:textId="77777777" w:rsidR="00D51241" w:rsidRDefault="00D51241" w:rsidP="00367237">
      <w:pPr>
        <w:rPr>
          <w:sz w:val="23"/>
          <w:szCs w:val="23"/>
        </w:rPr>
      </w:pPr>
    </w:p>
    <w:p w14:paraId="60892F0F" w14:textId="77777777" w:rsidR="00537D37" w:rsidRPr="00757F01" w:rsidRDefault="00537D37" w:rsidP="00537D37">
      <w:pPr>
        <w:spacing w:line="320" w:lineRule="exact"/>
        <w:ind w:left="851" w:hanging="851"/>
        <w:jc w:val="center"/>
        <w:outlineLvl w:val="0"/>
        <w:rPr>
          <w:b/>
        </w:rPr>
      </w:pPr>
      <w:r>
        <w:rPr>
          <w:b/>
        </w:rPr>
        <w:t>§</w:t>
      </w:r>
      <w:r w:rsidR="00573DB1">
        <w:rPr>
          <w:b/>
        </w:rPr>
        <w:t xml:space="preserve"> </w:t>
      </w:r>
      <w:r w:rsidR="00A45AF9">
        <w:rPr>
          <w:b/>
        </w:rPr>
        <w:t>2</w:t>
      </w:r>
    </w:p>
    <w:p w14:paraId="09DF2BEB" w14:textId="77777777" w:rsidR="00A45AF9" w:rsidRDefault="00A45AF9" w:rsidP="00A45AF9">
      <w:pPr>
        <w:rPr>
          <w:rFonts w:eastAsia="Calibri" w:cs="Times New Roman"/>
          <w:szCs w:val="24"/>
        </w:rPr>
      </w:pPr>
    </w:p>
    <w:p w14:paraId="51A48533" w14:textId="77777777" w:rsidR="00A45AF9" w:rsidRPr="003B0B97" w:rsidRDefault="00A45AF9" w:rsidP="00A45AF9">
      <w:pPr>
        <w:rPr>
          <w:rFonts w:eastAsia="Calibri" w:cs="Times New Roman"/>
          <w:szCs w:val="24"/>
        </w:rPr>
      </w:pPr>
      <w:r>
        <w:rPr>
          <w:rFonts w:eastAsia="Calibri" w:cs="Times New Roman"/>
          <w:szCs w:val="24"/>
        </w:rPr>
        <w:t>Erhvervsministeren fastsætter tidspunktet for lovens ikrafttræden.</w:t>
      </w:r>
    </w:p>
    <w:p w14:paraId="2F96E386" w14:textId="77777777" w:rsidR="001567B9" w:rsidRDefault="001567B9">
      <w:pPr>
        <w:spacing w:after="200" w:line="276" w:lineRule="auto"/>
        <w:jc w:val="left"/>
        <w:rPr>
          <w:rFonts w:eastAsia="Calibri" w:cs="Times New Roman"/>
          <w:i/>
          <w:szCs w:val="24"/>
        </w:rPr>
      </w:pPr>
      <w:r>
        <w:rPr>
          <w:rFonts w:eastAsia="Calibri" w:cs="Times New Roman"/>
          <w:i/>
          <w:szCs w:val="24"/>
        </w:rPr>
        <w:br w:type="page"/>
      </w:r>
    </w:p>
    <w:p w14:paraId="4AA35808" w14:textId="77777777" w:rsidR="00F0531D" w:rsidRPr="003B0B97" w:rsidRDefault="00F0531D" w:rsidP="00A456AA">
      <w:pPr>
        <w:jc w:val="center"/>
        <w:rPr>
          <w:rFonts w:eastAsia="Calibri" w:cs="Times New Roman"/>
          <w:i/>
          <w:szCs w:val="24"/>
        </w:rPr>
      </w:pPr>
      <w:r w:rsidRPr="003B0B97">
        <w:rPr>
          <w:rFonts w:eastAsia="Calibri" w:cs="Times New Roman"/>
          <w:i/>
          <w:szCs w:val="24"/>
        </w:rPr>
        <w:lastRenderedPageBreak/>
        <w:t>Bemærkninger til lovforslaget</w:t>
      </w:r>
    </w:p>
    <w:p w14:paraId="77750844" w14:textId="77777777" w:rsidR="00F0531D" w:rsidRPr="003B0B97" w:rsidRDefault="00F0531D" w:rsidP="00A456AA">
      <w:pPr>
        <w:jc w:val="center"/>
        <w:rPr>
          <w:rFonts w:eastAsia="Calibri" w:cs="Times New Roman"/>
          <w:i/>
          <w:szCs w:val="24"/>
        </w:rPr>
      </w:pPr>
      <w:r w:rsidRPr="003B0B97">
        <w:rPr>
          <w:rFonts w:eastAsia="Calibri" w:cs="Times New Roman"/>
          <w:i/>
          <w:szCs w:val="24"/>
        </w:rPr>
        <w:t>Almindelige bemærkninger</w:t>
      </w:r>
    </w:p>
    <w:p w14:paraId="5FCAFEFB" w14:textId="77777777" w:rsidR="00F0531D" w:rsidRDefault="00F0531D" w:rsidP="00A456AA">
      <w:pPr>
        <w:rPr>
          <w:rFonts w:eastAsia="Calibri" w:cs="Times New Roman"/>
          <w:szCs w:val="24"/>
        </w:rPr>
      </w:pPr>
    </w:p>
    <w:p w14:paraId="09A4BAC7" w14:textId="77777777" w:rsidR="00F0531D" w:rsidRPr="003B0B97" w:rsidRDefault="00F0531D" w:rsidP="00A456AA">
      <w:pPr>
        <w:rPr>
          <w:rFonts w:eastAsia="Calibri" w:cs="Times New Roman"/>
          <w:szCs w:val="24"/>
        </w:rPr>
      </w:pPr>
      <w:r w:rsidRPr="003B0B97">
        <w:rPr>
          <w:rFonts w:eastAsia="Calibri" w:cs="Times New Roman"/>
          <w:szCs w:val="24"/>
        </w:rPr>
        <w:t>Indholdsfortegnelse</w:t>
      </w:r>
    </w:p>
    <w:p w14:paraId="0F9E24BC" w14:textId="77777777" w:rsidR="00F0531D" w:rsidRPr="003B0B97" w:rsidRDefault="00F0531D" w:rsidP="00A456AA">
      <w:pPr>
        <w:rPr>
          <w:rFonts w:eastAsia="Calibri" w:cs="Times New Roman"/>
          <w:szCs w:val="24"/>
        </w:rPr>
      </w:pPr>
    </w:p>
    <w:p w14:paraId="40F3FBDD" w14:textId="77777777" w:rsidR="00EA7DDF" w:rsidRDefault="000E3052" w:rsidP="005F1F5A">
      <w:pPr>
        <w:rPr>
          <w:rFonts w:eastAsia="Calibri" w:cs="Times New Roman"/>
          <w:szCs w:val="24"/>
        </w:rPr>
      </w:pPr>
      <w:r>
        <w:rPr>
          <w:rFonts w:eastAsia="Calibri" w:cs="Times New Roman"/>
          <w:szCs w:val="24"/>
        </w:rPr>
        <w:t>1. Indledning</w:t>
      </w:r>
    </w:p>
    <w:p w14:paraId="6B1236A2" w14:textId="13F5A2CC" w:rsidR="003F14E9" w:rsidRDefault="003F14E9" w:rsidP="00A456AA">
      <w:pPr>
        <w:rPr>
          <w:rFonts w:eastAsia="Calibri" w:cs="Times New Roman"/>
          <w:szCs w:val="24"/>
        </w:rPr>
      </w:pPr>
      <w:r>
        <w:rPr>
          <w:rFonts w:eastAsia="Calibri" w:cs="Times New Roman"/>
          <w:szCs w:val="24"/>
        </w:rPr>
        <w:fldChar w:fldCharType="begin"/>
      </w:r>
      <w:r>
        <w:rPr>
          <w:rFonts w:eastAsia="Calibri" w:cs="Times New Roman"/>
          <w:szCs w:val="24"/>
        </w:rPr>
        <w:instrText xml:space="preserve"> REF _Ref84075135 \h </w:instrText>
      </w:r>
      <w:r>
        <w:rPr>
          <w:rFonts w:eastAsia="Calibri" w:cs="Times New Roman"/>
          <w:szCs w:val="24"/>
        </w:rPr>
      </w:r>
      <w:r>
        <w:rPr>
          <w:rFonts w:eastAsia="Calibri" w:cs="Times New Roman"/>
          <w:szCs w:val="24"/>
        </w:rPr>
        <w:fldChar w:fldCharType="separate"/>
      </w:r>
      <w:r w:rsidR="00BA30BF">
        <w:rPr>
          <w:rFonts w:cs="Times New Roman"/>
          <w:bCs/>
          <w:iCs/>
          <w:szCs w:val="24"/>
        </w:rPr>
        <w:t>2</w:t>
      </w:r>
      <w:r w:rsidR="00BA30BF" w:rsidRPr="003B0B97">
        <w:rPr>
          <w:rFonts w:cs="Times New Roman"/>
          <w:bCs/>
          <w:iCs/>
          <w:szCs w:val="24"/>
        </w:rPr>
        <w:t>. Lovforslagets hovedpunkter</w:t>
      </w:r>
      <w:r>
        <w:rPr>
          <w:rFonts w:eastAsia="Calibri" w:cs="Times New Roman"/>
          <w:szCs w:val="24"/>
        </w:rPr>
        <w:fldChar w:fldCharType="end"/>
      </w:r>
    </w:p>
    <w:p w14:paraId="34C6CD87" w14:textId="5173238E" w:rsidR="003F14E9" w:rsidRDefault="003F14E9" w:rsidP="00A456AA">
      <w:pPr>
        <w:rPr>
          <w:rFonts w:eastAsia="Calibri" w:cs="Times New Roman"/>
          <w:szCs w:val="24"/>
        </w:rPr>
      </w:pPr>
      <w:r>
        <w:rPr>
          <w:rFonts w:eastAsia="Calibri" w:cs="Times New Roman"/>
          <w:szCs w:val="24"/>
        </w:rPr>
        <w:fldChar w:fldCharType="begin"/>
      </w:r>
      <w:r>
        <w:rPr>
          <w:rFonts w:eastAsia="Calibri" w:cs="Times New Roman"/>
          <w:szCs w:val="24"/>
        </w:rPr>
        <w:instrText xml:space="preserve"> REF _Ref84075098 </w:instrText>
      </w:r>
      <w:r>
        <w:rPr>
          <w:rFonts w:eastAsia="Calibri" w:cs="Times New Roman"/>
          <w:szCs w:val="24"/>
        </w:rPr>
        <w:fldChar w:fldCharType="separate"/>
      </w:r>
      <w:r w:rsidR="00BA30BF" w:rsidRPr="00703BFA">
        <w:t xml:space="preserve">2.1. </w:t>
      </w:r>
      <w:r w:rsidR="00BA30BF">
        <w:t xml:space="preserve">Ændringer som følge af </w:t>
      </w:r>
      <w:r w:rsidR="00BA30BF" w:rsidRPr="00703BFA">
        <w:t>CRR II</w:t>
      </w:r>
      <w:r>
        <w:rPr>
          <w:rFonts w:eastAsia="Calibri" w:cs="Times New Roman"/>
          <w:szCs w:val="24"/>
        </w:rPr>
        <w:fldChar w:fldCharType="end"/>
      </w:r>
    </w:p>
    <w:p w14:paraId="49C78471" w14:textId="5B4234E9" w:rsidR="003F14E9" w:rsidRDefault="003F14E9" w:rsidP="00A456AA">
      <w:pPr>
        <w:rPr>
          <w:rFonts w:eastAsia="Calibri" w:cs="Times New Roman"/>
          <w:szCs w:val="24"/>
        </w:rPr>
      </w:pPr>
      <w:r>
        <w:rPr>
          <w:rFonts w:eastAsia="Calibri" w:cs="Times New Roman"/>
          <w:szCs w:val="24"/>
        </w:rPr>
        <w:fldChar w:fldCharType="begin"/>
      </w:r>
      <w:r>
        <w:rPr>
          <w:rFonts w:eastAsia="Calibri" w:cs="Times New Roman"/>
          <w:szCs w:val="24"/>
        </w:rPr>
        <w:instrText xml:space="preserve"> REF _Ref84075108 </w:instrText>
      </w:r>
      <w:r>
        <w:rPr>
          <w:rFonts w:eastAsia="Calibri" w:cs="Times New Roman"/>
          <w:szCs w:val="24"/>
        </w:rPr>
        <w:fldChar w:fldCharType="separate"/>
      </w:r>
      <w:r w:rsidR="00BA30BF">
        <w:rPr>
          <w:rFonts w:cs="Times New Roman"/>
          <w:szCs w:val="24"/>
        </w:rPr>
        <w:t>2</w:t>
      </w:r>
      <w:r w:rsidR="00BA30BF" w:rsidRPr="003B0B97">
        <w:rPr>
          <w:rFonts w:cs="Times New Roman"/>
          <w:szCs w:val="24"/>
        </w:rPr>
        <w:t>.1.</w:t>
      </w:r>
      <w:r w:rsidR="00BA30BF">
        <w:rPr>
          <w:rFonts w:cs="Times New Roman"/>
          <w:szCs w:val="24"/>
        </w:rPr>
        <w:t>1</w:t>
      </w:r>
      <w:r w:rsidR="00BA30BF" w:rsidRPr="003B0B97">
        <w:rPr>
          <w:rFonts w:cs="Times New Roman"/>
          <w:szCs w:val="24"/>
        </w:rPr>
        <w:t xml:space="preserve"> </w:t>
      </w:r>
      <w:r w:rsidR="00BA30BF">
        <w:rPr>
          <w:rFonts w:cs="Times New Roman"/>
          <w:szCs w:val="24"/>
        </w:rPr>
        <w:t>Markedsrisiko</w:t>
      </w:r>
      <w:r>
        <w:rPr>
          <w:rFonts w:eastAsia="Calibri" w:cs="Times New Roman"/>
          <w:szCs w:val="24"/>
        </w:rPr>
        <w:fldChar w:fldCharType="end"/>
      </w:r>
    </w:p>
    <w:p w14:paraId="0630B913" w14:textId="77777777" w:rsidR="003F14E9" w:rsidRDefault="003F14E9" w:rsidP="00A456AA">
      <w:pPr>
        <w:rPr>
          <w:rFonts w:eastAsia="Calibri" w:cs="Times New Roman"/>
          <w:szCs w:val="24"/>
        </w:rPr>
      </w:pPr>
      <w:r>
        <w:rPr>
          <w:rFonts w:eastAsia="Calibri" w:cs="Times New Roman"/>
          <w:szCs w:val="24"/>
        </w:rPr>
        <w:fldChar w:fldCharType="begin"/>
      </w:r>
      <w:r>
        <w:rPr>
          <w:rFonts w:eastAsia="Calibri" w:cs="Times New Roman"/>
          <w:szCs w:val="24"/>
        </w:rPr>
        <w:instrText xml:space="preserve"> REF _Ref84075164 </w:instrText>
      </w:r>
      <w:r>
        <w:rPr>
          <w:rFonts w:eastAsia="Calibri" w:cs="Times New Roman"/>
          <w:szCs w:val="24"/>
        </w:rPr>
        <w:fldChar w:fldCharType="separate"/>
      </w:r>
      <w:r w:rsidR="00BA30BF">
        <w:t>2.1.2. Gearingsgrad</w:t>
      </w:r>
      <w:r>
        <w:rPr>
          <w:rFonts w:eastAsia="Calibri" w:cs="Times New Roman"/>
          <w:szCs w:val="24"/>
        </w:rPr>
        <w:fldChar w:fldCharType="end"/>
      </w:r>
    </w:p>
    <w:p w14:paraId="1638AF19" w14:textId="77777777" w:rsidR="003F14E9" w:rsidRDefault="003F14E9" w:rsidP="00A456AA">
      <w:pPr>
        <w:rPr>
          <w:rFonts w:eastAsia="Calibri" w:cs="Times New Roman"/>
          <w:szCs w:val="24"/>
        </w:rPr>
      </w:pPr>
      <w:r>
        <w:rPr>
          <w:rFonts w:eastAsia="Calibri" w:cs="Times New Roman"/>
          <w:szCs w:val="24"/>
        </w:rPr>
        <w:fldChar w:fldCharType="begin"/>
      </w:r>
      <w:r>
        <w:rPr>
          <w:rFonts w:eastAsia="Calibri" w:cs="Times New Roman"/>
          <w:szCs w:val="24"/>
        </w:rPr>
        <w:instrText xml:space="preserve"> REF _Ref84075168 </w:instrText>
      </w:r>
      <w:r>
        <w:rPr>
          <w:rFonts w:eastAsia="Calibri" w:cs="Times New Roman"/>
          <w:szCs w:val="24"/>
        </w:rPr>
        <w:fldChar w:fldCharType="separate"/>
      </w:r>
      <w:r w:rsidR="00BA30BF">
        <w:t>2.1.3. Store eksponeringer</w:t>
      </w:r>
      <w:r>
        <w:rPr>
          <w:rFonts w:eastAsia="Calibri" w:cs="Times New Roman"/>
          <w:szCs w:val="24"/>
        </w:rPr>
        <w:fldChar w:fldCharType="end"/>
      </w:r>
    </w:p>
    <w:p w14:paraId="17A21778" w14:textId="24880EC3" w:rsidR="003F14E9" w:rsidRDefault="003F14E9" w:rsidP="00A456AA">
      <w:pPr>
        <w:rPr>
          <w:rFonts w:eastAsia="Calibri" w:cs="Times New Roman"/>
          <w:szCs w:val="24"/>
        </w:rPr>
      </w:pPr>
      <w:r>
        <w:rPr>
          <w:rFonts w:eastAsia="Calibri" w:cs="Times New Roman"/>
          <w:szCs w:val="24"/>
        </w:rPr>
        <w:fldChar w:fldCharType="begin"/>
      </w:r>
      <w:r>
        <w:rPr>
          <w:rFonts w:eastAsia="Calibri" w:cs="Times New Roman"/>
          <w:szCs w:val="24"/>
        </w:rPr>
        <w:instrText xml:space="preserve"> REF _Ref84075176 </w:instrText>
      </w:r>
      <w:r>
        <w:rPr>
          <w:rFonts w:eastAsia="Calibri" w:cs="Times New Roman"/>
          <w:szCs w:val="24"/>
        </w:rPr>
        <w:fldChar w:fldCharType="separate"/>
      </w:r>
      <w:r w:rsidR="00BA30BF" w:rsidRPr="00BA4307">
        <w:t>2.</w:t>
      </w:r>
      <w:r w:rsidR="00BA30BF">
        <w:t>1.</w:t>
      </w:r>
      <w:r w:rsidR="00BA30BF" w:rsidRPr="00BA4307">
        <w:t>4</w:t>
      </w:r>
      <w:r w:rsidR="00BA30BF">
        <w:t>.</w:t>
      </w:r>
      <w:r w:rsidR="00BA30BF" w:rsidRPr="00BA4307">
        <w:t xml:space="preserve"> Reguleringsmæssig indberetning</w:t>
      </w:r>
      <w:r>
        <w:rPr>
          <w:rFonts w:eastAsia="Calibri" w:cs="Times New Roman"/>
          <w:szCs w:val="24"/>
        </w:rPr>
        <w:fldChar w:fldCharType="end"/>
      </w:r>
    </w:p>
    <w:p w14:paraId="406B11B6" w14:textId="7D7CFBEA" w:rsidR="003F14E9" w:rsidRDefault="003F14E9" w:rsidP="00A456AA">
      <w:pPr>
        <w:rPr>
          <w:rFonts w:eastAsia="Calibri" w:cs="Times New Roman"/>
          <w:szCs w:val="24"/>
        </w:rPr>
      </w:pPr>
      <w:r>
        <w:rPr>
          <w:rFonts w:eastAsia="Calibri" w:cs="Times New Roman"/>
          <w:szCs w:val="24"/>
        </w:rPr>
        <w:fldChar w:fldCharType="begin"/>
      </w:r>
      <w:r>
        <w:rPr>
          <w:rFonts w:eastAsia="Calibri" w:cs="Times New Roman"/>
          <w:szCs w:val="24"/>
        </w:rPr>
        <w:instrText xml:space="preserve"> REF _Ref84075185 </w:instrText>
      </w:r>
      <w:r>
        <w:rPr>
          <w:rFonts w:eastAsia="Calibri" w:cs="Times New Roman"/>
          <w:szCs w:val="24"/>
        </w:rPr>
        <w:fldChar w:fldCharType="separate"/>
      </w:r>
      <w:r w:rsidR="00BA30BF" w:rsidRPr="00062452">
        <w:t>2.</w:t>
      </w:r>
      <w:r w:rsidR="00BA30BF">
        <w:t>1.</w:t>
      </w:r>
      <w:r w:rsidR="00BA30BF" w:rsidRPr="00062452">
        <w:t>5</w:t>
      </w:r>
      <w:r w:rsidR="00BA30BF">
        <w:t>.</w:t>
      </w:r>
      <w:r w:rsidR="00BA30BF" w:rsidRPr="00062452">
        <w:t xml:space="preserve"> Oplysningspligt</w:t>
      </w:r>
      <w:r>
        <w:rPr>
          <w:rFonts w:eastAsia="Calibri" w:cs="Times New Roman"/>
          <w:szCs w:val="24"/>
        </w:rPr>
        <w:fldChar w:fldCharType="end"/>
      </w:r>
    </w:p>
    <w:p w14:paraId="66935905" w14:textId="2EF339DB" w:rsidR="003F14E9" w:rsidRDefault="003F14E9" w:rsidP="00A456AA">
      <w:pPr>
        <w:rPr>
          <w:rFonts w:eastAsia="Calibri" w:cs="Times New Roman"/>
          <w:szCs w:val="24"/>
        </w:rPr>
      </w:pPr>
      <w:r>
        <w:rPr>
          <w:rFonts w:eastAsia="Calibri" w:cs="Times New Roman"/>
          <w:szCs w:val="24"/>
        </w:rPr>
        <w:fldChar w:fldCharType="begin"/>
      </w:r>
      <w:r>
        <w:rPr>
          <w:rFonts w:eastAsia="Calibri" w:cs="Times New Roman"/>
          <w:szCs w:val="24"/>
        </w:rPr>
        <w:instrText xml:space="preserve"> REF _Ref84075189 </w:instrText>
      </w:r>
      <w:r>
        <w:rPr>
          <w:rFonts w:eastAsia="Calibri" w:cs="Times New Roman"/>
          <w:szCs w:val="24"/>
        </w:rPr>
        <w:fldChar w:fldCharType="separate"/>
      </w:r>
      <w:r w:rsidR="00BA30BF">
        <w:rPr>
          <w:rFonts w:cs="Times New Roman"/>
          <w:szCs w:val="24"/>
        </w:rPr>
        <w:t>2.1.6</w:t>
      </w:r>
      <w:r w:rsidR="00BA30BF" w:rsidRPr="003B0B97">
        <w:rPr>
          <w:rFonts w:cs="Times New Roman"/>
          <w:szCs w:val="24"/>
        </w:rPr>
        <w:t xml:space="preserve">. </w:t>
      </w:r>
      <w:r w:rsidR="00BA30BF" w:rsidRPr="005F1360">
        <w:t>Krav om stabil finansiering (Net Stable Funding Ration - NSFR)</w:t>
      </w:r>
      <w:r>
        <w:rPr>
          <w:rFonts w:eastAsia="Calibri" w:cs="Times New Roman"/>
          <w:szCs w:val="24"/>
        </w:rPr>
        <w:fldChar w:fldCharType="end"/>
      </w:r>
    </w:p>
    <w:p w14:paraId="3DCAEFDB" w14:textId="68AC84FF" w:rsidR="003F14E9" w:rsidRDefault="003F14E9" w:rsidP="00A456AA">
      <w:pPr>
        <w:rPr>
          <w:rFonts w:eastAsia="Calibri" w:cs="Times New Roman"/>
          <w:szCs w:val="24"/>
        </w:rPr>
      </w:pPr>
      <w:r>
        <w:rPr>
          <w:rFonts w:eastAsia="Calibri" w:cs="Times New Roman"/>
          <w:szCs w:val="24"/>
        </w:rPr>
        <w:fldChar w:fldCharType="begin"/>
      </w:r>
      <w:r>
        <w:rPr>
          <w:rFonts w:eastAsia="Calibri" w:cs="Times New Roman"/>
          <w:szCs w:val="24"/>
        </w:rPr>
        <w:instrText xml:space="preserve"> REF _Ref84075194 </w:instrText>
      </w:r>
      <w:r>
        <w:rPr>
          <w:rFonts w:eastAsia="Calibri" w:cs="Times New Roman"/>
          <w:szCs w:val="24"/>
        </w:rPr>
        <w:fldChar w:fldCharType="separate"/>
      </w:r>
      <w:r w:rsidR="00BA30BF" w:rsidRPr="00461D83">
        <w:rPr>
          <w:rStyle w:val="Overskrift2Tegn"/>
          <w:b w:val="0"/>
          <w:bCs w:val="0"/>
          <w:sz w:val="24"/>
        </w:rPr>
        <w:t>2.</w:t>
      </w:r>
      <w:r w:rsidR="00BA30BF">
        <w:rPr>
          <w:rStyle w:val="Overskrift2Tegn"/>
          <w:b w:val="0"/>
          <w:bCs w:val="0"/>
          <w:sz w:val="24"/>
        </w:rPr>
        <w:t>1.</w:t>
      </w:r>
      <w:r w:rsidR="00BA30BF" w:rsidRPr="00461D83">
        <w:rPr>
          <w:rStyle w:val="Overskrift2Tegn"/>
          <w:b w:val="0"/>
          <w:bCs w:val="0"/>
          <w:sz w:val="24"/>
        </w:rPr>
        <w:t>7.</w:t>
      </w:r>
      <w:r w:rsidR="00BA30BF" w:rsidRPr="00461D83">
        <w:t xml:space="preserve"> </w:t>
      </w:r>
      <w:r w:rsidR="00BA30BF" w:rsidRPr="00461D83">
        <w:rPr>
          <w:rStyle w:val="Overskrift2Tegn"/>
          <w:b w:val="0"/>
          <w:bCs w:val="0"/>
          <w:sz w:val="24"/>
        </w:rPr>
        <w:t>Undtagelser fra kapital- og likviditetskrav</w:t>
      </w:r>
      <w:r>
        <w:rPr>
          <w:rFonts w:eastAsia="Calibri" w:cs="Times New Roman"/>
          <w:szCs w:val="24"/>
        </w:rPr>
        <w:fldChar w:fldCharType="end"/>
      </w:r>
    </w:p>
    <w:p w14:paraId="2D6072A3" w14:textId="5AF75393" w:rsidR="003F14E9" w:rsidRDefault="003F14E9" w:rsidP="00A456AA">
      <w:pPr>
        <w:rPr>
          <w:rFonts w:eastAsia="Calibri" w:cs="Times New Roman"/>
          <w:szCs w:val="24"/>
        </w:rPr>
      </w:pPr>
      <w:r>
        <w:rPr>
          <w:rFonts w:eastAsia="Calibri" w:cs="Times New Roman"/>
          <w:szCs w:val="24"/>
        </w:rPr>
        <w:fldChar w:fldCharType="begin"/>
      </w:r>
      <w:r>
        <w:rPr>
          <w:rFonts w:eastAsia="Calibri" w:cs="Times New Roman"/>
          <w:szCs w:val="24"/>
        </w:rPr>
        <w:instrText xml:space="preserve"> REF _Ref84075199 </w:instrText>
      </w:r>
      <w:r>
        <w:rPr>
          <w:rFonts w:eastAsia="Calibri" w:cs="Times New Roman"/>
          <w:szCs w:val="24"/>
        </w:rPr>
        <w:fldChar w:fldCharType="separate"/>
      </w:r>
      <w:r w:rsidR="00BA30BF" w:rsidRPr="00FA0143">
        <w:t>2.</w:t>
      </w:r>
      <w:r w:rsidR="00BA30BF">
        <w:t>1.</w:t>
      </w:r>
      <w:r w:rsidR="00BA30BF" w:rsidRPr="00FA0143">
        <w:t>8</w:t>
      </w:r>
      <w:r w:rsidR="00BA30BF">
        <w:t>.</w:t>
      </w:r>
      <w:r w:rsidR="00BA30BF" w:rsidRPr="00FA0143">
        <w:t xml:space="preserve"> </w:t>
      </w:r>
      <w:r w:rsidR="00BA30BF" w:rsidRPr="00FA0143">
        <w:rPr>
          <w:rFonts w:eastAsia="Calibri"/>
        </w:rPr>
        <w:t>Nedskrivningsrelevante passiver</w:t>
      </w:r>
      <w:r>
        <w:rPr>
          <w:rFonts w:eastAsia="Calibri" w:cs="Times New Roman"/>
          <w:szCs w:val="24"/>
        </w:rPr>
        <w:fldChar w:fldCharType="end"/>
      </w:r>
    </w:p>
    <w:p w14:paraId="681A9507" w14:textId="08FB524C" w:rsidR="003F14E9" w:rsidRDefault="003F14E9" w:rsidP="00A456AA">
      <w:pPr>
        <w:rPr>
          <w:rFonts w:eastAsia="Calibri" w:cs="Times New Roman"/>
          <w:szCs w:val="24"/>
        </w:rPr>
      </w:pPr>
      <w:r>
        <w:rPr>
          <w:rFonts w:eastAsia="Calibri" w:cs="Times New Roman"/>
          <w:szCs w:val="24"/>
        </w:rPr>
        <w:fldChar w:fldCharType="begin"/>
      </w:r>
      <w:r>
        <w:rPr>
          <w:rFonts w:eastAsia="Calibri" w:cs="Times New Roman"/>
          <w:szCs w:val="24"/>
        </w:rPr>
        <w:instrText xml:space="preserve"> REF _Ref84075205 </w:instrText>
      </w:r>
      <w:r>
        <w:rPr>
          <w:rFonts w:eastAsia="Calibri" w:cs="Times New Roman"/>
          <w:szCs w:val="24"/>
        </w:rPr>
        <w:fldChar w:fldCharType="separate"/>
      </w:r>
      <w:r w:rsidR="00BA30BF" w:rsidRPr="00FA0143">
        <w:rPr>
          <w:rFonts w:eastAsia="Calibri"/>
        </w:rPr>
        <w:t>2.</w:t>
      </w:r>
      <w:r w:rsidR="00BA30BF">
        <w:rPr>
          <w:rFonts w:eastAsia="Calibri"/>
        </w:rPr>
        <w:t>1.</w:t>
      </w:r>
      <w:r w:rsidR="00BA30BF" w:rsidRPr="00FA0143">
        <w:rPr>
          <w:rFonts w:eastAsia="Calibri"/>
        </w:rPr>
        <w:t>9</w:t>
      </w:r>
      <w:r w:rsidR="00BA30BF">
        <w:rPr>
          <w:rFonts w:eastAsia="Calibri"/>
        </w:rPr>
        <w:t>.</w:t>
      </w:r>
      <w:r w:rsidR="00BA30BF" w:rsidRPr="00FA0143">
        <w:rPr>
          <w:rFonts w:eastAsia="Calibri"/>
        </w:rPr>
        <w:t xml:space="preserve"> Modpartsrisiko</w:t>
      </w:r>
      <w:r>
        <w:rPr>
          <w:rFonts w:eastAsia="Calibri" w:cs="Times New Roman"/>
          <w:szCs w:val="24"/>
        </w:rPr>
        <w:fldChar w:fldCharType="end"/>
      </w:r>
    </w:p>
    <w:p w14:paraId="5ED42820" w14:textId="3DE2A29F" w:rsidR="003F14E9" w:rsidRDefault="003F14E9" w:rsidP="00A456AA">
      <w:pPr>
        <w:rPr>
          <w:rFonts w:eastAsia="Calibri" w:cs="Times New Roman"/>
          <w:szCs w:val="24"/>
        </w:rPr>
      </w:pPr>
      <w:r>
        <w:rPr>
          <w:rFonts w:eastAsia="Calibri" w:cs="Times New Roman"/>
          <w:szCs w:val="24"/>
        </w:rPr>
        <w:fldChar w:fldCharType="begin"/>
      </w:r>
      <w:r>
        <w:rPr>
          <w:rFonts w:eastAsia="Calibri" w:cs="Times New Roman"/>
          <w:szCs w:val="24"/>
        </w:rPr>
        <w:instrText xml:space="preserve"> REF _Ref84075212 </w:instrText>
      </w:r>
      <w:r>
        <w:rPr>
          <w:rFonts w:eastAsia="Calibri" w:cs="Times New Roman"/>
          <w:szCs w:val="24"/>
        </w:rPr>
        <w:fldChar w:fldCharType="separate"/>
      </w:r>
      <w:r w:rsidR="00BA30BF" w:rsidRPr="00FA0143">
        <w:rPr>
          <w:rFonts w:eastAsia="Calibri"/>
        </w:rPr>
        <w:t>2.</w:t>
      </w:r>
      <w:r w:rsidR="00BA30BF">
        <w:rPr>
          <w:rFonts w:eastAsia="Calibri"/>
        </w:rPr>
        <w:t>1.</w:t>
      </w:r>
      <w:r w:rsidR="00BA30BF" w:rsidRPr="00FA0143">
        <w:rPr>
          <w:rFonts w:eastAsia="Calibri"/>
        </w:rPr>
        <w:t>10</w:t>
      </w:r>
      <w:r w:rsidR="00BA30BF">
        <w:rPr>
          <w:rFonts w:eastAsia="Calibri"/>
        </w:rPr>
        <w:t>.</w:t>
      </w:r>
      <w:r w:rsidR="00BA30BF" w:rsidRPr="00FA0143">
        <w:rPr>
          <w:rFonts w:eastAsia="Calibri"/>
        </w:rPr>
        <w:t xml:space="preserve"> Eksponeringer mod centrale modparter</w:t>
      </w:r>
      <w:r>
        <w:rPr>
          <w:rFonts w:eastAsia="Calibri" w:cs="Times New Roman"/>
          <w:szCs w:val="24"/>
        </w:rPr>
        <w:fldChar w:fldCharType="end"/>
      </w:r>
    </w:p>
    <w:p w14:paraId="0C1433C3" w14:textId="2121DD42" w:rsidR="003F14E9" w:rsidRDefault="003F14E9" w:rsidP="00A456AA">
      <w:pPr>
        <w:rPr>
          <w:rFonts w:eastAsia="Calibri" w:cs="Times New Roman"/>
          <w:szCs w:val="24"/>
        </w:rPr>
      </w:pPr>
      <w:r>
        <w:rPr>
          <w:rFonts w:eastAsia="Calibri" w:cs="Times New Roman"/>
          <w:szCs w:val="24"/>
        </w:rPr>
        <w:fldChar w:fldCharType="begin"/>
      </w:r>
      <w:r>
        <w:rPr>
          <w:rFonts w:eastAsia="Calibri" w:cs="Times New Roman"/>
          <w:szCs w:val="24"/>
        </w:rPr>
        <w:instrText xml:space="preserve"> REF _Ref84075216 </w:instrText>
      </w:r>
      <w:r>
        <w:rPr>
          <w:rFonts w:eastAsia="Calibri" w:cs="Times New Roman"/>
          <w:szCs w:val="24"/>
        </w:rPr>
        <w:fldChar w:fldCharType="separate"/>
      </w:r>
      <w:r w:rsidR="00BA30BF" w:rsidRPr="00FA0143">
        <w:rPr>
          <w:rFonts w:eastAsia="Calibri"/>
        </w:rPr>
        <w:t>2.1</w:t>
      </w:r>
      <w:r w:rsidR="00BA30BF">
        <w:rPr>
          <w:rFonts w:eastAsia="Calibri"/>
        </w:rPr>
        <w:t>.1</w:t>
      </w:r>
      <w:r w:rsidR="00BA30BF" w:rsidRPr="00FA0143">
        <w:rPr>
          <w:rFonts w:eastAsia="Calibri"/>
        </w:rPr>
        <w:t>1</w:t>
      </w:r>
      <w:r w:rsidR="00BA30BF">
        <w:rPr>
          <w:rFonts w:eastAsia="Calibri"/>
        </w:rPr>
        <w:t>.</w:t>
      </w:r>
      <w:r w:rsidR="00BA30BF" w:rsidRPr="00FA0143">
        <w:rPr>
          <w:rFonts w:eastAsia="Calibri"/>
        </w:rPr>
        <w:t xml:space="preserve"> Eksponeringer mod kollektive investeringsordninger</w:t>
      </w:r>
      <w:r>
        <w:rPr>
          <w:rFonts w:eastAsia="Calibri" w:cs="Times New Roman"/>
          <w:szCs w:val="24"/>
        </w:rPr>
        <w:fldChar w:fldCharType="end"/>
      </w:r>
    </w:p>
    <w:p w14:paraId="7E127509" w14:textId="77777777" w:rsidR="00BA30BF" w:rsidRDefault="003F14E9" w:rsidP="00EF2185">
      <w:r>
        <w:rPr>
          <w:rFonts w:eastAsia="Calibri" w:cs="Times New Roman"/>
          <w:szCs w:val="24"/>
        </w:rPr>
        <w:fldChar w:fldCharType="begin"/>
      </w:r>
      <w:r>
        <w:rPr>
          <w:rFonts w:eastAsia="Calibri" w:cs="Times New Roman"/>
          <w:szCs w:val="24"/>
        </w:rPr>
        <w:instrText xml:space="preserve"> REF _Ref84075218 </w:instrText>
      </w:r>
      <w:r w:rsidR="005A147D">
        <w:rPr>
          <w:rFonts w:eastAsia="Calibri" w:cs="Times New Roman"/>
          <w:szCs w:val="24"/>
        </w:rPr>
        <w:instrText xml:space="preserve"> \* MERGEFORMAT </w:instrText>
      </w:r>
      <w:r>
        <w:rPr>
          <w:rFonts w:eastAsia="Calibri" w:cs="Times New Roman"/>
          <w:szCs w:val="24"/>
        </w:rPr>
        <w:fldChar w:fldCharType="separate"/>
      </w:r>
      <w:r w:rsidR="00BA30BF" w:rsidRPr="00EF2185">
        <w:t xml:space="preserve">2.2. </w:t>
      </w:r>
      <w:r w:rsidR="00BA30BF" w:rsidRPr="00BA30BF">
        <w:t xml:space="preserve">Ændringer </w:t>
      </w:r>
      <w:r w:rsidR="00BA30BF" w:rsidRPr="00EF2185">
        <w:t>som følge af NPE</w:t>
      </w:r>
    </w:p>
    <w:p w14:paraId="2520D920" w14:textId="77777777" w:rsidR="00BA30BF" w:rsidRPr="00BA30BF" w:rsidRDefault="00BA30BF" w:rsidP="00EF2185">
      <w:r w:rsidRPr="00EF2185">
        <w:t>2.2.1. Nødlidend</w:t>
      </w:r>
      <w:r w:rsidRPr="00BA30BF">
        <w:t>e lån</w:t>
      </w:r>
    </w:p>
    <w:p w14:paraId="2B23CE35" w14:textId="41C366E0" w:rsidR="003F14E9" w:rsidRDefault="00BA30BF" w:rsidP="00EF2185">
      <w:pPr>
        <w:rPr>
          <w:rFonts w:eastAsia="Calibri" w:cs="Times New Roman"/>
          <w:szCs w:val="24"/>
        </w:rPr>
      </w:pPr>
      <w:r>
        <w:t xml:space="preserve">2.3. </w:t>
      </w:r>
      <w:r w:rsidR="00EF2185" w:rsidRPr="00EF2185">
        <w:t>Ændringer som følge af CRR Covid-19-relaterede justeringer</w:t>
      </w:r>
      <w:r w:rsidR="00EF2185" w:rsidRPr="00EF2185" w:rsidDel="00BA30BF">
        <w:t xml:space="preserve"> </w:t>
      </w:r>
      <w:r w:rsidR="003F14E9">
        <w:rPr>
          <w:rFonts w:eastAsia="Calibri" w:cs="Times New Roman"/>
          <w:szCs w:val="24"/>
        </w:rPr>
        <w:fldChar w:fldCharType="end"/>
      </w:r>
    </w:p>
    <w:p w14:paraId="17AA860C" w14:textId="0499CEFF" w:rsidR="001A5DF0" w:rsidRDefault="003F14E9" w:rsidP="00A456AA">
      <w:pPr>
        <w:rPr>
          <w:rFonts w:eastAsia="Calibri" w:cs="Times New Roman"/>
          <w:szCs w:val="24"/>
        </w:rPr>
      </w:pPr>
      <w:r>
        <w:rPr>
          <w:rFonts w:eastAsia="Calibri" w:cs="Times New Roman"/>
          <w:szCs w:val="24"/>
        </w:rPr>
        <w:fldChar w:fldCharType="begin"/>
      </w:r>
      <w:r>
        <w:rPr>
          <w:rFonts w:eastAsia="Calibri" w:cs="Times New Roman"/>
          <w:szCs w:val="24"/>
        </w:rPr>
        <w:instrText xml:space="preserve"> REF _Ref84075225 </w:instrText>
      </w:r>
      <w:r>
        <w:rPr>
          <w:rFonts w:eastAsia="Calibri" w:cs="Times New Roman"/>
          <w:szCs w:val="24"/>
        </w:rPr>
        <w:fldChar w:fldCharType="separate"/>
      </w:r>
      <w:r w:rsidR="00BA30BF">
        <w:t>2.3</w:t>
      </w:r>
      <w:r w:rsidR="00BA30BF" w:rsidRPr="00727502">
        <w:t>.1</w:t>
      </w:r>
      <w:r w:rsidR="00BA30BF">
        <w:t>.</w:t>
      </w:r>
      <w:r w:rsidR="00BA30BF" w:rsidRPr="00727502">
        <w:t xml:space="preserve"> Lempelse af minimumskapitalkrav vedr. offentligt garanterede </w:t>
      </w:r>
      <w:r w:rsidR="00BA30BF">
        <w:t xml:space="preserve">nødlidende </w:t>
      </w:r>
      <w:r w:rsidR="00BA30BF" w:rsidRPr="00727502">
        <w:t>lån</w:t>
      </w:r>
      <w:r>
        <w:rPr>
          <w:rFonts w:eastAsia="Calibri" w:cs="Times New Roman"/>
          <w:szCs w:val="24"/>
        </w:rPr>
        <w:fldChar w:fldCharType="end"/>
      </w:r>
    </w:p>
    <w:p w14:paraId="03E53615" w14:textId="67AB5AF9" w:rsidR="003F14E9" w:rsidRDefault="003F14E9" w:rsidP="00A456AA">
      <w:pPr>
        <w:rPr>
          <w:rFonts w:eastAsia="Calibri" w:cs="Times New Roman"/>
          <w:szCs w:val="24"/>
        </w:rPr>
      </w:pPr>
      <w:r>
        <w:rPr>
          <w:rFonts w:eastAsia="Calibri" w:cs="Times New Roman"/>
          <w:szCs w:val="24"/>
        </w:rPr>
        <w:fldChar w:fldCharType="begin"/>
      </w:r>
      <w:r>
        <w:rPr>
          <w:rFonts w:eastAsia="Calibri" w:cs="Times New Roman"/>
          <w:szCs w:val="24"/>
        </w:rPr>
        <w:instrText xml:space="preserve"> REF _Ref84075244 </w:instrText>
      </w:r>
      <w:r>
        <w:rPr>
          <w:rFonts w:eastAsia="Calibri" w:cs="Times New Roman"/>
          <w:szCs w:val="24"/>
        </w:rPr>
        <w:fldChar w:fldCharType="separate"/>
      </w:r>
      <w:r w:rsidR="00BA30BF">
        <w:t>2.3</w:t>
      </w:r>
      <w:r w:rsidR="00BA30BF" w:rsidRPr="00727502">
        <w:t>.2</w:t>
      </w:r>
      <w:r w:rsidR="00BA30BF">
        <w:t>.</w:t>
      </w:r>
      <w:r w:rsidR="00BA30BF" w:rsidRPr="00727502">
        <w:t xml:space="preserve"> Udskydelse af anvendelsesdato for tillæg til gearingsgradskravet</w:t>
      </w:r>
      <w:r>
        <w:rPr>
          <w:rFonts w:eastAsia="Calibri" w:cs="Times New Roman"/>
          <w:szCs w:val="24"/>
        </w:rPr>
        <w:fldChar w:fldCharType="end"/>
      </w:r>
    </w:p>
    <w:p w14:paraId="0B586E31" w14:textId="24B4F7B5" w:rsidR="003F14E9" w:rsidRDefault="003F14E9" w:rsidP="00A456AA">
      <w:pPr>
        <w:rPr>
          <w:rFonts w:eastAsia="Calibri" w:cs="Times New Roman"/>
          <w:szCs w:val="24"/>
        </w:rPr>
      </w:pPr>
      <w:r>
        <w:rPr>
          <w:rFonts w:eastAsia="Calibri" w:cs="Times New Roman"/>
          <w:szCs w:val="24"/>
        </w:rPr>
        <w:fldChar w:fldCharType="begin"/>
      </w:r>
      <w:r>
        <w:rPr>
          <w:rFonts w:eastAsia="Calibri" w:cs="Times New Roman"/>
          <w:szCs w:val="24"/>
        </w:rPr>
        <w:instrText xml:space="preserve"> REF _Ref84075249 </w:instrText>
      </w:r>
      <w:r>
        <w:rPr>
          <w:rFonts w:eastAsia="Calibri" w:cs="Times New Roman"/>
          <w:szCs w:val="24"/>
        </w:rPr>
        <w:fldChar w:fldCharType="separate"/>
      </w:r>
      <w:r w:rsidR="00BA30BF">
        <w:t xml:space="preserve">2.3.3. </w:t>
      </w:r>
      <w:r w:rsidR="00BA30BF" w:rsidRPr="00727502">
        <w:t>Ændring af behandling af eksponeringer mod centralbanker i beregning af gearingsgraden</w:t>
      </w:r>
      <w:r>
        <w:rPr>
          <w:rFonts w:eastAsia="Calibri" w:cs="Times New Roman"/>
          <w:szCs w:val="24"/>
        </w:rPr>
        <w:fldChar w:fldCharType="end"/>
      </w:r>
    </w:p>
    <w:p w14:paraId="7BDB64B5" w14:textId="10BE1FCB" w:rsidR="0019623C" w:rsidRDefault="0019623C" w:rsidP="0019623C">
      <w:pPr>
        <w:rPr>
          <w:rFonts w:eastAsia="Calibri" w:cs="Times New Roman"/>
          <w:szCs w:val="24"/>
        </w:rPr>
      </w:pPr>
      <w:r>
        <w:rPr>
          <w:rFonts w:eastAsia="Calibri" w:cs="Times New Roman"/>
          <w:szCs w:val="24"/>
        </w:rPr>
        <w:t xml:space="preserve">3. Konsekvenser for </w:t>
      </w:r>
      <w:proofErr w:type="spellStart"/>
      <w:r>
        <w:rPr>
          <w:rFonts w:eastAsia="Calibri" w:cs="Times New Roman"/>
          <w:szCs w:val="24"/>
        </w:rPr>
        <w:t>Rigsfælleskabet</w:t>
      </w:r>
      <w:proofErr w:type="spellEnd"/>
    </w:p>
    <w:p w14:paraId="5A8807DE" w14:textId="753DE6FC" w:rsidR="00613950" w:rsidRDefault="0019623C" w:rsidP="00A456AA">
      <w:pPr>
        <w:rPr>
          <w:rFonts w:eastAsia="Calibri" w:cs="Times New Roman"/>
          <w:szCs w:val="24"/>
        </w:rPr>
      </w:pPr>
      <w:r>
        <w:rPr>
          <w:rFonts w:eastAsia="Calibri" w:cs="Times New Roman"/>
          <w:szCs w:val="24"/>
        </w:rPr>
        <w:t>4</w:t>
      </w:r>
      <w:r w:rsidR="000447C2">
        <w:rPr>
          <w:rFonts w:eastAsia="Calibri" w:cs="Times New Roman"/>
          <w:szCs w:val="24"/>
        </w:rPr>
        <w:t>. Økonomiske konsekvenser og implementeringskonsekvenser for det offentlige</w:t>
      </w:r>
    </w:p>
    <w:p w14:paraId="2FA2C716" w14:textId="62D33F2A" w:rsidR="000447C2" w:rsidRDefault="0019623C" w:rsidP="00A456AA">
      <w:pPr>
        <w:rPr>
          <w:rFonts w:eastAsia="Calibri" w:cs="Times New Roman"/>
          <w:szCs w:val="24"/>
        </w:rPr>
      </w:pPr>
      <w:r>
        <w:rPr>
          <w:rFonts w:eastAsia="Calibri" w:cs="Times New Roman"/>
          <w:szCs w:val="24"/>
        </w:rPr>
        <w:t>5</w:t>
      </w:r>
      <w:r w:rsidR="000447C2">
        <w:rPr>
          <w:rFonts w:eastAsia="Calibri" w:cs="Times New Roman"/>
          <w:szCs w:val="24"/>
        </w:rPr>
        <w:t>. Økonomiske og administrative konsekvenser for erhvervslivet m.v.</w:t>
      </w:r>
    </w:p>
    <w:p w14:paraId="12BC5F00" w14:textId="5D2B2491" w:rsidR="000447C2" w:rsidRDefault="0019623C" w:rsidP="00A456AA">
      <w:pPr>
        <w:rPr>
          <w:rFonts w:eastAsia="Calibri" w:cs="Times New Roman"/>
          <w:szCs w:val="24"/>
        </w:rPr>
      </w:pPr>
      <w:r>
        <w:rPr>
          <w:rFonts w:eastAsia="Calibri" w:cs="Times New Roman"/>
          <w:szCs w:val="24"/>
        </w:rPr>
        <w:t>6</w:t>
      </w:r>
      <w:r w:rsidR="000447C2">
        <w:rPr>
          <w:rFonts w:eastAsia="Calibri" w:cs="Times New Roman"/>
          <w:szCs w:val="24"/>
        </w:rPr>
        <w:t>. Administrative konsekvenser for borgerne</w:t>
      </w:r>
    </w:p>
    <w:p w14:paraId="75697CC4" w14:textId="5B26C79C" w:rsidR="00D57EC8" w:rsidRDefault="0019623C" w:rsidP="00A456AA">
      <w:pPr>
        <w:rPr>
          <w:rFonts w:eastAsia="Calibri" w:cs="Times New Roman"/>
          <w:szCs w:val="24"/>
        </w:rPr>
      </w:pPr>
      <w:r>
        <w:rPr>
          <w:rFonts w:eastAsia="Calibri" w:cs="Times New Roman"/>
          <w:szCs w:val="24"/>
        </w:rPr>
        <w:t>7</w:t>
      </w:r>
      <w:r w:rsidR="000447C2">
        <w:rPr>
          <w:rFonts w:eastAsia="Calibri" w:cs="Times New Roman"/>
          <w:szCs w:val="24"/>
        </w:rPr>
        <w:t xml:space="preserve">. </w:t>
      </w:r>
      <w:r w:rsidR="00D57EC8">
        <w:rPr>
          <w:rFonts w:eastAsia="Calibri" w:cs="Times New Roman"/>
          <w:szCs w:val="24"/>
        </w:rPr>
        <w:t>Klimamæssige konsekvenser</w:t>
      </w:r>
    </w:p>
    <w:p w14:paraId="7D8AF321" w14:textId="0439F925" w:rsidR="000447C2" w:rsidRDefault="0019623C" w:rsidP="00A456AA">
      <w:pPr>
        <w:rPr>
          <w:rFonts w:eastAsia="Calibri" w:cs="Times New Roman"/>
          <w:szCs w:val="24"/>
        </w:rPr>
      </w:pPr>
      <w:r>
        <w:rPr>
          <w:rFonts w:eastAsia="Calibri" w:cs="Times New Roman"/>
          <w:szCs w:val="24"/>
        </w:rPr>
        <w:t>8</w:t>
      </w:r>
      <w:r w:rsidR="00D57EC8">
        <w:rPr>
          <w:rFonts w:eastAsia="Calibri" w:cs="Times New Roman"/>
          <w:szCs w:val="24"/>
        </w:rPr>
        <w:t>.</w:t>
      </w:r>
      <w:r w:rsidR="00D57EC8" w:rsidRPr="00D57EC8">
        <w:rPr>
          <w:rFonts w:eastAsia="Calibri" w:cs="Times New Roman"/>
          <w:szCs w:val="24"/>
        </w:rPr>
        <w:t xml:space="preserve"> </w:t>
      </w:r>
      <w:r>
        <w:rPr>
          <w:rFonts w:eastAsia="Calibri" w:cs="Times New Roman"/>
          <w:szCs w:val="24"/>
        </w:rPr>
        <w:t>Miljø- og naturmæssige</w:t>
      </w:r>
      <w:r w:rsidR="00D57EC8">
        <w:rPr>
          <w:rFonts w:eastAsia="Calibri" w:cs="Times New Roman"/>
          <w:szCs w:val="24"/>
        </w:rPr>
        <w:t xml:space="preserve"> konsekvenser9</w:t>
      </w:r>
      <w:r w:rsidR="000447C2">
        <w:rPr>
          <w:rFonts w:eastAsia="Calibri" w:cs="Times New Roman"/>
          <w:szCs w:val="24"/>
        </w:rPr>
        <w:t xml:space="preserve">. </w:t>
      </w:r>
      <w:r w:rsidR="00217D27">
        <w:rPr>
          <w:rFonts w:eastAsia="Calibri" w:cs="Times New Roman"/>
          <w:szCs w:val="24"/>
        </w:rPr>
        <w:t>Forholdet til EU-retten</w:t>
      </w:r>
    </w:p>
    <w:p w14:paraId="569E4780" w14:textId="3F17AA54" w:rsidR="00217D27" w:rsidRDefault="00D57EC8" w:rsidP="00A456AA">
      <w:pPr>
        <w:rPr>
          <w:rFonts w:eastAsia="Calibri" w:cs="Times New Roman"/>
          <w:szCs w:val="24"/>
        </w:rPr>
      </w:pPr>
      <w:r>
        <w:rPr>
          <w:rFonts w:eastAsia="Calibri" w:cs="Times New Roman"/>
          <w:szCs w:val="24"/>
        </w:rPr>
        <w:t>10</w:t>
      </w:r>
      <w:r w:rsidR="00217D27">
        <w:rPr>
          <w:rFonts w:eastAsia="Calibri" w:cs="Times New Roman"/>
          <w:szCs w:val="24"/>
        </w:rPr>
        <w:t xml:space="preserve">. </w:t>
      </w:r>
      <w:r w:rsidR="00DF1229">
        <w:rPr>
          <w:rFonts w:eastAsia="Calibri" w:cs="Times New Roman"/>
          <w:szCs w:val="24"/>
        </w:rPr>
        <w:t>Hørte myndigheder og organisationer m.v.</w:t>
      </w:r>
    </w:p>
    <w:p w14:paraId="1129E5ED" w14:textId="09EE209A" w:rsidR="00DF1229" w:rsidRDefault="00D57EC8" w:rsidP="00A456AA">
      <w:pPr>
        <w:rPr>
          <w:rFonts w:eastAsia="Calibri" w:cs="Times New Roman"/>
          <w:szCs w:val="24"/>
        </w:rPr>
      </w:pPr>
      <w:r>
        <w:rPr>
          <w:rFonts w:eastAsia="Calibri" w:cs="Times New Roman"/>
          <w:szCs w:val="24"/>
        </w:rPr>
        <w:t>11</w:t>
      </w:r>
      <w:r w:rsidR="00DF1229">
        <w:rPr>
          <w:rFonts w:eastAsia="Calibri" w:cs="Times New Roman"/>
          <w:szCs w:val="24"/>
        </w:rPr>
        <w:t>. Sammenfattende skema</w:t>
      </w:r>
    </w:p>
    <w:p w14:paraId="0F666235" w14:textId="77777777" w:rsidR="00F0531D" w:rsidRPr="003B0B97" w:rsidRDefault="00F0531D" w:rsidP="00A456AA">
      <w:pPr>
        <w:rPr>
          <w:rFonts w:cs="Times New Roman"/>
          <w:szCs w:val="24"/>
        </w:rPr>
      </w:pPr>
    </w:p>
    <w:p w14:paraId="65D24C11" w14:textId="77777777" w:rsidR="00F0531D" w:rsidRDefault="00F0531D" w:rsidP="00A456AA">
      <w:pPr>
        <w:pStyle w:val="Overskrift1"/>
        <w:rPr>
          <w:rFonts w:cs="Times New Roman"/>
          <w:bCs w:val="0"/>
          <w:iCs/>
          <w:sz w:val="24"/>
          <w:szCs w:val="24"/>
        </w:rPr>
      </w:pPr>
      <w:bookmarkStart w:id="3" w:name="_Toc442277386"/>
      <w:bookmarkStart w:id="4" w:name="_Toc442281298"/>
      <w:bookmarkStart w:id="5" w:name="_Toc442281328"/>
      <w:bookmarkStart w:id="6" w:name="_Toc442777834"/>
      <w:bookmarkStart w:id="7" w:name="_Toc442787232"/>
      <w:bookmarkStart w:id="8" w:name="_Toc442787524"/>
      <w:bookmarkStart w:id="9" w:name="_Toc442953229"/>
      <w:bookmarkStart w:id="10" w:name="_Toc443047614"/>
      <w:bookmarkStart w:id="11" w:name="_Toc444095974"/>
      <w:bookmarkStart w:id="12" w:name="_Toc444244500"/>
      <w:bookmarkStart w:id="13" w:name="_Toc498557071"/>
      <w:bookmarkStart w:id="14" w:name="_Toc498557151"/>
      <w:bookmarkStart w:id="15" w:name="_Toc498557218"/>
      <w:bookmarkStart w:id="16" w:name="_Toc498557282"/>
      <w:bookmarkStart w:id="17" w:name="_Toc498590016"/>
      <w:bookmarkStart w:id="18" w:name="_Toc498681499"/>
      <w:bookmarkStart w:id="19" w:name="_Toc499152771"/>
      <w:bookmarkStart w:id="20" w:name="_Toc499158730"/>
      <w:bookmarkStart w:id="21" w:name="_Toc499648599"/>
      <w:bookmarkStart w:id="22" w:name="_Toc499728092"/>
      <w:bookmarkStart w:id="23" w:name="_Toc499732940"/>
      <w:bookmarkStart w:id="24" w:name="_Toc499736971"/>
      <w:bookmarkStart w:id="25" w:name="_Toc499812911"/>
      <w:bookmarkStart w:id="26" w:name="_Toc499813714"/>
      <w:bookmarkStart w:id="27" w:name="_Toc500921460"/>
      <w:bookmarkStart w:id="28" w:name="_Toc500921486"/>
      <w:bookmarkStart w:id="29" w:name="_Toc500921594"/>
      <w:bookmarkStart w:id="30" w:name="_Toc501019204"/>
      <w:bookmarkStart w:id="31" w:name="_Toc504483849"/>
      <w:bookmarkStart w:id="32" w:name="_Toc505180547"/>
      <w:bookmarkStart w:id="33" w:name="_Toc505690192"/>
      <w:bookmarkStart w:id="34" w:name="_Toc505701745"/>
      <w:bookmarkStart w:id="35" w:name="_Toc505759537"/>
      <w:bookmarkStart w:id="36" w:name="_Toc505759554"/>
      <w:bookmarkStart w:id="37" w:name="_Toc505762647"/>
      <w:bookmarkStart w:id="38" w:name="_Toc505785987"/>
      <w:bookmarkStart w:id="39" w:name="_Toc506799572"/>
      <w:bookmarkStart w:id="40" w:name="_Toc506799589"/>
      <w:bookmarkStart w:id="41" w:name="_Toc506894548"/>
      <w:bookmarkStart w:id="42" w:name="_Toc507486285"/>
      <w:bookmarkStart w:id="43" w:name="_Toc515271224"/>
      <w:bookmarkStart w:id="44" w:name="_Toc515271547"/>
      <w:bookmarkStart w:id="45" w:name="_Toc515271575"/>
      <w:bookmarkStart w:id="46" w:name="_Toc515280471"/>
      <w:bookmarkStart w:id="47" w:name="_Toc515280622"/>
      <w:bookmarkStart w:id="48" w:name="_Toc515352774"/>
      <w:bookmarkStart w:id="49" w:name="_Toc515540847"/>
      <w:bookmarkStart w:id="50" w:name="_Toc515543683"/>
      <w:bookmarkStart w:id="51" w:name="_Toc515543868"/>
      <w:bookmarkStart w:id="52" w:name="_Toc515551669"/>
      <w:bookmarkStart w:id="53" w:name="_Toc515627611"/>
      <w:bookmarkStart w:id="54" w:name="_Toc516039921"/>
      <w:bookmarkStart w:id="55" w:name="_Toc516155344"/>
      <w:bookmarkStart w:id="56" w:name="_Toc516490245"/>
      <w:bookmarkStart w:id="57" w:name="_Toc518037927"/>
      <w:bookmarkStart w:id="58" w:name="_Toc524599575"/>
      <w:bookmarkStart w:id="59" w:name="_Toc526154928"/>
      <w:bookmarkStart w:id="60" w:name="_Toc526155474"/>
      <w:bookmarkStart w:id="61" w:name="_Toc526155547"/>
      <w:bookmarkStart w:id="62" w:name="_Toc526253984"/>
      <w:bookmarkStart w:id="63" w:name="_Toc526348408"/>
      <w:bookmarkStart w:id="64" w:name="_Toc526374599"/>
      <w:bookmarkStart w:id="65" w:name="_Toc526374615"/>
      <w:bookmarkStart w:id="66" w:name="_Toc526406478"/>
      <w:bookmarkStart w:id="67" w:name="_Toc526409498"/>
      <w:bookmarkStart w:id="68" w:name="_Toc526491397"/>
      <w:bookmarkStart w:id="69" w:name="_Toc526505509"/>
      <w:bookmarkStart w:id="70" w:name="_Toc526756601"/>
      <w:r w:rsidRPr="003B0B97">
        <w:rPr>
          <w:rFonts w:cs="Times New Roman"/>
          <w:bCs w:val="0"/>
          <w:iCs/>
          <w:sz w:val="24"/>
          <w:szCs w:val="24"/>
        </w:rPr>
        <w:t>1. Indledning</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4FBD0696" w14:textId="18AEFAD5" w:rsidR="00417CAC" w:rsidRPr="00B401DC" w:rsidRDefault="00417CAC" w:rsidP="00F107AA">
      <w:pPr>
        <w:rPr>
          <w:szCs w:val="26"/>
        </w:rPr>
      </w:pPr>
      <w:r w:rsidRPr="00B401DC">
        <w:rPr>
          <w:szCs w:val="26"/>
        </w:rPr>
        <w:t xml:space="preserve">Lovforslaget har til formål at sætte </w:t>
      </w:r>
      <w:r w:rsidR="00F107AA" w:rsidRPr="00B401DC">
        <w:rPr>
          <w:szCs w:val="26"/>
        </w:rPr>
        <w:t xml:space="preserve">Europa-Parlamentets og Rådets forordning (EU) 2019/876 om ændring af forordning (EU) nr. 575/2013 for så vidt angår gearingsgrad, net stable </w:t>
      </w:r>
      <w:proofErr w:type="spellStart"/>
      <w:r w:rsidR="00F107AA" w:rsidRPr="00B401DC">
        <w:rPr>
          <w:szCs w:val="26"/>
        </w:rPr>
        <w:t>funding</w:t>
      </w:r>
      <w:proofErr w:type="spellEnd"/>
      <w:r w:rsidR="00F107AA" w:rsidRPr="00B401DC">
        <w:rPr>
          <w:szCs w:val="26"/>
        </w:rPr>
        <w:t xml:space="preserve"> ratio, krav til kapital-grundlag og </w:t>
      </w:r>
      <w:r w:rsidR="00F107AA" w:rsidRPr="00B401DC">
        <w:rPr>
          <w:szCs w:val="26"/>
        </w:rPr>
        <w:lastRenderedPageBreak/>
        <w:t>nedskrivningsrelevante passiver, modpartskreditrisiko, markedsrisiko, eksponeringer mod centrale modparter, eksponeringer mod kollektive investeringsordninger, store eksponeringer og indberetnings- og oplysningskrav (CRR II)</w:t>
      </w:r>
      <w:r w:rsidR="003E325B">
        <w:rPr>
          <w:szCs w:val="26"/>
        </w:rPr>
        <w:t xml:space="preserve">, </w:t>
      </w:r>
      <w:r w:rsidR="003E325B" w:rsidRPr="003E325B">
        <w:rPr>
          <w:szCs w:val="26"/>
        </w:rPr>
        <w:t>Europa-Parlamentets og Rådets forordning (EU) 2019/630 af 17. april 2019 om ændring af forordning (EU) nr. 575/2013, for så vidt angår krav til minimumsdækning af tab for misligholdte eksponeringer</w:t>
      </w:r>
      <w:r w:rsidR="003E325B">
        <w:rPr>
          <w:szCs w:val="26"/>
        </w:rPr>
        <w:t xml:space="preserve"> (NPE)</w:t>
      </w:r>
      <w:r w:rsidR="00F107AA" w:rsidRPr="00B401DC">
        <w:rPr>
          <w:szCs w:val="26"/>
        </w:rPr>
        <w:t xml:space="preserve"> og Europa-Parlamentets og Rådets forordning (EU) 2020/873 om ændring af forordning (EU) nr. 575/2013 og (EU) 2019/876, for så vidt angår visse justeringer som reaktion på covid-19-pandemien (CRR </w:t>
      </w:r>
      <w:r w:rsidR="00F45238">
        <w:rPr>
          <w:szCs w:val="26"/>
        </w:rPr>
        <w:t>Covid-19-relaterede justeringer</w:t>
      </w:r>
      <w:r w:rsidR="00F107AA" w:rsidRPr="00B401DC">
        <w:rPr>
          <w:szCs w:val="26"/>
        </w:rPr>
        <w:t>)</w:t>
      </w:r>
      <w:r w:rsidRPr="00B401DC">
        <w:rPr>
          <w:szCs w:val="26"/>
        </w:rPr>
        <w:t xml:space="preserve"> i kraft for </w:t>
      </w:r>
      <w:r w:rsidR="00AF4868">
        <w:rPr>
          <w:szCs w:val="26"/>
        </w:rPr>
        <w:t>Grønland</w:t>
      </w:r>
      <w:r w:rsidRPr="00B401DC">
        <w:rPr>
          <w:szCs w:val="26"/>
        </w:rPr>
        <w:t>.</w:t>
      </w:r>
    </w:p>
    <w:p w14:paraId="21B27D3D" w14:textId="77777777" w:rsidR="00417CAC" w:rsidRPr="00B401DC" w:rsidRDefault="00417CAC" w:rsidP="00417CAC">
      <w:pPr>
        <w:rPr>
          <w:szCs w:val="26"/>
        </w:rPr>
      </w:pPr>
    </w:p>
    <w:p w14:paraId="577B5158" w14:textId="6C4B962F" w:rsidR="00F107AA" w:rsidRPr="00B401DC" w:rsidRDefault="00417CAC" w:rsidP="00417CAC">
      <w:pPr>
        <w:rPr>
          <w:szCs w:val="26"/>
        </w:rPr>
      </w:pPr>
      <w:r w:rsidRPr="00B401DC">
        <w:rPr>
          <w:szCs w:val="26"/>
        </w:rPr>
        <w:t>Formålet med CRR II er at styrke kreditinstitutternes robusthed og</w:t>
      </w:r>
      <w:r w:rsidR="007D2EA8">
        <w:rPr>
          <w:szCs w:val="26"/>
        </w:rPr>
        <w:t xml:space="preserve"> øge den finansielle stabilitet</w:t>
      </w:r>
      <w:r w:rsidRPr="00B401DC">
        <w:rPr>
          <w:szCs w:val="26"/>
        </w:rPr>
        <w:t xml:space="preserve"> samtidig med</w:t>
      </w:r>
      <w:r w:rsidR="007D2EA8">
        <w:rPr>
          <w:szCs w:val="26"/>
        </w:rPr>
        <w:t>,</w:t>
      </w:r>
      <w:r w:rsidRPr="00B401DC">
        <w:rPr>
          <w:szCs w:val="26"/>
        </w:rPr>
        <w:t xml:space="preserve"> at </w:t>
      </w:r>
      <w:r w:rsidR="00573DB1">
        <w:rPr>
          <w:szCs w:val="26"/>
        </w:rPr>
        <w:t>reglerne</w:t>
      </w:r>
      <w:r w:rsidRPr="00B401DC">
        <w:rPr>
          <w:szCs w:val="26"/>
        </w:rPr>
        <w:t xml:space="preserve"> understøtter kreditformidling, vækst og beskæftigelse. </w:t>
      </w:r>
    </w:p>
    <w:p w14:paraId="30EC820C" w14:textId="0FB6F2B4" w:rsidR="00417CAC" w:rsidRDefault="00417CAC" w:rsidP="00417CAC">
      <w:pPr>
        <w:rPr>
          <w:szCs w:val="26"/>
        </w:rPr>
      </w:pPr>
    </w:p>
    <w:p w14:paraId="78899EBB" w14:textId="77978AF0" w:rsidR="0094572F" w:rsidRPr="00527D95" w:rsidRDefault="0094572F" w:rsidP="00A6043D">
      <w:pPr>
        <w:pStyle w:val="Overskrift1"/>
        <w:numPr>
          <w:ilvl w:val="0"/>
          <w:numId w:val="6"/>
        </w:numPr>
        <w:ind w:left="284" w:hanging="284"/>
        <w:rPr>
          <w:rFonts w:cs="Times New Roman"/>
          <w:iCs/>
          <w:szCs w:val="24"/>
        </w:rPr>
      </w:pPr>
      <w:r>
        <w:rPr>
          <w:szCs w:val="26"/>
        </w:rPr>
        <w:t>Baggrund</w:t>
      </w:r>
    </w:p>
    <w:p w14:paraId="1FE7B401" w14:textId="50DAA163" w:rsidR="00573DB1" w:rsidRDefault="00417CAC" w:rsidP="00573DB1">
      <w:pPr>
        <w:rPr>
          <w:szCs w:val="26"/>
        </w:rPr>
      </w:pPr>
      <w:r w:rsidRPr="00B401DC">
        <w:rPr>
          <w:szCs w:val="26"/>
        </w:rPr>
        <w:t>CRR II æn</w:t>
      </w:r>
      <w:r w:rsidR="00132ADA">
        <w:rPr>
          <w:szCs w:val="26"/>
        </w:rPr>
        <w:t>drer bl.a. rapporteringskrav vedrørende markedsrisiko</w:t>
      </w:r>
      <w:r w:rsidR="00DF4BF9">
        <w:rPr>
          <w:szCs w:val="26"/>
        </w:rPr>
        <w:t xml:space="preserve"> og ændrer</w:t>
      </w:r>
      <w:r w:rsidR="00132ADA">
        <w:rPr>
          <w:szCs w:val="26"/>
        </w:rPr>
        <w:t xml:space="preserve"> </w:t>
      </w:r>
      <w:r w:rsidRPr="00B401DC">
        <w:rPr>
          <w:szCs w:val="26"/>
        </w:rPr>
        <w:t>kapitalkrav</w:t>
      </w:r>
      <w:r w:rsidR="00132ADA">
        <w:rPr>
          <w:szCs w:val="26"/>
        </w:rPr>
        <w:t xml:space="preserve"> og </w:t>
      </w:r>
      <w:r w:rsidR="00DF4BF9">
        <w:rPr>
          <w:szCs w:val="26"/>
        </w:rPr>
        <w:t xml:space="preserve">regler om </w:t>
      </w:r>
      <w:r w:rsidR="00132ADA">
        <w:rPr>
          <w:szCs w:val="26"/>
        </w:rPr>
        <w:t>stabil finansiering. Kravene stammer fra Basel-Komiteen.</w:t>
      </w:r>
      <w:r w:rsidR="006B55B1">
        <w:rPr>
          <w:szCs w:val="26"/>
        </w:rPr>
        <w:t xml:space="preserve"> </w:t>
      </w:r>
      <w:r w:rsidR="006B55B1" w:rsidRPr="006B55B1">
        <w:rPr>
          <w:szCs w:val="26"/>
        </w:rPr>
        <w:t>Komiteen blev oprettet i 1974 med det formål at styrke det international finans</w:t>
      </w:r>
      <w:r w:rsidR="007D2EA8">
        <w:rPr>
          <w:szCs w:val="26"/>
        </w:rPr>
        <w:t>ielle systems stabilitet. Komité</w:t>
      </w:r>
      <w:r w:rsidR="006B55B1" w:rsidRPr="006B55B1">
        <w:rPr>
          <w:szCs w:val="26"/>
        </w:rPr>
        <w:t xml:space="preserve">en koordinerer det globale samarbejde inden for banktilsyn. Baselkomiteen for banktilsyn har bl.a. fastsat internationale anbefalinger </w:t>
      </w:r>
      <w:r w:rsidR="006B55B1">
        <w:rPr>
          <w:szCs w:val="26"/>
        </w:rPr>
        <w:t xml:space="preserve">(standarder) for tilstrækkelig kapital og likviditet, principper for </w:t>
      </w:r>
      <w:proofErr w:type="gramStart"/>
      <w:r w:rsidR="006B55B1">
        <w:rPr>
          <w:szCs w:val="26"/>
        </w:rPr>
        <w:t>effektiv banktilsyn</w:t>
      </w:r>
      <w:proofErr w:type="gramEnd"/>
      <w:r w:rsidR="006B55B1">
        <w:rPr>
          <w:szCs w:val="26"/>
        </w:rPr>
        <w:t xml:space="preserve"> og en overensstemmelse vedrørende grænseoverskridende banktilsyn.</w:t>
      </w:r>
    </w:p>
    <w:p w14:paraId="6E6E2B01" w14:textId="77777777" w:rsidR="007D2EA8" w:rsidRPr="006B55B1" w:rsidRDefault="007D2EA8" w:rsidP="00573DB1"/>
    <w:p w14:paraId="16F14423" w14:textId="3B087AD3" w:rsidR="00573DB1" w:rsidRDefault="00573DB1" w:rsidP="00573DB1">
      <w:pPr>
        <w:rPr>
          <w:rFonts w:eastAsiaTheme="majorEastAsia"/>
        </w:rPr>
      </w:pPr>
      <w:r>
        <w:t>CRR II trådte i kraft samtidigt med</w:t>
      </w:r>
      <w:r w:rsidR="007D2EA8">
        <w:t>,</w:t>
      </w:r>
      <w:r>
        <w:t xml:space="preserve"> at en revision af </w:t>
      </w:r>
      <w:r w:rsidRPr="002E41C2">
        <w:rPr>
          <w:rFonts w:eastAsiaTheme="majorEastAsia"/>
        </w:rPr>
        <w:t>direktiv om adgang til at udøve virksomhed som kreditinstitut og om tilsyn med kreditinstitutter og investeringsselskaber</w:t>
      </w:r>
      <w:r>
        <w:rPr>
          <w:rFonts w:eastAsiaTheme="majorEastAsia"/>
        </w:rPr>
        <w:t xml:space="preserve"> (CRD) og </w:t>
      </w:r>
      <w:r w:rsidRPr="00AA5F76">
        <w:t>direktivet om genopretning og afvikling af kreditinstitutter og investeringsselskaber</w:t>
      </w:r>
      <w:r>
        <w:t xml:space="preserve"> (BRRD)</w:t>
      </w:r>
      <w:r w:rsidRPr="00AA5F76">
        <w:rPr>
          <w:rFonts w:eastAsiaTheme="majorEastAsia"/>
        </w:rPr>
        <w:t xml:space="preserve"> fik virkning</w:t>
      </w:r>
      <w:r>
        <w:rPr>
          <w:rFonts w:eastAsiaTheme="majorEastAsia"/>
        </w:rPr>
        <w:t>.</w:t>
      </w:r>
    </w:p>
    <w:p w14:paraId="40CFA7EA" w14:textId="77777777" w:rsidR="00573DB1" w:rsidRDefault="00573DB1" w:rsidP="00573DB1">
      <w:pPr>
        <w:rPr>
          <w:rFonts w:eastAsiaTheme="majorEastAsia"/>
        </w:rPr>
      </w:pPr>
    </w:p>
    <w:p w14:paraId="7969947F" w14:textId="0BD97AF9" w:rsidR="00573DB1" w:rsidRDefault="00573DB1" w:rsidP="00573DB1">
      <w:pPr>
        <w:rPr>
          <w:szCs w:val="26"/>
        </w:rPr>
      </w:pPr>
      <w:r>
        <w:rPr>
          <w:rFonts w:eastAsiaTheme="majorEastAsia"/>
        </w:rPr>
        <w:t xml:space="preserve">Disse er direktiver er implementeret i dansk ret ved lov. Det drejer sig om lov om finansiel virksomhed og </w:t>
      </w:r>
      <w:r>
        <w:rPr>
          <w:rFonts w:eastAsia="Calibri"/>
        </w:rPr>
        <w:t xml:space="preserve">lov om restrukturering og afvikling visse finansielle institutter. </w:t>
      </w:r>
      <w:r>
        <w:rPr>
          <w:rFonts w:eastAsiaTheme="majorEastAsia"/>
        </w:rPr>
        <w:t xml:space="preserve">De skal sættes i kraft for </w:t>
      </w:r>
      <w:r w:rsidR="00AF4868">
        <w:rPr>
          <w:rFonts w:eastAsiaTheme="majorEastAsia"/>
        </w:rPr>
        <w:t>Grønland</w:t>
      </w:r>
      <w:r>
        <w:rPr>
          <w:rFonts w:eastAsiaTheme="majorEastAsia"/>
        </w:rPr>
        <w:t xml:space="preserve"> ved kongelig anordning. Ikrafttrædelsen af disse anordninger vil </w:t>
      </w:r>
      <w:r w:rsidR="0091747A">
        <w:rPr>
          <w:rFonts w:eastAsiaTheme="majorEastAsia"/>
        </w:rPr>
        <w:t xml:space="preserve">ske </w:t>
      </w:r>
      <w:r>
        <w:rPr>
          <w:rFonts w:eastAsiaTheme="majorEastAsia"/>
        </w:rPr>
        <w:t>samtidigt med, at denne lov sættes i kraft, jf. § 2.</w:t>
      </w:r>
    </w:p>
    <w:p w14:paraId="6272B9D4" w14:textId="77777777" w:rsidR="00417CAC" w:rsidRDefault="00417CAC" w:rsidP="00417CAC">
      <w:pPr>
        <w:rPr>
          <w:szCs w:val="26"/>
        </w:rPr>
      </w:pPr>
    </w:p>
    <w:p w14:paraId="664FF738" w14:textId="77777777" w:rsidR="003E325B" w:rsidRDefault="003E325B" w:rsidP="00417CAC">
      <w:pPr>
        <w:rPr>
          <w:szCs w:val="26"/>
        </w:rPr>
      </w:pPr>
      <w:r>
        <w:rPr>
          <w:szCs w:val="26"/>
        </w:rPr>
        <w:t xml:space="preserve">Formålet med NPE </w:t>
      </w:r>
      <w:r w:rsidRPr="003E325B">
        <w:rPr>
          <w:szCs w:val="26"/>
        </w:rPr>
        <w:t xml:space="preserve">er at medvirke til at begrænse opbygning af misligholdte </w:t>
      </w:r>
      <w:r>
        <w:rPr>
          <w:szCs w:val="26"/>
        </w:rPr>
        <w:t>lån</w:t>
      </w:r>
      <w:r w:rsidRPr="003E325B">
        <w:rPr>
          <w:szCs w:val="26"/>
        </w:rPr>
        <w:t xml:space="preserve"> ved at sikre, at banker nedskriver ret</w:t>
      </w:r>
      <w:r>
        <w:rPr>
          <w:szCs w:val="26"/>
        </w:rPr>
        <w:t>tidigt og tilstrækkeligt på mis</w:t>
      </w:r>
      <w:r w:rsidRPr="003E325B">
        <w:rPr>
          <w:szCs w:val="26"/>
        </w:rPr>
        <w:t xml:space="preserve">ligholdte lån. Det vil bl.a. forbedre bankernes muligheder for at afhænde porteføljer af misligholdte lån uden betydelige, negative økonomiske konsekvenser for bankerne, der dermed har mindre risiko for at måtte begrænse </w:t>
      </w:r>
      <w:r w:rsidRPr="003E325B">
        <w:rPr>
          <w:szCs w:val="26"/>
        </w:rPr>
        <w:lastRenderedPageBreak/>
        <w:t xml:space="preserve">udlånskapaciteten eller blive nødlidende som følge af en stor mængde </w:t>
      </w:r>
      <w:proofErr w:type="gramStart"/>
      <w:r w:rsidRPr="003E325B">
        <w:rPr>
          <w:szCs w:val="26"/>
        </w:rPr>
        <w:t>misligholdte</w:t>
      </w:r>
      <w:proofErr w:type="gramEnd"/>
      <w:r w:rsidRPr="003E325B">
        <w:rPr>
          <w:szCs w:val="26"/>
        </w:rPr>
        <w:t xml:space="preserve"> lån.</w:t>
      </w:r>
    </w:p>
    <w:p w14:paraId="24CC0D31" w14:textId="77777777" w:rsidR="003E325B" w:rsidRPr="00B401DC" w:rsidRDefault="003E325B" w:rsidP="00417CAC">
      <w:pPr>
        <w:rPr>
          <w:szCs w:val="26"/>
        </w:rPr>
      </w:pPr>
    </w:p>
    <w:p w14:paraId="4322CF37" w14:textId="314F61C6" w:rsidR="00573DB1" w:rsidRPr="00B401DC" w:rsidRDefault="00573DB1" w:rsidP="00573DB1">
      <w:pPr>
        <w:rPr>
          <w:szCs w:val="26"/>
        </w:rPr>
      </w:pPr>
      <w:r w:rsidRPr="00B401DC">
        <w:rPr>
          <w:szCs w:val="26"/>
        </w:rPr>
        <w:t xml:space="preserve">Formålet med CRR </w:t>
      </w:r>
      <w:r w:rsidR="00F45238">
        <w:rPr>
          <w:szCs w:val="26"/>
        </w:rPr>
        <w:t>Covid-19-relaterede justeringer</w:t>
      </w:r>
      <w:r w:rsidRPr="00B401DC">
        <w:rPr>
          <w:szCs w:val="26"/>
        </w:rPr>
        <w:t xml:space="preserve"> er at understøtte kreditinstitutter i EU-landene i fortsat at låne ud til virksomheder og privatpersoner under COVID-19-krisen og den følgende genopretning af europæisk økonomi.</w:t>
      </w:r>
    </w:p>
    <w:p w14:paraId="29745696" w14:textId="77777777" w:rsidR="00573DB1" w:rsidRDefault="00573DB1" w:rsidP="00417CAC">
      <w:pPr>
        <w:rPr>
          <w:szCs w:val="26"/>
        </w:rPr>
      </w:pPr>
    </w:p>
    <w:p w14:paraId="6F2A77A7" w14:textId="0D2BBB5C" w:rsidR="00417CAC" w:rsidRDefault="00417CAC" w:rsidP="00417CAC">
      <w:pPr>
        <w:rPr>
          <w:szCs w:val="26"/>
        </w:rPr>
      </w:pPr>
      <w:r w:rsidRPr="00B401DC">
        <w:rPr>
          <w:szCs w:val="26"/>
        </w:rPr>
        <w:t xml:space="preserve">CRR </w:t>
      </w:r>
      <w:r w:rsidR="00F45238">
        <w:rPr>
          <w:szCs w:val="26"/>
        </w:rPr>
        <w:t>Covid-19-relaterede justeringer</w:t>
      </w:r>
      <w:r w:rsidRPr="00B401DC">
        <w:rPr>
          <w:szCs w:val="26"/>
        </w:rPr>
        <w:t xml:space="preserve"> indeholder lempelser af nogle af kapitalkrav</w:t>
      </w:r>
      <w:r w:rsidR="002012CB">
        <w:rPr>
          <w:szCs w:val="26"/>
        </w:rPr>
        <w:t>ene</w:t>
      </w:r>
      <w:r w:rsidRPr="00B401DC">
        <w:rPr>
          <w:szCs w:val="26"/>
        </w:rPr>
        <w:t xml:space="preserve"> til kreditinstitutter i CRR II.</w:t>
      </w:r>
    </w:p>
    <w:p w14:paraId="4B3D4697" w14:textId="77777777" w:rsidR="00AB1523" w:rsidRDefault="00AB1523" w:rsidP="00417CAC">
      <w:pPr>
        <w:rPr>
          <w:szCs w:val="26"/>
        </w:rPr>
      </w:pPr>
    </w:p>
    <w:p w14:paraId="08C9F1B1" w14:textId="58F3214E" w:rsidR="00C77564" w:rsidRPr="00B401DC" w:rsidRDefault="00C77564" w:rsidP="00C77564">
      <w:pPr>
        <w:rPr>
          <w:szCs w:val="26"/>
        </w:rPr>
      </w:pPr>
      <w:r w:rsidRPr="00B401DC">
        <w:rPr>
          <w:szCs w:val="26"/>
        </w:rPr>
        <w:t>Med lovforsl</w:t>
      </w:r>
      <w:r w:rsidR="00573DB1">
        <w:rPr>
          <w:szCs w:val="26"/>
        </w:rPr>
        <w:t>a</w:t>
      </w:r>
      <w:r w:rsidRPr="00B401DC">
        <w:rPr>
          <w:szCs w:val="26"/>
        </w:rPr>
        <w:t xml:space="preserve">get er det hensigten at sikre, at der gælder regler for </w:t>
      </w:r>
      <w:r w:rsidR="00AF4868">
        <w:rPr>
          <w:szCs w:val="26"/>
        </w:rPr>
        <w:t>Grønland</w:t>
      </w:r>
      <w:r w:rsidRPr="00B401DC">
        <w:rPr>
          <w:szCs w:val="26"/>
        </w:rPr>
        <w:t xml:space="preserve">, der – tilpasset de </w:t>
      </w:r>
      <w:r w:rsidR="00AF4868">
        <w:rPr>
          <w:szCs w:val="26"/>
        </w:rPr>
        <w:t>grønlandsk</w:t>
      </w:r>
      <w:r w:rsidRPr="00B401DC">
        <w:rPr>
          <w:szCs w:val="26"/>
        </w:rPr>
        <w:t>e forhold – svarer til de regler, som gælder i Danmark i medfør af ændringsforordningerne til CRR.</w:t>
      </w:r>
    </w:p>
    <w:p w14:paraId="4649B6D1" w14:textId="77777777" w:rsidR="001464BE" w:rsidRDefault="001464BE" w:rsidP="001464BE">
      <w:pPr>
        <w:rPr>
          <w:rFonts w:cs="Times New Roman"/>
          <w:szCs w:val="24"/>
        </w:rPr>
      </w:pPr>
    </w:p>
    <w:p w14:paraId="14F74D84" w14:textId="5C24B952" w:rsidR="001464BE" w:rsidRPr="00FA7862" w:rsidRDefault="001464BE" w:rsidP="001464BE">
      <w:pPr>
        <w:rPr>
          <w:rFonts w:cs="Times New Roman"/>
          <w:szCs w:val="24"/>
        </w:rPr>
      </w:pPr>
      <w:r w:rsidRPr="00FA7862">
        <w:rPr>
          <w:rFonts w:cs="Times New Roman"/>
          <w:szCs w:val="24"/>
        </w:rPr>
        <w:t xml:space="preserve">Med nærværende lovforslag sikres, at der for aktørerne, herunder de finansielle institutter </w:t>
      </w:r>
      <w:r w:rsidR="00B05606">
        <w:rPr>
          <w:rFonts w:cs="Times New Roman"/>
          <w:szCs w:val="24"/>
        </w:rPr>
        <w:t>i Grønland</w:t>
      </w:r>
      <w:r w:rsidRPr="00FA7862">
        <w:rPr>
          <w:rFonts w:cs="Times New Roman"/>
          <w:szCs w:val="24"/>
        </w:rPr>
        <w:t xml:space="preserve"> gælder enslydende regler som i resten af EU i forhold til CRR. </w:t>
      </w:r>
      <w:r>
        <w:rPr>
          <w:rFonts w:cs="Times New Roman"/>
          <w:szCs w:val="24"/>
        </w:rPr>
        <w:t>Dette vil resultere i, at de fi</w:t>
      </w:r>
      <w:r w:rsidRPr="00FA7862">
        <w:rPr>
          <w:rFonts w:cs="Times New Roman"/>
          <w:szCs w:val="24"/>
        </w:rPr>
        <w:t xml:space="preserve">nansielle institutter </w:t>
      </w:r>
      <w:r w:rsidR="00B05606">
        <w:rPr>
          <w:rFonts w:cs="Times New Roman"/>
          <w:szCs w:val="24"/>
        </w:rPr>
        <w:t>i Grønland</w:t>
      </w:r>
      <w:r w:rsidRPr="00FA7862">
        <w:rPr>
          <w:rFonts w:cs="Times New Roman"/>
          <w:szCs w:val="24"/>
        </w:rPr>
        <w:t xml:space="preserve"> har et sammenligneligt lovgrundlag, hv</w:t>
      </w:r>
      <w:r>
        <w:rPr>
          <w:rFonts w:cs="Times New Roman"/>
          <w:szCs w:val="24"/>
        </w:rPr>
        <w:t>ilket gør</w:t>
      </w:r>
      <w:r w:rsidRPr="00FA7862">
        <w:rPr>
          <w:rFonts w:cs="Times New Roman"/>
          <w:szCs w:val="24"/>
        </w:rPr>
        <w:t xml:space="preserve"> adgangen til kapital og likviditet nemmere.</w:t>
      </w:r>
    </w:p>
    <w:p w14:paraId="6E656F68" w14:textId="77777777" w:rsidR="001464BE" w:rsidRPr="00FA7862" w:rsidRDefault="001464BE" w:rsidP="001464BE">
      <w:pPr>
        <w:rPr>
          <w:rFonts w:cs="Times New Roman"/>
          <w:szCs w:val="24"/>
        </w:rPr>
      </w:pPr>
    </w:p>
    <w:p w14:paraId="446FDA4C" w14:textId="5EEB08C6" w:rsidR="001464BE" w:rsidRDefault="001464BE" w:rsidP="001464BE">
      <w:pPr>
        <w:rPr>
          <w:rFonts w:cs="Times New Roman"/>
          <w:szCs w:val="24"/>
        </w:rPr>
      </w:pPr>
      <w:r w:rsidRPr="00FA7862">
        <w:rPr>
          <w:rFonts w:cs="Times New Roman"/>
          <w:szCs w:val="24"/>
        </w:rPr>
        <w:t xml:space="preserve">Det bemærkes, at CRR </w:t>
      </w:r>
      <w:r>
        <w:rPr>
          <w:rFonts w:cs="Times New Roman"/>
          <w:szCs w:val="24"/>
        </w:rPr>
        <w:t xml:space="preserve">II </w:t>
      </w:r>
      <w:r w:rsidRPr="00FA7862">
        <w:rPr>
          <w:rFonts w:cs="Times New Roman"/>
          <w:szCs w:val="24"/>
        </w:rPr>
        <w:t>i det væsentligste er at karakterisere som te</w:t>
      </w:r>
      <w:r>
        <w:rPr>
          <w:rFonts w:cs="Times New Roman"/>
          <w:szCs w:val="24"/>
        </w:rPr>
        <w:t>knisk regulering rettet mod pro</w:t>
      </w:r>
      <w:r w:rsidRPr="00FA7862">
        <w:rPr>
          <w:rFonts w:cs="Times New Roman"/>
          <w:szCs w:val="24"/>
        </w:rPr>
        <w:t xml:space="preserve">fessionelle aktører. De professionelle aktører </w:t>
      </w:r>
      <w:r>
        <w:rPr>
          <w:rFonts w:cs="Times New Roman"/>
          <w:szCs w:val="24"/>
        </w:rPr>
        <w:t>er</w:t>
      </w:r>
      <w:r w:rsidRPr="00FA7862">
        <w:rPr>
          <w:rFonts w:cs="Times New Roman"/>
          <w:szCs w:val="24"/>
        </w:rPr>
        <w:t xml:space="preserve"> fortrolige med anvendelsen af CRR i internationale sammenhæng</w:t>
      </w:r>
      <w:r>
        <w:rPr>
          <w:rFonts w:cs="Times New Roman"/>
          <w:szCs w:val="24"/>
        </w:rPr>
        <w:t>e, hvilket kan give et godt sam</w:t>
      </w:r>
      <w:r w:rsidRPr="00FA7862">
        <w:rPr>
          <w:rFonts w:cs="Times New Roman"/>
          <w:szCs w:val="24"/>
        </w:rPr>
        <w:t>menligningsgrundlag med andre institutter og et godt udgangspunkt for vurderingen af det enkelte</w:t>
      </w:r>
      <w:r>
        <w:rPr>
          <w:rFonts w:cs="Times New Roman"/>
          <w:szCs w:val="24"/>
        </w:rPr>
        <w:t xml:space="preserve"> </w:t>
      </w:r>
      <w:r w:rsidR="00AF4868">
        <w:rPr>
          <w:rFonts w:cs="Times New Roman"/>
          <w:szCs w:val="24"/>
        </w:rPr>
        <w:t>grønlandsk</w:t>
      </w:r>
      <w:r>
        <w:rPr>
          <w:rFonts w:cs="Times New Roman"/>
          <w:szCs w:val="24"/>
        </w:rPr>
        <w:t>e</w:t>
      </w:r>
      <w:r w:rsidRPr="00FA7862">
        <w:rPr>
          <w:rFonts w:cs="Times New Roman"/>
          <w:szCs w:val="24"/>
        </w:rPr>
        <w:t xml:space="preserve"> institut, idet lovgivningsgrundlaget er sammenligneligt. </w:t>
      </w:r>
    </w:p>
    <w:p w14:paraId="121676A5" w14:textId="77777777" w:rsidR="00417CAC" w:rsidRPr="00B401DC" w:rsidRDefault="00417CAC" w:rsidP="00417CAC">
      <w:pPr>
        <w:rPr>
          <w:szCs w:val="26"/>
        </w:rPr>
      </w:pPr>
    </w:p>
    <w:p w14:paraId="02D2540A" w14:textId="294BE7E3" w:rsidR="00EA7DDF" w:rsidRPr="00B401DC" w:rsidRDefault="00AF4868" w:rsidP="00417CAC">
      <w:pPr>
        <w:rPr>
          <w:szCs w:val="26"/>
        </w:rPr>
      </w:pPr>
      <w:r>
        <w:rPr>
          <w:szCs w:val="26"/>
        </w:rPr>
        <w:t>Grønland</w:t>
      </w:r>
      <w:r w:rsidR="00417CAC" w:rsidRPr="00B401DC">
        <w:rPr>
          <w:szCs w:val="26"/>
        </w:rPr>
        <w:t xml:space="preserve"> er ikke medlem af EU</w:t>
      </w:r>
      <w:r w:rsidR="00573DB1">
        <w:rPr>
          <w:szCs w:val="26"/>
        </w:rPr>
        <w:t>.</w:t>
      </w:r>
      <w:r w:rsidR="00417CAC" w:rsidRPr="00B401DC">
        <w:rPr>
          <w:szCs w:val="26"/>
        </w:rPr>
        <w:t xml:space="preserve"> </w:t>
      </w:r>
      <w:r w:rsidR="00573DB1">
        <w:rPr>
          <w:szCs w:val="26"/>
        </w:rPr>
        <w:t>F</w:t>
      </w:r>
      <w:r w:rsidR="00417CAC" w:rsidRPr="00B401DC">
        <w:rPr>
          <w:szCs w:val="26"/>
        </w:rPr>
        <w:t xml:space="preserve">orordningerne har derfor ikke virkning i </w:t>
      </w:r>
      <w:r>
        <w:rPr>
          <w:szCs w:val="26"/>
        </w:rPr>
        <w:t>Grønland</w:t>
      </w:r>
      <w:r w:rsidR="00417CAC" w:rsidRPr="00B401DC">
        <w:rPr>
          <w:szCs w:val="26"/>
        </w:rPr>
        <w:t xml:space="preserve">. </w:t>
      </w:r>
      <w:r w:rsidR="00573DB1">
        <w:rPr>
          <w:szCs w:val="26"/>
        </w:rPr>
        <w:t>F</w:t>
      </w:r>
      <w:r w:rsidR="00417CAC" w:rsidRPr="00B401DC">
        <w:rPr>
          <w:szCs w:val="26"/>
        </w:rPr>
        <w:t xml:space="preserve">or at understøtte samhandlen inden for rigsfællesskabet og for at sikre den </w:t>
      </w:r>
      <w:r>
        <w:rPr>
          <w:szCs w:val="26"/>
        </w:rPr>
        <w:t>grønlandsk</w:t>
      </w:r>
      <w:r w:rsidR="00417CAC" w:rsidRPr="00B401DC">
        <w:rPr>
          <w:szCs w:val="26"/>
        </w:rPr>
        <w:t>e finansielle sektors mulighed for at tilbyde tjenesteydelser internationalt</w:t>
      </w:r>
      <w:r w:rsidR="00573DB1">
        <w:rPr>
          <w:szCs w:val="26"/>
        </w:rPr>
        <w:t>,</w:t>
      </w:r>
      <w:r w:rsidR="00573DB1" w:rsidRPr="00573DB1">
        <w:rPr>
          <w:szCs w:val="26"/>
        </w:rPr>
        <w:t xml:space="preserve"> </w:t>
      </w:r>
      <w:r w:rsidR="00573DB1" w:rsidRPr="00B401DC">
        <w:rPr>
          <w:szCs w:val="26"/>
        </w:rPr>
        <w:t>er</w:t>
      </w:r>
      <w:r w:rsidR="00573DB1">
        <w:rPr>
          <w:szCs w:val="26"/>
        </w:rPr>
        <w:t xml:space="preserve"> det</w:t>
      </w:r>
      <w:r w:rsidR="00573DB1" w:rsidRPr="00B401DC">
        <w:rPr>
          <w:szCs w:val="26"/>
        </w:rPr>
        <w:t xml:space="preserve"> nødvendigt at sætte reglerne i kraft</w:t>
      </w:r>
      <w:r w:rsidR="00573DB1">
        <w:rPr>
          <w:szCs w:val="26"/>
        </w:rPr>
        <w:t xml:space="preserve"> ved lov.</w:t>
      </w:r>
    </w:p>
    <w:p w14:paraId="59EEAAAB" w14:textId="77777777" w:rsidR="00417CAC" w:rsidRPr="00B401DC" w:rsidRDefault="00417CAC" w:rsidP="00417CAC">
      <w:pPr>
        <w:rPr>
          <w:szCs w:val="26"/>
        </w:rPr>
      </w:pPr>
    </w:p>
    <w:p w14:paraId="34165451" w14:textId="52D5F493" w:rsidR="00C77564" w:rsidRDefault="00C77564" w:rsidP="00C77564">
      <w:r>
        <w:t>Det sker ved</w:t>
      </w:r>
      <w:r w:rsidR="00573DB1">
        <w:t>,</w:t>
      </w:r>
      <w:r>
        <w:t xml:space="preserve"> at regler</w:t>
      </w:r>
      <w:r w:rsidR="00210C67">
        <w:t>ne i</w:t>
      </w:r>
      <w:r>
        <w:t xml:space="preserve"> forordning</w:t>
      </w:r>
      <w:r w:rsidR="0027384D">
        <w:t>erne</w:t>
      </w:r>
      <w:r>
        <w:t xml:space="preserve"> gennemføres for </w:t>
      </w:r>
      <w:r w:rsidR="00AF4868">
        <w:t>Grønland</w:t>
      </w:r>
      <w:r>
        <w:t xml:space="preserve"> ved inkorporering, </w:t>
      </w:r>
      <w:proofErr w:type="gramStart"/>
      <w:r>
        <w:t>således at</w:t>
      </w:r>
      <w:proofErr w:type="gramEnd"/>
      <w:r>
        <w:t xml:space="preserve"> </w:t>
      </w:r>
      <w:r w:rsidRPr="004632CF">
        <w:t xml:space="preserve">der i lovteksten medtages en bestemmelse om, at forordningen gælder for </w:t>
      </w:r>
      <w:r w:rsidR="00AF4868">
        <w:t>Grønland</w:t>
      </w:r>
      <w:r w:rsidRPr="004632CF">
        <w:t xml:space="preserve"> og således</w:t>
      </w:r>
      <w:r w:rsidR="007D2EA8">
        <w:t>,</w:t>
      </w:r>
      <w:r w:rsidRPr="004632CF">
        <w:t xml:space="preserve"> at forordninge</w:t>
      </w:r>
      <w:r w:rsidR="0027384D">
        <w:t>r</w:t>
      </w:r>
      <w:r w:rsidRPr="004632CF">
        <w:t>n</w:t>
      </w:r>
      <w:r w:rsidR="0027384D">
        <w:t>e</w:t>
      </w:r>
      <w:r w:rsidRPr="004632CF">
        <w:t xml:space="preserve"> i </w:t>
      </w:r>
      <w:r w:rsidR="0027384D">
        <w:t>deres</w:t>
      </w:r>
      <w:r w:rsidRPr="004632CF">
        <w:t xml:space="preserve"> helhed medtages som et bilag til loven.</w:t>
      </w:r>
    </w:p>
    <w:p w14:paraId="1B8965BD" w14:textId="77777777" w:rsidR="00C77564" w:rsidRDefault="00C77564" w:rsidP="00C77564"/>
    <w:p w14:paraId="0110D5B6" w14:textId="2E66A1AF" w:rsidR="00C77564" w:rsidRDefault="00C77564" w:rsidP="00C77564">
      <w:r>
        <w:t xml:space="preserve">Da </w:t>
      </w:r>
      <w:r w:rsidR="00AF4868">
        <w:t>Grønland</w:t>
      </w:r>
      <w:r>
        <w:t xml:space="preserve"> ikke er medlem af EU, vil det </w:t>
      </w:r>
      <w:proofErr w:type="gramStart"/>
      <w:r>
        <w:t>endvidere</w:t>
      </w:r>
      <w:proofErr w:type="gramEnd"/>
      <w:r>
        <w:t xml:space="preserve"> være nødvendigt at tage stilling til, hvordan bestemmelser i en EU-forordning, som ønskes sat i </w:t>
      </w:r>
      <w:r>
        <w:lastRenderedPageBreak/>
        <w:t xml:space="preserve">kraft for </w:t>
      </w:r>
      <w:r w:rsidR="00AF4868">
        <w:t>Grønland</w:t>
      </w:r>
      <w:r>
        <w:t xml:space="preserve">, skal forstås og anvendes </w:t>
      </w:r>
      <w:r w:rsidR="00B05606">
        <w:t>i Grønland</w:t>
      </w:r>
      <w:r>
        <w:t xml:space="preserve">, når der i bestemmelserne henvises til andre EU-retsakter (forordninger, direktiver, afgørelser mv.). Er sådanne EU-retsakter sat i kraft for </w:t>
      </w:r>
      <w:r w:rsidR="00AF4868">
        <w:t>Grønland</w:t>
      </w:r>
      <w:r>
        <w:t xml:space="preserve"> ved anden lovgivning, vil der normalt blot kunne henvises hertil. Er EU-retsakterne ikke allerede gennemført, vil en anvendelse af modellen kræve, at de gennemføres (helt eller delvist) ved henvisning og optages som bilag til loven, eller også kan der efter omstændighederne indsættes nogle bestemmelser i loven, som nærmere regulerer, hvordan de relevante dele af retsakterne skal forstås. </w:t>
      </w:r>
    </w:p>
    <w:p w14:paraId="7DE3569E" w14:textId="77777777" w:rsidR="00C77564" w:rsidRDefault="00C77564" w:rsidP="00C77564"/>
    <w:p w14:paraId="157EF1C0" w14:textId="007CFBBD" w:rsidR="00803C74" w:rsidRDefault="00803C74" w:rsidP="00803C74">
      <w:r>
        <w:t>Der er om</w:t>
      </w:r>
      <w:r w:rsidR="002D14F8">
        <w:t>trent</w:t>
      </w:r>
      <w:r>
        <w:t xml:space="preserve"> 250 henvisninger til EU-retsakter i CRR II</w:t>
      </w:r>
      <w:r w:rsidR="005F642F">
        <w:t>, NPE og</w:t>
      </w:r>
      <w:r>
        <w:t xml:space="preserve"> CRR </w:t>
      </w:r>
      <w:r w:rsidR="00F45238">
        <w:t>Covid-19-relaterede justeringer</w:t>
      </w:r>
      <w:r>
        <w:t xml:space="preserve">. Tilpasningen af henvisningerne til de </w:t>
      </w:r>
      <w:r w:rsidR="00AF4868">
        <w:t>grønlandsk</w:t>
      </w:r>
      <w:r>
        <w:t xml:space="preserve">e forhold, som beskrevet ovenfor foretages efterfølgende i en bekendtgørelse med hjemmel i § 2 i den gældende </w:t>
      </w:r>
      <w:r w:rsidRPr="00E77C05">
        <w:t xml:space="preserve">lov for </w:t>
      </w:r>
      <w:r w:rsidR="00AF4868">
        <w:t>Grønland</w:t>
      </w:r>
      <w:r w:rsidRPr="00E77C05">
        <w:t xml:space="preserve"> om kapital og tilsynsmæssige krav for kreditinstitutter og investeringsselskaber</w:t>
      </w:r>
      <w:r w:rsidR="00A83729">
        <w:t>.</w:t>
      </w:r>
    </w:p>
    <w:p w14:paraId="420D05A0" w14:textId="77777777" w:rsidR="00C77564" w:rsidRDefault="00C77564" w:rsidP="00C77564"/>
    <w:p w14:paraId="089DB1C8" w14:textId="000ED671" w:rsidR="00C77564" w:rsidRDefault="00C77564" w:rsidP="00C77564">
      <w:r w:rsidRPr="00B401DC">
        <w:t xml:space="preserve">Proceduren for at sætte forordningerne i kraft følger den lovgivningsprocedure, der blev brugt, da Europa-Parlamentets og Rådes forordning (EU) nr. 575/2013 om tilsynsmæssige krav til kreditinstitutter og investeringsselskaber </w:t>
      </w:r>
      <w:r w:rsidR="00982434">
        <w:t xml:space="preserve">(CRR) </w:t>
      </w:r>
      <w:r w:rsidRPr="00B401DC">
        <w:t xml:space="preserve">blev sat i kraft ved lov for </w:t>
      </w:r>
      <w:r w:rsidR="00AF4868">
        <w:t>Grønland</w:t>
      </w:r>
      <w:r w:rsidRPr="00B401DC">
        <w:t xml:space="preserve"> om kapitalkrav og tilsynsmæssige krav for kreditinstitutter og investeringsselskaber.</w:t>
      </w:r>
    </w:p>
    <w:p w14:paraId="24B9F34A" w14:textId="77777777" w:rsidR="00C77564" w:rsidRDefault="00C77564" w:rsidP="00C77564"/>
    <w:p w14:paraId="0CB7291D" w14:textId="37447C0F" w:rsidR="00C77564" w:rsidRPr="00B401DC" w:rsidRDefault="00A83729" w:rsidP="00C77564">
      <w:r>
        <w:t xml:space="preserve">Loven sættes i kraft ved en bekendtgørelse udstedt af erhvervsministeren. </w:t>
      </w:r>
      <w:r w:rsidR="00C77564">
        <w:t xml:space="preserve">Den nærmere procedure </w:t>
      </w:r>
      <w:r w:rsidR="00A27401">
        <w:t>for tilpasning og ikrafttræden</w:t>
      </w:r>
      <w:r w:rsidR="00C77564">
        <w:t xml:space="preserve"> aftales mellem de </w:t>
      </w:r>
      <w:r w:rsidR="00AF4868">
        <w:t>grønlandsk</w:t>
      </w:r>
      <w:r w:rsidR="00C77564">
        <w:t xml:space="preserve">e myndigheder erhvervsministeren. Det bemærkes hertil, at de </w:t>
      </w:r>
      <w:r w:rsidR="00AF4868">
        <w:t>grønlandsk</w:t>
      </w:r>
      <w:r w:rsidR="00C77564">
        <w:t>e myndigheder kan betinge lovens ikrafttræden</w:t>
      </w:r>
      <w:r w:rsidR="001464BE">
        <w:t xml:space="preserve"> af</w:t>
      </w:r>
      <w:r w:rsidR="00C77564">
        <w:t xml:space="preserve">, at en bekendtgørelse </w:t>
      </w:r>
      <w:r w:rsidR="000900D5">
        <w:t xml:space="preserve">om tilpasning til </w:t>
      </w:r>
      <w:r w:rsidR="00AF4868">
        <w:t>grønlandsk</w:t>
      </w:r>
      <w:r w:rsidR="000900D5">
        <w:t xml:space="preserve">e forhold </w:t>
      </w:r>
      <w:r w:rsidR="00C77564">
        <w:t xml:space="preserve">er udfærdiget inden </w:t>
      </w:r>
      <w:r w:rsidR="001464BE">
        <w:t xml:space="preserve">loven og dermed forordningerne træder i </w:t>
      </w:r>
      <w:r w:rsidR="00C77564">
        <w:t>kraft.</w:t>
      </w:r>
      <w:r>
        <w:t xml:space="preserve"> </w:t>
      </w:r>
    </w:p>
    <w:p w14:paraId="69B0FF18" w14:textId="77777777" w:rsidR="00FA7862" w:rsidRPr="00FA7862" w:rsidRDefault="00FA7862" w:rsidP="00FA7862">
      <w:pPr>
        <w:rPr>
          <w:rFonts w:cs="Times New Roman"/>
          <w:szCs w:val="24"/>
        </w:rPr>
      </w:pPr>
    </w:p>
    <w:p w14:paraId="46373973" w14:textId="26C64C1B" w:rsidR="00FA7862" w:rsidRDefault="00AF4868" w:rsidP="00FA7862">
      <w:pPr>
        <w:rPr>
          <w:rFonts w:cs="Times New Roman"/>
          <w:szCs w:val="24"/>
        </w:rPr>
      </w:pPr>
      <w:r>
        <w:rPr>
          <w:rFonts w:cs="Times New Roman"/>
          <w:szCs w:val="24"/>
        </w:rPr>
        <w:t>Grønland</w:t>
      </w:r>
      <w:r w:rsidR="00FA7862" w:rsidRPr="00FA7862">
        <w:rPr>
          <w:rFonts w:cs="Times New Roman"/>
          <w:szCs w:val="24"/>
        </w:rPr>
        <w:t xml:space="preserve"> er inddraget i lovgivningsprocessen m.v. i overensstemmelse med de retningslinjer, der følger af Statsministeriets vejledning nr. 59 af 2. juli 2012 om ministeriers behandling af sager vedrørende </w:t>
      </w:r>
      <w:r>
        <w:rPr>
          <w:rFonts w:cs="Times New Roman"/>
          <w:szCs w:val="24"/>
        </w:rPr>
        <w:t>Grønland</w:t>
      </w:r>
      <w:r w:rsidR="00FA7862" w:rsidRPr="00FA7862">
        <w:rPr>
          <w:rFonts w:cs="Times New Roman"/>
          <w:szCs w:val="24"/>
        </w:rPr>
        <w:t>.</w:t>
      </w:r>
    </w:p>
    <w:p w14:paraId="4FA3C2AC" w14:textId="77777777" w:rsidR="00CC73F3" w:rsidRDefault="00CC73F3" w:rsidP="00F87402">
      <w:pPr>
        <w:rPr>
          <w:rFonts w:cs="Times New Roman"/>
          <w:szCs w:val="24"/>
        </w:rPr>
      </w:pPr>
    </w:p>
    <w:p w14:paraId="58702EC7" w14:textId="77777777" w:rsidR="00F0531D" w:rsidRPr="003B0B97" w:rsidRDefault="005F1F5A" w:rsidP="00A456AA">
      <w:pPr>
        <w:pStyle w:val="Overskrift1"/>
        <w:rPr>
          <w:rFonts w:cs="Times New Roman"/>
          <w:bCs w:val="0"/>
          <w:iCs/>
          <w:sz w:val="24"/>
          <w:szCs w:val="24"/>
        </w:rPr>
      </w:pPr>
      <w:bookmarkStart w:id="71" w:name="_Toc498557219"/>
      <w:bookmarkStart w:id="72" w:name="_Toc498557283"/>
      <w:bookmarkStart w:id="73" w:name="_Toc498590017"/>
      <w:bookmarkStart w:id="74" w:name="_Toc498681500"/>
      <w:bookmarkStart w:id="75" w:name="_Toc499152772"/>
      <w:bookmarkStart w:id="76" w:name="_Toc499158731"/>
      <w:bookmarkStart w:id="77" w:name="_Toc499648600"/>
      <w:bookmarkStart w:id="78" w:name="_Toc499728093"/>
      <w:bookmarkStart w:id="79" w:name="_Toc499732941"/>
      <w:bookmarkStart w:id="80" w:name="_Toc499736972"/>
      <w:bookmarkStart w:id="81" w:name="_Toc499812912"/>
      <w:bookmarkStart w:id="82" w:name="_Toc499813715"/>
      <w:bookmarkStart w:id="83" w:name="_Toc500921461"/>
      <w:bookmarkStart w:id="84" w:name="_Toc500921487"/>
      <w:bookmarkStart w:id="85" w:name="_Toc500921595"/>
      <w:bookmarkStart w:id="86" w:name="_Toc501019205"/>
      <w:bookmarkStart w:id="87" w:name="_Toc504483850"/>
      <w:bookmarkStart w:id="88" w:name="_Toc505180548"/>
      <w:bookmarkStart w:id="89" w:name="_Toc505690193"/>
      <w:bookmarkStart w:id="90" w:name="_Toc505701746"/>
      <w:bookmarkStart w:id="91" w:name="_Toc505759538"/>
      <w:bookmarkStart w:id="92" w:name="_Toc505759555"/>
      <w:bookmarkStart w:id="93" w:name="_Toc505762648"/>
      <w:bookmarkStart w:id="94" w:name="_Toc505785988"/>
      <w:bookmarkStart w:id="95" w:name="_Toc506799573"/>
      <w:bookmarkStart w:id="96" w:name="_Toc506799590"/>
      <w:bookmarkStart w:id="97" w:name="_Toc506894549"/>
      <w:bookmarkStart w:id="98" w:name="_Toc507486286"/>
      <w:bookmarkStart w:id="99" w:name="_Toc515271225"/>
      <w:bookmarkStart w:id="100" w:name="_Toc515271548"/>
      <w:bookmarkStart w:id="101" w:name="_Toc515271576"/>
      <w:bookmarkStart w:id="102" w:name="_Toc515280472"/>
      <w:bookmarkStart w:id="103" w:name="_Toc515280623"/>
      <w:bookmarkStart w:id="104" w:name="_Toc515352775"/>
      <w:bookmarkStart w:id="105" w:name="_Toc515540848"/>
      <w:bookmarkStart w:id="106" w:name="_Toc515543684"/>
      <w:bookmarkStart w:id="107" w:name="_Toc515543869"/>
      <w:bookmarkStart w:id="108" w:name="_Toc515551670"/>
      <w:bookmarkStart w:id="109" w:name="_Toc515627612"/>
      <w:bookmarkStart w:id="110" w:name="_Toc516039922"/>
      <w:bookmarkStart w:id="111" w:name="_Toc516155345"/>
      <w:bookmarkStart w:id="112" w:name="_Toc516490246"/>
      <w:bookmarkStart w:id="113" w:name="_Toc518037928"/>
      <w:bookmarkStart w:id="114" w:name="_Toc524599576"/>
      <w:bookmarkStart w:id="115" w:name="_Toc526154929"/>
      <w:bookmarkStart w:id="116" w:name="_Toc526155475"/>
      <w:bookmarkStart w:id="117" w:name="_Toc526155548"/>
      <w:bookmarkStart w:id="118" w:name="_Toc526253985"/>
      <w:bookmarkStart w:id="119" w:name="_Toc526348409"/>
      <w:bookmarkStart w:id="120" w:name="_Toc526374600"/>
      <w:bookmarkStart w:id="121" w:name="_Toc526374616"/>
      <w:bookmarkStart w:id="122" w:name="_Toc526406479"/>
      <w:bookmarkStart w:id="123" w:name="_Toc526409499"/>
      <w:bookmarkStart w:id="124" w:name="_Toc526491398"/>
      <w:bookmarkStart w:id="125" w:name="_Toc526505510"/>
      <w:bookmarkStart w:id="126" w:name="_Toc526756602"/>
      <w:bookmarkStart w:id="127" w:name="_Ref84075135"/>
      <w:r>
        <w:rPr>
          <w:rFonts w:cs="Times New Roman"/>
          <w:bCs w:val="0"/>
          <w:iCs/>
          <w:sz w:val="24"/>
          <w:szCs w:val="24"/>
        </w:rPr>
        <w:t>2</w:t>
      </w:r>
      <w:r w:rsidR="00F0531D" w:rsidRPr="003B0B97">
        <w:rPr>
          <w:rFonts w:cs="Times New Roman"/>
          <w:bCs w:val="0"/>
          <w:iCs/>
          <w:sz w:val="24"/>
          <w:szCs w:val="24"/>
        </w:rPr>
        <w:t>. Lovforslagets hovedpunkter</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62BF7084" w14:textId="77777777" w:rsidR="00703BFA" w:rsidRDefault="00703BFA" w:rsidP="000900D5">
      <w:bookmarkStart w:id="128" w:name="_Toc526348410"/>
      <w:bookmarkStart w:id="129" w:name="_Toc526374601"/>
      <w:bookmarkStart w:id="130" w:name="_Toc526374617"/>
      <w:bookmarkStart w:id="131" w:name="_Toc526406480"/>
      <w:bookmarkStart w:id="132" w:name="_Toc526409500"/>
      <w:bookmarkStart w:id="133" w:name="_Toc526491399"/>
      <w:bookmarkStart w:id="134" w:name="_Toc526505511"/>
      <w:bookmarkStart w:id="135" w:name="_Toc526756603"/>
    </w:p>
    <w:p w14:paraId="654C6B31" w14:textId="77777777" w:rsidR="000900D5" w:rsidRDefault="008342A3" w:rsidP="00A456AA">
      <w:pPr>
        <w:pStyle w:val="Overskrift2"/>
        <w:rPr>
          <w:sz w:val="24"/>
        </w:rPr>
      </w:pPr>
      <w:bookmarkStart w:id="136" w:name="_Ref84075098"/>
      <w:r w:rsidRPr="00703BFA">
        <w:rPr>
          <w:sz w:val="24"/>
        </w:rPr>
        <w:t>2.1</w:t>
      </w:r>
      <w:r w:rsidR="00703BFA" w:rsidRPr="00703BFA">
        <w:rPr>
          <w:sz w:val="24"/>
        </w:rPr>
        <w:t>.</w:t>
      </w:r>
      <w:r w:rsidRPr="00703BFA">
        <w:rPr>
          <w:sz w:val="24"/>
        </w:rPr>
        <w:t xml:space="preserve"> </w:t>
      </w:r>
      <w:r w:rsidR="009B40E1">
        <w:rPr>
          <w:sz w:val="24"/>
        </w:rPr>
        <w:t xml:space="preserve">Ændringer som følge af </w:t>
      </w:r>
      <w:r w:rsidRPr="00703BFA">
        <w:rPr>
          <w:sz w:val="24"/>
        </w:rPr>
        <w:t>CRR II</w:t>
      </w:r>
      <w:bookmarkEnd w:id="136"/>
    </w:p>
    <w:p w14:paraId="3FB91E94" w14:textId="77777777" w:rsidR="00F0531D" w:rsidRDefault="005F1F5A" w:rsidP="00A456AA">
      <w:pPr>
        <w:pStyle w:val="Overskrift2"/>
        <w:rPr>
          <w:rFonts w:cs="Times New Roman"/>
          <w:sz w:val="24"/>
          <w:szCs w:val="24"/>
        </w:rPr>
      </w:pPr>
      <w:bookmarkStart w:id="137" w:name="_Ref84075108"/>
      <w:r>
        <w:rPr>
          <w:rFonts w:cs="Times New Roman"/>
          <w:sz w:val="24"/>
          <w:szCs w:val="24"/>
        </w:rPr>
        <w:t>2</w:t>
      </w:r>
      <w:r w:rsidR="00F0531D" w:rsidRPr="003B0B97">
        <w:rPr>
          <w:rFonts w:cs="Times New Roman"/>
          <w:sz w:val="24"/>
          <w:szCs w:val="24"/>
        </w:rPr>
        <w:t>.1.</w:t>
      </w:r>
      <w:r w:rsidR="008342A3">
        <w:rPr>
          <w:rFonts w:cs="Times New Roman"/>
          <w:sz w:val="24"/>
          <w:szCs w:val="24"/>
        </w:rPr>
        <w:t>1</w:t>
      </w:r>
      <w:r w:rsidR="00F0531D" w:rsidRPr="003B0B97">
        <w:rPr>
          <w:rFonts w:cs="Times New Roman"/>
          <w:sz w:val="24"/>
          <w:szCs w:val="24"/>
        </w:rPr>
        <w:t xml:space="preserve"> </w:t>
      </w:r>
      <w:bookmarkEnd w:id="128"/>
      <w:bookmarkEnd w:id="129"/>
      <w:bookmarkEnd w:id="130"/>
      <w:bookmarkEnd w:id="131"/>
      <w:bookmarkEnd w:id="132"/>
      <w:bookmarkEnd w:id="133"/>
      <w:bookmarkEnd w:id="134"/>
      <w:bookmarkEnd w:id="135"/>
      <w:r w:rsidR="008B2DA2">
        <w:rPr>
          <w:rFonts w:cs="Times New Roman"/>
          <w:sz w:val="24"/>
          <w:szCs w:val="24"/>
        </w:rPr>
        <w:t>Markedsrisiko</w:t>
      </w:r>
      <w:bookmarkEnd w:id="137"/>
    </w:p>
    <w:p w14:paraId="3BD6DD32" w14:textId="77777777" w:rsidR="00C77564" w:rsidRDefault="001464BE" w:rsidP="00C77564">
      <w:pPr>
        <w:rPr>
          <w:i/>
        </w:rPr>
      </w:pPr>
      <w:r>
        <w:rPr>
          <w:i/>
        </w:rPr>
        <w:t>2.1.1.</w:t>
      </w:r>
      <w:r w:rsidR="008342A3">
        <w:rPr>
          <w:i/>
        </w:rPr>
        <w:t>1</w:t>
      </w:r>
      <w:r w:rsidR="00415679">
        <w:rPr>
          <w:i/>
        </w:rPr>
        <w:t>.</w:t>
      </w:r>
      <w:r>
        <w:rPr>
          <w:i/>
        </w:rPr>
        <w:t xml:space="preserve"> </w:t>
      </w:r>
      <w:r w:rsidR="00C77564">
        <w:rPr>
          <w:i/>
        </w:rPr>
        <w:t>Gældende ret</w:t>
      </w:r>
    </w:p>
    <w:p w14:paraId="3CF0A14E" w14:textId="77EA16B7" w:rsidR="00050B07" w:rsidRPr="00461D83" w:rsidRDefault="00050B07" w:rsidP="00461D83">
      <w:r w:rsidRPr="00461D83">
        <w:t xml:space="preserve">Kapitalgrundlagskravet for markedsrisici </w:t>
      </w:r>
      <w:r w:rsidR="003D2FF7">
        <w:t>dækker</w:t>
      </w:r>
      <w:r w:rsidRPr="00461D83">
        <w:t xml:space="preserve"> rente-, valuta-, aktie- og råvarerisici, herunder relaterede risici</w:t>
      </w:r>
      <w:r w:rsidR="002D14F8">
        <w:t>,</w:t>
      </w:r>
      <w:r w:rsidRPr="00461D83">
        <w:t xml:space="preserve"> der er forbundet med for eksempel optionsrisici.</w:t>
      </w:r>
    </w:p>
    <w:p w14:paraId="7668F484" w14:textId="77777777" w:rsidR="00050B07" w:rsidRPr="00461D83" w:rsidRDefault="00050B07" w:rsidP="00461D83"/>
    <w:p w14:paraId="33795B39" w14:textId="77777777" w:rsidR="00050B07" w:rsidRPr="00461D83" w:rsidRDefault="00050B07" w:rsidP="00461D83">
      <w:r w:rsidRPr="00461D83">
        <w:lastRenderedPageBreak/>
        <w:t>Ved opgørelsen af kapitalgrundlagskravet for markedsrisici kan standardmetoden eller interne modeller (</w:t>
      </w:r>
      <w:proofErr w:type="spellStart"/>
      <w:r w:rsidRPr="00461D83">
        <w:t>VaR</w:t>
      </w:r>
      <w:proofErr w:type="spellEnd"/>
      <w:r w:rsidRPr="00461D83">
        <w:t>-modeller) anvendes.</w:t>
      </w:r>
    </w:p>
    <w:p w14:paraId="51AD6981" w14:textId="77777777" w:rsidR="00050B07" w:rsidRPr="00461D83" w:rsidRDefault="00050B07" w:rsidP="00461D83"/>
    <w:p w14:paraId="04B564DD" w14:textId="762C04AA" w:rsidR="00050B07" w:rsidRDefault="00050B07" w:rsidP="00461D83">
      <w:r w:rsidRPr="00461D83">
        <w:t>Under standardmetoden opgøres kapitalgrundlagskrav for positionsrisici i instituttets handelsbeholdning samt for positioner med råvarerisiko og valutarisiko.</w:t>
      </w:r>
    </w:p>
    <w:p w14:paraId="10874AAC" w14:textId="5D659376" w:rsidR="001A5B76" w:rsidRDefault="001A5B76" w:rsidP="00461D83"/>
    <w:p w14:paraId="1CD7061D" w14:textId="7509018C" w:rsidR="001A5B76" w:rsidRPr="00461D83" w:rsidRDefault="001A5B76" w:rsidP="00461D83">
      <w:r>
        <w:t xml:space="preserve">Kravene fremgår af bilag 1 til lov om </w:t>
      </w:r>
      <w:r w:rsidRPr="00A6043D">
        <w:t>lov for Grønland om kapitalkrav og tilsynsmæssige krav for kreditinstitutter og investeringsselskaber</w:t>
      </w:r>
      <w:r>
        <w:t xml:space="preserve">, jf. </w:t>
      </w:r>
      <w:r w:rsidR="008227A3">
        <w:t xml:space="preserve">tredje del, </w:t>
      </w:r>
      <w:r>
        <w:t>afsnit IV</w:t>
      </w:r>
      <w:r w:rsidR="008227A3">
        <w:t>,</w:t>
      </w:r>
      <w:r>
        <w:t xml:space="preserve"> </w:t>
      </w:r>
      <w:r w:rsidR="00982434">
        <w:t>i CRR</w:t>
      </w:r>
      <w:r w:rsidR="00A6043D">
        <w:t>.</w:t>
      </w:r>
    </w:p>
    <w:p w14:paraId="3DEB3473" w14:textId="77777777" w:rsidR="007B3B01" w:rsidRDefault="007B3B01" w:rsidP="00C77564">
      <w:pPr>
        <w:rPr>
          <w:i/>
        </w:rPr>
      </w:pPr>
    </w:p>
    <w:p w14:paraId="0347E22B" w14:textId="5B9DBC7B" w:rsidR="00C77564" w:rsidRPr="00C77564" w:rsidRDefault="00803C74" w:rsidP="00C77564">
      <w:pPr>
        <w:rPr>
          <w:i/>
        </w:rPr>
      </w:pPr>
      <w:r>
        <w:rPr>
          <w:i/>
        </w:rPr>
        <w:t>2.1.</w:t>
      </w:r>
      <w:r w:rsidR="008342A3">
        <w:rPr>
          <w:i/>
        </w:rPr>
        <w:t>1.</w:t>
      </w:r>
      <w:r>
        <w:rPr>
          <w:i/>
        </w:rPr>
        <w:t>2.</w:t>
      </w:r>
      <w:r w:rsidR="00415679">
        <w:rPr>
          <w:i/>
        </w:rPr>
        <w:t xml:space="preserve"> </w:t>
      </w:r>
      <w:r w:rsidR="009B40E1">
        <w:rPr>
          <w:i/>
        </w:rPr>
        <w:t>Forordningens indhold</w:t>
      </w:r>
    </w:p>
    <w:p w14:paraId="77BC3C8C" w14:textId="4AEB06BD" w:rsidR="009E0C5A" w:rsidRPr="002E41C2" w:rsidRDefault="009E0C5A" w:rsidP="009E0C5A">
      <w:pPr>
        <w:rPr>
          <w:rFonts w:eastAsiaTheme="majorEastAsia"/>
        </w:rPr>
      </w:pPr>
      <w:bookmarkStart w:id="138" w:name="_Toc526409504"/>
      <w:bookmarkStart w:id="139" w:name="_Toc526491403"/>
      <w:bookmarkStart w:id="140" w:name="_Toc526505515"/>
      <w:bookmarkStart w:id="141" w:name="_Toc526756607"/>
      <w:r>
        <w:rPr>
          <w:rFonts w:eastAsiaTheme="majorEastAsia"/>
        </w:rPr>
        <w:t xml:space="preserve">Metoden til fastlæggelse af kapitalgrundlagskravet for markedsrisiko er uændret i CRR2. </w:t>
      </w:r>
      <w:r w:rsidRPr="002E41C2">
        <w:rPr>
          <w:rFonts w:eastAsiaTheme="majorEastAsia"/>
        </w:rPr>
        <w:t xml:space="preserve">Med </w:t>
      </w:r>
      <w:r>
        <w:rPr>
          <w:rFonts w:eastAsiaTheme="majorEastAsia"/>
        </w:rPr>
        <w:t xml:space="preserve">forordningen </w:t>
      </w:r>
      <w:r w:rsidR="002D14F8">
        <w:rPr>
          <w:rFonts w:eastAsiaTheme="majorEastAsia"/>
        </w:rPr>
        <w:t>indføres dog</w:t>
      </w:r>
      <w:r>
        <w:rPr>
          <w:rFonts w:eastAsiaTheme="majorEastAsia"/>
        </w:rPr>
        <w:t xml:space="preserve"> et rapporteringskrav på en</w:t>
      </w:r>
      <w:r w:rsidRPr="002E41C2">
        <w:rPr>
          <w:rFonts w:eastAsiaTheme="majorEastAsia"/>
        </w:rPr>
        <w:t xml:space="preserve"> ny standardmetode og en ny avanceret intern metode for opgørelse af markedsrisiko på baggrund af en Basel-standard. Markedsrisiko vedrører risikoen for tab som følge af ændringer på de finansielle markeder.</w:t>
      </w:r>
    </w:p>
    <w:p w14:paraId="0B6BB828" w14:textId="77777777" w:rsidR="009E0C5A" w:rsidRPr="002E41C2" w:rsidRDefault="009E0C5A" w:rsidP="009E0C5A">
      <w:pPr>
        <w:rPr>
          <w:rFonts w:eastAsiaTheme="majorEastAsia"/>
        </w:rPr>
      </w:pPr>
    </w:p>
    <w:p w14:paraId="3E84934C" w14:textId="0B0C3429" w:rsidR="009E0C5A" w:rsidRPr="002E41C2" w:rsidRDefault="009E0C5A" w:rsidP="009E0C5A">
      <w:pPr>
        <w:rPr>
          <w:rFonts w:eastAsiaTheme="majorEastAsia"/>
        </w:rPr>
      </w:pPr>
      <w:r>
        <w:rPr>
          <w:rFonts w:eastAsiaTheme="majorEastAsia"/>
        </w:rPr>
        <w:t>Rapporteringen</w:t>
      </w:r>
      <w:r w:rsidRPr="002E41C2">
        <w:rPr>
          <w:rFonts w:eastAsiaTheme="majorEastAsia"/>
        </w:rPr>
        <w:t xml:space="preserve"> skal </w:t>
      </w:r>
      <w:r>
        <w:rPr>
          <w:rFonts w:eastAsiaTheme="majorEastAsia"/>
        </w:rPr>
        <w:t>ske</w:t>
      </w:r>
      <w:r w:rsidR="009B40E1">
        <w:rPr>
          <w:rFonts w:eastAsiaTheme="majorEastAsia"/>
        </w:rPr>
        <w:t xml:space="preserve"> </w:t>
      </w:r>
      <w:r w:rsidRPr="002E41C2">
        <w:rPr>
          <w:rFonts w:eastAsiaTheme="majorEastAsia"/>
        </w:rPr>
        <w:t>på</w:t>
      </w:r>
      <w:r>
        <w:rPr>
          <w:rFonts w:eastAsiaTheme="majorEastAsia"/>
        </w:rPr>
        <w:t xml:space="preserve"> baggrund</w:t>
      </w:r>
      <w:r w:rsidRPr="002E41C2">
        <w:rPr>
          <w:rFonts w:eastAsiaTheme="majorEastAsia"/>
        </w:rPr>
        <w:t xml:space="preserve"> </w:t>
      </w:r>
      <w:r w:rsidR="002D14F8">
        <w:rPr>
          <w:rFonts w:eastAsiaTheme="majorEastAsia"/>
        </w:rPr>
        <w:t xml:space="preserve">af </w:t>
      </w:r>
      <w:r w:rsidRPr="002E41C2">
        <w:rPr>
          <w:rFonts w:eastAsiaTheme="majorEastAsia"/>
        </w:rPr>
        <w:t xml:space="preserve">institutternes positioner i handelsbeholdningen. Handelsbeholdningen omfatter positioner, hvor institutterne aktivt handler med henblik på at opnå afkast på køb og salg (”handel til hensigt”). Der har på tværs af EU-landene </w:t>
      </w:r>
      <w:r w:rsidR="002D14F8">
        <w:rPr>
          <w:rFonts w:eastAsiaTheme="majorEastAsia"/>
        </w:rPr>
        <w:t>været forskellig fortolkning af</w:t>
      </w:r>
      <w:r w:rsidRPr="002E41C2">
        <w:rPr>
          <w:rFonts w:eastAsiaTheme="majorEastAsia"/>
        </w:rPr>
        <w:t xml:space="preserve"> hvilke positioner, </w:t>
      </w:r>
      <w:r w:rsidR="002D14F8">
        <w:rPr>
          <w:rFonts w:eastAsiaTheme="majorEastAsia"/>
        </w:rPr>
        <w:t xml:space="preserve">der skulle være henholdsvis omfattet af </w:t>
      </w:r>
      <w:r w:rsidRPr="002E41C2">
        <w:rPr>
          <w:rFonts w:eastAsiaTheme="majorEastAsia"/>
        </w:rPr>
        <w:t xml:space="preserve">handelsbeholdningen og uden for handelsbeholdningen. </w:t>
      </w:r>
    </w:p>
    <w:p w14:paraId="7F13B05C" w14:textId="77777777" w:rsidR="009E0C5A" w:rsidRPr="002E41C2" w:rsidRDefault="009E0C5A" w:rsidP="009E0C5A">
      <w:pPr>
        <w:rPr>
          <w:rFonts w:eastAsiaTheme="majorEastAsia"/>
        </w:rPr>
      </w:pPr>
    </w:p>
    <w:p w14:paraId="3161ACE3" w14:textId="77777777" w:rsidR="009E0C5A" w:rsidRPr="002E41C2" w:rsidRDefault="009E0C5A" w:rsidP="009E0C5A">
      <w:pPr>
        <w:rPr>
          <w:rFonts w:eastAsiaTheme="majorEastAsia"/>
        </w:rPr>
      </w:pPr>
      <w:r w:rsidRPr="002E41C2">
        <w:rPr>
          <w:rFonts w:eastAsiaTheme="majorEastAsia"/>
        </w:rPr>
        <w:t>For</w:t>
      </w:r>
      <w:r>
        <w:rPr>
          <w:rFonts w:eastAsiaTheme="majorEastAsia"/>
        </w:rPr>
        <w:t xml:space="preserve">ordningen </w:t>
      </w:r>
      <w:r w:rsidRPr="002E41C2">
        <w:rPr>
          <w:rFonts w:eastAsiaTheme="majorEastAsia"/>
        </w:rPr>
        <w:t xml:space="preserve">indeholder følgende metoder for opgørelse af </w:t>
      </w:r>
      <w:r>
        <w:rPr>
          <w:rFonts w:eastAsiaTheme="majorEastAsia"/>
        </w:rPr>
        <w:t>rapporteringsværdierne</w:t>
      </w:r>
      <w:r w:rsidRPr="002E41C2">
        <w:rPr>
          <w:rFonts w:eastAsiaTheme="majorEastAsia"/>
        </w:rPr>
        <w:t xml:space="preserve"> til markedsrisiko, hvor der er indarbejdet en vis proportionalitet således, at jo større handelsbeholdningen er, desto mere risikofølsom opgørelsesmetode skal der anvendes:</w:t>
      </w:r>
    </w:p>
    <w:p w14:paraId="0B3256DC" w14:textId="77777777" w:rsidR="009E0C5A" w:rsidRPr="002E41C2" w:rsidRDefault="009E0C5A" w:rsidP="009E0C5A">
      <w:pPr>
        <w:rPr>
          <w:rFonts w:eastAsiaTheme="majorEastAsia"/>
        </w:rPr>
      </w:pPr>
    </w:p>
    <w:p w14:paraId="3FB8E9D4" w14:textId="56E885AA" w:rsidR="0093125D" w:rsidRDefault="009E0C5A" w:rsidP="00A6043D">
      <w:pPr>
        <w:pStyle w:val="Opstilling-punkttegn"/>
        <w:numPr>
          <w:ilvl w:val="0"/>
          <w:numId w:val="0"/>
        </w:numPr>
        <w:spacing w:line="300" w:lineRule="auto"/>
        <w:rPr>
          <w:rFonts w:eastAsiaTheme="majorEastAsia"/>
          <w:lang w:eastAsia="en-US"/>
        </w:rPr>
      </w:pPr>
      <w:r w:rsidRPr="00AF4868">
        <w:rPr>
          <w:rFonts w:eastAsiaTheme="majorEastAsia"/>
          <w:u w:val="single"/>
          <w:lang w:eastAsia="en-US"/>
        </w:rPr>
        <w:t>Ny standardmetode</w:t>
      </w:r>
      <w:r w:rsidRPr="002E41C2">
        <w:rPr>
          <w:rFonts w:eastAsiaTheme="majorEastAsia"/>
          <w:lang w:eastAsia="en-US"/>
        </w:rPr>
        <w:t>, som er mere risikofølsom og kompleks end den gældende standardmetode. Metoden er tiltænkt institutter med store handelsbeholdninger, eller institutter med en kortsigtet eller spekulativ adfærd.</w:t>
      </w:r>
    </w:p>
    <w:p w14:paraId="634985CB" w14:textId="77777777" w:rsidR="009E0C5A" w:rsidRPr="002E41C2" w:rsidRDefault="009E0C5A" w:rsidP="00A6043D">
      <w:pPr>
        <w:pStyle w:val="Opstilling-punkttegn"/>
        <w:numPr>
          <w:ilvl w:val="0"/>
          <w:numId w:val="0"/>
        </w:numPr>
        <w:spacing w:line="300" w:lineRule="auto"/>
        <w:jc w:val="both"/>
        <w:rPr>
          <w:rFonts w:eastAsiaTheme="majorEastAsia"/>
          <w:lang w:eastAsia="en-US"/>
        </w:rPr>
      </w:pPr>
    </w:p>
    <w:p w14:paraId="169EB768" w14:textId="77777777" w:rsidR="009E0C5A" w:rsidRPr="002E41C2" w:rsidRDefault="009E0C5A" w:rsidP="00A6043D">
      <w:pPr>
        <w:pStyle w:val="Opstilling-punkttegn"/>
        <w:numPr>
          <w:ilvl w:val="0"/>
          <w:numId w:val="0"/>
        </w:numPr>
        <w:spacing w:line="300" w:lineRule="auto"/>
        <w:jc w:val="both"/>
        <w:rPr>
          <w:rFonts w:eastAsiaTheme="majorEastAsia"/>
          <w:lang w:eastAsia="en-US"/>
        </w:rPr>
      </w:pPr>
      <w:r w:rsidRPr="00AF4868">
        <w:rPr>
          <w:rFonts w:eastAsiaTheme="majorEastAsia"/>
          <w:u w:val="single"/>
          <w:lang w:eastAsia="en-US"/>
        </w:rPr>
        <w:t>Ny avanceret intern metode</w:t>
      </w:r>
      <w:r w:rsidRPr="002E41C2">
        <w:rPr>
          <w:rFonts w:eastAsiaTheme="majorEastAsia"/>
          <w:lang w:eastAsia="en-US"/>
        </w:rPr>
        <w:t xml:space="preserve">, som er mere risikofølsom og kompleks end den i dag gældende interne metode. </w:t>
      </w:r>
    </w:p>
    <w:p w14:paraId="61EED184" w14:textId="77777777" w:rsidR="009E0C5A" w:rsidRPr="00D01378" w:rsidRDefault="009E0C5A" w:rsidP="00A6043D">
      <w:pPr>
        <w:pStyle w:val="Opstilling-punkttegn"/>
        <w:numPr>
          <w:ilvl w:val="0"/>
          <w:numId w:val="0"/>
        </w:numPr>
        <w:spacing w:line="300" w:lineRule="auto"/>
        <w:jc w:val="both"/>
        <w:rPr>
          <w:rFonts w:eastAsiaTheme="majorEastAsia"/>
          <w:lang w:eastAsia="en-US"/>
        </w:rPr>
      </w:pPr>
    </w:p>
    <w:p w14:paraId="21E8B2C3" w14:textId="77777777" w:rsidR="009E0C5A" w:rsidRDefault="009E0C5A" w:rsidP="00A6043D">
      <w:pPr>
        <w:pStyle w:val="Opstilling-punkttegn"/>
        <w:numPr>
          <w:ilvl w:val="0"/>
          <w:numId w:val="0"/>
        </w:numPr>
        <w:spacing w:line="300" w:lineRule="auto"/>
        <w:jc w:val="both"/>
        <w:rPr>
          <w:rFonts w:eastAsiaTheme="majorEastAsia"/>
          <w:lang w:eastAsia="en-US"/>
        </w:rPr>
      </w:pPr>
      <w:r w:rsidRPr="00AF4868">
        <w:rPr>
          <w:rFonts w:eastAsiaTheme="majorEastAsia"/>
          <w:u w:val="single"/>
          <w:lang w:eastAsia="en-US"/>
        </w:rPr>
        <w:t>Undtagelse for mindre handelsbeholdningsaktiviteter.</w:t>
      </w:r>
      <w:r w:rsidRPr="002E41C2">
        <w:rPr>
          <w:rFonts w:eastAsiaTheme="majorEastAsia"/>
          <w:lang w:eastAsia="en-US"/>
        </w:rPr>
        <w:t xml:space="preserve"> </w:t>
      </w:r>
      <w:r>
        <w:rPr>
          <w:rFonts w:eastAsiaTheme="majorEastAsia"/>
          <w:lang w:eastAsia="en-US"/>
        </w:rPr>
        <w:t xml:space="preserve">Grænsen </w:t>
      </w:r>
      <w:r w:rsidRPr="002E41C2">
        <w:rPr>
          <w:rFonts w:eastAsiaTheme="majorEastAsia"/>
          <w:lang w:eastAsia="en-US"/>
        </w:rPr>
        <w:t>sætte</w:t>
      </w:r>
      <w:r>
        <w:rPr>
          <w:rFonts w:eastAsiaTheme="majorEastAsia"/>
          <w:lang w:eastAsia="en-US"/>
        </w:rPr>
        <w:t>s</w:t>
      </w:r>
      <w:r w:rsidRPr="002E41C2">
        <w:rPr>
          <w:rFonts w:eastAsiaTheme="majorEastAsia"/>
          <w:lang w:eastAsia="en-US"/>
        </w:rPr>
        <w:t xml:space="preserve"> op sådan, at den vil kunne anvendes af institutter, hvis balanceførte og ikke-balanceførte handelsbeholdningsaktiviteter er mindre end 5 pct. af instituttets aktiver og 50 mio. euro. </w:t>
      </w:r>
    </w:p>
    <w:p w14:paraId="771E9557" w14:textId="77777777" w:rsidR="009E0C5A" w:rsidRPr="002E41C2" w:rsidRDefault="009E0C5A" w:rsidP="009E0C5A">
      <w:pPr>
        <w:pStyle w:val="Opstilling-punkttegn"/>
        <w:numPr>
          <w:ilvl w:val="0"/>
          <w:numId w:val="0"/>
        </w:numPr>
        <w:ind w:left="360"/>
        <w:jc w:val="both"/>
        <w:rPr>
          <w:rFonts w:eastAsiaTheme="majorEastAsia"/>
          <w:lang w:eastAsia="en-US"/>
        </w:rPr>
      </w:pPr>
    </w:p>
    <w:p w14:paraId="6B5414C7" w14:textId="77777777" w:rsidR="009E0C5A" w:rsidRPr="002E41C2" w:rsidRDefault="009E0C5A" w:rsidP="009E0C5A">
      <w:pPr>
        <w:rPr>
          <w:rFonts w:eastAsiaTheme="majorEastAsia"/>
        </w:rPr>
      </w:pPr>
      <w:r w:rsidRPr="002E41C2">
        <w:rPr>
          <w:rFonts w:eastAsiaTheme="majorEastAsia"/>
        </w:rPr>
        <w:t xml:space="preserve">Både standardmetoden og den avancerede interne metode tilstræber at have en højere grad af risikofølsomhed, hvor </w:t>
      </w:r>
      <w:r>
        <w:rPr>
          <w:rFonts w:eastAsiaTheme="majorEastAsia"/>
        </w:rPr>
        <w:t>rapporteringsværdierne</w:t>
      </w:r>
      <w:r w:rsidRPr="002E41C2">
        <w:rPr>
          <w:rFonts w:eastAsiaTheme="majorEastAsia"/>
        </w:rPr>
        <w:t xml:space="preserve"> fastsættes ud fra historisk observeret risiko. Anvendelse af den interne metode kræver tilladelse af tilsynsmyndigheden.</w:t>
      </w:r>
    </w:p>
    <w:p w14:paraId="13ADFEF9" w14:textId="77777777" w:rsidR="009E0C5A" w:rsidRPr="002E41C2" w:rsidRDefault="009E0C5A" w:rsidP="009E0C5A">
      <w:pPr>
        <w:rPr>
          <w:rFonts w:eastAsiaTheme="majorEastAsia"/>
        </w:rPr>
      </w:pPr>
    </w:p>
    <w:p w14:paraId="151B407F" w14:textId="2F222DD5" w:rsidR="009E0C5A" w:rsidRPr="002E41C2" w:rsidRDefault="009E0C5A" w:rsidP="009E0C5A">
      <w:pPr>
        <w:rPr>
          <w:rFonts w:eastAsiaTheme="majorEastAsia"/>
        </w:rPr>
      </w:pPr>
      <w:r w:rsidRPr="002E41C2">
        <w:rPr>
          <w:rFonts w:eastAsiaTheme="majorEastAsia"/>
        </w:rPr>
        <w:t xml:space="preserve">Den nye standardmetode er mere risikofølsom end den gældende standardmetode og tager højde for de </w:t>
      </w:r>
      <w:proofErr w:type="spellStart"/>
      <w:r w:rsidRPr="002E41C2">
        <w:rPr>
          <w:rFonts w:eastAsiaTheme="majorEastAsia"/>
        </w:rPr>
        <w:t>uafdækkede</w:t>
      </w:r>
      <w:proofErr w:type="spellEnd"/>
      <w:r w:rsidRPr="002E41C2">
        <w:rPr>
          <w:rFonts w:eastAsiaTheme="majorEastAsia"/>
        </w:rPr>
        <w:t xml:space="preserve"> aspekter af markedsrisikoen i den gældende standardmetode. Det gælder bl.a. obligation</w:t>
      </w:r>
      <w:r>
        <w:rPr>
          <w:rFonts w:eastAsiaTheme="majorEastAsia"/>
        </w:rPr>
        <w:t xml:space="preserve">ers kreditspændrisiko </w:t>
      </w:r>
      <w:r w:rsidRPr="002E41C2">
        <w:rPr>
          <w:rFonts w:eastAsiaTheme="majorEastAsia"/>
        </w:rPr>
        <w:t xml:space="preserve">og </w:t>
      </w:r>
      <w:r>
        <w:rPr>
          <w:rFonts w:eastAsiaTheme="majorEastAsia"/>
        </w:rPr>
        <w:t>risikotillæg for eksotiske produkter</w:t>
      </w:r>
      <w:r w:rsidR="00EA7E43">
        <w:rPr>
          <w:rFonts w:eastAsiaTheme="majorEastAsia"/>
        </w:rPr>
        <w:t>,</w:t>
      </w:r>
      <w:r>
        <w:rPr>
          <w:rFonts w:eastAsiaTheme="majorEastAsia"/>
        </w:rPr>
        <w:t xml:space="preserve"> der er svære at </w:t>
      </w:r>
      <w:r w:rsidRPr="002E41C2">
        <w:rPr>
          <w:rFonts w:eastAsiaTheme="majorEastAsia"/>
        </w:rPr>
        <w:t>værdiansættelse samt det forhold, at udviklingen i korte renter og lange renter kan være forskellig</w:t>
      </w:r>
      <w:r w:rsidR="00EA7E43">
        <w:rPr>
          <w:rFonts w:eastAsiaTheme="majorEastAsia"/>
        </w:rPr>
        <w:t>,</w:t>
      </w:r>
      <w:r>
        <w:rPr>
          <w:rFonts w:eastAsiaTheme="majorEastAsia"/>
        </w:rPr>
        <w:t xml:space="preserve"> indregnes på mere sofistikeret vis</w:t>
      </w:r>
      <w:r w:rsidRPr="002E41C2">
        <w:rPr>
          <w:rFonts w:eastAsiaTheme="majorEastAsia"/>
        </w:rPr>
        <w:t>. Den nye standardmetode er således også væsentlig mere kompleks end den gældende standardmetode og stiller øgede operationelle krav.</w:t>
      </w:r>
    </w:p>
    <w:p w14:paraId="5185F7CA" w14:textId="77777777" w:rsidR="009E0C5A" w:rsidRPr="002E41C2" w:rsidRDefault="009E0C5A" w:rsidP="009E0C5A">
      <w:pPr>
        <w:rPr>
          <w:rFonts w:eastAsiaTheme="majorEastAsia"/>
        </w:rPr>
      </w:pPr>
    </w:p>
    <w:p w14:paraId="1B7FEE4E" w14:textId="77777777" w:rsidR="009E0C5A" w:rsidRPr="002E41C2" w:rsidRDefault="009E0C5A" w:rsidP="009E0C5A">
      <w:pPr>
        <w:rPr>
          <w:rFonts w:eastAsiaTheme="majorEastAsia"/>
        </w:rPr>
      </w:pPr>
      <w:r w:rsidRPr="002E41C2">
        <w:rPr>
          <w:rFonts w:eastAsiaTheme="majorEastAsia"/>
        </w:rPr>
        <w:t>Den nye avancerede interne metode definerer i højere grad vilkårene for, hvornår institutterne kan anvende interne modeller. Samtidig indføres der krav om, at institutter, som anvender en intern model, sideløbende skal beregne størrelsen af det kapitalkrav, der ville gælde, hvis de anvendte den nye standardmetode. I tilfælde af, at en intern model ikke længere afspejler tabsrisikoen i tilstrækkelig grad, vil instituttet blive pålagt at sætte kapital af i henhold til den nye standardmetode. Dette vurderes løbende ved, at banken tester modellens beregningsresultater, og at tilsynsmyndighederne vurderer beregningsresultaterne.</w:t>
      </w:r>
    </w:p>
    <w:p w14:paraId="15E5EBB9" w14:textId="77777777" w:rsidR="009E0C5A" w:rsidRPr="002E41C2" w:rsidRDefault="009E0C5A" w:rsidP="009E0C5A">
      <w:pPr>
        <w:rPr>
          <w:rFonts w:eastAsiaTheme="majorEastAsia"/>
        </w:rPr>
      </w:pPr>
    </w:p>
    <w:p w14:paraId="3090D354" w14:textId="77777777" w:rsidR="009E0C5A" w:rsidRPr="002E41C2" w:rsidRDefault="009E0C5A" w:rsidP="009E0C5A">
      <w:pPr>
        <w:rPr>
          <w:rFonts w:eastAsiaTheme="majorEastAsia"/>
        </w:rPr>
      </w:pPr>
      <w:r>
        <w:rPr>
          <w:rFonts w:eastAsiaTheme="majorEastAsia"/>
        </w:rPr>
        <w:t>Forordningen</w:t>
      </w:r>
      <w:r w:rsidRPr="002E41C2">
        <w:rPr>
          <w:rFonts w:eastAsiaTheme="majorEastAsia"/>
        </w:rPr>
        <w:t xml:space="preserve"> forventes</w:t>
      </w:r>
      <w:r>
        <w:rPr>
          <w:rFonts w:eastAsiaTheme="majorEastAsia"/>
        </w:rPr>
        <w:t xml:space="preserve"> særligt</w:t>
      </w:r>
      <w:r w:rsidRPr="002E41C2">
        <w:rPr>
          <w:rFonts w:eastAsiaTheme="majorEastAsia"/>
        </w:rPr>
        <w:t xml:space="preserve"> at medføre øgede kapitalkrav til de banker, der bliver omfattet af den nye standardmetode. Formålet er at sikre en ensartet behandling ved brug af de forskellige metoder. </w:t>
      </w:r>
    </w:p>
    <w:p w14:paraId="3F07FD0E" w14:textId="77777777" w:rsidR="009E0C5A" w:rsidRPr="002E41C2" w:rsidRDefault="009E0C5A" w:rsidP="009E0C5A">
      <w:pPr>
        <w:rPr>
          <w:rFonts w:eastAsiaTheme="majorEastAsia"/>
        </w:rPr>
      </w:pPr>
    </w:p>
    <w:p w14:paraId="3083DD20" w14:textId="25C4BE3F" w:rsidR="009E0C5A" w:rsidRPr="002E41C2" w:rsidRDefault="009E0C5A" w:rsidP="009E0C5A">
      <w:pPr>
        <w:rPr>
          <w:rFonts w:eastAsiaTheme="majorEastAsia"/>
        </w:rPr>
      </w:pPr>
      <w:r w:rsidRPr="002E41C2">
        <w:rPr>
          <w:rFonts w:eastAsiaTheme="majorEastAsia"/>
        </w:rPr>
        <w:t>Med indførelsen af den nye standardmetode og den nye interne metode vil kapitalbelastningen generelt blive højere, særligt for kreditinstitutters beholdninger af realkreditobligationer. Det skyldes bl.a., at realkreditobligationer</w:t>
      </w:r>
      <w:r>
        <w:rPr>
          <w:rFonts w:eastAsiaTheme="majorEastAsia"/>
        </w:rPr>
        <w:t xml:space="preserve">s kreditspændrisiko </w:t>
      </w:r>
      <w:r w:rsidRPr="002E41C2">
        <w:rPr>
          <w:rFonts w:eastAsiaTheme="majorEastAsia"/>
        </w:rPr>
        <w:t xml:space="preserve">tildeles en risikovægt på </w:t>
      </w:r>
      <w:r>
        <w:rPr>
          <w:rFonts w:eastAsiaTheme="majorEastAsia"/>
        </w:rPr>
        <w:t>1 procentpoint</w:t>
      </w:r>
      <w:r w:rsidRPr="002E41C2">
        <w:rPr>
          <w:rFonts w:eastAsiaTheme="majorEastAsia"/>
        </w:rPr>
        <w:t xml:space="preserve"> i den nye standardmetode. Risikovægten er </w:t>
      </w:r>
      <w:r>
        <w:rPr>
          <w:rFonts w:eastAsiaTheme="majorEastAsia"/>
        </w:rPr>
        <w:t>mindre</w:t>
      </w:r>
      <w:r w:rsidRPr="002E41C2">
        <w:rPr>
          <w:rFonts w:eastAsiaTheme="majorEastAsia"/>
        </w:rPr>
        <w:t xml:space="preserve"> end den risikovægt, der </w:t>
      </w:r>
      <w:r>
        <w:rPr>
          <w:rFonts w:eastAsiaTheme="majorEastAsia"/>
        </w:rPr>
        <w:t>er vedtaget</w:t>
      </w:r>
      <w:r w:rsidRPr="002E41C2">
        <w:rPr>
          <w:rFonts w:eastAsiaTheme="majorEastAsia"/>
        </w:rPr>
        <w:t xml:space="preserve"> af Basel-Komitéen, som er på </w:t>
      </w:r>
      <w:r>
        <w:rPr>
          <w:rFonts w:eastAsiaTheme="majorEastAsia"/>
        </w:rPr>
        <w:t xml:space="preserve">2,5 </w:t>
      </w:r>
      <w:r w:rsidR="006E12E8">
        <w:rPr>
          <w:rFonts w:eastAsiaTheme="majorEastAsia"/>
        </w:rPr>
        <w:t>procentpoint</w:t>
      </w:r>
      <w:r w:rsidRPr="002E41C2">
        <w:rPr>
          <w:rFonts w:eastAsiaTheme="majorEastAsia"/>
        </w:rPr>
        <w:t>. Der er tale om en helt ny metode, hvorfor det ikke er muligt at lave en direkte parallel til risikovægten i dag.</w:t>
      </w:r>
    </w:p>
    <w:p w14:paraId="4DC6E2B3" w14:textId="77777777" w:rsidR="009E0C5A" w:rsidRPr="002E41C2" w:rsidRDefault="009E0C5A" w:rsidP="009E0C5A">
      <w:pPr>
        <w:rPr>
          <w:rFonts w:eastAsiaTheme="majorEastAsia"/>
        </w:rPr>
      </w:pPr>
    </w:p>
    <w:p w14:paraId="5FA4AC17" w14:textId="336FBE20" w:rsidR="009B40E1" w:rsidRDefault="009B40E1" w:rsidP="009E0C5A">
      <w:pPr>
        <w:rPr>
          <w:rFonts w:eastAsiaTheme="majorEastAsia"/>
          <w:i/>
        </w:rPr>
      </w:pPr>
      <w:r>
        <w:rPr>
          <w:rFonts w:eastAsiaTheme="majorEastAsia"/>
          <w:i/>
        </w:rPr>
        <w:t>2.1.1.</w:t>
      </w:r>
      <w:r w:rsidR="00B631FD">
        <w:rPr>
          <w:rFonts w:eastAsiaTheme="majorEastAsia"/>
          <w:i/>
        </w:rPr>
        <w:t>3. Erhvervsministeriets overvejelser</w:t>
      </w:r>
      <w:r w:rsidR="003A1DD1">
        <w:rPr>
          <w:rFonts w:eastAsiaTheme="majorEastAsia"/>
          <w:i/>
        </w:rPr>
        <w:t xml:space="preserve"> og den foreslåede ordning</w:t>
      </w:r>
    </w:p>
    <w:p w14:paraId="4B6AC9EB" w14:textId="0305738C" w:rsidR="00B631FD" w:rsidRDefault="0029446C" w:rsidP="009E0C5A">
      <w:pPr>
        <w:rPr>
          <w:rFonts w:eastAsiaTheme="majorEastAsia"/>
        </w:rPr>
      </w:pPr>
      <w:r>
        <w:rPr>
          <w:rFonts w:eastAsiaTheme="majorEastAsia"/>
        </w:rPr>
        <w:t xml:space="preserve">Erhvervsministeriet finder det hensigtsmæssigt, at der </w:t>
      </w:r>
      <w:r w:rsidR="00B05606">
        <w:rPr>
          <w:rFonts w:eastAsiaTheme="majorEastAsia"/>
        </w:rPr>
        <w:t>i Grønland</w:t>
      </w:r>
      <w:r>
        <w:rPr>
          <w:rFonts w:eastAsiaTheme="majorEastAsia"/>
        </w:rPr>
        <w:t xml:space="preserve"> gælder regler svarende til reglerne i Danmark på det finansielle område. </w:t>
      </w:r>
    </w:p>
    <w:p w14:paraId="221A299E" w14:textId="75FA249F" w:rsidR="00B631FD" w:rsidRPr="00AF4868" w:rsidRDefault="00B631FD" w:rsidP="009E0C5A">
      <w:pPr>
        <w:rPr>
          <w:rFonts w:eastAsiaTheme="majorEastAsia"/>
          <w:i/>
        </w:rPr>
      </w:pPr>
    </w:p>
    <w:p w14:paraId="60BB693D" w14:textId="337FC198" w:rsidR="00D01378" w:rsidRDefault="00130E28" w:rsidP="008B2DA2">
      <w:pPr>
        <w:rPr>
          <w:rFonts w:eastAsiaTheme="majorEastAsia"/>
        </w:rPr>
      </w:pPr>
      <w:r>
        <w:rPr>
          <w:rFonts w:eastAsiaTheme="majorEastAsia"/>
        </w:rPr>
        <w:t xml:space="preserve">Det foreslås </w:t>
      </w:r>
      <w:r w:rsidR="00747B1A">
        <w:rPr>
          <w:rFonts w:eastAsiaTheme="majorEastAsia"/>
        </w:rPr>
        <w:t xml:space="preserve">derfor </w:t>
      </w:r>
      <w:r>
        <w:rPr>
          <w:rFonts w:eastAsiaTheme="majorEastAsia"/>
        </w:rPr>
        <w:t xml:space="preserve">at sætte reglerne i CRR II i kraft for </w:t>
      </w:r>
      <w:r w:rsidR="00AF4868">
        <w:rPr>
          <w:rFonts w:eastAsiaTheme="majorEastAsia"/>
        </w:rPr>
        <w:t>Grønland</w:t>
      </w:r>
      <w:r>
        <w:rPr>
          <w:rFonts w:eastAsiaTheme="majorEastAsia"/>
        </w:rPr>
        <w:t>, som beskrevet i afsnit 2.1.1.2 ovenfor.</w:t>
      </w:r>
    </w:p>
    <w:p w14:paraId="10C13702" w14:textId="77777777" w:rsidR="0029446C" w:rsidRDefault="0029446C" w:rsidP="008B2DA2">
      <w:pPr>
        <w:rPr>
          <w:rFonts w:eastAsiaTheme="majorEastAsia"/>
        </w:rPr>
      </w:pPr>
    </w:p>
    <w:p w14:paraId="5F680624" w14:textId="77777777" w:rsidR="00414CBC" w:rsidRDefault="00414CBC" w:rsidP="00414CBC">
      <w:pPr>
        <w:pStyle w:val="Overskrift2"/>
        <w:rPr>
          <w:sz w:val="24"/>
        </w:rPr>
      </w:pPr>
      <w:bookmarkStart w:id="142" w:name="_Ref84075164"/>
      <w:r>
        <w:rPr>
          <w:sz w:val="24"/>
        </w:rPr>
        <w:t>2.</w:t>
      </w:r>
      <w:r w:rsidR="00415679">
        <w:rPr>
          <w:sz w:val="24"/>
        </w:rPr>
        <w:t>1.2.</w:t>
      </w:r>
      <w:r>
        <w:rPr>
          <w:sz w:val="24"/>
        </w:rPr>
        <w:t xml:space="preserve"> </w:t>
      </w:r>
      <w:r w:rsidR="00494CC3">
        <w:rPr>
          <w:sz w:val="24"/>
        </w:rPr>
        <w:t>Gearingsgrad</w:t>
      </w:r>
      <w:bookmarkEnd w:id="142"/>
    </w:p>
    <w:p w14:paraId="34C078AF" w14:textId="77777777" w:rsidR="00494CC3" w:rsidRDefault="00415679" w:rsidP="00494CC3">
      <w:pPr>
        <w:rPr>
          <w:i/>
        </w:rPr>
      </w:pPr>
      <w:r>
        <w:rPr>
          <w:i/>
        </w:rPr>
        <w:t>2.1.2.1.</w:t>
      </w:r>
      <w:r w:rsidR="00494CC3">
        <w:rPr>
          <w:i/>
        </w:rPr>
        <w:t>Gældende ret</w:t>
      </w:r>
    </w:p>
    <w:p w14:paraId="56E290BD" w14:textId="25DA12A1" w:rsidR="00494CC3" w:rsidRDefault="00494CC3" w:rsidP="00494CC3">
      <w:r>
        <w:t>K</w:t>
      </w:r>
      <w:r w:rsidRPr="00494CC3">
        <w:t xml:space="preserve">reditinstitutter og </w:t>
      </w:r>
      <w:r w:rsidR="003A1DD1" w:rsidRPr="003A1DD1">
        <w:t>fondsmæglerselskab</w:t>
      </w:r>
      <w:r w:rsidR="003A1DD1">
        <w:t>er</w:t>
      </w:r>
      <w:r w:rsidR="003A1DD1" w:rsidRPr="003A1DD1">
        <w:t>, som</w:t>
      </w:r>
      <w:r w:rsidR="003A1DD1">
        <w:t xml:space="preserve"> enten</w:t>
      </w:r>
      <w:r w:rsidR="003A1DD1" w:rsidRPr="003A1DD1">
        <w:t xml:space="preserve"> har tilladelse til at udøve en eller flere af de i bilag 4, afsnit A, nr. 3 og 6-10, nævnte aktiviteter eller</w:t>
      </w:r>
      <w:r w:rsidR="003A1DD1">
        <w:t xml:space="preserve"> til </w:t>
      </w:r>
      <w:r w:rsidR="00EA7E43">
        <w:t xml:space="preserve">at </w:t>
      </w:r>
      <w:r w:rsidR="003A1DD1" w:rsidRPr="003A1DD1">
        <w:t>opbevare ku</w:t>
      </w:r>
      <w:r w:rsidR="003A1DD1">
        <w:t>nders midler eller værdipapirer (</w:t>
      </w:r>
      <w:r w:rsidRPr="00494CC3">
        <w:t>fondsmæglerselskaber I</w:t>
      </w:r>
      <w:r w:rsidR="003A1DD1">
        <w:t>)</w:t>
      </w:r>
      <w:r w:rsidRPr="00494CC3">
        <w:t xml:space="preserve"> </w:t>
      </w:r>
      <w:r w:rsidR="00F374AE">
        <w:t xml:space="preserve">skal </w:t>
      </w:r>
      <w:r w:rsidRPr="00494CC3">
        <w:t xml:space="preserve">beregne deres gearingsgrad og indberette denne til Finanstilsynet. Gearingsgraden beregnes som et instituts </w:t>
      </w:r>
      <w:r w:rsidR="00CF1328">
        <w:t>målsætning for kapitalgrundlag (</w:t>
      </w:r>
      <w:r w:rsidRPr="00494CC3">
        <w:t>kapitalmål</w:t>
      </w:r>
      <w:r w:rsidR="00CF1328">
        <w:t>)</w:t>
      </w:r>
      <w:r w:rsidRPr="00494CC3">
        <w:t xml:space="preserve"> divideret med instituttets samlede</w:t>
      </w:r>
      <w:r w:rsidR="00EC7DC9">
        <w:t xml:space="preserve"> målsætning for s</w:t>
      </w:r>
      <w:r w:rsidR="00EC7DC9" w:rsidRPr="00EC7DC9">
        <w:t>ummen af alle mellemværender med en kunde eller en gruppe af indbyrdes forbundne kunder, der indebærer en kreditrisiko for virksomheden, og kapitalandele udstedt af kunden eller af en blandt en gruppe af indbyrdes forbundne kunder</w:t>
      </w:r>
      <w:r w:rsidRPr="00494CC3">
        <w:t xml:space="preserve"> </w:t>
      </w:r>
      <w:r w:rsidR="00EC7DC9">
        <w:t>(e</w:t>
      </w:r>
      <w:r w:rsidRPr="00494CC3">
        <w:t>ksponeringsringsmål</w:t>
      </w:r>
      <w:r w:rsidR="00EC7DC9">
        <w:t>)</w:t>
      </w:r>
      <w:r w:rsidRPr="00494CC3">
        <w:t xml:space="preserve"> og udtrykkes i procent. Finanstilsynet skal tage hensyn til de indberettede oplysninger i forbindelse med sit tilsyn.</w:t>
      </w:r>
    </w:p>
    <w:p w14:paraId="10E1AD05" w14:textId="21ABC941" w:rsidR="008227A3" w:rsidRDefault="008227A3" w:rsidP="00494CC3"/>
    <w:p w14:paraId="565476C3" w14:textId="4FD70718" w:rsidR="008227A3" w:rsidRDefault="008227A3" w:rsidP="00494CC3">
      <w:r>
        <w:t>Kravene</w:t>
      </w:r>
      <w:r w:rsidR="00D73CD1">
        <w:t xml:space="preserve"> til beregningen og indberetning</w:t>
      </w:r>
      <w:r>
        <w:t xml:space="preserve"> fremgår af bilag 1 til lov om </w:t>
      </w:r>
      <w:r w:rsidRPr="009E72BC">
        <w:t>lov for Grønland om kapitalkrav og tilsynsmæssige krav for kreditinstitutter og investeringsselskaber</w:t>
      </w:r>
      <w:r>
        <w:t xml:space="preserve">, jf. syvende del i </w:t>
      </w:r>
      <w:r w:rsidRPr="00B401DC">
        <w:t>Europa-Parlamentets og Rådes forordning (EU) nr. 575/2013 om tilsynsmæssige krav til kreditinstitutter og investeringsselskaber</w:t>
      </w:r>
      <w:r>
        <w:t>.</w:t>
      </w:r>
    </w:p>
    <w:p w14:paraId="4CD78138" w14:textId="77777777" w:rsidR="00F374AE" w:rsidRPr="00494CC3" w:rsidRDefault="00F374AE" w:rsidP="00494CC3"/>
    <w:p w14:paraId="02852407" w14:textId="73031719" w:rsidR="00494CC3" w:rsidRPr="00494CC3" w:rsidRDefault="00415679" w:rsidP="00494CC3">
      <w:pPr>
        <w:rPr>
          <w:i/>
        </w:rPr>
      </w:pPr>
      <w:r>
        <w:rPr>
          <w:i/>
        </w:rPr>
        <w:t xml:space="preserve">2.1.2.2. </w:t>
      </w:r>
      <w:r w:rsidR="000B2228">
        <w:rPr>
          <w:i/>
        </w:rPr>
        <w:t>Forordningens indhold</w:t>
      </w:r>
    </w:p>
    <w:p w14:paraId="48C3DC7C" w14:textId="77777777" w:rsidR="00414CBC" w:rsidRPr="002E41C2" w:rsidRDefault="00414CBC" w:rsidP="00414CBC">
      <w:r>
        <w:t xml:space="preserve">CRR II indebærer, </w:t>
      </w:r>
      <w:r w:rsidRPr="002E41C2">
        <w:t>at institutterne skal opfylde et gearings</w:t>
      </w:r>
      <w:r w:rsidR="0091747A">
        <w:t>grads</w:t>
      </w:r>
      <w:r w:rsidRPr="002E41C2">
        <w:t xml:space="preserve">krav på 3 pct., dvs. et minimumskrav til et kreditinstituts kapital i forhold til instituttets samlede ikke-risikovægtede eksponeringer, f.eks. udlån. </w:t>
      </w:r>
    </w:p>
    <w:p w14:paraId="1CEE66E1" w14:textId="77777777" w:rsidR="00414CBC" w:rsidRPr="002E41C2" w:rsidRDefault="00414CBC" w:rsidP="00414CBC"/>
    <w:p w14:paraId="00ED8A74" w14:textId="6F42651D" w:rsidR="00414CBC" w:rsidRPr="002E41C2" w:rsidRDefault="00414CBC" w:rsidP="00414CBC">
      <w:r w:rsidRPr="002E41C2">
        <w:t>Gearings</w:t>
      </w:r>
      <w:r w:rsidR="0091747A">
        <w:t>grads</w:t>
      </w:r>
      <w:r w:rsidRPr="002E41C2">
        <w:t>kravet vil være et supplement til det nuværende krav i CRD IV</w:t>
      </w:r>
      <w:r w:rsidR="008227A3">
        <w:t>, som er afspejlet i anordning om ikraft</w:t>
      </w:r>
      <w:r w:rsidR="004B22DC">
        <w:t>t</w:t>
      </w:r>
      <w:r w:rsidR="008227A3">
        <w:t>ræden for</w:t>
      </w:r>
      <w:r w:rsidR="0014685F">
        <w:t xml:space="preserve"> Grønland af lov om finansiel virksomhed,</w:t>
      </w:r>
      <w:r w:rsidRPr="002E41C2">
        <w:t xml:space="preserve"> om at tilsynsmyndighederne skal vurdere institutternes eksponering mod risikoen for overdreven gearing og det nuværende krav i CRR om at beregne og offentlig</w:t>
      </w:r>
      <w:r w:rsidR="00E36A61">
        <w:t>g</w:t>
      </w:r>
      <w:r w:rsidRPr="002E41C2">
        <w:t xml:space="preserve">øre gearingsgraden. Hensigten er, at </w:t>
      </w:r>
      <w:r w:rsidR="0091747A">
        <w:t>gearingsgradskrav</w:t>
      </w:r>
      <w:r w:rsidRPr="002E41C2">
        <w:t xml:space="preserve">et fungerer som et back-stop i forhold til de risikobaserede kapitalkrav. </w:t>
      </w:r>
      <w:r w:rsidR="0091747A">
        <w:t>Gearingsgradskrav</w:t>
      </w:r>
      <w:r w:rsidRPr="002E41C2">
        <w:t xml:space="preserve">et bliver et kapitalgrundlagskrav på linje med de øvrige lovbestemte minimumskrav, og brud på </w:t>
      </w:r>
      <w:r w:rsidR="0091747A">
        <w:t>gearingsgradskrav</w:t>
      </w:r>
      <w:r w:rsidRPr="002E41C2">
        <w:t>et medfører derfor reaktioner som ved brud på søjle I-krav, dvs. at tilsynsmyndigheden skal inddrage banklicensen, hvis kravet ikke opfyldes inden for en kort frist.</w:t>
      </w:r>
    </w:p>
    <w:p w14:paraId="33E526E9" w14:textId="77777777" w:rsidR="00414CBC" w:rsidRPr="002E41C2" w:rsidRDefault="00414CBC" w:rsidP="00414CBC"/>
    <w:p w14:paraId="791276E8" w14:textId="77777777" w:rsidR="00414CBC" w:rsidRPr="002E41C2" w:rsidRDefault="0091747A" w:rsidP="00414CBC">
      <w:r>
        <w:lastRenderedPageBreak/>
        <w:t>Gearingsgradskrav</w:t>
      </w:r>
      <w:r w:rsidR="00414CBC" w:rsidRPr="002E41C2">
        <w:t>et skal gælde på både institutniveau (dvs. f.eks. for penge- og realkreditinstitutter hver for sig) og koncernniveau (dvs. for penge- og realkreditinstitutter samlet, hvor de indgår i en finansiel koncern), ligesom det er tilfældet for de risikobaserede kapitalkrav.</w:t>
      </w:r>
    </w:p>
    <w:p w14:paraId="5468ABD0" w14:textId="77777777" w:rsidR="00414CBC" w:rsidRPr="002E41C2" w:rsidRDefault="00414CBC" w:rsidP="00414CBC"/>
    <w:p w14:paraId="4E9420A8" w14:textId="77777777" w:rsidR="00414CBC" w:rsidRDefault="007F527D" w:rsidP="00414CBC">
      <w:r>
        <w:t>Visse</w:t>
      </w:r>
      <w:r w:rsidR="00414CBC" w:rsidRPr="002E41C2">
        <w:t xml:space="preserve"> eksponeringer bliver undtaget fra eksponeringsmålet, herunder eksponeringer, som er garanteret af eksportkreditgarantier.</w:t>
      </w:r>
    </w:p>
    <w:p w14:paraId="23B59B8F" w14:textId="77777777" w:rsidR="007F527D" w:rsidRDefault="007F527D" w:rsidP="00414CBC"/>
    <w:p w14:paraId="091D7E37" w14:textId="27991B2F" w:rsidR="000B2228" w:rsidRPr="008717EC" w:rsidRDefault="000B2228" w:rsidP="00414CBC">
      <w:pPr>
        <w:rPr>
          <w:rFonts w:eastAsiaTheme="majorEastAsia"/>
          <w:i/>
        </w:rPr>
      </w:pPr>
      <w:r>
        <w:rPr>
          <w:i/>
        </w:rPr>
        <w:t>2.1.2.3. Erhvervsministeriets overvejelser</w:t>
      </w:r>
      <w:r w:rsidR="00907760">
        <w:rPr>
          <w:i/>
        </w:rPr>
        <w:t xml:space="preserve"> og den </w:t>
      </w:r>
      <w:r w:rsidR="00907760">
        <w:rPr>
          <w:rFonts w:eastAsiaTheme="majorEastAsia"/>
          <w:i/>
        </w:rPr>
        <w:t>foreslåede ordning</w:t>
      </w:r>
    </w:p>
    <w:p w14:paraId="4B7FBF79" w14:textId="03C7980D" w:rsidR="000B2228" w:rsidRDefault="000B2228" w:rsidP="000B2228">
      <w:pPr>
        <w:rPr>
          <w:rFonts w:eastAsiaTheme="majorEastAsia"/>
        </w:rPr>
      </w:pPr>
      <w:r>
        <w:rPr>
          <w:rFonts w:eastAsiaTheme="majorEastAsia"/>
        </w:rPr>
        <w:t xml:space="preserve">Erhvervsministeriet finder det hensigtsmæssigt, at der </w:t>
      </w:r>
      <w:r w:rsidR="00B05606">
        <w:rPr>
          <w:rFonts w:eastAsiaTheme="majorEastAsia"/>
        </w:rPr>
        <w:t>i Grønland</w:t>
      </w:r>
      <w:r>
        <w:rPr>
          <w:rFonts w:eastAsiaTheme="majorEastAsia"/>
        </w:rPr>
        <w:t xml:space="preserve"> gælder regler svarende til reglerne i Danmark på det finansielle område. </w:t>
      </w:r>
    </w:p>
    <w:p w14:paraId="28463B0A" w14:textId="1E04A25E" w:rsidR="000B2228" w:rsidRPr="00374D6B" w:rsidRDefault="000B2228" w:rsidP="000B2228">
      <w:pPr>
        <w:rPr>
          <w:rFonts w:eastAsiaTheme="majorEastAsia"/>
          <w:i/>
        </w:rPr>
      </w:pPr>
    </w:p>
    <w:p w14:paraId="2953BE95" w14:textId="3DF8B76D" w:rsidR="000B2228" w:rsidRDefault="000B2228" w:rsidP="000B2228">
      <w:pPr>
        <w:rPr>
          <w:rFonts w:eastAsiaTheme="majorEastAsia"/>
        </w:rPr>
      </w:pPr>
      <w:r>
        <w:rPr>
          <w:rFonts w:eastAsiaTheme="majorEastAsia"/>
        </w:rPr>
        <w:t xml:space="preserve">Det foreslås </w:t>
      </w:r>
      <w:r w:rsidR="00747B1A">
        <w:rPr>
          <w:rFonts w:eastAsiaTheme="majorEastAsia"/>
        </w:rPr>
        <w:t xml:space="preserve">derfor </w:t>
      </w:r>
      <w:r>
        <w:rPr>
          <w:rFonts w:eastAsiaTheme="majorEastAsia"/>
        </w:rPr>
        <w:t xml:space="preserve">at sætte reglerne i CRR II i kraft for </w:t>
      </w:r>
      <w:r w:rsidR="00AF4868">
        <w:rPr>
          <w:rFonts w:eastAsiaTheme="majorEastAsia"/>
        </w:rPr>
        <w:t>Grønland</w:t>
      </w:r>
      <w:r>
        <w:rPr>
          <w:rFonts w:eastAsiaTheme="majorEastAsia"/>
        </w:rPr>
        <w:t>, som beskrevet i afsnit 2.1.2.2 ovenfor.</w:t>
      </w:r>
    </w:p>
    <w:p w14:paraId="0CC32CB4" w14:textId="77777777" w:rsidR="000B2228" w:rsidRPr="00AF4868" w:rsidRDefault="000B2228" w:rsidP="00414CBC">
      <w:pPr>
        <w:rPr>
          <w:i/>
        </w:rPr>
      </w:pPr>
    </w:p>
    <w:p w14:paraId="3696AF50" w14:textId="77777777" w:rsidR="007F527D" w:rsidRPr="00414CBC" w:rsidRDefault="007F527D" w:rsidP="007F527D">
      <w:pPr>
        <w:pStyle w:val="Overskrift2"/>
        <w:rPr>
          <w:sz w:val="24"/>
        </w:rPr>
      </w:pPr>
      <w:bookmarkStart w:id="143" w:name="_Ref84075168"/>
      <w:r>
        <w:rPr>
          <w:sz w:val="24"/>
        </w:rPr>
        <w:t>2.</w:t>
      </w:r>
      <w:r w:rsidR="00415679">
        <w:rPr>
          <w:sz w:val="24"/>
        </w:rPr>
        <w:t>1.</w:t>
      </w:r>
      <w:r>
        <w:rPr>
          <w:sz w:val="24"/>
        </w:rPr>
        <w:t>3</w:t>
      </w:r>
      <w:r w:rsidR="00415679">
        <w:rPr>
          <w:sz w:val="24"/>
        </w:rPr>
        <w:t>.</w:t>
      </w:r>
      <w:r>
        <w:rPr>
          <w:sz w:val="24"/>
        </w:rPr>
        <w:t xml:space="preserve"> Store eksponeringer</w:t>
      </w:r>
      <w:bookmarkEnd w:id="143"/>
    </w:p>
    <w:p w14:paraId="4DD05333" w14:textId="77777777" w:rsidR="00494CC3" w:rsidRDefault="00415679" w:rsidP="007F527D">
      <w:pPr>
        <w:rPr>
          <w:rFonts w:eastAsiaTheme="majorEastAsia"/>
          <w:i/>
        </w:rPr>
      </w:pPr>
      <w:r>
        <w:rPr>
          <w:rFonts w:eastAsiaTheme="majorEastAsia"/>
          <w:i/>
        </w:rPr>
        <w:t xml:space="preserve">2.1.3.1. </w:t>
      </w:r>
      <w:r w:rsidR="00494CC3">
        <w:rPr>
          <w:rFonts w:eastAsiaTheme="majorEastAsia"/>
          <w:i/>
        </w:rPr>
        <w:t>Gældende ret</w:t>
      </w:r>
    </w:p>
    <w:p w14:paraId="4C149BC6" w14:textId="29433F0F" w:rsidR="00494CC3" w:rsidRPr="00494CC3" w:rsidRDefault="00494CC3" w:rsidP="00494CC3">
      <w:r w:rsidRPr="00494CC3">
        <w:t>Store eksponeringer er reguleret i artikel 387-403 i CRR</w:t>
      </w:r>
      <w:r w:rsidR="00982434">
        <w:t xml:space="preserve">, som sat i kraft for Grønland ved lov om </w:t>
      </w:r>
      <w:r w:rsidR="00982434" w:rsidRPr="009E72BC">
        <w:t>lov for Grønland om kapitalkrav og tilsynsmæssige krav for kreditinstitutter og investeringsselskaber</w:t>
      </w:r>
      <w:r w:rsidRPr="00494CC3">
        <w:t xml:space="preserve">. Kreditinstitutter og fondsmæglerselskaber I skal indberette store eksponeringer til myndighederne. En stor eksponering defineres som en enkelt kunde eller gruppe af indbyrdes forbundne kunder, som udgør 10 pct. eller mere af instituttet justerede kapitalgrundlag. Institutter, som har tilladelse til at beregne deres risikovægtede eksponeringer efter den interne </w:t>
      </w:r>
      <w:proofErr w:type="spellStart"/>
      <w:r w:rsidRPr="00494CC3">
        <w:t>ratingbaserede</w:t>
      </w:r>
      <w:proofErr w:type="spellEnd"/>
      <w:r w:rsidRPr="00494CC3">
        <w:t xml:space="preserve"> metode (IRB-metoden), skal oplyse om de 20 største eksponeringer.</w:t>
      </w:r>
    </w:p>
    <w:p w14:paraId="4DA8E960" w14:textId="77777777" w:rsidR="00494CC3" w:rsidRDefault="00494CC3" w:rsidP="00494CC3">
      <w:pPr>
        <w:pStyle w:val="Default"/>
        <w:rPr>
          <w:rFonts w:eastAsiaTheme="majorEastAsia"/>
          <w:i/>
        </w:rPr>
      </w:pPr>
    </w:p>
    <w:p w14:paraId="640DD7AC" w14:textId="589A211A" w:rsidR="00494CC3" w:rsidRDefault="00415679" w:rsidP="007F527D">
      <w:pPr>
        <w:rPr>
          <w:rFonts w:eastAsiaTheme="majorEastAsia"/>
          <w:i/>
        </w:rPr>
      </w:pPr>
      <w:r>
        <w:rPr>
          <w:rFonts w:eastAsiaTheme="majorEastAsia"/>
          <w:i/>
        </w:rPr>
        <w:t xml:space="preserve">2.1.3.2. </w:t>
      </w:r>
      <w:r w:rsidR="000B2228">
        <w:rPr>
          <w:rFonts w:eastAsiaTheme="majorEastAsia"/>
          <w:i/>
        </w:rPr>
        <w:t>Forordningens indhold</w:t>
      </w:r>
    </w:p>
    <w:p w14:paraId="0217CC7C" w14:textId="3693E201" w:rsidR="007F527D" w:rsidRPr="002E41C2" w:rsidRDefault="007F527D" w:rsidP="007F527D">
      <w:pPr>
        <w:rPr>
          <w:rFonts w:eastAsiaTheme="majorEastAsia"/>
        </w:rPr>
      </w:pPr>
      <w:r w:rsidRPr="002E41C2">
        <w:rPr>
          <w:rFonts w:eastAsiaTheme="majorEastAsia"/>
        </w:rPr>
        <w:t xml:space="preserve">Med </w:t>
      </w:r>
      <w:r w:rsidR="00BA4307">
        <w:rPr>
          <w:rFonts w:eastAsiaTheme="majorEastAsia"/>
        </w:rPr>
        <w:t>CRR</w:t>
      </w:r>
      <w:r w:rsidR="00FB4071">
        <w:rPr>
          <w:rFonts w:eastAsiaTheme="majorEastAsia"/>
        </w:rPr>
        <w:t xml:space="preserve"> </w:t>
      </w:r>
      <w:r w:rsidR="00BA4307">
        <w:rPr>
          <w:rFonts w:eastAsiaTheme="majorEastAsia"/>
        </w:rPr>
        <w:t xml:space="preserve">II </w:t>
      </w:r>
      <w:r w:rsidRPr="002E41C2">
        <w:rPr>
          <w:rFonts w:eastAsiaTheme="majorEastAsia"/>
        </w:rPr>
        <w:t xml:space="preserve">præciseres beregningsmetoden for store eksponeringer, hvorved </w:t>
      </w:r>
      <w:r w:rsidR="008F2BAE">
        <w:rPr>
          <w:rFonts w:eastAsiaTheme="majorEastAsia"/>
        </w:rPr>
        <w:t>reglerne</w:t>
      </w:r>
      <w:r w:rsidRPr="002E41C2">
        <w:rPr>
          <w:rFonts w:eastAsiaTheme="majorEastAsia"/>
        </w:rPr>
        <w:t xml:space="preserve"> tilpasses Basel-standarden for store eksponeringer fra 2014. </w:t>
      </w:r>
      <w:r w:rsidR="00BA4307">
        <w:rPr>
          <w:rFonts w:eastAsiaTheme="majorEastAsia"/>
        </w:rPr>
        <w:t>E</w:t>
      </w:r>
      <w:r w:rsidRPr="002E41C2">
        <w:rPr>
          <w:rFonts w:eastAsiaTheme="majorEastAsia"/>
        </w:rPr>
        <w:t xml:space="preserve">t instituts store eksponeringer </w:t>
      </w:r>
      <w:r w:rsidR="00BA4307" w:rsidRPr="002E41C2">
        <w:rPr>
          <w:rFonts w:eastAsiaTheme="majorEastAsia"/>
        </w:rPr>
        <w:t xml:space="preserve">udmåles </w:t>
      </w:r>
      <w:r w:rsidRPr="002E41C2">
        <w:rPr>
          <w:rFonts w:eastAsiaTheme="majorEastAsia"/>
        </w:rPr>
        <w:t>fremadrettet i forhold til et snævrere kapitalbegreb end i dag. Fremover skal instituttets eksponeringer udmåles i forhold til kernekapitalen (egentlig kernekapital + hybrid kernekapital), hvor store eksponeringer i dag udmåles i forhold til det justerede kapitalgrundlag (egentlig kernekapital + hybrid kernekapital + supplerende kapital). Det vil medføre, at flere eksponeringer klassificere</w:t>
      </w:r>
      <w:r w:rsidR="004B22DC">
        <w:rPr>
          <w:rFonts w:eastAsiaTheme="majorEastAsia"/>
        </w:rPr>
        <w:t>s</w:t>
      </w:r>
      <w:r w:rsidRPr="002E41C2">
        <w:rPr>
          <w:rFonts w:eastAsiaTheme="majorEastAsia"/>
        </w:rPr>
        <w:t xml:space="preserve"> som store eksponeringer ligesom flere eksponeringer vil overstige den generelle grænse (på 25 pct. af kernekapitalen) for, hvor stor en eksponering må udgøre i forhold </w:t>
      </w:r>
      <w:r w:rsidR="00D73CD1">
        <w:rPr>
          <w:rFonts w:eastAsiaTheme="majorEastAsia"/>
        </w:rPr>
        <w:t xml:space="preserve">til </w:t>
      </w:r>
      <w:r w:rsidRPr="002E41C2">
        <w:rPr>
          <w:rFonts w:eastAsiaTheme="majorEastAsia"/>
        </w:rPr>
        <w:t>instituttets kapitalgrundlag. Hvis grænsen overskrides</w:t>
      </w:r>
      <w:r w:rsidR="00E36A61">
        <w:rPr>
          <w:rFonts w:eastAsiaTheme="majorEastAsia"/>
        </w:rPr>
        <w:t>,</w:t>
      </w:r>
      <w:r w:rsidRPr="002E41C2">
        <w:rPr>
          <w:rFonts w:eastAsiaTheme="majorEastAsia"/>
        </w:rPr>
        <w:t xml:space="preserve"> skal instituttet reducere de konkrete eksponeringer. </w:t>
      </w:r>
    </w:p>
    <w:p w14:paraId="660C7335" w14:textId="77777777" w:rsidR="007F527D" w:rsidRPr="002E41C2" w:rsidRDefault="007F527D" w:rsidP="007F527D">
      <w:pPr>
        <w:rPr>
          <w:rFonts w:eastAsiaTheme="majorEastAsia"/>
        </w:rPr>
      </w:pPr>
    </w:p>
    <w:p w14:paraId="06ACA103" w14:textId="451681D9" w:rsidR="007F527D" w:rsidRPr="002E41C2" w:rsidRDefault="007F527D" w:rsidP="007F527D">
      <w:pPr>
        <w:rPr>
          <w:rFonts w:eastAsiaTheme="majorEastAsia"/>
        </w:rPr>
      </w:pPr>
      <w:proofErr w:type="gramStart"/>
      <w:r w:rsidRPr="002E41C2">
        <w:rPr>
          <w:rFonts w:eastAsiaTheme="majorEastAsia"/>
        </w:rPr>
        <w:lastRenderedPageBreak/>
        <w:t>Endvidere</w:t>
      </w:r>
      <w:proofErr w:type="gramEnd"/>
      <w:r w:rsidRPr="002E41C2">
        <w:rPr>
          <w:rFonts w:eastAsiaTheme="majorEastAsia"/>
        </w:rPr>
        <w:t xml:space="preserve"> begrænses </w:t>
      </w:r>
      <w:r w:rsidR="00353C91" w:rsidRPr="00353C91">
        <w:rPr>
          <w:rFonts w:eastAsiaTheme="majorEastAsia"/>
        </w:rPr>
        <w:t>globalt systemisk vigtige institutter</w:t>
      </w:r>
      <w:r w:rsidR="00353C91">
        <w:rPr>
          <w:rFonts w:eastAsiaTheme="majorEastAsia"/>
        </w:rPr>
        <w:t>s</w:t>
      </w:r>
      <w:r w:rsidR="00353C91" w:rsidRPr="00353C91">
        <w:rPr>
          <w:rFonts w:eastAsiaTheme="majorEastAsia"/>
        </w:rPr>
        <w:t xml:space="preserve"> </w:t>
      </w:r>
      <w:r w:rsidR="00353C91">
        <w:rPr>
          <w:rFonts w:eastAsiaTheme="majorEastAsia"/>
        </w:rPr>
        <w:t>(</w:t>
      </w:r>
      <w:r w:rsidRPr="002E41C2">
        <w:rPr>
          <w:rFonts w:eastAsiaTheme="majorEastAsia"/>
        </w:rPr>
        <w:t>G-SIFI</w:t>
      </w:r>
      <w:r w:rsidR="00353C91">
        <w:rPr>
          <w:rFonts w:eastAsiaTheme="majorEastAsia"/>
        </w:rPr>
        <w:t>)</w:t>
      </w:r>
      <w:r w:rsidRPr="002E41C2">
        <w:rPr>
          <w:rFonts w:eastAsiaTheme="majorEastAsia"/>
        </w:rPr>
        <w:t xml:space="preserve"> eksponeringer mod hinanden, henset til at disse institutters indbyrdes forbundenhed kan forstærke finansiel uro under en krise. </w:t>
      </w:r>
      <w:r w:rsidR="00BA4307">
        <w:rPr>
          <w:rFonts w:eastAsiaTheme="majorEastAsia"/>
        </w:rPr>
        <w:t>G</w:t>
      </w:r>
      <w:r w:rsidRPr="002E41C2">
        <w:rPr>
          <w:rFonts w:eastAsiaTheme="majorEastAsia"/>
        </w:rPr>
        <w:t xml:space="preserve">rænsen for store eksponeringer mellem </w:t>
      </w:r>
      <w:proofErr w:type="spellStart"/>
      <w:r w:rsidRPr="002E41C2">
        <w:rPr>
          <w:rFonts w:eastAsiaTheme="majorEastAsia"/>
        </w:rPr>
        <w:t>G-SIFI’er</w:t>
      </w:r>
      <w:proofErr w:type="spellEnd"/>
      <w:r w:rsidRPr="002E41C2">
        <w:rPr>
          <w:rFonts w:eastAsiaTheme="majorEastAsia"/>
        </w:rPr>
        <w:t xml:space="preserve"> sænkes fra den generelle grænse på 25 pct. til 15 pct. </w:t>
      </w:r>
    </w:p>
    <w:p w14:paraId="27A991A9" w14:textId="77777777" w:rsidR="007F527D" w:rsidRPr="002E41C2" w:rsidRDefault="007F527D" w:rsidP="007F527D">
      <w:pPr>
        <w:rPr>
          <w:rFonts w:eastAsiaTheme="majorEastAsia"/>
        </w:rPr>
      </w:pPr>
    </w:p>
    <w:p w14:paraId="2F45C242" w14:textId="77777777" w:rsidR="007F527D" w:rsidRDefault="007F527D" w:rsidP="007F527D">
      <w:pPr>
        <w:rPr>
          <w:rFonts w:eastAsiaTheme="majorEastAsia"/>
        </w:rPr>
      </w:pPr>
      <w:r w:rsidRPr="002E41C2">
        <w:rPr>
          <w:rFonts w:eastAsiaTheme="majorEastAsia"/>
        </w:rPr>
        <w:t xml:space="preserve">I de gældende regler er der en række undtagelser for store eksponeringer, der for størstedelen foreslås videreført uændret. Undtagelsesmulighederne anvendes bl.a. i forbindelse med dansk realkredit, </w:t>
      </w:r>
      <w:r w:rsidRPr="002E41C2">
        <w:t>idet der kortvarigt er meget store eksponeringer i forbindelse med terminsbetalinger og i perioder med kunders omlægning af lån</w:t>
      </w:r>
      <w:r w:rsidRPr="002E41C2">
        <w:rPr>
          <w:rFonts w:eastAsiaTheme="majorEastAsia"/>
        </w:rPr>
        <w:t>.</w:t>
      </w:r>
    </w:p>
    <w:p w14:paraId="223A2ADB" w14:textId="77777777" w:rsidR="000B2228" w:rsidRDefault="000B2228" w:rsidP="007F527D">
      <w:pPr>
        <w:rPr>
          <w:rFonts w:eastAsiaTheme="majorEastAsia"/>
        </w:rPr>
      </w:pPr>
    </w:p>
    <w:p w14:paraId="2C8AD4F9" w14:textId="2018D943" w:rsidR="000B2228" w:rsidRDefault="000B2228" w:rsidP="000B2228">
      <w:pPr>
        <w:rPr>
          <w:rFonts w:eastAsiaTheme="majorEastAsia"/>
          <w:i/>
        </w:rPr>
      </w:pPr>
      <w:r>
        <w:rPr>
          <w:rFonts w:eastAsiaTheme="majorEastAsia"/>
          <w:i/>
        </w:rPr>
        <w:t xml:space="preserve">2.1.3.3. </w:t>
      </w:r>
      <w:r w:rsidR="00907760">
        <w:rPr>
          <w:i/>
        </w:rPr>
        <w:t xml:space="preserve">Erhvervsministeriets overvejelser og den </w:t>
      </w:r>
      <w:r w:rsidR="00907760">
        <w:rPr>
          <w:rFonts w:eastAsiaTheme="majorEastAsia"/>
          <w:i/>
        </w:rPr>
        <w:t>foreslåede ordning</w:t>
      </w:r>
    </w:p>
    <w:p w14:paraId="65191DE3" w14:textId="02F739A4" w:rsidR="000B2228" w:rsidRDefault="000B2228" w:rsidP="000B2228">
      <w:pPr>
        <w:rPr>
          <w:rFonts w:eastAsiaTheme="majorEastAsia"/>
        </w:rPr>
      </w:pPr>
      <w:r>
        <w:rPr>
          <w:rFonts w:eastAsiaTheme="majorEastAsia"/>
        </w:rPr>
        <w:t xml:space="preserve">Erhvervsministeriet finder det hensigtsmæssigt, at der </w:t>
      </w:r>
      <w:r w:rsidR="00B05606">
        <w:rPr>
          <w:rFonts w:eastAsiaTheme="majorEastAsia"/>
        </w:rPr>
        <w:t>i Grønland</w:t>
      </w:r>
      <w:r>
        <w:rPr>
          <w:rFonts w:eastAsiaTheme="majorEastAsia"/>
        </w:rPr>
        <w:t xml:space="preserve"> gælder regler svarende til reglerne i Danmark på det finansielle område. </w:t>
      </w:r>
    </w:p>
    <w:p w14:paraId="0F9C679B" w14:textId="77777777" w:rsidR="000B2228" w:rsidRPr="00374D6B" w:rsidRDefault="000B2228" w:rsidP="000B2228">
      <w:pPr>
        <w:rPr>
          <w:rFonts w:eastAsiaTheme="majorEastAsia"/>
        </w:rPr>
      </w:pPr>
    </w:p>
    <w:p w14:paraId="6231E6AD" w14:textId="2F93491A" w:rsidR="000B2228" w:rsidRDefault="000B2228" w:rsidP="007F527D">
      <w:pPr>
        <w:rPr>
          <w:rFonts w:eastAsiaTheme="majorEastAsia"/>
        </w:rPr>
      </w:pPr>
      <w:r>
        <w:rPr>
          <w:rFonts w:eastAsiaTheme="majorEastAsia"/>
        </w:rPr>
        <w:t xml:space="preserve">Det foreslås </w:t>
      </w:r>
      <w:r w:rsidR="00747B1A">
        <w:rPr>
          <w:rFonts w:eastAsiaTheme="majorEastAsia"/>
        </w:rPr>
        <w:t xml:space="preserve">derfor </w:t>
      </w:r>
      <w:r>
        <w:rPr>
          <w:rFonts w:eastAsiaTheme="majorEastAsia"/>
        </w:rPr>
        <w:t xml:space="preserve">at sætte reglerne i CRR II i kraft for </w:t>
      </w:r>
      <w:r w:rsidR="00AF4868">
        <w:rPr>
          <w:rFonts w:eastAsiaTheme="majorEastAsia"/>
        </w:rPr>
        <w:t>Grønland</w:t>
      </w:r>
      <w:r>
        <w:rPr>
          <w:rFonts w:eastAsiaTheme="majorEastAsia"/>
        </w:rPr>
        <w:t>, som beskrevet i afsnit 2.1.3.2 ovenfor.</w:t>
      </w:r>
    </w:p>
    <w:p w14:paraId="2F6B7103" w14:textId="77777777" w:rsidR="00BA4307" w:rsidRDefault="00BA4307" w:rsidP="007F527D">
      <w:pPr>
        <w:rPr>
          <w:rFonts w:eastAsiaTheme="majorEastAsia"/>
        </w:rPr>
      </w:pPr>
    </w:p>
    <w:p w14:paraId="47DB44B9" w14:textId="77777777" w:rsidR="00BA4307" w:rsidRPr="00BA4307" w:rsidRDefault="00BA4307" w:rsidP="00BA4307">
      <w:pPr>
        <w:pStyle w:val="Overskrift2"/>
        <w:rPr>
          <w:sz w:val="24"/>
        </w:rPr>
      </w:pPr>
      <w:bookmarkStart w:id="144" w:name="_Ref84075176"/>
      <w:r w:rsidRPr="00BA4307">
        <w:rPr>
          <w:sz w:val="24"/>
        </w:rPr>
        <w:t>2.</w:t>
      </w:r>
      <w:r w:rsidR="00415679">
        <w:rPr>
          <w:sz w:val="24"/>
        </w:rPr>
        <w:t>1.</w:t>
      </w:r>
      <w:r w:rsidRPr="00BA4307">
        <w:rPr>
          <w:sz w:val="24"/>
        </w:rPr>
        <w:t>4</w:t>
      </w:r>
      <w:r w:rsidR="00415679">
        <w:rPr>
          <w:sz w:val="24"/>
        </w:rPr>
        <w:t>.</w:t>
      </w:r>
      <w:r w:rsidRPr="00BA4307">
        <w:rPr>
          <w:sz w:val="24"/>
        </w:rPr>
        <w:t xml:space="preserve"> Reguleringsmæssig indberetning</w:t>
      </w:r>
      <w:bookmarkEnd w:id="144"/>
    </w:p>
    <w:p w14:paraId="41E855BB" w14:textId="77777777" w:rsidR="00DE6651" w:rsidRDefault="00415679" w:rsidP="00BA4307">
      <w:pPr>
        <w:rPr>
          <w:rFonts w:eastAsiaTheme="majorEastAsia"/>
          <w:i/>
        </w:rPr>
      </w:pPr>
      <w:r>
        <w:rPr>
          <w:rFonts w:eastAsiaTheme="majorEastAsia"/>
          <w:i/>
        </w:rPr>
        <w:t xml:space="preserve">2.1.4.1. </w:t>
      </w:r>
      <w:r w:rsidR="007A4BC5">
        <w:rPr>
          <w:rFonts w:eastAsiaTheme="majorEastAsia"/>
          <w:i/>
        </w:rPr>
        <w:t>Gældende ret</w:t>
      </w:r>
    </w:p>
    <w:p w14:paraId="092DCFB0" w14:textId="359D5B1C" w:rsidR="007A4BC5" w:rsidRPr="007A4BC5" w:rsidRDefault="00FB74E0" w:rsidP="007A4BC5">
      <w:r>
        <w:t>Tredje del, afsnit I, k</w:t>
      </w:r>
      <w:r w:rsidR="007A4BC5" w:rsidRPr="007A4BC5">
        <w:t>apitel 2 i CRR</w:t>
      </w:r>
      <w:r w:rsidR="00982434">
        <w:t xml:space="preserve">, som sat i kraft for Grønland ved lov om </w:t>
      </w:r>
      <w:r w:rsidR="00982434" w:rsidRPr="009E72BC">
        <w:t>lov for Grønland om kapitalkrav og tilsynsmæssige krav for kreditinstitutter og investeringsselskaber</w:t>
      </w:r>
      <w:r w:rsidR="00982434">
        <w:t>,</w:t>
      </w:r>
      <w:r w:rsidR="007A4BC5" w:rsidRPr="007A4BC5">
        <w:t xml:space="preserve"> dækker indberetningskrav vedrørende kapitalgrundlagskravene (kapital og risikoeksponeringer) samt regnskabsoplysninger og refererer inden for forordningen til de fælleseuropæiske indberetningsstandarder Common Reporting (COREP), som er standarden for indberetning af solvensopgørelse m.v., og Financial Reporting (FINREP), som er standarden for indberetning af regnskabsoplysninger.</w:t>
      </w:r>
    </w:p>
    <w:p w14:paraId="3D8543DE" w14:textId="77777777" w:rsidR="007A4BC5" w:rsidRDefault="007A4BC5" w:rsidP="00BA4307">
      <w:pPr>
        <w:rPr>
          <w:sz w:val="23"/>
          <w:szCs w:val="23"/>
        </w:rPr>
      </w:pPr>
    </w:p>
    <w:p w14:paraId="3C896694" w14:textId="4C4945FD" w:rsidR="007A4BC5" w:rsidRPr="007A4BC5" w:rsidRDefault="007A4BC5" w:rsidP="00BA4307">
      <w:pPr>
        <w:rPr>
          <w:rFonts w:eastAsiaTheme="majorEastAsia"/>
        </w:rPr>
      </w:pPr>
      <w:r w:rsidRPr="007A4BC5">
        <w:rPr>
          <w:rFonts w:eastAsiaTheme="majorEastAsia"/>
        </w:rPr>
        <w:t xml:space="preserve">De øvrige indberetningskrav, der indgår i ovennævnte standarder, omfatter i hovedsagen indberetninger af likviditet (likviditetsdækningskrav og krav vedrørende stabil </w:t>
      </w:r>
      <w:proofErr w:type="spellStart"/>
      <w:r w:rsidRPr="007A4BC5">
        <w:rPr>
          <w:rFonts w:eastAsiaTheme="majorEastAsia"/>
        </w:rPr>
        <w:t>funding</w:t>
      </w:r>
      <w:proofErr w:type="spellEnd"/>
      <w:r w:rsidRPr="007A4BC5">
        <w:rPr>
          <w:rFonts w:eastAsiaTheme="majorEastAsia"/>
        </w:rPr>
        <w:t xml:space="preserve">), </w:t>
      </w:r>
      <w:r>
        <w:rPr>
          <w:rFonts w:eastAsiaTheme="majorEastAsia"/>
        </w:rPr>
        <w:t>gearingsgrad og tab i forbindel</w:t>
      </w:r>
      <w:r w:rsidRPr="007A4BC5">
        <w:rPr>
          <w:rFonts w:eastAsiaTheme="majorEastAsia"/>
        </w:rPr>
        <w:t xml:space="preserve">se med udlån med sikkerhed i fast ejendom (artikel 101). </w:t>
      </w:r>
    </w:p>
    <w:p w14:paraId="7E3107D0" w14:textId="77777777" w:rsidR="007A4BC5" w:rsidRDefault="007A4BC5" w:rsidP="00BA4307">
      <w:pPr>
        <w:rPr>
          <w:rFonts w:eastAsiaTheme="majorEastAsia"/>
        </w:rPr>
      </w:pPr>
    </w:p>
    <w:p w14:paraId="3A05C4C7" w14:textId="68BF78FB" w:rsidR="007A4BC5" w:rsidRPr="007A4BC5" w:rsidRDefault="003954B2" w:rsidP="00BA4307">
      <w:pPr>
        <w:rPr>
          <w:rFonts w:eastAsiaTheme="majorEastAsia"/>
          <w:i/>
        </w:rPr>
      </w:pPr>
      <w:r>
        <w:rPr>
          <w:rFonts w:eastAsiaTheme="majorEastAsia"/>
          <w:i/>
        </w:rPr>
        <w:t xml:space="preserve">2.1.4.2. </w:t>
      </w:r>
      <w:r w:rsidR="000B2228">
        <w:rPr>
          <w:rFonts w:eastAsiaTheme="majorEastAsia"/>
          <w:i/>
        </w:rPr>
        <w:t>Forordningens indhold</w:t>
      </w:r>
    </w:p>
    <w:p w14:paraId="0A5AD6D8" w14:textId="77777777" w:rsidR="00BA4307" w:rsidRPr="002E41C2" w:rsidRDefault="00BA4307" w:rsidP="00BA4307">
      <w:pPr>
        <w:rPr>
          <w:rFonts w:eastAsiaTheme="majorEastAsia"/>
        </w:rPr>
      </w:pPr>
      <w:r>
        <w:rPr>
          <w:rFonts w:eastAsiaTheme="majorEastAsia"/>
        </w:rPr>
        <w:t xml:space="preserve">CRR II </w:t>
      </w:r>
      <w:r w:rsidRPr="002E41C2">
        <w:rPr>
          <w:rFonts w:eastAsiaTheme="majorEastAsia"/>
        </w:rPr>
        <w:t xml:space="preserve">indeholder flere ændringer rettet mod at øge proportionaliteten i </w:t>
      </w:r>
      <w:r w:rsidR="00F772D9">
        <w:rPr>
          <w:rFonts w:eastAsiaTheme="majorEastAsia"/>
        </w:rPr>
        <w:t>reglerne</w:t>
      </w:r>
      <w:r w:rsidRPr="002E41C2">
        <w:rPr>
          <w:rFonts w:eastAsiaTheme="majorEastAsia"/>
        </w:rPr>
        <w:t xml:space="preserve">. </w:t>
      </w:r>
      <w:r w:rsidR="00062452">
        <w:rPr>
          <w:rFonts w:eastAsiaTheme="majorEastAsia"/>
        </w:rPr>
        <w:t xml:space="preserve">Små </w:t>
      </w:r>
      <w:r w:rsidRPr="002E41C2">
        <w:rPr>
          <w:rFonts w:eastAsiaTheme="majorEastAsia"/>
        </w:rPr>
        <w:t xml:space="preserve">institutters forpligtigelse til at indberette til tilsynsmyndigheden reduceres fra mindst halvårligt til årligt på en række områder.  </w:t>
      </w:r>
    </w:p>
    <w:p w14:paraId="59F0DA0F" w14:textId="77777777" w:rsidR="00BA4307" w:rsidRPr="002E41C2" w:rsidRDefault="00BA4307" w:rsidP="00BA4307">
      <w:pPr>
        <w:rPr>
          <w:rFonts w:eastAsiaTheme="majorEastAsia"/>
        </w:rPr>
      </w:pPr>
    </w:p>
    <w:p w14:paraId="07EA5721" w14:textId="77777777" w:rsidR="00BA4307" w:rsidRPr="002E41C2" w:rsidRDefault="00BA4307" w:rsidP="00BA4307">
      <w:pPr>
        <w:rPr>
          <w:rFonts w:eastAsiaTheme="majorEastAsia"/>
        </w:rPr>
      </w:pPr>
      <w:r w:rsidRPr="002E41C2">
        <w:rPr>
          <w:rFonts w:eastAsiaTheme="majorEastAsia"/>
        </w:rPr>
        <w:lastRenderedPageBreak/>
        <w:t xml:space="preserve">Den reducerede indberetningsforpligtelse omfatter kapitalgrundlagskrav, tab i forbindelse med udlån med sikkerhed i fast ejendom, store eksponeringer og gearingsgrad. </w:t>
      </w:r>
    </w:p>
    <w:p w14:paraId="441D531F" w14:textId="77777777" w:rsidR="00BA4307" w:rsidRPr="002E41C2" w:rsidRDefault="00BA4307" w:rsidP="00BA4307">
      <w:pPr>
        <w:rPr>
          <w:rFonts w:eastAsiaTheme="majorEastAsia"/>
        </w:rPr>
      </w:pPr>
    </w:p>
    <w:p w14:paraId="17AA0416" w14:textId="761F6D99" w:rsidR="00BA4307" w:rsidRDefault="00BA4307" w:rsidP="00BA4307">
      <w:pPr>
        <w:rPr>
          <w:rFonts w:eastAsiaTheme="majorEastAsia"/>
        </w:rPr>
      </w:pPr>
      <w:r w:rsidRPr="002E41C2">
        <w:rPr>
          <w:rFonts w:eastAsiaTheme="majorEastAsia"/>
        </w:rPr>
        <w:t xml:space="preserve">Små institutter defineres som institutter, der har samlede aktiver for mindre end 1,5 mia. EUR (ca. 11,1 mia. kr.). </w:t>
      </w:r>
    </w:p>
    <w:p w14:paraId="2EBC7541" w14:textId="77777777" w:rsidR="004B22DC" w:rsidRPr="002E41C2" w:rsidRDefault="004B22DC" w:rsidP="00BA4307">
      <w:pPr>
        <w:rPr>
          <w:rFonts w:eastAsiaTheme="majorEastAsia"/>
        </w:rPr>
      </w:pPr>
    </w:p>
    <w:p w14:paraId="706B7869" w14:textId="77777777" w:rsidR="00BA4307" w:rsidRDefault="00BA4307" w:rsidP="00BA4307">
      <w:pPr>
        <w:rPr>
          <w:rFonts w:eastAsiaTheme="majorEastAsia"/>
        </w:rPr>
      </w:pPr>
      <w:r w:rsidRPr="002E41C2">
        <w:rPr>
          <w:rFonts w:eastAsiaTheme="majorEastAsia"/>
        </w:rPr>
        <w:t>Endelig åbnes der op for, at tilsynsmyndigheden kan undtage institutter fra at indberette et antal specifikke skemaer, hvis data tilvejebringes ad anden vej, ligesom der er krav om, at der ikke må anmodes om samme oplysninger to gange.</w:t>
      </w:r>
    </w:p>
    <w:p w14:paraId="65F74BBA" w14:textId="77777777" w:rsidR="003954B2" w:rsidRDefault="003954B2" w:rsidP="00BA4307">
      <w:pPr>
        <w:rPr>
          <w:rFonts w:eastAsiaTheme="majorEastAsia"/>
        </w:rPr>
      </w:pPr>
    </w:p>
    <w:p w14:paraId="5B211AE0" w14:textId="54195947" w:rsidR="003954B2" w:rsidRDefault="003954B2" w:rsidP="003954B2">
      <w:pPr>
        <w:rPr>
          <w:rFonts w:eastAsiaTheme="majorEastAsia"/>
          <w:i/>
        </w:rPr>
      </w:pPr>
      <w:r>
        <w:rPr>
          <w:rFonts w:eastAsiaTheme="majorEastAsia"/>
          <w:i/>
        </w:rPr>
        <w:t xml:space="preserve">2.1.4.3. </w:t>
      </w:r>
      <w:r w:rsidR="00907760">
        <w:rPr>
          <w:i/>
        </w:rPr>
        <w:t xml:space="preserve">Erhvervsministeriets overvejelser og den </w:t>
      </w:r>
      <w:r w:rsidR="00907760">
        <w:rPr>
          <w:rFonts w:eastAsiaTheme="majorEastAsia"/>
          <w:i/>
        </w:rPr>
        <w:t>foreslåede ordning</w:t>
      </w:r>
    </w:p>
    <w:p w14:paraId="2010EA54" w14:textId="2A37CF42" w:rsidR="003954B2" w:rsidRDefault="003954B2" w:rsidP="003954B2">
      <w:pPr>
        <w:rPr>
          <w:rFonts w:eastAsiaTheme="majorEastAsia"/>
        </w:rPr>
      </w:pPr>
      <w:r>
        <w:rPr>
          <w:rFonts w:eastAsiaTheme="majorEastAsia"/>
        </w:rPr>
        <w:t xml:space="preserve">Erhvervsministeriet finder det hensigtsmæssigt, at der </w:t>
      </w:r>
      <w:r w:rsidR="00B05606">
        <w:rPr>
          <w:rFonts w:eastAsiaTheme="majorEastAsia"/>
        </w:rPr>
        <w:t>i Grønland</w:t>
      </w:r>
      <w:r>
        <w:rPr>
          <w:rFonts w:eastAsiaTheme="majorEastAsia"/>
        </w:rPr>
        <w:t xml:space="preserve"> gælder regler svarende til reglerne i Danmark på det finansielle område. </w:t>
      </w:r>
    </w:p>
    <w:p w14:paraId="43FA6205" w14:textId="77777777" w:rsidR="003954B2" w:rsidRPr="00374D6B" w:rsidRDefault="003954B2" w:rsidP="003954B2">
      <w:pPr>
        <w:rPr>
          <w:rFonts w:eastAsiaTheme="majorEastAsia"/>
        </w:rPr>
      </w:pPr>
    </w:p>
    <w:p w14:paraId="4CD45928" w14:textId="6BDE9F57" w:rsidR="003954B2" w:rsidRDefault="003954B2" w:rsidP="00BA4307">
      <w:pPr>
        <w:rPr>
          <w:rFonts w:eastAsiaTheme="majorEastAsia"/>
        </w:rPr>
      </w:pPr>
      <w:r>
        <w:rPr>
          <w:rFonts w:eastAsiaTheme="majorEastAsia"/>
        </w:rPr>
        <w:t xml:space="preserve">Det foreslås </w:t>
      </w:r>
      <w:r w:rsidR="00747B1A">
        <w:rPr>
          <w:rFonts w:eastAsiaTheme="majorEastAsia"/>
        </w:rPr>
        <w:t xml:space="preserve">derfor </w:t>
      </w:r>
      <w:r>
        <w:rPr>
          <w:rFonts w:eastAsiaTheme="majorEastAsia"/>
        </w:rPr>
        <w:t xml:space="preserve">at sætte reglerne i CRR II i kraft for </w:t>
      </w:r>
      <w:r w:rsidR="00AF4868">
        <w:rPr>
          <w:rFonts w:eastAsiaTheme="majorEastAsia"/>
        </w:rPr>
        <w:t>Grønland</w:t>
      </w:r>
      <w:r>
        <w:rPr>
          <w:rFonts w:eastAsiaTheme="majorEastAsia"/>
        </w:rPr>
        <w:t>, som beskrevet i afsnit 2.1.4.2 ovenfor.</w:t>
      </w:r>
    </w:p>
    <w:p w14:paraId="096D4341" w14:textId="77777777" w:rsidR="00062452" w:rsidRDefault="00062452" w:rsidP="00BA4307">
      <w:pPr>
        <w:rPr>
          <w:rFonts w:eastAsiaTheme="majorEastAsia"/>
        </w:rPr>
      </w:pPr>
    </w:p>
    <w:p w14:paraId="3FB9C16C" w14:textId="77777777" w:rsidR="00062452" w:rsidRPr="00062452" w:rsidRDefault="00062452" w:rsidP="00062452">
      <w:pPr>
        <w:pStyle w:val="Overskrift2"/>
        <w:rPr>
          <w:sz w:val="24"/>
        </w:rPr>
      </w:pPr>
      <w:bookmarkStart w:id="145" w:name="_Ref84075185"/>
      <w:r w:rsidRPr="00062452">
        <w:rPr>
          <w:sz w:val="24"/>
        </w:rPr>
        <w:t>2.</w:t>
      </w:r>
      <w:r w:rsidR="00415679">
        <w:rPr>
          <w:sz w:val="24"/>
        </w:rPr>
        <w:t>1.</w:t>
      </w:r>
      <w:r w:rsidRPr="00062452">
        <w:rPr>
          <w:sz w:val="24"/>
        </w:rPr>
        <w:t>5</w:t>
      </w:r>
      <w:r w:rsidR="00703BFA">
        <w:rPr>
          <w:sz w:val="24"/>
        </w:rPr>
        <w:t>.</w:t>
      </w:r>
      <w:r w:rsidRPr="00062452">
        <w:rPr>
          <w:sz w:val="24"/>
        </w:rPr>
        <w:t xml:space="preserve"> Oplysningspligt</w:t>
      </w:r>
      <w:bookmarkEnd w:id="145"/>
    </w:p>
    <w:p w14:paraId="543E1789" w14:textId="00AB2F68" w:rsidR="00F374AE" w:rsidRDefault="00415679" w:rsidP="00062452">
      <w:pPr>
        <w:rPr>
          <w:rFonts w:eastAsiaTheme="majorEastAsia"/>
          <w:i/>
        </w:rPr>
      </w:pPr>
      <w:r>
        <w:rPr>
          <w:rFonts w:eastAsiaTheme="majorEastAsia"/>
          <w:i/>
        </w:rPr>
        <w:t>2.1.5.1.</w:t>
      </w:r>
      <w:r w:rsidR="004B22DC">
        <w:rPr>
          <w:rFonts w:eastAsiaTheme="majorEastAsia"/>
          <w:i/>
        </w:rPr>
        <w:t xml:space="preserve"> </w:t>
      </w:r>
      <w:r w:rsidR="00F374AE">
        <w:rPr>
          <w:rFonts w:eastAsiaTheme="majorEastAsia"/>
          <w:i/>
        </w:rPr>
        <w:t>Gældende ret</w:t>
      </w:r>
    </w:p>
    <w:p w14:paraId="6D19D1A9" w14:textId="1A69B2E6" w:rsidR="00F374AE" w:rsidRDefault="00F374AE" w:rsidP="00062452">
      <w:pPr>
        <w:rPr>
          <w:rFonts w:eastAsiaTheme="majorEastAsia"/>
        </w:rPr>
      </w:pPr>
      <w:r>
        <w:rPr>
          <w:rFonts w:eastAsiaTheme="majorEastAsia"/>
        </w:rPr>
        <w:t>Kr</w:t>
      </w:r>
      <w:r w:rsidRPr="00F374AE">
        <w:rPr>
          <w:rFonts w:eastAsiaTheme="majorEastAsia"/>
        </w:rPr>
        <w:t>editinstitutter og fondsmæglerselskaber I skal</w:t>
      </w:r>
      <w:r w:rsidR="00374BAA">
        <w:rPr>
          <w:rFonts w:eastAsiaTheme="majorEastAsia"/>
        </w:rPr>
        <w:t xml:space="preserve"> ifølge CRR</w:t>
      </w:r>
      <w:r w:rsidR="004B22DC">
        <w:rPr>
          <w:rFonts w:eastAsiaTheme="majorEastAsia"/>
        </w:rPr>
        <w:t>,</w:t>
      </w:r>
      <w:r w:rsidR="00374BAA">
        <w:t xml:space="preserve"> som sat i kraft for Grønland ved lov om </w:t>
      </w:r>
      <w:r w:rsidR="00374BAA" w:rsidRPr="009E72BC">
        <w:t>lov for Grønland om kapitalkrav og tilsynsmæssige krav for kreditinstitutter og investeringsselskaber</w:t>
      </w:r>
      <w:r w:rsidR="00374BAA">
        <w:t>,</w:t>
      </w:r>
      <w:r w:rsidRPr="00F374AE">
        <w:rPr>
          <w:rFonts w:eastAsiaTheme="majorEastAsia"/>
        </w:rPr>
        <w:t xml:space="preserve"> offentliggøre oplysninger om blandt andet risikostyringsmålsætninger og -politik, kapitalgrundlag, kapitalkrav, eksponeringer, aflønningspolitikker, gearingsgrad, anvendelse af interne metoder til vurdering af risiko, m.v.</w:t>
      </w:r>
      <w:r w:rsidR="00907760">
        <w:rPr>
          <w:rFonts w:eastAsiaTheme="majorEastAsia"/>
        </w:rPr>
        <w:t xml:space="preserve"> </w:t>
      </w:r>
    </w:p>
    <w:p w14:paraId="128D3A02" w14:textId="77777777" w:rsidR="00F374AE" w:rsidRPr="00F374AE" w:rsidRDefault="00F374AE" w:rsidP="00062452">
      <w:pPr>
        <w:rPr>
          <w:rFonts w:eastAsiaTheme="majorEastAsia"/>
        </w:rPr>
      </w:pPr>
    </w:p>
    <w:p w14:paraId="4EF70AB5" w14:textId="32008C0F" w:rsidR="00F374AE" w:rsidRDefault="00415679" w:rsidP="00062452">
      <w:pPr>
        <w:rPr>
          <w:rFonts w:eastAsiaTheme="majorEastAsia"/>
        </w:rPr>
      </w:pPr>
      <w:r>
        <w:rPr>
          <w:rFonts w:eastAsiaTheme="majorEastAsia"/>
          <w:i/>
        </w:rPr>
        <w:t>2.1.5.2.</w:t>
      </w:r>
      <w:r w:rsidR="004B22DC">
        <w:rPr>
          <w:rFonts w:eastAsiaTheme="majorEastAsia"/>
          <w:i/>
        </w:rPr>
        <w:t xml:space="preserve"> </w:t>
      </w:r>
      <w:r w:rsidR="000B2228">
        <w:rPr>
          <w:rFonts w:eastAsiaTheme="majorEastAsia"/>
          <w:i/>
        </w:rPr>
        <w:t>Forordningens indhold</w:t>
      </w:r>
    </w:p>
    <w:p w14:paraId="7662B37E" w14:textId="0EE2669E" w:rsidR="00062452" w:rsidRPr="002E41C2" w:rsidRDefault="00F772D9" w:rsidP="00062452">
      <w:pPr>
        <w:rPr>
          <w:rFonts w:eastAsiaTheme="majorEastAsia"/>
        </w:rPr>
      </w:pPr>
      <w:r>
        <w:rPr>
          <w:rFonts w:eastAsiaTheme="majorEastAsia"/>
        </w:rPr>
        <w:t>CRR II</w:t>
      </w:r>
      <w:r w:rsidR="00062452" w:rsidRPr="002E41C2">
        <w:rPr>
          <w:rFonts w:eastAsiaTheme="majorEastAsia"/>
        </w:rPr>
        <w:t xml:space="preserve"> indarbejder øget proportionalitet i reglerne for offentliggørelse, hvor </w:t>
      </w:r>
      <w:r>
        <w:rPr>
          <w:rFonts w:eastAsiaTheme="majorEastAsia"/>
        </w:rPr>
        <w:t xml:space="preserve">der </w:t>
      </w:r>
      <w:r w:rsidR="00062452" w:rsidRPr="002E41C2">
        <w:rPr>
          <w:rFonts w:eastAsiaTheme="majorEastAsia"/>
        </w:rPr>
        <w:t>etablere</w:t>
      </w:r>
      <w:r w:rsidR="004B22DC">
        <w:rPr>
          <w:rFonts w:eastAsiaTheme="majorEastAsia"/>
        </w:rPr>
        <w:t>s</w:t>
      </w:r>
      <w:r w:rsidR="00062452" w:rsidRPr="002E41C2">
        <w:rPr>
          <w:rFonts w:eastAsiaTheme="majorEastAsia"/>
        </w:rPr>
        <w:t xml:space="preserve"> tre offentliggørelsesregimer afhængig af institutternes størrelse. </w:t>
      </w:r>
    </w:p>
    <w:p w14:paraId="438CDEA3" w14:textId="77777777" w:rsidR="00062452" w:rsidRPr="002E41C2" w:rsidRDefault="00062452" w:rsidP="00062452">
      <w:pPr>
        <w:rPr>
          <w:rFonts w:eastAsiaTheme="majorEastAsia"/>
        </w:rPr>
      </w:pPr>
    </w:p>
    <w:p w14:paraId="0E45E26B" w14:textId="5E88EBBC" w:rsidR="00062452" w:rsidRPr="002E41C2" w:rsidRDefault="00062452" w:rsidP="00062452">
      <w:pPr>
        <w:rPr>
          <w:rFonts w:eastAsiaTheme="majorEastAsia"/>
        </w:rPr>
      </w:pPr>
      <w:r w:rsidRPr="002E41C2">
        <w:rPr>
          <w:rFonts w:eastAsiaTheme="majorEastAsia"/>
        </w:rPr>
        <w:t xml:space="preserve">Alle </w:t>
      </w:r>
      <w:proofErr w:type="spellStart"/>
      <w:r w:rsidRPr="002E41C2">
        <w:rPr>
          <w:rFonts w:eastAsiaTheme="majorEastAsia"/>
        </w:rPr>
        <w:t>SIFI’er</w:t>
      </w:r>
      <w:proofErr w:type="spellEnd"/>
      <w:r w:rsidR="00747B1A">
        <w:rPr>
          <w:rFonts w:eastAsiaTheme="majorEastAsia"/>
        </w:rPr>
        <w:t>,</w:t>
      </w:r>
      <w:r w:rsidRPr="002E41C2">
        <w:rPr>
          <w:rFonts w:eastAsiaTheme="majorEastAsia"/>
        </w:rPr>
        <w:t xml:space="preserve"> samt andre store institutter i henhold til kriterier fastlagt i forordningen</w:t>
      </w:r>
      <w:r w:rsidR="00747B1A">
        <w:rPr>
          <w:rFonts w:eastAsiaTheme="majorEastAsia"/>
        </w:rPr>
        <w:t>,</w:t>
      </w:r>
      <w:r w:rsidRPr="002E41C2">
        <w:rPr>
          <w:rFonts w:eastAsiaTheme="majorEastAsia"/>
        </w:rPr>
        <w:t xml:space="preserve"> skal fortsat offentliggøre alle forhold oplistet i CRR, mens de små institutter (med en balance under 1,5 mia. EUR) alene skal offentliggøre udvalgte forhold. Institutter mellem de største og de mindste skal offentliggøre alle forhold på årlig basis, men der er mindre krav til den løbende offentliggørelse for disse institutter end for de største. </w:t>
      </w:r>
    </w:p>
    <w:p w14:paraId="2A0BD620" w14:textId="77777777" w:rsidR="00062452" w:rsidRPr="002E41C2" w:rsidRDefault="00062452" w:rsidP="00062452">
      <w:pPr>
        <w:rPr>
          <w:rFonts w:eastAsiaTheme="majorEastAsia"/>
        </w:rPr>
      </w:pPr>
    </w:p>
    <w:p w14:paraId="23224665" w14:textId="77777777" w:rsidR="00062452" w:rsidRPr="002E41C2" w:rsidRDefault="000270B8" w:rsidP="00062452">
      <w:pPr>
        <w:rPr>
          <w:rFonts w:eastAsiaTheme="majorEastAsia"/>
        </w:rPr>
      </w:pPr>
      <w:r>
        <w:rPr>
          <w:rFonts w:eastAsiaTheme="majorEastAsia"/>
        </w:rPr>
        <w:lastRenderedPageBreak/>
        <w:t>Derudover indføres</w:t>
      </w:r>
      <w:r w:rsidR="00062452" w:rsidRPr="002E41C2">
        <w:rPr>
          <w:rFonts w:eastAsiaTheme="majorEastAsia"/>
        </w:rPr>
        <w:t xml:space="preserve"> en række tilpasninger om offentliggørelse af de </w:t>
      </w:r>
      <w:r>
        <w:rPr>
          <w:rFonts w:eastAsiaTheme="majorEastAsia"/>
        </w:rPr>
        <w:t>nye eller ændrede søjle I-krav</w:t>
      </w:r>
      <w:r w:rsidR="00062452" w:rsidRPr="002E41C2">
        <w:rPr>
          <w:rFonts w:eastAsiaTheme="majorEastAsia"/>
        </w:rPr>
        <w:t xml:space="preserve">, modpartsrisiko og markedsrisiko. Ændringerne har til formål at bringe bestemmelserne i overensstemmelse med internationale standarder. </w:t>
      </w:r>
    </w:p>
    <w:p w14:paraId="74F35014" w14:textId="77777777" w:rsidR="00062452" w:rsidRPr="002E41C2" w:rsidRDefault="00062452" w:rsidP="00062452">
      <w:pPr>
        <w:rPr>
          <w:rFonts w:eastAsiaTheme="majorEastAsia"/>
        </w:rPr>
      </w:pPr>
    </w:p>
    <w:p w14:paraId="355402BB" w14:textId="0383FA46" w:rsidR="00062452" w:rsidRDefault="00062452" w:rsidP="00062452">
      <w:pPr>
        <w:rPr>
          <w:rFonts w:eastAsiaTheme="majorEastAsia"/>
        </w:rPr>
      </w:pPr>
      <w:r w:rsidRPr="002E41C2">
        <w:rPr>
          <w:rFonts w:eastAsiaTheme="majorEastAsia"/>
        </w:rPr>
        <w:t>Derudover lægges der op til, at institutter, som anvender interne modelmetoder til opgørelse af deres risikovægtede poster, også skal offentliggøre deres risikovægtede poster under standardmetoden.</w:t>
      </w:r>
    </w:p>
    <w:p w14:paraId="792505D3" w14:textId="77777777" w:rsidR="008B6B47" w:rsidRDefault="008B6B47" w:rsidP="00062452">
      <w:pPr>
        <w:rPr>
          <w:rFonts w:eastAsiaTheme="majorEastAsia"/>
        </w:rPr>
      </w:pPr>
    </w:p>
    <w:p w14:paraId="72F99653" w14:textId="24560449" w:rsidR="00DB234B" w:rsidRDefault="00DB234B" w:rsidP="00DB234B">
      <w:pPr>
        <w:rPr>
          <w:rFonts w:eastAsiaTheme="majorEastAsia"/>
          <w:i/>
        </w:rPr>
      </w:pPr>
      <w:r>
        <w:rPr>
          <w:rFonts w:eastAsiaTheme="majorEastAsia"/>
          <w:i/>
        </w:rPr>
        <w:t xml:space="preserve">2.1.5.3. </w:t>
      </w:r>
      <w:r w:rsidR="00907760">
        <w:rPr>
          <w:i/>
        </w:rPr>
        <w:t xml:space="preserve">Erhvervsministeriets overvejelser og den </w:t>
      </w:r>
      <w:r w:rsidR="00907760">
        <w:rPr>
          <w:rFonts w:eastAsiaTheme="majorEastAsia"/>
          <w:i/>
        </w:rPr>
        <w:t>foreslåede ordning</w:t>
      </w:r>
    </w:p>
    <w:p w14:paraId="2A68705E" w14:textId="4BD52322" w:rsidR="00DB234B" w:rsidRPr="00374D6B" w:rsidRDefault="00DB234B" w:rsidP="00DB234B">
      <w:pPr>
        <w:rPr>
          <w:rFonts w:eastAsiaTheme="majorEastAsia"/>
        </w:rPr>
      </w:pPr>
      <w:r>
        <w:rPr>
          <w:rFonts w:eastAsiaTheme="majorEastAsia"/>
        </w:rPr>
        <w:t xml:space="preserve">Erhvervsministeriet finder det hensigtsmæssigt, at der </w:t>
      </w:r>
      <w:r w:rsidR="00B05606">
        <w:rPr>
          <w:rFonts w:eastAsiaTheme="majorEastAsia"/>
        </w:rPr>
        <w:t>i Grønland</w:t>
      </w:r>
      <w:r>
        <w:rPr>
          <w:rFonts w:eastAsiaTheme="majorEastAsia"/>
        </w:rPr>
        <w:t xml:space="preserve"> gælder regler svarende til reglerne i Danmark på det finansielle område. </w:t>
      </w:r>
    </w:p>
    <w:p w14:paraId="03AB8338" w14:textId="1C345321" w:rsidR="00DB234B" w:rsidRPr="00374D6B" w:rsidRDefault="00DB234B" w:rsidP="00DB234B">
      <w:pPr>
        <w:rPr>
          <w:rFonts w:eastAsiaTheme="majorEastAsia"/>
          <w:i/>
        </w:rPr>
      </w:pPr>
    </w:p>
    <w:p w14:paraId="65D5B03E" w14:textId="250C880D" w:rsidR="00DB234B" w:rsidRDefault="00DB234B" w:rsidP="00062452">
      <w:pPr>
        <w:rPr>
          <w:rFonts w:eastAsiaTheme="majorEastAsia"/>
        </w:rPr>
      </w:pPr>
      <w:r>
        <w:rPr>
          <w:rFonts w:eastAsiaTheme="majorEastAsia"/>
        </w:rPr>
        <w:t xml:space="preserve">Det foreslås </w:t>
      </w:r>
      <w:r w:rsidR="00747B1A">
        <w:rPr>
          <w:rFonts w:eastAsiaTheme="majorEastAsia"/>
        </w:rPr>
        <w:t xml:space="preserve">derfor </w:t>
      </w:r>
      <w:r>
        <w:rPr>
          <w:rFonts w:eastAsiaTheme="majorEastAsia"/>
        </w:rPr>
        <w:t xml:space="preserve">at sætte reglerne i CRR II i kraft for </w:t>
      </w:r>
      <w:r w:rsidR="00AF4868">
        <w:rPr>
          <w:rFonts w:eastAsiaTheme="majorEastAsia"/>
        </w:rPr>
        <w:t>Grønland</w:t>
      </w:r>
      <w:r>
        <w:rPr>
          <w:rFonts w:eastAsiaTheme="majorEastAsia"/>
        </w:rPr>
        <w:t>, som beskrevet i afsnit 2.1.5.2 ovenfor.</w:t>
      </w:r>
    </w:p>
    <w:p w14:paraId="51D71D81" w14:textId="77777777" w:rsidR="000270B8" w:rsidRDefault="000270B8" w:rsidP="00062452">
      <w:pPr>
        <w:rPr>
          <w:rFonts w:eastAsiaTheme="majorEastAsia"/>
        </w:rPr>
      </w:pPr>
    </w:p>
    <w:p w14:paraId="4493B5AE" w14:textId="545C4641" w:rsidR="005F1360" w:rsidRPr="00C0653E" w:rsidRDefault="005F1F5A" w:rsidP="005F1360">
      <w:pPr>
        <w:pStyle w:val="Overskrift2"/>
        <w:rPr>
          <w:lang w:val="nb-NO"/>
        </w:rPr>
      </w:pPr>
      <w:bookmarkStart w:id="146" w:name="_Toc526155549"/>
      <w:bookmarkStart w:id="147" w:name="_Toc526253986"/>
      <w:bookmarkStart w:id="148" w:name="_Toc526348411"/>
      <w:bookmarkStart w:id="149" w:name="_Toc526374602"/>
      <w:bookmarkStart w:id="150" w:name="_Toc526374618"/>
      <w:bookmarkStart w:id="151" w:name="_Toc526406481"/>
      <w:bookmarkStart w:id="152" w:name="_Toc526409507"/>
      <w:bookmarkStart w:id="153" w:name="_Toc526491406"/>
      <w:bookmarkStart w:id="154" w:name="_Toc526505518"/>
      <w:bookmarkStart w:id="155" w:name="_Toc526756610"/>
      <w:bookmarkStart w:id="156" w:name="_Ref84075189"/>
      <w:bookmarkEnd w:id="138"/>
      <w:bookmarkEnd w:id="139"/>
      <w:bookmarkEnd w:id="140"/>
      <w:bookmarkEnd w:id="141"/>
      <w:r w:rsidRPr="00C0653E">
        <w:rPr>
          <w:rFonts w:cs="Times New Roman"/>
          <w:sz w:val="24"/>
          <w:szCs w:val="24"/>
          <w:lang w:val="nb-NO"/>
        </w:rPr>
        <w:t>2</w:t>
      </w:r>
      <w:r w:rsidR="0007395B" w:rsidRPr="00C0653E">
        <w:rPr>
          <w:rFonts w:cs="Times New Roman"/>
          <w:sz w:val="24"/>
          <w:szCs w:val="24"/>
          <w:lang w:val="nb-NO"/>
        </w:rPr>
        <w:t>.</w:t>
      </w:r>
      <w:r w:rsidR="00415679" w:rsidRPr="00C0653E">
        <w:rPr>
          <w:rFonts w:cs="Times New Roman"/>
          <w:sz w:val="24"/>
          <w:szCs w:val="24"/>
          <w:lang w:val="nb-NO"/>
        </w:rPr>
        <w:t>1.</w:t>
      </w:r>
      <w:r w:rsidR="0007395B" w:rsidRPr="00C0653E">
        <w:rPr>
          <w:rFonts w:cs="Times New Roman"/>
          <w:sz w:val="24"/>
          <w:szCs w:val="24"/>
          <w:lang w:val="nb-NO"/>
        </w:rPr>
        <w:t>6</w:t>
      </w:r>
      <w:r w:rsidR="00F0531D" w:rsidRPr="00C0653E">
        <w:rPr>
          <w:rFonts w:cs="Times New Roman"/>
          <w:sz w:val="24"/>
          <w:szCs w:val="24"/>
          <w:lang w:val="nb-NO"/>
        </w:rPr>
        <w:t xml:space="preserve">. </w:t>
      </w:r>
      <w:bookmarkEnd w:id="146"/>
      <w:bookmarkEnd w:id="147"/>
      <w:bookmarkEnd w:id="148"/>
      <w:bookmarkEnd w:id="149"/>
      <w:bookmarkEnd w:id="150"/>
      <w:bookmarkEnd w:id="151"/>
      <w:bookmarkEnd w:id="152"/>
      <w:bookmarkEnd w:id="153"/>
      <w:bookmarkEnd w:id="154"/>
      <w:bookmarkEnd w:id="155"/>
      <w:r w:rsidR="005F1360" w:rsidRPr="00C0653E">
        <w:rPr>
          <w:sz w:val="24"/>
          <w:lang w:val="nb-NO"/>
        </w:rPr>
        <w:t>Krav om stabil finansiering (Net Stable Funding Ratio - NSFR)</w:t>
      </w:r>
      <w:bookmarkEnd w:id="156"/>
    </w:p>
    <w:p w14:paraId="71ADA98D" w14:textId="77777777" w:rsidR="00B401DC" w:rsidRPr="00FE4176" w:rsidRDefault="00415679" w:rsidP="005F1360">
      <w:pPr>
        <w:rPr>
          <w:rFonts w:eastAsiaTheme="majorEastAsia"/>
          <w:i/>
          <w:lang w:val="nb-NO"/>
        </w:rPr>
      </w:pPr>
      <w:r w:rsidRPr="00FE4176">
        <w:rPr>
          <w:rFonts w:eastAsiaTheme="majorEastAsia"/>
          <w:i/>
          <w:lang w:val="nb-NO"/>
        </w:rPr>
        <w:t xml:space="preserve">2.1.6.1. </w:t>
      </w:r>
      <w:r w:rsidR="00B401DC" w:rsidRPr="00FE4176">
        <w:rPr>
          <w:rFonts w:eastAsiaTheme="majorEastAsia"/>
          <w:i/>
          <w:lang w:val="nb-NO"/>
        </w:rPr>
        <w:t>Gældende ret</w:t>
      </w:r>
    </w:p>
    <w:p w14:paraId="2E4E8228" w14:textId="757E8A9B" w:rsidR="00B401DC" w:rsidRDefault="00DE6651" w:rsidP="005F1360">
      <w:r w:rsidRPr="00FE4176">
        <w:rPr>
          <w:rFonts w:eastAsiaTheme="majorEastAsia"/>
          <w:lang w:val="nb-NO"/>
        </w:rPr>
        <w:t xml:space="preserve">I artikel </w:t>
      </w:r>
      <w:r w:rsidR="00D73CD1" w:rsidRPr="00FE4176">
        <w:rPr>
          <w:rFonts w:eastAsiaTheme="majorEastAsia"/>
          <w:lang w:val="nb-NO"/>
        </w:rPr>
        <w:t xml:space="preserve">413 </w:t>
      </w:r>
      <w:r w:rsidRPr="00FE4176">
        <w:rPr>
          <w:rFonts w:eastAsiaTheme="majorEastAsia"/>
          <w:lang w:val="nb-NO"/>
        </w:rPr>
        <w:t>sjette del, afsnit et i CRR</w:t>
      </w:r>
      <w:r w:rsidR="00907760" w:rsidRPr="00FE4176">
        <w:rPr>
          <w:lang w:val="nb-NO"/>
        </w:rPr>
        <w:t>, som sat i kraft for Grønland ved lov om lov for Grønland om kapitalkrav og tilsynsmæssige krav for kreditinstitutter og investeringsselskaber,</w:t>
      </w:r>
      <w:r w:rsidRPr="00FE4176">
        <w:rPr>
          <w:lang w:val="nb-NO"/>
        </w:rPr>
        <w:t xml:space="preserve"> </w:t>
      </w:r>
      <w:r w:rsidR="00B401DC" w:rsidRPr="00FE4176">
        <w:rPr>
          <w:lang w:val="nb-NO"/>
        </w:rPr>
        <w:t>er der</w:t>
      </w:r>
      <w:r w:rsidRPr="00FE4176">
        <w:rPr>
          <w:lang w:val="nb-NO"/>
        </w:rPr>
        <w:t xml:space="preserve"> et krav om s</w:t>
      </w:r>
      <w:r w:rsidR="00B401DC" w:rsidRPr="00FE4176">
        <w:rPr>
          <w:lang w:val="nb-NO"/>
        </w:rPr>
        <w:t xml:space="preserve">åkaldt stabil finansiering. </w:t>
      </w:r>
      <w:r w:rsidR="00B401DC">
        <w:t>Kra</w:t>
      </w:r>
      <w:r w:rsidRPr="00B401DC">
        <w:t xml:space="preserve">vet om stabil finansiering sigter til, at kreditinstitutters forpligtigelser finansieres med tilstrækkeligt stabil, langsigtet finansiering. Formålet er at forhindre, at aktiver med lange løbetider i for høj grad finansieres med gæld med korte løbetider, hvilket kan sætte kreditinstituttet i en klemme, hvis det på grund af markedsuro har vanskeligt ved at få adgang til kortsigtet finansiering. </w:t>
      </w:r>
    </w:p>
    <w:p w14:paraId="14E3FCCB" w14:textId="77777777" w:rsidR="00B401DC" w:rsidRDefault="00B401DC" w:rsidP="005F1360"/>
    <w:p w14:paraId="0965BD6F" w14:textId="173F8826" w:rsidR="00B401DC" w:rsidRPr="00B401DC" w:rsidRDefault="00703BFA" w:rsidP="005F1360">
      <w:pPr>
        <w:rPr>
          <w:i/>
        </w:rPr>
      </w:pPr>
      <w:r>
        <w:rPr>
          <w:i/>
        </w:rPr>
        <w:t>2.1.6.2.</w:t>
      </w:r>
      <w:r w:rsidR="008B6B47">
        <w:rPr>
          <w:i/>
        </w:rPr>
        <w:t xml:space="preserve"> </w:t>
      </w:r>
      <w:r w:rsidR="000B2228">
        <w:rPr>
          <w:i/>
        </w:rPr>
        <w:t>Forordningens indhold</w:t>
      </w:r>
    </w:p>
    <w:p w14:paraId="1F20FBF4" w14:textId="77777777" w:rsidR="005F1360" w:rsidRPr="00B401DC" w:rsidRDefault="005F1360" w:rsidP="005F1360">
      <w:r w:rsidRPr="00B401DC">
        <w:t xml:space="preserve">Med </w:t>
      </w:r>
      <w:r w:rsidR="0089665D" w:rsidRPr="00B401DC">
        <w:t xml:space="preserve">CRR II </w:t>
      </w:r>
      <w:r w:rsidRPr="00B401DC">
        <w:t>indføres et krav til institutternes stabile finansiering (Net Stable Funding Ratio, NSFR), der generelt skal sikre, at institutternes udlån og andre aktiver i højere grad er finansieret af finansieringskilder med tilstrækkeligt lange løbetider. Formålet er at forhindre, at udlån med lange løbetider i for høj grad finansieres med gæld med korte løbetider, hvilket kan sætte et kreditinstitut i en klemme, hvis instituttet på grund af markedsuro har vanskeligt ved at få adgang til kortsigtet finansiering, som det f.eks. var tilfældet ved udbruddet af den seneste finansielle krise.</w:t>
      </w:r>
    </w:p>
    <w:p w14:paraId="4F6E950F" w14:textId="77777777" w:rsidR="005F1360" w:rsidRPr="002E41C2" w:rsidRDefault="005F1360" w:rsidP="005F1360">
      <w:pPr>
        <w:rPr>
          <w:rFonts w:eastAsiaTheme="majorEastAsia"/>
        </w:rPr>
      </w:pPr>
    </w:p>
    <w:p w14:paraId="60593CFC" w14:textId="6BFABAA6" w:rsidR="005F1360" w:rsidRPr="002E41C2" w:rsidRDefault="005F1360" w:rsidP="005F1360">
      <w:pPr>
        <w:rPr>
          <w:rFonts w:eastAsiaTheme="majorEastAsia"/>
        </w:rPr>
      </w:pPr>
      <w:r w:rsidRPr="002E41C2">
        <w:rPr>
          <w:rFonts w:eastAsiaTheme="majorEastAsia"/>
        </w:rPr>
        <w:t xml:space="preserve">Kravet om stabil finansiering skal konkret sikre, at kreditinstitutter til enhver tid kan fortsætte deres forretningsaktiviteter, herunder de eksisterende </w:t>
      </w:r>
      <w:r w:rsidRPr="002E41C2">
        <w:rPr>
          <w:rFonts w:eastAsiaTheme="majorEastAsia"/>
        </w:rPr>
        <w:lastRenderedPageBreak/>
        <w:t xml:space="preserve">udlån, mindst ét år ud i fremtiden uden at skulle tilføre ny finansiering. </w:t>
      </w:r>
      <w:r w:rsidR="008B6B47" w:rsidRPr="002E41C2">
        <w:rPr>
          <w:rFonts w:eastAsiaTheme="majorEastAsia"/>
        </w:rPr>
        <w:t>For</w:t>
      </w:r>
      <w:r w:rsidR="008B6B47">
        <w:rPr>
          <w:rFonts w:eastAsiaTheme="majorEastAsia"/>
        </w:rPr>
        <w:t>ordningen</w:t>
      </w:r>
      <w:r w:rsidR="008B6B47" w:rsidRPr="002E41C2">
        <w:rPr>
          <w:rFonts w:eastAsiaTheme="majorEastAsia"/>
        </w:rPr>
        <w:t xml:space="preserve"> </w:t>
      </w:r>
      <w:r w:rsidRPr="002E41C2">
        <w:rPr>
          <w:rFonts w:eastAsiaTheme="majorEastAsia"/>
        </w:rPr>
        <w:t xml:space="preserve">implementerer Basel-Komitéens standard for NSFR.  </w:t>
      </w:r>
    </w:p>
    <w:p w14:paraId="5A8575E6" w14:textId="77777777" w:rsidR="005F1360" w:rsidRPr="002E41C2" w:rsidRDefault="005F1360" w:rsidP="005F1360">
      <w:pPr>
        <w:rPr>
          <w:rFonts w:eastAsiaTheme="majorEastAsia"/>
        </w:rPr>
      </w:pPr>
    </w:p>
    <w:p w14:paraId="4D08D70A" w14:textId="77777777" w:rsidR="005F1360" w:rsidRPr="002E41C2" w:rsidRDefault="005F1360" w:rsidP="005F1360">
      <w:pPr>
        <w:rPr>
          <w:rFonts w:eastAsiaTheme="majorEastAsia"/>
        </w:rPr>
      </w:pPr>
      <w:r w:rsidRPr="002E41C2">
        <w:rPr>
          <w:rFonts w:eastAsiaTheme="majorEastAsia"/>
        </w:rPr>
        <w:t>Det vil være et krav, at</w:t>
      </w:r>
      <w:r w:rsidRPr="002E41C2" w:rsidDel="00456DF1">
        <w:rPr>
          <w:rFonts w:eastAsiaTheme="majorEastAsia"/>
        </w:rPr>
        <w:t xml:space="preserve"> </w:t>
      </w:r>
      <w:r w:rsidRPr="002E41C2">
        <w:rPr>
          <w:rFonts w:eastAsiaTheme="majorEastAsia"/>
        </w:rPr>
        <w:t xml:space="preserve">den såkaldt tilgængelige stabile finansiering skal være lig med eller større end den nødvendige stabile finansiering. </w:t>
      </w:r>
    </w:p>
    <w:p w14:paraId="672E7658" w14:textId="77777777" w:rsidR="005F1360" w:rsidRPr="002E41C2" w:rsidRDefault="005F1360" w:rsidP="005F1360">
      <w:pPr>
        <w:rPr>
          <w:rFonts w:eastAsiaTheme="majorEastAsia"/>
        </w:rPr>
      </w:pPr>
    </w:p>
    <w:p w14:paraId="7C7EF464" w14:textId="77777777" w:rsidR="005F1360" w:rsidRPr="002E41C2" w:rsidRDefault="005F1360" w:rsidP="005F1360">
      <w:pPr>
        <w:rPr>
          <w:rFonts w:eastAsiaTheme="majorEastAsia"/>
        </w:rPr>
      </w:pPr>
      <w:r w:rsidRPr="00AF4868">
        <w:rPr>
          <w:rFonts w:eastAsiaTheme="majorEastAsia"/>
          <w:u w:val="single"/>
        </w:rPr>
        <w:t>Tilgængelig stabil finansiering</w:t>
      </w:r>
      <w:r w:rsidRPr="002E41C2">
        <w:rPr>
          <w:rFonts w:eastAsiaTheme="majorEastAsia"/>
        </w:rPr>
        <w:t xml:space="preserve"> (</w:t>
      </w:r>
      <w:proofErr w:type="spellStart"/>
      <w:r w:rsidRPr="002E41C2">
        <w:rPr>
          <w:rFonts w:eastAsiaTheme="majorEastAsia"/>
        </w:rPr>
        <w:t>Available</w:t>
      </w:r>
      <w:proofErr w:type="spellEnd"/>
      <w:r w:rsidRPr="002E41C2">
        <w:rPr>
          <w:rFonts w:eastAsiaTheme="majorEastAsia"/>
        </w:rPr>
        <w:t xml:space="preserve"> Stable Funding, ASF) opgøres ud fra institutternes passivside på balancen. De enkelte finansieringskilder tildeles en vægt (faktor) efter, hvor stabile (længde af løbetider) de kan siges at være. En finansieringskilde kan være indlån, kapital og realkreditobligationer (for et realkreditinstitut). Hovedreglen er, at jo kortere restløbetid et passiv har, desto mindre stabil finansiering vurderes passivet at bidrage med.</w:t>
      </w:r>
    </w:p>
    <w:p w14:paraId="2D72AC25" w14:textId="77777777" w:rsidR="005F1360" w:rsidRPr="002E41C2" w:rsidRDefault="005F1360" w:rsidP="005F1360">
      <w:pPr>
        <w:rPr>
          <w:rFonts w:eastAsiaTheme="majorEastAsia"/>
        </w:rPr>
      </w:pPr>
      <w:r w:rsidRPr="002E41C2">
        <w:rPr>
          <w:rFonts w:eastAsiaTheme="majorEastAsia"/>
        </w:rPr>
        <w:t xml:space="preserve">  </w:t>
      </w:r>
    </w:p>
    <w:p w14:paraId="2342DF2F" w14:textId="4B305013" w:rsidR="005F1360" w:rsidRPr="002E41C2" w:rsidRDefault="005F1360" w:rsidP="005F1360">
      <w:pPr>
        <w:rPr>
          <w:rFonts w:eastAsiaTheme="majorEastAsia"/>
        </w:rPr>
      </w:pPr>
      <w:r w:rsidRPr="00AF4868">
        <w:rPr>
          <w:rFonts w:eastAsiaTheme="majorEastAsia"/>
          <w:u w:val="single"/>
        </w:rPr>
        <w:t>Nødvendig stabil finansiering</w:t>
      </w:r>
      <w:r w:rsidRPr="002E41C2">
        <w:rPr>
          <w:rFonts w:eastAsiaTheme="majorEastAsia"/>
        </w:rPr>
        <w:t xml:space="preserve"> (</w:t>
      </w:r>
      <w:proofErr w:type="spellStart"/>
      <w:r w:rsidRPr="002E41C2">
        <w:rPr>
          <w:rFonts w:eastAsiaTheme="majorEastAsia"/>
        </w:rPr>
        <w:t>Required</w:t>
      </w:r>
      <w:proofErr w:type="spellEnd"/>
      <w:r w:rsidRPr="002E41C2">
        <w:rPr>
          <w:rFonts w:eastAsiaTheme="majorEastAsia"/>
        </w:rPr>
        <w:t xml:space="preserve"> Stable Funding, RSF) opgøres ud fra instituttets aktivside på balancen ud fra en vurdering af, hvor omsættelige (likvide) de enkelte aktiver vurderes at være. Hovedreglen er, at jo mere likvidt et aktiv er, desto mindre stabil finansiering er instituttet nødt til at skaffe for at finansiere det. Således tildeles f.eks. statsobligationer en vægt (faktor) på 0 pct.</w:t>
      </w:r>
      <w:r>
        <w:rPr>
          <w:rFonts w:eastAsiaTheme="majorEastAsia"/>
        </w:rPr>
        <w:t xml:space="preserve"> af eksponeringens pålydende</w:t>
      </w:r>
      <w:r w:rsidRPr="002E41C2">
        <w:rPr>
          <w:rFonts w:eastAsiaTheme="majorEastAsia"/>
        </w:rPr>
        <w:t xml:space="preserve">, hvilket indebærer, at sådanne aktiver ikke kræver stabil finansiering. Tilsvarende tildeles de mest højlikvide realkreditobligationer, som defineret i LCR forordningen, en vægt på 7 pct. </w:t>
      </w:r>
      <w:r>
        <w:rPr>
          <w:rFonts w:eastAsiaTheme="majorEastAsia"/>
        </w:rPr>
        <w:t xml:space="preserve">af eksponeringens pålydende. </w:t>
      </w:r>
      <w:r w:rsidRPr="002E41C2">
        <w:rPr>
          <w:rFonts w:eastAsiaTheme="majorEastAsia"/>
        </w:rPr>
        <w:t>D</w:t>
      </w:r>
      <w:r w:rsidR="00747B1A">
        <w:rPr>
          <w:rFonts w:eastAsiaTheme="majorEastAsia"/>
        </w:rPr>
        <w:t>et vil sige, at</w:t>
      </w:r>
      <w:r w:rsidRPr="002E41C2">
        <w:rPr>
          <w:rFonts w:eastAsiaTheme="majorEastAsia"/>
        </w:rPr>
        <w:t xml:space="preserve"> højlikvide realkreditobligationer vil kræve mere stabil finansiering end statsobligationer, som ikke kræver stabil finansiering.</w:t>
      </w:r>
    </w:p>
    <w:p w14:paraId="5778DC73" w14:textId="77777777" w:rsidR="005F1360" w:rsidRPr="002E41C2" w:rsidRDefault="005F1360" w:rsidP="005F1360">
      <w:pPr>
        <w:rPr>
          <w:rFonts w:eastAsiaTheme="majorEastAsia"/>
        </w:rPr>
      </w:pPr>
      <w:r w:rsidRPr="002E41C2">
        <w:rPr>
          <w:rFonts w:eastAsiaTheme="majorEastAsia"/>
        </w:rPr>
        <w:t xml:space="preserve">  </w:t>
      </w:r>
    </w:p>
    <w:p w14:paraId="52AE0177" w14:textId="77777777" w:rsidR="005F1360" w:rsidRPr="002E41C2" w:rsidRDefault="005F1360" w:rsidP="005F1360">
      <w:pPr>
        <w:rPr>
          <w:rFonts w:eastAsiaTheme="majorEastAsia"/>
        </w:rPr>
      </w:pPr>
      <w:r w:rsidRPr="002E41C2">
        <w:rPr>
          <w:rFonts w:eastAsiaTheme="majorEastAsia"/>
        </w:rPr>
        <w:t xml:space="preserve">Beregningsmetoden indebærer i udgangspunktet, at realkreditobligationer med en kortere løbetid end det lån, der finansieres, ikke ville kunne betragtes som tilstrækkelig stabil finansiering i forhold til realkreditudlån. </w:t>
      </w:r>
    </w:p>
    <w:p w14:paraId="787B1C53" w14:textId="77777777" w:rsidR="005F1360" w:rsidRPr="002E41C2" w:rsidRDefault="005F1360" w:rsidP="005F1360">
      <w:pPr>
        <w:rPr>
          <w:rFonts w:eastAsiaTheme="majorEastAsia"/>
        </w:rPr>
      </w:pPr>
    </w:p>
    <w:p w14:paraId="25FAA426" w14:textId="177CB5C8" w:rsidR="005F1360" w:rsidRPr="002E41C2" w:rsidRDefault="005E70CC" w:rsidP="005F1360">
      <w:pPr>
        <w:rPr>
          <w:rFonts w:eastAsiaTheme="majorEastAsia"/>
        </w:rPr>
      </w:pPr>
      <w:r>
        <w:rPr>
          <w:rFonts w:eastAsiaTheme="majorEastAsia"/>
        </w:rPr>
        <w:t>CRR II</w:t>
      </w:r>
      <w:r w:rsidR="005F1360" w:rsidRPr="002E41C2">
        <w:rPr>
          <w:rFonts w:eastAsiaTheme="majorEastAsia"/>
        </w:rPr>
        <w:t xml:space="preserve"> indeholder – i lighed med Basel-standarden – imidlertid en undtagelsesmulighed til NSFR-kravet for såkaldt ”indbyrdes afhængige” aktiver og passiver, der har samme løbetid som </w:t>
      </w:r>
      <w:proofErr w:type="gramStart"/>
      <w:r w:rsidR="005F1360" w:rsidRPr="002E41C2">
        <w:rPr>
          <w:rFonts w:eastAsiaTheme="majorEastAsia"/>
        </w:rPr>
        <w:t>eksempelvis</w:t>
      </w:r>
      <w:proofErr w:type="gramEnd"/>
      <w:r w:rsidR="005F1360" w:rsidRPr="002E41C2">
        <w:rPr>
          <w:rFonts w:eastAsiaTheme="majorEastAsia"/>
        </w:rPr>
        <w:t xml:space="preserve"> danske realkreditlån og dertilhørende realkreditobligationer med samme løbetid. Derudover omfatter undtagelsesmuligheden også kortere realkreditobligationer, der finansierer lån med længere løbetid, </w:t>
      </w:r>
      <w:proofErr w:type="gramStart"/>
      <w:r w:rsidR="005F1360" w:rsidRPr="002E41C2">
        <w:rPr>
          <w:rFonts w:eastAsiaTheme="majorEastAsia"/>
        </w:rPr>
        <w:t>såfremt</w:t>
      </w:r>
      <w:proofErr w:type="gramEnd"/>
      <w:r w:rsidR="005F1360" w:rsidRPr="002E41C2">
        <w:rPr>
          <w:rFonts w:eastAsiaTheme="majorEastAsia"/>
        </w:rPr>
        <w:t xml:space="preserve"> de bl.a. er omfattet af en ikke-diskretionær forlængelsestrigger, som det f.eks. kendes fra den danske refinansieringslov. D</w:t>
      </w:r>
      <w:r w:rsidR="005F1360" w:rsidRPr="002E41C2">
        <w:t>en danske refinansieringslov fra 2014 indebærer tvungen løbetidsforlængelse af korte realkreditobligationer, hvis en refinansieringsauktion fejler, eller renten på realkreditobligationer stiger mere end 5 p</w:t>
      </w:r>
      <w:r w:rsidR="00747B1A">
        <w:t>rocent</w:t>
      </w:r>
      <w:r w:rsidR="005F1360" w:rsidRPr="002E41C2">
        <w:t xml:space="preserve">point mellem refinansieringsaktionerne. </w:t>
      </w:r>
      <w:r w:rsidR="005F1360" w:rsidRPr="002E41C2">
        <w:rPr>
          <w:rFonts w:eastAsiaTheme="majorEastAsia"/>
        </w:rPr>
        <w:t xml:space="preserve">Med undtagelsesmuligheden </w:t>
      </w:r>
      <w:r w:rsidR="005F1360" w:rsidRPr="002E41C2">
        <w:rPr>
          <w:rFonts w:eastAsiaTheme="majorEastAsia"/>
        </w:rPr>
        <w:lastRenderedPageBreak/>
        <w:t xml:space="preserve">kan tilsynsmyndigheden give tilladelse til, at realkreditobligationer og -lån betragtes som indbyrdes afhængige. Det vil indebære, at realkreditobligationer og realkreditlån tildeles en vægt på 0 pct. for såvel tilgængelig stabil finansiering som krævet stabil finansiering. Hermed vil realkreditudlån i udgangspunktet ikke give anledning til et stabilt finansieringskrav.  </w:t>
      </w:r>
    </w:p>
    <w:p w14:paraId="1B78135C" w14:textId="77777777" w:rsidR="005F1360" w:rsidRPr="002E41C2" w:rsidRDefault="005F1360" w:rsidP="005F1360">
      <w:pPr>
        <w:rPr>
          <w:rFonts w:eastAsiaTheme="majorEastAsia"/>
        </w:rPr>
      </w:pPr>
    </w:p>
    <w:p w14:paraId="688B63D2" w14:textId="42B15B0A" w:rsidR="005F1360" w:rsidRDefault="005E70CC" w:rsidP="005F1360">
      <w:pPr>
        <w:rPr>
          <w:rFonts w:eastAsiaTheme="majorEastAsia"/>
        </w:rPr>
      </w:pPr>
      <w:r>
        <w:rPr>
          <w:rFonts w:eastAsiaTheme="majorEastAsia"/>
        </w:rPr>
        <w:t xml:space="preserve">CRR II </w:t>
      </w:r>
      <w:r w:rsidR="005F1360" w:rsidRPr="002E41C2">
        <w:rPr>
          <w:rFonts w:eastAsiaTheme="majorEastAsia"/>
        </w:rPr>
        <w:t>tilføje</w:t>
      </w:r>
      <w:r>
        <w:rPr>
          <w:rFonts w:eastAsiaTheme="majorEastAsia"/>
        </w:rPr>
        <w:t>r</w:t>
      </w:r>
      <w:r w:rsidR="005F1360" w:rsidRPr="002E41C2">
        <w:rPr>
          <w:rFonts w:eastAsiaTheme="majorEastAsia"/>
        </w:rPr>
        <w:t xml:space="preserve"> en definition af såkaldt </w:t>
      </w:r>
      <w:r w:rsidR="005F1360" w:rsidRPr="00A6043D">
        <w:rPr>
          <w:rFonts w:eastAsiaTheme="majorEastAsia"/>
        </w:rPr>
        <w:t>ikke-obligatorisk over-kollateral (OC)</w:t>
      </w:r>
      <w:r w:rsidR="005F1360" w:rsidRPr="008B6B47">
        <w:rPr>
          <w:rFonts w:eastAsiaTheme="majorEastAsia"/>
        </w:rPr>
        <w:t xml:space="preserve"> </w:t>
      </w:r>
      <w:r w:rsidR="005F1360" w:rsidRPr="002E41C2">
        <w:rPr>
          <w:rFonts w:eastAsiaTheme="majorEastAsia"/>
        </w:rPr>
        <w:t xml:space="preserve">i relation til realkreditobligationer i forbindelse med NSFR. Ved ikke-obligatorisk OC forstås OC, der ikke er stillet som følge af lovmæssige krav, </w:t>
      </w:r>
      <w:proofErr w:type="spellStart"/>
      <w:r w:rsidR="005F1360" w:rsidRPr="002E41C2">
        <w:rPr>
          <w:rFonts w:eastAsiaTheme="majorEastAsia"/>
        </w:rPr>
        <w:t>ratingforhold</w:t>
      </w:r>
      <w:proofErr w:type="spellEnd"/>
      <w:r w:rsidR="005F1360" w:rsidRPr="002E41C2">
        <w:rPr>
          <w:rFonts w:eastAsiaTheme="majorEastAsia"/>
        </w:rPr>
        <w:t xml:space="preserve"> eller anden kreditforbedring</w:t>
      </w:r>
      <w:r w:rsidR="005F1360" w:rsidRPr="002E41C2">
        <w:rPr>
          <w:rFonts w:eastAsiaTheme="majorEastAsia"/>
          <w:i/>
        </w:rPr>
        <w:t xml:space="preserve">. </w:t>
      </w:r>
    </w:p>
    <w:p w14:paraId="4681605B" w14:textId="77777777" w:rsidR="00711BB6" w:rsidRDefault="00711BB6" w:rsidP="005F1360">
      <w:pPr>
        <w:rPr>
          <w:rFonts w:eastAsiaTheme="majorEastAsia"/>
        </w:rPr>
      </w:pPr>
    </w:p>
    <w:p w14:paraId="6C5A6091" w14:textId="2138ADC6" w:rsidR="00711BB6" w:rsidRDefault="00711BB6" w:rsidP="00711BB6">
      <w:pPr>
        <w:rPr>
          <w:rFonts w:eastAsiaTheme="majorEastAsia"/>
          <w:i/>
        </w:rPr>
      </w:pPr>
      <w:r>
        <w:rPr>
          <w:rFonts w:eastAsiaTheme="majorEastAsia"/>
          <w:i/>
        </w:rPr>
        <w:t>2.1.6.3. Erhvervsministeriets overvejelser</w:t>
      </w:r>
      <w:r w:rsidR="00374BAA">
        <w:rPr>
          <w:rFonts w:eastAsiaTheme="majorEastAsia"/>
          <w:i/>
        </w:rPr>
        <w:t xml:space="preserve"> og den foreslåede ordning</w:t>
      </w:r>
    </w:p>
    <w:p w14:paraId="62378EE3" w14:textId="5EBC2AF8" w:rsidR="00711BB6" w:rsidRDefault="00711BB6" w:rsidP="00711BB6">
      <w:pPr>
        <w:rPr>
          <w:rFonts w:eastAsiaTheme="majorEastAsia"/>
        </w:rPr>
      </w:pPr>
      <w:r>
        <w:rPr>
          <w:rFonts w:eastAsiaTheme="majorEastAsia"/>
        </w:rPr>
        <w:t xml:space="preserve">Erhvervsministeriet finder det hensigtsmæssigt, at der </w:t>
      </w:r>
      <w:r w:rsidR="00B05606">
        <w:rPr>
          <w:rFonts w:eastAsiaTheme="majorEastAsia"/>
        </w:rPr>
        <w:t>i Grønland</w:t>
      </w:r>
      <w:r>
        <w:rPr>
          <w:rFonts w:eastAsiaTheme="majorEastAsia"/>
        </w:rPr>
        <w:t xml:space="preserve"> gælder regler svarende til reglerne i Danmark på det finansielle område. </w:t>
      </w:r>
    </w:p>
    <w:p w14:paraId="0871902E" w14:textId="77777777" w:rsidR="00711BB6" w:rsidRPr="00374D6B" w:rsidRDefault="00711BB6" w:rsidP="00711BB6">
      <w:pPr>
        <w:rPr>
          <w:rFonts w:eastAsiaTheme="majorEastAsia"/>
        </w:rPr>
      </w:pPr>
    </w:p>
    <w:p w14:paraId="444A5371" w14:textId="5467AF67" w:rsidR="00711BB6" w:rsidRDefault="00711BB6" w:rsidP="005F1360">
      <w:pPr>
        <w:rPr>
          <w:rFonts w:eastAsiaTheme="majorEastAsia"/>
        </w:rPr>
      </w:pPr>
      <w:r>
        <w:rPr>
          <w:rFonts w:eastAsiaTheme="majorEastAsia"/>
        </w:rPr>
        <w:t xml:space="preserve">Det foreslås </w:t>
      </w:r>
      <w:r w:rsidR="00585F1D">
        <w:rPr>
          <w:rFonts w:eastAsiaTheme="majorEastAsia"/>
        </w:rPr>
        <w:t xml:space="preserve">derfor </w:t>
      </w:r>
      <w:r>
        <w:rPr>
          <w:rFonts w:eastAsiaTheme="majorEastAsia"/>
        </w:rPr>
        <w:t xml:space="preserve">at sætte reglerne i CRR II i kraft for </w:t>
      </w:r>
      <w:r w:rsidR="00AF4868">
        <w:rPr>
          <w:rFonts w:eastAsiaTheme="majorEastAsia"/>
        </w:rPr>
        <w:t>Grønland</w:t>
      </w:r>
      <w:r>
        <w:rPr>
          <w:rFonts w:eastAsiaTheme="majorEastAsia"/>
        </w:rPr>
        <w:t>, som beskrevet i afsnit 2.1.6.2 ovenfor.</w:t>
      </w:r>
    </w:p>
    <w:p w14:paraId="726FFC8D" w14:textId="77777777" w:rsidR="005F1360" w:rsidRDefault="005F1360" w:rsidP="005F1360">
      <w:pPr>
        <w:rPr>
          <w:rFonts w:eastAsiaTheme="majorEastAsia"/>
        </w:rPr>
      </w:pPr>
    </w:p>
    <w:p w14:paraId="4D3899A5" w14:textId="77777777" w:rsidR="0007395B" w:rsidRPr="00461D83" w:rsidRDefault="0007395B" w:rsidP="00461D83">
      <w:pPr>
        <w:pStyle w:val="Overskrift2"/>
        <w:rPr>
          <w:rStyle w:val="Overskrift2Tegn"/>
          <w:b/>
          <w:bCs/>
          <w:sz w:val="24"/>
        </w:rPr>
      </w:pPr>
      <w:bookmarkStart w:id="157" w:name="_Ref84075194"/>
      <w:r w:rsidRPr="00461D83">
        <w:rPr>
          <w:rStyle w:val="Overskrift2Tegn"/>
          <w:b/>
          <w:bCs/>
          <w:sz w:val="24"/>
        </w:rPr>
        <w:t>2</w:t>
      </w:r>
      <w:r w:rsidR="00746063" w:rsidRPr="00461D83">
        <w:rPr>
          <w:rStyle w:val="Overskrift2Tegn"/>
          <w:b/>
          <w:bCs/>
          <w:sz w:val="24"/>
        </w:rPr>
        <w:t>.</w:t>
      </w:r>
      <w:r w:rsidR="00703BFA">
        <w:rPr>
          <w:rStyle w:val="Overskrift2Tegn"/>
          <w:b/>
          <w:bCs/>
          <w:sz w:val="24"/>
        </w:rPr>
        <w:t>1.</w:t>
      </w:r>
      <w:r w:rsidR="00746063" w:rsidRPr="00461D83">
        <w:rPr>
          <w:rStyle w:val="Overskrift2Tegn"/>
          <w:b/>
          <w:bCs/>
          <w:sz w:val="24"/>
        </w:rPr>
        <w:t>7</w:t>
      </w:r>
      <w:r w:rsidRPr="00461D83">
        <w:rPr>
          <w:rStyle w:val="Overskrift2Tegn"/>
          <w:b/>
          <w:bCs/>
          <w:sz w:val="24"/>
        </w:rPr>
        <w:t>.</w:t>
      </w:r>
      <w:r w:rsidRPr="00461D83">
        <w:rPr>
          <w:sz w:val="24"/>
        </w:rPr>
        <w:t xml:space="preserve"> </w:t>
      </w:r>
      <w:r w:rsidRPr="00461D83">
        <w:rPr>
          <w:rStyle w:val="Overskrift2Tegn"/>
          <w:b/>
          <w:bCs/>
          <w:sz w:val="24"/>
        </w:rPr>
        <w:t>Undtagelser fra kapital- og likviditetskrav</w:t>
      </w:r>
      <w:bookmarkEnd w:id="157"/>
    </w:p>
    <w:p w14:paraId="0F6B227D" w14:textId="77777777" w:rsidR="00461D83" w:rsidRDefault="00703BFA" w:rsidP="00461D83">
      <w:pPr>
        <w:rPr>
          <w:rStyle w:val="Overskrift2Tegn"/>
          <w:b w:val="0"/>
          <w:i/>
          <w:sz w:val="24"/>
        </w:rPr>
      </w:pPr>
      <w:r>
        <w:rPr>
          <w:rStyle w:val="Overskrift2Tegn"/>
          <w:b w:val="0"/>
          <w:i/>
          <w:sz w:val="24"/>
        </w:rPr>
        <w:t xml:space="preserve">2.1.7.1. </w:t>
      </w:r>
      <w:r w:rsidR="00461D83" w:rsidRPr="00461D83">
        <w:rPr>
          <w:rStyle w:val="Overskrift2Tegn"/>
          <w:b w:val="0"/>
          <w:i/>
          <w:sz w:val="24"/>
        </w:rPr>
        <w:t>Gældende ret</w:t>
      </w:r>
    </w:p>
    <w:p w14:paraId="1C16DD32" w14:textId="087A32DC" w:rsidR="008725E1" w:rsidRPr="008725E1" w:rsidRDefault="008725E1" w:rsidP="008725E1">
      <w:pPr>
        <w:rPr>
          <w:rStyle w:val="Overskrift2Tegn"/>
          <w:b w:val="0"/>
          <w:sz w:val="24"/>
        </w:rPr>
      </w:pPr>
      <w:r w:rsidRPr="008725E1">
        <w:rPr>
          <w:rStyle w:val="Overskrift2Tegn"/>
          <w:b w:val="0"/>
          <w:sz w:val="24"/>
        </w:rPr>
        <w:t xml:space="preserve">Efter </w:t>
      </w:r>
      <w:r w:rsidR="005A799C">
        <w:rPr>
          <w:rStyle w:val="Overskrift2Tegn"/>
          <w:b w:val="0"/>
          <w:sz w:val="24"/>
        </w:rPr>
        <w:t xml:space="preserve">første del, afsnit II, </w:t>
      </w:r>
      <w:r w:rsidRPr="008725E1">
        <w:rPr>
          <w:rStyle w:val="Overskrift2Tegn"/>
          <w:b w:val="0"/>
          <w:sz w:val="24"/>
        </w:rPr>
        <w:t>kapitel 1</w:t>
      </w:r>
      <w:r w:rsidR="005A799C">
        <w:rPr>
          <w:rStyle w:val="Overskrift2Tegn"/>
          <w:b w:val="0"/>
          <w:sz w:val="24"/>
        </w:rPr>
        <w:t>,</w:t>
      </w:r>
      <w:r w:rsidR="00072FCB">
        <w:rPr>
          <w:rStyle w:val="Overskrift2Tegn"/>
          <w:b w:val="0"/>
          <w:sz w:val="24"/>
        </w:rPr>
        <w:t xml:space="preserve"> i CRR, som sat i kraft for Grønland </w:t>
      </w:r>
      <w:r w:rsidR="00072FCB">
        <w:t xml:space="preserve">ved lov om </w:t>
      </w:r>
      <w:r w:rsidR="00072FCB" w:rsidRPr="009E72BC">
        <w:t>lov for Grønland om kapitalkrav og tilsynsmæssige krav for kreditinstitutter og investeringsselskaber</w:t>
      </w:r>
      <w:r w:rsidR="00072FCB">
        <w:t>,</w:t>
      </w:r>
      <w:r w:rsidRPr="008725E1">
        <w:rPr>
          <w:rStyle w:val="Overskrift2Tegn"/>
          <w:b w:val="0"/>
          <w:sz w:val="24"/>
        </w:rPr>
        <w:t xml:space="preserve"> skal de omfattede institutter opfylde kravene i CRR på individuelt niveau.</w:t>
      </w:r>
    </w:p>
    <w:p w14:paraId="34307B17" w14:textId="77777777" w:rsidR="008725E1" w:rsidRPr="008725E1" w:rsidRDefault="008725E1" w:rsidP="008725E1">
      <w:pPr>
        <w:rPr>
          <w:rStyle w:val="Overskrift2Tegn"/>
          <w:b w:val="0"/>
          <w:sz w:val="24"/>
        </w:rPr>
      </w:pPr>
    </w:p>
    <w:p w14:paraId="42EEF679" w14:textId="77777777" w:rsidR="008725E1" w:rsidRPr="008725E1" w:rsidRDefault="008725E1" w:rsidP="008725E1">
      <w:pPr>
        <w:rPr>
          <w:rStyle w:val="Overskrift2Tegn"/>
          <w:b w:val="0"/>
          <w:sz w:val="24"/>
        </w:rPr>
      </w:pPr>
      <w:r w:rsidRPr="008725E1">
        <w:rPr>
          <w:rStyle w:val="Overskrift2Tegn"/>
          <w:b w:val="0"/>
          <w:sz w:val="24"/>
        </w:rPr>
        <w:t>Tilsynsmyndigheden har efter nogle nærmere fastsatte betingelser mulighed for at give et institut dispensation fra at opfylde kravene i CRR om kapitalgrundlag (anden del), kapitalkrav (tredje del), store eksponeringer (fjerde del), eksponeringer mod overført kreditrisiko (femte del) og oplysningspligt (ottende del) på individuelt niveau, hvis det pågældende institut indgår i en koncern. Det er blandt andet et krav, at dattervirksomheden og modervirksomheden skal være meddelt tilladelse og underlagt tilsyn i det samme medlemsland og omfattet af et konsolideret tilsyn, der sikrer, at kapitalgrundlaget er korrekt fordelt mellem modervirksomhede</w:t>
      </w:r>
      <w:r>
        <w:rPr>
          <w:rStyle w:val="Overskrift2Tegn"/>
          <w:b w:val="0"/>
          <w:sz w:val="24"/>
        </w:rPr>
        <w:t>n og dattervirksomheden. En lig</w:t>
      </w:r>
      <w:r w:rsidRPr="008725E1">
        <w:rPr>
          <w:rStyle w:val="Overskrift2Tegn"/>
          <w:b w:val="0"/>
          <w:sz w:val="24"/>
        </w:rPr>
        <w:t>nende undtagelse er mulig, hvis et eller flere institutter er fast tilkny</w:t>
      </w:r>
      <w:r>
        <w:rPr>
          <w:rStyle w:val="Overskrift2Tegn"/>
          <w:b w:val="0"/>
          <w:sz w:val="24"/>
        </w:rPr>
        <w:t>ttet et centralt organ, der kon</w:t>
      </w:r>
      <w:r w:rsidRPr="008725E1">
        <w:rPr>
          <w:rStyle w:val="Overskrift2Tegn"/>
          <w:b w:val="0"/>
          <w:sz w:val="24"/>
        </w:rPr>
        <w:t>trollerer dem, og som er etableret i samme medlemsstat.</w:t>
      </w:r>
    </w:p>
    <w:p w14:paraId="647266FB" w14:textId="77777777" w:rsidR="008725E1" w:rsidRPr="008725E1" w:rsidRDefault="008725E1" w:rsidP="008725E1">
      <w:pPr>
        <w:rPr>
          <w:rStyle w:val="Overskrift2Tegn"/>
          <w:b w:val="0"/>
          <w:sz w:val="24"/>
        </w:rPr>
      </w:pPr>
    </w:p>
    <w:p w14:paraId="13E5A206" w14:textId="77777777" w:rsidR="008725E1" w:rsidRPr="008725E1" w:rsidRDefault="008725E1" w:rsidP="008725E1">
      <w:pPr>
        <w:rPr>
          <w:rStyle w:val="Overskrift2Tegn"/>
          <w:b w:val="0"/>
          <w:sz w:val="24"/>
        </w:rPr>
      </w:pPr>
      <w:r w:rsidRPr="008725E1">
        <w:rPr>
          <w:rStyle w:val="Overskrift2Tegn"/>
          <w:b w:val="0"/>
          <w:sz w:val="24"/>
        </w:rPr>
        <w:t>Tilsynsmyndigheden kan i enkelttilfælde og efter nogle nærmere fastsatte betingelser tillade, at en modervirksomhed medtager visse dattervirksomheder i beregnin</w:t>
      </w:r>
      <w:r>
        <w:rPr>
          <w:rStyle w:val="Overskrift2Tegn"/>
          <w:b w:val="0"/>
          <w:sz w:val="24"/>
        </w:rPr>
        <w:t>gen af de nævnte krav på indivi</w:t>
      </w:r>
      <w:r w:rsidRPr="008725E1">
        <w:rPr>
          <w:rStyle w:val="Overskrift2Tegn"/>
          <w:b w:val="0"/>
          <w:sz w:val="24"/>
        </w:rPr>
        <w:t>duelt niveau.</w:t>
      </w:r>
    </w:p>
    <w:p w14:paraId="6B8576CD" w14:textId="77777777" w:rsidR="008725E1" w:rsidRPr="008725E1" w:rsidRDefault="008725E1" w:rsidP="008725E1">
      <w:pPr>
        <w:rPr>
          <w:rStyle w:val="Overskrift2Tegn"/>
          <w:b w:val="0"/>
          <w:sz w:val="24"/>
        </w:rPr>
      </w:pPr>
    </w:p>
    <w:p w14:paraId="7A2B8045" w14:textId="77777777" w:rsidR="00461D83" w:rsidRDefault="008725E1" w:rsidP="008725E1">
      <w:pPr>
        <w:rPr>
          <w:rStyle w:val="Overskrift2Tegn"/>
          <w:b w:val="0"/>
          <w:sz w:val="24"/>
        </w:rPr>
      </w:pPr>
      <w:r w:rsidRPr="008725E1">
        <w:rPr>
          <w:rStyle w:val="Overskrift2Tegn"/>
          <w:b w:val="0"/>
          <w:sz w:val="24"/>
        </w:rPr>
        <w:t xml:space="preserve">Herudover er det muligt for tilsynsmyndigheden efter nogle nærmere fastsatte betingelser helt eller delvist at undlade at anvende </w:t>
      </w:r>
      <w:proofErr w:type="spellStart"/>
      <w:r w:rsidRPr="008725E1">
        <w:rPr>
          <w:rStyle w:val="Overskrift2Tegn"/>
          <w:b w:val="0"/>
          <w:sz w:val="24"/>
        </w:rPr>
        <w:t>CRR’s</w:t>
      </w:r>
      <w:proofErr w:type="spellEnd"/>
      <w:r w:rsidRPr="008725E1">
        <w:rPr>
          <w:rStyle w:val="Overskrift2Tegn"/>
          <w:b w:val="0"/>
          <w:sz w:val="24"/>
        </w:rPr>
        <w:t xml:space="preserve"> krav om likviditet (sjette del) på et institut. Det samme er gældende for så vidt angår alle eller nogle af instituttets dattervirksomheder og i stedet føre tilsyn med disse som likviditetsundergrupper.</w:t>
      </w:r>
    </w:p>
    <w:p w14:paraId="71E4C32F" w14:textId="77777777" w:rsidR="008725E1" w:rsidRPr="00461D83" w:rsidRDefault="008725E1" w:rsidP="008725E1">
      <w:pPr>
        <w:rPr>
          <w:rStyle w:val="Overskrift2Tegn"/>
          <w:b w:val="0"/>
          <w:sz w:val="24"/>
        </w:rPr>
      </w:pPr>
    </w:p>
    <w:p w14:paraId="7020E678" w14:textId="28FE76DC" w:rsidR="00461D83" w:rsidRPr="00461D83" w:rsidRDefault="00703BFA" w:rsidP="00461D83">
      <w:pPr>
        <w:rPr>
          <w:b/>
          <w:i/>
        </w:rPr>
      </w:pPr>
      <w:r>
        <w:rPr>
          <w:rStyle w:val="Overskrift2Tegn"/>
          <w:b w:val="0"/>
          <w:i/>
          <w:sz w:val="24"/>
        </w:rPr>
        <w:t xml:space="preserve">2.1.7.2. </w:t>
      </w:r>
      <w:r w:rsidR="000B2228">
        <w:rPr>
          <w:rStyle w:val="Overskrift2Tegn"/>
          <w:b w:val="0"/>
          <w:i/>
          <w:sz w:val="24"/>
        </w:rPr>
        <w:t>Forordningens indhold</w:t>
      </w:r>
    </w:p>
    <w:p w14:paraId="3936884C" w14:textId="73C9463B" w:rsidR="0007395B" w:rsidRDefault="0007395B" w:rsidP="0007395B">
      <w:pPr>
        <w:rPr>
          <w:rFonts w:eastAsiaTheme="majorEastAsia"/>
        </w:rPr>
      </w:pPr>
      <w:r w:rsidRPr="002E41C2">
        <w:rPr>
          <w:rFonts w:eastAsiaTheme="majorEastAsia"/>
        </w:rPr>
        <w:t xml:space="preserve">Med </w:t>
      </w:r>
      <w:r>
        <w:rPr>
          <w:rFonts w:eastAsiaTheme="majorEastAsia"/>
        </w:rPr>
        <w:t>CRR II</w:t>
      </w:r>
      <w:r w:rsidRPr="002E41C2">
        <w:rPr>
          <w:rFonts w:eastAsiaTheme="majorEastAsia"/>
        </w:rPr>
        <w:t xml:space="preserve"> får tilsynsmyndigheder, som fører tilsyn med institutter beliggende i flere medlemsstater, mulighed for at undtage datterselskaber fra kapital- og likviditetskravene. I praksis vil det være </w:t>
      </w:r>
      <w:r w:rsidRPr="002E41C2">
        <w:t>Den Fælles Tilsynsmekanisme (SSM),</w:t>
      </w:r>
      <w:r w:rsidRPr="002E41C2">
        <w:rPr>
          <w:rFonts w:eastAsiaTheme="majorEastAsia"/>
        </w:rPr>
        <w:t xml:space="preserve"> der får mulighed for at anvende undtagelsen, da de er den eneste myndighed, der i dag fører tilsyn </w:t>
      </w:r>
      <w:r>
        <w:rPr>
          <w:rFonts w:eastAsiaTheme="majorEastAsia"/>
        </w:rPr>
        <w:t xml:space="preserve">med koncernforbundne moder- og datterselskaber </w:t>
      </w:r>
      <w:r w:rsidRPr="002E41C2">
        <w:rPr>
          <w:rFonts w:eastAsiaTheme="majorEastAsia"/>
        </w:rPr>
        <w:t xml:space="preserve">i flere medlemslande. Justeringerne er således rettet mod bankunionslande (aktuelt kun eurolande), ud fra et princip om, at SSM har den tilstrækkelige indsigt i både datterselskaber og moderinstitutter lokaliseret i forskellige medlemsstater til at anvende undtagelsen. Undtagelsesmuligheden </w:t>
      </w:r>
      <w:r w:rsidR="001C10B6">
        <w:rPr>
          <w:rFonts w:eastAsiaTheme="majorEastAsia"/>
        </w:rPr>
        <w:t xml:space="preserve">er </w:t>
      </w:r>
      <w:r w:rsidRPr="002E41C2">
        <w:rPr>
          <w:rFonts w:eastAsiaTheme="majorEastAsia"/>
        </w:rPr>
        <w:t>betinge</w:t>
      </w:r>
      <w:r w:rsidR="001C10B6">
        <w:rPr>
          <w:rFonts w:eastAsiaTheme="majorEastAsia"/>
        </w:rPr>
        <w:t>t</w:t>
      </w:r>
      <w:r w:rsidRPr="002E41C2">
        <w:rPr>
          <w:rFonts w:eastAsiaTheme="majorEastAsia"/>
        </w:rPr>
        <w:t xml:space="preserve"> af, at moderinstituttet stiller en delvist sikret garanti. Garantien skal sikre, at moderinstituttet kan understøtte datterselskabet, hvis det kommer i problemer. I dag er det kun det land, hvor datterselskabet er etableret (værtslandet), der kan anvende undtagelserne.</w:t>
      </w:r>
    </w:p>
    <w:p w14:paraId="7C17AB70" w14:textId="77777777" w:rsidR="005A799C" w:rsidRDefault="005A799C" w:rsidP="0007395B">
      <w:pPr>
        <w:rPr>
          <w:rFonts w:eastAsiaTheme="majorEastAsia"/>
        </w:rPr>
      </w:pPr>
    </w:p>
    <w:p w14:paraId="3318F41B" w14:textId="20C6F540" w:rsidR="005A799C" w:rsidRDefault="005A799C" w:rsidP="005A799C">
      <w:pPr>
        <w:rPr>
          <w:rFonts w:eastAsiaTheme="majorEastAsia"/>
          <w:i/>
        </w:rPr>
      </w:pPr>
      <w:r>
        <w:rPr>
          <w:rFonts w:eastAsiaTheme="majorEastAsia"/>
          <w:i/>
        </w:rPr>
        <w:t xml:space="preserve">2.1.7.3. </w:t>
      </w:r>
      <w:r w:rsidR="00072FCB">
        <w:rPr>
          <w:rFonts w:eastAsiaTheme="majorEastAsia"/>
          <w:i/>
        </w:rPr>
        <w:t>Erhvervsministeriets overvejelser og den foreslåede ordning</w:t>
      </w:r>
    </w:p>
    <w:p w14:paraId="5F597291" w14:textId="68E8903D" w:rsidR="005A799C" w:rsidRDefault="005A799C" w:rsidP="005A799C">
      <w:pPr>
        <w:rPr>
          <w:rFonts w:eastAsiaTheme="majorEastAsia"/>
        </w:rPr>
      </w:pPr>
      <w:r>
        <w:rPr>
          <w:rFonts w:eastAsiaTheme="majorEastAsia"/>
        </w:rPr>
        <w:t xml:space="preserve">Erhvervsministeriet finder det hensigtsmæssigt, at der </w:t>
      </w:r>
      <w:r w:rsidR="00B05606">
        <w:rPr>
          <w:rFonts w:eastAsiaTheme="majorEastAsia"/>
        </w:rPr>
        <w:t>i Grønland</w:t>
      </w:r>
      <w:r>
        <w:rPr>
          <w:rFonts w:eastAsiaTheme="majorEastAsia"/>
        </w:rPr>
        <w:t xml:space="preserve"> gælder regler svarende til reglerne i Danmark på det finansielle område. </w:t>
      </w:r>
    </w:p>
    <w:p w14:paraId="11E3C7E3" w14:textId="1BCF132B" w:rsidR="005A799C" w:rsidRPr="00374D6B" w:rsidRDefault="005A799C" w:rsidP="005A799C">
      <w:pPr>
        <w:rPr>
          <w:rFonts w:eastAsiaTheme="majorEastAsia"/>
          <w:i/>
        </w:rPr>
      </w:pPr>
    </w:p>
    <w:p w14:paraId="6A781D63" w14:textId="311A4F91" w:rsidR="005A799C" w:rsidRDefault="005A799C" w:rsidP="0007395B">
      <w:pPr>
        <w:rPr>
          <w:rFonts w:eastAsiaTheme="majorEastAsia"/>
        </w:rPr>
      </w:pPr>
      <w:r>
        <w:rPr>
          <w:rFonts w:eastAsiaTheme="majorEastAsia"/>
        </w:rPr>
        <w:t xml:space="preserve">Det foreslås </w:t>
      </w:r>
      <w:r w:rsidR="001C10B6">
        <w:rPr>
          <w:rFonts w:eastAsiaTheme="majorEastAsia"/>
        </w:rPr>
        <w:t xml:space="preserve">derfor </w:t>
      </w:r>
      <w:r>
        <w:rPr>
          <w:rFonts w:eastAsiaTheme="majorEastAsia"/>
        </w:rPr>
        <w:t xml:space="preserve">at sætte reglerne i CRR II i kraft for </w:t>
      </w:r>
      <w:r w:rsidR="00AF4868">
        <w:rPr>
          <w:rFonts w:eastAsiaTheme="majorEastAsia"/>
        </w:rPr>
        <w:t>Grønland</w:t>
      </w:r>
      <w:r>
        <w:rPr>
          <w:rFonts w:eastAsiaTheme="majorEastAsia"/>
        </w:rPr>
        <w:t>, som beskrevet i afsnit 2.1.7.2 ovenfor.</w:t>
      </w:r>
    </w:p>
    <w:p w14:paraId="1D0C5B93" w14:textId="77777777" w:rsidR="00BF3D14" w:rsidRDefault="00BF3D14" w:rsidP="00FA0143">
      <w:pPr>
        <w:rPr>
          <w:rFonts w:eastAsiaTheme="majorEastAsia"/>
        </w:rPr>
      </w:pPr>
    </w:p>
    <w:p w14:paraId="7E21CC7F" w14:textId="77777777" w:rsidR="00FA0143" w:rsidRDefault="00FA0143" w:rsidP="00FA0143">
      <w:pPr>
        <w:pStyle w:val="Overskrift2"/>
        <w:rPr>
          <w:rFonts w:eastAsia="Calibri"/>
          <w:sz w:val="24"/>
        </w:rPr>
      </w:pPr>
      <w:bookmarkStart w:id="158" w:name="_Ref84075199"/>
      <w:r w:rsidRPr="00FA0143">
        <w:rPr>
          <w:sz w:val="24"/>
        </w:rPr>
        <w:t>2.</w:t>
      </w:r>
      <w:r w:rsidR="00703BFA">
        <w:rPr>
          <w:sz w:val="24"/>
        </w:rPr>
        <w:t>1.</w:t>
      </w:r>
      <w:r w:rsidRPr="00FA0143">
        <w:rPr>
          <w:sz w:val="24"/>
        </w:rPr>
        <w:t>8</w:t>
      </w:r>
      <w:r w:rsidR="00703BFA">
        <w:rPr>
          <w:sz w:val="24"/>
        </w:rPr>
        <w:t>.</w:t>
      </w:r>
      <w:r w:rsidRPr="00FA0143">
        <w:rPr>
          <w:sz w:val="24"/>
        </w:rPr>
        <w:t xml:space="preserve"> </w:t>
      </w:r>
      <w:r w:rsidRPr="00FA0143">
        <w:rPr>
          <w:rFonts w:eastAsia="Calibri"/>
          <w:sz w:val="24"/>
        </w:rPr>
        <w:t>Nedskrivningsrelevante passiver</w:t>
      </w:r>
      <w:bookmarkEnd w:id="158"/>
    </w:p>
    <w:p w14:paraId="71AF29E2" w14:textId="77777777" w:rsidR="00242727" w:rsidRDefault="00703BFA" w:rsidP="00242727">
      <w:pPr>
        <w:rPr>
          <w:i/>
        </w:rPr>
      </w:pPr>
      <w:r>
        <w:rPr>
          <w:i/>
        </w:rPr>
        <w:t xml:space="preserve">2.1.8.1. </w:t>
      </w:r>
      <w:r w:rsidR="00242727">
        <w:rPr>
          <w:i/>
        </w:rPr>
        <w:t>Gældende ret</w:t>
      </w:r>
    </w:p>
    <w:p w14:paraId="67E6A5C8" w14:textId="460CBBF1" w:rsidR="00242727" w:rsidRDefault="00F82EB3" w:rsidP="00242727">
      <w:pPr>
        <w:rPr>
          <w:rFonts w:eastAsiaTheme="majorEastAsia"/>
        </w:rPr>
      </w:pPr>
      <w:r>
        <w:rPr>
          <w:rFonts w:eastAsiaTheme="majorEastAsia"/>
        </w:rPr>
        <w:t xml:space="preserve">Finanstilsynet og Finansiel Stabilitet er afviklingsmyndigheder for </w:t>
      </w:r>
      <w:r w:rsidR="00AF4868">
        <w:rPr>
          <w:rFonts w:eastAsiaTheme="majorEastAsia"/>
        </w:rPr>
        <w:t>Grønland</w:t>
      </w:r>
      <w:r w:rsidR="001C10B6">
        <w:rPr>
          <w:rFonts w:eastAsiaTheme="majorEastAsia"/>
        </w:rPr>
        <w:t>.</w:t>
      </w:r>
      <w:r>
        <w:rPr>
          <w:rFonts w:eastAsiaTheme="majorEastAsia"/>
        </w:rPr>
        <w:t xml:space="preserve"> </w:t>
      </w:r>
      <w:r w:rsidR="001C10B6">
        <w:rPr>
          <w:rFonts w:eastAsiaTheme="majorEastAsia"/>
        </w:rPr>
        <w:t>A</w:t>
      </w:r>
      <w:r w:rsidR="001C10B6" w:rsidRPr="009E2765">
        <w:rPr>
          <w:rFonts w:eastAsiaTheme="majorEastAsia"/>
        </w:rPr>
        <w:t xml:space="preserve">fviklingsmyndighederne </w:t>
      </w:r>
      <w:r>
        <w:rPr>
          <w:rFonts w:eastAsiaTheme="majorEastAsia"/>
        </w:rPr>
        <w:t>har</w:t>
      </w:r>
      <w:r w:rsidR="00F75DE5">
        <w:rPr>
          <w:rFonts w:eastAsiaTheme="majorEastAsia"/>
        </w:rPr>
        <w:t xml:space="preserve"> </w:t>
      </w:r>
      <w:r w:rsidRPr="009E2765">
        <w:rPr>
          <w:rFonts w:eastAsiaTheme="majorEastAsia"/>
        </w:rPr>
        <w:t xml:space="preserve">beføjelser til at sætte et krav til pengeinstitutters og fondsmæglerselskaber I’s nedskrivningsegnede passiver, et såkaldt NEP-krav, i </w:t>
      </w:r>
      <w:r>
        <w:rPr>
          <w:rFonts w:eastAsiaTheme="majorEastAsia"/>
        </w:rPr>
        <w:t xml:space="preserve">forbindelse med udarbejdelsen af </w:t>
      </w:r>
      <w:r w:rsidRPr="009E2765">
        <w:rPr>
          <w:rFonts w:eastAsiaTheme="majorEastAsia"/>
        </w:rPr>
        <w:t>afviklingsplan</w:t>
      </w:r>
      <w:r>
        <w:rPr>
          <w:rFonts w:eastAsiaTheme="majorEastAsia"/>
        </w:rPr>
        <w:t>er</w:t>
      </w:r>
      <w:r w:rsidRPr="009E2765">
        <w:rPr>
          <w:rFonts w:eastAsiaTheme="majorEastAsia"/>
        </w:rPr>
        <w:t>.</w:t>
      </w:r>
      <w:r w:rsidR="00072FCB">
        <w:rPr>
          <w:rFonts w:eastAsiaTheme="majorEastAsia"/>
        </w:rPr>
        <w:t xml:space="preserve"> Det følger af CCR</w:t>
      </w:r>
      <w:r w:rsidR="00072FCB" w:rsidRPr="001C10B6">
        <w:rPr>
          <w:rFonts w:eastAsiaTheme="majorEastAsia"/>
          <w:szCs w:val="24"/>
        </w:rPr>
        <w:t xml:space="preserve">, </w:t>
      </w:r>
      <w:r w:rsidR="00072FCB" w:rsidRPr="00D73CD1">
        <w:rPr>
          <w:rStyle w:val="Overskrift2Tegn"/>
          <w:b w:val="0"/>
          <w:sz w:val="24"/>
          <w:szCs w:val="24"/>
        </w:rPr>
        <w:t xml:space="preserve">som sat i kraft for Grønland </w:t>
      </w:r>
      <w:r w:rsidR="00072FCB">
        <w:t>ved lov om lov for Grønland om kapitalkrav og tilsynsmæssige krav for kreditinstitutter og investeringsselskaber.</w:t>
      </w:r>
    </w:p>
    <w:p w14:paraId="1672CC0A" w14:textId="77777777" w:rsidR="00F82EB3" w:rsidRDefault="00F82EB3" w:rsidP="00242727">
      <w:pPr>
        <w:rPr>
          <w:rFonts w:eastAsiaTheme="majorEastAsia"/>
        </w:rPr>
      </w:pPr>
    </w:p>
    <w:p w14:paraId="4D0A6211" w14:textId="25BAF4E6" w:rsidR="00242727" w:rsidRDefault="00703BFA" w:rsidP="00242727">
      <w:pPr>
        <w:rPr>
          <w:i/>
        </w:rPr>
      </w:pPr>
      <w:r>
        <w:rPr>
          <w:i/>
        </w:rPr>
        <w:t xml:space="preserve">2.1.8.2. </w:t>
      </w:r>
      <w:r w:rsidR="000B2228">
        <w:rPr>
          <w:i/>
        </w:rPr>
        <w:t>Forordningens indhold</w:t>
      </w:r>
    </w:p>
    <w:p w14:paraId="2260F620" w14:textId="77777777" w:rsidR="00242727" w:rsidRPr="00BA575E" w:rsidRDefault="00242727" w:rsidP="001C10B6">
      <w:pPr>
        <w:rPr>
          <w:rFonts w:eastAsia="Calibri"/>
        </w:rPr>
      </w:pPr>
      <w:r>
        <w:rPr>
          <w:rFonts w:eastAsia="Calibri"/>
        </w:rPr>
        <w:lastRenderedPageBreak/>
        <w:t>CRR II</w:t>
      </w:r>
      <w:r w:rsidRPr="00BA575E">
        <w:rPr>
          <w:rFonts w:eastAsia="Calibri"/>
        </w:rPr>
        <w:t xml:space="preserve"> indeholder en række ændring</w:t>
      </w:r>
      <w:r>
        <w:rPr>
          <w:rFonts w:eastAsia="Calibri"/>
        </w:rPr>
        <w:t>er af CRR som følge af implemen</w:t>
      </w:r>
      <w:r w:rsidRPr="00BA575E">
        <w:rPr>
          <w:rFonts w:eastAsia="Calibri"/>
        </w:rPr>
        <w:t>teringen af FSB-standarden vedr. TL</w:t>
      </w:r>
      <w:r>
        <w:rPr>
          <w:rFonts w:eastAsia="Calibri"/>
        </w:rPr>
        <w:t>AC. TLAC er et krav om nedskriv</w:t>
      </w:r>
      <w:r w:rsidRPr="00BA575E">
        <w:rPr>
          <w:rFonts w:eastAsia="Calibri"/>
        </w:rPr>
        <w:t>ningsegnede passiver i de globalt systemiske vigtige kreditinstitutter (</w:t>
      </w:r>
      <w:proofErr w:type="spellStart"/>
      <w:r w:rsidRPr="00BA575E">
        <w:rPr>
          <w:rFonts w:eastAsia="Calibri"/>
        </w:rPr>
        <w:t>G-SIFI’er</w:t>
      </w:r>
      <w:proofErr w:type="spellEnd"/>
      <w:r w:rsidRPr="00BA575E">
        <w:rPr>
          <w:rFonts w:eastAsia="Calibri"/>
        </w:rPr>
        <w:t xml:space="preserve">). </w:t>
      </w:r>
    </w:p>
    <w:p w14:paraId="7CCEFC31" w14:textId="77777777" w:rsidR="00242727" w:rsidRPr="00BA575E" w:rsidRDefault="00242727" w:rsidP="00242727">
      <w:pPr>
        <w:rPr>
          <w:rFonts w:eastAsia="Calibri"/>
        </w:rPr>
      </w:pPr>
    </w:p>
    <w:p w14:paraId="2BADEA73" w14:textId="77777777" w:rsidR="00242727" w:rsidRDefault="00242727" w:rsidP="001C10B6">
      <w:pPr>
        <w:rPr>
          <w:rFonts w:eastAsia="Calibri"/>
        </w:rPr>
      </w:pPr>
      <w:r w:rsidRPr="00BA575E">
        <w:rPr>
          <w:rFonts w:eastAsia="Calibri"/>
        </w:rPr>
        <w:t>Ændringerne følger i vid udstrækning af forslagene til ændring af BRRD indeholdt i Kommissionens forslag vedrø</w:t>
      </w:r>
      <w:r>
        <w:rPr>
          <w:rFonts w:eastAsia="Calibri"/>
        </w:rPr>
        <w:t xml:space="preserve">rende tabsabsorbering og </w:t>
      </w:r>
      <w:proofErr w:type="spellStart"/>
      <w:r>
        <w:rPr>
          <w:rFonts w:eastAsia="Calibri"/>
        </w:rPr>
        <w:t>rekapital</w:t>
      </w:r>
      <w:r w:rsidR="00F75DE5">
        <w:rPr>
          <w:rFonts w:eastAsia="Calibri"/>
        </w:rPr>
        <w:t>i</w:t>
      </w:r>
      <w:r>
        <w:rPr>
          <w:rFonts w:eastAsia="Calibri"/>
        </w:rPr>
        <w:t>s</w:t>
      </w:r>
      <w:r w:rsidRPr="00BA575E">
        <w:rPr>
          <w:rFonts w:eastAsia="Calibri"/>
        </w:rPr>
        <w:t>ering</w:t>
      </w:r>
      <w:proofErr w:type="spellEnd"/>
      <w:r w:rsidRPr="00BA575E">
        <w:rPr>
          <w:rFonts w:eastAsia="Calibri"/>
        </w:rPr>
        <w:t xml:space="preserve"> for kreditinsti</w:t>
      </w:r>
      <w:r>
        <w:rPr>
          <w:rFonts w:eastAsia="Calibri"/>
        </w:rPr>
        <w:t>tutter og investeringsselskaber.</w:t>
      </w:r>
    </w:p>
    <w:p w14:paraId="4A0800FD" w14:textId="77777777" w:rsidR="00C050B1" w:rsidRDefault="00C050B1" w:rsidP="00242727">
      <w:pPr>
        <w:rPr>
          <w:rFonts w:eastAsia="Calibri"/>
        </w:rPr>
      </w:pPr>
    </w:p>
    <w:p w14:paraId="301AC121" w14:textId="77777777" w:rsidR="00C050B1" w:rsidRDefault="00C050B1" w:rsidP="00C050B1">
      <w:pPr>
        <w:rPr>
          <w:rFonts w:eastAsiaTheme="majorEastAsia"/>
        </w:rPr>
      </w:pPr>
      <w:r w:rsidRPr="009E2765">
        <w:rPr>
          <w:rFonts w:eastAsiaTheme="majorEastAsia"/>
        </w:rPr>
        <w:t>Der er følgende overordnede forskelle mellem det eksisterende NEP-krav i BRRD og TLAC-kravet:</w:t>
      </w:r>
    </w:p>
    <w:p w14:paraId="0D6FD2F4" w14:textId="77777777" w:rsidR="00C050B1" w:rsidRPr="001C10B6" w:rsidRDefault="00C050B1" w:rsidP="001C10B6">
      <w:pPr>
        <w:rPr>
          <w:rFonts w:eastAsiaTheme="majorEastAsia"/>
        </w:rPr>
      </w:pPr>
    </w:p>
    <w:p w14:paraId="15FC8474" w14:textId="77777777" w:rsidR="00C050B1" w:rsidRPr="001C10B6" w:rsidRDefault="00C050B1" w:rsidP="00D73CD1">
      <w:pPr>
        <w:rPr>
          <w:rFonts w:eastAsiaTheme="majorEastAsia"/>
        </w:rPr>
      </w:pPr>
      <w:r w:rsidRPr="001C10B6">
        <w:rPr>
          <w:rFonts w:eastAsiaTheme="majorEastAsia"/>
        </w:rPr>
        <w:t>TLAC-kravet sættes kun for G-</w:t>
      </w:r>
      <w:proofErr w:type="spellStart"/>
      <w:r w:rsidRPr="001C10B6">
        <w:rPr>
          <w:rFonts w:eastAsiaTheme="majorEastAsia"/>
        </w:rPr>
        <w:t>SIFIer</w:t>
      </w:r>
      <w:proofErr w:type="spellEnd"/>
      <w:r w:rsidRPr="001C10B6">
        <w:rPr>
          <w:rFonts w:eastAsiaTheme="majorEastAsia"/>
        </w:rPr>
        <w:t xml:space="preserve">, mens NEP-kravet sættes for alle pengeinstitutter og fondsmæglerselskaber I. </w:t>
      </w:r>
    </w:p>
    <w:p w14:paraId="13721742" w14:textId="77777777" w:rsidR="00C050B1" w:rsidRPr="001C10B6" w:rsidRDefault="00C050B1" w:rsidP="00D73CD1">
      <w:pPr>
        <w:rPr>
          <w:rFonts w:eastAsiaTheme="majorEastAsia"/>
        </w:rPr>
      </w:pPr>
    </w:p>
    <w:p w14:paraId="1AF2EC89" w14:textId="77777777" w:rsidR="00C050B1" w:rsidRPr="001C10B6" w:rsidRDefault="00C050B1" w:rsidP="00D73CD1">
      <w:pPr>
        <w:rPr>
          <w:rFonts w:eastAsiaTheme="majorEastAsia"/>
        </w:rPr>
      </w:pPr>
      <w:r w:rsidRPr="001C10B6">
        <w:rPr>
          <w:rFonts w:eastAsiaTheme="majorEastAsia"/>
        </w:rPr>
        <w:t xml:space="preserve">TLAC-kravet er ifølge Financial </w:t>
      </w:r>
      <w:proofErr w:type="spellStart"/>
      <w:r w:rsidRPr="001C10B6">
        <w:rPr>
          <w:rFonts w:eastAsiaTheme="majorEastAsia"/>
        </w:rPr>
        <w:t>Stability</w:t>
      </w:r>
      <w:proofErr w:type="spellEnd"/>
      <w:r w:rsidRPr="001C10B6">
        <w:rPr>
          <w:rFonts w:eastAsiaTheme="majorEastAsia"/>
        </w:rPr>
        <w:t xml:space="preserve"> Board (FSB – finansielt forum for G-20-lande) et harmoniseret minimumskrav, hvorimod NEP-kravet fastsættes af afviklingsmyndighederne ud fra en individuel vurdering af hvert institut. TLAC-kravet skal ifølge FSB indføres fra 2019 og – når fuldt indfaset i 2022 – mindst svare til det højeste af enten 18 pct. af et instituts risikovægtede eksponeringer eller 6,75 pct. af et instituts eksponeringer.</w:t>
      </w:r>
    </w:p>
    <w:p w14:paraId="74690807" w14:textId="77777777" w:rsidR="00C050B1" w:rsidRPr="001C10B6" w:rsidRDefault="00C050B1" w:rsidP="00D73CD1">
      <w:pPr>
        <w:rPr>
          <w:rFonts w:eastAsiaTheme="majorEastAsia"/>
        </w:rPr>
      </w:pPr>
    </w:p>
    <w:p w14:paraId="7C65E096" w14:textId="36522978" w:rsidR="00C050B1" w:rsidRPr="001C10B6" w:rsidRDefault="00C050B1" w:rsidP="00D73CD1">
      <w:pPr>
        <w:rPr>
          <w:rFonts w:eastAsiaTheme="majorEastAsia"/>
        </w:rPr>
      </w:pPr>
      <w:r w:rsidRPr="001C10B6">
        <w:rPr>
          <w:rFonts w:eastAsiaTheme="majorEastAsia"/>
        </w:rPr>
        <w:t>TLAC-kravet skal hovedsag</w:t>
      </w:r>
      <w:r w:rsidR="00E36A61">
        <w:rPr>
          <w:rFonts w:eastAsiaTheme="majorEastAsia"/>
        </w:rPr>
        <w:t>e</w:t>
      </w:r>
      <w:r w:rsidRPr="001C10B6">
        <w:rPr>
          <w:rFonts w:eastAsiaTheme="majorEastAsia"/>
        </w:rPr>
        <w:t>ligt overholdes ved at holde kapitalinstrumenter og gældsinstrumenter, der er efterstillet (subordineret) simple kreditorer, hvorimod de enkelte afviklingsmyndigheder i EU kan fastlægge, om de ønsker at stille krav til de nedskrivningsegnede forpligtelser om at disse eller dele af heraf skal være efterstillet simple kreditorer.</w:t>
      </w:r>
    </w:p>
    <w:p w14:paraId="6B65D7FF" w14:textId="77777777" w:rsidR="00C050B1" w:rsidRPr="001C10B6" w:rsidRDefault="00C050B1" w:rsidP="001C10B6">
      <w:pPr>
        <w:rPr>
          <w:rFonts w:eastAsiaTheme="majorEastAsia"/>
        </w:rPr>
      </w:pPr>
    </w:p>
    <w:p w14:paraId="3D1C3511" w14:textId="7192E484" w:rsidR="00242727" w:rsidRDefault="00BF7711" w:rsidP="00242727">
      <w:pPr>
        <w:rPr>
          <w:rFonts w:eastAsia="Calibri"/>
        </w:rPr>
      </w:pPr>
      <w:r>
        <w:rPr>
          <w:rFonts w:eastAsia="Calibri"/>
        </w:rPr>
        <w:t xml:space="preserve">Den danske lov, der implementerer </w:t>
      </w:r>
      <w:r w:rsidR="00242727">
        <w:rPr>
          <w:rFonts w:eastAsia="Calibri"/>
        </w:rPr>
        <w:t>BRRD</w:t>
      </w:r>
      <w:r w:rsidR="001C10B6">
        <w:rPr>
          <w:rFonts w:eastAsia="Calibri"/>
        </w:rPr>
        <w:t>,</w:t>
      </w:r>
      <w:r w:rsidR="00242727">
        <w:rPr>
          <w:rFonts w:eastAsia="Calibri"/>
        </w:rPr>
        <w:t xml:space="preserve"> er sat i kraft for </w:t>
      </w:r>
      <w:r w:rsidR="00AF4868">
        <w:rPr>
          <w:rFonts w:eastAsia="Calibri"/>
        </w:rPr>
        <w:t>Grønland</w:t>
      </w:r>
      <w:r w:rsidR="00242727">
        <w:rPr>
          <w:rFonts w:eastAsia="Calibri"/>
        </w:rPr>
        <w:t xml:space="preserve"> ved kongelig anordning om ikrafttræden af lov om finansiel virksomhed og lov om restrukturering og afvikling visse finansielle institutter.</w:t>
      </w:r>
    </w:p>
    <w:p w14:paraId="7E2CA883" w14:textId="77777777" w:rsidR="00242727" w:rsidRDefault="00242727" w:rsidP="00242727">
      <w:pPr>
        <w:rPr>
          <w:rFonts w:eastAsia="Calibri"/>
        </w:rPr>
      </w:pPr>
    </w:p>
    <w:p w14:paraId="1249938B" w14:textId="66B65F69" w:rsidR="00242727" w:rsidRDefault="00242727" w:rsidP="00242727">
      <w:pPr>
        <w:rPr>
          <w:rFonts w:eastAsia="Calibri"/>
        </w:rPr>
      </w:pPr>
      <w:r>
        <w:rPr>
          <w:rFonts w:eastAsia="Calibri"/>
        </w:rPr>
        <w:t xml:space="preserve">Ændringerne </w:t>
      </w:r>
      <w:r w:rsidR="00BF7711">
        <w:rPr>
          <w:rFonts w:eastAsia="Calibri"/>
        </w:rPr>
        <w:t xml:space="preserve">af lov om finansiel virksomhed og lov om restrukturering og afvikling visse finansielle institutter, </w:t>
      </w:r>
      <w:r>
        <w:rPr>
          <w:rFonts w:eastAsia="Calibri"/>
        </w:rPr>
        <w:t>som følge</w:t>
      </w:r>
      <w:r w:rsidR="00BF7711">
        <w:rPr>
          <w:rFonts w:eastAsia="Calibri"/>
        </w:rPr>
        <w:t>r</w:t>
      </w:r>
      <w:r>
        <w:rPr>
          <w:rFonts w:eastAsia="Calibri"/>
        </w:rPr>
        <w:t xml:space="preserve"> af ændringen af BRRD, vil blive sat i kraft for </w:t>
      </w:r>
      <w:r w:rsidR="00AF4868">
        <w:rPr>
          <w:rFonts w:eastAsia="Calibri"/>
        </w:rPr>
        <w:t>Grønland</w:t>
      </w:r>
      <w:r>
        <w:rPr>
          <w:rFonts w:eastAsia="Calibri"/>
        </w:rPr>
        <w:t xml:space="preserve"> ved kongelig anordning således, at denne lov og </w:t>
      </w:r>
      <w:proofErr w:type="gramStart"/>
      <w:r>
        <w:rPr>
          <w:rFonts w:eastAsia="Calibri"/>
        </w:rPr>
        <w:t>den</w:t>
      </w:r>
      <w:proofErr w:type="gramEnd"/>
      <w:r>
        <w:rPr>
          <w:rFonts w:eastAsia="Calibri"/>
        </w:rPr>
        <w:t xml:space="preserve"> kongelige anordninger træder i kraft samtidig.</w:t>
      </w:r>
    </w:p>
    <w:p w14:paraId="2BADE8FB" w14:textId="77777777" w:rsidR="005A799C" w:rsidRDefault="005A799C" w:rsidP="00242727">
      <w:pPr>
        <w:rPr>
          <w:rFonts w:eastAsia="Calibri"/>
        </w:rPr>
      </w:pPr>
    </w:p>
    <w:p w14:paraId="49CFA27A" w14:textId="412D5481" w:rsidR="005A799C" w:rsidRDefault="005A799C" w:rsidP="005A799C">
      <w:pPr>
        <w:rPr>
          <w:rFonts w:eastAsiaTheme="majorEastAsia"/>
          <w:i/>
        </w:rPr>
      </w:pPr>
      <w:r>
        <w:rPr>
          <w:rFonts w:eastAsiaTheme="majorEastAsia"/>
          <w:i/>
        </w:rPr>
        <w:t xml:space="preserve">2.1.8.3. </w:t>
      </w:r>
      <w:r w:rsidR="00072FCB">
        <w:rPr>
          <w:rFonts w:eastAsiaTheme="majorEastAsia"/>
          <w:i/>
        </w:rPr>
        <w:t>Erhvervsministeriets overvejelser og den foreslåede ordning</w:t>
      </w:r>
    </w:p>
    <w:p w14:paraId="3D98EC20" w14:textId="1404E65C" w:rsidR="005A799C" w:rsidRDefault="005A799C" w:rsidP="005A799C">
      <w:pPr>
        <w:rPr>
          <w:rFonts w:eastAsiaTheme="majorEastAsia"/>
        </w:rPr>
      </w:pPr>
      <w:r>
        <w:rPr>
          <w:rFonts w:eastAsiaTheme="majorEastAsia"/>
        </w:rPr>
        <w:t xml:space="preserve">Erhvervsministeriet finder det hensigtsmæssigt, at der </w:t>
      </w:r>
      <w:r w:rsidR="00B05606">
        <w:rPr>
          <w:rFonts w:eastAsiaTheme="majorEastAsia"/>
        </w:rPr>
        <w:t>i Grønland</w:t>
      </w:r>
      <w:r>
        <w:rPr>
          <w:rFonts w:eastAsiaTheme="majorEastAsia"/>
        </w:rPr>
        <w:t xml:space="preserve"> gælder regler svarende til reglerne i Danmark på det finansielle område. </w:t>
      </w:r>
    </w:p>
    <w:p w14:paraId="65D74976" w14:textId="1F609861" w:rsidR="005A799C" w:rsidRPr="00374D6B" w:rsidRDefault="005A799C" w:rsidP="005A799C">
      <w:pPr>
        <w:rPr>
          <w:rFonts w:eastAsiaTheme="majorEastAsia"/>
          <w:i/>
        </w:rPr>
      </w:pPr>
    </w:p>
    <w:p w14:paraId="0F2A2503" w14:textId="2704E547" w:rsidR="005A799C" w:rsidRPr="00AF4868" w:rsidRDefault="005A799C" w:rsidP="00242727">
      <w:pPr>
        <w:rPr>
          <w:rFonts w:eastAsiaTheme="majorEastAsia"/>
        </w:rPr>
      </w:pPr>
      <w:r>
        <w:rPr>
          <w:rFonts w:eastAsiaTheme="majorEastAsia"/>
        </w:rPr>
        <w:lastRenderedPageBreak/>
        <w:t xml:space="preserve">Det foreslås </w:t>
      </w:r>
      <w:r w:rsidR="001C10B6">
        <w:rPr>
          <w:rFonts w:eastAsiaTheme="majorEastAsia"/>
        </w:rPr>
        <w:t xml:space="preserve">derfor </w:t>
      </w:r>
      <w:r>
        <w:rPr>
          <w:rFonts w:eastAsiaTheme="majorEastAsia"/>
        </w:rPr>
        <w:t xml:space="preserve">at sætte reglerne i CRR II i kraft for </w:t>
      </w:r>
      <w:r w:rsidR="00AF4868">
        <w:rPr>
          <w:rFonts w:eastAsiaTheme="majorEastAsia"/>
        </w:rPr>
        <w:t>Grønland</w:t>
      </w:r>
      <w:r>
        <w:rPr>
          <w:rFonts w:eastAsiaTheme="majorEastAsia"/>
        </w:rPr>
        <w:t>, som beskrevet i afsnit 2.1.8.2 ovenfor.</w:t>
      </w:r>
    </w:p>
    <w:p w14:paraId="5EDAA234" w14:textId="77777777" w:rsidR="00242727" w:rsidRPr="00242727" w:rsidRDefault="00242727" w:rsidP="00242727"/>
    <w:p w14:paraId="048D94FD" w14:textId="77777777" w:rsidR="00FA0143" w:rsidRDefault="00FA0143" w:rsidP="00FA0143">
      <w:pPr>
        <w:pStyle w:val="Overskrift2"/>
        <w:rPr>
          <w:rFonts w:eastAsia="Calibri"/>
          <w:sz w:val="24"/>
        </w:rPr>
      </w:pPr>
      <w:bookmarkStart w:id="159" w:name="_Ref84075205"/>
      <w:r w:rsidRPr="00FA0143">
        <w:rPr>
          <w:rFonts w:eastAsia="Calibri"/>
          <w:sz w:val="24"/>
        </w:rPr>
        <w:t>2.</w:t>
      </w:r>
      <w:r w:rsidR="00703BFA">
        <w:rPr>
          <w:rFonts w:eastAsia="Calibri"/>
          <w:sz w:val="24"/>
        </w:rPr>
        <w:t>1.</w:t>
      </w:r>
      <w:r w:rsidRPr="00FA0143">
        <w:rPr>
          <w:rFonts w:eastAsia="Calibri"/>
          <w:sz w:val="24"/>
        </w:rPr>
        <w:t>9</w:t>
      </w:r>
      <w:r w:rsidR="00703BFA">
        <w:rPr>
          <w:rFonts w:eastAsia="Calibri"/>
          <w:sz w:val="24"/>
        </w:rPr>
        <w:t>.</w:t>
      </w:r>
      <w:r w:rsidRPr="00FA0143">
        <w:rPr>
          <w:rFonts w:eastAsia="Calibri"/>
          <w:sz w:val="24"/>
        </w:rPr>
        <w:t xml:space="preserve"> Modpartsrisiko</w:t>
      </w:r>
      <w:bookmarkEnd w:id="159"/>
    </w:p>
    <w:p w14:paraId="46995732" w14:textId="77777777" w:rsidR="00F374AE" w:rsidRPr="00F374AE" w:rsidRDefault="00703BFA" w:rsidP="00F374AE">
      <w:pPr>
        <w:rPr>
          <w:i/>
        </w:rPr>
      </w:pPr>
      <w:r>
        <w:rPr>
          <w:i/>
        </w:rPr>
        <w:t xml:space="preserve">2.1.9.1. </w:t>
      </w:r>
      <w:r w:rsidR="00F374AE">
        <w:rPr>
          <w:i/>
        </w:rPr>
        <w:t>Gældende ret</w:t>
      </w:r>
    </w:p>
    <w:p w14:paraId="03B2F63B" w14:textId="1B060402" w:rsidR="009E0C5A" w:rsidRDefault="009E0C5A" w:rsidP="009E0C5A">
      <w:r>
        <w:t xml:space="preserve">Artiklerne i </w:t>
      </w:r>
      <w:r w:rsidR="0047220E">
        <w:t xml:space="preserve">tredje del, afsnit 2, </w:t>
      </w:r>
      <w:r>
        <w:t xml:space="preserve">kapitel </w:t>
      </w:r>
      <w:r w:rsidR="00072FCB">
        <w:t>6</w:t>
      </w:r>
      <w:r w:rsidR="0047220E">
        <w:t>,</w:t>
      </w:r>
      <w:r w:rsidR="00072FCB">
        <w:t xml:space="preserve"> </w:t>
      </w:r>
      <w:r w:rsidR="00072FCB" w:rsidRPr="00072FCB">
        <w:t>i CRR, som sat i kraft for Grønland ved lov om lov for Grønland om kapitalkrav og tilsynsmæssige krav for kreditinstitutter og investeringsselskaber,</w:t>
      </w:r>
      <w:r w:rsidR="000568D7">
        <w:t xml:space="preserve"> </w:t>
      </w:r>
      <w:r>
        <w:t>omhandler modpartskreditrisiko (modpartsrisiko). Ved beregningen af eksponeringsværdien af</w:t>
      </w:r>
      <w:r w:rsidR="0047220E">
        <w:t xml:space="preserve"> </w:t>
      </w:r>
      <w:r>
        <w:t>derivatinstrumenter (</w:t>
      </w:r>
      <w:proofErr w:type="spellStart"/>
      <w:r>
        <w:t>swaps</w:t>
      </w:r>
      <w:proofErr w:type="spellEnd"/>
      <w:r>
        <w:t xml:space="preserve">, </w:t>
      </w:r>
      <w:r w:rsidR="0047220E">
        <w:rPr>
          <w:rFonts w:ascii="Questa-Regular" w:hAnsi="Questa-Regular"/>
          <w:color w:val="212529"/>
          <w:sz w:val="23"/>
          <w:szCs w:val="23"/>
          <w:shd w:val="clear" w:color="auto" w:fill="F9F9FB"/>
        </w:rPr>
        <w:t>fremtidige renteaftaler (</w:t>
      </w:r>
      <w:r>
        <w:t>FRA</w:t>
      </w:r>
      <w:r w:rsidR="005823B7">
        <w:t>)</w:t>
      </w:r>
      <w:r>
        <w:t>, futures, optioner og andre kontrakter af samme art) til brug for opgørelsen af kapitalgrundlagskravet til kreditrisiko kan anvendes markedsværdimetoden, den oprindelige eksponeringsmetode, standardmetoden eller metoden med interne modeller.</w:t>
      </w:r>
    </w:p>
    <w:p w14:paraId="039CD97A" w14:textId="77777777" w:rsidR="009E0C5A" w:rsidRDefault="009E0C5A" w:rsidP="009E0C5A"/>
    <w:p w14:paraId="334FDEF5" w14:textId="3A16BFD0" w:rsidR="009E0C5A" w:rsidRDefault="009E0C5A" w:rsidP="009E0C5A">
      <w:r>
        <w:t xml:space="preserve">Eksponeringsværdien for en given modpart opgøres i henhold til alle metoderne som summen af eksponeringsværdierne, der er beregnet for hver </w:t>
      </w:r>
      <w:proofErr w:type="spellStart"/>
      <w:r>
        <w:t>nettinggruppe</w:t>
      </w:r>
      <w:proofErr w:type="spellEnd"/>
      <w:r w:rsidR="00A21BE7">
        <w:t xml:space="preserve">, som er </w:t>
      </w:r>
      <w:r w:rsidR="00A21BE7" w:rsidRPr="00A21BE7">
        <w:t xml:space="preserve">en gruppe transaktioner mellem et institut og en enkelt modpart, som er omfattet af et retsgyldigt bilateralt </w:t>
      </w:r>
      <w:proofErr w:type="spellStart"/>
      <w:r w:rsidR="00A21BE7" w:rsidRPr="00A21BE7">
        <w:t>nettingsystem</w:t>
      </w:r>
      <w:proofErr w:type="spellEnd"/>
      <w:r w:rsidR="00A21BE7" w:rsidRPr="00A21BE7">
        <w:t xml:space="preserve">, for hvilket </w:t>
      </w:r>
      <w:proofErr w:type="spellStart"/>
      <w:r w:rsidR="00A21BE7" w:rsidRPr="00A21BE7">
        <w:t>netting</w:t>
      </w:r>
      <w:proofErr w:type="spellEnd"/>
      <w:r w:rsidR="00A21BE7" w:rsidRPr="00A21BE7">
        <w:t xml:space="preserve"> er anerkendt i henhold til</w:t>
      </w:r>
      <w:r w:rsidR="00A21BE7">
        <w:t xml:space="preserve"> CRR,</w:t>
      </w:r>
      <w:r>
        <w:t xml:space="preserve"> med den pågældende modpart.</w:t>
      </w:r>
    </w:p>
    <w:p w14:paraId="1A293B57" w14:textId="77777777" w:rsidR="009E0C5A" w:rsidRDefault="009E0C5A" w:rsidP="009E0C5A"/>
    <w:p w14:paraId="3AD64662" w14:textId="77777777" w:rsidR="009E0C5A" w:rsidRDefault="009E0C5A" w:rsidP="009E0C5A">
      <w:r>
        <w:t>Markedsværdimetoden kan anvendes på alle derivatkontrakter. Den oprindelige eksponeringsmetode kan anvendes på rentekontrakter samt valutakontrakter og kontrakter vedrørende guld, mens standardmetoden kun kan anvendes på over-the-</w:t>
      </w:r>
      <w:proofErr w:type="spellStart"/>
      <w:r>
        <w:t>counter</w:t>
      </w:r>
      <w:proofErr w:type="spellEnd"/>
      <w:r>
        <w:t>-derivater (OTC-derivater) og terminsforretninger.</w:t>
      </w:r>
    </w:p>
    <w:p w14:paraId="4956E5E8" w14:textId="77777777" w:rsidR="009E0C5A" w:rsidRDefault="009E0C5A" w:rsidP="009E0C5A"/>
    <w:p w14:paraId="25BD772F" w14:textId="63FAA9B7" w:rsidR="00FB326C" w:rsidRDefault="009E0C5A" w:rsidP="00F374AE">
      <w:r>
        <w:t xml:space="preserve">Metoden med interne modeller (EPE-modeller) kræver de kompetente myndigheders tilladelse. Tilladelse kan kun gives, hvis instituttet kan godtgøre, at det opfylder kravene til modpartsrisikostyring </w:t>
      </w:r>
      <w:proofErr w:type="gramStart"/>
      <w:r>
        <w:t>for så vidt</w:t>
      </w:r>
      <w:proofErr w:type="gramEnd"/>
      <w:r>
        <w:t xml:space="preserve"> angår politikker, processer og systemer samt organisationsstrukturer, kravene til gennemgang af modpartsrisikostyringssystemet, kravene til brugstest og stresstest, kravene til modelleringsprocessens integritet, kravene til risikostyringssystemet samt valideringskravene, herunder krav til »</w:t>
      </w:r>
      <w:proofErr w:type="spellStart"/>
      <w:r>
        <w:t>backtesting</w:t>
      </w:r>
      <w:proofErr w:type="spellEnd"/>
      <w:r>
        <w:t>«. Hvis instituttets »</w:t>
      </w:r>
      <w:proofErr w:type="spellStart"/>
      <w:r>
        <w:t>backtesting</w:t>
      </w:r>
      <w:proofErr w:type="spellEnd"/>
      <w:r>
        <w:t>« af modellen viser, at modellen ikke er tilstrækkelig nøjagtig, annullerer de kompetente myndigheder tilladelsen for modellen eller pålægger passende foranstaltninger til at sikre, at modellen straks forbedres.</w:t>
      </w:r>
    </w:p>
    <w:p w14:paraId="7092095B" w14:textId="77777777" w:rsidR="00FB326C" w:rsidRDefault="00FB326C" w:rsidP="00F374AE"/>
    <w:p w14:paraId="2D7DEC9C" w14:textId="1CEDE9B5" w:rsidR="00FB326C" w:rsidRDefault="00703BFA" w:rsidP="00F374AE">
      <w:pPr>
        <w:rPr>
          <w:i/>
        </w:rPr>
      </w:pPr>
      <w:r>
        <w:rPr>
          <w:i/>
        </w:rPr>
        <w:t xml:space="preserve">2.1.9.2. </w:t>
      </w:r>
      <w:r w:rsidR="000B2228">
        <w:rPr>
          <w:i/>
        </w:rPr>
        <w:t>Forordningens indhold</w:t>
      </w:r>
    </w:p>
    <w:p w14:paraId="52EADC96" w14:textId="77777777" w:rsidR="008229DC" w:rsidRPr="002E41C2" w:rsidRDefault="008229DC" w:rsidP="008229DC">
      <w:pPr>
        <w:rPr>
          <w:rFonts w:cs="Arial"/>
          <w:kern w:val="36"/>
          <w:szCs w:val="21"/>
        </w:rPr>
      </w:pPr>
      <w:r>
        <w:rPr>
          <w:rFonts w:cs="Arial"/>
          <w:kern w:val="36"/>
          <w:szCs w:val="21"/>
        </w:rPr>
        <w:t xml:space="preserve">CRR II </w:t>
      </w:r>
      <w:r w:rsidRPr="002E41C2">
        <w:rPr>
          <w:rFonts w:cs="Arial"/>
          <w:kern w:val="36"/>
          <w:szCs w:val="21"/>
        </w:rPr>
        <w:t xml:space="preserve">implementerer tre nye standardmetoder for opgørelse af kapitalkrav til modpartsrisiko på baggrund af en Basel-standard. </w:t>
      </w:r>
    </w:p>
    <w:p w14:paraId="171D3E03" w14:textId="77777777" w:rsidR="008229DC" w:rsidRPr="002E41C2" w:rsidRDefault="008229DC" w:rsidP="008229DC">
      <w:pPr>
        <w:rPr>
          <w:rFonts w:cs="Arial"/>
          <w:kern w:val="36"/>
          <w:szCs w:val="21"/>
        </w:rPr>
      </w:pPr>
    </w:p>
    <w:p w14:paraId="57E0B28F" w14:textId="77777777" w:rsidR="008229DC" w:rsidRPr="002E41C2" w:rsidRDefault="008229DC" w:rsidP="008229DC">
      <w:pPr>
        <w:rPr>
          <w:rFonts w:cs="Arial"/>
          <w:kern w:val="36"/>
          <w:szCs w:val="21"/>
        </w:rPr>
      </w:pPr>
      <w:r w:rsidRPr="002E41C2">
        <w:rPr>
          <w:rFonts w:cs="Arial"/>
          <w:kern w:val="36"/>
          <w:szCs w:val="21"/>
        </w:rPr>
        <w:lastRenderedPageBreak/>
        <w:t>Modpartsrisiko vedrører risikoen for, at modparten i en derivattransaktion misligholder sine forpligtelser inden endelig afvikling af transaktionen. Derivater er et finansielt instrument, hvis værdi afhænger af værdien af et underliggende aktiv, f.eks. en aktie eller rente. Modpartsrisiko kan således medføre et tab for kreditinstituttet og</w:t>
      </w:r>
      <w:r>
        <w:rPr>
          <w:rFonts w:cs="Arial"/>
          <w:kern w:val="36"/>
          <w:szCs w:val="21"/>
        </w:rPr>
        <w:t xml:space="preserve"> tabets størrelse afhænger af udviklingen i værdien af det underliggende aktiv. </w:t>
      </w:r>
      <w:r w:rsidRPr="002E41C2">
        <w:rPr>
          <w:rFonts w:cs="Arial"/>
          <w:kern w:val="36"/>
          <w:szCs w:val="21"/>
        </w:rPr>
        <w:t xml:space="preserve"> </w:t>
      </w:r>
      <w:r>
        <w:rPr>
          <w:rFonts w:cs="Arial"/>
          <w:kern w:val="36"/>
          <w:szCs w:val="21"/>
        </w:rPr>
        <w:t xml:space="preserve">Modpartsrisikoen </w:t>
      </w:r>
      <w:r w:rsidRPr="002E41C2">
        <w:rPr>
          <w:rFonts w:cs="Arial"/>
          <w:kern w:val="36"/>
          <w:szCs w:val="21"/>
        </w:rPr>
        <w:t>skal derfor opgøres og afdækkes med kapital</w:t>
      </w:r>
      <w:r>
        <w:rPr>
          <w:rFonts w:cs="Arial"/>
          <w:kern w:val="36"/>
          <w:szCs w:val="21"/>
        </w:rPr>
        <w:t xml:space="preserve"> under kreditrisikoreglerne.</w:t>
      </w:r>
    </w:p>
    <w:p w14:paraId="622EFE00" w14:textId="77777777" w:rsidR="008229DC" w:rsidRPr="002E41C2" w:rsidRDefault="008229DC" w:rsidP="008229DC">
      <w:pPr>
        <w:rPr>
          <w:rFonts w:cs="Arial"/>
          <w:kern w:val="36"/>
          <w:szCs w:val="21"/>
        </w:rPr>
      </w:pPr>
    </w:p>
    <w:p w14:paraId="3FD32EFA" w14:textId="77777777" w:rsidR="008229DC" w:rsidRPr="002E41C2" w:rsidRDefault="008229DC" w:rsidP="008229DC">
      <w:pPr>
        <w:rPr>
          <w:rFonts w:cs="Arial"/>
          <w:kern w:val="36"/>
          <w:szCs w:val="21"/>
        </w:rPr>
      </w:pPr>
      <w:r>
        <w:rPr>
          <w:rFonts w:cs="Arial"/>
          <w:kern w:val="36"/>
          <w:szCs w:val="21"/>
        </w:rPr>
        <w:t xml:space="preserve">CRR II </w:t>
      </w:r>
      <w:r w:rsidRPr="002E41C2">
        <w:rPr>
          <w:rFonts w:cs="Arial"/>
          <w:kern w:val="36"/>
          <w:szCs w:val="21"/>
        </w:rPr>
        <w:t xml:space="preserve">indeholder tre nye standardmetoder: </w:t>
      </w:r>
    </w:p>
    <w:p w14:paraId="23BDF2A8" w14:textId="77777777" w:rsidR="008229DC" w:rsidRPr="002E41C2" w:rsidRDefault="008229DC" w:rsidP="008229DC">
      <w:pPr>
        <w:rPr>
          <w:rFonts w:cs="Arial"/>
          <w:kern w:val="36"/>
          <w:szCs w:val="21"/>
        </w:rPr>
      </w:pPr>
    </w:p>
    <w:p w14:paraId="4912D599" w14:textId="77777777" w:rsidR="008229DC" w:rsidRPr="002E41C2" w:rsidRDefault="008229DC" w:rsidP="008229DC">
      <w:pPr>
        <w:pStyle w:val="Opstilling-punkttegn"/>
        <w:numPr>
          <w:ilvl w:val="0"/>
          <w:numId w:val="0"/>
        </w:numPr>
        <w:ind w:left="360" w:hanging="360"/>
        <w:jc w:val="both"/>
      </w:pPr>
      <w:r w:rsidRPr="00AF4868">
        <w:rPr>
          <w:u w:val="single"/>
        </w:rPr>
        <w:t>Ny standardmetode (SA-CCR),</w:t>
      </w:r>
      <w:r w:rsidRPr="002E41C2">
        <w:t xml:space="preserve"> der er mere risikofølsom, men også mere kompleks.</w:t>
      </w:r>
    </w:p>
    <w:p w14:paraId="72991BC1" w14:textId="77777777" w:rsidR="008229DC" w:rsidRPr="002E41C2" w:rsidRDefault="008229DC" w:rsidP="008229DC">
      <w:pPr>
        <w:pStyle w:val="Opstilling-punkttegn"/>
        <w:numPr>
          <w:ilvl w:val="0"/>
          <w:numId w:val="0"/>
        </w:numPr>
        <w:ind w:left="360" w:hanging="360"/>
        <w:jc w:val="both"/>
      </w:pPr>
      <w:r w:rsidRPr="00AF4868">
        <w:rPr>
          <w:u w:val="single"/>
        </w:rPr>
        <w:t xml:space="preserve">Simpel udgave af den nye standardmetode (simpel SA-CCR), </w:t>
      </w:r>
      <w:r w:rsidRPr="002E41C2">
        <w:t>der kan anvendes af institutter, hvis balanceførte og ikke-balanceførte derivatforretninger er mindre end 10 pct. af instituttets samlede balance og 150 mio. euro.</w:t>
      </w:r>
    </w:p>
    <w:p w14:paraId="76CABEC2" w14:textId="77777777" w:rsidR="008229DC" w:rsidRPr="002E41C2" w:rsidRDefault="008229DC" w:rsidP="008229DC">
      <w:pPr>
        <w:pStyle w:val="Opstilling-punkttegn"/>
        <w:numPr>
          <w:ilvl w:val="0"/>
          <w:numId w:val="0"/>
        </w:numPr>
        <w:ind w:left="360" w:hanging="360"/>
        <w:jc w:val="both"/>
      </w:pPr>
      <w:r w:rsidRPr="00AF4868">
        <w:rPr>
          <w:u w:val="single"/>
        </w:rPr>
        <w:t xml:space="preserve">En ny udgave af den </w:t>
      </w:r>
      <w:r w:rsidRPr="00AF4868">
        <w:rPr>
          <w:rFonts w:cs="Arial"/>
          <w:kern w:val="36"/>
          <w:szCs w:val="21"/>
          <w:u w:val="single"/>
        </w:rPr>
        <w:t>oprindelige eksponeringsmetode</w:t>
      </w:r>
      <w:r w:rsidRPr="002E41C2">
        <w:rPr>
          <w:rFonts w:cs="Arial"/>
          <w:i/>
          <w:kern w:val="36"/>
          <w:szCs w:val="21"/>
        </w:rPr>
        <w:t>,</w:t>
      </w:r>
      <w:r w:rsidRPr="002E41C2">
        <w:rPr>
          <w:i/>
        </w:rPr>
        <w:t xml:space="preserve"> </w:t>
      </w:r>
      <w:r w:rsidRPr="002E41C2">
        <w:t>som er tilpasset SA-CCR, men mindre kompleks end simpel SA-CCR, og som kan anvendes af institutter, hvis balanceførte og ikke-balanceførte derivatforretninger er mindre end 5 pct. af instituttets samlede balance og 20 mio. euro.</w:t>
      </w:r>
    </w:p>
    <w:p w14:paraId="5B051E39" w14:textId="77777777" w:rsidR="008229DC" w:rsidRPr="002E41C2" w:rsidRDefault="008229DC" w:rsidP="008229DC">
      <w:pPr>
        <w:rPr>
          <w:rFonts w:cs="Arial"/>
          <w:kern w:val="36"/>
          <w:szCs w:val="21"/>
        </w:rPr>
      </w:pPr>
    </w:p>
    <w:p w14:paraId="6E655363" w14:textId="77777777" w:rsidR="00FB326C" w:rsidRDefault="008229DC" w:rsidP="008229DC">
      <w:pPr>
        <w:rPr>
          <w:rFonts w:eastAsia="Calibri"/>
        </w:rPr>
      </w:pPr>
      <w:r w:rsidRPr="002E41C2">
        <w:rPr>
          <w:rFonts w:cs="Arial"/>
          <w:kern w:val="36"/>
          <w:szCs w:val="21"/>
        </w:rPr>
        <w:t xml:space="preserve">De alternative metoder til SA-CCR skal ses i lyset af, at denne metode kan være byrdefuld at implementere og anvende for institutter med et mindre </w:t>
      </w:r>
      <w:r w:rsidRPr="002E41C2">
        <w:rPr>
          <w:rFonts w:eastAsia="Calibri"/>
        </w:rPr>
        <w:t>omfang af derivatforretninger. Hvis en af de to simplere metoder anvendes, vil kapitalkravet blive opgjort mere konservativt, og dermed højere end ved SA-CCR.</w:t>
      </w:r>
    </w:p>
    <w:p w14:paraId="403CDF45" w14:textId="77777777" w:rsidR="004A6B57" w:rsidRDefault="004A6B57" w:rsidP="008229DC">
      <w:pPr>
        <w:rPr>
          <w:rFonts w:eastAsia="Calibri"/>
        </w:rPr>
      </w:pPr>
    </w:p>
    <w:p w14:paraId="7A4E3FE4" w14:textId="4047049A" w:rsidR="004A6B57" w:rsidRDefault="004A6B57" w:rsidP="004A6B57">
      <w:pPr>
        <w:rPr>
          <w:rFonts w:eastAsiaTheme="majorEastAsia"/>
          <w:i/>
        </w:rPr>
      </w:pPr>
      <w:r>
        <w:rPr>
          <w:rFonts w:eastAsiaTheme="majorEastAsia"/>
          <w:i/>
        </w:rPr>
        <w:t xml:space="preserve">2.1.9.3. </w:t>
      </w:r>
      <w:r w:rsidR="00A21BE7">
        <w:rPr>
          <w:rFonts w:eastAsiaTheme="majorEastAsia"/>
          <w:i/>
        </w:rPr>
        <w:t>Erhvervsministeriets overvejelser og den foreslåede ordning</w:t>
      </w:r>
    </w:p>
    <w:p w14:paraId="26F60843" w14:textId="01EADB86" w:rsidR="004A6B57" w:rsidRDefault="004A6B57" w:rsidP="004A6B57">
      <w:pPr>
        <w:rPr>
          <w:rFonts w:eastAsiaTheme="majorEastAsia"/>
        </w:rPr>
      </w:pPr>
      <w:r>
        <w:rPr>
          <w:rFonts w:eastAsiaTheme="majorEastAsia"/>
        </w:rPr>
        <w:t xml:space="preserve">Erhvervsministeriet finder det hensigtsmæssigt, at der </w:t>
      </w:r>
      <w:r w:rsidR="00B05606">
        <w:rPr>
          <w:rFonts w:eastAsiaTheme="majorEastAsia"/>
        </w:rPr>
        <w:t>i Grønland</w:t>
      </w:r>
      <w:r>
        <w:rPr>
          <w:rFonts w:eastAsiaTheme="majorEastAsia"/>
        </w:rPr>
        <w:t xml:space="preserve"> gælder regler svarende til reglerne i Danmark på det finansielle område. </w:t>
      </w:r>
    </w:p>
    <w:p w14:paraId="0A315F52" w14:textId="3CDBC226" w:rsidR="004A6B57" w:rsidRPr="00374D6B" w:rsidRDefault="004A6B57" w:rsidP="004A6B57">
      <w:pPr>
        <w:rPr>
          <w:rFonts w:eastAsiaTheme="majorEastAsia"/>
          <w:i/>
        </w:rPr>
      </w:pPr>
    </w:p>
    <w:p w14:paraId="232275ED" w14:textId="2B11BE68" w:rsidR="004A6B57" w:rsidRDefault="004A6B57" w:rsidP="008229DC">
      <w:pPr>
        <w:rPr>
          <w:rFonts w:eastAsia="Calibri"/>
        </w:rPr>
      </w:pPr>
      <w:r>
        <w:rPr>
          <w:rFonts w:eastAsiaTheme="majorEastAsia"/>
        </w:rPr>
        <w:t xml:space="preserve">Det foreslås </w:t>
      </w:r>
      <w:r w:rsidR="00A35F8F">
        <w:rPr>
          <w:rFonts w:eastAsiaTheme="majorEastAsia"/>
        </w:rPr>
        <w:t xml:space="preserve">derfor </w:t>
      </w:r>
      <w:r>
        <w:rPr>
          <w:rFonts w:eastAsiaTheme="majorEastAsia"/>
        </w:rPr>
        <w:t xml:space="preserve">at sætte reglerne i CRR II i kraft for </w:t>
      </w:r>
      <w:r w:rsidR="00AF4868">
        <w:rPr>
          <w:rFonts w:eastAsiaTheme="majorEastAsia"/>
        </w:rPr>
        <w:t>Grønland</w:t>
      </w:r>
      <w:r>
        <w:rPr>
          <w:rFonts w:eastAsiaTheme="majorEastAsia"/>
        </w:rPr>
        <w:t>, som beskrevet i afsnit 2.1.9.2 ovenfor.</w:t>
      </w:r>
    </w:p>
    <w:p w14:paraId="7C12D438" w14:textId="77777777" w:rsidR="008229DC" w:rsidRPr="00FB326C" w:rsidRDefault="008229DC" w:rsidP="008229DC"/>
    <w:p w14:paraId="7964615A" w14:textId="77777777" w:rsidR="00BF3D14" w:rsidRDefault="00FA0143" w:rsidP="00FA0143">
      <w:pPr>
        <w:pStyle w:val="Overskrift2"/>
        <w:rPr>
          <w:rFonts w:eastAsia="Calibri"/>
          <w:sz w:val="24"/>
        </w:rPr>
      </w:pPr>
      <w:bookmarkStart w:id="160" w:name="_Ref84075212"/>
      <w:r w:rsidRPr="00FA0143">
        <w:rPr>
          <w:rFonts w:eastAsia="Calibri"/>
          <w:sz w:val="24"/>
        </w:rPr>
        <w:t>2.</w:t>
      </w:r>
      <w:r w:rsidR="008342A3">
        <w:rPr>
          <w:rFonts w:eastAsia="Calibri"/>
          <w:sz w:val="24"/>
        </w:rPr>
        <w:t>1.</w:t>
      </w:r>
      <w:r w:rsidRPr="00FA0143">
        <w:rPr>
          <w:rFonts w:eastAsia="Calibri"/>
          <w:sz w:val="24"/>
        </w:rPr>
        <w:t>10</w:t>
      </w:r>
      <w:r w:rsidR="00703BFA">
        <w:rPr>
          <w:rFonts w:eastAsia="Calibri"/>
          <w:sz w:val="24"/>
        </w:rPr>
        <w:t>.</w:t>
      </w:r>
      <w:r w:rsidRPr="00FA0143">
        <w:rPr>
          <w:rFonts w:eastAsia="Calibri"/>
          <w:sz w:val="24"/>
        </w:rPr>
        <w:t xml:space="preserve"> Eksponeringer mod centrale modparter</w:t>
      </w:r>
      <w:bookmarkEnd w:id="160"/>
    </w:p>
    <w:p w14:paraId="1AF7A106" w14:textId="77777777" w:rsidR="00C77564" w:rsidRDefault="00703BFA" w:rsidP="00C77564">
      <w:pPr>
        <w:rPr>
          <w:rFonts w:eastAsiaTheme="majorEastAsia"/>
          <w:i/>
        </w:rPr>
      </w:pPr>
      <w:r>
        <w:rPr>
          <w:rFonts w:eastAsiaTheme="majorEastAsia"/>
          <w:i/>
        </w:rPr>
        <w:t xml:space="preserve">2.1.10.1. </w:t>
      </w:r>
      <w:r w:rsidR="00C77564">
        <w:rPr>
          <w:rFonts w:eastAsiaTheme="majorEastAsia"/>
          <w:i/>
        </w:rPr>
        <w:t>Gældende ret</w:t>
      </w:r>
    </w:p>
    <w:p w14:paraId="28E9293D" w14:textId="38E0E778" w:rsidR="00733C5F" w:rsidRPr="00733C5F" w:rsidRDefault="00733C5F" w:rsidP="00733C5F">
      <w:pPr>
        <w:rPr>
          <w:rFonts w:eastAsiaTheme="majorEastAsia"/>
        </w:rPr>
      </w:pPr>
      <w:r w:rsidRPr="00733C5F">
        <w:rPr>
          <w:rFonts w:eastAsiaTheme="majorEastAsia"/>
        </w:rPr>
        <w:t>Et kreditinstitut, der er eksponeret over</w:t>
      </w:r>
      <w:r w:rsidR="00A35F8F">
        <w:rPr>
          <w:rFonts w:eastAsiaTheme="majorEastAsia"/>
        </w:rPr>
        <w:t xml:space="preserve"> </w:t>
      </w:r>
      <w:r w:rsidRPr="00733C5F">
        <w:rPr>
          <w:rFonts w:eastAsiaTheme="majorEastAsia"/>
        </w:rPr>
        <w:t>for en CCP, skal beregne kapitalgrundlagskrav til dækning af denne eksponering efter bestemmelserne om kapitalgrundlagskrav vedrørende eksponeringer mod en central modpart.</w:t>
      </w:r>
      <w:r w:rsidR="00E572DF">
        <w:rPr>
          <w:rFonts w:eastAsiaTheme="majorEastAsia"/>
        </w:rPr>
        <w:t xml:space="preserve"> Det følger af </w:t>
      </w:r>
      <w:r w:rsidR="00A43C98">
        <w:t xml:space="preserve">tredje del, afsnit 2, kapitel 6, </w:t>
      </w:r>
      <w:r w:rsidR="00A43C98" w:rsidRPr="00A35F8F">
        <w:rPr>
          <w:szCs w:val="24"/>
        </w:rPr>
        <w:t xml:space="preserve">afdeling 9, </w:t>
      </w:r>
      <w:r w:rsidR="00A43C98" w:rsidRPr="00D73CD1">
        <w:rPr>
          <w:rStyle w:val="Overskrift2Tegn"/>
          <w:b w:val="0"/>
          <w:sz w:val="24"/>
          <w:szCs w:val="24"/>
        </w:rPr>
        <w:t xml:space="preserve">i CRR, som sat i kraft for Grønland </w:t>
      </w:r>
      <w:r w:rsidR="00A43C98" w:rsidRPr="00A35F8F">
        <w:rPr>
          <w:szCs w:val="24"/>
        </w:rPr>
        <w:t>v</w:t>
      </w:r>
      <w:r w:rsidR="00A43C98">
        <w:t>ed lov om lov for Grønland om kapitalkrav og tilsynsmæssige krav for kreditinstitutter og investeringsselskaber</w:t>
      </w:r>
      <w:r w:rsidR="00520BE9">
        <w:t>.</w:t>
      </w:r>
    </w:p>
    <w:p w14:paraId="13DFDCA2" w14:textId="77777777" w:rsidR="00733C5F" w:rsidRPr="00733C5F" w:rsidRDefault="00733C5F" w:rsidP="00733C5F">
      <w:pPr>
        <w:rPr>
          <w:rFonts w:eastAsiaTheme="majorEastAsia"/>
        </w:rPr>
      </w:pPr>
    </w:p>
    <w:p w14:paraId="0E1FF3AB" w14:textId="77777777" w:rsidR="00733C5F" w:rsidRPr="00733C5F" w:rsidRDefault="00733C5F" w:rsidP="00733C5F">
      <w:pPr>
        <w:rPr>
          <w:rFonts w:eastAsiaTheme="majorEastAsia"/>
        </w:rPr>
      </w:pPr>
      <w:r w:rsidRPr="00733C5F">
        <w:rPr>
          <w:rFonts w:eastAsiaTheme="majorEastAsia"/>
        </w:rPr>
        <w:lastRenderedPageBreak/>
        <w:t xml:space="preserve">For eksponeringer imod såkaldte »kvalificerede« </w:t>
      </w:r>
      <w:proofErr w:type="spellStart"/>
      <w:r w:rsidRPr="00733C5F">
        <w:rPr>
          <w:rFonts w:eastAsiaTheme="majorEastAsia"/>
        </w:rPr>
        <w:t>CCP’er</w:t>
      </w:r>
      <w:proofErr w:type="spellEnd"/>
      <w:r w:rsidRPr="00733C5F">
        <w:rPr>
          <w:rFonts w:eastAsiaTheme="majorEastAsia"/>
        </w:rPr>
        <w:t xml:space="preserve"> (</w:t>
      </w:r>
      <w:proofErr w:type="spellStart"/>
      <w:r w:rsidRPr="00733C5F">
        <w:rPr>
          <w:rFonts w:eastAsiaTheme="majorEastAsia"/>
        </w:rPr>
        <w:t>QCCP’er</w:t>
      </w:r>
      <w:proofErr w:type="spellEnd"/>
      <w:r w:rsidRPr="00733C5F">
        <w:rPr>
          <w:rFonts w:eastAsiaTheme="majorEastAsia"/>
        </w:rPr>
        <w:t>)</w:t>
      </w:r>
      <w:r>
        <w:rPr>
          <w:rFonts w:eastAsiaTheme="majorEastAsia"/>
        </w:rPr>
        <w:t xml:space="preserve"> kan et institut benytte en sær</w:t>
      </w:r>
      <w:r w:rsidRPr="00733C5F">
        <w:rPr>
          <w:rFonts w:eastAsiaTheme="majorEastAsia"/>
        </w:rPr>
        <w:t>lig gunstig beregningsmetode. Denne metode hviler på en opdeling af instituttets eksponering i handelseksponering og eksponering mod bidrag til misligholdelsesfonden. Handelseksponeringen er genstand for betydeligt mindre kapitalgrundlagskrav end eksp</w:t>
      </w:r>
      <w:r>
        <w:rPr>
          <w:rFonts w:eastAsiaTheme="majorEastAsia"/>
        </w:rPr>
        <w:t>oneringen mod bidrag til mislig</w:t>
      </w:r>
      <w:r w:rsidRPr="00733C5F">
        <w:rPr>
          <w:rFonts w:eastAsiaTheme="majorEastAsia"/>
        </w:rPr>
        <w:t xml:space="preserve">holdelsesfonden. Det skyldes, at en CCP kan anvende et medlems bidrag til misligholdelsesfonden til at dække tab på et andet medlem. </w:t>
      </w:r>
    </w:p>
    <w:p w14:paraId="7AD39F2A" w14:textId="77777777" w:rsidR="00733C5F" w:rsidRPr="00733C5F" w:rsidRDefault="00733C5F" w:rsidP="00733C5F">
      <w:pPr>
        <w:rPr>
          <w:rFonts w:eastAsiaTheme="majorEastAsia"/>
        </w:rPr>
      </w:pPr>
    </w:p>
    <w:p w14:paraId="238E095E" w14:textId="77777777" w:rsidR="00733C5F" w:rsidRDefault="00733C5F" w:rsidP="00733C5F">
      <w:pPr>
        <w:rPr>
          <w:rFonts w:eastAsiaTheme="majorEastAsia"/>
        </w:rPr>
      </w:pPr>
      <w:r w:rsidRPr="00733C5F">
        <w:rPr>
          <w:rFonts w:eastAsiaTheme="majorEastAsia"/>
        </w:rPr>
        <w:t xml:space="preserve">Er instituttet eksponeret imod en CCP, der ikke er en kvalificeret CCP, vil instituttets kapital-grundlagskrav til dækning af handelseksponeringer mod </w:t>
      </w:r>
      <w:proofErr w:type="spellStart"/>
      <w:r w:rsidRPr="00733C5F">
        <w:rPr>
          <w:rFonts w:eastAsiaTheme="majorEastAsia"/>
        </w:rPr>
        <w:t>CCP’en</w:t>
      </w:r>
      <w:proofErr w:type="spellEnd"/>
      <w:r w:rsidRPr="00733C5F">
        <w:rPr>
          <w:rFonts w:eastAsiaTheme="majorEastAsia"/>
        </w:rPr>
        <w:t xml:space="preserve"> være genstand for de samme krav, som gælder for eksponeringer mod modparter i bilaterale handler og inst</w:t>
      </w:r>
      <w:r>
        <w:rPr>
          <w:rFonts w:eastAsiaTheme="majorEastAsia"/>
        </w:rPr>
        <w:t>ituttets kapitalgrund</w:t>
      </w:r>
      <w:r w:rsidRPr="00733C5F">
        <w:rPr>
          <w:rFonts w:eastAsiaTheme="majorEastAsia"/>
        </w:rPr>
        <w:t>lagskrav til dækning af eksponeringer mod misligholdelsesfonden vil være omfattet af høje krav til egne midler.</w:t>
      </w:r>
    </w:p>
    <w:p w14:paraId="1B0A1F69" w14:textId="77777777" w:rsidR="00733C5F" w:rsidRPr="00733C5F" w:rsidRDefault="00733C5F" w:rsidP="00733C5F">
      <w:pPr>
        <w:rPr>
          <w:rFonts w:eastAsiaTheme="majorEastAsia"/>
        </w:rPr>
      </w:pPr>
    </w:p>
    <w:p w14:paraId="6E63C4D3" w14:textId="6E2B8B09" w:rsidR="00C77564" w:rsidRDefault="00703BFA" w:rsidP="00C77564">
      <w:pPr>
        <w:rPr>
          <w:rFonts w:eastAsiaTheme="majorEastAsia"/>
          <w:i/>
        </w:rPr>
      </w:pPr>
      <w:r>
        <w:rPr>
          <w:rFonts w:eastAsiaTheme="majorEastAsia"/>
          <w:i/>
        </w:rPr>
        <w:t xml:space="preserve">2.1.10.2. </w:t>
      </w:r>
      <w:r w:rsidR="000B2228">
        <w:rPr>
          <w:rFonts w:eastAsiaTheme="majorEastAsia"/>
          <w:i/>
        </w:rPr>
        <w:t>Forordningens indhold</w:t>
      </w:r>
    </w:p>
    <w:p w14:paraId="0482D003" w14:textId="29F44F71" w:rsidR="00C77564" w:rsidRDefault="00C77564" w:rsidP="00C77564">
      <w:pPr>
        <w:rPr>
          <w:rFonts w:ascii="UICTFontTextStyleBody" w:hAnsi="UICTFontTextStyleBody"/>
        </w:rPr>
      </w:pPr>
      <w:r>
        <w:rPr>
          <w:rFonts w:eastAsiaTheme="majorEastAsia"/>
        </w:rPr>
        <w:t xml:space="preserve">CRR II </w:t>
      </w:r>
      <w:r w:rsidRPr="002E41C2">
        <w:rPr>
          <w:rFonts w:eastAsiaTheme="majorEastAsia"/>
        </w:rPr>
        <w:t xml:space="preserve">justerer reglerne om opgørelse af kapitalkrav for institutternes eksponering over for centrale modparter, </w:t>
      </w:r>
      <w:proofErr w:type="spellStart"/>
      <w:r w:rsidRPr="002E41C2">
        <w:rPr>
          <w:rFonts w:eastAsiaTheme="majorEastAsia"/>
        </w:rPr>
        <w:t>CCP’er</w:t>
      </w:r>
      <w:proofErr w:type="spellEnd"/>
      <w:r w:rsidRPr="002E41C2">
        <w:rPr>
          <w:rFonts w:eastAsiaTheme="majorEastAsia"/>
        </w:rPr>
        <w:t xml:space="preserve">. En central modpart agerer mellemled mellem parterne i en værdipapirhandel ved at agere modpart mod sælger og modpart mod køber. Forslaget implementerer en </w:t>
      </w:r>
      <w:r w:rsidRPr="002E41C2">
        <w:rPr>
          <w:rFonts w:ascii="UICTFontTextStyleBody" w:hAnsi="UICTFontTextStyleBody"/>
        </w:rPr>
        <w:t>Basel III-standard.</w:t>
      </w:r>
    </w:p>
    <w:p w14:paraId="2972B239" w14:textId="77777777" w:rsidR="004A6B57" w:rsidRDefault="004A6B57" w:rsidP="00C77564">
      <w:pPr>
        <w:rPr>
          <w:rFonts w:ascii="UICTFontTextStyleBody" w:hAnsi="UICTFontTextStyleBody"/>
        </w:rPr>
      </w:pPr>
    </w:p>
    <w:p w14:paraId="302BF1DA" w14:textId="0CF08A5E" w:rsidR="004A6B57" w:rsidRDefault="004A6B57" w:rsidP="004A6B57">
      <w:pPr>
        <w:rPr>
          <w:rFonts w:eastAsiaTheme="majorEastAsia"/>
          <w:i/>
        </w:rPr>
      </w:pPr>
      <w:r>
        <w:rPr>
          <w:rFonts w:eastAsiaTheme="majorEastAsia"/>
          <w:i/>
        </w:rPr>
        <w:t xml:space="preserve">2.1.10.3. </w:t>
      </w:r>
      <w:r w:rsidR="00877C1A">
        <w:rPr>
          <w:rFonts w:eastAsiaTheme="majorEastAsia"/>
          <w:i/>
        </w:rPr>
        <w:t>Erhvervsministeriets overvejelser og den foreslåede ordning</w:t>
      </w:r>
    </w:p>
    <w:p w14:paraId="20E9F411" w14:textId="1B88FF8C" w:rsidR="004A6B57" w:rsidRDefault="004A6B57" w:rsidP="004A6B57">
      <w:pPr>
        <w:rPr>
          <w:rFonts w:eastAsiaTheme="majorEastAsia"/>
        </w:rPr>
      </w:pPr>
      <w:r>
        <w:rPr>
          <w:rFonts w:eastAsiaTheme="majorEastAsia"/>
        </w:rPr>
        <w:t xml:space="preserve">Erhvervsministeriet finder det hensigtsmæssigt, at der </w:t>
      </w:r>
      <w:r w:rsidR="00B05606">
        <w:rPr>
          <w:rFonts w:eastAsiaTheme="majorEastAsia"/>
        </w:rPr>
        <w:t>i Grønland</w:t>
      </w:r>
      <w:r>
        <w:rPr>
          <w:rFonts w:eastAsiaTheme="majorEastAsia"/>
        </w:rPr>
        <w:t xml:space="preserve"> gælder regler svarende til reglerne i Danmark på det finansielle område. </w:t>
      </w:r>
    </w:p>
    <w:p w14:paraId="509EE6AD" w14:textId="51BC3561" w:rsidR="004A6B57" w:rsidRPr="00374D6B" w:rsidRDefault="004A6B57" w:rsidP="004A6B57">
      <w:pPr>
        <w:rPr>
          <w:rFonts w:eastAsiaTheme="majorEastAsia"/>
          <w:i/>
        </w:rPr>
      </w:pPr>
    </w:p>
    <w:p w14:paraId="7B044CAB" w14:textId="64656735" w:rsidR="004A6B57" w:rsidRPr="0050355B" w:rsidRDefault="004A6B57" w:rsidP="00C77564">
      <w:pPr>
        <w:rPr>
          <w:rFonts w:eastAsia="Calibri"/>
        </w:rPr>
      </w:pPr>
      <w:r>
        <w:rPr>
          <w:rFonts w:eastAsiaTheme="majorEastAsia"/>
        </w:rPr>
        <w:t xml:space="preserve">Det foreslås </w:t>
      </w:r>
      <w:r w:rsidR="00A35F8F">
        <w:rPr>
          <w:rFonts w:eastAsiaTheme="majorEastAsia"/>
        </w:rPr>
        <w:t xml:space="preserve">derfor </w:t>
      </w:r>
      <w:r>
        <w:rPr>
          <w:rFonts w:eastAsiaTheme="majorEastAsia"/>
        </w:rPr>
        <w:t xml:space="preserve">at sætte reglerne i CRR II i kraft for </w:t>
      </w:r>
      <w:r w:rsidR="00AF4868">
        <w:rPr>
          <w:rFonts w:eastAsiaTheme="majorEastAsia"/>
        </w:rPr>
        <w:t>Grønland</w:t>
      </w:r>
      <w:r>
        <w:rPr>
          <w:rFonts w:eastAsiaTheme="majorEastAsia"/>
        </w:rPr>
        <w:t>, som beskrevet i afsnit 2.1.10.2 ovenfor.</w:t>
      </w:r>
    </w:p>
    <w:p w14:paraId="6EFE2372" w14:textId="77777777" w:rsidR="00C77564" w:rsidRPr="00C77564" w:rsidRDefault="00C77564" w:rsidP="00C77564"/>
    <w:p w14:paraId="26A2B8D6" w14:textId="77777777" w:rsidR="00FA0143" w:rsidRPr="00FA0143" w:rsidRDefault="00FA0143" w:rsidP="00FA0143">
      <w:pPr>
        <w:pStyle w:val="Overskrift2"/>
        <w:rPr>
          <w:sz w:val="24"/>
        </w:rPr>
      </w:pPr>
      <w:bookmarkStart w:id="161" w:name="_Ref84075216"/>
      <w:r w:rsidRPr="00FA0143">
        <w:rPr>
          <w:rFonts w:eastAsia="Calibri"/>
          <w:sz w:val="24"/>
        </w:rPr>
        <w:t>2.1</w:t>
      </w:r>
      <w:r w:rsidR="008342A3">
        <w:rPr>
          <w:rFonts w:eastAsia="Calibri"/>
          <w:sz w:val="24"/>
        </w:rPr>
        <w:t>.1</w:t>
      </w:r>
      <w:r w:rsidRPr="00FA0143">
        <w:rPr>
          <w:rFonts w:eastAsia="Calibri"/>
          <w:sz w:val="24"/>
        </w:rPr>
        <w:t>1</w:t>
      </w:r>
      <w:r w:rsidR="00703BFA">
        <w:rPr>
          <w:rFonts w:eastAsia="Calibri"/>
          <w:sz w:val="24"/>
        </w:rPr>
        <w:t>.</w:t>
      </w:r>
      <w:r w:rsidRPr="00FA0143">
        <w:rPr>
          <w:rFonts w:eastAsia="Calibri"/>
          <w:sz w:val="24"/>
        </w:rPr>
        <w:t xml:space="preserve"> Eksponeringer mod kollektive investeringsordninger</w:t>
      </w:r>
      <w:bookmarkEnd w:id="161"/>
    </w:p>
    <w:p w14:paraId="4B99BD49" w14:textId="77777777" w:rsidR="00242727" w:rsidRDefault="00703BFA" w:rsidP="00242727">
      <w:pPr>
        <w:rPr>
          <w:i/>
        </w:rPr>
      </w:pPr>
      <w:r>
        <w:rPr>
          <w:i/>
        </w:rPr>
        <w:t xml:space="preserve">2.1.11.1. </w:t>
      </w:r>
      <w:r w:rsidR="00242727">
        <w:rPr>
          <w:i/>
        </w:rPr>
        <w:t>Gældende ret</w:t>
      </w:r>
    </w:p>
    <w:p w14:paraId="63FF87AA" w14:textId="0AC6F976" w:rsidR="00795465" w:rsidRPr="00624BB9" w:rsidRDefault="00795465" w:rsidP="00242727">
      <w:pPr>
        <w:rPr>
          <w:szCs w:val="24"/>
        </w:rPr>
      </w:pPr>
      <w:r w:rsidRPr="00795465">
        <w:t>Kapitalgrundlagskravene til positionsrisici i instituttets handelsbe</w:t>
      </w:r>
      <w:r>
        <w:t>holdning omfatter kapitalgrundl</w:t>
      </w:r>
      <w:r w:rsidRPr="00795465">
        <w:t>agskrav til både de generelle og de specifikke risici vedrørende instituttets positioner i gælds- og aktieinstrumenter samt positioner i kollektive investeringsordninger.</w:t>
      </w:r>
      <w:r w:rsidR="00520BE9">
        <w:t xml:space="preserve"> </w:t>
      </w:r>
      <w:r w:rsidR="00520BE9" w:rsidRPr="00624BB9">
        <w:rPr>
          <w:rFonts w:eastAsiaTheme="majorEastAsia"/>
          <w:szCs w:val="24"/>
        </w:rPr>
        <w:t xml:space="preserve">Det følger af </w:t>
      </w:r>
      <w:r w:rsidR="00520BE9" w:rsidRPr="00624BB9">
        <w:rPr>
          <w:szCs w:val="24"/>
        </w:rPr>
        <w:t xml:space="preserve">tredje del, afsnit IV, kapitel 2, afdeling 6 </w:t>
      </w:r>
      <w:r w:rsidR="00520BE9" w:rsidRPr="00D73CD1">
        <w:rPr>
          <w:rStyle w:val="Overskrift2Tegn"/>
          <w:b w:val="0"/>
          <w:sz w:val="24"/>
          <w:szCs w:val="24"/>
        </w:rPr>
        <w:t xml:space="preserve">i CRR, som sat i kraft for Grønland </w:t>
      </w:r>
      <w:r w:rsidR="00520BE9" w:rsidRPr="00624BB9">
        <w:rPr>
          <w:szCs w:val="24"/>
        </w:rPr>
        <w:t>ved lov om lov for Grønland om kapitalkrav og tilsynsmæssige krav for kreditinstitutter og investeringsselskaber.</w:t>
      </w:r>
    </w:p>
    <w:p w14:paraId="5D045F0C" w14:textId="77777777" w:rsidR="00795465" w:rsidRDefault="00795465" w:rsidP="00242727"/>
    <w:p w14:paraId="0BBF247B" w14:textId="77777777" w:rsidR="00795465" w:rsidRDefault="00795465" w:rsidP="00795465">
      <w:r>
        <w:lastRenderedPageBreak/>
        <w:t>Generel risiko omfatter risikoen for en kursændring på instrumentet som følge af større bevægelser på markedet for instrumentet, der ikke vedrører særlige forhold ved de enkelte instrumenter. Specifik risiko omfatter risikoen for en kursændring af et instrument på grund af faktorer, der står i forbindelse med udstederen af instrumentet.</w:t>
      </w:r>
    </w:p>
    <w:p w14:paraId="3EE74359" w14:textId="77777777" w:rsidR="00795465" w:rsidRDefault="00795465" w:rsidP="00795465"/>
    <w:p w14:paraId="490F7DCE" w14:textId="77777777" w:rsidR="00795465" w:rsidRDefault="00795465" w:rsidP="00795465">
      <w:r>
        <w:t>Ved anvendelse af standardmetoden opgøres kapitalgrundlagskravene til positionsrisici på baggrund af nettopositionerne.</w:t>
      </w:r>
    </w:p>
    <w:p w14:paraId="725A24D2" w14:textId="77777777" w:rsidR="00795465" w:rsidRPr="00795465" w:rsidRDefault="00795465" w:rsidP="00795465"/>
    <w:p w14:paraId="07437617" w14:textId="1781C0A6" w:rsidR="00242727" w:rsidRDefault="00703BFA" w:rsidP="00242727">
      <w:pPr>
        <w:rPr>
          <w:i/>
        </w:rPr>
      </w:pPr>
      <w:r>
        <w:rPr>
          <w:i/>
        </w:rPr>
        <w:t xml:space="preserve">2.1.11.2. </w:t>
      </w:r>
      <w:r w:rsidR="000B2228">
        <w:rPr>
          <w:i/>
        </w:rPr>
        <w:t>Forordningens indhold</w:t>
      </w:r>
    </w:p>
    <w:p w14:paraId="4216161D" w14:textId="77777777" w:rsidR="00242727" w:rsidRDefault="00242727" w:rsidP="00242727">
      <w:r>
        <w:t>CRR II</w:t>
      </w:r>
      <w:r w:rsidRPr="0050355B">
        <w:t xml:space="preserve"> justerer risikovægtningen af eksponeringer (i form af andele eller aktier) mod kollektive investeringsordninger (CIU), på baggrund af en standard fra Basel-Komitéen. Ændrin</w:t>
      </w:r>
      <w:r>
        <w:t>gerne har til formål at gøre be</w:t>
      </w:r>
      <w:r w:rsidRPr="0050355B">
        <w:t>handlingen af disse eksponeringer mere risikofølsom og internationalt konsistent.</w:t>
      </w:r>
      <w:r w:rsidR="007102E2">
        <w:t xml:space="preserve"> </w:t>
      </w:r>
    </w:p>
    <w:p w14:paraId="645B347E" w14:textId="77777777" w:rsidR="004A6B57" w:rsidRDefault="004A6B57" w:rsidP="00242727"/>
    <w:p w14:paraId="19F9BD70" w14:textId="0DE32E5F" w:rsidR="004A6B57" w:rsidRDefault="004A6B57" w:rsidP="004A6B57">
      <w:pPr>
        <w:rPr>
          <w:rFonts w:eastAsiaTheme="majorEastAsia"/>
          <w:i/>
        </w:rPr>
      </w:pPr>
      <w:r>
        <w:rPr>
          <w:rFonts w:eastAsiaTheme="majorEastAsia"/>
          <w:i/>
        </w:rPr>
        <w:t xml:space="preserve">2.1.11.3. </w:t>
      </w:r>
      <w:r w:rsidR="00520BE9" w:rsidRPr="00520BE9">
        <w:rPr>
          <w:rFonts w:eastAsiaTheme="majorEastAsia"/>
          <w:i/>
        </w:rPr>
        <w:t>Erhvervsministeriets overvejelser og den foreslåede ordning</w:t>
      </w:r>
    </w:p>
    <w:p w14:paraId="1CE5283D" w14:textId="5D2147FF" w:rsidR="004A6B57" w:rsidRDefault="004A6B57" w:rsidP="004A6B57">
      <w:pPr>
        <w:rPr>
          <w:rFonts w:eastAsiaTheme="majorEastAsia"/>
        </w:rPr>
      </w:pPr>
      <w:r>
        <w:rPr>
          <w:rFonts w:eastAsiaTheme="majorEastAsia"/>
        </w:rPr>
        <w:t xml:space="preserve">Erhvervsministeriet finder det hensigtsmæssigt, at der </w:t>
      </w:r>
      <w:r w:rsidR="00B05606">
        <w:rPr>
          <w:rFonts w:eastAsiaTheme="majorEastAsia"/>
        </w:rPr>
        <w:t>i Grønland</w:t>
      </w:r>
      <w:r>
        <w:rPr>
          <w:rFonts w:eastAsiaTheme="majorEastAsia"/>
        </w:rPr>
        <w:t xml:space="preserve"> gælder regler svarende til reglerne i Danmark på det finansielle område. </w:t>
      </w:r>
    </w:p>
    <w:p w14:paraId="1E4568A1" w14:textId="77777777" w:rsidR="004A6B57" w:rsidRPr="00374D6B" w:rsidRDefault="004A6B57" w:rsidP="004A6B57">
      <w:pPr>
        <w:rPr>
          <w:rFonts w:eastAsiaTheme="majorEastAsia"/>
        </w:rPr>
      </w:pPr>
    </w:p>
    <w:p w14:paraId="0C869DBD" w14:textId="7B2C178E" w:rsidR="004A6B57" w:rsidRPr="0050355B" w:rsidRDefault="004A6B57" w:rsidP="00242727">
      <w:r>
        <w:rPr>
          <w:rFonts w:eastAsiaTheme="majorEastAsia"/>
        </w:rPr>
        <w:t xml:space="preserve">Det foreslås </w:t>
      </w:r>
      <w:r w:rsidR="00624BB9">
        <w:rPr>
          <w:rFonts w:eastAsiaTheme="majorEastAsia"/>
        </w:rPr>
        <w:t xml:space="preserve">derfor </w:t>
      </w:r>
      <w:r>
        <w:rPr>
          <w:rFonts w:eastAsiaTheme="majorEastAsia"/>
        </w:rPr>
        <w:t xml:space="preserve">at sætte reglerne i CRR II i kraft for </w:t>
      </w:r>
      <w:r w:rsidR="00AF4868">
        <w:rPr>
          <w:rFonts w:eastAsiaTheme="majorEastAsia"/>
        </w:rPr>
        <w:t>Grønland</w:t>
      </w:r>
      <w:r>
        <w:rPr>
          <w:rFonts w:eastAsiaTheme="majorEastAsia"/>
        </w:rPr>
        <w:t>, som beskrevet i afsnit 2.1.11.2 ovenfor.</w:t>
      </w:r>
    </w:p>
    <w:p w14:paraId="235E0A1E" w14:textId="77777777" w:rsidR="00CA4EB5" w:rsidRDefault="00CA4EB5" w:rsidP="00A456AA">
      <w:pPr>
        <w:rPr>
          <w:rFonts w:cs="Times New Roman"/>
          <w:szCs w:val="24"/>
        </w:rPr>
      </w:pPr>
    </w:p>
    <w:p w14:paraId="69B6EC0D" w14:textId="77777777" w:rsidR="008679AC" w:rsidRDefault="006C05DF" w:rsidP="00727502">
      <w:pPr>
        <w:pStyle w:val="Overskrift2"/>
        <w:rPr>
          <w:sz w:val="24"/>
        </w:rPr>
      </w:pPr>
      <w:bookmarkStart w:id="162" w:name="_Ref84075218"/>
      <w:r w:rsidRPr="00727502">
        <w:rPr>
          <w:sz w:val="24"/>
        </w:rPr>
        <w:t>2.2</w:t>
      </w:r>
      <w:r w:rsidR="00703BFA">
        <w:rPr>
          <w:sz w:val="24"/>
        </w:rPr>
        <w:t>.</w:t>
      </w:r>
      <w:r w:rsidR="008679AC">
        <w:rPr>
          <w:sz w:val="24"/>
        </w:rPr>
        <w:t xml:space="preserve"> </w:t>
      </w:r>
      <w:r w:rsidR="004A6B57">
        <w:rPr>
          <w:sz w:val="24"/>
        </w:rPr>
        <w:t xml:space="preserve">Ændringer som følge af </w:t>
      </w:r>
      <w:r w:rsidR="008679AC">
        <w:rPr>
          <w:sz w:val="24"/>
        </w:rPr>
        <w:t>NPE</w:t>
      </w:r>
    </w:p>
    <w:p w14:paraId="298A8FAE" w14:textId="77777777" w:rsidR="008679AC" w:rsidRDefault="008679AC" w:rsidP="008679AC">
      <w:pPr>
        <w:pStyle w:val="Overskrift2"/>
        <w:rPr>
          <w:sz w:val="24"/>
        </w:rPr>
      </w:pPr>
      <w:r w:rsidRPr="008679AC">
        <w:rPr>
          <w:sz w:val="24"/>
        </w:rPr>
        <w:t>2.2.1.</w:t>
      </w:r>
      <w:r>
        <w:rPr>
          <w:sz w:val="24"/>
        </w:rPr>
        <w:t xml:space="preserve"> </w:t>
      </w:r>
      <w:r w:rsidR="001A5DF0">
        <w:rPr>
          <w:sz w:val="24"/>
        </w:rPr>
        <w:t>Nødlidend</w:t>
      </w:r>
      <w:r>
        <w:rPr>
          <w:sz w:val="24"/>
        </w:rPr>
        <w:t>e lån</w:t>
      </w:r>
    </w:p>
    <w:p w14:paraId="43B6E1B3" w14:textId="77777777" w:rsidR="008679AC" w:rsidRDefault="008679AC" w:rsidP="008679AC">
      <w:pPr>
        <w:rPr>
          <w:rStyle w:val="Svagfremhvning"/>
        </w:rPr>
      </w:pPr>
      <w:r>
        <w:rPr>
          <w:rStyle w:val="Svagfremhvning"/>
        </w:rPr>
        <w:t>2.2.1.1. Gældende ret</w:t>
      </w:r>
    </w:p>
    <w:p w14:paraId="59FD618C" w14:textId="67C854D4" w:rsidR="001A5DF0" w:rsidRDefault="001A5DF0" w:rsidP="001A5DF0">
      <w:pPr>
        <w:rPr>
          <w:spacing w:val="-3"/>
        </w:rPr>
      </w:pPr>
      <w:r w:rsidRPr="00A91744">
        <w:rPr>
          <w:spacing w:val="-3"/>
        </w:rPr>
        <w:t xml:space="preserve">Når et kreditinstituts andel af </w:t>
      </w:r>
      <w:r>
        <w:rPr>
          <w:spacing w:val="-3"/>
        </w:rPr>
        <w:t>nødlidend</w:t>
      </w:r>
      <w:r w:rsidRPr="00A91744">
        <w:rPr>
          <w:spacing w:val="-3"/>
        </w:rPr>
        <w:t xml:space="preserve">e lån vokser, betyder det færre indtægter og et højere ressourceforbrug for institutterne. Det reducerer </w:t>
      </w:r>
      <w:r>
        <w:rPr>
          <w:spacing w:val="-3"/>
        </w:rPr>
        <w:t>institutternes</w:t>
      </w:r>
      <w:r w:rsidRPr="00A91744">
        <w:rPr>
          <w:spacing w:val="-3"/>
        </w:rPr>
        <w:t xml:space="preserve"> udlånskapacitet og mindsker dermed adgangen til kapital</w:t>
      </w:r>
      <w:r>
        <w:rPr>
          <w:spacing w:val="-3"/>
        </w:rPr>
        <w:t xml:space="preserve"> for virksomheder og husholdninger. Der er ikke på nuværende tidspunkt regler for </w:t>
      </w:r>
      <w:r w:rsidR="00AF4868">
        <w:rPr>
          <w:spacing w:val="-3"/>
        </w:rPr>
        <w:t>Grønland</w:t>
      </w:r>
      <w:r>
        <w:rPr>
          <w:spacing w:val="-3"/>
        </w:rPr>
        <w:t xml:space="preserve"> om minimumsdækning af tab (minimumskapitalkrav) i forbindelse med nødlidende lån.</w:t>
      </w:r>
    </w:p>
    <w:p w14:paraId="689429AC" w14:textId="77777777" w:rsidR="003E7997" w:rsidRDefault="003E7997" w:rsidP="008679AC">
      <w:pPr>
        <w:rPr>
          <w:spacing w:val="-3"/>
        </w:rPr>
      </w:pPr>
    </w:p>
    <w:p w14:paraId="170FA851" w14:textId="0B6B2F85" w:rsidR="003E7997" w:rsidRDefault="003E7997" w:rsidP="008679AC">
      <w:pPr>
        <w:rPr>
          <w:i/>
          <w:spacing w:val="-3"/>
        </w:rPr>
      </w:pPr>
      <w:r>
        <w:rPr>
          <w:i/>
          <w:spacing w:val="-3"/>
        </w:rPr>
        <w:t xml:space="preserve">2.2.1.2. </w:t>
      </w:r>
      <w:r w:rsidR="000B2228">
        <w:rPr>
          <w:i/>
          <w:spacing w:val="-3"/>
        </w:rPr>
        <w:t>Forordningens indhold</w:t>
      </w:r>
    </w:p>
    <w:p w14:paraId="4EB8F66E" w14:textId="3BA9E8A6" w:rsidR="001A5DF0" w:rsidRPr="00A91744" w:rsidRDefault="001A5DF0" w:rsidP="001A5DF0">
      <w:r>
        <w:t xml:space="preserve">Forordningen </w:t>
      </w:r>
      <w:r w:rsidRPr="00A91744">
        <w:t>indeholder minimumskrav til den mængde kapital</w:t>
      </w:r>
      <w:r w:rsidR="00E36A61">
        <w:t>,</w:t>
      </w:r>
      <w:r w:rsidRPr="00A91744">
        <w:t xml:space="preserve"> bankerne skal sætte til side på lån</w:t>
      </w:r>
      <w:r w:rsidR="00E36A61">
        <w:t>, som bliver nødlidende,</w:t>
      </w:r>
      <w:r w:rsidRPr="00A91744">
        <w:t xml:space="preserve"> </w:t>
      </w:r>
      <w:r w:rsidR="00E36A61">
        <w:t xml:space="preserve">og som er </w:t>
      </w:r>
      <w:r>
        <w:t>ydet efter fremsættelse af forslaget</w:t>
      </w:r>
      <w:r w:rsidRPr="00A91744">
        <w:t xml:space="preserve">, som </w:t>
      </w:r>
      <w:r>
        <w:t>bliver nødlidende</w:t>
      </w:r>
      <w:r w:rsidRPr="00A91744">
        <w:t xml:space="preserve"> (solvensmæssig reservation). </w:t>
      </w:r>
      <w:r>
        <w:t>Forordningen</w:t>
      </w:r>
      <w:r w:rsidRPr="00A91744">
        <w:t xml:space="preserve"> indeholder en definition af </w:t>
      </w:r>
      <w:r>
        <w:t>nødlidende</w:t>
      </w:r>
      <w:r w:rsidRPr="00A91744">
        <w:t xml:space="preserve"> lån, og angiver strenge kriterier for, hvornår et kreditinstitut kan ophøre med at behandle en eksponering som </w:t>
      </w:r>
      <w:r>
        <w:t>nødlidende.</w:t>
      </w:r>
    </w:p>
    <w:p w14:paraId="28D2ACFC" w14:textId="77777777" w:rsidR="001A5DF0" w:rsidRPr="00A91744" w:rsidRDefault="001A5DF0" w:rsidP="001A5DF0"/>
    <w:p w14:paraId="3542FCEA" w14:textId="3B7D9EA6" w:rsidR="001A5DF0" w:rsidRPr="00A91744" w:rsidRDefault="001A5DF0" w:rsidP="001A5DF0">
      <w:r w:rsidRPr="00A91744">
        <w:lastRenderedPageBreak/>
        <w:t>Et krav om solvensmæssig reservation fremkommer ved at sammenholde minimumskravet med summen af bankens nedskrivninger og andre fradrag i kapitalen</w:t>
      </w:r>
      <w:r>
        <w:t>, f</w:t>
      </w:r>
      <w:r w:rsidR="001B6D91">
        <w:t>.eks.</w:t>
      </w:r>
      <w:r>
        <w:t xml:space="preserve"> som følge af anvendelsen af IRB-metoden,</w:t>
      </w:r>
      <w:r w:rsidRPr="00A91744">
        <w:t xml:space="preserve"> relateret til de </w:t>
      </w:r>
      <w:r>
        <w:t>nødlidende</w:t>
      </w:r>
      <w:r w:rsidRPr="00A91744">
        <w:t xml:space="preserve"> eksponeringer. Hvis minimumskravet er størst, skal banken foretage en solvensmæssig reservation i form af fradrag i den egentlige kernekapital (CET1). Minimumskravet fungerer dermed som en bagstopper. </w:t>
      </w:r>
    </w:p>
    <w:p w14:paraId="65ED6DC7" w14:textId="77777777" w:rsidR="001A5DF0" w:rsidRPr="00A91744" w:rsidRDefault="001A5DF0" w:rsidP="001A5DF0"/>
    <w:p w14:paraId="60996427" w14:textId="5D3C08EA" w:rsidR="001A5DF0" w:rsidRPr="00A91744" w:rsidRDefault="001A5DF0" w:rsidP="001A5DF0">
      <w:r w:rsidRPr="00A91744">
        <w:t xml:space="preserve">Størrelsen af minimumskravet afhænger ifølge forslaget af </w:t>
      </w:r>
      <w:r>
        <w:t xml:space="preserve">1) </w:t>
      </w:r>
      <w:r w:rsidRPr="00A91744">
        <w:t xml:space="preserve">omfanget af bankens </w:t>
      </w:r>
      <w:r>
        <w:t>nødlidende</w:t>
      </w:r>
      <w:r w:rsidRPr="00A91744">
        <w:t xml:space="preserve"> lån, </w:t>
      </w:r>
      <w:r>
        <w:t xml:space="preserve">2) </w:t>
      </w:r>
      <w:r w:rsidRPr="00A91744">
        <w:t xml:space="preserve">hvor længe lånene har været </w:t>
      </w:r>
      <w:r>
        <w:t>nødlidende</w:t>
      </w:r>
      <w:r w:rsidRPr="00A91744">
        <w:t xml:space="preserve">, </w:t>
      </w:r>
      <w:r>
        <w:t xml:space="preserve">3) </w:t>
      </w:r>
      <w:r w:rsidRPr="00A91744">
        <w:t xml:space="preserve">om låntager har været mere end 90 dage bagud med at betale sit lån (i restance) og </w:t>
      </w:r>
      <w:r>
        <w:t xml:space="preserve">4) </w:t>
      </w:r>
      <w:r w:rsidRPr="00A91744">
        <w:t xml:space="preserve">omfanget af sikkerheder. </w:t>
      </w:r>
    </w:p>
    <w:p w14:paraId="77A4057B" w14:textId="77777777" w:rsidR="001A5DF0" w:rsidRPr="00A91744" w:rsidRDefault="001A5DF0" w:rsidP="001A5DF0"/>
    <w:p w14:paraId="6A732D4D" w14:textId="632EE534" w:rsidR="001A5DF0" w:rsidRDefault="001B6D91" w:rsidP="001A5DF0">
      <w:r>
        <w:t>H</w:t>
      </w:r>
      <w:r w:rsidR="001A5DF0" w:rsidRPr="00A91744">
        <w:t>ovedprincippet</w:t>
      </w:r>
      <w:r>
        <w:t xml:space="preserve"> er</w:t>
      </w:r>
      <w:r w:rsidR="001A5DF0" w:rsidRPr="00A91744">
        <w:t xml:space="preserve">, at jo længere tid en eksponering har været </w:t>
      </w:r>
      <w:r w:rsidR="001A5DF0">
        <w:t>nødlidende</w:t>
      </w:r>
      <w:r w:rsidR="001A5DF0" w:rsidRPr="00A91744">
        <w:t>, jo større er risikoen for, at lånet ikke tilbagebetales til banken, og des større er minimumskravet til afdækning af eksponeringen.</w:t>
      </w:r>
      <w:r w:rsidR="001A5DF0">
        <w:t xml:space="preserve"> </w:t>
      </w:r>
    </w:p>
    <w:p w14:paraId="5F9DD948" w14:textId="77777777" w:rsidR="00572E32" w:rsidRDefault="00572E32" w:rsidP="001A5DF0"/>
    <w:p w14:paraId="45A59817" w14:textId="44CBD865" w:rsidR="00572E32" w:rsidRDefault="00572E32" w:rsidP="00572E32">
      <w:pPr>
        <w:rPr>
          <w:rFonts w:eastAsiaTheme="majorEastAsia"/>
          <w:i/>
        </w:rPr>
      </w:pPr>
      <w:r>
        <w:rPr>
          <w:rFonts w:eastAsiaTheme="majorEastAsia"/>
          <w:i/>
        </w:rPr>
        <w:t xml:space="preserve">2.2.1.3. </w:t>
      </w:r>
      <w:r w:rsidR="0049426E">
        <w:rPr>
          <w:rFonts w:eastAsiaTheme="majorEastAsia"/>
          <w:i/>
        </w:rPr>
        <w:t>Erhvervsministeriets overvejelser og den foreslåede ordning</w:t>
      </w:r>
    </w:p>
    <w:p w14:paraId="7CC88AA3" w14:textId="5D8CA577" w:rsidR="00572E32" w:rsidRDefault="00572E32" w:rsidP="00572E32">
      <w:pPr>
        <w:rPr>
          <w:rFonts w:eastAsiaTheme="majorEastAsia"/>
        </w:rPr>
      </w:pPr>
      <w:r>
        <w:rPr>
          <w:rFonts w:eastAsiaTheme="majorEastAsia"/>
        </w:rPr>
        <w:t xml:space="preserve">Erhvervsministeriet finder det hensigtsmæssigt, at der </w:t>
      </w:r>
      <w:r w:rsidR="00B05606">
        <w:rPr>
          <w:rFonts w:eastAsiaTheme="majorEastAsia"/>
        </w:rPr>
        <w:t>i Grønland</w:t>
      </w:r>
      <w:r>
        <w:rPr>
          <w:rFonts w:eastAsiaTheme="majorEastAsia"/>
        </w:rPr>
        <w:t xml:space="preserve"> gælder regler svarende til reglerne i Danmark på det finansielle område. </w:t>
      </w:r>
    </w:p>
    <w:p w14:paraId="347B78B7" w14:textId="77777777" w:rsidR="00572E32" w:rsidRPr="00374D6B" w:rsidRDefault="00572E32" w:rsidP="00572E32">
      <w:pPr>
        <w:rPr>
          <w:rFonts w:eastAsiaTheme="majorEastAsia"/>
        </w:rPr>
      </w:pPr>
    </w:p>
    <w:p w14:paraId="5637D203" w14:textId="3DF254FE" w:rsidR="00572E32" w:rsidRPr="003E7997" w:rsidRDefault="00572E32" w:rsidP="001A5DF0">
      <w:pPr>
        <w:rPr>
          <w:rStyle w:val="Svagfremhvning"/>
        </w:rPr>
      </w:pPr>
      <w:r>
        <w:rPr>
          <w:rFonts w:eastAsiaTheme="majorEastAsia"/>
        </w:rPr>
        <w:t xml:space="preserve">Det foreslås </w:t>
      </w:r>
      <w:r w:rsidR="000840AD">
        <w:rPr>
          <w:rFonts w:eastAsiaTheme="majorEastAsia"/>
        </w:rPr>
        <w:t xml:space="preserve">derfor </w:t>
      </w:r>
      <w:r>
        <w:rPr>
          <w:rFonts w:eastAsiaTheme="majorEastAsia"/>
        </w:rPr>
        <w:t xml:space="preserve">at sætte reglerne i NPE i kraft for </w:t>
      </w:r>
      <w:r w:rsidR="00AF4868">
        <w:rPr>
          <w:rFonts w:eastAsiaTheme="majorEastAsia"/>
        </w:rPr>
        <w:t>Grønland</w:t>
      </w:r>
      <w:r>
        <w:rPr>
          <w:rFonts w:eastAsiaTheme="majorEastAsia"/>
        </w:rPr>
        <w:t>, som beskrevet i afsnit 2.2.1.2 ovenfor.</w:t>
      </w:r>
    </w:p>
    <w:p w14:paraId="3680B367" w14:textId="77777777" w:rsidR="008679AC" w:rsidRDefault="008679AC" w:rsidP="00B66276"/>
    <w:p w14:paraId="026F48FE" w14:textId="6E61F424" w:rsidR="00803C74" w:rsidRPr="00727502" w:rsidRDefault="004F4244" w:rsidP="00727502">
      <w:pPr>
        <w:pStyle w:val="Overskrift2"/>
        <w:rPr>
          <w:sz w:val="24"/>
        </w:rPr>
      </w:pPr>
      <w:r>
        <w:rPr>
          <w:sz w:val="24"/>
        </w:rPr>
        <w:t xml:space="preserve">2.3. </w:t>
      </w:r>
      <w:r w:rsidR="00FB3753">
        <w:rPr>
          <w:sz w:val="24"/>
        </w:rPr>
        <w:t xml:space="preserve">Ændringer som følge af </w:t>
      </w:r>
      <w:r w:rsidR="00803C74" w:rsidRPr="00727502">
        <w:rPr>
          <w:sz w:val="24"/>
        </w:rPr>
        <w:t xml:space="preserve">CRR </w:t>
      </w:r>
      <w:bookmarkEnd w:id="162"/>
      <w:r w:rsidR="00F45238">
        <w:rPr>
          <w:sz w:val="24"/>
        </w:rPr>
        <w:t>Covid-19-relaterede justeringer</w:t>
      </w:r>
    </w:p>
    <w:p w14:paraId="024FF232" w14:textId="77777777" w:rsidR="00803C74" w:rsidRPr="00727502" w:rsidRDefault="004F4244" w:rsidP="00727502">
      <w:pPr>
        <w:pStyle w:val="Overskrift2"/>
        <w:rPr>
          <w:sz w:val="24"/>
        </w:rPr>
      </w:pPr>
      <w:bookmarkStart w:id="163" w:name="_Ref84075225"/>
      <w:r>
        <w:rPr>
          <w:sz w:val="24"/>
        </w:rPr>
        <w:t>2.3</w:t>
      </w:r>
      <w:r w:rsidR="006C05DF" w:rsidRPr="00727502">
        <w:rPr>
          <w:sz w:val="24"/>
        </w:rPr>
        <w:t>.1</w:t>
      </w:r>
      <w:r w:rsidR="00D92993">
        <w:rPr>
          <w:sz w:val="24"/>
        </w:rPr>
        <w:t>.</w:t>
      </w:r>
      <w:r w:rsidR="006C05DF" w:rsidRPr="00727502">
        <w:rPr>
          <w:sz w:val="24"/>
        </w:rPr>
        <w:t xml:space="preserve"> </w:t>
      </w:r>
      <w:r w:rsidR="00803C74" w:rsidRPr="00727502">
        <w:rPr>
          <w:sz w:val="24"/>
        </w:rPr>
        <w:t xml:space="preserve">Lempelse af minimumskapitalkrav vedr. offentligt garanterede </w:t>
      </w:r>
      <w:r w:rsidR="00DF2FF7">
        <w:rPr>
          <w:sz w:val="24"/>
        </w:rPr>
        <w:t xml:space="preserve">nødlidende </w:t>
      </w:r>
      <w:r w:rsidR="00803C74" w:rsidRPr="00727502">
        <w:rPr>
          <w:sz w:val="24"/>
        </w:rPr>
        <w:t>lån</w:t>
      </w:r>
      <w:bookmarkEnd w:id="163"/>
    </w:p>
    <w:p w14:paraId="500B2B4D" w14:textId="77777777" w:rsidR="006C05DF" w:rsidRPr="00727502" w:rsidRDefault="004F4244" w:rsidP="00803C74">
      <w:pPr>
        <w:tabs>
          <w:tab w:val="left" w:pos="-1440"/>
          <w:tab w:val="left" w:pos="-720"/>
          <w:tab w:val="left" w:pos="0"/>
        </w:tabs>
        <w:rPr>
          <w:i/>
          <w:spacing w:val="-3"/>
        </w:rPr>
      </w:pPr>
      <w:r>
        <w:rPr>
          <w:i/>
          <w:spacing w:val="-3"/>
        </w:rPr>
        <w:t>2.3</w:t>
      </w:r>
      <w:r w:rsidR="00703BFA">
        <w:rPr>
          <w:i/>
          <w:spacing w:val="-3"/>
        </w:rPr>
        <w:t xml:space="preserve">.1.1. </w:t>
      </w:r>
      <w:r w:rsidR="006C05DF">
        <w:rPr>
          <w:i/>
          <w:spacing w:val="-3"/>
        </w:rPr>
        <w:t>Gældende ret</w:t>
      </w:r>
    </w:p>
    <w:p w14:paraId="57891038" w14:textId="7358EE5D" w:rsidR="00DF2FF7" w:rsidRDefault="00DF2FF7" w:rsidP="00DF2FF7">
      <w:pPr>
        <w:tabs>
          <w:tab w:val="left" w:pos="-1440"/>
          <w:tab w:val="left" w:pos="-720"/>
          <w:tab w:val="left" w:pos="0"/>
        </w:tabs>
        <w:rPr>
          <w:spacing w:val="-3"/>
        </w:rPr>
      </w:pPr>
      <w:r w:rsidRPr="00BB134A">
        <w:rPr>
          <w:spacing w:val="-3"/>
        </w:rPr>
        <w:t xml:space="preserve">Nødlidende eksponeringer med en </w:t>
      </w:r>
      <w:r>
        <w:rPr>
          <w:spacing w:val="-3"/>
        </w:rPr>
        <w:t xml:space="preserve">offentlig </w:t>
      </w:r>
      <w:r w:rsidRPr="00BB134A">
        <w:rPr>
          <w:spacing w:val="-3"/>
        </w:rPr>
        <w:t>g</w:t>
      </w:r>
      <w:r>
        <w:rPr>
          <w:spacing w:val="-3"/>
        </w:rPr>
        <w:t>aranti</w:t>
      </w:r>
      <w:r w:rsidRPr="00BB134A">
        <w:rPr>
          <w:spacing w:val="-3"/>
        </w:rPr>
        <w:t xml:space="preserve"> </w:t>
      </w:r>
      <w:r>
        <w:rPr>
          <w:spacing w:val="-3"/>
        </w:rPr>
        <w:t>m</w:t>
      </w:r>
      <w:r w:rsidR="000840AD">
        <w:rPr>
          <w:spacing w:val="-3"/>
        </w:rPr>
        <w:t>.</w:t>
      </w:r>
      <w:r>
        <w:rPr>
          <w:spacing w:val="-3"/>
        </w:rPr>
        <w:t>v.</w:t>
      </w:r>
      <w:r w:rsidRPr="00527EAC">
        <w:rPr>
          <w:spacing w:val="-3"/>
        </w:rPr>
        <w:t xml:space="preserve"> behandles i dag som </w:t>
      </w:r>
      <w:r>
        <w:rPr>
          <w:spacing w:val="-3"/>
        </w:rPr>
        <w:t>eksponeringer, hvor der er stillet anden sikkerhed end fast ejendom</w:t>
      </w:r>
      <w:r w:rsidRPr="00527EAC">
        <w:rPr>
          <w:spacing w:val="-3"/>
        </w:rPr>
        <w:t xml:space="preserve">, </w:t>
      </w:r>
      <w:r>
        <w:rPr>
          <w:spacing w:val="-3"/>
        </w:rPr>
        <w:t xml:space="preserve">og </w:t>
      </w:r>
      <w:r w:rsidRPr="00527EAC">
        <w:rPr>
          <w:spacing w:val="-3"/>
        </w:rPr>
        <w:t xml:space="preserve">hvor vægten er </w:t>
      </w:r>
      <w:r>
        <w:rPr>
          <w:spacing w:val="-3"/>
        </w:rPr>
        <w:t xml:space="preserve">0 i de første tre år og </w:t>
      </w:r>
      <w:r w:rsidR="000840AD" w:rsidRPr="00BB134A">
        <w:rPr>
          <w:spacing w:val="-3"/>
        </w:rPr>
        <w:t xml:space="preserve">gradvis </w:t>
      </w:r>
      <w:r w:rsidRPr="00BB134A">
        <w:rPr>
          <w:spacing w:val="-3"/>
        </w:rPr>
        <w:t xml:space="preserve">stiger til </w:t>
      </w:r>
      <w:r>
        <w:rPr>
          <w:spacing w:val="-3"/>
        </w:rPr>
        <w:t>1 i det 8. år, med henblik på opgørelse af minimumskapitalkravet</w:t>
      </w:r>
      <w:r w:rsidRPr="00BB134A">
        <w:rPr>
          <w:spacing w:val="-3"/>
        </w:rPr>
        <w:t xml:space="preserve">. </w:t>
      </w:r>
    </w:p>
    <w:p w14:paraId="40401214" w14:textId="77777777" w:rsidR="006C05DF" w:rsidRDefault="006C05DF" w:rsidP="00803C74">
      <w:pPr>
        <w:tabs>
          <w:tab w:val="left" w:pos="-1440"/>
          <w:tab w:val="left" w:pos="-720"/>
          <w:tab w:val="left" w:pos="0"/>
        </w:tabs>
        <w:rPr>
          <w:spacing w:val="-3"/>
        </w:rPr>
      </w:pPr>
    </w:p>
    <w:p w14:paraId="75026C05" w14:textId="4438538F" w:rsidR="006C05DF" w:rsidRPr="00727502" w:rsidRDefault="004F4244" w:rsidP="00803C74">
      <w:pPr>
        <w:tabs>
          <w:tab w:val="left" w:pos="-1440"/>
          <w:tab w:val="left" w:pos="-720"/>
          <w:tab w:val="left" w:pos="0"/>
        </w:tabs>
        <w:rPr>
          <w:i/>
          <w:spacing w:val="-3"/>
        </w:rPr>
      </w:pPr>
      <w:r>
        <w:rPr>
          <w:i/>
          <w:spacing w:val="-3"/>
        </w:rPr>
        <w:t>2.3</w:t>
      </w:r>
      <w:r w:rsidR="00703BFA">
        <w:rPr>
          <w:i/>
          <w:spacing w:val="-3"/>
        </w:rPr>
        <w:t xml:space="preserve">.1.2. </w:t>
      </w:r>
      <w:r w:rsidR="000B2228">
        <w:rPr>
          <w:i/>
          <w:spacing w:val="-3"/>
        </w:rPr>
        <w:t>Forordningens indhold</w:t>
      </w:r>
    </w:p>
    <w:p w14:paraId="78F6E516" w14:textId="77777777" w:rsidR="00DF2FF7" w:rsidRDefault="00DF2FF7" w:rsidP="00DF2FF7">
      <w:pPr>
        <w:tabs>
          <w:tab w:val="left" w:pos="-1440"/>
          <w:tab w:val="left" w:pos="-720"/>
          <w:tab w:val="left" w:pos="0"/>
        </w:tabs>
        <w:rPr>
          <w:spacing w:val="-3"/>
        </w:rPr>
      </w:pPr>
      <w:r>
        <w:rPr>
          <w:spacing w:val="-3"/>
        </w:rPr>
        <w:t xml:space="preserve">Krav til det kapitalgrundlag, som et institut mindst skal have til at dække tab på nødlidende eksponeringer, kaldes også for NPE-bagstopperen. NPE-bagstopperen er etableret med en ændring af kapitalkravsforordningen i april 2019. </w:t>
      </w:r>
    </w:p>
    <w:p w14:paraId="32BF8523" w14:textId="77777777" w:rsidR="00DF2FF7" w:rsidRDefault="00DF2FF7" w:rsidP="00DF2FF7">
      <w:pPr>
        <w:tabs>
          <w:tab w:val="left" w:pos="-1440"/>
          <w:tab w:val="left" w:pos="-720"/>
          <w:tab w:val="left" w:pos="0"/>
        </w:tabs>
        <w:rPr>
          <w:spacing w:val="-3"/>
        </w:rPr>
      </w:pPr>
    </w:p>
    <w:p w14:paraId="78636B33" w14:textId="77777777" w:rsidR="00DF2FF7" w:rsidRDefault="00DF2FF7" w:rsidP="00DF2FF7">
      <w:pPr>
        <w:tabs>
          <w:tab w:val="left" w:pos="-1440"/>
          <w:tab w:val="left" w:pos="-720"/>
          <w:tab w:val="left" w:pos="0"/>
        </w:tabs>
        <w:rPr>
          <w:spacing w:val="-3"/>
        </w:rPr>
      </w:pPr>
      <w:r>
        <w:rPr>
          <w:spacing w:val="-3"/>
        </w:rPr>
        <w:t>NPE-bagstopperen og kravet om mindstekapital indeholder en overgangsordning, så den omfatter ikke eksponeringer bevilget før den 26. april 2019, medmindre kreditinstitutterne ændrer lånevilkår, som øger eksponeringen.</w:t>
      </w:r>
    </w:p>
    <w:p w14:paraId="19147B6A" w14:textId="77777777" w:rsidR="00DF2FF7" w:rsidRDefault="00DF2FF7" w:rsidP="00DF2FF7">
      <w:pPr>
        <w:tabs>
          <w:tab w:val="left" w:pos="-1440"/>
          <w:tab w:val="left" w:pos="-720"/>
          <w:tab w:val="left" w:pos="0"/>
        </w:tabs>
        <w:rPr>
          <w:spacing w:val="-3"/>
        </w:rPr>
      </w:pPr>
    </w:p>
    <w:p w14:paraId="41CF5CF6" w14:textId="3D99D11C" w:rsidR="00DF2FF7" w:rsidRDefault="00DF2FF7" w:rsidP="00DF2FF7">
      <w:pPr>
        <w:tabs>
          <w:tab w:val="left" w:pos="-1440"/>
          <w:tab w:val="left" w:pos="-720"/>
          <w:tab w:val="left" w:pos="0"/>
        </w:tabs>
        <w:rPr>
          <w:spacing w:val="-3"/>
        </w:rPr>
      </w:pPr>
      <w:r>
        <w:rPr>
          <w:spacing w:val="-3"/>
        </w:rPr>
        <w:t>Under NPE-bagstopperen bestemmes et kapitalkrav til en nødlidende eksponering ud fra hvor længe</w:t>
      </w:r>
      <w:r w:rsidR="00611CCC">
        <w:rPr>
          <w:spacing w:val="-3"/>
        </w:rPr>
        <w:t>,</w:t>
      </w:r>
      <w:r>
        <w:rPr>
          <w:spacing w:val="-3"/>
        </w:rPr>
        <w:t xml:space="preserve"> eksponeringen har været nødlidende (dvs. hvor længe udlånet har indebåret tab for det långivende institut),</w:t>
      </w:r>
      <w:r w:rsidRPr="00B35425">
        <w:rPr>
          <w:spacing w:val="-3"/>
        </w:rPr>
        <w:t xml:space="preserve"> hvor stor en del</w:t>
      </w:r>
      <w:r>
        <w:rPr>
          <w:spacing w:val="-3"/>
        </w:rPr>
        <w:t xml:space="preserve"> af eksponeringen, der er stillet sikkerhed for og typen af denne sikkerhed (f</w:t>
      </w:r>
      <w:r w:rsidR="00611CCC">
        <w:rPr>
          <w:spacing w:val="-3"/>
        </w:rPr>
        <w:t>.eks.</w:t>
      </w:r>
      <w:r>
        <w:rPr>
          <w:spacing w:val="-3"/>
        </w:rPr>
        <w:t xml:space="preserve"> fast ejendom). Dette sammenfattes i en faktor. Når faktoren er 0, stilles der ikke et kapitalkrav under NPE-bagstopperen. Når faktoren er 1, stilles der det fulde minimumskrav til kapital under NPE-bagstopperen</w:t>
      </w:r>
      <w:r w:rsidRPr="00B35425">
        <w:rPr>
          <w:spacing w:val="-3"/>
        </w:rPr>
        <w:t xml:space="preserve">. </w:t>
      </w:r>
      <w:r w:rsidRPr="00614A33">
        <w:rPr>
          <w:spacing w:val="-3"/>
        </w:rPr>
        <w:t xml:space="preserve"> </w:t>
      </w:r>
    </w:p>
    <w:p w14:paraId="4B2E1FD6" w14:textId="77777777" w:rsidR="00DF2FF7" w:rsidRDefault="00DF2FF7" w:rsidP="00DF2FF7">
      <w:pPr>
        <w:tabs>
          <w:tab w:val="left" w:pos="-1440"/>
          <w:tab w:val="left" w:pos="-720"/>
          <w:tab w:val="left" w:pos="0"/>
        </w:tabs>
        <w:rPr>
          <w:spacing w:val="-3"/>
        </w:rPr>
      </w:pPr>
    </w:p>
    <w:p w14:paraId="43881FBF" w14:textId="3FEA783B" w:rsidR="00DF2FF7" w:rsidRDefault="00DF2FF7" w:rsidP="00DF2FF7">
      <w:pPr>
        <w:tabs>
          <w:tab w:val="left" w:pos="-1440"/>
          <w:tab w:val="left" w:pos="-720"/>
          <w:tab w:val="left" w:pos="0"/>
        </w:tabs>
        <w:rPr>
          <w:spacing w:val="-3"/>
        </w:rPr>
      </w:pPr>
      <w:r>
        <w:rPr>
          <w:spacing w:val="-3"/>
        </w:rPr>
        <w:t>V</w:t>
      </w:r>
      <w:r w:rsidRPr="00BB134A">
        <w:rPr>
          <w:spacing w:val="-3"/>
        </w:rPr>
        <w:t xml:space="preserve">ægten </w:t>
      </w:r>
      <w:r>
        <w:rPr>
          <w:spacing w:val="-3"/>
        </w:rPr>
        <w:t xml:space="preserve">på nødlidende eksponeringer, der er omfattet af en offentlig garanti, skal med CRR </w:t>
      </w:r>
      <w:r w:rsidR="00F45238">
        <w:rPr>
          <w:spacing w:val="-3"/>
        </w:rPr>
        <w:t>Covid-19-relaterede justeringer</w:t>
      </w:r>
      <w:r>
        <w:rPr>
          <w:spacing w:val="-3"/>
        </w:rPr>
        <w:t xml:space="preserve"> i stedet være 0</w:t>
      </w:r>
      <w:r w:rsidRPr="00BB134A">
        <w:rPr>
          <w:spacing w:val="-3"/>
        </w:rPr>
        <w:t xml:space="preserve"> i</w:t>
      </w:r>
      <w:r>
        <w:rPr>
          <w:spacing w:val="-3"/>
        </w:rPr>
        <w:t>ndtil det 8. år</w:t>
      </w:r>
      <w:r w:rsidRPr="00BB134A">
        <w:rPr>
          <w:spacing w:val="-3"/>
        </w:rPr>
        <w:t xml:space="preserve">. </w:t>
      </w:r>
      <w:r>
        <w:rPr>
          <w:spacing w:val="-3"/>
        </w:rPr>
        <w:t xml:space="preserve">Det betyder, at der ikke vil være en reduktion i kapitalgrundlaget i denne periode for sådanne nødlidende eksponeringer. </w:t>
      </w:r>
    </w:p>
    <w:p w14:paraId="5836B568" w14:textId="77777777" w:rsidR="00572E32" w:rsidRDefault="00572E32" w:rsidP="00DF2FF7">
      <w:pPr>
        <w:tabs>
          <w:tab w:val="left" w:pos="-1440"/>
          <w:tab w:val="left" w:pos="-720"/>
          <w:tab w:val="left" w:pos="0"/>
        </w:tabs>
        <w:rPr>
          <w:spacing w:val="-3"/>
        </w:rPr>
      </w:pPr>
    </w:p>
    <w:p w14:paraId="45DA3A83" w14:textId="68C3BF05" w:rsidR="00572E32" w:rsidRDefault="00572E32" w:rsidP="00572E32">
      <w:pPr>
        <w:rPr>
          <w:rFonts w:eastAsiaTheme="majorEastAsia"/>
          <w:i/>
        </w:rPr>
      </w:pPr>
      <w:r>
        <w:rPr>
          <w:rFonts w:eastAsiaTheme="majorEastAsia"/>
          <w:i/>
        </w:rPr>
        <w:t xml:space="preserve">2.3.1.3. </w:t>
      </w:r>
      <w:r w:rsidR="0049426E">
        <w:rPr>
          <w:rFonts w:eastAsiaTheme="majorEastAsia"/>
          <w:i/>
        </w:rPr>
        <w:t>Erhvervsministeriets overvejelser og den foreslåede ordning</w:t>
      </w:r>
    </w:p>
    <w:p w14:paraId="6003845C" w14:textId="5D940680" w:rsidR="00572E32" w:rsidRDefault="00572E32" w:rsidP="00572E32">
      <w:pPr>
        <w:rPr>
          <w:rFonts w:eastAsiaTheme="majorEastAsia"/>
        </w:rPr>
      </w:pPr>
      <w:r>
        <w:rPr>
          <w:rFonts w:eastAsiaTheme="majorEastAsia"/>
        </w:rPr>
        <w:t xml:space="preserve">Erhvervsministeriet finder det hensigtsmæssigt, at der </w:t>
      </w:r>
      <w:r w:rsidR="00B05606">
        <w:rPr>
          <w:rFonts w:eastAsiaTheme="majorEastAsia"/>
        </w:rPr>
        <w:t>i Grønland</w:t>
      </w:r>
      <w:r>
        <w:rPr>
          <w:rFonts w:eastAsiaTheme="majorEastAsia"/>
        </w:rPr>
        <w:t xml:space="preserve"> gælder regler svarende til reglerne i Danmark på det finansielle område. </w:t>
      </w:r>
    </w:p>
    <w:p w14:paraId="01F9B649" w14:textId="77777777" w:rsidR="00572E32" w:rsidRPr="00374D6B" w:rsidRDefault="00572E32" w:rsidP="00572E32">
      <w:pPr>
        <w:rPr>
          <w:rFonts w:eastAsiaTheme="majorEastAsia"/>
        </w:rPr>
      </w:pPr>
    </w:p>
    <w:p w14:paraId="36638476" w14:textId="18BDC513" w:rsidR="00EB41AA" w:rsidRDefault="00572E32" w:rsidP="00803C74">
      <w:pPr>
        <w:tabs>
          <w:tab w:val="left" w:pos="-1440"/>
          <w:tab w:val="left" w:pos="-720"/>
          <w:tab w:val="left" w:pos="0"/>
        </w:tabs>
        <w:rPr>
          <w:rFonts w:eastAsiaTheme="majorEastAsia"/>
        </w:rPr>
      </w:pPr>
      <w:r>
        <w:rPr>
          <w:rFonts w:eastAsiaTheme="majorEastAsia"/>
        </w:rPr>
        <w:t xml:space="preserve">Det foreslås </w:t>
      </w:r>
      <w:r w:rsidR="00611CCC">
        <w:rPr>
          <w:rFonts w:eastAsiaTheme="majorEastAsia"/>
        </w:rPr>
        <w:t xml:space="preserve">derfor </w:t>
      </w:r>
      <w:r>
        <w:rPr>
          <w:rFonts w:eastAsiaTheme="majorEastAsia"/>
        </w:rPr>
        <w:t xml:space="preserve">at sætte reglerne i </w:t>
      </w:r>
      <w:r>
        <w:rPr>
          <w:spacing w:val="-3"/>
        </w:rPr>
        <w:t>CRR Covid-19-relaterede justeringer</w:t>
      </w:r>
      <w:r>
        <w:rPr>
          <w:rFonts w:eastAsiaTheme="majorEastAsia"/>
        </w:rPr>
        <w:t xml:space="preserve"> i kraft for </w:t>
      </w:r>
      <w:r w:rsidR="00AF4868">
        <w:rPr>
          <w:rFonts w:eastAsiaTheme="majorEastAsia"/>
        </w:rPr>
        <w:t>Grønland</w:t>
      </w:r>
      <w:r>
        <w:rPr>
          <w:rFonts w:eastAsiaTheme="majorEastAsia"/>
        </w:rPr>
        <w:t>, som beskrevet i afsnit 2.3.1.2 ovenfor.</w:t>
      </w:r>
    </w:p>
    <w:p w14:paraId="433E1FED" w14:textId="77777777" w:rsidR="009C09AB" w:rsidRDefault="009C09AB" w:rsidP="00803C74">
      <w:pPr>
        <w:tabs>
          <w:tab w:val="left" w:pos="-1440"/>
          <w:tab w:val="left" w:pos="-720"/>
          <w:tab w:val="left" w:pos="0"/>
        </w:tabs>
        <w:rPr>
          <w:spacing w:val="-3"/>
        </w:rPr>
      </w:pPr>
    </w:p>
    <w:p w14:paraId="22DD61BC" w14:textId="77777777" w:rsidR="00803C74" w:rsidRPr="00727502" w:rsidRDefault="001A5DF0" w:rsidP="00727502">
      <w:pPr>
        <w:pStyle w:val="Overskrift2"/>
        <w:rPr>
          <w:sz w:val="24"/>
        </w:rPr>
      </w:pPr>
      <w:bookmarkStart w:id="164" w:name="_Ref84075244"/>
      <w:r>
        <w:rPr>
          <w:sz w:val="24"/>
        </w:rPr>
        <w:t>2.3</w:t>
      </w:r>
      <w:r w:rsidR="00EB41AA" w:rsidRPr="00727502">
        <w:rPr>
          <w:sz w:val="24"/>
        </w:rPr>
        <w:t>.2</w:t>
      </w:r>
      <w:r w:rsidR="00703BFA">
        <w:rPr>
          <w:sz w:val="24"/>
        </w:rPr>
        <w:t>.</w:t>
      </w:r>
      <w:r w:rsidR="00EB41AA" w:rsidRPr="00727502">
        <w:rPr>
          <w:sz w:val="24"/>
        </w:rPr>
        <w:t xml:space="preserve"> </w:t>
      </w:r>
      <w:r w:rsidR="00803C74" w:rsidRPr="00727502">
        <w:rPr>
          <w:sz w:val="24"/>
        </w:rPr>
        <w:t>Udskydelse af anvendelsesdato for tillæg til gearingsgradskravet</w:t>
      </w:r>
      <w:bookmarkEnd w:id="164"/>
    </w:p>
    <w:p w14:paraId="21FB2BFC" w14:textId="77777777" w:rsidR="00EB41AA" w:rsidRDefault="001A5DF0" w:rsidP="00803C74">
      <w:pPr>
        <w:rPr>
          <w:i/>
        </w:rPr>
      </w:pPr>
      <w:r>
        <w:rPr>
          <w:i/>
        </w:rPr>
        <w:t>2.3</w:t>
      </w:r>
      <w:r w:rsidR="00703BFA">
        <w:rPr>
          <w:i/>
        </w:rPr>
        <w:t xml:space="preserve">.2.1. </w:t>
      </w:r>
      <w:r w:rsidR="00EB41AA">
        <w:rPr>
          <w:i/>
        </w:rPr>
        <w:t>Gældende ret</w:t>
      </w:r>
    </w:p>
    <w:p w14:paraId="3BD32F59" w14:textId="77777777" w:rsidR="00DF2FF7" w:rsidRDefault="00DF2FF7" w:rsidP="00DF2FF7">
      <w:r>
        <w:t>K</w:t>
      </w:r>
      <w:r w:rsidRPr="00494CC3">
        <w:t xml:space="preserve">reditinstitutter og fondsmæglerselskaber I </w:t>
      </w:r>
      <w:r>
        <w:t xml:space="preserve">skal </w:t>
      </w:r>
      <w:r w:rsidRPr="00494CC3">
        <w:t>beregne deres gearingsgrad og indberette denne til Finanstilsynet. Gearingsgraden beregnes som et instituts kapitalmål divideret med instituttets samlede eksponeringsringsmål og udtrykkes i procent. Finanstilsynet skal tage hensyn til de indberettede oplysninger i forbindelse med sit tilsyn.</w:t>
      </w:r>
    </w:p>
    <w:p w14:paraId="2FCC4A24" w14:textId="77777777" w:rsidR="00DF2FF7" w:rsidRDefault="00DF2FF7" w:rsidP="00DF2FF7"/>
    <w:p w14:paraId="4B4514A1" w14:textId="754DF9D9" w:rsidR="00DF2FF7" w:rsidRDefault="00DF2FF7" w:rsidP="00DF2FF7">
      <w:r>
        <w:t>Med CRR</w:t>
      </w:r>
      <w:r w:rsidR="00BF7711">
        <w:t xml:space="preserve"> </w:t>
      </w:r>
      <w:r>
        <w:t>II indføres et krav til alle institutter om,</w:t>
      </w:r>
      <w:r w:rsidRPr="002E41C2">
        <w:t xml:space="preserve"> at gearings</w:t>
      </w:r>
      <w:r>
        <w:t>graden skal være</w:t>
      </w:r>
      <w:r w:rsidRPr="002E41C2">
        <w:t xml:space="preserve"> </w:t>
      </w:r>
      <w:r>
        <w:t xml:space="preserve">mindst </w:t>
      </w:r>
      <w:r w:rsidRPr="002E41C2">
        <w:t>3 pct.</w:t>
      </w:r>
      <w:r>
        <w:t xml:space="preserve"> (et såkaldt gearingsgradkrav). Gearingsgraden opgøres som forholdet mellem </w:t>
      </w:r>
      <w:r w:rsidRPr="00FB111A">
        <w:t>et kreditinstituts kapital</w:t>
      </w:r>
      <w:r>
        <w:t>grundlag (den såkaldte kernekapital) og</w:t>
      </w:r>
      <w:r w:rsidRPr="00FB111A">
        <w:t xml:space="preserve"> instituttets samlede ikke-risikovægtede eksponeringer, f</w:t>
      </w:r>
      <w:r w:rsidR="00611CCC">
        <w:t>.eks.</w:t>
      </w:r>
      <w:r w:rsidRPr="00FB111A">
        <w:t xml:space="preserve"> udlån.</w:t>
      </w:r>
      <w:r>
        <w:t xml:space="preserve"> </w:t>
      </w:r>
    </w:p>
    <w:p w14:paraId="34353E41" w14:textId="77777777" w:rsidR="00DF2FF7" w:rsidRDefault="00DF2FF7" w:rsidP="00DF2FF7"/>
    <w:p w14:paraId="79A20E50" w14:textId="77777777" w:rsidR="00DF2FF7" w:rsidRDefault="00DF2FF7" w:rsidP="00DF2FF7">
      <w:r>
        <w:t>Med CRR II indføres derudover et krav om et tillæg til gearingsgradkravet (en gearingsgradbuffer) for globalt systemisk vigtige finansielle institutter (</w:t>
      </w:r>
      <w:proofErr w:type="spellStart"/>
      <w:r>
        <w:t>G-SIFI'er</w:t>
      </w:r>
      <w:proofErr w:type="spellEnd"/>
      <w:r>
        <w:t>), som lægges oven på gearingsgradkravet.</w:t>
      </w:r>
    </w:p>
    <w:p w14:paraId="590C16EF" w14:textId="77777777" w:rsidR="00DF2FF7" w:rsidRDefault="00DF2FF7" w:rsidP="00803C74">
      <w:pPr>
        <w:rPr>
          <w:i/>
        </w:rPr>
      </w:pPr>
    </w:p>
    <w:p w14:paraId="3FD8C30A" w14:textId="21133CC3" w:rsidR="00EB41AA" w:rsidRPr="00727502" w:rsidRDefault="00703BFA" w:rsidP="00803C74">
      <w:pPr>
        <w:rPr>
          <w:i/>
        </w:rPr>
      </w:pPr>
      <w:r>
        <w:rPr>
          <w:i/>
        </w:rPr>
        <w:t>2.</w:t>
      </w:r>
      <w:r w:rsidR="001A5DF0">
        <w:rPr>
          <w:i/>
        </w:rPr>
        <w:t>3</w:t>
      </w:r>
      <w:r>
        <w:rPr>
          <w:i/>
        </w:rPr>
        <w:t xml:space="preserve">.2.2. </w:t>
      </w:r>
      <w:r w:rsidR="000B2228">
        <w:rPr>
          <w:i/>
        </w:rPr>
        <w:t>Forordningens indhold</w:t>
      </w:r>
    </w:p>
    <w:p w14:paraId="79BF25E7" w14:textId="7A0EC9B2" w:rsidR="00803C74" w:rsidRDefault="00803C74" w:rsidP="00803C74">
      <w:r>
        <w:lastRenderedPageBreak/>
        <w:t xml:space="preserve">CRR </w:t>
      </w:r>
      <w:r w:rsidR="00F45238">
        <w:t>Covid-19-relaterede justeringer</w:t>
      </w:r>
      <w:r>
        <w:t xml:space="preserve"> udskyder ikrafttrædelsesdatoen for gearingsgradbufferen for </w:t>
      </w:r>
      <w:proofErr w:type="spellStart"/>
      <w:r>
        <w:t>G-SIFI'er</w:t>
      </w:r>
      <w:proofErr w:type="spellEnd"/>
      <w:r>
        <w:t xml:space="preserve"> med et år, så den først træder i kraft 1. januar 2023 i stedet for 1. januar 2022. Det følger en anbefaling fra Basel-komitéen.</w:t>
      </w:r>
    </w:p>
    <w:p w14:paraId="351E15DD" w14:textId="77777777" w:rsidR="00803C74" w:rsidRDefault="00803C74" w:rsidP="00803C74"/>
    <w:p w14:paraId="5E399E5E" w14:textId="6C678BF7" w:rsidR="00DF2FF7" w:rsidRDefault="00DF2FF7" w:rsidP="00DF2FF7">
      <w:r>
        <w:t xml:space="preserve">Med CRR </w:t>
      </w:r>
      <w:r w:rsidR="00F45238">
        <w:t>Covid-19-relaterede justeringer</w:t>
      </w:r>
      <w:r>
        <w:t xml:space="preserve"> vil de største institutter i EU (de institutter, der er udpeget </w:t>
      </w:r>
      <w:proofErr w:type="spellStart"/>
      <w:r>
        <w:t>G-SIFI'er</w:t>
      </w:r>
      <w:proofErr w:type="spellEnd"/>
      <w:r>
        <w:t xml:space="preserve">) først skulle overholde gearingsgradbufferkravet et år senere end ellers tiltænkt. Ingen </w:t>
      </w:r>
      <w:r w:rsidR="00AF4868">
        <w:t>grønlandsk</w:t>
      </w:r>
      <w:r>
        <w:t xml:space="preserve">e institutter er underlagt gearingsgradbufferen, idet ingen </w:t>
      </w:r>
      <w:r w:rsidR="00AF4868">
        <w:t>grønlandsk</w:t>
      </w:r>
      <w:r>
        <w:t xml:space="preserve">e kreditinstitutter aktuelt er udpeget som </w:t>
      </w:r>
      <w:proofErr w:type="spellStart"/>
      <w:r>
        <w:t>G-SIFI'er</w:t>
      </w:r>
      <w:proofErr w:type="spellEnd"/>
      <w:r>
        <w:t xml:space="preserve">. </w:t>
      </w:r>
    </w:p>
    <w:p w14:paraId="637D693E" w14:textId="77777777" w:rsidR="00572E32" w:rsidRDefault="00572E32" w:rsidP="00DF2FF7"/>
    <w:p w14:paraId="5D3B5B58" w14:textId="6B6874E2" w:rsidR="00572E32" w:rsidRDefault="00572E32" w:rsidP="00572E32">
      <w:pPr>
        <w:rPr>
          <w:rFonts w:eastAsiaTheme="majorEastAsia"/>
          <w:i/>
        </w:rPr>
      </w:pPr>
      <w:r>
        <w:rPr>
          <w:rFonts w:eastAsiaTheme="majorEastAsia"/>
          <w:i/>
        </w:rPr>
        <w:t xml:space="preserve">2.3.2.3. </w:t>
      </w:r>
      <w:r w:rsidR="0049426E">
        <w:rPr>
          <w:rFonts w:eastAsiaTheme="majorEastAsia"/>
          <w:i/>
        </w:rPr>
        <w:t>Erhvervsministeriets overvejelser og den foreslåede ordning</w:t>
      </w:r>
      <w:r w:rsidR="0049426E" w:rsidDel="0049426E">
        <w:rPr>
          <w:rFonts w:eastAsiaTheme="majorEastAsia"/>
          <w:i/>
        </w:rPr>
        <w:t xml:space="preserve"> </w:t>
      </w:r>
    </w:p>
    <w:p w14:paraId="492C276B" w14:textId="01ABA9D1" w:rsidR="00572E32" w:rsidRDefault="00572E32" w:rsidP="00572E32">
      <w:pPr>
        <w:rPr>
          <w:rFonts w:eastAsiaTheme="majorEastAsia"/>
        </w:rPr>
      </w:pPr>
      <w:r>
        <w:rPr>
          <w:rFonts w:eastAsiaTheme="majorEastAsia"/>
        </w:rPr>
        <w:t xml:space="preserve">Erhvervsministeriet finder det hensigtsmæssigt, at der </w:t>
      </w:r>
      <w:r w:rsidR="00B05606">
        <w:rPr>
          <w:rFonts w:eastAsiaTheme="majorEastAsia"/>
        </w:rPr>
        <w:t>i Grønland</w:t>
      </w:r>
      <w:r>
        <w:rPr>
          <w:rFonts w:eastAsiaTheme="majorEastAsia"/>
        </w:rPr>
        <w:t xml:space="preserve"> gælder regler svarende til reglerne i Danmark på det finansielle område. </w:t>
      </w:r>
    </w:p>
    <w:p w14:paraId="3DF115A7" w14:textId="77777777" w:rsidR="00572E32" w:rsidRPr="00374D6B" w:rsidRDefault="00572E32" w:rsidP="00572E32">
      <w:pPr>
        <w:rPr>
          <w:rFonts w:eastAsiaTheme="majorEastAsia"/>
        </w:rPr>
      </w:pPr>
    </w:p>
    <w:p w14:paraId="6129872E" w14:textId="58857448" w:rsidR="00572E32" w:rsidRDefault="00572E32" w:rsidP="00DF2FF7">
      <w:r>
        <w:rPr>
          <w:rFonts w:eastAsiaTheme="majorEastAsia"/>
        </w:rPr>
        <w:t xml:space="preserve">Det foreslås </w:t>
      </w:r>
      <w:r w:rsidR="00611CCC">
        <w:rPr>
          <w:rFonts w:eastAsiaTheme="majorEastAsia"/>
        </w:rPr>
        <w:t xml:space="preserve">derfor </w:t>
      </w:r>
      <w:r>
        <w:rPr>
          <w:rFonts w:eastAsiaTheme="majorEastAsia"/>
        </w:rPr>
        <w:t xml:space="preserve">at sætte reglerne i </w:t>
      </w:r>
      <w:r>
        <w:rPr>
          <w:spacing w:val="-3"/>
        </w:rPr>
        <w:t>CRR Covid-19-relaterede justeringer</w:t>
      </w:r>
      <w:r>
        <w:rPr>
          <w:rFonts w:eastAsiaTheme="majorEastAsia"/>
        </w:rPr>
        <w:t xml:space="preserve"> i kraft for </w:t>
      </w:r>
      <w:r w:rsidR="00AF4868">
        <w:rPr>
          <w:rFonts w:eastAsiaTheme="majorEastAsia"/>
        </w:rPr>
        <w:t>Grønland</w:t>
      </w:r>
      <w:r>
        <w:rPr>
          <w:rFonts w:eastAsiaTheme="majorEastAsia"/>
        </w:rPr>
        <w:t>, som beskrevet i afsnit 2.3.2.2 ovenfor.</w:t>
      </w:r>
    </w:p>
    <w:p w14:paraId="1133E5A7" w14:textId="77777777" w:rsidR="008342A3" w:rsidRDefault="008342A3" w:rsidP="00803C74"/>
    <w:p w14:paraId="0EFDE767" w14:textId="77777777" w:rsidR="00803C74" w:rsidRDefault="008342A3" w:rsidP="00727502">
      <w:pPr>
        <w:pStyle w:val="Overskrift2"/>
        <w:rPr>
          <w:sz w:val="24"/>
        </w:rPr>
      </w:pPr>
      <w:bookmarkStart w:id="165" w:name="_Ref84075249"/>
      <w:r>
        <w:rPr>
          <w:sz w:val="24"/>
        </w:rPr>
        <w:t>2.</w:t>
      </w:r>
      <w:r w:rsidR="001A5DF0">
        <w:rPr>
          <w:sz w:val="24"/>
        </w:rPr>
        <w:t>3</w:t>
      </w:r>
      <w:r>
        <w:rPr>
          <w:sz w:val="24"/>
        </w:rPr>
        <w:t>.3</w:t>
      </w:r>
      <w:r w:rsidR="00703BFA">
        <w:rPr>
          <w:sz w:val="24"/>
        </w:rPr>
        <w:t>.</w:t>
      </w:r>
      <w:r>
        <w:rPr>
          <w:sz w:val="24"/>
        </w:rPr>
        <w:t xml:space="preserve"> </w:t>
      </w:r>
      <w:r w:rsidR="00803C74" w:rsidRPr="00727502">
        <w:rPr>
          <w:sz w:val="24"/>
        </w:rPr>
        <w:t>Ændring af behandling af eksponeringer mod centralbanker i beregning af gearingsgraden</w:t>
      </w:r>
      <w:bookmarkEnd w:id="165"/>
    </w:p>
    <w:p w14:paraId="3DA30294" w14:textId="77777777" w:rsidR="008342A3" w:rsidRDefault="00D92993" w:rsidP="008342A3">
      <w:pPr>
        <w:rPr>
          <w:i/>
        </w:rPr>
      </w:pPr>
      <w:r>
        <w:rPr>
          <w:i/>
        </w:rPr>
        <w:t>2.</w:t>
      </w:r>
      <w:r w:rsidR="001A5DF0">
        <w:rPr>
          <w:i/>
        </w:rPr>
        <w:t>3</w:t>
      </w:r>
      <w:r>
        <w:rPr>
          <w:i/>
        </w:rPr>
        <w:t xml:space="preserve">.3.1. </w:t>
      </w:r>
      <w:r w:rsidR="008342A3">
        <w:rPr>
          <w:i/>
        </w:rPr>
        <w:t>Gældende ret</w:t>
      </w:r>
    </w:p>
    <w:p w14:paraId="31A6CF65" w14:textId="77777777" w:rsidR="008342A3" w:rsidRDefault="008342A3" w:rsidP="008342A3">
      <w:r>
        <w:t>K</w:t>
      </w:r>
      <w:r w:rsidRPr="00494CC3">
        <w:t xml:space="preserve">reditinstitutter og fondsmæglerselskaber I </w:t>
      </w:r>
      <w:r>
        <w:t xml:space="preserve">skal </w:t>
      </w:r>
      <w:r w:rsidRPr="00494CC3">
        <w:t>beregne deres gearingsgrad og indberette denne til Finanstilsynet. Gearingsgraden beregnes som et instituts kapitalmål divideret med instituttets samlede eksponeringsringsmål og udtrykkes i procent. Finanstilsynet skal tage hensyn til de indberettede oplysninger i forbindelse med sit tilsyn.</w:t>
      </w:r>
    </w:p>
    <w:p w14:paraId="2AF31A75" w14:textId="77777777" w:rsidR="00DF2FF7" w:rsidRDefault="00DF2FF7" w:rsidP="00DF2FF7"/>
    <w:p w14:paraId="4B4AC0F0" w14:textId="319E6C47" w:rsidR="00DF2FF7" w:rsidRDefault="00DF2FF7" w:rsidP="00DF2FF7">
      <w:r>
        <w:t>I CRR II indføres sammen med gearingsgradkravet en mulighed for, at tilsynsmyndigheder i særlige tilfælde kan tillade at undtage visse eksponeringer mod centralbanken, f</w:t>
      </w:r>
      <w:r w:rsidR="00D6338B">
        <w:t>.eks.</w:t>
      </w:r>
      <w:r>
        <w:t xml:space="preserve"> institutters kontante indeståender i centralbanken, fra opgørelsen af eksponeringer (udlån mv.), når gearingsgraden beregnes. </w:t>
      </w:r>
    </w:p>
    <w:p w14:paraId="0DD88724" w14:textId="77777777" w:rsidR="00DF2FF7" w:rsidRDefault="00DF2FF7" w:rsidP="00DF2FF7"/>
    <w:p w14:paraId="46C51C49" w14:textId="77777777" w:rsidR="00DF2FF7" w:rsidRDefault="00DF2FF7" w:rsidP="00DF2FF7">
      <w:r>
        <w:t xml:space="preserve">Undtagelsen skal gives af tilsynsmyndigheden efter høring af centralbanken. </w:t>
      </w:r>
    </w:p>
    <w:p w14:paraId="12DAFCCE" w14:textId="77777777" w:rsidR="00DF2FF7" w:rsidRDefault="00DF2FF7" w:rsidP="00DF2FF7"/>
    <w:p w14:paraId="76212DF8" w14:textId="77777777" w:rsidR="00DF2FF7" w:rsidRDefault="00DF2FF7" w:rsidP="00DF2FF7">
      <w:r>
        <w:t>Formålet med undtagelsen er at understøtte pengepolitikken ved at sikre, at eksponeringer mod centralbanker ikke bidrager til at reducere institutternes gearingsgrad, så de fremstår dårligere kapitaliserede. Eksponeringer mod centralbanker er således ikke til hinder for, at et institut kan efterleve gearingsgradkravet.</w:t>
      </w:r>
    </w:p>
    <w:p w14:paraId="71ED79B4" w14:textId="77777777" w:rsidR="00DF2FF7" w:rsidRDefault="00DF2FF7" w:rsidP="00DF2FF7"/>
    <w:p w14:paraId="3E62DCE9" w14:textId="77777777" w:rsidR="00DF2FF7" w:rsidRDefault="00DF2FF7" w:rsidP="00DF2FF7">
      <w:r>
        <w:t xml:space="preserve">Når denne undtagelse bruges, skal institutternes gearingsgradkrav dog (ifølge reglerne vedtaget med CRR II) samtidig løbende justeres opad, </w:t>
      </w:r>
      <w:proofErr w:type="gramStart"/>
      <w:r>
        <w:t>således at</w:t>
      </w:r>
      <w:proofErr w:type="gramEnd"/>
      <w:r>
        <w:t xml:space="preserve"> forskellen mellem et instituts gearingsgrad og gearingsgradkravet (kapitaloverdækning) ikke ændres som følge af undtagelsen. </w:t>
      </w:r>
    </w:p>
    <w:p w14:paraId="71C1AD7C" w14:textId="77777777" w:rsidR="008342A3" w:rsidRPr="008342A3" w:rsidRDefault="008342A3" w:rsidP="00727502"/>
    <w:p w14:paraId="2E295BE5" w14:textId="5B716137" w:rsidR="008342A3" w:rsidRPr="00727502" w:rsidRDefault="00D92993" w:rsidP="00803C74">
      <w:pPr>
        <w:rPr>
          <w:i/>
        </w:rPr>
      </w:pPr>
      <w:r>
        <w:rPr>
          <w:i/>
        </w:rPr>
        <w:t>2.</w:t>
      </w:r>
      <w:r w:rsidR="001A5DF0">
        <w:rPr>
          <w:i/>
        </w:rPr>
        <w:t>3</w:t>
      </w:r>
      <w:r>
        <w:rPr>
          <w:i/>
        </w:rPr>
        <w:t xml:space="preserve">.3.2. </w:t>
      </w:r>
      <w:r w:rsidR="000B2228">
        <w:rPr>
          <w:i/>
        </w:rPr>
        <w:t>Forordningens indhold</w:t>
      </w:r>
    </w:p>
    <w:p w14:paraId="03B71EC3" w14:textId="574BB14F" w:rsidR="00DF2FF7" w:rsidRDefault="00DF2FF7" w:rsidP="00DF2FF7">
      <w:r>
        <w:t xml:space="preserve">CRR </w:t>
      </w:r>
      <w:r w:rsidR="00F45238">
        <w:t>Covid-19-relaterede justeringer</w:t>
      </w:r>
      <w:r>
        <w:t xml:space="preserve"> indebærer, at der alene udregnes et justeret gearingsgradkrav på det tidspunkt, hvor myndighederne efter høring af den relevante centralbank har erklæret</w:t>
      </w:r>
      <w:r w:rsidR="00D6338B">
        <w:t>, at</w:t>
      </w:r>
      <w:r>
        <w:t xml:space="preserve"> der foreligger særlige omstændigheder, der berettiger</w:t>
      </w:r>
      <w:r w:rsidR="00D6338B">
        <w:t>,</w:t>
      </w:r>
      <w:r>
        <w:t xml:space="preserve"> at undtagelsen af institutternes eksponeringer mod centralbanken tages i brug for at understøtte pengepolitikken. Der skal ikke (som ellers vedtaget med CRR II) foretages løbende justeringer til gearingsgradkravet, uanset at institutternes eksponeringer mod deres respektive centralbanker måtte ændre sig.</w:t>
      </w:r>
    </w:p>
    <w:p w14:paraId="2323C5A8" w14:textId="77777777" w:rsidR="00DF2FF7" w:rsidRDefault="00DF2FF7" w:rsidP="00DF2FF7"/>
    <w:p w14:paraId="2E6274F5" w14:textId="732C8A98" w:rsidR="00DF2FF7" w:rsidRDefault="00DF2FF7" w:rsidP="00DF2FF7">
      <w:r>
        <w:t xml:space="preserve">CRR </w:t>
      </w:r>
      <w:r w:rsidR="00F45238">
        <w:t>Covid-19-relaterede justeringer</w:t>
      </w:r>
      <w:r>
        <w:t xml:space="preserve"> vil muliggøre en større kapitaloverdækning for et kreditinstitut (gearingsgrad ift. gearingsgradkrav) og derved understøtte pengepolitikken, og at instituttet ikke reducerer sine udlån til virksomheder og husholdninger.</w:t>
      </w:r>
    </w:p>
    <w:p w14:paraId="122D93F4" w14:textId="77777777" w:rsidR="00572E32" w:rsidRDefault="00572E32" w:rsidP="00DF2FF7"/>
    <w:p w14:paraId="7991ACE9" w14:textId="667BFE1C" w:rsidR="00572E32" w:rsidRDefault="00572E32" w:rsidP="00572E32">
      <w:pPr>
        <w:rPr>
          <w:rFonts w:eastAsiaTheme="majorEastAsia"/>
          <w:i/>
        </w:rPr>
      </w:pPr>
      <w:r>
        <w:rPr>
          <w:rFonts w:eastAsiaTheme="majorEastAsia"/>
          <w:i/>
        </w:rPr>
        <w:t xml:space="preserve">2.3.3.3. </w:t>
      </w:r>
      <w:r w:rsidR="0049426E">
        <w:rPr>
          <w:rFonts w:eastAsiaTheme="majorEastAsia"/>
          <w:i/>
        </w:rPr>
        <w:t>Erhvervsministeriets overvejelser og den foreslåede ordning</w:t>
      </w:r>
    </w:p>
    <w:p w14:paraId="64A36C77" w14:textId="6BFEA272" w:rsidR="00572E32" w:rsidRDefault="00572E32" w:rsidP="00572E32">
      <w:pPr>
        <w:rPr>
          <w:rFonts w:eastAsiaTheme="majorEastAsia"/>
        </w:rPr>
      </w:pPr>
      <w:r>
        <w:rPr>
          <w:rFonts w:eastAsiaTheme="majorEastAsia"/>
        </w:rPr>
        <w:t xml:space="preserve">Erhvervsministeriet finder det hensigtsmæssigt, at der </w:t>
      </w:r>
      <w:r w:rsidR="00B05606">
        <w:rPr>
          <w:rFonts w:eastAsiaTheme="majorEastAsia"/>
        </w:rPr>
        <w:t>i Grønland</w:t>
      </w:r>
      <w:r>
        <w:rPr>
          <w:rFonts w:eastAsiaTheme="majorEastAsia"/>
        </w:rPr>
        <w:t xml:space="preserve"> gælder regler svarende til reglerne i Danmark på det finansielle område. </w:t>
      </w:r>
    </w:p>
    <w:p w14:paraId="6C84FAF4" w14:textId="77777777" w:rsidR="00572E32" w:rsidRPr="00374D6B" w:rsidRDefault="00572E32" w:rsidP="00572E32">
      <w:pPr>
        <w:rPr>
          <w:rFonts w:eastAsiaTheme="majorEastAsia"/>
        </w:rPr>
      </w:pPr>
    </w:p>
    <w:p w14:paraId="1F7A0DAF" w14:textId="5A11A814" w:rsidR="008342A3" w:rsidRDefault="00572E32" w:rsidP="00A456AA">
      <w:pPr>
        <w:rPr>
          <w:rFonts w:eastAsiaTheme="majorEastAsia"/>
        </w:rPr>
      </w:pPr>
      <w:r>
        <w:rPr>
          <w:rFonts w:eastAsiaTheme="majorEastAsia"/>
        </w:rPr>
        <w:t>Det foreslås</w:t>
      </w:r>
      <w:r w:rsidR="004E365B">
        <w:rPr>
          <w:rFonts w:eastAsiaTheme="majorEastAsia"/>
        </w:rPr>
        <w:t xml:space="preserve"> derfor</w:t>
      </w:r>
      <w:r>
        <w:rPr>
          <w:rFonts w:eastAsiaTheme="majorEastAsia"/>
        </w:rPr>
        <w:t xml:space="preserve"> at sætte reglerne i </w:t>
      </w:r>
      <w:r>
        <w:rPr>
          <w:spacing w:val="-3"/>
        </w:rPr>
        <w:t>CRR Covid-19-relaterede justeringer</w:t>
      </w:r>
      <w:r>
        <w:rPr>
          <w:rFonts w:eastAsiaTheme="majorEastAsia"/>
        </w:rPr>
        <w:t xml:space="preserve"> i kraft for </w:t>
      </w:r>
      <w:r w:rsidR="00AF4868">
        <w:rPr>
          <w:rFonts w:eastAsiaTheme="majorEastAsia"/>
        </w:rPr>
        <w:t>Grønland</w:t>
      </w:r>
      <w:r>
        <w:rPr>
          <w:rFonts w:eastAsiaTheme="majorEastAsia"/>
        </w:rPr>
        <w:t>, som beskrevet i afsnit 2.3.3.2 ovenfor.</w:t>
      </w:r>
    </w:p>
    <w:p w14:paraId="78A4B16B" w14:textId="77777777" w:rsidR="0019623C" w:rsidRDefault="0019623C" w:rsidP="00A456AA">
      <w:pPr>
        <w:rPr>
          <w:rFonts w:eastAsiaTheme="majorEastAsia"/>
        </w:rPr>
      </w:pPr>
    </w:p>
    <w:p w14:paraId="3CD0DD7C" w14:textId="5DE30233" w:rsidR="0019623C" w:rsidRPr="003B0B97" w:rsidRDefault="0019623C" w:rsidP="0019623C">
      <w:pPr>
        <w:pStyle w:val="Overskrift1"/>
        <w:rPr>
          <w:rFonts w:cs="Times New Roman"/>
          <w:bCs w:val="0"/>
          <w:iCs/>
          <w:sz w:val="24"/>
          <w:szCs w:val="24"/>
        </w:rPr>
      </w:pPr>
      <w:r>
        <w:rPr>
          <w:rFonts w:cs="Times New Roman"/>
          <w:bCs w:val="0"/>
          <w:iCs/>
          <w:sz w:val="24"/>
          <w:szCs w:val="24"/>
        </w:rPr>
        <w:t>3</w:t>
      </w:r>
      <w:r w:rsidRPr="003B0B97">
        <w:rPr>
          <w:rFonts w:cs="Times New Roman"/>
          <w:bCs w:val="0"/>
          <w:iCs/>
          <w:sz w:val="24"/>
          <w:szCs w:val="24"/>
        </w:rPr>
        <w:t>. </w:t>
      </w:r>
      <w:r>
        <w:rPr>
          <w:rFonts w:cs="Times New Roman"/>
          <w:bCs w:val="0"/>
          <w:iCs/>
          <w:sz w:val="24"/>
          <w:szCs w:val="24"/>
        </w:rPr>
        <w:t xml:space="preserve"> K</w:t>
      </w:r>
      <w:r w:rsidRPr="003B0B97">
        <w:rPr>
          <w:rFonts w:cs="Times New Roman"/>
          <w:bCs w:val="0"/>
          <w:iCs/>
          <w:sz w:val="24"/>
          <w:szCs w:val="24"/>
        </w:rPr>
        <w:t>onsekvenser</w:t>
      </w:r>
      <w:r>
        <w:rPr>
          <w:rFonts w:cs="Times New Roman"/>
          <w:bCs w:val="0"/>
          <w:iCs/>
          <w:sz w:val="24"/>
          <w:szCs w:val="24"/>
        </w:rPr>
        <w:t xml:space="preserve"> for Rigsfællesskabet</w:t>
      </w:r>
    </w:p>
    <w:p w14:paraId="18B4011B" w14:textId="77777777" w:rsidR="0019623C" w:rsidRDefault="0019623C" w:rsidP="0019623C">
      <w:pPr>
        <w:rPr>
          <w:rFonts w:cs="Times New Roman"/>
          <w:szCs w:val="24"/>
        </w:rPr>
      </w:pPr>
      <w:r>
        <w:t xml:space="preserve">Lovforslaget vil ensarte reglerne mellem Danmark og Grønland. </w:t>
      </w:r>
      <w:r w:rsidRPr="00C53EBF">
        <w:t>Ensartede regler er med til at mind</w:t>
      </w:r>
      <w:r>
        <w:t>ske grænsehindringer inden for r</w:t>
      </w:r>
      <w:r w:rsidRPr="00C53EBF">
        <w:t>igsfællesskabet. Det forventes derfor, at lovforslaget vil med</w:t>
      </w:r>
      <w:r>
        <w:t>føre positive konsekvenser for r</w:t>
      </w:r>
      <w:r w:rsidRPr="00C53EBF">
        <w:t>igsfællesskabet.</w:t>
      </w:r>
    </w:p>
    <w:p w14:paraId="51F8E402" w14:textId="77777777" w:rsidR="00DA0267" w:rsidRPr="008342A3" w:rsidRDefault="00DA0267" w:rsidP="00A456AA"/>
    <w:p w14:paraId="286BA467" w14:textId="48E09C06" w:rsidR="00F0531D" w:rsidRPr="003B0B97" w:rsidRDefault="0019623C" w:rsidP="00A456AA">
      <w:pPr>
        <w:pStyle w:val="Overskrift1"/>
        <w:rPr>
          <w:rFonts w:cs="Times New Roman"/>
          <w:bCs w:val="0"/>
          <w:iCs/>
          <w:sz w:val="24"/>
          <w:szCs w:val="24"/>
        </w:rPr>
      </w:pPr>
      <w:bookmarkStart w:id="166" w:name="_Toc505180549"/>
      <w:bookmarkStart w:id="167" w:name="_Toc505690202"/>
      <w:bookmarkStart w:id="168" w:name="_Toc505701755"/>
      <w:bookmarkStart w:id="169" w:name="_Toc505759547"/>
      <w:bookmarkStart w:id="170" w:name="_Toc505759564"/>
      <w:bookmarkStart w:id="171" w:name="_Toc505762657"/>
      <w:bookmarkStart w:id="172" w:name="_Toc505785997"/>
      <w:bookmarkStart w:id="173" w:name="_Toc506799582"/>
      <w:bookmarkStart w:id="174" w:name="_Toc506799599"/>
      <w:bookmarkStart w:id="175" w:name="_Toc506894558"/>
      <w:bookmarkStart w:id="176" w:name="_Toc507486295"/>
      <w:bookmarkStart w:id="177" w:name="_Toc515271230"/>
      <w:bookmarkStart w:id="178" w:name="_Toc515271553"/>
      <w:bookmarkStart w:id="179" w:name="_Toc515271581"/>
      <w:bookmarkStart w:id="180" w:name="_Toc515280489"/>
      <w:bookmarkStart w:id="181" w:name="_Toc515280640"/>
      <w:bookmarkStart w:id="182" w:name="_Toc515352792"/>
      <w:bookmarkStart w:id="183" w:name="_Toc515540865"/>
      <w:bookmarkStart w:id="184" w:name="_Toc515543705"/>
      <w:bookmarkStart w:id="185" w:name="_Toc515543890"/>
      <w:bookmarkStart w:id="186" w:name="_Toc515551691"/>
      <w:bookmarkStart w:id="187" w:name="_Toc515627633"/>
      <w:bookmarkStart w:id="188" w:name="_Toc516039943"/>
      <w:bookmarkStart w:id="189" w:name="_Toc516155366"/>
      <w:bookmarkStart w:id="190" w:name="_Toc516490267"/>
      <w:bookmarkStart w:id="191" w:name="_Toc518037949"/>
      <w:bookmarkStart w:id="192" w:name="_Toc524599601"/>
      <w:bookmarkStart w:id="193" w:name="_Toc526154934"/>
      <w:bookmarkStart w:id="194" w:name="_Toc526155480"/>
      <w:bookmarkStart w:id="195" w:name="_Toc526155553"/>
      <w:bookmarkStart w:id="196" w:name="_Toc526253990"/>
      <w:bookmarkStart w:id="197" w:name="_Toc526348415"/>
      <w:bookmarkStart w:id="198" w:name="_Toc526374606"/>
      <w:bookmarkStart w:id="199" w:name="_Toc526374622"/>
      <w:bookmarkStart w:id="200" w:name="_Toc526406485"/>
      <w:bookmarkStart w:id="201" w:name="_Toc526409511"/>
      <w:bookmarkStart w:id="202" w:name="_Toc526491410"/>
      <w:bookmarkStart w:id="203" w:name="_Toc526505522"/>
      <w:bookmarkStart w:id="204" w:name="_Toc526756614"/>
      <w:r>
        <w:rPr>
          <w:rFonts w:cs="Times New Roman"/>
          <w:bCs w:val="0"/>
          <w:iCs/>
          <w:sz w:val="24"/>
          <w:szCs w:val="24"/>
        </w:rPr>
        <w:t>4</w:t>
      </w:r>
      <w:r w:rsidR="005F1F5A">
        <w:rPr>
          <w:rFonts w:cs="Times New Roman"/>
          <w:bCs w:val="0"/>
          <w:iCs/>
          <w:sz w:val="24"/>
          <w:szCs w:val="24"/>
        </w:rPr>
        <w:t>.</w:t>
      </w:r>
      <w:r w:rsidR="00F0531D" w:rsidRPr="003B0B97">
        <w:rPr>
          <w:rFonts w:cs="Times New Roman"/>
          <w:bCs w:val="0"/>
          <w:iCs/>
          <w:sz w:val="24"/>
          <w:szCs w:val="24"/>
        </w:rPr>
        <w:t> Økonomiske konsekvenser og implementeringskonsekvenser for det offentlige</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7A8C0BE6" w14:textId="3E02C4F1" w:rsidR="00C277EA" w:rsidRDefault="0058002D" w:rsidP="0058002D">
      <w:r w:rsidRPr="006B3973">
        <w:t xml:space="preserve">Lovforslaget vurderes at </w:t>
      </w:r>
      <w:r w:rsidRPr="006F08F8">
        <w:t xml:space="preserve">medføre </w:t>
      </w:r>
      <w:r>
        <w:t xml:space="preserve">negative økonomiske konsekvenser </w:t>
      </w:r>
      <w:r w:rsidRPr="006F08F8">
        <w:t>for Erhvervsministeriet</w:t>
      </w:r>
      <w:r>
        <w:rPr>
          <w:rFonts w:cs="Times New Roman"/>
          <w:szCs w:val="24"/>
        </w:rPr>
        <w:t xml:space="preserve"> </w:t>
      </w:r>
      <w:r w:rsidRPr="00C53EBF">
        <w:rPr>
          <w:rFonts w:cs="Times New Roman"/>
          <w:szCs w:val="24"/>
        </w:rPr>
        <w:t>og de</w:t>
      </w:r>
      <w:r>
        <w:rPr>
          <w:rFonts w:cs="Times New Roman"/>
          <w:szCs w:val="24"/>
        </w:rPr>
        <w:t>ts</w:t>
      </w:r>
      <w:r w:rsidRPr="006F08F8">
        <w:t xml:space="preserve"> underliggende m</w:t>
      </w:r>
      <w:r>
        <w:t xml:space="preserve">yndigheder, idet deres tilsynsopgaver i et vist omfang udvides og kvalificeres som følge af lovforslagets indhold. </w:t>
      </w:r>
      <w:r w:rsidR="00C277EA">
        <w:t xml:space="preserve">Lovforslaget indeholder </w:t>
      </w:r>
      <w:proofErr w:type="gramStart"/>
      <w:r w:rsidR="00C277EA">
        <w:t>endvidere</w:t>
      </w:r>
      <w:proofErr w:type="gramEnd"/>
      <w:r w:rsidR="00C277EA">
        <w:t xml:space="preserve"> indberetningspligt til myndighederne af yderligere data som skal håndteres. </w:t>
      </w:r>
    </w:p>
    <w:p w14:paraId="0C9A52FC" w14:textId="77777777" w:rsidR="00C277EA" w:rsidRDefault="00C277EA" w:rsidP="0058002D"/>
    <w:p w14:paraId="6B51525E" w14:textId="3E371372" w:rsidR="0058002D" w:rsidRDefault="0058002D" w:rsidP="0058002D">
      <w:r w:rsidRPr="006F08F8">
        <w:t>De forvente</w:t>
      </w:r>
      <w:r w:rsidR="004E365B">
        <w:t>de</w:t>
      </w:r>
      <w:r w:rsidRPr="006F08F8">
        <w:t xml:space="preserve"> merudgif</w:t>
      </w:r>
      <w:r w:rsidRPr="006B3973">
        <w:t>ter som følge af lovforslaget</w:t>
      </w:r>
      <w:r>
        <w:t xml:space="preserve"> vil </w:t>
      </w:r>
      <w:r w:rsidR="004E365B">
        <w:t xml:space="preserve">dog </w:t>
      </w:r>
      <w:r>
        <w:t xml:space="preserve">være begrænsede. </w:t>
      </w:r>
      <w:r w:rsidR="004E365B">
        <w:t>Det skyldes</w:t>
      </w:r>
      <w:r w:rsidR="00C277EA">
        <w:t xml:space="preserve">, at myndighedernes arbejds- og procesgange allerede er sat op til at håndtere lovforslaget for så vidt angår danske institutter. Med ensartede regelsæt for Danmark og Grønland vil tilsynsmyndighederne kunne </w:t>
      </w:r>
      <w:r w:rsidR="00AE1048">
        <w:t xml:space="preserve">forenkle </w:t>
      </w:r>
      <w:r w:rsidR="00C277EA">
        <w:t>arbejds</w:t>
      </w:r>
      <w:r w:rsidR="00AE1048">
        <w:t>gange</w:t>
      </w:r>
      <w:r w:rsidR="004E365B">
        <w:t xml:space="preserve"> på området</w:t>
      </w:r>
      <w:r w:rsidR="00C277EA">
        <w:t>. Merudgifterne forventes derfor at kunne</w:t>
      </w:r>
      <w:r w:rsidR="00C277EA" w:rsidRPr="006B3973">
        <w:t xml:space="preserve"> håndteres inden for Erhvervsministeriets</w:t>
      </w:r>
      <w:r w:rsidR="00C277EA">
        <w:rPr>
          <w:rFonts w:cs="Times New Roman"/>
          <w:szCs w:val="24"/>
        </w:rPr>
        <w:t xml:space="preserve"> og </w:t>
      </w:r>
      <w:r w:rsidR="00C277EA" w:rsidRPr="00C53EBF">
        <w:rPr>
          <w:rFonts w:cs="Times New Roman"/>
          <w:szCs w:val="24"/>
        </w:rPr>
        <w:t>de</w:t>
      </w:r>
      <w:r w:rsidR="00C277EA">
        <w:rPr>
          <w:rFonts w:cs="Times New Roman"/>
          <w:szCs w:val="24"/>
        </w:rPr>
        <w:t>t</w:t>
      </w:r>
      <w:r w:rsidR="00C277EA" w:rsidRPr="00C53EBF">
        <w:rPr>
          <w:rFonts w:cs="Times New Roman"/>
          <w:szCs w:val="24"/>
        </w:rPr>
        <w:t>s respektive</w:t>
      </w:r>
      <w:r w:rsidR="00C277EA" w:rsidRPr="006F08F8">
        <w:t xml:space="preserve"> </w:t>
      </w:r>
      <w:r w:rsidR="00C277EA" w:rsidRPr="006B3973">
        <w:t>underliggende myndigheders eksisterende økonomiske rammer.</w:t>
      </w:r>
    </w:p>
    <w:p w14:paraId="36976C7D" w14:textId="77777777" w:rsidR="00F0531D" w:rsidRPr="00A97EC1" w:rsidRDefault="00F0531D" w:rsidP="00A456AA">
      <w:pPr>
        <w:rPr>
          <w:rFonts w:cs="Times New Roman"/>
          <w:szCs w:val="24"/>
        </w:rPr>
      </w:pPr>
    </w:p>
    <w:p w14:paraId="6A29BD64" w14:textId="02C7250D" w:rsidR="00F0531D" w:rsidRPr="003B0B97" w:rsidRDefault="0019623C" w:rsidP="00A456AA">
      <w:pPr>
        <w:pStyle w:val="Overskrift1"/>
        <w:rPr>
          <w:rFonts w:cs="Times New Roman"/>
          <w:bCs w:val="0"/>
          <w:iCs/>
          <w:sz w:val="24"/>
          <w:szCs w:val="24"/>
        </w:rPr>
      </w:pPr>
      <w:bookmarkStart w:id="205" w:name="_Toc515271231"/>
      <w:bookmarkStart w:id="206" w:name="_Toc515271554"/>
      <w:bookmarkStart w:id="207" w:name="_Toc515271582"/>
      <w:bookmarkStart w:id="208" w:name="_Toc515280490"/>
      <w:bookmarkStart w:id="209" w:name="_Toc515280641"/>
      <w:bookmarkStart w:id="210" w:name="_Toc515352793"/>
      <w:bookmarkStart w:id="211" w:name="_Toc515540866"/>
      <w:bookmarkStart w:id="212" w:name="_Toc515543706"/>
      <w:bookmarkStart w:id="213" w:name="_Toc515543891"/>
      <w:bookmarkStart w:id="214" w:name="_Toc515551692"/>
      <w:bookmarkStart w:id="215" w:name="_Toc515627634"/>
      <w:bookmarkStart w:id="216" w:name="_Toc516039944"/>
      <w:bookmarkStart w:id="217" w:name="_Toc516155367"/>
      <w:bookmarkStart w:id="218" w:name="_Toc516490268"/>
      <w:bookmarkStart w:id="219" w:name="_Toc518037950"/>
      <w:bookmarkStart w:id="220" w:name="_Toc524599602"/>
      <w:bookmarkStart w:id="221" w:name="_Toc526154935"/>
      <w:bookmarkStart w:id="222" w:name="_Toc526155481"/>
      <w:bookmarkStart w:id="223" w:name="_Toc526155554"/>
      <w:bookmarkStart w:id="224" w:name="_Toc526253991"/>
      <w:bookmarkStart w:id="225" w:name="_Toc526348416"/>
      <w:bookmarkStart w:id="226" w:name="_Toc526374607"/>
      <w:bookmarkStart w:id="227" w:name="_Toc526374623"/>
      <w:bookmarkStart w:id="228" w:name="_Toc526406486"/>
      <w:bookmarkStart w:id="229" w:name="_Toc526409512"/>
      <w:bookmarkStart w:id="230" w:name="_Toc526491411"/>
      <w:bookmarkStart w:id="231" w:name="_Toc526505523"/>
      <w:bookmarkStart w:id="232" w:name="_Toc526756615"/>
      <w:r>
        <w:rPr>
          <w:rFonts w:cs="Times New Roman"/>
          <w:bCs w:val="0"/>
          <w:iCs/>
          <w:sz w:val="24"/>
          <w:szCs w:val="24"/>
        </w:rPr>
        <w:t>5</w:t>
      </w:r>
      <w:r w:rsidR="00F0531D" w:rsidRPr="003B0B97">
        <w:rPr>
          <w:rFonts w:cs="Times New Roman"/>
          <w:bCs w:val="0"/>
          <w:iCs/>
          <w:sz w:val="24"/>
          <w:szCs w:val="24"/>
        </w:rPr>
        <w:t>. Økonomiske og administrative konsekvenser for erhvervslivet mv.</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48027B19" w14:textId="61F1D32E" w:rsidR="00F0531D" w:rsidRDefault="00EB3C84" w:rsidP="00A456AA">
      <w:pPr>
        <w:rPr>
          <w:rFonts w:eastAsia="Calibri" w:cs="Times New Roman"/>
          <w:szCs w:val="24"/>
        </w:rPr>
      </w:pPr>
      <w:r>
        <w:rPr>
          <w:rFonts w:eastAsia="Calibri" w:cs="Times New Roman"/>
          <w:szCs w:val="24"/>
        </w:rPr>
        <w:t>Lovforslaget vil</w:t>
      </w:r>
      <w:r w:rsidRPr="00EB3C84">
        <w:rPr>
          <w:rFonts w:eastAsia="Calibri" w:cs="Times New Roman"/>
          <w:szCs w:val="24"/>
        </w:rPr>
        <w:t xml:space="preserve"> ikke direkte påvirke private danske virksomheder</w:t>
      </w:r>
      <w:r>
        <w:rPr>
          <w:rFonts w:eastAsia="Calibri" w:cs="Times New Roman"/>
          <w:szCs w:val="24"/>
        </w:rPr>
        <w:t>. Lovfor</w:t>
      </w:r>
      <w:r w:rsidRPr="00EB3C84">
        <w:rPr>
          <w:rFonts w:eastAsia="Calibri" w:cs="Times New Roman"/>
          <w:szCs w:val="24"/>
        </w:rPr>
        <w:t xml:space="preserve">slaget vil dog medføre administrative </w:t>
      </w:r>
      <w:r>
        <w:rPr>
          <w:rFonts w:eastAsia="Calibri" w:cs="Times New Roman"/>
          <w:szCs w:val="24"/>
        </w:rPr>
        <w:t xml:space="preserve">konsekvenser for erhvervslivet </w:t>
      </w:r>
      <w:r w:rsidR="00581518">
        <w:rPr>
          <w:rFonts w:eastAsia="Calibri" w:cs="Times New Roman"/>
          <w:szCs w:val="24"/>
        </w:rPr>
        <w:t>i</w:t>
      </w:r>
      <w:r w:rsidRPr="00EB3C84">
        <w:rPr>
          <w:rFonts w:eastAsia="Calibri" w:cs="Times New Roman"/>
          <w:szCs w:val="24"/>
        </w:rPr>
        <w:t xml:space="preserve"> Grønland. Disse konsekvenser vurderes at være under 4 mio. kr., hvorfor de ikke ville have været kvantificeret nærmere, hvis konsekvenserne havde ramt danske virksomheder.</w:t>
      </w:r>
    </w:p>
    <w:p w14:paraId="4BC9AD7D" w14:textId="77777777" w:rsidR="00A6043D" w:rsidRPr="003B0B97" w:rsidRDefault="00A6043D" w:rsidP="00A456AA">
      <w:pPr>
        <w:rPr>
          <w:rFonts w:cs="Times New Roman"/>
          <w:szCs w:val="24"/>
        </w:rPr>
      </w:pPr>
    </w:p>
    <w:p w14:paraId="22394C1F" w14:textId="625D10BC" w:rsidR="00F0531D" w:rsidRPr="003B0B97" w:rsidRDefault="0019623C" w:rsidP="00A456AA">
      <w:pPr>
        <w:pStyle w:val="Overskrift1"/>
        <w:rPr>
          <w:rFonts w:cs="Times New Roman"/>
          <w:bCs w:val="0"/>
          <w:iCs/>
          <w:sz w:val="24"/>
          <w:szCs w:val="24"/>
        </w:rPr>
      </w:pPr>
      <w:bookmarkStart w:id="233" w:name="_Toc329931204"/>
      <w:bookmarkStart w:id="234" w:name="_Toc329931315"/>
      <w:bookmarkStart w:id="235" w:name="_Toc442277390"/>
      <w:bookmarkStart w:id="236" w:name="_Toc442281308"/>
      <w:bookmarkStart w:id="237" w:name="_Toc442281338"/>
      <w:bookmarkStart w:id="238" w:name="_Toc442777848"/>
      <w:bookmarkStart w:id="239" w:name="_Toc442787245"/>
      <w:bookmarkStart w:id="240" w:name="_Toc442787537"/>
      <w:bookmarkStart w:id="241" w:name="_Toc442953243"/>
      <w:bookmarkStart w:id="242" w:name="_Toc443047627"/>
      <w:bookmarkStart w:id="243" w:name="_Toc444095987"/>
      <w:bookmarkStart w:id="244" w:name="_Toc444244513"/>
      <w:bookmarkStart w:id="245" w:name="_Toc498557228"/>
      <w:bookmarkStart w:id="246" w:name="_Toc498557298"/>
      <w:bookmarkStart w:id="247" w:name="_Toc498590032"/>
      <w:bookmarkStart w:id="248" w:name="_Toc498681515"/>
      <w:bookmarkStart w:id="249" w:name="_Toc499152787"/>
      <w:bookmarkStart w:id="250" w:name="_Toc499158746"/>
      <w:bookmarkStart w:id="251" w:name="_Toc499648619"/>
      <w:bookmarkStart w:id="252" w:name="_Toc499728112"/>
      <w:bookmarkStart w:id="253" w:name="_Toc499732960"/>
      <w:bookmarkStart w:id="254" w:name="_Toc499736991"/>
      <w:bookmarkStart w:id="255" w:name="_Toc499812931"/>
      <w:bookmarkStart w:id="256" w:name="_Toc499813734"/>
      <w:bookmarkStart w:id="257" w:name="_Toc500921481"/>
      <w:bookmarkStart w:id="258" w:name="_Toc500921507"/>
      <w:bookmarkStart w:id="259" w:name="_Toc500921618"/>
      <w:bookmarkStart w:id="260" w:name="_Toc501019228"/>
      <w:bookmarkStart w:id="261" w:name="_Toc504483873"/>
      <w:bookmarkStart w:id="262" w:name="_Toc505180551"/>
      <w:bookmarkStart w:id="263" w:name="_Toc505690204"/>
      <w:bookmarkStart w:id="264" w:name="_Toc505701757"/>
      <w:bookmarkStart w:id="265" w:name="_Toc505759549"/>
      <w:bookmarkStart w:id="266" w:name="_Toc505759566"/>
      <w:bookmarkStart w:id="267" w:name="_Toc505762659"/>
      <w:bookmarkStart w:id="268" w:name="_Toc505785999"/>
      <w:bookmarkStart w:id="269" w:name="_Toc506799584"/>
      <w:bookmarkStart w:id="270" w:name="_Toc506799601"/>
      <w:bookmarkStart w:id="271" w:name="_Toc506894560"/>
      <w:bookmarkStart w:id="272" w:name="_Toc507486297"/>
      <w:bookmarkStart w:id="273" w:name="_Toc515271232"/>
      <w:bookmarkStart w:id="274" w:name="_Toc515271555"/>
      <w:bookmarkStart w:id="275" w:name="_Toc515271583"/>
      <w:bookmarkStart w:id="276" w:name="_Toc515280491"/>
      <w:bookmarkStart w:id="277" w:name="_Toc515280642"/>
      <w:bookmarkStart w:id="278" w:name="_Toc515352794"/>
      <w:bookmarkStart w:id="279" w:name="_Toc515540867"/>
      <w:bookmarkStart w:id="280" w:name="_Toc515543707"/>
      <w:bookmarkStart w:id="281" w:name="_Toc515543892"/>
      <w:bookmarkStart w:id="282" w:name="_Toc515551693"/>
      <w:bookmarkStart w:id="283" w:name="_Toc515627635"/>
      <w:bookmarkStart w:id="284" w:name="_Toc516039945"/>
      <w:bookmarkStart w:id="285" w:name="_Toc516155368"/>
      <w:bookmarkStart w:id="286" w:name="_Toc516490269"/>
      <w:bookmarkStart w:id="287" w:name="_Toc518037951"/>
      <w:bookmarkStart w:id="288" w:name="_Toc524599603"/>
      <w:bookmarkStart w:id="289" w:name="_Toc526154936"/>
      <w:bookmarkStart w:id="290" w:name="_Toc526155482"/>
      <w:bookmarkStart w:id="291" w:name="_Toc526155555"/>
      <w:bookmarkStart w:id="292" w:name="_Toc526253992"/>
      <w:bookmarkStart w:id="293" w:name="_Toc526348417"/>
      <w:bookmarkStart w:id="294" w:name="_Toc526374608"/>
      <w:bookmarkStart w:id="295" w:name="_Toc526374624"/>
      <w:bookmarkStart w:id="296" w:name="_Toc526406487"/>
      <w:bookmarkStart w:id="297" w:name="_Toc526409513"/>
      <w:bookmarkStart w:id="298" w:name="_Toc526491412"/>
      <w:bookmarkStart w:id="299" w:name="_Toc526505524"/>
      <w:bookmarkStart w:id="300" w:name="_Toc526756616"/>
      <w:r>
        <w:rPr>
          <w:rFonts w:cs="Times New Roman"/>
          <w:bCs w:val="0"/>
          <w:iCs/>
          <w:sz w:val="24"/>
          <w:szCs w:val="24"/>
        </w:rPr>
        <w:t>6</w:t>
      </w:r>
      <w:r w:rsidR="005F1F5A">
        <w:rPr>
          <w:rFonts w:cs="Times New Roman"/>
          <w:bCs w:val="0"/>
          <w:iCs/>
          <w:sz w:val="24"/>
          <w:szCs w:val="24"/>
        </w:rPr>
        <w:t>.</w:t>
      </w:r>
      <w:r w:rsidR="00F0531D" w:rsidRPr="003B0B97">
        <w:rPr>
          <w:rFonts w:cs="Times New Roman"/>
          <w:bCs w:val="0"/>
          <w:iCs/>
          <w:sz w:val="24"/>
          <w:szCs w:val="24"/>
        </w:rPr>
        <w:t> Administrative konsekvenser for borgerne</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58F9960F" w14:textId="77777777" w:rsidR="0058002D" w:rsidRPr="006B3973" w:rsidRDefault="0058002D" w:rsidP="0058002D">
      <w:pPr>
        <w:rPr>
          <w:sz w:val="23"/>
        </w:rPr>
      </w:pPr>
      <w:r w:rsidRPr="006B3973">
        <w:rPr>
          <w:sz w:val="23"/>
        </w:rPr>
        <w:t>Lovforslaget medfører ikke administrative konsekvenser for borgerne.</w:t>
      </w:r>
    </w:p>
    <w:p w14:paraId="63626B0C" w14:textId="77777777" w:rsidR="00166D68" w:rsidRPr="003B0B97" w:rsidRDefault="00166D68" w:rsidP="00A456AA">
      <w:pPr>
        <w:rPr>
          <w:rFonts w:cs="Times New Roman"/>
          <w:szCs w:val="24"/>
        </w:rPr>
      </w:pPr>
    </w:p>
    <w:p w14:paraId="51B18E90" w14:textId="17F474B2" w:rsidR="00F0531D" w:rsidRPr="003B0B97" w:rsidRDefault="0019623C" w:rsidP="00A456AA">
      <w:pPr>
        <w:pStyle w:val="Overskrift1"/>
        <w:rPr>
          <w:rFonts w:cs="Times New Roman"/>
          <w:bCs w:val="0"/>
          <w:iCs/>
          <w:sz w:val="24"/>
          <w:szCs w:val="24"/>
        </w:rPr>
      </w:pPr>
      <w:bookmarkStart w:id="301" w:name="_Toc329931205"/>
      <w:bookmarkStart w:id="302" w:name="_Toc329931316"/>
      <w:bookmarkStart w:id="303" w:name="_Toc442277391"/>
      <w:bookmarkStart w:id="304" w:name="_Toc442281309"/>
      <w:bookmarkStart w:id="305" w:name="_Toc442281339"/>
      <w:bookmarkStart w:id="306" w:name="_Toc442777849"/>
      <w:bookmarkStart w:id="307" w:name="_Toc442787246"/>
      <w:bookmarkStart w:id="308" w:name="_Toc442787538"/>
      <w:bookmarkStart w:id="309" w:name="_Toc442953244"/>
      <w:bookmarkStart w:id="310" w:name="_Toc443047628"/>
      <w:bookmarkStart w:id="311" w:name="_Toc444095988"/>
      <w:bookmarkStart w:id="312" w:name="_Toc444244514"/>
      <w:bookmarkStart w:id="313" w:name="_Toc498557229"/>
      <w:bookmarkStart w:id="314" w:name="_Toc498557299"/>
      <w:bookmarkStart w:id="315" w:name="_Toc498590033"/>
      <w:bookmarkStart w:id="316" w:name="_Toc498681516"/>
      <w:bookmarkStart w:id="317" w:name="_Toc499152788"/>
      <w:bookmarkStart w:id="318" w:name="_Toc499158747"/>
      <w:bookmarkStart w:id="319" w:name="_Toc499648620"/>
      <w:bookmarkStart w:id="320" w:name="_Toc499728113"/>
      <w:bookmarkStart w:id="321" w:name="_Toc499732961"/>
      <w:bookmarkStart w:id="322" w:name="_Toc499736992"/>
      <w:bookmarkStart w:id="323" w:name="_Toc499812932"/>
      <w:bookmarkStart w:id="324" w:name="_Toc499813735"/>
      <w:bookmarkStart w:id="325" w:name="_Toc500921482"/>
      <w:bookmarkStart w:id="326" w:name="_Toc500921508"/>
      <w:bookmarkStart w:id="327" w:name="_Toc500921619"/>
      <w:bookmarkStart w:id="328" w:name="_Toc501019229"/>
      <w:bookmarkStart w:id="329" w:name="_Toc504483874"/>
      <w:bookmarkStart w:id="330" w:name="_Toc505180552"/>
      <w:bookmarkStart w:id="331" w:name="_Toc505690205"/>
      <w:bookmarkStart w:id="332" w:name="_Toc505701758"/>
      <w:bookmarkStart w:id="333" w:name="_Toc505759550"/>
      <w:bookmarkStart w:id="334" w:name="_Toc505759567"/>
      <w:bookmarkStart w:id="335" w:name="_Toc505762660"/>
      <w:bookmarkStart w:id="336" w:name="_Toc505786000"/>
      <w:bookmarkStart w:id="337" w:name="_Toc506799585"/>
      <w:bookmarkStart w:id="338" w:name="_Toc506799602"/>
      <w:bookmarkStart w:id="339" w:name="_Toc506894561"/>
      <w:bookmarkStart w:id="340" w:name="_Toc507486298"/>
      <w:bookmarkStart w:id="341" w:name="_Toc515271233"/>
      <w:bookmarkStart w:id="342" w:name="_Toc515271556"/>
      <w:bookmarkStart w:id="343" w:name="_Toc515271584"/>
      <w:bookmarkStart w:id="344" w:name="_Toc515280492"/>
      <w:bookmarkStart w:id="345" w:name="_Toc515280643"/>
      <w:bookmarkStart w:id="346" w:name="_Toc515352795"/>
      <w:bookmarkStart w:id="347" w:name="_Toc515540868"/>
      <w:bookmarkStart w:id="348" w:name="_Toc515543708"/>
      <w:bookmarkStart w:id="349" w:name="_Toc515543893"/>
      <w:bookmarkStart w:id="350" w:name="_Toc515551694"/>
      <w:bookmarkStart w:id="351" w:name="_Toc515627636"/>
      <w:bookmarkStart w:id="352" w:name="_Toc516039946"/>
      <w:bookmarkStart w:id="353" w:name="_Toc516155369"/>
      <w:bookmarkStart w:id="354" w:name="_Toc516490270"/>
      <w:bookmarkStart w:id="355" w:name="_Toc518037952"/>
      <w:bookmarkStart w:id="356" w:name="_Toc524599604"/>
      <w:bookmarkStart w:id="357" w:name="_Toc526154937"/>
      <w:bookmarkStart w:id="358" w:name="_Toc526155483"/>
      <w:bookmarkStart w:id="359" w:name="_Toc526155556"/>
      <w:bookmarkStart w:id="360" w:name="_Toc526253993"/>
      <w:bookmarkStart w:id="361" w:name="_Toc526348418"/>
      <w:bookmarkStart w:id="362" w:name="_Toc526374609"/>
      <w:bookmarkStart w:id="363" w:name="_Toc526374625"/>
      <w:bookmarkStart w:id="364" w:name="_Toc526406488"/>
      <w:bookmarkStart w:id="365" w:name="_Toc526409514"/>
      <w:bookmarkStart w:id="366" w:name="_Toc526491413"/>
      <w:bookmarkStart w:id="367" w:name="_Toc526505525"/>
      <w:bookmarkStart w:id="368" w:name="_Toc526756617"/>
      <w:r>
        <w:rPr>
          <w:rFonts w:cs="Times New Roman"/>
          <w:bCs w:val="0"/>
          <w:iCs/>
          <w:sz w:val="24"/>
          <w:szCs w:val="24"/>
        </w:rPr>
        <w:t>7</w:t>
      </w:r>
      <w:r w:rsidR="00F0531D" w:rsidRPr="003B0B97">
        <w:rPr>
          <w:rFonts w:cs="Times New Roman"/>
          <w:bCs w:val="0"/>
          <w:iCs/>
          <w:sz w:val="24"/>
          <w:szCs w:val="24"/>
        </w:rPr>
        <w:t>. </w:t>
      </w:r>
      <w:r w:rsidR="00052532">
        <w:rPr>
          <w:rFonts w:cs="Times New Roman"/>
          <w:bCs w:val="0"/>
          <w:iCs/>
          <w:sz w:val="24"/>
          <w:szCs w:val="24"/>
        </w:rPr>
        <w:t xml:space="preserve"> </w:t>
      </w:r>
      <w:r w:rsidR="000536E5">
        <w:rPr>
          <w:rFonts w:cs="Times New Roman"/>
          <w:bCs w:val="0"/>
          <w:iCs/>
          <w:sz w:val="24"/>
          <w:szCs w:val="24"/>
        </w:rPr>
        <w:t>K</w:t>
      </w:r>
      <w:r w:rsidR="00052532">
        <w:rPr>
          <w:rFonts w:cs="Times New Roman"/>
          <w:bCs w:val="0"/>
          <w:iCs/>
          <w:sz w:val="24"/>
          <w:szCs w:val="24"/>
        </w:rPr>
        <w:t>lima</w:t>
      </w:r>
      <w:r w:rsidR="00F0531D" w:rsidRPr="003B0B97">
        <w:rPr>
          <w:rFonts w:cs="Times New Roman"/>
          <w:bCs w:val="0"/>
          <w:iCs/>
          <w:sz w:val="24"/>
          <w:szCs w:val="24"/>
        </w:rPr>
        <w:t>mæssige konsekvenser</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3223752E" w14:textId="77777777" w:rsidR="0058002D" w:rsidRPr="00242A5E" w:rsidRDefault="0058002D" w:rsidP="0058002D">
      <w:r w:rsidRPr="006B3973">
        <w:rPr>
          <w:sz w:val="23"/>
        </w:rPr>
        <w:t>Lovforslaget medfører ikke klimamæssige konsekvenser.</w:t>
      </w:r>
    </w:p>
    <w:p w14:paraId="0F9174E3" w14:textId="0C9AC389" w:rsidR="000536E5" w:rsidRDefault="000536E5" w:rsidP="00A456AA">
      <w:pPr>
        <w:rPr>
          <w:rFonts w:cs="Times New Roman"/>
          <w:szCs w:val="24"/>
        </w:rPr>
      </w:pPr>
    </w:p>
    <w:p w14:paraId="467F82C2" w14:textId="4DBBCA37" w:rsidR="000536E5" w:rsidRPr="003B0B97" w:rsidRDefault="0019623C" w:rsidP="000536E5">
      <w:pPr>
        <w:pStyle w:val="Overskrift1"/>
        <w:rPr>
          <w:rFonts w:cs="Times New Roman"/>
          <w:bCs w:val="0"/>
          <w:iCs/>
          <w:sz w:val="24"/>
          <w:szCs w:val="24"/>
        </w:rPr>
      </w:pPr>
      <w:r>
        <w:rPr>
          <w:rFonts w:cs="Times New Roman"/>
          <w:bCs w:val="0"/>
          <w:iCs/>
          <w:sz w:val="24"/>
          <w:szCs w:val="24"/>
        </w:rPr>
        <w:t>8</w:t>
      </w:r>
      <w:r w:rsidR="000536E5" w:rsidRPr="003B0B97">
        <w:rPr>
          <w:rFonts w:cs="Times New Roman"/>
          <w:bCs w:val="0"/>
          <w:iCs/>
          <w:sz w:val="24"/>
          <w:szCs w:val="24"/>
        </w:rPr>
        <w:t>. </w:t>
      </w:r>
      <w:r w:rsidR="000536E5">
        <w:rPr>
          <w:rFonts w:cs="Times New Roman"/>
          <w:bCs w:val="0"/>
          <w:iCs/>
          <w:sz w:val="24"/>
          <w:szCs w:val="24"/>
        </w:rPr>
        <w:t xml:space="preserve"> </w:t>
      </w:r>
      <w:r w:rsidR="00C945B8">
        <w:rPr>
          <w:rFonts w:cs="Times New Roman"/>
          <w:bCs w:val="0"/>
          <w:iCs/>
          <w:sz w:val="24"/>
          <w:szCs w:val="24"/>
        </w:rPr>
        <w:t xml:space="preserve">Miljø- og naturmæssige </w:t>
      </w:r>
      <w:r w:rsidR="000536E5" w:rsidRPr="003B0B97">
        <w:rPr>
          <w:rFonts w:cs="Times New Roman"/>
          <w:bCs w:val="0"/>
          <w:iCs/>
          <w:sz w:val="24"/>
          <w:szCs w:val="24"/>
        </w:rPr>
        <w:t>konsekvenser</w:t>
      </w:r>
    </w:p>
    <w:p w14:paraId="7C4048A0" w14:textId="77777777" w:rsidR="0058002D" w:rsidRPr="00C53EBF" w:rsidRDefault="0058002D" w:rsidP="0058002D">
      <w:r w:rsidRPr="00C53EBF">
        <w:t>Lovforslaget medfører ikke miljø- og naturmæssige konsekvenser.</w:t>
      </w:r>
    </w:p>
    <w:p w14:paraId="41FB7D40" w14:textId="77777777" w:rsidR="00933BED" w:rsidRPr="003B0B97" w:rsidRDefault="00933BED" w:rsidP="00A456AA">
      <w:pPr>
        <w:rPr>
          <w:rFonts w:cs="Times New Roman"/>
          <w:szCs w:val="24"/>
        </w:rPr>
      </w:pPr>
    </w:p>
    <w:p w14:paraId="6800D6F1" w14:textId="57EF31D1" w:rsidR="00F0531D" w:rsidRPr="003B0B97" w:rsidRDefault="00C945B8" w:rsidP="00A456AA">
      <w:pPr>
        <w:pStyle w:val="Overskrift1"/>
        <w:rPr>
          <w:rFonts w:cs="Times New Roman"/>
          <w:bCs w:val="0"/>
          <w:iCs/>
          <w:sz w:val="24"/>
          <w:szCs w:val="24"/>
        </w:rPr>
      </w:pPr>
      <w:bookmarkStart w:id="369" w:name="_Toc329931206"/>
      <w:bookmarkStart w:id="370" w:name="_Toc329931317"/>
      <w:bookmarkStart w:id="371" w:name="_Toc442277392"/>
      <w:bookmarkStart w:id="372" w:name="_Toc442281310"/>
      <w:bookmarkStart w:id="373" w:name="_Toc442281340"/>
      <w:bookmarkStart w:id="374" w:name="_Toc442777850"/>
      <w:bookmarkStart w:id="375" w:name="_Toc442787247"/>
      <w:bookmarkStart w:id="376" w:name="_Toc442787539"/>
      <w:bookmarkStart w:id="377" w:name="_Toc442953245"/>
      <w:bookmarkStart w:id="378" w:name="_Toc443047629"/>
      <w:bookmarkStart w:id="379" w:name="_Toc444095989"/>
      <w:bookmarkStart w:id="380" w:name="_Toc444244515"/>
      <w:bookmarkStart w:id="381" w:name="_Toc498557230"/>
      <w:bookmarkStart w:id="382" w:name="_Toc498557300"/>
      <w:bookmarkStart w:id="383" w:name="_Toc498590034"/>
      <w:bookmarkStart w:id="384" w:name="_Toc498681517"/>
      <w:bookmarkStart w:id="385" w:name="_Toc499152789"/>
      <w:bookmarkStart w:id="386" w:name="_Toc499158748"/>
      <w:bookmarkStart w:id="387" w:name="_Toc499648621"/>
      <w:bookmarkStart w:id="388" w:name="_Toc499728114"/>
      <w:bookmarkStart w:id="389" w:name="_Toc499732962"/>
      <w:bookmarkStart w:id="390" w:name="_Toc499736993"/>
      <w:bookmarkStart w:id="391" w:name="_Toc499812933"/>
      <w:bookmarkStart w:id="392" w:name="_Toc499813736"/>
      <w:bookmarkStart w:id="393" w:name="_Toc500921483"/>
      <w:bookmarkStart w:id="394" w:name="_Toc500921509"/>
      <w:bookmarkStart w:id="395" w:name="_Toc500921620"/>
      <w:bookmarkStart w:id="396" w:name="_Toc501019230"/>
      <w:bookmarkStart w:id="397" w:name="_Toc504483875"/>
      <w:bookmarkStart w:id="398" w:name="_Toc505180553"/>
      <w:bookmarkStart w:id="399" w:name="_Toc505690206"/>
      <w:bookmarkStart w:id="400" w:name="_Toc505701759"/>
      <w:bookmarkStart w:id="401" w:name="_Toc505759551"/>
      <w:bookmarkStart w:id="402" w:name="_Toc505759568"/>
      <w:bookmarkStart w:id="403" w:name="_Toc505762661"/>
      <w:bookmarkStart w:id="404" w:name="_Toc505786001"/>
      <w:bookmarkStart w:id="405" w:name="_Toc506799586"/>
      <w:bookmarkStart w:id="406" w:name="_Toc506799603"/>
      <w:bookmarkStart w:id="407" w:name="_Toc506894562"/>
      <w:bookmarkStart w:id="408" w:name="_Toc507486299"/>
      <w:bookmarkStart w:id="409" w:name="_Toc515271234"/>
      <w:bookmarkStart w:id="410" w:name="_Toc515271557"/>
      <w:bookmarkStart w:id="411" w:name="_Toc515271585"/>
      <w:bookmarkStart w:id="412" w:name="_Toc515280493"/>
      <w:bookmarkStart w:id="413" w:name="_Toc515280644"/>
      <w:bookmarkStart w:id="414" w:name="_Toc515352796"/>
      <w:bookmarkStart w:id="415" w:name="_Toc515540869"/>
      <w:bookmarkStart w:id="416" w:name="_Toc515543709"/>
      <w:bookmarkStart w:id="417" w:name="_Toc515543894"/>
      <w:bookmarkStart w:id="418" w:name="_Toc515551695"/>
      <w:bookmarkStart w:id="419" w:name="_Toc515627637"/>
      <w:bookmarkStart w:id="420" w:name="_Toc516039947"/>
      <w:bookmarkStart w:id="421" w:name="_Toc516155370"/>
      <w:bookmarkStart w:id="422" w:name="_Toc516490271"/>
      <w:bookmarkStart w:id="423" w:name="_Toc518037953"/>
      <w:bookmarkStart w:id="424" w:name="_Toc524599605"/>
      <w:bookmarkStart w:id="425" w:name="_Toc526154938"/>
      <w:bookmarkStart w:id="426" w:name="_Toc526155484"/>
      <w:bookmarkStart w:id="427" w:name="_Toc526155557"/>
      <w:bookmarkStart w:id="428" w:name="_Toc526253994"/>
      <w:bookmarkStart w:id="429" w:name="_Toc526348419"/>
      <w:bookmarkStart w:id="430" w:name="_Toc526374610"/>
      <w:bookmarkStart w:id="431" w:name="_Toc526374626"/>
      <w:bookmarkStart w:id="432" w:name="_Toc526406489"/>
      <w:bookmarkStart w:id="433" w:name="_Toc526409515"/>
      <w:bookmarkStart w:id="434" w:name="_Toc526491414"/>
      <w:bookmarkStart w:id="435" w:name="_Toc526505526"/>
      <w:bookmarkStart w:id="436" w:name="_Toc526756618"/>
      <w:r>
        <w:rPr>
          <w:rFonts w:cs="Times New Roman"/>
          <w:bCs w:val="0"/>
          <w:iCs/>
          <w:sz w:val="24"/>
          <w:szCs w:val="24"/>
        </w:rPr>
        <w:t>9</w:t>
      </w:r>
      <w:r w:rsidR="00F0531D" w:rsidRPr="003B0B97">
        <w:rPr>
          <w:rFonts w:cs="Times New Roman"/>
          <w:bCs w:val="0"/>
          <w:iCs/>
          <w:sz w:val="24"/>
          <w:szCs w:val="24"/>
        </w:rPr>
        <w:t>. Forholdet til EU-retten</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0342BB77" w14:textId="2EBCDE11" w:rsidR="00933BED" w:rsidRDefault="00933BED" w:rsidP="00D73CD1">
      <w:pPr>
        <w:tabs>
          <w:tab w:val="left" w:pos="284"/>
          <w:tab w:val="left" w:pos="567"/>
          <w:tab w:val="left" w:pos="993"/>
          <w:tab w:val="left" w:pos="2765"/>
        </w:tabs>
        <w:rPr>
          <w:rFonts w:cs="Times New Roman"/>
          <w:szCs w:val="24"/>
        </w:rPr>
      </w:pPr>
      <w:r w:rsidRPr="00942625">
        <w:rPr>
          <w:rFonts w:cs="Times New Roman"/>
          <w:szCs w:val="24"/>
        </w:rPr>
        <w:t xml:space="preserve">Lovforslaget </w:t>
      </w:r>
      <w:r>
        <w:rPr>
          <w:rFonts w:cs="Times New Roman"/>
          <w:szCs w:val="24"/>
        </w:rPr>
        <w:t xml:space="preserve">gennemfører </w:t>
      </w:r>
      <w:r w:rsidRPr="00942625">
        <w:rPr>
          <w:rFonts w:cs="Times New Roman"/>
          <w:szCs w:val="24"/>
        </w:rPr>
        <w:t>bestemmelser</w:t>
      </w:r>
      <w:r>
        <w:rPr>
          <w:rFonts w:cs="Times New Roman"/>
          <w:szCs w:val="24"/>
        </w:rPr>
        <w:t xml:space="preserve"> </w:t>
      </w:r>
      <w:r w:rsidR="00B05606">
        <w:rPr>
          <w:rFonts w:cs="Times New Roman"/>
          <w:szCs w:val="24"/>
        </w:rPr>
        <w:t>i Grønland</w:t>
      </w:r>
      <w:r>
        <w:rPr>
          <w:rFonts w:cs="Times New Roman"/>
          <w:szCs w:val="24"/>
        </w:rPr>
        <w:t>, der svarer til bestemmelserne</w:t>
      </w:r>
      <w:r w:rsidRPr="00942625">
        <w:rPr>
          <w:rFonts w:cs="Times New Roman"/>
          <w:szCs w:val="24"/>
        </w:rPr>
        <w:t xml:space="preserve"> i </w:t>
      </w:r>
      <w:r w:rsidR="005F642F">
        <w:rPr>
          <w:rFonts w:cs="Times New Roman"/>
          <w:szCs w:val="24"/>
        </w:rPr>
        <w:t xml:space="preserve">CRR II, NPE og CRR </w:t>
      </w:r>
      <w:r w:rsidR="00F45238">
        <w:rPr>
          <w:rFonts w:cs="Times New Roman"/>
          <w:szCs w:val="24"/>
        </w:rPr>
        <w:t>Covid-19-relaterede justeringer</w:t>
      </w:r>
      <w:r w:rsidRPr="00942625">
        <w:rPr>
          <w:rFonts w:cs="Times New Roman"/>
          <w:szCs w:val="24"/>
        </w:rPr>
        <w:t>.</w:t>
      </w:r>
    </w:p>
    <w:p w14:paraId="321E6487" w14:textId="77777777" w:rsidR="00933BED" w:rsidRDefault="00933BED" w:rsidP="00D73CD1">
      <w:pPr>
        <w:tabs>
          <w:tab w:val="left" w:pos="284"/>
          <w:tab w:val="left" w:pos="567"/>
          <w:tab w:val="left" w:pos="993"/>
          <w:tab w:val="left" w:pos="2765"/>
        </w:tabs>
        <w:rPr>
          <w:rFonts w:cs="Times New Roman"/>
          <w:szCs w:val="24"/>
        </w:rPr>
      </w:pPr>
    </w:p>
    <w:p w14:paraId="53034D89" w14:textId="77777777" w:rsidR="00933BED" w:rsidRDefault="00933BED" w:rsidP="00D73CD1">
      <w:pPr>
        <w:tabs>
          <w:tab w:val="left" w:pos="284"/>
          <w:tab w:val="left" w:pos="567"/>
          <w:tab w:val="left" w:pos="993"/>
          <w:tab w:val="left" w:pos="2765"/>
        </w:tabs>
        <w:rPr>
          <w:rFonts w:cs="Times New Roman"/>
          <w:szCs w:val="24"/>
        </w:rPr>
      </w:pPr>
      <w:r>
        <w:rPr>
          <w:rFonts w:cs="Times New Roman"/>
          <w:szCs w:val="24"/>
        </w:rPr>
        <w:t xml:space="preserve">Finanstilsynet påser som led i sin tilsynsvirksomhed, at de finansielle institutter m.v. overholder den finansielle lovgivning, herunder lovgivning, der baserer sig på EU-lovgivning, sådan som denne fortolkes af EU-Domstolen. </w:t>
      </w:r>
    </w:p>
    <w:p w14:paraId="40C25DFB" w14:textId="77777777" w:rsidR="00933BED" w:rsidRDefault="00933BED" w:rsidP="00D73CD1">
      <w:pPr>
        <w:tabs>
          <w:tab w:val="left" w:pos="284"/>
          <w:tab w:val="left" w:pos="567"/>
          <w:tab w:val="left" w:pos="993"/>
          <w:tab w:val="left" w:pos="2765"/>
        </w:tabs>
        <w:rPr>
          <w:rFonts w:cs="Times New Roman"/>
          <w:szCs w:val="24"/>
        </w:rPr>
      </w:pPr>
    </w:p>
    <w:p w14:paraId="7B9C3E85" w14:textId="2C645405" w:rsidR="00933BED" w:rsidRDefault="00AF4868" w:rsidP="00D73CD1">
      <w:pPr>
        <w:tabs>
          <w:tab w:val="left" w:pos="284"/>
          <w:tab w:val="left" w:pos="567"/>
          <w:tab w:val="left" w:pos="993"/>
          <w:tab w:val="left" w:pos="2765"/>
        </w:tabs>
        <w:rPr>
          <w:rFonts w:cs="Times New Roman"/>
          <w:szCs w:val="24"/>
        </w:rPr>
      </w:pPr>
      <w:r>
        <w:rPr>
          <w:rFonts w:cs="Times New Roman"/>
          <w:szCs w:val="24"/>
        </w:rPr>
        <w:t>Grønland</w:t>
      </w:r>
      <w:r w:rsidR="00933BED" w:rsidRPr="008E0EAD">
        <w:rPr>
          <w:rFonts w:cs="Times New Roman"/>
          <w:szCs w:val="24"/>
        </w:rPr>
        <w:t xml:space="preserve"> har ikke hjemtaget tilsynet med </w:t>
      </w:r>
      <w:r w:rsidR="00933BED">
        <w:rPr>
          <w:rFonts w:cs="Times New Roman"/>
          <w:szCs w:val="24"/>
        </w:rPr>
        <w:t xml:space="preserve">de finansielle institutter m.v. </w:t>
      </w:r>
      <w:r w:rsidR="00933BED" w:rsidRPr="008E0EAD">
        <w:rPr>
          <w:rFonts w:cs="Times New Roman"/>
          <w:szCs w:val="24"/>
        </w:rPr>
        <w:t xml:space="preserve">Det </w:t>
      </w:r>
      <w:r w:rsidR="00933BED">
        <w:rPr>
          <w:rFonts w:cs="Times New Roman"/>
          <w:szCs w:val="24"/>
        </w:rPr>
        <w:t>betyder</w:t>
      </w:r>
      <w:r w:rsidR="00933BED" w:rsidRPr="008E0EAD">
        <w:rPr>
          <w:rFonts w:cs="Times New Roman"/>
          <w:szCs w:val="24"/>
        </w:rPr>
        <w:t xml:space="preserve">, at Finanstilsynet fører tilsyn med de finansielle institutter m.v. </w:t>
      </w:r>
      <w:r w:rsidR="00B05606">
        <w:rPr>
          <w:rFonts w:cs="Times New Roman"/>
          <w:szCs w:val="24"/>
        </w:rPr>
        <w:t>i Grønland</w:t>
      </w:r>
      <w:r w:rsidR="00933BED" w:rsidRPr="008E0EAD">
        <w:rPr>
          <w:rFonts w:cs="Times New Roman"/>
          <w:szCs w:val="24"/>
        </w:rPr>
        <w:t>.</w:t>
      </w:r>
      <w:r w:rsidR="00933BED">
        <w:rPr>
          <w:rFonts w:cs="Times New Roman"/>
          <w:szCs w:val="24"/>
        </w:rPr>
        <w:t xml:space="preserve"> Det foreliggende lovforslag ændrer ikke herpå. </w:t>
      </w:r>
    </w:p>
    <w:p w14:paraId="34177A70" w14:textId="77777777" w:rsidR="00933BED" w:rsidRDefault="00933BED" w:rsidP="00D73CD1">
      <w:pPr>
        <w:tabs>
          <w:tab w:val="left" w:pos="284"/>
          <w:tab w:val="left" w:pos="567"/>
          <w:tab w:val="left" w:pos="993"/>
          <w:tab w:val="left" w:pos="2765"/>
        </w:tabs>
        <w:rPr>
          <w:rFonts w:cs="Times New Roman"/>
          <w:szCs w:val="24"/>
        </w:rPr>
      </w:pPr>
    </w:p>
    <w:p w14:paraId="03C0F9ED" w14:textId="4384C209" w:rsidR="00933BED" w:rsidRDefault="00933BED" w:rsidP="00D73CD1">
      <w:pPr>
        <w:tabs>
          <w:tab w:val="left" w:pos="284"/>
          <w:tab w:val="left" w:pos="567"/>
          <w:tab w:val="left" w:pos="993"/>
          <w:tab w:val="left" w:pos="2765"/>
        </w:tabs>
        <w:rPr>
          <w:rFonts w:cs="Times New Roman"/>
          <w:szCs w:val="24"/>
        </w:rPr>
      </w:pPr>
      <w:r w:rsidRPr="00A82202">
        <w:rPr>
          <w:rFonts w:cs="Times New Roman"/>
          <w:szCs w:val="24"/>
        </w:rPr>
        <w:t xml:space="preserve">Som følge af </w:t>
      </w:r>
      <w:r w:rsidR="0099496A">
        <w:rPr>
          <w:rFonts w:cs="Times New Roman"/>
          <w:szCs w:val="24"/>
        </w:rPr>
        <w:t>den gældende lovs</w:t>
      </w:r>
      <w:r w:rsidRPr="00A82202">
        <w:rPr>
          <w:rFonts w:cs="Times New Roman"/>
          <w:szCs w:val="24"/>
        </w:rPr>
        <w:t xml:space="preserve"> § 2 vil </w:t>
      </w:r>
      <w:r w:rsidR="003D1FF3">
        <w:rPr>
          <w:rFonts w:cs="Times New Roman"/>
          <w:szCs w:val="24"/>
        </w:rPr>
        <w:t xml:space="preserve">der kunne fastsættes regler, som sikrer, at </w:t>
      </w:r>
      <w:r w:rsidRPr="00A82202">
        <w:rPr>
          <w:rFonts w:cs="Times New Roman"/>
          <w:szCs w:val="24"/>
        </w:rPr>
        <w:t xml:space="preserve">EU-Domstolens praksis i relation til CRR – uagtet at </w:t>
      </w:r>
      <w:r w:rsidR="00AF4868">
        <w:rPr>
          <w:rFonts w:cs="Times New Roman"/>
          <w:szCs w:val="24"/>
        </w:rPr>
        <w:t>Grønland</w:t>
      </w:r>
      <w:r w:rsidRPr="00A82202">
        <w:rPr>
          <w:rFonts w:cs="Times New Roman"/>
          <w:szCs w:val="24"/>
        </w:rPr>
        <w:t xml:space="preserve"> ikke er medlem af EU</w:t>
      </w:r>
      <w:r>
        <w:rPr>
          <w:rFonts w:cs="Times New Roman"/>
          <w:szCs w:val="24"/>
        </w:rPr>
        <w:t xml:space="preserve"> og dermed ikke er bundet af EU-Domstolens afgørelser</w:t>
      </w:r>
      <w:r w:rsidRPr="00A82202">
        <w:rPr>
          <w:rFonts w:cs="Times New Roman"/>
          <w:szCs w:val="24"/>
        </w:rPr>
        <w:t xml:space="preserve"> – </w:t>
      </w:r>
      <w:r w:rsidR="00D84321">
        <w:rPr>
          <w:rFonts w:cs="Times New Roman"/>
          <w:szCs w:val="24"/>
        </w:rPr>
        <w:t xml:space="preserve">finder tilsvarende anvendelse </w:t>
      </w:r>
      <w:r w:rsidR="00B05606">
        <w:rPr>
          <w:rFonts w:cs="Times New Roman"/>
          <w:szCs w:val="24"/>
        </w:rPr>
        <w:t>i Grønland</w:t>
      </w:r>
      <w:r w:rsidR="00D84321">
        <w:rPr>
          <w:rFonts w:cs="Times New Roman"/>
          <w:szCs w:val="24"/>
        </w:rPr>
        <w:t xml:space="preserve">. Sådanne domstolsafgørelser </w:t>
      </w:r>
      <w:r w:rsidR="00D84321">
        <w:rPr>
          <w:rFonts w:cs="Times New Roman"/>
          <w:szCs w:val="24"/>
        </w:rPr>
        <w:lastRenderedPageBreak/>
        <w:t xml:space="preserve">vil i praksis kunne </w:t>
      </w:r>
      <w:r w:rsidRPr="00A82202">
        <w:rPr>
          <w:rFonts w:cs="Times New Roman"/>
          <w:szCs w:val="24"/>
        </w:rPr>
        <w:t xml:space="preserve">have betydning for Finanstilsynets tilsynsvirksomhed med de finansielle institutter m.v. </w:t>
      </w:r>
      <w:r w:rsidR="00B05606">
        <w:rPr>
          <w:rFonts w:cs="Times New Roman"/>
          <w:szCs w:val="24"/>
        </w:rPr>
        <w:t>i Grønland</w:t>
      </w:r>
      <w:r>
        <w:rPr>
          <w:rFonts w:cs="Times New Roman"/>
          <w:szCs w:val="24"/>
        </w:rPr>
        <w:t xml:space="preserve">, idet Finanstilsynet vil anvende den samme tilsynspraksis, der måtte følge af EU-Domstolens praksis, over for de </w:t>
      </w:r>
      <w:r w:rsidR="00AF4868">
        <w:rPr>
          <w:rFonts w:cs="Times New Roman"/>
          <w:szCs w:val="24"/>
        </w:rPr>
        <w:t>grønlandsk</w:t>
      </w:r>
      <w:r>
        <w:rPr>
          <w:rFonts w:cs="Times New Roman"/>
          <w:szCs w:val="24"/>
        </w:rPr>
        <w:t xml:space="preserve">e institutter. </w:t>
      </w:r>
      <w:r w:rsidRPr="00A82202">
        <w:rPr>
          <w:rFonts w:cs="Times New Roman"/>
          <w:szCs w:val="24"/>
        </w:rPr>
        <w:t xml:space="preserve">Det samme vil være tilfældet i relation til de afgørelser eller retsakter, som Kommissionen efter CRR er bemyndiget til at vedtage, og som efter </w:t>
      </w:r>
      <w:r w:rsidR="00D84321">
        <w:rPr>
          <w:rFonts w:cs="Times New Roman"/>
          <w:szCs w:val="24"/>
        </w:rPr>
        <w:t>loven</w:t>
      </w:r>
      <w:r w:rsidRPr="00A82202">
        <w:rPr>
          <w:rFonts w:cs="Times New Roman"/>
          <w:szCs w:val="24"/>
        </w:rPr>
        <w:t xml:space="preserve">s § 3 foreslås gennemført i form af administrative forskrifter udstedt af </w:t>
      </w:r>
      <w:r w:rsidR="00703606">
        <w:rPr>
          <w:rFonts w:cs="Times New Roman"/>
          <w:szCs w:val="24"/>
        </w:rPr>
        <w:t>erhvervsministeren</w:t>
      </w:r>
      <w:r w:rsidRPr="00A82202">
        <w:rPr>
          <w:rFonts w:cs="Times New Roman"/>
          <w:szCs w:val="24"/>
        </w:rPr>
        <w:t>.</w:t>
      </w:r>
    </w:p>
    <w:p w14:paraId="1D40A768" w14:textId="77777777" w:rsidR="00F0531D" w:rsidRDefault="00F0531D" w:rsidP="004E365B">
      <w:pPr>
        <w:rPr>
          <w:rFonts w:cs="Times New Roman"/>
          <w:szCs w:val="24"/>
        </w:rPr>
      </w:pPr>
    </w:p>
    <w:p w14:paraId="5462FDFF" w14:textId="74C30404" w:rsidR="00F0531D" w:rsidRPr="003B0B97" w:rsidRDefault="00C945B8" w:rsidP="00A456AA">
      <w:pPr>
        <w:pStyle w:val="Overskrift1"/>
        <w:rPr>
          <w:rFonts w:cs="Times New Roman"/>
          <w:bCs w:val="0"/>
          <w:iCs/>
          <w:sz w:val="24"/>
          <w:szCs w:val="24"/>
        </w:rPr>
      </w:pPr>
      <w:bookmarkStart w:id="437" w:name="_Toc243705913"/>
      <w:bookmarkStart w:id="438" w:name="_Toc329931207"/>
      <w:bookmarkStart w:id="439" w:name="_Toc329931318"/>
      <w:bookmarkStart w:id="440" w:name="_Toc442277393"/>
      <w:bookmarkStart w:id="441" w:name="_Toc442281311"/>
      <w:bookmarkStart w:id="442" w:name="_Toc442281341"/>
      <w:bookmarkStart w:id="443" w:name="_Toc442777851"/>
      <w:bookmarkStart w:id="444" w:name="_Toc442787248"/>
      <w:bookmarkStart w:id="445" w:name="_Toc442787540"/>
      <w:bookmarkStart w:id="446" w:name="_Toc442953246"/>
      <w:bookmarkStart w:id="447" w:name="_Toc443047630"/>
      <w:bookmarkStart w:id="448" w:name="_Toc444095990"/>
      <w:bookmarkStart w:id="449" w:name="_Toc444244516"/>
      <w:bookmarkStart w:id="450" w:name="_Toc498557231"/>
      <w:bookmarkStart w:id="451" w:name="_Toc498557301"/>
      <w:bookmarkStart w:id="452" w:name="_Toc498590035"/>
      <w:bookmarkStart w:id="453" w:name="_Toc498681518"/>
      <w:bookmarkStart w:id="454" w:name="_Toc499152790"/>
      <w:bookmarkStart w:id="455" w:name="_Toc499158749"/>
      <w:bookmarkStart w:id="456" w:name="_Toc499648622"/>
      <w:bookmarkStart w:id="457" w:name="_Toc499728115"/>
      <w:bookmarkStart w:id="458" w:name="_Toc499732963"/>
      <w:bookmarkStart w:id="459" w:name="_Toc499736994"/>
      <w:bookmarkStart w:id="460" w:name="_Toc499812934"/>
      <w:bookmarkStart w:id="461" w:name="_Toc499813737"/>
      <w:bookmarkStart w:id="462" w:name="_Toc500921484"/>
      <w:bookmarkStart w:id="463" w:name="_Toc500921510"/>
      <w:bookmarkStart w:id="464" w:name="_Toc500921621"/>
      <w:bookmarkStart w:id="465" w:name="_Toc501019231"/>
      <w:bookmarkStart w:id="466" w:name="_Toc504483876"/>
      <w:bookmarkStart w:id="467" w:name="_Toc505180554"/>
      <w:bookmarkStart w:id="468" w:name="_Toc505690207"/>
      <w:bookmarkStart w:id="469" w:name="_Toc505701760"/>
      <w:bookmarkStart w:id="470" w:name="_Toc505759552"/>
      <w:bookmarkStart w:id="471" w:name="_Toc505759569"/>
      <w:bookmarkStart w:id="472" w:name="_Toc505762662"/>
      <w:bookmarkStart w:id="473" w:name="_Toc505786002"/>
      <w:bookmarkStart w:id="474" w:name="_Toc506799587"/>
      <w:bookmarkStart w:id="475" w:name="_Toc506799604"/>
      <w:bookmarkStart w:id="476" w:name="_Toc506894563"/>
      <w:bookmarkStart w:id="477" w:name="_Toc507486300"/>
      <w:bookmarkStart w:id="478" w:name="_Toc515271235"/>
      <w:bookmarkStart w:id="479" w:name="_Toc515271558"/>
      <w:bookmarkStart w:id="480" w:name="_Toc515271586"/>
      <w:bookmarkStart w:id="481" w:name="_Toc515280494"/>
      <w:bookmarkStart w:id="482" w:name="_Toc515280645"/>
      <w:bookmarkStart w:id="483" w:name="_Toc515352797"/>
      <w:bookmarkStart w:id="484" w:name="_Toc515540870"/>
      <w:bookmarkStart w:id="485" w:name="_Toc515543710"/>
      <w:bookmarkStart w:id="486" w:name="_Toc515543895"/>
      <w:bookmarkStart w:id="487" w:name="_Toc515551696"/>
      <w:bookmarkStart w:id="488" w:name="_Toc515627638"/>
      <w:bookmarkStart w:id="489" w:name="_Toc516039948"/>
      <w:bookmarkStart w:id="490" w:name="_Toc516155371"/>
      <w:bookmarkStart w:id="491" w:name="_Toc516490272"/>
      <w:bookmarkStart w:id="492" w:name="_Toc518037954"/>
      <w:bookmarkStart w:id="493" w:name="_Toc524599606"/>
      <w:bookmarkStart w:id="494" w:name="_Toc526154939"/>
      <w:bookmarkStart w:id="495" w:name="_Toc526155485"/>
      <w:bookmarkStart w:id="496" w:name="_Toc526155558"/>
      <w:bookmarkStart w:id="497" w:name="_Toc526253995"/>
      <w:bookmarkStart w:id="498" w:name="_Toc526348420"/>
      <w:bookmarkStart w:id="499" w:name="_Toc526374611"/>
      <w:bookmarkStart w:id="500" w:name="_Toc526374627"/>
      <w:bookmarkStart w:id="501" w:name="_Toc526406490"/>
      <w:bookmarkStart w:id="502" w:name="_Toc526409516"/>
      <w:bookmarkStart w:id="503" w:name="_Toc526491415"/>
      <w:bookmarkStart w:id="504" w:name="_Toc526505527"/>
      <w:bookmarkStart w:id="505" w:name="_Toc526756619"/>
      <w:r>
        <w:rPr>
          <w:rFonts w:cs="Times New Roman"/>
          <w:bCs w:val="0"/>
          <w:iCs/>
          <w:sz w:val="24"/>
          <w:szCs w:val="24"/>
        </w:rPr>
        <w:t>10</w:t>
      </w:r>
      <w:r w:rsidR="00F0531D" w:rsidRPr="003B0B97">
        <w:rPr>
          <w:rFonts w:cs="Times New Roman"/>
          <w:bCs w:val="0"/>
          <w:iCs/>
          <w:sz w:val="24"/>
          <w:szCs w:val="24"/>
        </w:rPr>
        <w:t>. Hørte myndigheder og organisationer mv.</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74B708D5" w14:textId="77777777" w:rsidR="00F0531D" w:rsidRDefault="00F0531D" w:rsidP="00A456AA">
      <w:pPr>
        <w:rPr>
          <w:rFonts w:cs="Times New Roman"/>
          <w:szCs w:val="24"/>
        </w:rPr>
      </w:pPr>
    </w:p>
    <w:p w14:paraId="62164B52" w14:textId="1BF4ADAE" w:rsidR="0099496A" w:rsidRPr="0072363A" w:rsidRDefault="000E7EA3" w:rsidP="0099496A">
      <w:pPr>
        <w:tabs>
          <w:tab w:val="left" w:pos="284"/>
          <w:tab w:val="left" w:pos="567"/>
          <w:tab w:val="left" w:pos="993"/>
          <w:tab w:val="left" w:pos="2765"/>
        </w:tabs>
        <w:spacing w:line="240" w:lineRule="auto"/>
        <w:rPr>
          <w:rFonts w:cs="Times New Roman"/>
          <w:szCs w:val="24"/>
        </w:rPr>
      </w:pPr>
      <w:r>
        <w:rPr>
          <w:rFonts w:cs="Times New Roman"/>
          <w:szCs w:val="24"/>
        </w:rPr>
        <w:t>[Høringsparter]</w:t>
      </w:r>
    </w:p>
    <w:p w14:paraId="42845E13" w14:textId="77777777" w:rsidR="009C09AB" w:rsidRPr="0072363A" w:rsidRDefault="009C09AB" w:rsidP="00A456AA">
      <w:pPr>
        <w:rPr>
          <w:rFonts w:cs="Times New Roman"/>
          <w:szCs w:val="24"/>
        </w:rPr>
      </w:pPr>
    </w:p>
    <w:p w14:paraId="27053C32" w14:textId="0C08DB00" w:rsidR="00F0531D" w:rsidRPr="003B0B97" w:rsidRDefault="00C945B8" w:rsidP="00A456AA">
      <w:pPr>
        <w:pStyle w:val="Overskrift1"/>
        <w:rPr>
          <w:rFonts w:cs="Times New Roman"/>
          <w:bCs w:val="0"/>
          <w:iCs/>
          <w:sz w:val="24"/>
          <w:szCs w:val="24"/>
        </w:rPr>
      </w:pPr>
      <w:bookmarkStart w:id="506" w:name="_Toc243705914"/>
      <w:bookmarkStart w:id="507" w:name="_Toc329931208"/>
      <w:bookmarkStart w:id="508" w:name="_Toc329931319"/>
      <w:bookmarkStart w:id="509" w:name="_Toc442277394"/>
      <w:bookmarkStart w:id="510" w:name="_Toc442281312"/>
      <w:bookmarkStart w:id="511" w:name="_Toc442281342"/>
      <w:bookmarkStart w:id="512" w:name="_Toc442777852"/>
      <w:bookmarkStart w:id="513" w:name="_Toc442787249"/>
      <w:bookmarkStart w:id="514" w:name="_Toc442787541"/>
      <w:bookmarkStart w:id="515" w:name="_Toc442953247"/>
      <w:bookmarkStart w:id="516" w:name="_Toc443047631"/>
      <w:bookmarkStart w:id="517" w:name="_Toc444095991"/>
      <w:bookmarkStart w:id="518" w:name="_Toc444244517"/>
      <w:bookmarkStart w:id="519" w:name="_Toc498557232"/>
      <w:bookmarkStart w:id="520" w:name="_Toc498557302"/>
      <w:bookmarkStart w:id="521" w:name="_Toc498590036"/>
      <w:bookmarkStart w:id="522" w:name="_Toc498681519"/>
      <w:bookmarkStart w:id="523" w:name="_Toc499152791"/>
      <w:bookmarkStart w:id="524" w:name="_Toc499158750"/>
      <w:bookmarkStart w:id="525" w:name="_Toc499648623"/>
      <w:bookmarkStart w:id="526" w:name="_Toc499728116"/>
      <w:bookmarkStart w:id="527" w:name="_Toc499732964"/>
      <w:bookmarkStart w:id="528" w:name="_Toc499736995"/>
      <w:bookmarkStart w:id="529" w:name="_Toc499812935"/>
      <w:bookmarkStart w:id="530" w:name="_Toc499813738"/>
      <w:bookmarkStart w:id="531" w:name="_Toc500921485"/>
      <w:bookmarkStart w:id="532" w:name="_Toc500921511"/>
      <w:bookmarkStart w:id="533" w:name="_Toc500921622"/>
      <w:bookmarkStart w:id="534" w:name="_Toc501019232"/>
      <w:bookmarkStart w:id="535" w:name="_Toc504483877"/>
      <w:bookmarkStart w:id="536" w:name="_Toc505180555"/>
      <w:bookmarkStart w:id="537" w:name="_Toc505690208"/>
      <w:bookmarkStart w:id="538" w:name="_Toc505701761"/>
      <w:bookmarkStart w:id="539" w:name="_Toc505759553"/>
      <w:bookmarkStart w:id="540" w:name="_Toc505759570"/>
      <w:bookmarkStart w:id="541" w:name="_Toc505762663"/>
      <w:bookmarkStart w:id="542" w:name="_Toc505786003"/>
      <w:bookmarkStart w:id="543" w:name="_Toc506799588"/>
      <w:bookmarkStart w:id="544" w:name="_Toc506799605"/>
      <w:bookmarkStart w:id="545" w:name="_Toc506894564"/>
      <w:bookmarkStart w:id="546" w:name="_Toc507486301"/>
      <w:bookmarkStart w:id="547" w:name="_Toc515271236"/>
      <w:bookmarkStart w:id="548" w:name="_Toc515271559"/>
      <w:bookmarkStart w:id="549" w:name="_Toc515271587"/>
      <w:bookmarkStart w:id="550" w:name="_Toc515280495"/>
      <w:bookmarkStart w:id="551" w:name="_Toc515280646"/>
      <w:bookmarkStart w:id="552" w:name="_Toc515352798"/>
      <w:bookmarkStart w:id="553" w:name="_Toc515540871"/>
      <w:bookmarkStart w:id="554" w:name="_Toc515543711"/>
      <w:bookmarkStart w:id="555" w:name="_Toc515543896"/>
      <w:bookmarkStart w:id="556" w:name="_Toc515551697"/>
      <w:bookmarkStart w:id="557" w:name="_Toc515627639"/>
      <w:bookmarkStart w:id="558" w:name="_Toc516039949"/>
      <w:bookmarkStart w:id="559" w:name="_Toc516155372"/>
      <w:bookmarkStart w:id="560" w:name="_Toc516490273"/>
      <w:bookmarkStart w:id="561" w:name="_Toc518037955"/>
      <w:bookmarkStart w:id="562" w:name="_Toc524599607"/>
      <w:bookmarkStart w:id="563" w:name="_Toc526154940"/>
      <w:bookmarkStart w:id="564" w:name="_Toc526155486"/>
      <w:bookmarkStart w:id="565" w:name="_Toc526155559"/>
      <w:bookmarkStart w:id="566" w:name="_Toc526253996"/>
      <w:bookmarkStart w:id="567" w:name="_Toc526348421"/>
      <w:bookmarkStart w:id="568" w:name="_Toc526374612"/>
      <w:bookmarkStart w:id="569" w:name="_Toc526374628"/>
      <w:bookmarkStart w:id="570" w:name="_Toc526406491"/>
      <w:bookmarkStart w:id="571" w:name="_Toc526409517"/>
      <w:bookmarkStart w:id="572" w:name="_Toc526491416"/>
      <w:bookmarkStart w:id="573" w:name="_Toc526505528"/>
      <w:bookmarkStart w:id="574" w:name="_Toc526756620"/>
      <w:r>
        <w:rPr>
          <w:rFonts w:cs="Times New Roman"/>
          <w:bCs w:val="0"/>
          <w:iCs/>
          <w:sz w:val="24"/>
          <w:szCs w:val="24"/>
        </w:rPr>
        <w:t>11</w:t>
      </w:r>
      <w:r w:rsidR="00F0531D" w:rsidRPr="003B0B97">
        <w:rPr>
          <w:rFonts w:cs="Times New Roman"/>
          <w:bCs w:val="0"/>
          <w:iCs/>
          <w:sz w:val="24"/>
          <w:szCs w:val="24"/>
        </w:rPr>
        <w:t>. Sammenfattende skema</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0EE3068F" w14:textId="77777777" w:rsidR="00F0531D" w:rsidRDefault="00F0531D" w:rsidP="00A456AA">
      <w:pPr>
        <w:rPr>
          <w:rFonts w:cs="Times New Roman"/>
          <w:szCs w:val="24"/>
        </w:rPr>
      </w:pPr>
    </w:p>
    <w:tbl>
      <w:tblPr>
        <w:tblW w:w="9239" w:type="dxa"/>
        <w:tblInd w:w="-10" w:type="dxa"/>
        <w:tblCellMar>
          <w:top w:w="15" w:type="dxa"/>
          <w:left w:w="15" w:type="dxa"/>
          <w:bottom w:w="15" w:type="dxa"/>
          <w:right w:w="15" w:type="dxa"/>
        </w:tblCellMar>
        <w:tblLook w:val="04A0" w:firstRow="1" w:lastRow="0" w:firstColumn="1" w:lastColumn="0" w:noHBand="0" w:noVBand="1"/>
      </w:tblPr>
      <w:tblGrid>
        <w:gridCol w:w="2977"/>
        <w:gridCol w:w="2268"/>
        <w:gridCol w:w="3994"/>
      </w:tblGrid>
      <w:tr w:rsidR="00E93993" w:rsidRPr="00E93993" w14:paraId="3AEC5FA4" w14:textId="77777777" w:rsidTr="009C09AB">
        <w:tc>
          <w:tcPr>
            <w:tcW w:w="2977" w:type="dxa"/>
            <w:tcBorders>
              <w:top w:val="single" w:sz="8" w:space="0" w:color="000000"/>
              <w:left w:val="single" w:sz="8" w:space="0" w:color="000000"/>
              <w:bottom w:val="single" w:sz="8" w:space="0" w:color="000000"/>
              <w:right w:val="single" w:sz="8" w:space="0" w:color="000000"/>
            </w:tcBorders>
            <w:hideMark/>
          </w:tcPr>
          <w:p w14:paraId="367F5EDC" w14:textId="77777777" w:rsidR="00F0531D" w:rsidRPr="00E93993" w:rsidRDefault="00F0531D" w:rsidP="00A456AA">
            <w:pPr>
              <w:rPr>
                <w:rFonts w:eastAsia="Times New Roman"/>
                <w:color w:val="000000"/>
                <w:szCs w:val="24"/>
                <w:lang w:eastAsia="da-DK"/>
              </w:rPr>
            </w:pPr>
            <w:r w:rsidRPr="00E93993">
              <w:rPr>
                <w:rFonts w:eastAsia="Times New Roman"/>
                <w:color w:val="000000"/>
                <w:szCs w:val="24"/>
                <w:lang w:eastAsia="da-DK"/>
              </w:rPr>
              <w:t> </w:t>
            </w:r>
          </w:p>
        </w:tc>
        <w:tc>
          <w:tcPr>
            <w:tcW w:w="2268" w:type="dxa"/>
            <w:tcBorders>
              <w:top w:val="single" w:sz="8" w:space="0" w:color="000000"/>
              <w:left w:val="single" w:sz="8" w:space="0" w:color="000000"/>
              <w:bottom w:val="single" w:sz="8" w:space="0" w:color="000000"/>
              <w:right w:val="single" w:sz="8" w:space="0" w:color="000000"/>
            </w:tcBorders>
            <w:hideMark/>
          </w:tcPr>
          <w:p w14:paraId="4F66FFA1" w14:textId="77777777" w:rsidR="00F0531D" w:rsidRPr="00E93993" w:rsidRDefault="00F0531D" w:rsidP="00E93993">
            <w:pPr>
              <w:jc w:val="center"/>
              <w:rPr>
                <w:rFonts w:eastAsia="Times New Roman"/>
                <w:color w:val="000000"/>
                <w:szCs w:val="24"/>
                <w:lang w:eastAsia="da-DK"/>
              </w:rPr>
            </w:pPr>
            <w:r w:rsidRPr="00E93993">
              <w:rPr>
                <w:rFonts w:eastAsia="Times New Roman"/>
                <w:color w:val="000000"/>
                <w:szCs w:val="24"/>
                <w:lang w:eastAsia="da-DK"/>
              </w:rPr>
              <w:t>Positive konsekvenser/</w:t>
            </w:r>
            <w:proofErr w:type="spellStart"/>
            <w:r w:rsidRPr="00E93993">
              <w:rPr>
                <w:rFonts w:eastAsia="Times New Roman"/>
                <w:color w:val="000000"/>
                <w:szCs w:val="24"/>
                <w:lang w:eastAsia="da-DK"/>
              </w:rPr>
              <w:t>mindreudgifter</w:t>
            </w:r>
            <w:proofErr w:type="spellEnd"/>
          </w:p>
          <w:p w14:paraId="3D6997EF" w14:textId="77777777" w:rsidR="00166D68" w:rsidRPr="00E93993" w:rsidRDefault="00166D68" w:rsidP="00E93993">
            <w:pPr>
              <w:jc w:val="center"/>
              <w:rPr>
                <w:rFonts w:eastAsia="Times New Roman"/>
                <w:color w:val="000000"/>
                <w:szCs w:val="24"/>
                <w:lang w:eastAsia="da-DK"/>
              </w:rPr>
            </w:pPr>
            <w:r w:rsidRPr="00E93993">
              <w:rPr>
                <w:rFonts w:eastAsia="Times New Roman"/>
                <w:color w:val="000000"/>
                <w:szCs w:val="24"/>
                <w:lang w:eastAsia="da-DK"/>
              </w:rPr>
              <w:t>(hvis ja, angiv omfang/Hvis nej, anfør »Ingen«)</w:t>
            </w:r>
          </w:p>
        </w:tc>
        <w:tc>
          <w:tcPr>
            <w:tcW w:w="3994" w:type="dxa"/>
            <w:tcBorders>
              <w:top w:val="single" w:sz="8" w:space="0" w:color="000000"/>
              <w:left w:val="single" w:sz="8" w:space="0" w:color="000000"/>
              <w:bottom w:val="single" w:sz="8" w:space="0" w:color="000000"/>
              <w:right w:val="single" w:sz="8" w:space="0" w:color="000000"/>
            </w:tcBorders>
            <w:hideMark/>
          </w:tcPr>
          <w:p w14:paraId="16F67A80" w14:textId="77777777" w:rsidR="00F0531D" w:rsidRPr="00E93993" w:rsidRDefault="00F0531D" w:rsidP="00E93993">
            <w:pPr>
              <w:jc w:val="center"/>
              <w:rPr>
                <w:rFonts w:eastAsia="Times New Roman" w:cs="Times New Roman"/>
                <w:color w:val="000000"/>
                <w:szCs w:val="24"/>
                <w:lang w:eastAsia="da-DK"/>
              </w:rPr>
            </w:pPr>
            <w:r w:rsidRPr="00E93993">
              <w:rPr>
                <w:rFonts w:eastAsia="Times New Roman" w:cs="Times New Roman"/>
                <w:color w:val="000000"/>
                <w:szCs w:val="24"/>
                <w:lang w:eastAsia="da-DK"/>
              </w:rPr>
              <w:t>Negative konsekvenser/merudgifter</w:t>
            </w:r>
          </w:p>
          <w:p w14:paraId="08C64FB4" w14:textId="77777777" w:rsidR="00E93993" w:rsidRPr="00E93993" w:rsidRDefault="00E93993" w:rsidP="00E93993">
            <w:pPr>
              <w:jc w:val="center"/>
              <w:rPr>
                <w:rFonts w:ascii="Tahoma" w:eastAsia="Times New Roman" w:hAnsi="Tahoma" w:cs="Tahoma"/>
                <w:color w:val="000000"/>
                <w:szCs w:val="24"/>
                <w:lang w:eastAsia="da-DK"/>
              </w:rPr>
            </w:pPr>
            <w:r w:rsidRPr="00E93993">
              <w:rPr>
                <w:rFonts w:eastAsia="Times New Roman"/>
                <w:color w:val="000000"/>
                <w:szCs w:val="24"/>
                <w:lang w:eastAsia="da-DK"/>
              </w:rPr>
              <w:t>(hvis ja, angiv omfang/Hvis nej, anfør »Ingen«)</w:t>
            </w:r>
          </w:p>
        </w:tc>
      </w:tr>
      <w:tr w:rsidR="000D1973" w:rsidRPr="00E93993" w14:paraId="7CBE5ED4" w14:textId="77777777" w:rsidTr="009C09AB">
        <w:tc>
          <w:tcPr>
            <w:tcW w:w="2977" w:type="dxa"/>
            <w:tcBorders>
              <w:top w:val="single" w:sz="8" w:space="0" w:color="000000"/>
              <w:left w:val="single" w:sz="8" w:space="0" w:color="000000"/>
              <w:bottom w:val="single" w:sz="8" w:space="0" w:color="000000"/>
              <w:right w:val="single" w:sz="8" w:space="0" w:color="000000"/>
            </w:tcBorders>
            <w:hideMark/>
          </w:tcPr>
          <w:p w14:paraId="191DF9B6" w14:textId="77777777" w:rsidR="000D1973" w:rsidRPr="00E93993" w:rsidRDefault="000D1973" w:rsidP="000D1973">
            <w:pPr>
              <w:rPr>
                <w:rFonts w:eastAsia="Times New Roman"/>
                <w:color w:val="000000"/>
                <w:szCs w:val="24"/>
                <w:lang w:eastAsia="da-DK"/>
              </w:rPr>
            </w:pPr>
            <w:r w:rsidRPr="00E93993">
              <w:rPr>
                <w:rFonts w:eastAsia="Times New Roman"/>
                <w:color w:val="000000"/>
                <w:szCs w:val="24"/>
                <w:lang w:eastAsia="da-DK"/>
              </w:rPr>
              <w:t>Økonomiske konsekvenser for stat, kommuner og regioner</w:t>
            </w:r>
          </w:p>
        </w:tc>
        <w:tc>
          <w:tcPr>
            <w:tcW w:w="2268" w:type="dxa"/>
            <w:tcBorders>
              <w:top w:val="single" w:sz="8" w:space="0" w:color="000000"/>
              <w:left w:val="single" w:sz="8" w:space="0" w:color="000000"/>
              <w:bottom w:val="single" w:sz="8" w:space="0" w:color="000000"/>
              <w:right w:val="single" w:sz="8" w:space="0" w:color="000000"/>
            </w:tcBorders>
            <w:hideMark/>
          </w:tcPr>
          <w:p w14:paraId="2E017A82" w14:textId="01BF1C22" w:rsidR="000D1973" w:rsidRPr="00E93993" w:rsidRDefault="00AE1048" w:rsidP="000D1973">
            <w:pPr>
              <w:rPr>
                <w:rFonts w:eastAsia="Times New Roman"/>
                <w:color w:val="000000"/>
                <w:szCs w:val="24"/>
                <w:lang w:eastAsia="da-DK"/>
              </w:rPr>
            </w:pPr>
            <w:r>
              <w:rPr>
                <w:rFonts w:eastAsia="Times New Roman"/>
                <w:color w:val="000000"/>
                <w:szCs w:val="24"/>
                <w:lang w:eastAsia="da-DK"/>
              </w:rPr>
              <w:t>Ja, forenkling af arbejdsgange i staten.</w:t>
            </w:r>
          </w:p>
        </w:tc>
        <w:tc>
          <w:tcPr>
            <w:tcW w:w="3994" w:type="dxa"/>
            <w:tcBorders>
              <w:top w:val="single" w:sz="8" w:space="0" w:color="000000"/>
              <w:left w:val="single" w:sz="8" w:space="0" w:color="000000"/>
              <w:bottom w:val="single" w:sz="8" w:space="0" w:color="000000"/>
              <w:right w:val="single" w:sz="8" w:space="0" w:color="000000"/>
            </w:tcBorders>
            <w:hideMark/>
          </w:tcPr>
          <w:p w14:paraId="09C59A55" w14:textId="7D929D3E" w:rsidR="000D1973" w:rsidRPr="00E93993" w:rsidRDefault="00D57EC8" w:rsidP="00D57EC8">
            <w:pPr>
              <w:rPr>
                <w:rFonts w:eastAsia="Times New Roman"/>
                <w:color w:val="000000"/>
                <w:szCs w:val="24"/>
                <w:lang w:eastAsia="da-DK"/>
              </w:rPr>
            </w:pPr>
            <w:r>
              <w:rPr>
                <w:rFonts w:eastAsia="Times New Roman"/>
                <w:color w:val="000000"/>
                <w:szCs w:val="24"/>
                <w:lang w:eastAsia="da-DK"/>
              </w:rPr>
              <w:t>Ja, dog begrænsede negative konsekvenser.</w:t>
            </w:r>
          </w:p>
        </w:tc>
      </w:tr>
      <w:tr w:rsidR="000D1973" w:rsidRPr="00E93993" w14:paraId="48F4178A" w14:textId="77777777" w:rsidTr="009C09AB">
        <w:tc>
          <w:tcPr>
            <w:tcW w:w="2977" w:type="dxa"/>
            <w:tcBorders>
              <w:top w:val="single" w:sz="8" w:space="0" w:color="000000"/>
              <w:left w:val="single" w:sz="8" w:space="0" w:color="000000"/>
              <w:bottom w:val="single" w:sz="8" w:space="0" w:color="000000"/>
              <w:right w:val="single" w:sz="8" w:space="0" w:color="000000"/>
            </w:tcBorders>
            <w:hideMark/>
          </w:tcPr>
          <w:p w14:paraId="2E48F4CF" w14:textId="77777777" w:rsidR="000D1973" w:rsidRPr="00E93993" w:rsidRDefault="000D1973" w:rsidP="000D1973">
            <w:pPr>
              <w:rPr>
                <w:rFonts w:eastAsia="Times New Roman"/>
                <w:color w:val="000000"/>
                <w:szCs w:val="24"/>
                <w:lang w:eastAsia="da-DK"/>
              </w:rPr>
            </w:pPr>
            <w:r>
              <w:rPr>
                <w:rFonts w:eastAsia="Times New Roman"/>
                <w:color w:val="000000"/>
                <w:szCs w:val="24"/>
                <w:lang w:eastAsia="da-DK"/>
              </w:rPr>
              <w:t>Implementerings</w:t>
            </w:r>
            <w:r w:rsidRPr="00E93993">
              <w:rPr>
                <w:rFonts w:eastAsia="Times New Roman"/>
                <w:color w:val="000000"/>
                <w:szCs w:val="24"/>
                <w:lang w:eastAsia="da-DK"/>
              </w:rPr>
              <w:t>konsekvenser for stat, kommuner og regioner</w:t>
            </w:r>
          </w:p>
        </w:tc>
        <w:tc>
          <w:tcPr>
            <w:tcW w:w="2268" w:type="dxa"/>
            <w:tcBorders>
              <w:top w:val="single" w:sz="8" w:space="0" w:color="000000"/>
              <w:left w:val="single" w:sz="8" w:space="0" w:color="000000"/>
              <w:bottom w:val="single" w:sz="8" w:space="0" w:color="000000"/>
              <w:right w:val="single" w:sz="8" w:space="0" w:color="000000"/>
            </w:tcBorders>
            <w:hideMark/>
          </w:tcPr>
          <w:p w14:paraId="3FE4848A" w14:textId="77777777" w:rsidR="000D1973" w:rsidRPr="00E93993" w:rsidRDefault="000D1973" w:rsidP="000D1973">
            <w:pPr>
              <w:rPr>
                <w:rFonts w:eastAsia="Times New Roman"/>
                <w:color w:val="000000"/>
                <w:szCs w:val="24"/>
                <w:lang w:eastAsia="da-DK"/>
              </w:rPr>
            </w:pPr>
            <w:r>
              <w:rPr>
                <w:rFonts w:eastAsia="Times New Roman"/>
                <w:color w:val="000000"/>
                <w:szCs w:val="24"/>
                <w:lang w:eastAsia="da-DK"/>
              </w:rPr>
              <w:t>Ingen</w:t>
            </w:r>
          </w:p>
        </w:tc>
        <w:tc>
          <w:tcPr>
            <w:tcW w:w="3994" w:type="dxa"/>
            <w:tcBorders>
              <w:top w:val="single" w:sz="8" w:space="0" w:color="000000"/>
              <w:left w:val="single" w:sz="8" w:space="0" w:color="000000"/>
              <w:bottom w:val="single" w:sz="8" w:space="0" w:color="000000"/>
              <w:right w:val="single" w:sz="8" w:space="0" w:color="000000"/>
            </w:tcBorders>
            <w:hideMark/>
          </w:tcPr>
          <w:p w14:paraId="3CBD65B8" w14:textId="7CA747BC" w:rsidR="000D1973" w:rsidRPr="00E93993" w:rsidRDefault="00D57EC8" w:rsidP="00D57EC8">
            <w:pPr>
              <w:rPr>
                <w:rFonts w:eastAsia="Times New Roman"/>
                <w:color w:val="000000"/>
                <w:szCs w:val="24"/>
                <w:lang w:eastAsia="da-DK"/>
              </w:rPr>
            </w:pPr>
            <w:r>
              <w:rPr>
                <w:rFonts w:eastAsia="Times New Roman"/>
                <w:color w:val="000000"/>
                <w:szCs w:val="24"/>
                <w:lang w:eastAsia="da-DK"/>
              </w:rPr>
              <w:t>Ja, dog begrænsede negative konsekvenser.</w:t>
            </w:r>
          </w:p>
        </w:tc>
      </w:tr>
      <w:tr w:rsidR="000D1973" w:rsidRPr="00E93993" w14:paraId="3D6CF750" w14:textId="77777777" w:rsidTr="009C09AB">
        <w:tc>
          <w:tcPr>
            <w:tcW w:w="2977" w:type="dxa"/>
            <w:tcBorders>
              <w:top w:val="single" w:sz="8" w:space="0" w:color="000000"/>
              <w:left w:val="single" w:sz="8" w:space="0" w:color="000000"/>
              <w:bottom w:val="single" w:sz="8" w:space="0" w:color="000000"/>
              <w:right w:val="single" w:sz="8" w:space="0" w:color="000000"/>
            </w:tcBorders>
            <w:hideMark/>
          </w:tcPr>
          <w:p w14:paraId="5737DEDA" w14:textId="77777777" w:rsidR="000D1973" w:rsidRPr="00E93993" w:rsidRDefault="000D1973" w:rsidP="000D1973">
            <w:pPr>
              <w:rPr>
                <w:rFonts w:eastAsia="Times New Roman"/>
                <w:color w:val="000000"/>
                <w:szCs w:val="24"/>
                <w:lang w:eastAsia="da-DK"/>
              </w:rPr>
            </w:pPr>
            <w:r w:rsidRPr="00E93993">
              <w:rPr>
                <w:rFonts w:eastAsia="Times New Roman"/>
                <w:color w:val="000000"/>
                <w:szCs w:val="24"/>
                <w:lang w:eastAsia="da-DK"/>
              </w:rPr>
              <w:t>Økonomiske konsekvenser for erhvervslivet</w:t>
            </w:r>
          </w:p>
        </w:tc>
        <w:tc>
          <w:tcPr>
            <w:tcW w:w="2268" w:type="dxa"/>
            <w:tcBorders>
              <w:top w:val="single" w:sz="8" w:space="0" w:color="000000"/>
              <w:left w:val="single" w:sz="8" w:space="0" w:color="000000"/>
              <w:bottom w:val="single" w:sz="8" w:space="0" w:color="000000"/>
              <w:right w:val="single" w:sz="8" w:space="0" w:color="000000"/>
            </w:tcBorders>
            <w:hideMark/>
          </w:tcPr>
          <w:p w14:paraId="156D233F" w14:textId="61D303EB" w:rsidR="000D1973" w:rsidRPr="00E93993" w:rsidRDefault="00581518" w:rsidP="000D1973">
            <w:pPr>
              <w:rPr>
                <w:rFonts w:eastAsia="Times New Roman"/>
                <w:color w:val="000000"/>
                <w:szCs w:val="24"/>
                <w:lang w:eastAsia="da-DK"/>
              </w:rPr>
            </w:pPr>
            <w:r>
              <w:rPr>
                <w:rFonts w:eastAsia="Times New Roman"/>
                <w:color w:val="000000"/>
                <w:szCs w:val="24"/>
                <w:lang w:eastAsia="da-DK"/>
              </w:rPr>
              <w:t xml:space="preserve"> Ingen</w:t>
            </w:r>
          </w:p>
        </w:tc>
        <w:tc>
          <w:tcPr>
            <w:tcW w:w="3994" w:type="dxa"/>
            <w:tcBorders>
              <w:top w:val="single" w:sz="8" w:space="0" w:color="000000"/>
              <w:left w:val="single" w:sz="8" w:space="0" w:color="000000"/>
              <w:bottom w:val="single" w:sz="8" w:space="0" w:color="000000"/>
              <w:right w:val="single" w:sz="8" w:space="0" w:color="000000"/>
            </w:tcBorders>
            <w:hideMark/>
          </w:tcPr>
          <w:p w14:paraId="16EDD765" w14:textId="182E2B26" w:rsidR="000D1973" w:rsidRPr="00E93993" w:rsidRDefault="00581518" w:rsidP="000D1973">
            <w:pPr>
              <w:rPr>
                <w:rFonts w:eastAsia="Times New Roman"/>
                <w:color w:val="000000"/>
                <w:szCs w:val="24"/>
                <w:lang w:eastAsia="da-DK"/>
              </w:rPr>
            </w:pPr>
            <w:r>
              <w:rPr>
                <w:rFonts w:eastAsia="Times New Roman"/>
                <w:color w:val="000000"/>
                <w:szCs w:val="24"/>
                <w:lang w:eastAsia="da-DK"/>
              </w:rPr>
              <w:t xml:space="preserve"> Ja, dog begrænsede negative økonomiske konsekvenser.  Byrdevurderet til under 4 mio. kr. </w:t>
            </w:r>
          </w:p>
        </w:tc>
      </w:tr>
      <w:tr w:rsidR="000D1973" w:rsidRPr="00E93993" w14:paraId="7DB27C0F" w14:textId="77777777" w:rsidTr="009C09AB">
        <w:tc>
          <w:tcPr>
            <w:tcW w:w="2977" w:type="dxa"/>
            <w:tcBorders>
              <w:top w:val="single" w:sz="8" w:space="0" w:color="000000"/>
              <w:left w:val="single" w:sz="8" w:space="0" w:color="000000"/>
              <w:bottom w:val="single" w:sz="8" w:space="0" w:color="000000"/>
              <w:right w:val="single" w:sz="8" w:space="0" w:color="000000"/>
            </w:tcBorders>
            <w:hideMark/>
          </w:tcPr>
          <w:p w14:paraId="185885B1" w14:textId="77777777" w:rsidR="000D1973" w:rsidRPr="00E93993" w:rsidRDefault="000D1973" w:rsidP="000D1973">
            <w:pPr>
              <w:rPr>
                <w:rFonts w:eastAsia="Times New Roman"/>
                <w:color w:val="000000"/>
                <w:szCs w:val="24"/>
                <w:lang w:eastAsia="da-DK"/>
              </w:rPr>
            </w:pPr>
            <w:r w:rsidRPr="00E93993">
              <w:rPr>
                <w:rFonts w:eastAsia="Times New Roman"/>
                <w:color w:val="000000"/>
                <w:szCs w:val="24"/>
                <w:lang w:eastAsia="da-DK"/>
              </w:rPr>
              <w:t>Administrative konsekvenser for erhvervslivet</w:t>
            </w:r>
          </w:p>
        </w:tc>
        <w:tc>
          <w:tcPr>
            <w:tcW w:w="2268" w:type="dxa"/>
            <w:tcBorders>
              <w:top w:val="single" w:sz="8" w:space="0" w:color="000000"/>
              <w:left w:val="single" w:sz="8" w:space="0" w:color="000000"/>
              <w:bottom w:val="single" w:sz="8" w:space="0" w:color="000000"/>
              <w:right w:val="single" w:sz="8" w:space="0" w:color="000000"/>
            </w:tcBorders>
            <w:hideMark/>
          </w:tcPr>
          <w:p w14:paraId="170D91AC" w14:textId="3819E0BB" w:rsidR="000D1973" w:rsidRPr="00E93993" w:rsidRDefault="00581518" w:rsidP="000D1973">
            <w:pPr>
              <w:rPr>
                <w:rFonts w:eastAsia="Times New Roman"/>
                <w:color w:val="000000"/>
                <w:szCs w:val="24"/>
                <w:lang w:eastAsia="da-DK"/>
              </w:rPr>
            </w:pPr>
            <w:r>
              <w:rPr>
                <w:rFonts w:eastAsia="Times New Roman"/>
                <w:color w:val="000000"/>
                <w:szCs w:val="24"/>
                <w:lang w:eastAsia="da-DK"/>
              </w:rPr>
              <w:t xml:space="preserve"> Ingen</w:t>
            </w:r>
          </w:p>
        </w:tc>
        <w:tc>
          <w:tcPr>
            <w:tcW w:w="3994" w:type="dxa"/>
            <w:tcBorders>
              <w:top w:val="single" w:sz="8" w:space="0" w:color="000000"/>
              <w:left w:val="single" w:sz="8" w:space="0" w:color="000000"/>
              <w:bottom w:val="single" w:sz="8" w:space="0" w:color="000000"/>
              <w:right w:val="single" w:sz="8" w:space="0" w:color="000000"/>
            </w:tcBorders>
            <w:hideMark/>
          </w:tcPr>
          <w:p w14:paraId="7E9A3A10" w14:textId="5D096405" w:rsidR="000D1973" w:rsidRPr="00E93993" w:rsidRDefault="00581518" w:rsidP="00581518">
            <w:pPr>
              <w:rPr>
                <w:rFonts w:eastAsia="Times New Roman"/>
                <w:color w:val="000000"/>
                <w:szCs w:val="24"/>
                <w:lang w:eastAsia="da-DK"/>
              </w:rPr>
            </w:pPr>
            <w:r>
              <w:rPr>
                <w:rFonts w:eastAsia="Times New Roman"/>
                <w:color w:val="000000"/>
                <w:szCs w:val="24"/>
                <w:lang w:eastAsia="da-DK"/>
              </w:rPr>
              <w:t>Ja, dog begrænsede negative administrative konsekvenser. Byrdevurderet til under 4 mio. kr.</w:t>
            </w:r>
          </w:p>
        </w:tc>
      </w:tr>
      <w:tr w:rsidR="000D1973" w:rsidRPr="00E93993" w14:paraId="47520DFC" w14:textId="77777777" w:rsidTr="009C09AB">
        <w:tc>
          <w:tcPr>
            <w:tcW w:w="2977" w:type="dxa"/>
            <w:tcBorders>
              <w:top w:val="single" w:sz="8" w:space="0" w:color="000000"/>
              <w:left w:val="single" w:sz="8" w:space="0" w:color="000000"/>
              <w:bottom w:val="single" w:sz="8" w:space="0" w:color="000000"/>
              <w:right w:val="single" w:sz="8" w:space="0" w:color="000000"/>
            </w:tcBorders>
            <w:hideMark/>
          </w:tcPr>
          <w:p w14:paraId="434E3C37" w14:textId="77777777" w:rsidR="000D1973" w:rsidRPr="00E93993" w:rsidRDefault="000D1973" w:rsidP="000D1973">
            <w:pPr>
              <w:rPr>
                <w:rFonts w:eastAsia="Times New Roman"/>
                <w:color w:val="000000"/>
                <w:szCs w:val="24"/>
                <w:lang w:eastAsia="da-DK"/>
              </w:rPr>
            </w:pPr>
            <w:r w:rsidRPr="00E93993">
              <w:rPr>
                <w:rFonts w:eastAsia="Times New Roman"/>
                <w:color w:val="000000"/>
                <w:szCs w:val="24"/>
                <w:lang w:eastAsia="da-DK"/>
              </w:rPr>
              <w:t>Administrative konsekvenser for borgerne</w:t>
            </w:r>
          </w:p>
        </w:tc>
        <w:tc>
          <w:tcPr>
            <w:tcW w:w="2268" w:type="dxa"/>
            <w:tcBorders>
              <w:top w:val="single" w:sz="8" w:space="0" w:color="000000"/>
              <w:left w:val="single" w:sz="8" w:space="0" w:color="000000"/>
              <w:bottom w:val="single" w:sz="8" w:space="0" w:color="000000"/>
              <w:right w:val="single" w:sz="8" w:space="0" w:color="000000"/>
            </w:tcBorders>
            <w:hideMark/>
          </w:tcPr>
          <w:p w14:paraId="2B68F20F" w14:textId="77777777" w:rsidR="000D1973" w:rsidRPr="00E93993" w:rsidRDefault="000D1973" w:rsidP="000D1973">
            <w:pPr>
              <w:rPr>
                <w:rFonts w:eastAsia="Times New Roman"/>
                <w:color w:val="000000"/>
                <w:szCs w:val="24"/>
                <w:lang w:eastAsia="da-DK"/>
              </w:rPr>
            </w:pPr>
            <w:r>
              <w:rPr>
                <w:rFonts w:eastAsia="Times New Roman"/>
                <w:color w:val="000000"/>
                <w:szCs w:val="24"/>
                <w:lang w:eastAsia="da-DK"/>
              </w:rPr>
              <w:t>Ingen</w:t>
            </w:r>
          </w:p>
        </w:tc>
        <w:tc>
          <w:tcPr>
            <w:tcW w:w="3994" w:type="dxa"/>
            <w:tcBorders>
              <w:top w:val="single" w:sz="8" w:space="0" w:color="000000"/>
              <w:left w:val="single" w:sz="8" w:space="0" w:color="000000"/>
              <w:bottom w:val="single" w:sz="8" w:space="0" w:color="000000"/>
              <w:right w:val="single" w:sz="8" w:space="0" w:color="000000"/>
            </w:tcBorders>
            <w:hideMark/>
          </w:tcPr>
          <w:p w14:paraId="741AE863" w14:textId="77777777" w:rsidR="000D1973" w:rsidRPr="00E93993" w:rsidRDefault="000D1973" w:rsidP="000D1973">
            <w:pPr>
              <w:rPr>
                <w:rFonts w:eastAsia="Times New Roman"/>
                <w:color w:val="000000"/>
                <w:szCs w:val="24"/>
                <w:lang w:eastAsia="da-DK"/>
              </w:rPr>
            </w:pPr>
            <w:r>
              <w:rPr>
                <w:rFonts w:eastAsia="Times New Roman"/>
                <w:color w:val="000000"/>
                <w:szCs w:val="24"/>
                <w:lang w:eastAsia="da-DK"/>
              </w:rPr>
              <w:t>Ingen</w:t>
            </w:r>
          </w:p>
        </w:tc>
      </w:tr>
      <w:tr w:rsidR="0019623C" w:rsidRPr="00E93993" w14:paraId="77589AD6" w14:textId="77777777" w:rsidTr="009C09AB">
        <w:tc>
          <w:tcPr>
            <w:tcW w:w="2977" w:type="dxa"/>
            <w:tcBorders>
              <w:top w:val="single" w:sz="8" w:space="0" w:color="000000"/>
              <w:left w:val="single" w:sz="8" w:space="0" w:color="000000"/>
              <w:bottom w:val="single" w:sz="8" w:space="0" w:color="000000"/>
              <w:right w:val="single" w:sz="8" w:space="0" w:color="000000"/>
            </w:tcBorders>
          </w:tcPr>
          <w:p w14:paraId="6911FE99" w14:textId="1582CA28" w:rsidR="0019623C" w:rsidRPr="00E93993" w:rsidRDefault="0019623C" w:rsidP="000D1973">
            <w:pPr>
              <w:rPr>
                <w:rFonts w:eastAsia="Times New Roman"/>
                <w:color w:val="000000"/>
                <w:szCs w:val="24"/>
                <w:lang w:eastAsia="da-DK"/>
              </w:rPr>
            </w:pPr>
            <w:r>
              <w:rPr>
                <w:rFonts w:eastAsia="Times New Roman"/>
                <w:color w:val="000000"/>
                <w:szCs w:val="24"/>
                <w:lang w:eastAsia="da-DK"/>
              </w:rPr>
              <w:t>Klimamæssige konsekvenser</w:t>
            </w:r>
          </w:p>
        </w:tc>
        <w:tc>
          <w:tcPr>
            <w:tcW w:w="2268" w:type="dxa"/>
            <w:tcBorders>
              <w:top w:val="single" w:sz="8" w:space="0" w:color="000000"/>
              <w:left w:val="single" w:sz="8" w:space="0" w:color="000000"/>
              <w:bottom w:val="single" w:sz="8" w:space="0" w:color="000000"/>
              <w:right w:val="single" w:sz="8" w:space="0" w:color="000000"/>
            </w:tcBorders>
          </w:tcPr>
          <w:p w14:paraId="726133C8" w14:textId="61D7D785" w:rsidR="0019623C" w:rsidRDefault="0019623C" w:rsidP="000D1973">
            <w:pPr>
              <w:rPr>
                <w:rFonts w:eastAsia="Times New Roman"/>
                <w:color w:val="000000"/>
                <w:szCs w:val="24"/>
                <w:lang w:eastAsia="da-DK"/>
              </w:rPr>
            </w:pPr>
            <w:r>
              <w:rPr>
                <w:rFonts w:eastAsia="Times New Roman"/>
                <w:color w:val="000000"/>
                <w:szCs w:val="24"/>
                <w:lang w:eastAsia="da-DK"/>
              </w:rPr>
              <w:t>Ingen</w:t>
            </w:r>
          </w:p>
        </w:tc>
        <w:tc>
          <w:tcPr>
            <w:tcW w:w="3994" w:type="dxa"/>
            <w:tcBorders>
              <w:top w:val="single" w:sz="8" w:space="0" w:color="000000"/>
              <w:left w:val="single" w:sz="8" w:space="0" w:color="000000"/>
              <w:bottom w:val="single" w:sz="8" w:space="0" w:color="000000"/>
              <w:right w:val="single" w:sz="8" w:space="0" w:color="000000"/>
            </w:tcBorders>
          </w:tcPr>
          <w:p w14:paraId="160C77B2" w14:textId="71F3B982" w:rsidR="0019623C" w:rsidRDefault="0019623C" w:rsidP="000D1973">
            <w:pPr>
              <w:rPr>
                <w:rFonts w:eastAsia="Times New Roman"/>
                <w:color w:val="000000"/>
                <w:szCs w:val="24"/>
                <w:lang w:eastAsia="da-DK"/>
              </w:rPr>
            </w:pPr>
            <w:r>
              <w:rPr>
                <w:rFonts w:eastAsia="Times New Roman"/>
                <w:color w:val="000000"/>
                <w:szCs w:val="24"/>
                <w:lang w:eastAsia="da-DK"/>
              </w:rPr>
              <w:t>Ingen</w:t>
            </w:r>
          </w:p>
        </w:tc>
      </w:tr>
      <w:tr w:rsidR="000D1973" w:rsidRPr="00E93993" w14:paraId="32F8D54E" w14:textId="77777777" w:rsidTr="009C09AB">
        <w:tc>
          <w:tcPr>
            <w:tcW w:w="2977" w:type="dxa"/>
            <w:tcBorders>
              <w:top w:val="single" w:sz="8" w:space="0" w:color="000000"/>
              <w:left w:val="single" w:sz="8" w:space="0" w:color="000000"/>
              <w:bottom w:val="single" w:sz="18" w:space="0" w:color="auto"/>
              <w:right w:val="single" w:sz="8" w:space="0" w:color="000000"/>
            </w:tcBorders>
            <w:hideMark/>
          </w:tcPr>
          <w:p w14:paraId="31EF454E" w14:textId="415E190C" w:rsidR="000D1973" w:rsidRPr="00E93993" w:rsidRDefault="0019623C" w:rsidP="0019623C">
            <w:pPr>
              <w:rPr>
                <w:rFonts w:eastAsia="Times New Roman"/>
                <w:color w:val="000000"/>
                <w:szCs w:val="24"/>
                <w:lang w:eastAsia="da-DK"/>
              </w:rPr>
            </w:pPr>
            <w:r>
              <w:rPr>
                <w:rFonts w:eastAsia="Times New Roman"/>
                <w:color w:val="000000"/>
                <w:szCs w:val="24"/>
                <w:lang w:eastAsia="da-DK"/>
              </w:rPr>
              <w:t xml:space="preserve">Miljø- og naturmæssige </w:t>
            </w:r>
            <w:r w:rsidR="000D1973">
              <w:rPr>
                <w:rFonts w:eastAsia="Times New Roman"/>
                <w:color w:val="000000"/>
                <w:szCs w:val="24"/>
                <w:lang w:eastAsia="da-DK"/>
              </w:rPr>
              <w:t>konsekvenser</w:t>
            </w:r>
          </w:p>
        </w:tc>
        <w:tc>
          <w:tcPr>
            <w:tcW w:w="2268" w:type="dxa"/>
            <w:tcBorders>
              <w:top w:val="single" w:sz="8" w:space="0" w:color="000000"/>
              <w:left w:val="single" w:sz="8" w:space="0" w:color="000000"/>
              <w:bottom w:val="single" w:sz="18" w:space="0" w:color="auto"/>
              <w:right w:val="single" w:sz="8" w:space="0" w:color="000000"/>
            </w:tcBorders>
            <w:hideMark/>
          </w:tcPr>
          <w:p w14:paraId="43428320" w14:textId="77777777" w:rsidR="000D1973" w:rsidRPr="00E93993" w:rsidRDefault="000D1973" w:rsidP="000D1973">
            <w:pPr>
              <w:rPr>
                <w:rFonts w:eastAsia="Times New Roman"/>
                <w:color w:val="000000"/>
                <w:szCs w:val="24"/>
                <w:lang w:eastAsia="da-DK"/>
              </w:rPr>
            </w:pPr>
            <w:r>
              <w:rPr>
                <w:rFonts w:eastAsia="Times New Roman"/>
                <w:color w:val="000000"/>
                <w:szCs w:val="24"/>
                <w:lang w:eastAsia="da-DK"/>
              </w:rPr>
              <w:t>Ingen</w:t>
            </w:r>
          </w:p>
        </w:tc>
        <w:tc>
          <w:tcPr>
            <w:tcW w:w="3994" w:type="dxa"/>
            <w:tcBorders>
              <w:top w:val="single" w:sz="8" w:space="0" w:color="000000"/>
              <w:left w:val="single" w:sz="8" w:space="0" w:color="000000"/>
              <w:bottom w:val="single" w:sz="18" w:space="0" w:color="auto"/>
              <w:right w:val="single" w:sz="8" w:space="0" w:color="000000"/>
            </w:tcBorders>
            <w:hideMark/>
          </w:tcPr>
          <w:p w14:paraId="69AD2888" w14:textId="77777777" w:rsidR="000D1973" w:rsidRPr="00E93993" w:rsidRDefault="000D1973" w:rsidP="000D1973">
            <w:pPr>
              <w:rPr>
                <w:rFonts w:eastAsia="Times New Roman"/>
                <w:color w:val="000000"/>
                <w:szCs w:val="24"/>
                <w:lang w:eastAsia="da-DK"/>
              </w:rPr>
            </w:pPr>
            <w:r>
              <w:rPr>
                <w:rFonts w:eastAsia="Times New Roman"/>
                <w:color w:val="000000"/>
                <w:szCs w:val="24"/>
                <w:lang w:eastAsia="da-DK"/>
              </w:rPr>
              <w:t>Ingen</w:t>
            </w:r>
          </w:p>
        </w:tc>
      </w:tr>
      <w:tr w:rsidR="000D1973" w:rsidRPr="00E93993" w14:paraId="2956C4B3" w14:textId="77777777" w:rsidTr="009C09AB">
        <w:tc>
          <w:tcPr>
            <w:tcW w:w="2977" w:type="dxa"/>
            <w:tcBorders>
              <w:top w:val="single" w:sz="18" w:space="0" w:color="auto"/>
              <w:left w:val="single" w:sz="8" w:space="0" w:color="000000"/>
              <w:bottom w:val="single" w:sz="4" w:space="0" w:color="auto"/>
              <w:right w:val="single" w:sz="8" w:space="0" w:color="000000"/>
            </w:tcBorders>
            <w:hideMark/>
          </w:tcPr>
          <w:p w14:paraId="0F1BDA65" w14:textId="77777777" w:rsidR="000D1973" w:rsidRPr="00E93993" w:rsidRDefault="000D1973" w:rsidP="000D1973">
            <w:pPr>
              <w:rPr>
                <w:rFonts w:eastAsia="Times New Roman"/>
                <w:color w:val="000000"/>
                <w:szCs w:val="24"/>
                <w:lang w:eastAsia="da-DK"/>
              </w:rPr>
            </w:pPr>
            <w:r w:rsidRPr="00E93993">
              <w:rPr>
                <w:rFonts w:eastAsia="Times New Roman"/>
                <w:color w:val="000000"/>
                <w:szCs w:val="24"/>
                <w:lang w:eastAsia="da-DK"/>
              </w:rPr>
              <w:t>Forholdet til EU-retten</w:t>
            </w:r>
          </w:p>
        </w:tc>
        <w:tc>
          <w:tcPr>
            <w:tcW w:w="6262" w:type="dxa"/>
            <w:gridSpan w:val="2"/>
            <w:tcBorders>
              <w:top w:val="single" w:sz="18" w:space="0" w:color="auto"/>
              <w:left w:val="single" w:sz="8" w:space="0" w:color="000000"/>
              <w:bottom w:val="single" w:sz="4" w:space="0" w:color="auto"/>
              <w:right w:val="single" w:sz="8" w:space="0" w:color="000000"/>
            </w:tcBorders>
            <w:hideMark/>
          </w:tcPr>
          <w:p w14:paraId="3A960BFD" w14:textId="77777777" w:rsidR="000D1973" w:rsidRPr="00E93993" w:rsidRDefault="000D1973" w:rsidP="000D1973">
            <w:pPr>
              <w:rPr>
                <w:szCs w:val="24"/>
              </w:rPr>
            </w:pPr>
          </w:p>
        </w:tc>
      </w:tr>
      <w:tr w:rsidR="000D1973" w:rsidRPr="00E93993" w14:paraId="3524433A" w14:textId="77777777" w:rsidTr="009C09AB">
        <w:tc>
          <w:tcPr>
            <w:tcW w:w="2977" w:type="dxa"/>
            <w:tcBorders>
              <w:top w:val="single" w:sz="4" w:space="0" w:color="auto"/>
              <w:left w:val="single" w:sz="8" w:space="0" w:color="000000"/>
              <w:bottom w:val="single" w:sz="8" w:space="0" w:color="000000"/>
              <w:right w:val="single" w:sz="8" w:space="0" w:color="000000"/>
            </w:tcBorders>
          </w:tcPr>
          <w:p w14:paraId="00C4CE10" w14:textId="77777777" w:rsidR="000D1973" w:rsidRPr="00E93993" w:rsidRDefault="000D1973" w:rsidP="000D1973">
            <w:pPr>
              <w:rPr>
                <w:rFonts w:eastAsia="Times New Roman"/>
                <w:color w:val="000000"/>
                <w:szCs w:val="24"/>
                <w:lang w:eastAsia="da-DK"/>
              </w:rPr>
            </w:pPr>
            <w:r w:rsidRPr="00E93993">
              <w:rPr>
                <w:rFonts w:eastAsia="Times New Roman"/>
                <w:color w:val="000000"/>
                <w:szCs w:val="24"/>
                <w:lang w:eastAsia="da-DK"/>
              </w:rPr>
              <w:t>Er i strid med de principper for implementering</w:t>
            </w:r>
          </w:p>
          <w:p w14:paraId="1921F6C9" w14:textId="77777777" w:rsidR="000D1973" w:rsidRPr="00E93993" w:rsidRDefault="000D1973" w:rsidP="000D1973">
            <w:pPr>
              <w:rPr>
                <w:rFonts w:eastAsia="Times New Roman"/>
                <w:color w:val="000000"/>
                <w:szCs w:val="24"/>
                <w:lang w:eastAsia="da-DK"/>
              </w:rPr>
            </w:pPr>
            <w:r w:rsidRPr="00E93993">
              <w:rPr>
                <w:rFonts w:eastAsia="Times New Roman"/>
                <w:color w:val="000000"/>
                <w:szCs w:val="24"/>
                <w:lang w:eastAsia="da-DK"/>
              </w:rPr>
              <w:t>af erhvervsrettet EU-regulering/</w:t>
            </w:r>
          </w:p>
          <w:p w14:paraId="47052EA0" w14:textId="77777777" w:rsidR="000D1973" w:rsidRPr="00E93993" w:rsidRDefault="000D1973" w:rsidP="000D1973">
            <w:pPr>
              <w:rPr>
                <w:rFonts w:eastAsia="Times New Roman"/>
                <w:color w:val="000000"/>
                <w:szCs w:val="24"/>
                <w:lang w:eastAsia="da-DK"/>
              </w:rPr>
            </w:pPr>
            <w:r w:rsidRPr="00E93993">
              <w:rPr>
                <w:rFonts w:eastAsia="Times New Roman"/>
                <w:color w:val="000000"/>
                <w:szCs w:val="24"/>
                <w:lang w:eastAsia="da-DK"/>
              </w:rPr>
              <w:lastRenderedPageBreak/>
              <w:t>Går videre end minimumskrav i EU</w:t>
            </w:r>
            <w:r>
              <w:rPr>
                <w:rFonts w:eastAsia="Times New Roman"/>
                <w:color w:val="000000"/>
                <w:szCs w:val="24"/>
                <w:lang w:eastAsia="da-DK"/>
              </w:rPr>
              <w:t>-</w:t>
            </w:r>
            <w:r w:rsidRPr="00E93993">
              <w:rPr>
                <w:rFonts w:eastAsia="Times New Roman"/>
                <w:color w:val="000000"/>
                <w:szCs w:val="24"/>
                <w:lang w:eastAsia="da-DK"/>
              </w:rPr>
              <w:t>regulering</w:t>
            </w:r>
          </w:p>
          <w:p w14:paraId="2CDA788B" w14:textId="77777777" w:rsidR="000D1973" w:rsidRPr="00E93993" w:rsidRDefault="000D1973" w:rsidP="000D1973">
            <w:pPr>
              <w:rPr>
                <w:rFonts w:eastAsia="Times New Roman"/>
                <w:color w:val="000000"/>
                <w:szCs w:val="24"/>
                <w:lang w:eastAsia="da-DK"/>
              </w:rPr>
            </w:pPr>
            <w:r w:rsidRPr="00E93993">
              <w:rPr>
                <w:rFonts w:eastAsia="Times New Roman"/>
                <w:color w:val="000000"/>
                <w:szCs w:val="24"/>
                <w:lang w:eastAsia="da-DK"/>
              </w:rPr>
              <w:t>(sæt X)</w:t>
            </w:r>
          </w:p>
        </w:tc>
        <w:tc>
          <w:tcPr>
            <w:tcW w:w="6262" w:type="dxa"/>
            <w:gridSpan w:val="2"/>
            <w:tcBorders>
              <w:top w:val="single" w:sz="4" w:space="0" w:color="auto"/>
              <w:left w:val="single" w:sz="8" w:space="0" w:color="000000"/>
              <w:bottom w:val="single" w:sz="8" w:space="0" w:color="000000"/>
              <w:right w:val="single" w:sz="8" w:space="0" w:color="000000"/>
            </w:tcBorders>
          </w:tcPr>
          <w:p w14:paraId="544F4882" w14:textId="77777777" w:rsidR="000D1973" w:rsidRDefault="000D1973" w:rsidP="000D1973">
            <w:pPr>
              <w:rPr>
                <w:szCs w:val="24"/>
              </w:rPr>
            </w:pPr>
          </w:p>
          <w:p w14:paraId="009D7F2B" w14:textId="77777777" w:rsidR="000D1973" w:rsidRPr="00E93993" w:rsidRDefault="000D1973" w:rsidP="000D1973">
            <w:pPr>
              <w:rPr>
                <w:szCs w:val="24"/>
              </w:rPr>
            </w:pPr>
            <w:r>
              <w:rPr>
                <w:szCs w:val="24"/>
              </w:rPr>
              <w:t xml:space="preserve">                            Ja                                                     Nej</w:t>
            </w:r>
            <w:r w:rsidR="006075A9">
              <w:rPr>
                <w:szCs w:val="24"/>
              </w:rPr>
              <w:t xml:space="preserve"> X</w:t>
            </w:r>
          </w:p>
        </w:tc>
      </w:tr>
    </w:tbl>
    <w:p w14:paraId="4B33E129" w14:textId="77777777" w:rsidR="001567B9" w:rsidRDefault="001567B9" w:rsidP="00A456AA">
      <w:pPr>
        <w:rPr>
          <w:rFonts w:eastAsia="Calibri" w:cs="Times New Roman"/>
          <w:szCs w:val="24"/>
        </w:rPr>
      </w:pPr>
    </w:p>
    <w:p w14:paraId="2051C61D" w14:textId="77777777" w:rsidR="001567B9" w:rsidRDefault="001567B9">
      <w:pPr>
        <w:spacing w:after="200" w:line="276" w:lineRule="auto"/>
        <w:jc w:val="left"/>
        <w:rPr>
          <w:rFonts w:eastAsia="Calibri" w:cs="Times New Roman"/>
          <w:szCs w:val="24"/>
        </w:rPr>
      </w:pPr>
      <w:r>
        <w:rPr>
          <w:rFonts w:eastAsia="Calibri" w:cs="Times New Roman"/>
          <w:szCs w:val="24"/>
        </w:rPr>
        <w:br w:type="page"/>
      </w:r>
    </w:p>
    <w:p w14:paraId="7C2A0B04" w14:textId="77777777" w:rsidR="00F0531D" w:rsidRPr="00E93993" w:rsidRDefault="00F0531D" w:rsidP="00A456AA">
      <w:pPr>
        <w:rPr>
          <w:rFonts w:eastAsia="Calibri" w:cs="Times New Roman"/>
          <w:szCs w:val="24"/>
        </w:rPr>
      </w:pPr>
    </w:p>
    <w:p w14:paraId="73F59967" w14:textId="77777777" w:rsidR="00F0531D" w:rsidRPr="003B0B97" w:rsidRDefault="00F0531D" w:rsidP="00A456AA">
      <w:pPr>
        <w:rPr>
          <w:rFonts w:eastAsia="Calibri" w:cs="Times New Roman"/>
          <w:szCs w:val="24"/>
        </w:rPr>
      </w:pPr>
    </w:p>
    <w:p w14:paraId="300AF57C" w14:textId="77777777" w:rsidR="00F0531D" w:rsidRPr="0020125C" w:rsidRDefault="00F0531D" w:rsidP="00A456AA">
      <w:pPr>
        <w:jc w:val="center"/>
        <w:rPr>
          <w:rFonts w:eastAsia="Calibri" w:cs="Times New Roman"/>
          <w:i/>
          <w:szCs w:val="24"/>
        </w:rPr>
      </w:pPr>
      <w:r w:rsidRPr="0020125C">
        <w:rPr>
          <w:rFonts w:eastAsia="Calibri" w:cs="Times New Roman"/>
          <w:i/>
          <w:szCs w:val="24"/>
        </w:rPr>
        <w:t>Bemærkninger til lovforslagets enkelte bestemmelser</w:t>
      </w:r>
    </w:p>
    <w:p w14:paraId="2F7873A2" w14:textId="77777777" w:rsidR="00F0531D" w:rsidRPr="003B0B97" w:rsidRDefault="00F0531D" w:rsidP="00A456AA">
      <w:pPr>
        <w:rPr>
          <w:rFonts w:eastAsia="Calibri" w:cs="Times New Roman"/>
          <w:szCs w:val="24"/>
        </w:rPr>
      </w:pPr>
    </w:p>
    <w:p w14:paraId="3AF8E2AC" w14:textId="77777777" w:rsidR="00F0531D" w:rsidRPr="005768D7" w:rsidRDefault="00F0531D" w:rsidP="00A456AA">
      <w:pPr>
        <w:jc w:val="center"/>
        <w:rPr>
          <w:rFonts w:eastAsia="Calibri" w:cs="Times New Roman"/>
          <w:i/>
          <w:szCs w:val="24"/>
        </w:rPr>
      </w:pPr>
      <w:r w:rsidRPr="005768D7">
        <w:rPr>
          <w:rFonts w:eastAsia="Calibri" w:cs="Times New Roman"/>
          <w:i/>
          <w:szCs w:val="24"/>
        </w:rPr>
        <w:t>Til § 1</w:t>
      </w:r>
    </w:p>
    <w:p w14:paraId="791CABA2" w14:textId="77777777" w:rsidR="00F0531D" w:rsidRPr="0020125C" w:rsidRDefault="00F0531D" w:rsidP="00A456AA">
      <w:pPr>
        <w:jc w:val="center"/>
        <w:rPr>
          <w:rFonts w:eastAsia="Calibri" w:cs="Times New Roman"/>
          <w:szCs w:val="24"/>
        </w:rPr>
      </w:pPr>
    </w:p>
    <w:p w14:paraId="5BF16D2C" w14:textId="77777777" w:rsidR="00F0531D" w:rsidRDefault="00F0531D" w:rsidP="00A456AA">
      <w:pPr>
        <w:rPr>
          <w:rFonts w:eastAsia="Calibri" w:cs="Times New Roman"/>
          <w:szCs w:val="24"/>
        </w:rPr>
      </w:pPr>
      <w:r w:rsidRPr="005768D7">
        <w:rPr>
          <w:rFonts w:eastAsia="Calibri" w:cs="Times New Roman"/>
          <w:szCs w:val="24"/>
        </w:rPr>
        <w:t xml:space="preserve">Til </w:t>
      </w:r>
      <w:r w:rsidR="005768D7">
        <w:rPr>
          <w:rFonts w:eastAsia="Calibri" w:cs="Times New Roman"/>
          <w:szCs w:val="24"/>
        </w:rPr>
        <w:t>nr. 1</w:t>
      </w:r>
      <w:r w:rsidR="005F1F5A">
        <w:rPr>
          <w:rFonts w:eastAsia="Calibri" w:cs="Times New Roman"/>
          <w:szCs w:val="24"/>
        </w:rPr>
        <w:t xml:space="preserve"> </w:t>
      </w:r>
    </w:p>
    <w:p w14:paraId="57F60C9F" w14:textId="2D0A2C41" w:rsidR="00AE135C" w:rsidRDefault="00A6043D" w:rsidP="00D73CD1">
      <w:pPr>
        <w:rPr>
          <w:rFonts w:eastAsia="Calibri" w:cs="Times New Roman"/>
          <w:szCs w:val="24"/>
        </w:rPr>
      </w:pPr>
      <w:r>
        <w:rPr>
          <w:rFonts w:eastAsia="Calibri" w:cs="Times New Roman"/>
          <w:szCs w:val="24"/>
        </w:rPr>
        <w:t>Det følger af § 1</w:t>
      </w:r>
      <w:r w:rsidR="00DA0267">
        <w:rPr>
          <w:rFonts w:eastAsia="Calibri" w:cs="Times New Roman"/>
          <w:szCs w:val="24"/>
        </w:rPr>
        <w:t xml:space="preserve"> i lov</w:t>
      </w:r>
      <w:r w:rsidR="0049426E">
        <w:rPr>
          <w:rFonts w:eastAsia="Calibri" w:cs="Times New Roman"/>
          <w:szCs w:val="24"/>
        </w:rPr>
        <w:t xml:space="preserve"> for Grønland om</w:t>
      </w:r>
      <w:r>
        <w:rPr>
          <w:rFonts w:eastAsia="Calibri" w:cs="Times New Roman"/>
          <w:szCs w:val="24"/>
        </w:rPr>
        <w:t xml:space="preserve"> kapitalkrav og tilsynsmæssige krav for kreditinstitutter og investeringsselskaber,</w:t>
      </w:r>
      <w:r w:rsidR="00DA0267">
        <w:rPr>
          <w:rFonts w:eastAsia="Calibri" w:cs="Times New Roman"/>
          <w:szCs w:val="24"/>
        </w:rPr>
        <w:t xml:space="preserve"> </w:t>
      </w:r>
      <w:r w:rsidR="00AE135C">
        <w:rPr>
          <w:rFonts w:eastAsia="Calibri" w:cs="Times New Roman"/>
          <w:szCs w:val="24"/>
        </w:rPr>
        <w:t xml:space="preserve">at </w:t>
      </w:r>
      <w:r w:rsidR="00AE135C">
        <w:t xml:space="preserve">bestemmelserne i Europa-Parlamentets og Rådets forordning (EU) nr. 575/2013 om tilsynsmæssige krav til kreditinstitutter og investeringsselskaber, jf. bilaget til denne lov, gælder for </w:t>
      </w:r>
      <w:r w:rsidR="00AF4868">
        <w:t>Grønland</w:t>
      </w:r>
      <w:r w:rsidR="00AE135C">
        <w:t>.</w:t>
      </w:r>
    </w:p>
    <w:p w14:paraId="154F0F39" w14:textId="77777777" w:rsidR="00091B9E" w:rsidRPr="005768D7" w:rsidRDefault="00091B9E" w:rsidP="00A456AA">
      <w:pPr>
        <w:rPr>
          <w:rFonts w:eastAsia="Calibri" w:cs="Times New Roman"/>
          <w:szCs w:val="24"/>
        </w:rPr>
      </w:pPr>
    </w:p>
    <w:p w14:paraId="1507C0EC" w14:textId="48EB9EC1" w:rsidR="003A1EFD" w:rsidRDefault="003A1EFD" w:rsidP="003A1EFD">
      <w:pPr>
        <w:rPr>
          <w:rFonts w:eastAsia="Calibri" w:cs="Times New Roman"/>
          <w:szCs w:val="24"/>
        </w:rPr>
      </w:pPr>
      <w:r w:rsidRPr="003A1EFD">
        <w:rPr>
          <w:rFonts w:eastAsia="Calibri" w:cs="Times New Roman"/>
          <w:szCs w:val="24"/>
        </w:rPr>
        <w:t>Det foreslås</w:t>
      </w:r>
      <w:r w:rsidR="00DA0267">
        <w:rPr>
          <w:rFonts w:eastAsia="Calibri" w:cs="Times New Roman"/>
          <w:szCs w:val="24"/>
        </w:rPr>
        <w:t xml:space="preserve"> at nyaffatte</w:t>
      </w:r>
      <w:r>
        <w:rPr>
          <w:rFonts w:eastAsia="Calibri" w:cs="Times New Roman"/>
          <w:szCs w:val="24"/>
        </w:rPr>
        <w:t xml:space="preserve"> </w:t>
      </w:r>
      <w:r w:rsidRPr="003A1EFD">
        <w:rPr>
          <w:rFonts w:eastAsia="Calibri" w:cs="Times New Roman"/>
          <w:i/>
          <w:szCs w:val="24"/>
        </w:rPr>
        <w:t>§ 1, nr. 1</w:t>
      </w:r>
      <w:r w:rsidR="00DA0267">
        <w:rPr>
          <w:rFonts w:eastAsia="Calibri" w:cs="Times New Roman"/>
          <w:i/>
          <w:szCs w:val="24"/>
        </w:rPr>
        <w:t>.</w:t>
      </w:r>
      <w:r>
        <w:rPr>
          <w:rFonts w:eastAsia="Calibri" w:cs="Times New Roman"/>
          <w:szCs w:val="24"/>
        </w:rPr>
        <w:t xml:space="preserve"> </w:t>
      </w:r>
      <w:r w:rsidR="004E365B">
        <w:rPr>
          <w:rFonts w:eastAsia="Calibri" w:cs="Times New Roman"/>
          <w:szCs w:val="24"/>
        </w:rPr>
        <w:t>så</w:t>
      </w:r>
      <w:r w:rsidR="004E365B" w:rsidRPr="003A1EFD">
        <w:rPr>
          <w:rFonts w:eastAsia="Calibri" w:cs="Times New Roman"/>
          <w:szCs w:val="24"/>
        </w:rPr>
        <w:t xml:space="preserve"> </w:t>
      </w:r>
      <w:r w:rsidRPr="003A1EFD">
        <w:rPr>
          <w:rFonts w:eastAsia="Calibri" w:cs="Times New Roman"/>
          <w:szCs w:val="24"/>
        </w:rPr>
        <w:t xml:space="preserve">bestemmelserne i Europa-Parlamentets og Rådets forordning (EU) nr. 575/2013 af 26. juni 2013 om tilsynsmæssige krav til kreditinstitutter og investeringsselskaber, EU-Tidende nr. L 176, s. 1 (CRR) gælder for </w:t>
      </w:r>
      <w:r w:rsidR="00AF4868">
        <w:rPr>
          <w:rFonts w:eastAsia="Calibri" w:cs="Times New Roman"/>
          <w:szCs w:val="24"/>
        </w:rPr>
        <w:t>Grønland</w:t>
      </w:r>
      <w:r w:rsidRPr="003A1EFD">
        <w:rPr>
          <w:rFonts w:eastAsia="Calibri" w:cs="Times New Roman"/>
          <w:szCs w:val="24"/>
        </w:rPr>
        <w:t>.</w:t>
      </w:r>
    </w:p>
    <w:p w14:paraId="6580CE96" w14:textId="77777777" w:rsidR="003A1EFD" w:rsidRPr="003A1EFD" w:rsidRDefault="003A1EFD" w:rsidP="003A1EFD">
      <w:pPr>
        <w:rPr>
          <w:rFonts w:eastAsia="Calibri" w:cs="Times New Roman"/>
          <w:szCs w:val="24"/>
        </w:rPr>
      </w:pPr>
    </w:p>
    <w:p w14:paraId="19823AD1" w14:textId="77777777" w:rsidR="003A1EFD" w:rsidRDefault="003A1EFD" w:rsidP="003A1EFD">
      <w:pPr>
        <w:rPr>
          <w:rFonts w:eastAsia="Calibri" w:cs="Times New Roman"/>
          <w:szCs w:val="24"/>
        </w:rPr>
      </w:pPr>
      <w:r w:rsidRPr="003A1EFD">
        <w:rPr>
          <w:rFonts w:eastAsia="Calibri" w:cs="Times New Roman"/>
          <w:szCs w:val="24"/>
        </w:rPr>
        <w:t xml:space="preserve">Ved en vedtagelse af lovforslaget vil CRR </w:t>
      </w:r>
      <w:r w:rsidR="007F49B1">
        <w:rPr>
          <w:rFonts w:eastAsia="Calibri" w:cs="Times New Roman"/>
          <w:szCs w:val="24"/>
        </w:rPr>
        <w:t>fortsat være optrykt som</w:t>
      </w:r>
      <w:r w:rsidRPr="003A1EFD">
        <w:rPr>
          <w:rFonts w:eastAsia="Calibri" w:cs="Times New Roman"/>
          <w:szCs w:val="24"/>
        </w:rPr>
        <w:t xml:space="preserve"> bilag</w:t>
      </w:r>
      <w:r w:rsidR="00282625">
        <w:rPr>
          <w:rFonts w:eastAsia="Calibri" w:cs="Times New Roman"/>
          <w:szCs w:val="24"/>
        </w:rPr>
        <w:t xml:space="preserve"> 1</w:t>
      </w:r>
      <w:r w:rsidRPr="003A1EFD">
        <w:rPr>
          <w:rFonts w:eastAsia="Calibri" w:cs="Times New Roman"/>
          <w:szCs w:val="24"/>
        </w:rPr>
        <w:t xml:space="preserve"> til loven inklusive berigtigelse til CRR af 2. august 2013, EU-tidende nr. L 208, s. 68 og berigtigelse til CRR af 30. november 2013, EU-Tidende nr. L 321, s. 6.</w:t>
      </w:r>
    </w:p>
    <w:p w14:paraId="3417341A" w14:textId="77777777" w:rsidR="003A1EFD" w:rsidRPr="003A1EFD" w:rsidRDefault="003A1EFD" w:rsidP="003A1EFD">
      <w:pPr>
        <w:rPr>
          <w:rFonts w:eastAsia="Calibri" w:cs="Times New Roman"/>
          <w:szCs w:val="24"/>
        </w:rPr>
      </w:pPr>
    </w:p>
    <w:p w14:paraId="79368A8E" w14:textId="77777777" w:rsidR="00F0531D" w:rsidRDefault="003A1EFD" w:rsidP="003A1EFD">
      <w:pPr>
        <w:rPr>
          <w:rFonts w:eastAsia="Calibri" w:cs="Times New Roman"/>
          <w:szCs w:val="24"/>
        </w:rPr>
      </w:pPr>
      <w:r w:rsidRPr="003A1EFD">
        <w:rPr>
          <w:rFonts w:eastAsia="Calibri" w:cs="Times New Roman"/>
          <w:szCs w:val="24"/>
        </w:rPr>
        <w:t>CRR omhandler overordnede krav for kreditinstitutter og fondsmæglerselskaber om (i) opgørelse af basiskapitalen (i CRR benævnt kapitalgrundlaget), (ii) kapitalkrav (i CRR benævnt kapitalgrundlagskrav),</w:t>
      </w:r>
      <w:r w:rsidR="009B3086">
        <w:rPr>
          <w:rFonts w:eastAsia="Calibri" w:cs="Times New Roman"/>
          <w:szCs w:val="24"/>
        </w:rPr>
        <w:t xml:space="preserve"> </w:t>
      </w:r>
      <w:r w:rsidR="009B3086" w:rsidRPr="009B3086">
        <w:rPr>
          <w:rFonts w:eastAsia="Calibri" w:cs="Times New Roman"/>
          <w:szCs w:val="24"/>
        </w:rPr>
        <w:t>(iii) store engagementer (i CRR benævnt store eksponeringer), (iv) likviditet, (v) gearing og (vi) oplysningskrav.</w:t>
      </w:r>
    </w:p>
    <w:p w14:paraId="3C6E63DF" w14:textId="77777777" w:rsidR="008827CB" w:rsidRDefault="008827CB" w:rsidP="003A1EFD">
      <w:pPr>
        <w:rPr>
          <w:rFonts w:eastAsia="Calibri" w:cs="Times New Roman"/>
          <w:szCs w:val="24"/>
        </w:rPr>
      </w:pPr>
    </w:p>
    <w:p w14:paraId="249B111D" w14:textId="4DE3188E" w:rsidR="00062AA1" w:rsidRDefault="00BA30BF" w:rsidP="003A1EFD">
      <w:pPr>
        <w:rPr>
          <w:rFonts w:eastAsia="Calibri" w:cs="Times New Roman"/>
          <w:szCs w:val="24"/>
        </w:rPr>
      </w:pPr>
      <w:r>
        <w:rPr>
          <w:rFonts w:eastAsia="Calibri" w:cs="Times New Roman"/>
          <w:szCs w:val="24"/>
        </w:rPr>
        <w:t>Ændringen er en videreførelse af gældende ret.</w:t>
      </w:r>
    </w:p>
    <w:p w14:paraId="6BEC5CAD" w14:textId="77777777" w:rsidR="00390D55" w:rsidRDefault="00390D55" w:rsidP="003A1EFD">
      <w:pPr>
        <w:rPr>
          <w:rFonts w:eastAsia="Calibri" w:cs="Times New Roman"/>
          <w:szCs w:val="24"/>
        </w:rPr>
      </w:pPr>
    </w:p>
    <w:p w14:paraId="65AC3C33" w14:textId="48A51CBD" w:rsidR="008C51F4" w:rsidRDefault="008C51F4" w:rsidP="003A1EFD">
      <w:pPr>
        <w:rPr>
          <w:rFonts w:eastAsia="Calibri" w:cs="Times New Roman"/>
          <w:szCs w:val="24"/>
        </w:rPr>
      </w:pPr>
      <w:r>
        <w:rPr>
          <w:rFonts w:eastAsia="Calibri" w:cs="Times New Roman"/>
          <w:szCs w:val="24"/>
        </w:rPr>
        <w:t xml:space="preserve">Det foreslås i </w:t>
      </w:r>
      <w:r>
        <w:rPr>
          <w:rFonts w:eastAsia="Calibri" w:cs="Times New Roman"/>
          <w:i/>
          <w:szCs w:val="24"/>
        </w:rPr>
        <w:t xml:space="preserve">§ 1, nr. 2, </w:t>
      </w:r>
      <w:r w:rsidRPr="003A1EFD">
        <w:rPr>
          <w:rFonts w:eastAsia="Calibri" w:cs="Times New Roman"/>
          <w:szCs w:val="24"/>
        </w:rPr>
        <w:t>at bestemmelserne i Europa-Parlamentets og Rådets forordning (EU)</w:t>
      </w:r>
      <w:r w:rsidR="00D1602C">
        <w:rPr>
          <w:rFonts w:eastAsia="Calibri" w:cs="Times New Roman"/>
          <w:szCs w:val="24"/>
        </w:rPr>
        <w:t xml:space="preserve"> </w:t>
      </w:r>
      <w:r w:rsidR="00D1602C" w:rsidRPr="00606432">
        <w:rPr>
          <w:rFonts w:eastAsia="Calibri" w:cs="Times New Roman"/>
          <w:szCs w:val="24"/>
        </w:rPr>
        <w:t xml:space="preserve">2019/876 om ændring af forordning (EU) nr. 575/2013 for så vidt angår gearingsgrad, net stable </w:t>
      </w:r>
      <w:proofErr w:type="spellStart"/>
      <w:r w:rsidR="00D1602C" w:rsidRPr="00606432">
        <w:rPr>
          <w:rFonts w:eastAsia="Calibri" w:cs="Times New Roman"/>
          <w:szCs w:val="24"/>
        </w:rPr>
        <w:t>funding</w:t>
      </w:r>
      <w:proofErr w:type="spellEnd"/>
      <w:r w:rsidR="00D1602C" w:rsidRPr="00606432">
        <w:rPr>
          <w:rFonts w:eastAsia="Calibri" w:cs="Times New Roman"/>
          <w:szCs w:val="24"/>
        </w:rPr>
        <w:t xml:space="preserve"> ratio, krav til kapitalgrundlag og nedskrivningsrelevante passiver, modpartskreditrisiko, markedsrisiko, eksponeringer mod centrale modparter, eksponeringer mod kollektive investeringsordninger, store eksponeringer og indberetnings- og oplysningskrav, og forordning (EU) nr. 648/2012</w:t>
      </w:r>
      <w:r w:rsidR="00F00D6D">
        <w:rPr>
          <w:rFonts w:eastAsia="Calibri" w:cs="Times New Roman"/>
          <w:szCs w:val="24"/>
        </w:rPr>
        <w:t>, EU-Tidende nr. L 150,</w:t>
      </w:r>
      <w:r w:rsidR="00282625">
        <w:rPr>
          <w:rFonts w:eastAsia="Calibri" w:cs="Times New Roman"/>
          <w:szCs w:val="24"/>
        </w:rPr>
        <w:t xml:space="preserve"> s. 1 (CRR II)</w:t>
      </w:r>
      <w:r w:rsidR="002C133D">
        <w:rPr>
          <w:rFonts w:eastAsia="Calibri" w:cs="Times New Roman"/>
          <w:szCs w:val="24"/>
        </w:rPr>
        <w:t xml:space="preserve"> </w:t>
      </w:r>
      <w:r w:rsidR="002C133D" w:rsidRPr="003A1EFD">
        <w:rPr>
          <w:rFonts w:eastAsia="Calibri" w:cs="Times New Roman"/>
          <w:szCs w:val="24"/>
        </w:rPr>
        <w:t xml:space="preserve">gælder for </w:t>
      </w:r>
      <w:r w:rsidR="00AF4868">
        <w:rPr>
          <w:rFonts w:eastAsia="Calibri" w:cs="Times New Roman"/>
          <w:szCs w:val="24"/>
        </w:rPr>
        <w:t>Grønland</w:t>
      </w:r>
      <w:r w:rsidR="00DA0267">
        <w:rPr>
          <w:rFonts w:eastAsia="Calibri" w:cs="Times New Roman"/>
          <w:szCs w:val="24"/>
        </w:rPr>
        <w:t>.</w:t>
      </w:r>
    </w:p>
    <w:p w14:paraId="1B8E6B56" w14:textId="77777777" w:rsidR="00A745CA" w:rsidRDefault="00A745CA" w:rsidP="003A1EFD">
      <w:pPr>
        <w:rPr>
          <w:rFonts w:eastAsia="Calibri" w:cs="Times New Roman"/>
          <w:szCs w:val="24"/>
        </w:rPr>
      </w:pPr>
    </w:p>
    <w:p w14:paraId="41B890EB" w14:textId="77777777" w:rsidR="00A745CA" w:rsidRDefault="00A745CA" w:rsidP="00A745CA">
      <w:pPr>
        <w:rPr>
          <w:rFonts w:eastAsia="Calibri" w:cs="Times New Roman"/>
          <w:szCs w:val="24"/>
        </w:rPr>
      </w:pPr>
      <w:r w:rsidRPr="003A1EFD">
        <w:rPr>
          <w:rFonts w:eastAsia="Calibri" w:cs="Times New Roman"/>
          <w:szCs w:val="24"/>
        </w:rPr>
        <w:lastRenderedPageBreak/>
        <w:t>Ved en vedtagelse af lovforslaget vil CRR</w:t>
      </w:r>
      <w:r>
        <w:rPr>
          <w:rFonts w:eastAsia="Calibri" w:cs="Times New Roman"/>
          <w:szCs w:val="24"/>
        </w:rPr>
        <w:t xml:space="preserve"> II </w:t>
      </w:r>
      <w:r w:rsidRPr="003A1EFD">
        <w:rPr>
          <w:rFonts w:eastAsia="Calibri" w:cs="Times New Roman"/>
          <w:szCs w:val="24"/>
        </w:rPr>
        <w:t>blive</w:t>
      </w:r>
      <w:r>
        <w:rPr>
          <w:rFonts w:eastAsia="Calibri" w:cs="Times New Roman"/>
          <w:szCs w:val="24"/>
        </w:rPr>
        <w:t xml:space="preserve"> </w:t>
      </w:r>
      <w:r w:rsidRPr="003A1EFD">
        <w:rPr>
          <w:rFonts w:eastAsia="Calibri" w:cs="Times New Roman"/>
          <w:szCs w:val="24"/>
        </w:rPr>
        <w:t>optrykt som bilag</w:t>
      </w:r>
      <w:r w:rsidR="00F00D6D">
        <w:rPr>
          <w:rFonts w:eastAsia="Calibri" w:cs="Times New Roman"/>
          <w:szCs w:val="24"/>
        </w:rPr>
        <w:t xml:space="preserve"> 2</w:t>
      </w:r>
      <w:r w:rsidRPr="003A1EFD">
        <w:rPr>
          <w:rFonts w:eastAsia="Calibri" w:cs="Times New Roman"/>
          <w:szCs w:val="24"/>
        </w:rPr>
        <w:t xml:space="preserve"> til loven inklusive berigtigelse til CRR</w:t>
      </w:r>
      <w:r>
        <w:rPr>
          <w:rFonts w:eastAsia="Calibri" w:cs="Times New Roman"/>
          <w:szCs w:val="24"/>
        </w:rPr>
        <w:t xml:space="preserve"> II</w:t>
      </w:r>
      <w:r w:rsidRPr="003A1EFD">
        <w:rPr>
          <w:rFonts w:eastAsia="Calibri" w:cs="Times New Roman"/>
          <w:szCs w:val="24"/>
        </w:rPr>
        <w:t xml:space="preserve"> af</w:t>
      </w:r>
      <w:r>
        <w:rPr>
          <w:rFonts w:eastAsia="Calibri" w:cs="Times New Roman"/>
          <w:szCs w:val="24"/>
        </w:rPr>
        <w:t xml:space="preserve"> 25. februar 2021, EU-tidende nr. L 65</w:t>
      </w:r>
      <w:r w:rsidR="00F00D6D">
        <w:rPr>
          <w:rFonts w:eastAsia="Calibri" w:cs="Times New Roman"/>
          <w:szCs w:val="24"/>
        </w:rPr>
        <w:t>,</w:t>
      </w:r>
      <w:r>
        <w:rPr>
          <w:rFonts w:eastAsia="Calibri" w:cs="Times New Roman"/>
          <w:szCs w:val="24"/>
        </w:rPr>
        <w:t xml:space="preserve"> s. 62.</w:t>
      </w:r>
    </w:p>
    <w:p w14:paraId="609C5692" w14:textId="77777777" w:rsidR="00A745CA" w:rsidRDefault="00A745CA" w:rsidP="00A745CA">
      <w:pPr>
        <w:rPr>
          <w:rFonts w:eastAsia="Calibri" w:cs="Times New Roman"/>
          <w:szCs w:val="24"/>
        </w:rPr>
      </w:pPr>
    </w:p>
    <w:p w14:paraId="68B1F8A7" w14:textId="77777777" w:rsidR="00A745CA" w:rsidRDefault="00A745CA" w:rsidP="00A745CA">
      <w:pPr>
        <w:rPr>
          <w:szCs w:val="24"/>
        </w:rPr>
      </w:pPr>
      <w:r w:rsidRPr="00F00D6D">
        <w:rPr>
          <w:rFonts w:eastAsia="Calibri" w:cs="Times New Roman"/>
          <w:szCs w:val="24"/>
        </w:rPr>
        <w:t xml:space="preserve">CRR II er en ændringsforordning til CRR. </w:t>
      </w:r>
      <w:r w:rsidRPr="00F00D6D">
        <w:rPr>
          <w:szCs w:val="24"/>
        </w:rPr>
        <w:t xml:space="preserve">Formålet med CRR II er at styrke kreditinstitutternes robusthed og øge den finansielle stabilitet, samtidig med at de understøtter kreditformidling, vækst og beskæftigelse. </w:t>
      </w:r>
    </w:p>
    <w:p w14:paraId="0E9D01CD" w14:textId="77777777" w:rsidR="00BA30BF" w:rsidRDefault="00BA30BF" w:rsidP="00A745CA">
      <w:pPr>
        <w:rPr>
          <w:szCs w:val="24"/>
        </w:rPr>
      </w:pPr>
    </w:p>
    <w:p w14:paraId="385AD4DD" w14:textId="7306CBDC" w:rsidR="00BA30BF" w:rsidRDefault="00BA30BF" w:rsidP="00BA30BF">
      <w:pPr>
        <w:rPr>
          <w:rFonts w:eastAsia="Calibri" w:cs="Times New Roman"/>
          <w:szCs w:val="24"/>
        </w:rPr>
      </w:pPr>
      <w:r>
        <w:rPr>
          <w:rFonts w:eastAsia="Calibri" w:cs="Times New Roman"/>
          <w:szCs w:val="24"/>
        </w:rPr>
        <w:t xml:space="preserve">For en gennemgang af ændringerne som følge </w:t>
      </w:r>
      <w:r w:rsidR="004E365B">
        <w:rPr>
          <w:rFonts w:eastAsia="Calibri" w:cs="Times New Roman"/>
          <w:szCs w:val="24"/>
        </w:rPr>
        <w:t xml:space="preserve">af </w:t>
      </w:r>
      <w:r>
        <w:rPr>
          <w:rFonts w:eastAsia="Calibri" w:cs="Times New Roman"/>
          <w:szCs w:val="24"/>
        </w:rPr>
        <w:t>forordningen henvises der til afsnit 2.1. i lovforslagets almindelige bemærkninger.</w:t>
      </w:r>
    </w:p>
    <w:p w14:paraId="26A3B1FD" w14:textId="7406CBCC" w:rsidR="005B04D8" w:rsidRDefault="005B04D8" w:rsidP="00BA30BF">
      <w:pPr>
        <w:rPr>
          <w:rFonts w:eastAsia="Calibri" w:cs="Times New Roman"/>
          <w:szCs w:val="24"/>
        </w:rPr>
      </w:pPr>
    </w:p>
    <w:p w14:paraId="6A5D291C" w14:textId="77777777" w:rsidR="005B04D8" w:rsidRDefault="005B04D8" w:rsidP="005B04D8">
      <w:pPr>
        <w:rPr>
          <w:rFonts w:eastAsia="Calibri" w:cs="Times New Roman"/>
          <w:szCs w:val="24"/>
        </w:rPr>
      </w:pPr>
      <w:r>
        <w:rPr>
          <w:rFonts w:eastAsia="Calibri" w:cs="Times New Roman"/>
          <w:szCs w:val="24"/>
        </w:rPr>
        <w:t>Det bemærkes, at det følger af den gældende lovs § 2, at erhvervsministeren</w:t>
      </w:r>
      <w:r w:rsidRPr="00156C1F">
        <w:rPr>
          <w:rFonts w:eastAsia="Calibri" w:cs="Times New Roman"/>
          <w:szCs w:val="24"/>
        </w:rPr>
        <w:t xml:space="preserve"> kan fastsætte regler for </w:t>
      </w:r>
      <w:r>
        <w:rPr>
          <w:rFonts w:eastAsia="Calibri" w:cs="Times New Roman"/>
          <w:szCs w:val="24"/>
        </w:rPr>
        <w:t>Grønland</w:t>
      </w:r>
      <w:r w:rsidRPr="00156C1F">
        <w:rPr>
          <w:rFonts w:eastAsia="Calibri" w:cs="Times New Roman"/>
          <w:szCs w:val="24"/>
        </w:rPr>
        <w:t xml:space="preserve"> om anvendelsen af bestemmelserne i forordningen, jf. § 1, herunder om de ændringer af bestemmelserne, som de </w:t>
      </w:r>
      <w:r>
        <w:rPr>
          <w:rFonts w:eastAsia="Calibri" w:cs="Times New Roman"/>
          <w:szCs w:val="24"/>
        </w:rPr>
        <w:t>grønlandsk</w:t>
      </w:r>
      <w:r w:rsidRPr="00156C1F">
        <w:rPr>
          <w:rFonts w:eastAsia="Calibri" w:cs="Times New Roman"/>
          <w:szCs w:val="24"/>
        </w:rPr>
        <w:t>e forhold tilsiger.</w:t>
      </w:r>
      <w:r>
        <w:rPr>
          <w:rFonts w:eastAsia="Calibri" w:cs="Times New Roman"/>
          <w:szCs w:val="24"/>
        </w:rPr>
        <w:t xml:space="preserve"> Det indebærer, at erhvervsministeren kan udstede en bekendtgørelse, der indeholder ændring af forordningerne, som de er sat i kraft for Grønland, jf. § 1, hvis det er nødvendigt af hensyn til grønlandske forhold.</w:t>
      </w:r>
    </w:p>
    <w:p w14:paraId="12FF0E9D" w14:textId="77777777" w:rsidR="005B04D8" w:rsidRDefault="005B04D8" w:rsidP="005B04D8">
      <w:pPr>
        <w:rPr>
          <w:rFonts w:eastAsia="Calibri" w:cs="Times New Roman"/>
          <w:szCs w:val="24"/>
        </w:rPr>
      </w:pPr>
    </w:p>
    <w:p w14:paraId="5DE04A24" w14:textId="4C4A1AB5" w:rsidR="005B04D8" w:rsidRDefault="005B04D8" w:rsidP="005B04D8">
      <w:pPr>
        <w:rPr>
          <w:rFonts w:eastAsia="Calibri" w:cs="Times New Roman"/>
          <w:szCs w:val="24"/>
        </w:rPr>
      </w:pPr>
      <w:r>
        <w:rPr>
          <w:rFonts w:eastAsia="Calibri" w:cs="Times New Roman"/>
          <w:szCs w:val="24"/>
        </w:rPr>
        <w:t>For en gennemgang af ændringerne som følge forordningen henvises der til afsnit 2.3. i lovforslagets almindelige bemærkninger.</w:t>
      </w:r>
    </w:p>
    <w:p w14:paraId="51EF61DA" w14:textId="77777777" w:rsidR="0085374E" w:rsidRDefault="0085374E" w:rsidP="005B04D8"/>
    <w:p w14:paraId="00892E42" w14:textId="3CEBD890" w:rsidR="005B04D8" w:rsidRDefault="005B04D8" w:rsidP="005B04D8">
      <w:r>
        <w:t>CRR II, NPE og CRR Covid-19-relaterede justeringer indeholder en del overgangsbestemmelser og ikrafttrædelsesbestemmelser. Disse overgangsbestemmelser fastsætter i nogle tilfælde, at regler indfases efter bestemt fastsatte datoer. Disse datoer blev fastsat</w:t>
      </w:r>
      <w:r w:rsidR="0085374E">
        <w:t xml:space="preserve"> på baggrund af</w:t>
      </w:r>
      <w:r>
        <w:t xml:space="preserve"> forordningen</w:t>
      </w:r>
      <w:r w:rsidR="0085374E">
        <w:t>s</w:t>
      </w:r>
      <w:r>
        <w:t xml:space="preserve"> </w:t>
      </w:r>
      <w:r w:rsidR="0085374E">
        <w:t>ikraft</w:t>
      </w:r>
      <w:r>
        <w:t>træde</w:t>
      </w:r>
      <w:r w:rsidR="0085374E">
        <w:t>n</w:t>
      </w:r>
      <w:r>
        <w:t xml:space="preserve"> </w:t>
      </w:r>
      <w:r w:rsidR="0085374E">
        <w:t xml:space="preserve">den </w:t>
      </w:r>
      <w:r>
        <w:t>26. december 2020. Datoen for dette lovforslags ikrafttræden bliver fastsat af ministeren. Det kan derfor blive nødvendigt at lave særlige overgangsregler, der er tilpasset hertil og til de grønlandske forhold. Disse overgangsregler kan udstedes af ministeren efter § 2 i den gældende lov.</w:t>
      </w:r>
    </w:p>
    <w:p w14:paraId="29C05206" w14:textId="77777777" w:rsidR="005B04D8" w:rsidRDefault="005B04D8" w:rsidP="005B04D8"/>
    <w:p w14:paraId="43C556EE" w14:textId="283684B8" w:rsidR="005B04D8" w:rsidRDefault="005B04D8" w:rsidP="005B04D8">
      <w:pPr>
        <w:rPr>
          <w:rFonts w:eastAsia="Calibri" w:cs="Times New Roman"/>
          <w:szCs w:val="24"/>
        </w:rPr>
      </w:pPr>
      <w:r>
        <w:t>Følgende artikler indeholder overgangsbestemmelserne:</w:t>
      </w:r>
      <w:r>
        <w:rPr>
          <w:rFonts w:eastAsia="Calibri" w:cs="Times New Roman"/>
          <w:szCs w:val="24"/>
        </w:rPr>
        <w:t xml:space="preserve"> Artikel 3, a</w:t>
      </w:r>
      <w:r>
        <w:rPr>
          <w:szCs w:val="24"/>
        </w:rPr>
        <w:t>rtikel 469a, artikel 494, artikel 494a, a</w:t>
      </w:r>
      <w:r w:rsidRPr="006E4BA7">
        <w:t xml:space="preserve">rtikel 494b, </w:t>
      </w:r>
      <w:r>
        <w:t>a</w:t>
      </w:r>
      <w:r w:rsidRPr="006E4BA7">
        <w:t>rtikel 497,</w:t>
      </w:r>
      <w:r>
        <w:t xml:space="preserve"> </w:t>
      </w:r>
      <w:r w:rsidRPr="006E4BA7">
        <w:t>stk. 1,</w:t>
      </w:r>
      <w:r w:rsidR="0085374E">
        <w:t xml:space="preserve"> </w:t>
      </w:r>
      <w:r>
        <w:rPr>
          <w:szCs w:val="24"/>
        </w:rPr>
        <w:t>a</w:t>
      </w:r>
      <w:r w:rsidRPr="009441BF">
        <w:t>rtikel 500, stk. 1, 2. afsnit</w:t>
      </w:r>
      <w:r>
        <w:t>, og</w:t>
      </w:r>
      <w:r w:rsidRPr="009441BF">
        <w:t xml:space="preserve"> </w:t>
      </w:r>
      <w:r>
        <w:rPr>
          <w:rFonts w:eastAsia="Calibri" w:cs="Times New Roman"/>
          <w:szCs w:val="24"/>
        </w:rPr>
        <w:t>artikel 501b.</w:t>
      </w:r>
    </w:p>
    <w:p w14:paraId="75F18978" w14:textId="2E1DA3AD" w:rsidR="007B3B16" w:rsidRDefault="007B3B16" w:rsidP="005B04D8">
      <w:pPr>
        <w:rPr>
          <w:rFonts w:eastAsia="Calibri" w:cs="Times New Roman"/>
          <w:szCs w:val="24"/>
        </w:rPr>
      </w:pPr>
    </w:p>
    <w:p w14:paraId="6ABB89BB" w14:textId="77777777" w:rsidR="007B3B16" w:rsidRDefault="007B3B16" w:rsidP="007B3B16">
      <w:pPr>
        <w:rPr>
          <w:rFonts w:eastAsia="Calibri" w:cs="Times New Roman"/>
          <w:szCs w:val="24"/>
        </w:rPr>
      </w:pPr>
      <w:r>
        <w:rPr>
          <w:rFonts w:eastAsia="Calibri" w:cs="Times New Roman"/>
          <w:szCs w:val="24"/>
        </w:rPr>
        <w:t>D</w:t>
      </w:r>
      <w:r w:rsidRPr="00EF5A24">
        <w:rPr>
          <w:rFonts w:eastAsia="Calibri" w:cs="Times New Roman"/>
          <w:szCs w:val="24"/>
        </w:rPr>
        <w:t>et</w:t>
      </w:r>
      <w:r>
        <w:rPr>
          <w:rFonts w:eastAsia="Calibri" w:cs="Times New Roman"/>
          <w:szCs w:val="24"/>
        </w:rPr>
        <w:t xml:space="preserve"> bemærkes, at det</w:t>
      </w:r>
      <w:r w:rsidRPr="00EF5A24">
        <w:rPr>
          <w:rFonts w:eastAsia="Calibri" w:cs="Times New Roman"/>
          <w:szCs w:val="24"/>
        </w:rPr>
        <w:t xml:space="preserve"> </w:t>
      </w:r>
      <w:r>
        <w:rPr>
          <w:rFonts w:eastAsia="Calibri" w:cs="Times New Roman"/>
          <w:szCs w:val="24"/>
        </w:rPr>
        <w:t>følger af den gældende lovs</w:t>
      </w:r>
      <w:r w:rsidRPr="00EF5A24">
        <w:rPr>
          <w:rFonts w:eastAsia="Calibri" w:cs="Times New Roman"/>
          <w:szCs w:val="24"/>
        </w:rPr>
        <w:t xml:space="preserve"> § 3, at </w:t>
      </w:r>
      <w:r>
        <w:rPr>
          <w:rFonts w:eastAsia="Calibri" w:cs="Times New Roman"/>
          <w:szCs w:val="24"/>
        </w:rPr>
        <w:t>erhvervsministeren</w:t>
      </w:r>
      <w:r w:rsidRPr="00EF5A24">
        <w:rPr>
          <w:rFonts w:eastAsia="Calibri" w:cs="Times New Roman"/>
          <w:szCs w:val="24"/>
        </w:rPr>
        <w:t xml:space="preserve"> kan fastsætte regl</w:t>
      </w:r>
      <w:r>
        <w:rPr>
          <w:rFonts w:eastAsia="Calibri" w:cs="Times New Roman"/>
          <w:szCs w:val="24"/>
        </w:rPr>
        <w:t>er for Grønland, som er nødven</w:t>
      </w:r>
      <w:r w:rsidRPr="00EF5A24">
        <w:rPr>
          <w:rFonts w:eastAsia="Calibri" w:cs="Times New Roman"/>
          <w:szCs w:val="24"/>
        </w:rPr>
        <w:t>dige for at anvende eller gennemføre de afgørelser eller retsakter, som vedtages af Europa-Kommissionen</w:t>
      </w:r>
      <w:r>
        <w:rPr>
          <w:rFonts w:eastAsia="Calibri" w:cs="Times New Roman"/>
          <w:szCs w:val="24"/>
        </w:rPr>
        <w:t xml:space="preserve"> eller den Europæiske Banktilsynsmyndighed (EBA)</w:t>
      </w:r>
      <w:r w:rsidRPr="00EF5A24">
        <w:rPr>
          <w:rFonts w:eastAsia="Calibri" w:cs="Times New Roman"/>
          <w:szCs w:val="24"/>
        </w:rPr>
        <w:t xml:space="preserve"> i medfør af forordningen, jf. § 1, herunder om de ændringer, som de </w:t>
      </w:r>
      <w:r>
        <w:rPr>
          <w:rFonts w:eastAsia="Calibri" w:cs="Times New Roman"/>
          <w:szCs w:val="24"/>
        </w:rPr>
        <w:t>grønlandsk</w:t>
      </w:r>
      <w:r w:rsidRPr="00EF5A24">
        <w:rPr>
          <w:rFonts w:eastAsia="Calibri" w:cs="Times New Roman"/>
          <w:szCs w:val="24"/>
        </w:rPr>
        <w:t>e forhold tilsiger.</w:t>
      </w:r>
    </w:p>
    <w:p w14:paraId="379FB555" w14:textId="77777777" w:rsidR="007B3B16" w:rsidRPr="00EF5A24" w:rsidRDefault="007B3B16" w:rsidP="007B3B16">
      <w:pPr>
        <w:rPr>
          <w:rFonts w:eastAsia="Calibri" w:cs="Times New Roman"/>
          <w:szCs w:val="24"/>
        </w:rPr>
      </w:pPr>
    </w:p>
    <w:p w14:paraId="04FC5506" w14:textId="77777777" w:rsidR="007B3B16" w:rsidRPr="00EF5A24" w:rsidRDefault="007B3B16" w:rsidP="007B3B16">
      <w:pPr>
        <w:rPr>
          <w:rFonts w:eastAsia="Calibri" w:cs="Times New Roman"/>
          <w:szCs w:val="24"/>
        </w:rPr>
      </w:pPr>
      <w:r w:rsidRPr="00EF5A24">
        <w:rPr>
          <w:rFonts w:eastAsia="Calibri" w:cs="Times New Roman"/>
          <w:szCs w:val="24"/>
        </w:rPr>
        <w:t xml:space="preserve">Bestemmelsen </w:t>
      </w:r>
      <w:r>
        <w:rPr>
          <w:rFonts w:eastAsia="Calibri" w:cs="Times New Roman"/>
          <w:szCs w:val="24"/>
        </w:rPr>
        <w:t xml:space="preserve">er indsat for at </w:t>
      </w:r>
      <w:r w:rsidRPr="00EF5A24">
        <w:rPr>
          <w:rFonts w:eastAsia="Calibri" w:cs="Times New Roman"/>
          <w:szCs w:val="24"/>
        </w:rPr>
        <w:t xml:space="preserve">tilvejebringe hjemmelsgrundlaget for </w:t>
      </w:r>
      <w:r>
        <w:rPr>
          <w:rFonts w:eastAsia="Calibri" w:cs="Times New Roman"/>
          <w:szCs w:val="24"/>
        </w:rPr>
        <w:t>erhvervsministeren</w:t>
      </w:r>
      <w:r w:rsidRPr="00EF5A24">
        <w:rPr>
          <w:rFonts w:eastAsia="Calibri" w:cs="Times New Roman"/>
          <w:szCs w:val="24"/>
        </w:rPr>
        <w:t xml:space="preserve"> til, om nødvendigt, at fastsætte administrative forskrifter til opfyldelse af de afgørelser eller retsakter (niveau 2-regulering), som Kommissionen måtte vedtage med hjemmel i CRR.</w:t>
      </w:r>
    </w:p>
    <w:p w14:paraId="5F56842B" w14:textId="77777777" w:rsidR="007B3B16" w:rsidRDefault="007B3B16" w:rsidP="007B3B16">
      <w:pPr>
        <w:rPr>
          <w:rFonts w:eastAsia="Calibri" w:cs="Times New Roman"/>
          <w:szCs w:val="24"/>
        </w:rPr>
      </w:pPr>
    </w:p>
    <w:p w14:paraId="15196048" w14:textId="77777777" w:rsidR="007B3B16" w:rsidRDefault="007B3B16" w:rsidP="007B3B16">
      <w:pPr>
        <w:rPr>
          <w:rFonts w:eastAsia="Calibri" w:cs="Times New Roman"/>
          <w:szCs w:val="24"/>
        </w:rPr>
      </w:pPr>
      <w:r>
        <w:rPr>
          <w:rFonts w:eastAsia="Calibri" w:cs="Times New Roman"/>
          <w:szCs w:val="24"/>
        </w:rPr>
        <w:t xml:space="preserve">Forslaget om, at CRR II, NPE og CRR Covid-19-relaterede justeringer skal gælde for Grønland, jf. den foreslåede § 1, nr. 2-4, jf. lovforslagets § 1, nr. 1, medfører, at ministeren også får hjemmel til at </w:t>
      </w:r>
      <w:r w:rsidRPr="00EF5A24">
        <w:rPr>
          <w:rFonts w:eastAsia="Calibri" w:cs="Times New Roman"/>
          <w:szCs w:val="24"/>
        </w:rPr>
        <w:t>fastsætte regl</w:t>
      </w:r>
      <w:r>
        <w:rPr>
          <w:rFonts w:eastAsia="Calibri" w:cs="Times New Roman"/>
          <w:szCs w:val="24"/>
        </w:rPr>
        <w:t>er for Grønland, som er nødven</w:t>
      </w:r>
      <w:r w:rsidRPr="00EF5A24">
        <w:rPr>
          <w:rFonts w:eastAsia="Calibri" w:cs="Times New Roman"/>
          <w:szCs w:val="24"/>
        </w:rPr>
        <w:t>dige for at anvende eller gennemføre de afgørelser eller retsakter, som vedtages af Europa-Kommissionen</w:t>
      </w:r>
      <w:r>
        <w:rPr>
          <w:rFonts w:eastAsia="Calibri" w:cs="Times New Roman"/>
          <w:szCs w:val="24"/>
        </w:rPr>
        <w:t xml:space="preserve"> eller EBA</w:t>
      </w:r>
      <w:r w:rsidRPr="00EF5A24">
        <w:rPr>
          <w:rFonts w:eastAsia="Calibri" w:cs="Times New Roman"/>
          <w:szCs w:val="24"/>
        </w:rPr>
        <w:t xml:space="preserve"> i medfør af</w:t>
      </w:r>
      <w:r>
        <w:rPr>
          <w:rFonts w:eastAsia="Calibri" w:cs="Times New Roman"/>
          <w:szCs w:val="24"/>
        </w:rPr>
        <w:t xml:space="preserve"> CRR II, NPE og CRR Covid-19-relaterede justeringer.</w:t>
      </w:r>
    </w:p>
    <w:p w14:paraId="098F6AE6" w14:textId="77777777" w:rsidR="007B3B16" w:rsidRDefault="007B3B16" w:rsidP="007B3B16">
      <w:pPr>
        <w:rPr>
          <w:rFonts w:eastAsia="Calibri" w:cs="Times New Roman"/>
          <w:szCs w:val="24"/>
        </w:rPr>
      </w:pPr>
    </w:p>
    <w:p w14:paraId="5E04AAA2" w14:textId="77777777" w:rsidR="007B3B16" w:rsidRDefault="007B3B16" w:rsidP="007B3B16">
      <w:pPr>
        <w:rPr>
          <w:rFonts w:eastAsia="Calibri" w:cs="Times New Roman"/>
          <w:szCs w:val="24"/>
        </w:rPr>
      </w:pPr>
      <w:r w:rsidRPr="00EF5A24">
        <w:rPr>
          <w:rFonts w:eastAsia="Calibri" w:cs="Times New Roman"/>
          <w:szCs w:val="24"/>
        </w:rPr>
        <w:t xml:space="preserve">Det følger af proceduren for fastsættelsen af administrative forskrifter, der skal gælde for </w:t>
      </w:r>
      <w:r>
        <w:rPr>
          <w:rFonts w:eastAsia="Calibri" w:cs="Times New Roman"/>
          <w:szCs w:val="24"/>
        </w:rPr>
        <w:t>Grønland</w:t>
      </w:r>
      <w:r w:rsidRPr="00EF5A24">
        <w:rPr>
          <w:rFonts w:eastAsia="Calibri" w:cs="Times New Roman"/>
          <w:szCs w:val="24"/>
        </w:rPr>
        <w:t xml:space="preserve">, at de administrative forskrifter vil blive sendt i høring hos de </w:t>
      </w:r>
      <w:r>
        <w:rPr>
          <w:rFonts w:eastAsia="Calibri" w:cs="Times New Roman"/>
          <w:szCs w:val="24"/>
        </w:rPr>
        <w:t>grønlandsk</w:t>
      </w:r>
      <w:r w:rsidRPr="00EF5A24">
        <w:rPr>
          <w:rFonts w:eastAsia="Calibri" w:cs="Times New Roman"/>
          <w:szCs w:val="24"/>
        </w:rPr>
        <w:t>e myndi</w:t>
      </w:r>
      <w:r>
        <w:rPr>
          <w:rFonts w:eastAsia="Calibri" w:cs="Times New Roman"/>
          <w:szCs w:val="24"/>
        </w:rPr>
        <w:t>gheder inden udstedelsen. Til</w:t>
      </w:r>
      <w:r w:rsidRPr="00EF5A24">
        <w:rPr>
          <w:rFonts w:eastAsia="Calibri" w:cs="Times New Roman"/>
          <w:szCs w:val="24"/>
        </w:rPr>
        <w:t xml:space="preserve">pasningen af bestemmelserne i </w:t>
      </w:r>
      <w:r>
        <w:rPr>
          <w:rFonts w:eastAsia="Calibri" w:cs="Times New Roman"/>
          <w:szCs w:val="24"/>
        </w:rPr>
        <w:t>CRR II, NPE og CRR Covid-19-relaterede justeringer</w:t>
      </w:r>
      <w:r w:rsidRPr="00EF5A24">
        <w:rPr>
          <w:rFonts w:eastAsia="Calibri" w:cs="Times New Roman"/>
          <w:szCs w:val="24"/>
        </w:rPr>
        <w:t xml:space="preserve"> sker dermed i samarbejde med de </w:t>
      </w:r>
      <w:r>
        <w:rPr>
          <w:rFonts w:eastAsia="Calibri" w:cs="Times New Roman"/>
          <w:szCs w:val="24"/>
        </w:rPr>
        <w:t>grønlandsk</w:t>
      </w:r>
      <w:r w:rsidRPr="00EF5A24">
        <w:rPr>
          <w:rFonts w:eastAsia="Calibri" w:cs="Times New Roman"/>
          <w:szCs w:val="24"/>
        </w:rPr>
        <w:t xml:space="preserve">e myndigheder, </w:t>
      </w:r>
      <w:proofErr w:type="gramStart"/>
      <w:r w:rsidRPr="00EF5A24">
        <w:rPr>
          <w:rFonts w:eastAsia="Calibri" w:cs="Times New Roman"/>
          <w:szCs w:val="24"/>
        </w:rPr>
        <w:t>således at</w:t>
      </w:r>
      <w:proofErr w:type="gramEnd"/>
      <w:r w:rsidRPr="00EF5A24">
        <w:rPr>
          <w:rFonts w:eastAsia="Calibri" w:cs="Times New Roman"/>
          <w:szCs w:val="24"/>
        </w:rPr>
        <w:t xml:space="preserve"> bestemmelserne i </w:t>
      </w:r>
      <w:r>
        <w:rPr>
          <w:rFonts w:eastAsia="Calibri" w:cs="Times New Roman"/>
          <w:szCs w:val="24"/>
        </w:rPr>
        <w:t>CRR II, NPE og CRR Covid-19-relaterede justeringer</w:t>
      </w:r>
      <w:r w:rsidRPr="00EF5A24">
        <w:rPr>
          <w:rFonts w:eastAsia="Calibri" w:cs="Times New Roman"/>
          <w:szCs w:val="24"/>
        </w:rPr>
        <w:t xml:space="preserve"> vil kunne anvendes mest hensigtsmæssigt </w:t>
      </w:r>
      <w:r>
        <w:rPr>
          <w:rFonts w:eastAsia="Calibri" w:cs="Times New Roman"/>
          <w:szCs w:val="24"/>
        </w:rPr>
        <w:t>i Grønland</w:t>
      </w:r>
      <w:r w:rsidRPr="00EF5A24">
        <w:rPr>
          <w:rFonts w:eastAsia="Calibri" w:cs="Times New Roman"/>
          <w:szCs w:val="24"/>
        </w:rPr>
        <w:t>.</w:t>
      </w:r>
    </w:p>
    <w:p w14:paraId="7412E1B7" w14:textId="77777777" w:rsidR="007B3B16" w:rsidRDefault="007B3B16" w:rsidP="007B3B16">
      <w:pPr>
        <w:rPr>
          <w:rFonts w:eastAsia="Calibri" w:cs="Times New Roman"/>
          <w:szCs w:val="24"/>
        </w:rPr>
      </w:pPr>
    </w:p>
    <w:p w14:paraId="136A13A8" w14:textId="77777777" w:rsidR="007B3B16" w:rsidRDefault="007B3B16" w:rsidP="007B3B16">
      <w:pPr>
        <w:rPr>
          <w:rFonts w:eastAsia="Calibri" w:cs="Times New Roman"/>
          <w:szCs w:val="24"/>
        </w:rPr>
      </w:pPr>
      <w:r w:rsidRPr="00DF0D0B">
        <w:rPr>
          <w:rFonts w:eastAsia="Calibri" w:cs="Times New Roman"/>
          <w:szCs w:val="24"/>
        </w:rPr>
        <w:t xml:space="preserve">Den pågældende afgørelse eller retsakt vil blive optrykt som et bilag til den administrative forskrift, der sætter afgørelsen eller retsakten i kraft for </w:t>
      </w:r>
      <w:r>
        <w:rPr>
          <w:rFonts w:eastAsia="Calibri" w:cs="Times New Roman"/>
          <w:szCs w:val="24"/>
        </w:rPr>
        <w:t>Grønland</w:t>
      </w:r>
      <w:r w:rsidRPr="00DF0D0B">
        <w:rPr>
          <w:rFonts w:eastAsia="Calibri" w:cs="Times New Roman"/>
          <w:szCs w:val="24"/>
        </w:rPr>
        <w:t>.</w:t>
      </w:r>
    </w:p>
    <w:p w14:paraId="6780D657" w14:textId="77777777" w:rsidR="007B3B16" w:rsidRDefault="007B3B16" w:rsidP="007B3B16">
      <w:pPr>
        <w:rPr>
          <w:rFonts w:eastAsia="Calibri" w:cs="Times New Roman"/>
          <w:szCs w:val="24"/>
        </w:rPr>
      </w:pPr>
    </w:p>
    <w:p w14:paraId="421CFF43" w14:textId="3078C1BA" w:rsidR="007B3B16" w:rsidRDefault="007B3B16" w:rsidP="007B3B16">
      <w:pPr>
        <w:rPr>
          <w:rFonts w:eastAsia="Calibri" w:cs="Times New Roman"/>
          <w:szCs w:val="24"/>
        </w:rPr>
      </w:pPr>
      <w:r w:rsidRPr="009E72BC">
        <w:rPr>
          <w:rFonts w:eastAsia="Calibri" w:cs="Times New Roman"/>
          <w:szCs w:val="24"/>
        </w:rPr>
        <w:t xml:space="preserve">Følgende bestemmelser i CRR II, NPE og CRR Covid-19-relaterede justeringer, som indeholder bemyndigelser til Kommissionen eller EBA til udstedelse af retsakter på CRR II, NPE og CRR Covid-19-relaterede justeringers område: </w:t>
      </w:r>
      <w:r w:rsidR="0085374E">
        <w:rPr>
          <w:rFonts w:eastAsia="Calibri"/>
          <w:szCs w:val="24"/>
        </w:rPr>
        <w:t>A</w:t>
      </w:r>
      <w:r w:rsidRPr="009E72BC">
        <w:rPr>
          <w:rFonts w:eastAsia="Calibri"/>
          <w:szCs w:val="24"/>
        </w:rPr>
        <w:t>rtikel 4, stk. 4, a</w:t>
      </w:r>
      <w:r w:rsidRPr="009E72BC">
        <w:rPr>
          <w:rFonts w:eastAsia="Calibri" w:cs="Times New Roman"/>
          <w:szCs w:val="24"/>
        </w:rPr>
        <w:t>rtikel 18, stk. 9</w:t>
      </w:r>
      <w:r w:rsidRPr="009E72BC">
        <w:rPr>
          <w:rFonts w:eastAsia="Calibri"/>
          <w:szCs w:val="24"/>
        </w:rPr>
        <w:t>, a</w:t>
      </w:r>
      <w:r w:rsidRPr="009E72BC">
        <w:rPr>
          <w:rFonts w:eastAsia="Calibri" w:cs="Times New Roman"/>
          <w:szCs w:val="24"/>
        </w:rPr>
        <w:t xml:space="preserve">rtikel 26, stk. 3, </w:t>
      </w:r>
      <w:r w:rsidRPr="009E72BC">
        <w:rPr>
          <w:rFonts w:eastAsia="Calibri"/>
          <w:szCs w:val="24"/>
        </w:rPr>
        <w:t>a</w:t>
      </w:r>
      <w:r w:rsidRPr="009E72BC">
        <w:rPr>
          <w:rFonts w:eastAsia="Calibri" w:cs="Times New Roman"/>
          <w:szCs w:val="24"/>
        </w:rPr>
        <w:t xml:space="preserve">rtikel 36, stk. 4, </w:t>
      </w:r>
      <w:r w:rsidRPr="009E72BC">
        <w:rPr>
          <w:rFonts w:eastAsia="Calibri"/>
          <w:szCs w:val="24"/>
        </w:rPr>
        <w:t>a</w:t>
      </w:r>
      <w:r w:rsidRPr="009E72BC">
        <w:rPr>
          <w:rFonts w:eastAsia="Calibri" w:cs="Times New Roman"/>
          <w:szCs w:val="24"/>
        </w:rPr>
        <w:t xml:space="preserve">rtikel 47c, stk. 5, </w:t>
      </w:r>
      <w:r w:rsidRPr="009E72BC">
        <w:rPr>
          <w:rFonts w:eastAsia="Calibri"/>
          <w:szCs w:val="24"/>
        </w:rPr>
        <w:t>a</w:t>
      </w:r>
      <w:r w:rsidRPr="009E72BC">
        <w:rPr>
          <w:rFonts w:eastAsia="Calibri" w:cs="Times New Roman"/>
          <w:szCs w:val="24"/>
        </w:rPr>
        <w:t xml:space="preserve">rtikel 72b, stk. 7, </w:t>
      </w:r>
      <w:r w:rsidRPr="009E72BC">
        <w:rPr>
          <w:rFonts w:eastAsia="Calibri"/>
          <w:szCs w:val="24"/>
        </w:rPr>
        <w:t>a</w:t>
      </w:r>
      <w:r w:rsidRPr="009E72BC">
        <w:rPr>
          <w:rFonts w:eastAsia="Calibri" w:cs="Times New Roman"/>
          <w:szCs w:val="24"/>
        </w:rPr>
        <w:t xml:space="preserve">rtikel 78, stk. 5, </w:t>
      </w:r>
      <w:r w:rsidRPr="009E72BC">
        <w:rPr>
          <w:rFonts w:eastAsia="Calibri"/>
          <w:szCs w:val="24"/>
        </w:rPr>
        <w:t>a</w:t>
      </w:r>
      <w:r w:rsidRPr="009E72BC">
        <w:rPr>
          <w:rFonts w:eastAsia="Calibri" w:cs="Times New Roman"/>
          <w:szCs w:val="24"/>
        </w:rPr>
        <w:t xml:space="preserve">rtikel 78 a, stk. 3, </w:t>
      </w:r>
      <w:r w:rsidRPr="009E72BC">
        <w:rPr>
          <w:rFonts w:eastAsia="Calibri"/>
          <w:szCs w:val="24"/>
        </w:rPr>
        <w:t>a</w:t>
      </w:r>
      <w:r w:rsidRPr="009E72BC">
        <w:rPr>
          <w:rFonts w:eastAsia="Calibri" w:cs="Times New Roman"/>
          <w:szCs w:val="24"/>
        </w:rPr>
        <w:t xml:space="preserve">rtikel 80, stk. 1 og 3, </w:t>
      </w:r>
      <w:r w:rsidRPr="009E72BC">
        <w:rPr>
          <w:rFonts w:eastAsia="Calibri"/>
          <w:szCs w:val="24"/>
        </w:rPr>
        <w:t>a</w:t>
      </w:r>
      <w:r w:rsidRPr="009E72BC">
        <w:rPr>
          <w:rFonts w:eastAsia="Calibri" w:cs="Times New Roman"/>
          <w:szCs w:val="24"/>
        </w:rPr>
        <w:t xml:space="preserve">rtikel 104 a, stk. 1, </w:t>
      </w:r>
      <w:r w:rsidRPr="009E72BC">
        <w:rPr>
          <w:rFonts w:eastAsia="Calibri"/>
          <w:szCs w:val="24"/>
        </w:rPr>
        <w:t>a</w:t>
      </w:r>
      <w:r w:rsidRPr="009E72BC">
        <w:rPr>
          <w:rFonts w:eastAsia="Calibri" w:cs="Times New Roman"/>
          <w:szCs w:val="24"/>
        </w:rPr>
        <w:t xml:space="preserve">rtikel 117, stk. 2, </w:t>
      </w:r>
      <w:r w:rsidRPr="009E72BC">
        <w:rPr>
          <w:rFonts w:eastAsia="Calibri"/>
          <w:szCs w:val="24"/>
        </w:rPr>
        <w:t>a</w:t>
      </w:r>
      <w:r w:rsidRPr="009E72BC">
        <w:rPr>
          <w:rFonts w:eastAsia="Calibri" w:cs="Times New Roman"/>
          <w:szCs w:val="24"/>
        </w:rPr>
        <w:t xml:space="preserve">rtikel 124, stk. 4, </w:t>
      </w:r>
      <w:r w:rsidRPr="009E72BC">
        <w:rPr>
          <w:rFonts w:eastAsia="Calibri"/>
          <w:szCs w:val="24"/>
        </w:rPr>
        <w:t>a</w:t>
      </w:r>
      <w:r w:rsidRPr="009E72BC">
        <w:rPr>
          <w:rFonts w:eastAsia="Calibri" w:cs="Times New Roman"/>
          <w:szCs w:val="24"/>
        </w:rPr>
        <w:t xml:space="preserve">rtikel 132 a, stk. 4, </w:t>
      </w:r>
      <w:r w:rsidRPr="00244931">
        <w:rPr>
          <w:rFonts w:eastAsia="Calibri"/>
          <w:szCs w:val="24"/>
        </w:rPr>
        <w:t>a</w:t>
      </w:r>
      <w:r w:rsidRPr="009E72BC">
        <w:rPr>
          <w:rFonts w:eastAsia="Calibri" w:cs="Times New Roman"/>
          <w:szCs w:val="24"/>
        </w:rPr>
        <w:t xml:space="preserve">rtikel 164, stk. 8, </w:t>
      </w:r>
      <w:r w:rsidRPr="00244931">
        <w:rPr>
          <w:rFonts w:eastAsia="Calibri"/>
          <w:szCs w:val="24"/>
        </w:rPr>
        <w:t>a</w:t>
      </w:r>
      <w:r w:rsidRPr="009E72BC">
        <w:rPr>
          <w:rFonts w:eastAsia="Calibri" w:cs="Times New Roman"/>
          <w:szCs w:val="24"/>
        </w:rPr>
        <w:t xml:space="preserve">rtikel 277, stk. 5, </w:t>
      </w:r>
      <w:r w:rsidRPr="00244931">
        <w:rPr>
          <w:rFonts w:eastAsia="Calibri"/>
          <w:szCs w:val="24"/>
        </w:rPr>
        <w:t>a</w:t>
      </w:r>
      <w:r w:rsidRPr="009E72BC">
        <w:rPr>
          <w:rFonts w:eastAsia="Calibri" w:cs="Times New Roman"/>
          <w:szCs w:val="24"/>
        </w:rPr>
        <w:t xml:space="preserve">rtikel 279 a, stk. 3, </w:t>
      </w:r>
      <w:r w:rsidRPr="009E72BC">
        <w:rPr>
          <w:rFonts w:eastAsia="Calibri"/>
          <w:szCs w:val="24"/>
        </w:rPr>
        <w:t>a</w:t>
      </w:r>
      <w:r w:rsidRPr="009E72BC">
        <w:rPr>
          <w:rFonts w:eastAsia="Calibri" w:cs="Times New Roman"/>
          <w:szCs w:val="24"/>
        </w:rPr>
        <w:t xml:space="preserve">rtikel 325, stk. 9, </w:t>
      </w:r>
      <w:r w:rsidRPr="00244931">
        <w:rPr>
          <w:rFonts w:eastAsia="Calibri"/>
          <w:szCs w:val="24"/>
        </w:rPr>
        <w:t>a</w:t>
      </w:r>
      <w:r w:rsidRPr="009E72BC">
        <w:rPr>
          <w:rFonts w:eastAsia="Calibri" w:cs="Times New Roman"/>
          <w:szCs w:val="24"/>
        </w:rPr>
        <w:t xml:space="preserve">rtikel 325 u, stk. 5, </w:t>
      </w:r>
      <w:r w:rsidRPr="00244931">
        <w:rPr>
          <w:rFonts w:eastAsia="Calibri"/>
          <w:szCs w:val="24"/>
        </w:rPr>
        <w:t>a</w:t>
      </w:r>
      <w:r w:rsidRPr="009E72BC">
        <w:rPr>
          <w:rFonts w:eastAsia="Calibri" w:cs="Times New Roman"/>
          <w:szCs w:val="24"/>
        </w:rPr>
        <w:t xml:space="preserve">rtikel 325 w, stk. 8, </w:t>
      </w:r>
      <w:r w:rsidRPr="009E72BC">
        <w:rPr>
          <w:rFonts w:eastAsia="Calibri"/>
          <w:szCs w:val="24"/>
        </w:rPr>
        <w:t>a</w:t>
      </w:r>
      <w:r w:rsidRPr="00244931">
        <w:rPr>
          <w:rFonts w:eastAsia="Calibri" w:cs="Times New Roman"/>
          <w:szCs w:val="24"/>
        </w:rPr>
        <w:t xml:space="preserve">rtikel 325 ap, stk. 3, </w:t>
      </w:r>
      <w:r w:rsidRPr="00244931">
        <w:rPr>
          <w:rFonts w:eastAsia="Calibri"/>
          <w:szCs w:val="24"/>
        </w:rPr>
        <w:t>a</w:t>
      </w:r>
      <w:r w:rsidRPr="009E72BC">
        <w:rPr>
          <w:rFonts w:eastAsia="Calibri" w:cs="Times New Roman"/>
          <w:szCs w:val="24"/>
        </w:rPr>
        <w:t xml:space="preserve">rtikel 325 az, stk. 8, </w:t>
      </w:r>
      <w:r w:rsidRPr="009E72BC">
        <w:rPr>
          <w:rFonts w:eastAsia="Calibri"/>
          <w:szCs w:val="24"/>
        </w:rPr>
        <w:t>a</w:t>
      </w:r>
      <w:r w:rsidRPr="009E72BC">
        <w:rPr>
          <w:rFonts w:eastAsia="Calibri" w:cs="Times New Roman"/>
          <w:szCs w:val="24"/>
        </w:rPr>
        <w:t xml:space="preserve">rtikel 325 az, stk. 9, </w:t>
      </w:r>
      <w:r w:rsidRPr="00244931">
        <w:rPr>
          <w:rFonts w:eastAsia="Calibri"/>
          <w:szCs w:val="24"/>
        </w:rPr>
        <w:t>a</w:t>
      </w:r>
      <w:r w:rsidRPr="009E72BC">
        <w:rPr>
          <w:rFonts w:eastAsia="Calibri" w:cs="Times New Roman"/>
          <w:szCs w:val="24"/>
        </w:rPr>
        <w:t xml:space="preserve">rtikel 325 </w:t>
      </w:r>
      <w:proofErr w:type="spellStart"/>
      <w:r w:rsidRPr="009E72BC">
        <w:rPr>
          <w:rFonts w:eastAsia="Calibri" w:cs="Times New Roman"/>
          <w:szCs w:val="24"/>
        </w:rPr>
        <w:t>bd</w:t>
      </w:r>
      <w:proofErr w:type="spellEnd"/>
      <w:r w:rsidRPr="009E72BC">
        <w:rPr>
          <w:rFonts w:eastAsia="Calibri" w:cs="Times New Roman"/>
          <w:szCs w:val="24"/>
        </w:rPr>
        <w:t xml:space="preserve">, stk. 7, </w:t>
      </w:r>
      <w:r w:rsidRPr="00244931">
        <w:rPr>
          <w:rFonts w:eastAsia="Calibri"/>
          <w:szCs w:val="24"/>
        </w:rPr>
        <w:t>a</w:t>
      </w:r>
      <w:r w:rsidRPr="009E72BC">
        <w:rPr>
          <w:rFonts w:eastAsia="Calibri" w:cs="Times New Roman"/>
          <w:szCs w:val="24"/>
        </w:rPr>
        <w:t xml:space="preserve">rtikel 325 </w:t>
      </w:r>
      <w:proofErr w:type="spellStart"/>
      <w:r w:rsidRPr="009E72BC">
        <w:rPr>
          <w:rFonts w:eastAsia="Calibri" w:cs="Times New Roman"/>
          <w:szCs w:val="24"/>
        </w:rPr>
        <w:t>be</w:t>
      </w:r>
      <w:proofErr w:type="spellEnd"/>
      <w:r w:rsidRPr="009E72BC">
        <w:rPr>
          <w:rFonts w:eastAsia="Calibri" w:cs="Times New Roman"/>
          <w:szCs w:val="24"/>
        </w:rPr>
        <w:t xml:space="preserve">, stk. 3, </w:t>
      </w:r>
      <w:r w:rsidRPr="00244931">
        <w:rPr>
          <w:rFonts w:eastAsia="Calibri"/>
          <w:szCs w:val="24"/>
        </w:rPr>
        <w:t>a</w:t>
      </w:r>
      <w:r w:rsidRPr="009E72BC">
        <w:rPr>
          <w:rFonts w:eastAsia="Calibri" w:cs="Times New Roman"/>
          <w:szCs w:val="24"/>
        </w:rPr>
        <w:t>rtikel 325 bf, stk. 9</w:t>
      </w:r>
      <w:r w:rsidRPr="009E72BC">
        <w:rPr>
          <w:rFonts w:eastAsia="Calibri"/>
          <w:szCs w:val="24"/>
        </w:rPr>
        <w:t xml:space="preserve">, </w:t>
      </w:r>
      <w:r w:rsidRPr="00244931">
        <w:rPr>
          <w:rFonts w:eastAsia="Calibri"/>
          <w:szCs w:val="24"/>
        </w:rPr>
        <w:t>a</w:t>
      </w:r>
      <w:r w:rsidRPr="009E72BC">
        <w:rPr>
          <w:rFonts w:eastAsia="Calibri" w:cs="Times New Roman"/>
          <w:szCs w:val="24"/>
        </w:rPr>
        <w:t xml:space="preserve">rtikel 325 bg, stk. 4, </w:t>
      </w:r>
      <w:r w:rsidRPr="009E72BC">
        <w:rPr>
          <w:rFonts w:eastAsia="Calibri"/>
          <w:szCs w:val="24"/>
        </w:rPr>
        <w:t>a</w:t>
      </w:r>
      <w:r w:rsidRPr="009E72BC">
        <w:rPr>
          <w:rFonts w:eastAsia="Calibri" w:cs="Times New Roman"/>
          <w:szCs w:val="24"/>
        </w:rPr>
        <w:t xml:space="preserve">rtikel 325 bh, stk. 3, </w:t>
      </w:r>
      <w:r w:rsidRPr="00244931">
        <w:rPr>
          <w:rFonts w:eastAsia="Calibri"/>
          <w:szCs w:val="24"/>
        </w:rPr>
        <w:t>a</w:t>
      </w:r>
      <w:r w:rsidRPr="009E72BC">
        <w:rPr>
          <w:rFonts w:eastAsia="Calibri" w:cs="Times New Roman"/>
          <w:szCs w:val="24"/>
        </w:rPr>
        <w:t xml:space="preserve">rtikel 325 </w:t>
      </w:r>
      <w:proofErr w:type="spellStart"/>
      <w:r w:rsidRPr="009E72BC">
        <w:rPr>
          <w:rFonts w:eastAsia="Calibri" w:cs="Times New Roman"/>
          <w:szCs w:val="24"/>
        </w:rPr>
        <w:t>bk</w:t>
      </w:r>
      <w:proofErr w:type="spellEnd"/>
      <w:r w:rsidRPr="009E72BC">
        <w:rPr>
          <w:rFonts w:eastAsia="Calibri" w:cs="Times New Roman"/>
          <w:szCs w:val="24"/>
        </w:rPr>
        <w:t xml:space="preserve">, stk. 3, </w:t>
      </w:r>
      <w:r w:rsidRPr="009E72BC">
        <w:rPr>
          <w:rFonts w:eastAsia="Calibri"/>
          <w:szCs w:val="24"/>
        </w:rPr>
        <w:t>a</w:t>
      </w:r>
      <w:r w:rsidRPr="009E72BC">
        <w:rPr>
          <w:rFonts w:eastAsia="Calibri" w:cs="Times New Roman"/>
          <w:szCs w:val="24"/>
        </w:rPr>
        <w:t xml:space="preserve">rtikel 325 bp, stk. 12, </w:t>
      </w:r>
      <w:r w:rsidRPr="00244931">
        <w:rPr>
          <w:rFonts w:eastAsia="Calibri"/>
          <w:szCs w:val="24"/>
        </w:rPr>
        <w:t>a</w:t>
      </w:r>
      <w:r w:rsidRPr="009E72BC">
        <w:rPr>
          <w:rFonts w:eastAsia="Calibri" w:cs="Times New Roman"/>
          <w:szCs w:val="24"/>
        </w:rPr>
        <w:t xml:space="preserve">rtikel 390, stk. 8, </w:t>
      </w:r>
      <w:r w:rsidRPr="009E72BC">
        <w:rPr>
          <w:rFonts w:eastAsia="Calibri"/>
          <w:szCs w:val="24"/>
        </w:rPr>
        <w:t>a</w:t>
      </w:r>
      <w:r w:rsidRPr="009E72BC">
        <w:rPr>
          <w:rFonts w:eastAsia="Calibri" w:cs="Times New Roman"/>
          <w:szCs w:val="24"/>
        </w:rPr>
        <w:t xml:space="preserve">rtikel 390, stk. 9, </w:t>
      </w:r>
      <w:r w:rsidRPr="009E72BC">
        <w:rPr>
          <w:rFonts w:eastAsia="Calibri"/>
          <w:szCs w:val="24"/>
        </w:rPr>
        <w:t>a</w:t>
      </w:r>
      <w:r w:rsidRPr="009E72BC">
        <w:rPr>
          <w:rFonts w:eastAsia="Calibri" w:cs="Times New Roman"/>
          <w:szCs w:val="24"/>
        </w:rPr>
        <w:t>rtikel 391</w:t>
      </w:r>
      <w:r w:rsidRPr="009E72BC">
        <w:rPr>
          <w:rFonts w:eastAsia="Calibri"/>
          <w:szCs w:val="24"/>
        </w:rPr>
        <w:t>,</w:t>
      </w:r>
      <w:r w:rsidRPr="009E72BC">
        <w:rPr>
          <w:rFonts w:eastAsia="Calibri" w:cs="Times New Roman"/>
          <w:szCs w:val="24"/>
        </w:rPr>
        <w:t xml:space="preserve"> </w:t>
      </w:r>
      <w:r w:rsidRPr="009E72BC">
        <w:rPr>
          <w:rFonts w:eastAsia="Calibri"/>
          <w:szCs w:val="24"/>
        </w:rPr>
        <w:t>a</w:t>
      </w:r>
      <w:r w:rsidRPr="009E72BC">
        <w:rPr>
          <w:rFonts w:eastAsia="Calibri" w:cs="Times New Roman"/>
          <w:szCs w:val="24"/>
        </w:rPr>
        <w:t xml:space="preserve">rtikel 394, stk. 4, </w:t>
      </w:r>
      <w:r w:rsidRPr="009E72BC">
        <w:rPr>
          <w:rFonts w:eastAsia="Calibri"/>
          <w:szCs w:val="24"/>
        </w:rPr>
        <w:t>a</w:t>
      </w:r>
      <w:r w:rsidRPr="009E72BC">
        <w:rPr>
          <w:rFonts w:eastAsia="Calibri" w:cs="Times New Roman"/>
          <w:szCs w:val="24"/>
        </w:rPr>
        <w:t xml:space="preserve">rtikel 396, stk. 3, </w:t>
      </w:r>
      <w:r w:rsidRPr="009E72BC">
        <w:rPr>
          <w:rFonts w:eastAsia="Calibri"/>
          <w:szCs w:val="24"/>
        </w:rPr>
        <w:t>a</w:t>
      </w:r>
      <w:r w:rsidRPr="009E72BC">
        <w:rPr>
          <w:rFonts w:eastAsia="Calibri" w:cs="Times New Roman"/>
          <w:szCs w:val="24"/>
        </w:rPr>
        <w:t xml:space="preserve">rtikel 403, stk. 4, </w:t>
      </w:r>
      <w:r w:rsidRPr="009E72BC">
        <w:rPr>
          <w:rFonts w:eastAsia="Calibri"/>
          <w:szCs w:val="24"/>
        </w:rPr>
        <w:t>a</w:t>
      </w:r>
      <w:r w:rsidRPr="009E72BC">
        <w:rPr>
          <w:rFonts w:eastAsia="Calibri" w:cs="Times New Roman"/>
          <w:szCs w:val="24"/>
        </w:rPr>
        <w:t xml:space="preserve">rtikel 415, stk. 3, </w:t>
      </w:r>
      <w:r w:rsidRPr="009E72BC">
        <w:rPr>
          <w:rFonts w:eastAsia="Calibri"/>
          <w:szCs w:val="24"/>
        </w:rPr>
        <w:t>a</w:t>
      </w:r>
      <w:r w:rsidRPr="009E72BC">
        <w:rPr>
          <w:rFonts w:eastAsia="Calibri" w:cs="Times New Roman"/>
          <w:szCs w:val="24"/>
        </w:rPr>
        <w:t xml:space="preserve">rtikel 415, nr. 3 a, </w:t>
      </w:r>
      <w:r w:rsidRPr="009E72BC">
        <w:rPr>
          <w:rFonts w:eastAsia="Calibri"/>
          <w:szCs w:val="24"/>
        </w:rPr>
        <w:t>a</w:t>
      </w:r>
      <w:r w:rsidRPr="009E72BC">
        <w:rPr>
          <w:rFonts w:eastAsia="Calibri" w:cs="Times New Roman"/>
          <w:szCs w:val="24"/>
        </w:rPr>
        <w:t xml:space="preserve">rtikel 419, stk. 5, </w:t>
      </w:r>
      <w:r w:rsidRPr="00244931">
        <w:rPr>
          <w:rFonts w:eastAsia="Calibri"/>
          <w:szCs w:val="24"/>
        </w:rPr>
        <w:t>a</w:t>
      </w:r>
      <w:r w:rsidRPr="009E72BC">
        <w:rPr>
          <w:rFonts w:eastAsia="Calibri" w:cs="Times New Roman"/>
          <w:szCs w:val="24"/>
        </w:rPr>
        <w:t xml:space="preserve">rtikel 423, stk. 3, </w:t>
      </w:r>
      <w:r w:rsidRPr="009E72BC">
        <w:rPr>
          <w:rFonts w:eastAsia="Calibri"/>
          <w:szCs w:val="24"/>
        </w:rPr>
        <w:t>a</w:t>
      </w:r>
      <w:r w:rsidRPr="009E72BC">
        <w:rPr>
          <w:rFonts w:eastAsia="Calibri" w:cs="Times New Roman"/>
          <w:szCs w:val="24"/>
        </w:rPr>
        <w:t xml:space="preserve">rtikel 430, stk. 7, </w:t>
      </w:r>
      <w:r w:rsidRPr="009E72BC">
        <w:rPr>
          <w:rFonts w:eastAsia="Calibri"/>
          <w:szCs w:val="24"/>
        </w:rPr>
        <w:t>a</w:t>
      </w:r>
      <w:r w:rsidRPr="009E72BC">
        <w:rPr>
          <w:rFonts w:eastAsia="Calibri" w:cs="Times New Roman"/>
          <w:szCs w:val="24"/>
        </w:rPr>
        <w:t xml:space="preserve">rtikel 430, stk. 9, </w:t>
      </w:r>
      <w:r w:rsidRPr="009E72BC">
        <w:rPr>
          <w:rFonts w:eastAsia="Calibri"/>
          <w:szCs w:val="24"/>
        </w:rPr>
        <w:t>a</w:t>
      </w:r>
      <w:r w:rsidRPr="009E72BC">
        <w:rPr>
          <w:rFonts w:eastAsia="Calibri" w:cs="Times New Roman"/>
          <w:szCs w:val="24"/>
        </w:rPr>
        <w:t xml:space="preserve">rtikel 430 b, stk. 6, </w:t>
      </w:r>
      <w:r w:rsidRPr="00244931">
        <w:rPr>
          <w:rFonts w:eastAsia="Calibri"/>
          <w:szCs w:val="24"/>
        </w:rPr>
        <w:t>a</w:t>
      </w:r>
      <w:r w:rsidRPr="009E72BC">
        <w:rPr>
          <w:rFonts w:eastAsia="Calibri" w:cs="Times New Roman"/>
          <w:szCs w:val="24"/>
        </w:rPr>
        <w:t xml:space="preserve">rtikel 432, stk. 1, </w:t>
      </w:r>
      <w:r w:rsidRPr="00244931">
        <w:rPr>
          <w:rFonts w:eastAsia="Calibri"/>
          <w:szCs w:val="24"/>
        </w:rPr>
        <w:t>a</w:t>
      </w:r>
      <w:r w:rsidRPr="009E72BC">
        <w:rPr>
          <w:rFonts w:eastAsia="Calibri" w:cs="Times New Roman"/>
          <w:szCs w:val="24"/>
        </w:rPr>
        <w:t xml:space="preserve">rtikel 432, stk. 2, </w:t>
      </w:r>
      <w:r w:rsidRPr="009E72BC">
        <w:rPr>
          <w:rFonts w:eastAsia="Calibri"/>
          <w:szCs w:val="24"/>
        </w:rPr>
        <w:t>a</w:t>
      </w:r>
      <w:r w:rsidRPr="009E72BC">
        <w:rPr>
          <w:rFonts w:eastAsia="Calibri" w:cs="Times New Roman"/>
          <w:szCs w:val="24"/>
        </w:rPr>
        <w:t xml:space="preserve">rtikel 434 a, stk. 1, </w:t>
      </w:r>
      <w:r w:rsidRPr="009E72BC">
        <w:rPr>
          <w:rFonts w:eastAsia="Calibri"/>
          <w:szCs w:val="24"/>
        </w:rPr>
        <w:t>a</w:t>
      </w:r>
      <w:r w:rsidRPr="009E72BC">
        <w:rPr>
          <w:rFonts w:eastAsia="Calibri" w:cs="Times New Roman"/>
          <w:szCs w:val="24"/>
        </w:rPr>
        <w:t xml:space="preserve">rtikel 460, stk. 1 og 3, </w:t>
      </w:r>
      <w:r w:rsidRPr="00244931">
        <w:rPr>
          <w:rFonts w:eastAsia="Calibri"/>
          <w:szCs w:val="24"/>
        </w:rPr>
        <w:t>a</w:t>
      </w:r>
      <w:r w:rsidRPr="00244931">
        <w:rPr>
          <w:rFonts w:eastAsia="Calibri" w:cs="Times New Roman"/>
          <w:szCs w:val="24"/>
        </w:rPr>
        <w:t>rtikel 461 a,</w:t>
      </w:r>
      <w:r w:rsidRPr="009E72BC">
        <w:rPr>
          <w:rFonts w:eastAsia="Calibri" w:cs="Times New Roman"/>
          <w:szCs w:val="24"/>
        </w:rPr>
        <w:t xml:space="preserve"> </w:t>
      </w:r>
      <w:r w:rsidRPr="009E72BC">
        <w:rPr>
          <w:rFonts w:eastAsia="Calibri"/>
          <w:szCs w:val="24"/>
        </w:rPr>
        <w:t>a</w:t>
      </w:r>
      <w:r w:rsidRPr="009E72BC">
        <w:rPr>
          <w:rFonts w:eastAsia="Calibri" w:cs="Times New Roman"/>
          <w:szCs w:val="24"/>
        </w:rPr>
        <w:t>rtikel 462</w:t>
      </w:r>
      <w:r>
        <w:rPr>
          <w:rFonts w:eastAsia="Calibri"/>
          <w:szCs w:val="24"/>
        </w:rPr>
        <w:t xml:space="preserve"> og </w:t>
      </w:r>
      <w:r w:rsidRPr="009E72BC">
        <w:rPr>
          <w:rFonts w:eastAsia="Calibri"/>
          <w:szCs w:val="24"/>
        </w:rPr>
        <w:t>a</w:t>
      </w:r>
      <w:r w:rsidRPr="009E72BC">
        <w:rPr>
          <w:rFonts w:eastAsia="Calibri" w:cs="Times New Roman"/>
          <w:szCs w:val="24"/>
        </w:rPr>
        <w:t>rtikel 497, stk. 3</w:t>
      </w:r>
      <w:r w:rsidRPr="009E72BC">
        <w:rPr>
          <w:rFonts w:eastAsia="Calibri"/>
          <w:szCs w:val="24"/>
        </w:rPr>
        <w:t>.</w:t>
      </w:r>
    </w:p>
    <w:p w14:paraId="0FA4EF64" w14:textId="77777777" w:rsidR="00BA30BF" w:rsidRPr="00F00D6D" w:rsidRDefault="00BA30BF" w:rsidP="00A745CA">
      <w:pPr>
        <w:rPr>
          <w:szCs w:val="24"/>
        </w:rPr>
      </w:pPr>
    </w:p>
    <w:p w14:paraId="45807F48" w14:textId="2A29D874" w:rsidR="002C133D" w:rsidRDefault="00881937" w:rsidP="003A1EFD">
      <w:pPr>
        <w:rPr>
          <w:rFonts w:eastAsia="Calibri" w:cs="Times New Roman"/>
          <w:szCs w:val="24"/>
        </w:rPr>
      </w:pPr>
      <w:r>
        <w:rPr>
          <w:rFonts w:eastAsia="Calibri" w:cs="Times New Roman"/>
          <w:szCs w:val="24"/>
        </w:rPr>
        <w:t xml:space="preserve">Det </w:t>
      </w:r>
      <w:r w:rsidR="006252E4">
        <w:rPr>
          <w:rFonts w:eastAsia="Calibri" w:cs="Times New Roman"/>
          <w:szCs w:val="24"/>
        </w:rPr>
        <w:t xml:space="preserve">foreslås i </w:t>
      </w:r>
      <w:r w:rsidR="006252E4">
        <w:rPr>
          <w:rFonts w:eastAsia="Calibri" w:cs="Times New Roman"/>
          <w:i/>
          <w:szCs w:val="24"/>
        </w:rPr>
        <w:t xml:space="preserve">§ 1, nr. 3, </w:t>
      </w:r>
      <w:r w:rsidR="006252E4">
        <w:rPr>
          <w:rFonts w:eastAsia="Calibri" w:cs="Times New Roman"/>
          <w:szCs w:val="24"/>
        </w:rPr>
        <w:t xml:space="preserve">at </w:t>
      </w:r>
      <w:r w:rsidR="00060ECA">
        <w:rPr>
          <w:rFonts w:eastAsia="Calibri" w:cs="Times New Roman"/>
          <w:szCs w:val="24"/>
        </w:rPr>
        <w:t xml:space="preserve">bestemmelserne i </w:t>
      </w:r>
      <w:r w:rsidR="00060ECA" w:rsidRPr="009000C7">
        <w:rPr>
          <w:rFonts w:eastAsia="Calibri" w:cs="Times New Roman"/>
          <w:szCs w:val="24"/>
        </w:rPr>
        <w:t>Europa-Parlame</w:t>
      </w:r>
      <w:r w:rsidR="00060ECA">
        <w:rPr>
          <w:rFonts w:eastAsia="Calibri" w:cs="Times New Roman"/>
          <w:szCs w:val="24"/>
        </w:rPr>
        <w:t xml:space="preserve">ntets og Rådets forordning </w:t>
      </w:r>
      <w:r w:rsidR="00060ECA" w:rsidRPr="009000C7">
        <w:rPr>
          <w:rFonts w:eastAsia="Calibri" w:cs="Times New Roman"/>
          <w:szCs w:val="24"/>
        </w:rPr>
        <w:t>2019/630</w:t>
      </w:r>
      <w:r w:rsidR="00060ECA">
        <w:rPr>
          <w:rFonts w:eastAsia="Calibri" w:cs="Times New Roman"/>
          <w:szCs w:val="24"/>
        </w:rPr>
        <w:t>/EU</w:t>
      </w:r>
      <w:r w:rsidR="00060ECA" w:rsidRPr="009000C7">
        <w:rPr>
          <w:rFonts w:eastAsia="Calibri" w:cs="Times New Roman"/>
          <w:szCs w:val="24"/>
        </w:rPr>
        <w:t xml:space="preserve"> af 17. april 2019 om ændring af forordning (EU) nr. 575/2013, for så vidt angår krav til minimumsdækning af tab for misligholdte eksponeringer</w:t>
      </w:r>
      <w:r w:rsidR="00B66276">
        <w:rPr>
          <w:rFonts w:eastAsia="Calibri" w:cs="Times New Roman"/>
          <w:szCs w:val="24"/>
        </w:rPr>
        <w:t xml:space="preserve">, EU-Tidende, nr. L </w:t>
      </w:r>
      <w:r w:rsidR="00AF0AD2">
        <w:rPr>
          <w:rFonts w:eastAsia="Calibri" w:cs="Times New Roman"/>
          <w:szCs w:val="24"/>
        </w:rPr>
        <w:t>111</w:t>
      </w:r>
      <w:r w:rsidR="00F00D6D">
        <w:rPr>
          <w:rFonts w:eastAsia="Calibri" w:cs="Times New Roman"/>
          <w:szCs w:val="24"/>
        </w:rPr>
        <w:t>,</w:t>
      </w:r>
      <w:r w:rsidR="00AF0AD2">
        <w:rPr>
          <w:rFonts w:eastAsia="Calibri" w:cs="Times New Roman"/>
          <w:szCs w:val="24"/>
        </w:rPr>
        <w:t xml:space="preserve"> s. 4</w:t>
      </w:r>
      <w:r w:rsidR="00060ECA">
        <w:rPr>
          <w:rFonts w:eastAsia="Calibri" w:cs="Times New Roman"/>
          <w:szCs w:val="24"/>
        </w:rPr>
        <w:t xml:space="preserve"> (NPE) gælder for </w:t>
      </w:r>
      <w:r w:rsidR="00AF4868">
        <w:rPr>
          <w:rFonts w:eastAsia="Calibri" w:cs="Times New Roman"/>
          <w:szCs w:val="24"/>
        </w:rPr>
        <w:t>Grønland</w:t>
      </w:r>
      <w:r w:rsidR="00AD7F7A">
        <w:rPr>
          <w:rFonts w:eastAsia="Calibri" w:cs="Times New Roman"/>
          <w:szCs w:val="24"/>
        </w:rPr>
        <w:t>.</w:t>
      </w:r>
    </w:p>
    <w:p w14:paraId="6D9FD095" w14:textId="77777777" w:rsidR="00060ECA" w:rsidRDefault="00060ECA" w:rsidP="003A1EFD">
      <w:pPr>
        <w:rPr>
          <w:rFonts w:eastAsia="Calibri" w:cs="Times New Roman"/>
          <w:szCs w:val="24"/>
        </w:rPr>
      </w:pPr>
    </w:p>
    <w:p w14:paraId="2711E5C2" w14:textId="77777777" w:rsidR="00AF0AD2" w:rsidRDefault="00AF0AD2" w:rsidP="00AF0AD2">
      <w:pPr>
        <w:rPr>
          <w:rFonts w:eastAsia="Calibri" w:cs="Times New Roman"/>
          <w:szCs w:val="24"/>
        </w:rPr>
      </w:pPr>
      <w:r w:rsidRPr="003A1EFD">
        <w:rPr>
          <w:rFonts w:eastAsia="Calibri" w:cs="Times New Roman"/>
          <w:szCs w:val="24"/>
        </w:rPr>
        <w:t xml:space="preserve">Ved en vedtagelse af lovforslaget vil </w:t>
      </w:r>
      <w:r>
        <w:rPr>
          <w:rFonts w:eastAsia="Calibri" w:cs="Times New Roman"/>
          <w:szCs w:val="24"/>
        </w:rPr>
        <w:t xml:space="preserve">NPE </w:t>
      </w:r>
      <w:r w:rsidRPr="003A1EFD">
        <w:rPr>
          <w:rFonts w:eastAsia="Calibri" w:cs="Times New Roman"/>
          <w:szCs w:val="24"/>
        </w:rPr>
        <w:t>blive</w:t>
      </w:r>
      <w:r>
        <w:rPr>
          <w:rFonts w:eastAsia="Calibri" w:cs="Times New Roman"/>
          <w:szCs w:val="24"/>
        </w:rPr>
        <w:t xml:space="preserve"> </w:t>
      </w:r>
      <w:r w:rsidRPr="003A1EFD">
        <w:rPr>
          <w:rFonts w:eastAsia="Calibri" w:cs="Times New Roman"/>
          <w:szCs w:val="24"/>
        </w:rPr>
        <w:t>optrykt som bilag</w:t>
      </w:r>
      <w:r>
        <w:rPr>
          <w:rFonts w:eastAsia="Calibri" w:cs="Times New Roman"/>
          <w:szCs w:val="24"/>
        </w:rPr>
        <w:t xml:space="preserve"> 3</w:t>
      </w:r>
      <w:r w:rsidRPr="003A1EFD">
        <w:rPr>
          <w:rFonts w:eastAsia="Calibri" w:cs="Times New Roman"/>
          <w:szCs w:val="24"/>
        </w:rPr>
        <w:t xml:space="preserve"> til loven inklusive berigtigelse til </w:t>
      </w:r>
      <w:r>
        <w:rPr>
          <w:rFonts w:eastAsia="Calibri" w:cs="Times New Roman"/>
          <w:szCs w:val="24"/>
        </w:rPr>
        <w:t>NPE</w:t>
      </w:r>
      <w:r w:rsidRPr="003A1EFD">
        <w:rPr>
          <w:rFonts w:eastAsia="Calibri" w:cs="Times New Roman"/>
          <w:szCs w:val="24"/>
        </w:rPr>
        <w:t xml:space="preserve"> af</w:t>
      </w:r>
      <w:r>
        <w:rPr>
          <w:rFonts w:eastAsia="Calibri" w:cs="Times New Roman"/>
          <w:szCs w:val="24"/>
        </w:rPr>
        <w:t xml:space="preserve"> </w:t>
      </w:r>
      <w:r w:rsidR="001B6390">
        <w:rPr>
          <w:rFonts w:eastAsia="Calibri" w:cs="Times New Roman"/>
          <w:szCs w:val="24"/>
        </w:rPr>
        <w:t>13</w:t>
      </w:r>
      <w:r>
        <w:rPr>
          <w:rFonts w:eastAsia="Calibri" w:cs="Times New Roman"/>
          <w:szCs w:val="24"/>
        </w:rPr>
        <w:t>.</w:t>
      </w:r>
      <w:r w:rsidR="001B6390">
        <w:rPr>
          <w:rFonts w:eastAsia="Calibri" w:cs="Times New Roman"/>
          <w:szCs w:val="24"/>
        </w:rPr>
        <w:t xml:space="preserve"> april 2020,</w:t>
      </w:r>
      <w:r>
        <w:rPr>
          <w:rFonts w:eastAsia="Calibri" w:cs="Times New Roman"/>
          <w:szCs w:val="24"/>
        </w:rPr>
        <w:t xml:space="preserve"> EU-tidende nr. L </w:t>
      </w:r>
      <w:r w:rsidR="001B6390">
        <w:rPr>
          <w:rFonts w:eastAsia="Calibri" w:cs="Times New Roman"/>
          <w:szCs w:val="24"/>
        </w:rPr>
        <w:t>335</w:t>
      </w:r>
      <w:r w:rsidR="00512E91">
        <w:rPr>
          <w:rFonts w:eastAsia="Calibri" w:cs="Times New Roman"/>
          <w:szCs w:val="24"/>
        </w:rPr>
        <w:t>,</w:t>
      </w:r>
      <w:r w:rsidR="001B6390">
        <w:rPr>
          <w:rFonts w:eastAsia="Calibri" w:cs="Times New Roman"/>
          <w:szCs w:val="24"/>
        </w:rPr>
        <w:t xml:space="preserve"> s. 20</w:t>
      </w:r>
      <w:r>
        <w:rPr>
          <w:rFonts w:eastAsia="Calibri" w:cs="Times New Roman"/>
          <w:szCs w:val="24"/>
        </w:rPr>
        <w:t>.</w:t>
      </w:r>
    </w:p>
    <w:p w14:paraId="74A8003E" w14:textId="77777777" w:rsidR="00BA30BF" w:rsidRDefault="00BA30BF" w:rsidP="00AF0AD2">
      <w:pPr>
        <w:rPr>
          <w:rFonts w:eastAsia="Calibri" w:cs="Times New Roman"/>
          <w:szCs w:val="24"/>
        </w:rPr>
      </w:pPr>
    </w:p>
    <w:p w14:paraId="6C1E3046" w14:textId="77777777" w:rsidR="00BA30BF" w:rsidRDefault="00BA30BF" w:rsidP="00AF0AD2">
      <w:pPr>
        <w:rPr>
          <w:rFonts w:eastAsia="Calibri" w:cs="Times New Roman"/>
          <w:szCs w:val="24"/>
        </w:rPr>
      </w:pPr>
      <w:r>
        <w:rPr>
          <w:rFonts w:eastAsia="Calibri" w:cs="Times New Roman"/>
          <w:szCs w:val="24"/>
        </w:rPr>
        <w:t>For en gennemgang af ændringerne som følge forordningen henvises der til afsnit 2.2. i lovforslagets almindelige bemærkninger.</w:t>
      </w:r>
    </w:p>
    <w:p w14:paraId="5D2EE10B" w14:textId="77777777" w:rsidR="00AF0AD2" w:rsidRPr="006252E4" w:rsidRDefault="00AF0AD2" w:rsidP="003A1EFD">
      <w:pPr>
        <w:rPr>
          <w:rFonts w:eastAsia="Calibri" w:cs="Times New Roman"/>
          <w:szCs w:val="24"/>
        </w:rPr>
      </w:pPr>
    </w:p>
    <w:p w14:paraId="6A7C4753" w14:textId="474AC400" w:rsidR="002C133D" w:rsidRDefault="002C133D" w:rsidP="003A1EFD">
      <w:pPr>
        <w:rPr>
          <w:rFonts w:eastAsia="Calibri" w:cs="Times New Roman"/>
          <w:szCs w:val="24"/>
        </w:rPr>
      </w:pPr>
      <w:r>
        <w:rPr>
          <w:rFonts w:eastAsia="Calibri" w:cs="Times New Roman"/>
          <w:szCs w:val="24"/>
        </w:rPr>
        <w:t xml:space="preserve">Det foreslås i </w:t>
      </w:r>
      <w:r w:rsidR="00881937">
        <w:rPr>
          <w:rFonts w:eastAsia="Calibri" w:cs="Times New Roman"/>
          <w:i/>
          <w:szCs w:val="24"/>
        </w:rPr>
        <w:t>§ 1, nr. 4</w:t>
      </w:r>
      <w:r>
        <w:rPr>
          <w:rFonts w:eastAsia="Calibri" w:cs="Times New Roman"/>
          <w:i/>
          <w:szCs w:val="24"/>
        </w:rPr>
        <w:t>,</w:t>
      </w:r>
      <w:r>
        <w:rPr>
          <w:rFonts w:eastAsia="Calibri" w:cs="Times New Roman"/>
          <w:szCs w:val="24"/>
        </w:rPr>
        <w:t xml:space="preserve"> at</w:t>
      </w:r>
      <w:r w:rsidRPr="002C133D">
        <w:t xml:space="preserve"> </w:t>
      </w:r>
      <w:r w:rsidRPr="003A1EFD">
        <w:rPr>
          <w:rFonts w:eastAsia="Calibri" w:cs="Times New Roman"/>
          <w:szCs w:val="24"/>
        </w:rPr>
        <w:t>bestemmelserne i</w:t>
      </w:r>
      <w:r w:rsidRPr="002C133D">
        <w:rPr>
          <w:rFonts w:eastAsia="Calibri" w:cs="Times New Roman"/>
          <w:szCs w:val="24"/>
        </w:rPr>
        <w:t xml:space="preserve"> Europa-Parlamentets og Rådets forordning2020/873 af 24. juni 2020 om ændring af forordning (EU) nr. 575/2013 og (EU) 2019/876, for så vidt angår visse justeringer som reaktion på covid-19-pandemien</w:t>
      </w:r>
      <w:r w:rsidR="001B6390">
        <w:rPr>
          <w:rFonts w:eastAsia="Calibri" w:cs="Times New Roman"/>
          <w:szCs w:val="24"/>
        </w:rPr>
        <w:t>, EU-tidende nr. L 204 s. 4,</w:t>
      </w:r>
      <w:r>
        <w:rPr>
          <w:rFonts w:eastAsia="Calibri" w:cs="Times New Roman"/>
          <w:szCs w:val="24"/>
        </w:rPr>
        <w:t xml:space="preserve"> (CRR </w:t>
      </w:r>
      <w:r w:rsidR="00F45238">
        <w:rPr>
          <w:rFonts w:eastAsia="Calibri" w:cs="Times New Roman"/>
          <w:szCs w:val="24"/>
        </w:rPr>
        <w:t>Covid-19-relaterede justeringer</w:t>
      </w:r>
      <w:r>
        <w:rPr>
          <w:rFonts w:eastAsia="Calibri" w:cs="Times New Roman"/>
          <w:szCs w:val="24"/>
        </w:rPr>
        <w:t>)</w:t>
      </w:r>
      <w:r w:rsidRPr="002C133D">
        <w:rPr>
          <w:rFonts w:eastAsia="Calibri" w:cs="Times New Roman"/>
          <w:szCs w:val="24"/>
        </w:rPr>
        <w:t xml:space="preserve"> </w:t>
      </w:r>
      <w:r w:rsidRPr="003A1EFD">
        <w:rPr>
          <w:rFonts w:eastAsia="Calibri" w:cs="Times New Roman"/>
          <w:szCs w:val="24"/>
        </w:rPr>
        <w:t xml:space="preserve">gælder for </w:t>
      </w:r>
      <w:r w:rsidR="00AF4868">
        <w:rPr>
          <w:rFonts w:eastAsia="Calibri" w:cs="Times New Roman"/>
          <w:szCs w:val="24"/>
        </w:rPr>
        <w:t>Grønland</w:t>
      </w:r>
      <w:r w:rsidR="00512E91">
        <w:rPr>
          <w:rFonts w:eastAsia="Calibri" w:cs="Times New Roman"/>
          <w:szCs w:val="24"/>
        </w:rPr>
        <w:t>, jf. bilag 3 til lovforslaget</w:t>
      </w:r>
      <w:r>
        <w:rPr>
          <w:rFonts w:eastAsia="Calibri" w:cs="Times New Roman"/>
          <w:szCs w:val="24"/>
        </w:rPr>
        <w:t>.</w:t>
      </w:r>
    </w:p>
    <w:p w14:paraId="3CC91D4F" w14:textId="77777777" w:rsidR="00512E91" w:rsidRDefault="00512E91" w:rsidP="003A1EFD">
      <w:pPr>
        <w:rPr>
          <w:rFonts w:eastAsia="Calibri" w:cs="Times New Roman"/>
          <w:szCs w:val="24"/>
        </w:rPr>
      </w:pPr>
    </w:p>
    <w:p w14:paraId="0A763798" w14:textId="23ACC7CD" w:rsidR="00512E91" w:rsidRPr="002C133D" w:rsidRDefault="00512E91" w:rsidP="003A1EFD">
      <w:pPr>
        <w:rPr>
          <w:rFonts w:eastAsia="Calibri" w:cs="Times New Roman"/>
          <w:szCs w:val="24"/>
        </w:rPr>
      </w:pPr>
      <w:r w:rsidRPr="003A1EFD">
        <w:rPr>
          <w:rFonts w:eastAsia="Calibri" w:cs="Times New Roman"/>
          <w:szCs w:val="24"/>
        </w:rPr>
        <w:t xml:space="preserve">Ved vedtagelse af lovforslaget vil </w:t>
      </w:r>
      <w:r>
        <w:rPr>
          <w:rFonts w:eastAsia="Calibri" w:cs="Times New Roman"/>
          <w:szCs w:val="24"/>
        </w:rPr>
        <w:t xml:space="preserve">CRR </w:t>
      </w:r>
      <w:r w:rsidR="00F45238">
        <w:rPr>
          <w:rFonts w:eastAsia="Calibri" w:cs="Times New Roman"/>
          <w:szCs w:val="24"/>
        </w:rPr>
        <w:t>Covid-19-relaterede justeringer</w:t>
      </w:r>
      <w:r>
        <w:rPr>
          <w:rFonts w:eastAsia="Calibri" w:cs="Times New Roman"/>
          <w:szCs w:val="24"/>
        </w:rPr>
        <w:t xml:space="preserve"> </w:t>
      </w:r>
      <w:r w:rsidRPr="003A1EFD">
        <w:rPr>
          <w:rFonts w:eastAsia="Calibri" w:cs="Times New Roman"/>
          <w:szCs w:val="24"/>
        </w:rPr>
        <w:t>blive</w:t>
      </w:r>
      <w:r>
        <w:rPr>
          <w:rFonts w:eastAsia="Calibri" w:cs="Times New Roman"/>
          <w:szCs w:val="24"/>
        </w:rPr>
        <w:t xml:space="preserve"> </w:t>
      </w:r>
      <w:r w:rsidRPr="003A1EFD">
        <w:rPr>
          <w:rFonts w:eastAsia="Calibri" w:cs="Times New Roman"/>
          <w:szCs w:val="24"/>
        </w:rPr>
        <w:t>optrykt som bilag</w:t>
      </w:r>
      <w:r>
        <w:rPr>
          <w:rFonts w:eastAsia="Calibri" w:cs="Times New Roman"/>
          <w:szCs w:val="24"/>
        </w:rPr>
        <w:t xml:space="preserve"> 4</w:t>
      </w:r>
      <w:r w:rsidRPr="003A1EFD">
        <w:rPr>
          <w:rFonts w:eastAsia="Calibri" w:cs="Times New Roman"/>
          <w:szCs w:val="24"/>
        </w:rPr>
        <w:t xml:space="preserve"> til loven</w:t>
      </w:r>
      <w:r>
        <w:rPr>
          <w:rFonts w:eastAsia="Calibri" w:cs="Times New Roman"/>
          <w:szCs w:val="24"/>
        </w:rPr>
        <w:t>.</w:t>
      </w:r>
    </w:p>
    <w:p w14:paraId="56F1FF76" w14:textId="77777777" w:rsidR="00F0531D" w:rsidRDefault="00F0531D" w:rsidP="00244931">
      <w:pPr>
        <w:rPr>
          <w:rFonts w:eastAsia="Calibri" w:cs="Times New Roman"/>
        </w:rPr>
      </w:pPr>
    </w:p>
    <w:p w14:paraId="1CE245B5" w14:textId="77777777" w:rsidR="009F1AB0" w:rsidRDefault="009F1AB0" w:rsidP="00A456AA">
      <w:pPr>
        <w:rPr>
          <w:rFonts w:eastAsia="Calibri" w:cs="Times New Roman"/>
        </w:rPr>
      </w:pPr>
      <w:r>
        <w:rPr>
          <w:rFonts w:eastAsia="Calibri" w:cs="Times New Roman"/>
        </w:rPr>
        <w:t>Til nr. 2</w:t>
      </w:r>
    </w:p>
    <w:p w14:paraId="2F99038D" w14:textId="3679C509" w:rsidR="009F1AB0" w:rsidRDefault="008827CB" w:rsidP="00A456AA">
      <w:r>
        <w:rPr>
          <w:rFonts w:eastAsia="Calibri" w:cs="Times New Roman"/>
        </w:rPr>
        <w:t>Det følger af § 2</w:t>
      </w:r>
      <w:r w:rsidR="00DA0267">
        <w:rPr>
          <w:rFonts w:eastAsia="Calibri" w:cs="Times New Roman"/>
        </w:rPr>
        <w:t xml:space="preserve"> i </w:t>
      </w:r>
      <w:r w:rsidR="007B3B16" w:rsidRPr="00A6043D">
        <w:rPr>
          <w:rFonts w:eastAsia="Calibri" w:cs="Times New Roman"/>
        </w:rPr>
        <w:t>lov for Grønland om kapitalkrav og tilsynsmæssige krav for kreditinstitutter og investeringsselskaber</w:t>
      </w:r>
      <w:r>
        <w:rPr>
          <w:rFonts w:eastAsia="Calibri" w:cs="Times New Roman"/>
        </w:rPr>
        <w:t>, at e</w:t>
      </w:r>
      <w:r>
        <w:t xml:space="preserve">rhvervsministeren kan fastsætte regler for </w:t>
      </w:r>
      <w:r w:rsidR="00AF4868">
        <w:t>Grønland</w:t>
      </w:r>
      <w:r>
        <w:t xml:space="preserve"> om anvendelsen af bestemmelserne i forordningen, jf. § 1, herunder om de ændringer af bestemmelserne, som de </w:t>
      </w:r>
      <w:r w:rsidR="00AF4868">
        <w:t>grønlandsk</w:t>
      </w:r>
      <w:r>
        <w:t>e forhold tilsiger.</w:t>
      </w:r>
    </w:p>
    <w:p w14:paraId="1C2A070D" w14:textId="77777777" w:rsidR="008827CB" w:rsidRDefault="008827CB" w:rsidP="00A456AA"/>
    <w:p w14:paraId="135D3480" w14:textId="7888C1A2" w:rsidR="008827CB" w:rsidRDefault="008827CB" w:rsidP="00A456AA">
      <w:r>
        <w:t>Det følger af § 3, at</w:t>
      </w:r>
      <w:r w:rsidRPr="008827CB">
        <w:t xml:space="preserve"> </w:t>
      </w:r>
      <w:r w:rsidR="00993163">
        <w:t>erhvervs</w:t>
      </w:r>
      <w:r>
        <w:t xml:space="preserve">ministeren kan fastsætte regler for </w:t>
      </w:r>
      <w:r w:rsidR="00AF4868">
        <w:t>Grønland</w:t>
      </w:r>
      <w:r>
        <w:t xml:space="preserve">, som er nødvendige for at anvende eller gennemføre de afgørelser eller retsakter, som vedtages af Europa-Kommissionen i medfør af forordningen, jf. § 1, herunder om de ændringer af afgørelser eller retsakter, som de </w:t>
      </w:r>
      <w:r w:rsidR="00AF4868">
        <w:t>grønlandsk</w:t>
      </w:r>
      <w:r>
        <w:t>e forhold tilsiger.</w:t>
      </w:r>
    </w:p>
    <w:p w14:paraId="79B3BD81" w14:textId="77777777" w:rsidR="008827CB" w:rsidRDefault="008827CB" w:rsidP="00A456AA"/>
    <w:p w14:paraId="7F7A081A" w14:textId="456BAE0F" w:rsidR="008827CB" w:rsidRDefault="008827CB" w:rsidP="00A456AA">
      <w:pPr>
        <w:rPr>
          <w:rFonts w:eastAsia="Calibri" w:cs="Times New Roman"/>
          <w:szCs w:val="24"/>
        </w:rPr>
      </w:pPr>
      <w:r>
        <w:t xml:space="preserve">Det foreslås, at i </w:t>
      </w:r>
      <w:r w:rsidRPr="006817AE">
        <w:rPr>
          <w:rFonts w:eastAsia="Calibri" w:cs="Times New Roman"/>
          <w:i/>
          <w:szCs w:val="24"/>
        </w:rPr>
        <w:t xml:space="preserve">§§ 2 </w:t>
      </w:r>
      <w:r w:rsidRPr="00A6043D">
        <w:rPr>
          <w:rFonts w:eastAsia="Calibri" w:cs="Times New Roman"/>
          <w:szCs w:val="24"/>
        </w:rPr>
        <w:t>og</w:t>
      </w:r>
      <w:r w:rsidRPr="006817AE">
        <w:rPr>
          <w:rFonts w:eastAsia="Calibri" w:cs="Times New Roman"/>
          <w:i/>
          <w:szCs w:val="24"/>
        </w:rPr>
        <w:t xml:space="preserve"> 3</w:t>
      </w:r>
      <w:r>
        <w:rPr>
          <w:rFonts w:eastAsia="Calibri" w:cs="Times New Roman"/>
          <w:szCs w:val="24"/>
        </w:rPr>
        <w:t xml:space="preserve"> ændres </w:t>
      </w:r>
      <w:r w:rsidRPr="006817AE">
        <w:rPr>
          <w:rFonts w:cs="Times New Roman"/>
          <w:szCs w:val="24"/>
        </w:rPr>
        <w:t>»</w:t>
      </w:r>
      <w:r>
        <w:rPr>
          <w:rFonts w:eastAsia="Calibri" w:cs="Times New Roman"/>
          <w:szCs w:val="24"/>
        </w:rPr>
        <w:t xml:space="preserve">forordningen« til </w:t>
      </w:r>
      <w:r w:rsidRPr="00374D6B">
        <w:rPr>
          <w:rFonts w:cs="Times New Roman"/>
          <w:szCs w:val="24"/>
        </w:rPr>
        <w:t>»</w:t>
      </w:r>
      <w:r>
        <w:rPr>
          <w:rFonts w:eastAsia="Calibri" w:cs="Times New Roman"/>
          <w:szCs w:val="24"/>
        </w:rPr>
        <w:t>forordningerne«.</w:t>
      </w:r>
    </w:p>
    <w:p w14:paraId="0795D299" w14:textId="77777777" w:rsidR="000F07E5" w:rsidRDefault="000F07E5" w:rsidP="00A456AA">
      <w:pPr>
        <w:rPr>
          <w:rFonts w:eastAsia="Calibri" w:cs="Times New Roman"/>
          <w:szCs w:val="24"/>
        </w:rPr>
      </w:pPr>
    </w:p>
    <w:p w14:paraId="04D1E141" w14:textId="46E67F9A" w:rsidR="00D148A2" w:rsidRDefault="000F07E5" w:rsidP="00A456AA">
      <w:r>
        <w:rPr>
          <w:rFonts w:eastAsia="Calibri" w:cs="Times New Roman"/>
          <w:szCs w:val="24"/>
        </w:rPr>
        <w:t xml:space="preserve">Ændringen </w:t>
      </w:r>
      <w:r w:rsidR="00082460">
        <w:rPr>
          <w:rFonts w:eastAsia="Calibri" w:cs="Times New Roman"/>
          <w:szCs w:val="24"/>
        </w:rPr>
        <w:t xml:space="preserve">af § 2 indebærer, at erhvervsministeren </w:t>
      </w:r>
      <w:r w:rsidR="00082460">
        <w:t xml:space="preserve">kan fastsætte regler for Grønland om anvendelsen af bestemmelserne </w:t>
      </w:r>
      <w:r w:rsidR="00D148A2">
        <w:t>af alle</w:t>
      </w:r>
      <w:r w:rsidR="00082460">
        <w:t xml:space="preserve"> forordningerne</w:t>
      </w:r>
      <w:r w:rsidR="00CE2FC1">
        <w:t xml:space="preserve">, som er nævnt </w:t>
      </w:r>
      <w:r w:rsidR="00D148A2">
        <w:t>i</w:t>
      </w:r>
      <w:r w:rsidR="00082460">
        <w:t xml:space="preserve"> § 1, herunder om de ændringer af bestemmelserne, som de grønlandske forhold tilsiger.</w:t>
      </w:r>
      <w:r w:rsidR="00D148A2">
        <w:t xml:space="preserve"> </w:t>
      </w:r>
    </w:p>
    <w:p w14:paraId="5C8A5B00" w14:textId="13211B6A" w:rsidR="00D148A2" w:rsidRDefault="00D148A2" w:rsidP="00A456AA"/>
    <w:p w14:paraId="3734BD1C" w14:textId="506B8597" w:rsidR="00D148A2" w:rsidRDefault="00D148A2" w:rsidP="00D148A2">
      <w:r>
        <w:t xml:space="preserve">Det betyder, at erhvervsministeren kan fastsætte regler om anvendelse af bestemmelserne i </w:t>
      </w:r>
      <w:r>
        <w:rPr>
          <w:rFonts w:cs="Times New Roman"/>
          <w:szCs w:val="24"/>
        </w:rPr>
        <w:t xml:space="preserve">Europa-Parlamentets og Rådes forordning 2013/575/EU af 26. juni 2013 om tilsynsmæssige krav til kreditinstitutter og investeringsselskaber, </w:t>
      </w:r>
      <w:r w:rsidRPr="00606432">
        <w:rPr>
          <w:rFonts w:eastAsia="Calibri" w:cs="Times New Roman"/>
          <w:szCs w:val="24"/>
        </w:rPr>
        <w:t>Europa-Parlamentets og Rådets forordning 2019/876</w:t>
      </w:r>
      <w:r>
        <w:rPr>
          <w:rFonts w:eastAsia="Calibri" w:cs="Times New Roman"/>
          <w:szCs w:val="24"/>
        </w:rPr>
        <w:t>/EU</w:t>
      </w:r>
      <w:r w:rsidRPr="00606432">
        <w:rPr>
          <w:rFonts w:eastAsia="Calibri" w:cs="Times New Roman"/>
          <w:szCs w:val="24"/>
        </w:rPr>
        <w:t xml:space="preserve"> </w:t>
      </w:r>
      <w:r>
        <w:rPr>
          <w:rFonts w:eastAsia="Calibri" w:cs="Times New Roman"/>
          <w:szCs w:val="24"/>
        </w:rPr>
        <w:t xml:space="preserve">af 20. maj 2019 </w:t>
      </w:r>
      <w:r w:rsidRPr="00606432">
        <w:rPr>
          <w:rFonts w:eastAsia="Calibri" w:cs="Times New Roman"/>
          <w:szCs w:val="24"/>
        </w:rPr>
        <w:t>om ændring af forordning 2013</w:t>
      </w:r>
      <w:r>
        <w:rPr>
          <w:rFonts w:eastAsia="Calibri" w:cs="Times New Roman"/>
          <w:szCs w:val="24"/>
        </w:rPr>
        <w:t>/575/EU</w:t>
      </w:r>
      <w:r w:rsidRPr="00606432">
        <w:rPr>
          <w:rFonts w:eastAsia="Calibri" w:cs="Times New Roman"/>
          <w:szCs w:val="24"/>
        </w:rPr>
        <w:t xml:space="preserve"> for så vidt angår gearingsgrad, net stable </w:t>
      </w:r>
      <w:proofErr w:type="spellStart"/>
      <w:r w:rsidRPr="00606432">
        <w:rPr>
          <w:rFonts w:eastAsia="Calibri" w:cs="Times New Roman"/>
          <w:szCs w:val="24"/>
        </w:rPr>
        <w:t>funding</w:t>
      </w:r>
      <w:proofErr w:type="spellEnd"/>
      <w:r w:rsidRPr="00606432">
        <w:rPr>
          <w:rFonts w:eastAsia="Calibri" w:cs="Times New Roman"/>
          <w:szCs w:val="24"/>
        </w:rPr>
        <w:t xml:space="preserve"> ratio, krav til kapitalgrundlag og nedskrivningsrelevante passiver, modpartskreditrisiko, markedsrisiko, eksponeringer mod centrale modparter, eksponeringer mod kollektive investeringsordninger, store eksponeringer og indberetnings- og oplysningskrav</w:t>
      </w:r>
      <w:r>
        <w:rPr>
          <w:rFonts w:eastAsia="Calibri" w:cs="Times New Roman"/>
          <w:szCs w:val="24"/>
        </w:rPr>
        <w:t>,</w:t>
      </w:r>
      <w:r w:rsidRPr="00606432">
        <w:rPr>
          <w:rFonts w:eastAsia="Calibri" w:cs="Times New Roman"/>
          <w:szCs w:val="24"/>
        </w:rPr>
        <w:t xml:space="preserve"> og forordning 2012</w:t>
      </w:r>
      <w:r>
        <w:rPr>
          <w:rFonts w:eastAsia="Calibri" w:cs="Times New Roman"/>
          <w:szCs w:val="24"/>
        </w:rPr>
        <w:t xml:space="preserve">/648/EU, </w:t>
      </w:r>
      <w:r w:rsidRPr="009000C7">
        <w:rPr>
          <w:rFonts w:eastAsia="Calibri" w:cs="Times New Roman"/>
          <w:szCs w:val="24"/>
        </w:rPr>
        <w:t>Europa-Parlame</w:t>
      </w:r>
      <w:r>
        <w:rPr>
          <w:rFonts w:eastAsia="Calibri" w:cs="Times New Roman"/>
          <w:szCs w:val="24"/>
        </w:rPr>
        <w:t xml:space="preserve">ntets og Rådets forordning </w:t>
      </w:r>
      <w:r w:rsidRPr="009000C7">
        <w:rPr>
          <w:rFonts w:eastAsia="Calibri" w:cs="Times New Roman"/>
          <w:szCs w:val="24"/>
        </w:rPr>
        <w:t>2019/630</w:t>
      </w:r>
      <w:r>
        <w:rPr>
          <w:rFonts w:eastAsia="Calibri" w:cs="Times New Roman"/>
          <w:szCs w:val="24"/>
        </w:rPr>
        <w:t>/EU</w:t>
      </w:r>
      <w:r w:rsidRPr="009000C7">
        <w:rPr>
          <w:rFonts w:eastAsia="Calibri" w:cs="Times New Roman"/>
          <w:szCs w:val="24"/>
        </w:rPr>
        <w:t xml:space="preserve"> af 17. april 2019 om ændring af forordning (EU) nr. 575/2013, for så vidt angår krav til minimumsdækning af tab for misligholdte eksponeringer</w:t>
      </w:r>
      <w:r>
        <w:rPr>
          <w:rFonts w:eastAsia="Calibri" w:cs="Times New Roman"/>
          <w:szCs w:val="24"/>
        </w:rPr>
        <w:t xml:space="preserve"> og </w:t>
      </w:r>
      <w:r w:rsidRPr="00DB5856">
        <w:rPr>
          <w:rFonts w:eastAsia="Calibri" w:cs="Times New Roman"/>
          <w:szCs w:val="24"/>
        </w:rPr>
        <w:t>Europa-Parlamentets og Rådets forordning</w:t>
      </w:r>
      <w:r>
        <w:rPr>
          <w:rFonts w:eastAsia="Calibri" w:cs="Times New Roman"/>
          <w:szCs w:val="24"/>
        </w:rPr>
        <w:t xml:space="preserve"> </w:t>
      </w:r>
      <w:r w:rsidRPr="00DB5856">
        <w:rPr>
          <w:rFonts w:eastAsia="Calibri" w:cs="Times New Roman"/>
          <w:szCs w:val="24"/>
        </w:rPr>
        <w:t>2020/873</w:t>
      </w:r>
      <w:r>
        <w:rPr>
          <w:rFonts w:eastAsia="Calibri" w:cs="Times New Roman"/>
          <w:szCs w:val="24"/>
        </w:rPr>
        <w:t>/EU</w:t>
      </w:r>
      <w:r w:rsidRPr="00DB5856">
        <w:rPr>
          <w:rFonts w:eastAsia="Calibri" w:cs="Times New Roman"/>
          <w:szCs w:val="24"/>
        </w:rPr>
        <w:t xml:space="preserve"> </w:t>
      </w:r>
      <w:r>
        <w:rPr>
          <w:rFonts w:eastAsia="Calibri" w:cs="Times New Roman"/>
          <w:szCs w:val="24"/>
        </w:rPr>
        <w:t xml:space="preserve">af 24. juni 2020 </w:t>
      </w:r>
      <w:r w:rsidRPr="00DB5856">
        <w:rPr>
          <w:rFonts w:eastAsia="Calibri" w:cs="Times New Roman"/>
          <w:szCs w:val="24"/>
        </w:rPr>
        <w:t>om ændring af forordning 2013</w:t>
      </w:r>
      <w:r>
        <w:rPr>
          <w:rFonts w:eastAsia="Calibri" w:cs="Times New Roman"/>
          <w:szCs w:val="24"/>
        </w:rPr>
        <w:t>/575/EU</w:t>
      </w:r>
      <w:r w:rsidRPr="00DB5856">
        <w:rPr>
          <w:rFonts w:eastAsia="Calibri" w:cs="Times New Roman"/>
          <w:szCs w:val="24"/>
        </w:rPr>
        <w:t xml:space="preserve"> og 2019/876</w:t>
      </w:r>
      <w:r>
        <w:rPr>
          <w:rFonts w:eastAsia="Calibri" w:cs="Times New Roman"/>
          <w:szCs w:val="24"/>
        </w:rPr>
        <w:t>/EU</w:t>
      </w:r>
      <w:r w:rsidRPr="00DB5856">
        <w:rPr>
          <w:rFonts w:eastAsia="Calibri" w:cs="Times New Roman"/>
          <w:szCs w:val="24"/>
        </w:rPr>
        <w:t xml:space="preserve"> for så vidt angår visse justeringer som reaktion på covid-19-pandemien</w:t>
      </w:r>
      <w:r>
        <w:rPr>
          <w:rFonts w:eastAsia="Calibri" w:cs="Times New Roman"/>
          <w:szCs w:val="24"/>
        </w:rPr>
        <w:t>. Dette indbefatter også</w:t>
      </w:r>
      <w:r>
        <w:t xml:space="preserve"> de ændringer af bestemmelserne, som de grønlandske forhold tilsiger.</w:t>
      </w:r>
    </w:p>
    <w:p w14:paraId="47F0C939" w14:textId="27E5F13D" w:rsidR="00993163" w:rsidRDefault="00993163" w:rsidP="00D148A2"/>
    <w:p w14:paraId="0D636AFE" w14:textId="729050C2" w:rsidR="00993163" w:rsidRDefault="00993163" w:rsidP="00A456AA">
      <w:r>
        <w:rPr>
          <w:rFonts w:eastAsia="Calibri" w:cs="Times New Roman"/>
          <w:szCs w:val="24"/>
        </w:rPr>
        <w:t xml:space="preserve">Ændringen af § 3 indebærer, at erhvervsministeren </w:t>
      </w:r>
      <w:r>
        <w:t>kan fastsætte regler for Grønland, som er nødvendige for at anvende eller gennemføre de afgørelser eller retsakter, som vedtages af Europa-Kommissionen i medfør af forordninge</w:t>
      </w:r>
      <w:r w:rsidR="00CE2FC1">
        <w:t>rne, som er nævnt i</w:t>
      </w:r>
      <w:r>
        <w:t xml:space="preserve"> § 1, herunder om de ændringer af afgørelser eller retsakter, som de grønlandske forhold tilsiger.</w:t>
      </w:r>
    </w:p>
    <w:p w14:paraId="78256D4C" w14:textId="14AEB506" w:rsidR="00D148A2" w:rsidRPr="00A6043D" w:rsidRDefault="00993163" w:rsidP="00A456AA">
      <w:pPr>
        <w:rPr>
          <w:rFonts w:eastAsia="Calibri" w:cs="Times New Roman"/>
          <w:szCs w:val="24"/>
        </w:rPr>
      </w:pPr>
      <w:r>
        <w:rPr>
          <w:rFonts w:eastAsia="Calibri" w:cs="Times New Roman"/>
          <w:szCs w:val="24"/>
        </w:rPr>
        <w:t xml:space="preserve"> </w:t>
      </w:r>
      <w:r w:rsidR="00D148A2">
        <w:t xml:space="preserve"> </w:t>
      </w:r>
    </w:p>
    <w:p w14:paraId="19BCE285" w14:textId="21B3D311" w:rsidR="000F07E5" w:rsidRDefault="00CE2FC1" w:rsidP="00A456AA">
      <w:pPr>
        <w:rPr>
          <w:rFonts w:eastAsia="Calibri" w:cs="Times New Roman"/>
        </w:rPr>
      </w:pPr>
      <w:r>
        <w:rPr>
          <w:rFonts w:eastAsia="Calibri" w:cs="Times New Roman"/>
          <w:szCs w:val="24"/>
        </w:rPr>
        <w:t xml:space="preserve">Det betyder, at erhvervsministeren </w:t>
      </w:r>
      <w:r>
        <w:t xml:space="preserve">kan fastsætte regler, som er nødvendige for at anvende eller gennemføre de afgørelser eller retsakter, som vedtages af Europa-Kommissionen i medfør af </w:t>
      </w:r>
      <w:r>
        <w:rPr>
          <w:rFonts w:cs="Times New Roman"/>
          <w:szCs w:val="24"/>
        </w:rPr>
        <w:t xml:space="preserve">Europa-Parlamentets og Rådes forordning 2013/575/EU af 26. juni 2013 om tilsynsmæssige krav til kreditinstitutter og investeringsselskaber, </w:t>
      </w:r>
      <w:r w:rsidRPr="00606432">
        <w:rPr>
          <w:rFonts w:eastAsia="Calibri" w:cs="Times New Roman"/>
          <w:szCs w:val="24"/>
        </w:rPr>
        <w:t>Europa-Parlamentets og Rådets forordning 2019/876</w:t>
      </w:r>
      <w:r>
        <w:rPr>
          <w:rFonts w:eastAsia="Calibri" w:cs="Times New Roman"/>
          <w:szCs w:val="24"/>
        </w:rPr>
        <w:t>/EU</w:t>
      </w:r>
      <w:r w:rsidRPr="00606432">
        <w:rPr>
          <w:rFonts w:eastAsia="Calibri" w:cs="Times New Roman"/>
          <w:szCs w:val="24"/>
        </w:rPr>
        <w:t xml:space="preserve"> </w:t>
      </w:r>
      <w:r>
        <w:rPr>
          <w:rFonts w:eastAsia="Calibri" w:cs="Times New Roman"/>
          <w:szCs w:val="24"/>
        </w:rPr>
        <w:t xml:space="preserve">af 20. maj 2019 </w:t>
      </w:r>
      <w:r w:rsidRPr="00606432">
        <w:rPr>
          <w:rFonts w:eastAsia="Calibri" w:cs="Times New Roman"/>
          <w:szCs w:val="24"/>
        </w:rPr>
        <w:t>om ændring af forordning 2013</w:t>
      </w:r>
      <w:r>
        <w:rPr>
          <w:rFonts w:eastAsia="Calibri" w:cs="Times New Roman"/>
          <w:szCs w:val="24"/>
        </w:rPr>
        <w:t>/575/EU</w:t>
      </w:r>
      <w:r w:rsidRPr="00606432">
        <w:rPr>
          <w:rFonts w:eastAsia="Calibri" w:cs="Times New Roman"/>
          <w:szCs w:val="24"/>
        </w:rPr>
        <w:t xml:space="preserve"> for så vidt angår gearingsgrad, net stable </w:t>
      </w:r>
      <w:proofErr w:type="spellStart"/>
      <w:r w:rsidRPr="00606432">
        <w:rPr>
          <w:rFonts w:eastAsia="Calibri" w:cs="Times New Roman"/>
          <w:szCs w:val="24"/>
        </w:rPr>
        <w:t>funding</w:t>
      </w:r>
      <w:proofErr w:type="spellEnd"/>
      <w:r w:rsidRPr="00606432">
        <w:rPr>
          <w:rFonts w:eastAsia="Calibri" w:cs="Times New Roman"/>
          <w:szCs w:val="24"/>
        </w:rPr>
        <w:t xml:space="preserve"> ratio, krav til kapitalgrundlag og nedskrivningsrelevante passiver, modpartskreditrisiko, markedsrisiko, eksponeringer mod centrale modparter, eksponeringer mod kollektive investeringsordninger, store eksponeringer og indberetnings- og oplysningskrav</w:t>
      </w:r>
      <w:r>
        <w:rPr>
          <w:rFonts w:eastAsia="Calibri" w:cs="Times New Roman"/>
          <w:szCs w:val="24"/>
        </w:rPr>
        <w:t>,</w:t>
      </w:r>
      <w:r w:rsidRPr="00606432">
        <w:rPr>
          <w:rFonts w:eastAsia="Calibri" w:cs="Times New Roman"/>
          <w:szCs w:val="24"/>
        </w:rPr>
        <w:t xml:space="preserve"> og forordning 2012</w:t>
      </w:r>
      <w:r>
        <w:rPr>
          <w:rFonts w:eastAsia="Calibri" w:cs="Times New Roman"/>
          <w:szCs w:val="24"/>
        </w:rPr>
        <w:t xml:space="preserve">/648/EU, </w:t>
      </w:r>
      <w:r w:rsidRPr="009000C7">
        <w:rPr>
          <w:rFonts w:eastAsia="Calibri" w:cs="Times New Roman"/>
          <w:szCs w:val="24"/>
        </w:rPr>
        <w:t>Europa-Parlame</w:t>
      </w:r>
      <w:r>
        <w:rPr>
          <w:rFonts w:eastAsia="Calibri" w:cs="Times New Roman"/>
          <w:szCs w:val="24"/>
        </w:rPr>
        <w:t xml:space="preserve">ntets og Rådets forordning </w:t>
      </w:r>
      <w:r w:rsidRPr="009000C7">
        <w:rPr>
          <w:rFonts w:eastAsia="Calibri" w:cs="Times New Roman"/>
          <w:szCs w:val="24"/>
        </w:rPr>
        <w:t>2019/630</w:t>
      </w:r>
      <w:r>
        <w:rPr>
          <w:rFonts w:eastAsia="Calibri" w:cs="Times New Roman"/>
          <w:szCs w:val="24"/>
        </w:rPr>
        <w:t>/EU</w:t>
      </w:r>
      <w:r w:rsidRPr="009000C7">
        <w:rPr>
          <w:rFonts w:eastAsia="Calibri" w:cs="Times New Roman"/>
          <w:szCs w:val="24"/>
        </w:rPr>
        <w:t xml:space="preserve"> af 17. april 2019 om ændring af forordning (EU) nr. 575/2013, for så vidt angår krav til minimumsdækning af tab for misligholdte eksponeringer</w:t>
      </w:r>
      <w:r>
        <w:rPr>
          <w:rFonts w:eastAsia="Calibri" w:cs="Times New Roman"/>
          <w:szCs w:val="24"/>
        </w:rPr>
        <w:t xml:space="preserve"> og </w:t>
      </w:r>
      <w:r w:rsidRPr="00DB5856">
        <w:rPr>
          <w:rFonts w:eastAsia="Calibri" w:cs="Times New Roman"/>
          <w:szCs w:val="24"/>
        </w:rPr>
        <w:t>Europa-Parlamentets og Rådets forordning</w:t>
      </w:r>
      <w:r>
        <w:rPr>
          <w:rFonts w:eastAsia="Calibri" w:cs="Times New Roman"/>
          <w:szCs w:val="24"/>
        </w:rPr>
        <w:t xml:space="preserve"> </w:t>
      </w:r>
      <w:r w:rsidRPr="00DB5856">
        <w:rPr>
          <w:rFonts w:eastAsia="Calibri" w:cs="Times New Roman"/>
          <w:szCs w:val="24"/>
        </w:rPr>
        <w:t>2020/873</w:t>
      </w:r>
      <w:r>
        <w:rPr>
          <w:rFonts w:eastAsia="Calibri" w:cs="Times New Roman"/>
          <w:szCs w:val="24"/>
        </w:rPr>
        <w:t>/EU</w:t>
      </w:r>
      <w:r w:rsidRPr="00DB5856">
        <w:rPr>
          <w:rFonts w:eastAsia="Calibri" w:cs="Times New Roman"/>
          <w:szCs w:val="24"/>
        </w:rPr>
        <w:t xml:space="preserve"> </w:t>
      </w:r>
      <w:r>
        <w:rPr>
          <w:rFonts w:eastAsia="Calibri" w:cs="Times New Roman"/>
          <w:szCs w:val="24"/>
        </w:rPr>
        <w:t xml:space="preserve">af 24. juni 2020 </w:t>
      </w:r>
      <w:r w:rsidRPr="00DB5856">
        <w:rPr>
          <w:rFonts w:eastAsia="Calibri" w:cs="Times New Roman"/>
          <w:szCs w:val="24"/>
        </w:rPr>
        <w:t>om ændring af forordning 2013</w:t>
      </w:r>
      <w:r>
        <w:rPr>
          <w:rFonts w:eastAsia="Calibri" w:cs="Times New Roman"/>
          <w:szCs w:val="24"/>
        </w:rPr>
        <w:t>/575/EU</w:t>
      </w:r>
      <w:r w:rsidRPr="00DB5856">
        <w:rPr>
          <w:rFonts w:eastAsia="Calibri" w:cs="Times New Roman"/>
          <w:szCs w:val="24"/>
        </w:rPr>
        <w:t xml:space="preserve"> og 2019/876</w:t>
      </w:r>
      <w:r>
        <w:rPr>
          <w:rFonts w:eastAsia="Calibri" w:cs="Times New Roman"/>
          <w:szCs w:val="24"/>
        </w:rPr>
        <w:t>/EU</w:t>
      </w:r>
      <w:r w:rsidRPr="00DB5856">
        <w:rPr>
          <w:rFonts w:eastAsia="Calibri" w:cs="Times New Roman"/>
          <w:szCs w:val="24"/>
        </w:rPr>
        <w:t xml:space="preserve"> for så vidt angår visse justeringer som reaktion på covid-19-</w:t>
      </w:r>
      <w:r w:rsidRPr="00DB5856">
        <w:rPr>
          <w:rFonts w:eastAsia="Calibri" w:cs="Times New Roman"/>
          <w:szCs w:val="24"/>
        </w:rPr>
        <w:lastRenderedPageBreak/>
        <w:t>pandemien</w:t>
      </w:r>
      <w:r>
        <w:rPr>
          <w:rFonts w:eastAsia="Calibri" w:cs="Times New Roman"/>
          <w:szCs w:val="24"/>
        </w:rPr>
        <w:t>. Dette indbefatter også</w:t>
      </w:r>
      <w:r>
        <w:t xml:space="preserve"> de ændringer af afgørelser eller retsakter, som de grønlandske forhold tilsiger.</w:t>
      </w:r>
    </w:p>
    <w:p w14:paraId="7E4ABEDC" w14:textId="77777777" w:rsidR="009F1AB0" w:rsidRPr="001F6E1D" w:rsidRDefault="009F1AB0" w:rsidP="00A456AA">
      <w:pPr>
        <w:rPr>
          <w:rFonts w:eastAsia="Calibri" w:cs="Times New Roman"/>
        </w:rPr>
      </w:pPr>
    </w:p>
    <w:p w14:paraId="1489071E" w14:textId="51BDBFCB" w:rsidR="00F0531D" w:rsidRDefault="005768D7" w:rsidP="00A456AA">
      <w:pPr>
        <w:rPr>
          <w:rFonts w:eastAsia="Calibri" w:cs="Times New Roman"/>
          <w:szCs w:val="24"/>
        </w:rPr>
      </w:pPr>
      <w:r w:rsidRPr="006655F2">
        <w:rPr>
          <w:rFonts w:cs="Times New Roman"/>
          <w:szCs w:val="24"/>
        </w:rPr>
        <w:t xml:space="preserve">Til nr. </w:t>
      </w:r>
      <w:r w:rsidR="009F1AB0">
        <w:rPr>
          <w:rFonts w:cs="Times New Roman"/>
          <w:szCs w:val="24"/>
        </w:rPr>
        <w:t>3</w:t>
      </w:r>
      <w:r w:rsidR="005F1F5A" w:rsidRPr="001E696A">
        <w:rPr>
          <w:rFonts w:cs="Times New Roman"/>
          <w:i/>
          <w:szCs w:val="24"/>
        </w:rPr>
        <w:t xml:space="preserve"> </w:t>
      </w:r>
    </w:p>
    <w:p w14:paraId="03E636C1" w14:textId="2D1EDBFD" w:rsidR="006655F2" w:rsidRDefault="00AE135C" w:rsidP="00A456AA">
      <w:pPr>
        <w:rPr>
          <w:rFonts w:eastAsia="Calibri" w:cs="Times New Roman"/>
          <w:szCs w:val="24"/>
        </w:rPr>
      </w:pPr>
      <w:r>
        <w:rPr>
          <w:rFonts w:eastAsia="Calibri" w:cs="Times New Roman"/>
          <w:szCs w:val="24"/>
        </w:rPr>
        <w:t xml:space="preserve">Lovforslagets </w:t>
      </w:r>
      <w:r w:rsidRPr="00A6043D">
        <w:rPr>
          <w:rFonts w:eastAsia="Calibri" w:cs="Times New Roman"/>
          <w:szCs w:val="24"/>
        </w:rPr>
        <w:t>bilag 1</w:t>
      </w:r>
      <w:r w:rsidRPr="00DA0267">
        <w:rPr>
          <w:rFonts w:eastAsia="Calibri" w:cs="Times New Roman"/>
          <w:szCs w:val="24"/>
        </w:rPr>
        <w:t xml:space="preserve">, </w:t>
      </w:r>
      <w:r>
        <w:rPr>
          <w:rFonts w:eastAsia="Calibri" w:cs="Times New Roman"/>
          <w:szCs w:val="24"/>
        </w:rPr>
        <w:t xml:space="preserve">som indsættes </w:t>
      </w:r>
      <w:r w:rsidR="007B0480">
        <w:rPr>
          <w:rFonts w:eastAsia="Calibri" w:cs="Times New Roman"/>
          <w:szCs w:val="24"/>
        </w:rPr>
        <w:t xml:space="preserve">som lovens </w:t>
      </w:r>
      <w:r w:rsidR="007B0480" w:rsidRPr="00A6043D">
        <w:rPr>
          <w:rFonts w:eastAsia="Calibri" w:cs="Times New Roman"/>
          <w:i/>
          <w:szCs w:val="24"/>
        </w:rPr>
        <w:t>bilag 2</w:t>
      </w:r>
      <w:r w:rsidR="007B0480">
        <w:rPr>
          <w:rFonts w:eastAsia="Calibri" w:cs="Times New Roman"/>
          <w:szCs w:val="24"/>
        </w:rPr>
        <w:t xml:space="preserve">, </w:t>
      </w:r>
      <w:r w:rsidR="00F1192B">
        <w:rPr>
          <w:rFonts w:eastAsia="Calibri" w:cs="Times New Roman"/>
          <w:szCs w:val="24"/>
        </w:rPr>
        <w:t xml:space="preserve">indeholder </w:t>
      </w:r>
      <w:r w:rsidR="00F1192B" w:rsidRPr="003A1EFD">
        <w:rPr>
          <w:rFonts w:eastAsia="Calibri" w:cs="Times New Roman"/>
          <w:szCs w:val="24"/>
        </w:rPr>
        <w:t>Europa-Parlamentets og Rådets forordning (EU)</w:t>
      </w:r>
      <w:r w:rsidR="00F1192B">
        <w:rPr>
          <w:rFonts w:eastAsia="Calibri" w:cs="Times New Roman"/>
          <w:szCs w:val="24"/>
        </w:rPr>
        <w:t xml:space="preserve"> </w:t>
      </w:r>
      <w:r w:rsidR="00F1192B" w:rsidRPr="00606432">
        <w:rPr>
          <w:rFonts w:eastAsia="Calibri" w:cs="Times New Roman"/>
          <w:szCs w:val="24"/>
        </w:rPr>
        <w:t xml:space="preserve">2019/876 om ændring af forordning (EU) nr. 575/2013 for så vidt angår gearingsgrad, net stable </w:t>
      </w:r>
      <w:proofErr w:type="spellStart"/>
      <w:r w:rsidR="00F1192B" w:rsidRPr="00606432">
        <w:rPr>
          <w:rFonts w:eastAsia="Calibri" w:cs="Times New Roman"/>
          <w:szCs w:val="24"/>
        </w:rPr>
        <w:t>funding</w:t>
      </w:r>
      <w:proofErr w:type="spellEnd"/>
      <w:r w:rsidR="00F1192B" w:rsidRPr="00606432">
        <w:rPr>
          <w:rFonts w:eastAsia="Calibri" w:cs="Times New Roman"/>
          <w:szCs w:val="24"/>
        </w:rPr>
        <w:t xml:space="preserve"> ratio, krav til kapitalgrundlag og nedskrivningsrelevante passiver, modpartskreditrisiko, markedsrisiko, eksponeringer mod centrale modparter, eksponeringer mod kollektive investeringsordninger, store eksponeringer og indberetnings- og oplysningskrav, og forordning (EU) nr. 648/2012</w:t>
      </w:r>
      <w:r w:rsidR="00F1192B">
        <w:rPr>
          <w:rFonts w:eastAsia="Calibri" w:cs="Times New Roman"/>
          <w:szCs w:val="24"/>
        </w:rPr>
        <w:t>, EU-Tidende nr. L 150, s. 1 (CRR II)</w:t>
      </w:r>
      <w:r w:rsidR="009F1AB0">
        <w:rPr>
          <w:rFonts w:eastAsia="Calibri" w:cs="Times New Roman"/>
          <w:szCs w:val="24"/>
        </w:rPr>
        <w:t xml:space="preserve"> og </w:t>
      </w:r>
      <w:r w:rsidR="009F1AB0" w:rsidRPr="003A1EFD">
        <w:rPr>
          <w:rFonts w:eastAsia="Calibri" w:cs="Times New Roman"/>
          <w:szCs w:val="24"/>
        </w:rPr>
        <w:t>berigtigelse til CRR</w:t>
      </w:r>
      <w:r w:rsidR="009F1AB0">
        <w:rPr>
          <w:rFonts w:eastAsia="Calibri" w:cs="Times New Roman"/>
          <w:szCs w:val="24"/>
        </w:rPr>
        <w:t xml:space="preserve"> II</w:t>
      </w:r>
      <w:r w:rsidR="009F1AB0" w:rsidRPr="003A1EFD">
        <w:rPr>
          <w:rFonts w:eastAsia="Calibri" w:cs="Times New Roman"/>
          <w:szCs w:val="24"/>
        </w:rPr>
        <w:t xml:space="preserve"> af</w:t>
      </w:r>
      <w:r w:rsidR="009F1AB0">
        <w:rPr>
          <w:rFonts w:eastAsia="Calibri" w:cs="Times New Roman"/>
          <w:szCs w:val="24"/>
        </w:rPr>
        <w:t xml:space="preserve"> 25. februar 2021, EU-tidende nr. L 65, s. 62</w:t>
      </w:r>
      <w:r w:rsidR="00F1192B">
        <w:rPr>
          <w:rFonts w:eastAsia="Calibri" w:cs="Times New Roman"/>
          <w:szCs w:val="24"/>
        </w:rPr>
        <w:t>.</w:t>
      </w:r>
    </w:p>
    <w:p w14:paraId="31CF3473" w14:textId="77777777" w:rsidR="007B0480" w:rsidRDefault="007B0480" w:rsidP="00A456AA">
      <w:pPr>
        <w:rPr>
          <w:rFonts w:eastAsia="Calibri" w:cs="Times New Roman"/>
          <w:szCs w:val="24"/>
        </w:rPr>
      </w:pPr>
    </w:p>
    <w:p w14:paraId="751BEB4D" w14:textId="77777777" w:rsidR="007B0480" w:rsidRDefault="007B0480" w:rsidP="00A456AA">
      <w:pPr>
        <w:rPr>
          <w:rFonts w:eastAsia="Calibri" w:cs="Times New Roman"/>
          <w:szCs w:val="24"/>
        </w:rPr>
      </w:pPr>
      <w:r>
        <w:rPr>
          <w:rFonts w:eastAsia="Calibri" w:cs="Times New Roman"/>
          <w:szCs w:val="24"/>
        </w:rPr>
        <w:t xml:space="preserve">Lovforslagets </w:t>
      </w:r>
      <w:r w:rsidRPr="00A6043D">
        <w:rPr>
          <w:rFonts w:eastAsia="Calibri" w:cs="Times New Roman"/>
          <w:szCs w:val="24"/>
        </w:rPr>
        <w:t>bilag 2</w:t>
      </w:r>
      <w:r w:rsidRPr="00DA0267">
        <w:rPr>
          <w:rFonts w:eastAsia="Calibri" w:cs="Times New Roman"/>
          <w:szCs w:val="24"/>
        </w:rPr>
        <w:t>,</w:t>
      </w:r>
      <w:r>
        <w:rPr>
          <w:rFonts w:eastAsia="Calibri" w:cs="Times New Roman"/>
          <w:szCs w:val="24"/>
        </w:rPr>
        <w:t xml:space="preserve"> som indsættes som lovens </w:t>
      </w:r>
      <w:r w:rsidRPr="00A6043D">
        <w:rPr>
          <w:rFonts w:eastAsia="Calibri" w:cs="Times New Roman"/>
          <w:i/>
          <w:szCs w:val="24"/>
        </w:rPr>
        <w:t>bilag 3,</w:t>
      </w:r>
      <w:r>
        <w:rPr>
          <w:rFonts w:eastAsia="Calibri" w:cs="Times New Roman"/>
          <w:szCs w:val="24"/>
        </w:rPr>
        <w:t xml:space="preserve"> indeholder </w:t>
      </w:r>
      <w:r w:rsidRPr="009000C7">
        <w:rPr>
          <w:rFonts w:eastAsia="Calibri" w:cs="Times New Roman"/>
          <w:szCs w:val="24"/>
        </w:rPr>
        <w:t>Europa-Parlame</w:t>
      </w:r>
      <w:r>
        <w:rPr>
          <w:rFonts w:eastAsia="Calibri" w:cs="Times New Roman"/>
          <w:szCs w:val="24"/>
        </w:rPr>
        <w:t xml:space="preserve">ntets og Rådets forordning </w:t>
      </w:r>
      <w:r w:rsidRPr="009000C7">
        <w:rPr>
          <w:rFonts w:eastAsia="Calibri" w:cs="Times New Roman"/>
          <w:szCs w:val="24"/>
        </w:rPr>
        <w:t>2019/630</w:t>
      </w:r>
      <w:r>
        <w:rPr>
          <w:rFonts w:eastAsia="Calibri" w:cs="Times New Roman"/>
          <w:szCs w:val="24"/>
        </w:rPr>
        <w:t>/EU</w:t>
      </w:r>
      <w:r w:rsidRPr="009000C7">
        <w:rPr>
          <w:rFonts w:eastAsia="Calibri" w:cs="Times New Roman"/>
          <w:szCs w:val="24"/>
        </w:rPr>
        <w:t xml:space="preserve"> af 17. april 2019 om ændring af forordning (EU) nr. 575/2013, for så vidt angår krav til minimumsdækning af tab for misligholdte eksponeringer</w:t>
      </w:r>
      <w:r w:rsidR="009F1AB0">
        <w:rPr>
          <w:rFonts w:eastAsia="Calibri" w:cs="Times New Roman"/>
          <w:szCs w:val="24"/>
        </w:rPr>
        <w:t>, EU-Tidende, nr. L 111, s. 4</w:t>
      </w:r>
      <w:r>
        <w:rPr>
          <w:rFonts w:eastAsia="Calibri" w:cs="Times New Roman"/>
          <w:szCs w:val="24"/>
        </w:rPr>
        <w:t xml:space="preserve"> (NPE)</w:t>
      </w:r>
      <w:r w:rsidR="009F1AB0">
        <w:rPr>
          <w:rFonts w:eastAsia="Calibri" w:cs="Times New Roman"/>
          <w:szCs w:val="24"/>
        </w:rPr>
        <w:t xml:space="preserve"> og </w:t>
      </w:r>
      <w:r w:rsidR="009F1AB0" w:rsidRPr="003A1EFD">
        <w:rPr>
          <w:rFonts w:eastAsia="Calibri" w:cs="Times New Roman"/>
          <w:szCs w:val="24"/>
        </w:rPr>
        <w:t xml:space="preserve">berigtigelse til </w:t>
      </w:r>
      <w:r w:rsidR="009F1AB0">
        <w:rPr>
          <w:rFonts w:eastAsia="Calibri" w:cs="Times New Roman"/>
          <w:szCs w:val="24"/>
        </w:rPr>
        <w:t>NPE</w:t>
      </w:r>
      <w:r w:rsidR="009F1AB0" w:rsidRPr="003A1EFD">
        <w:rPr>
          <w:rFonts w:eastAsia="Calibri" w:cs="Times New Roman"/>
          <w:szCs w:val="24"/>
        </w:rPr>
        <w:t xml:space="preserve"> af</w:t>
      </w:r>
      <w:r w:rsidR="009F1AB0">
        <w:rPr>
          <w:rFonts w:eastAsia="Calibri" w:cs="Times New Roman"/>
          <w:szCs w:val="24"/>
        </w:rPr>
        <w:t xml:space="preserve"> 13. april 2020, EU-tidende nr. L 335, s. 20.</w:t>
      </w:r>
    </w:p>
    <w:p w14:paraId="4B1EECC5" w14:textId="77777777" w:rsidR="00F1192B" w:rsidRDefault="00F1192B" w:rsidP="00A456AA">
      <w:pPr>
        <w:rPr>
          <w:rFonts w:eastAsia="Calibri" w:cs="Times New Roman"/>
          <w:szCs w:val="24"/>
        </w:rPr>
      </w:pPr>
    </w:p>
    <w:p w14:paraId="7C6E2EE2" w14:textId="1C87232E" w:rsidR="001E696A" w:rsidRDefault="007B0480" w:rsidP="00C83052">
      <w:pPr>
        <w:rPr>
          <w:rFonts w:cs="Times New Roman"/>
          <w:szCs w:val="24"/>
        </w:rPr>
      </w:pPr>
      <w:r>
        <w:rPr>
          <w:rFonts w:eastAsia="Calibri" w:cs="Times New Roman"/>
          <w:szCs w:val="24"/>
        </w:rPr>
        <w:t xml:space="preserve">Lovforslagets </w:t>
      </w:r>
      <w:r w:rsidRPr="00A6043D">
        <w:rPr>
          <w:rFonts w:eastAsia="Calibri" w:cs="Times New Roman"/>
          <w:szCs w:val="24"/>
        </w:rPr>
        <w:t>bilag 3</w:t>
      </w:r>
      <w:r w:rsidRPr="00DA0267">
        <w:rPr>
          <w:rFonts w:eastAsia="Calibri" w:cs="Times New Roman"/>
          <w:szCs w:val="24"/>
        </w:rPr>
        <w:t>,</w:t>
      </w:r>
      <w:r>
        <w:rPr>
          <w:rFonts w:eastAsia="Calibri" w:cs="Times New Roman"/>
          <w:szCs w:val="24"/>
        </w:rPr>
        <w:t xml:space="preserve"> som indsættes som lovens </w:t>
      </w:r>
      <w:r w:rsidRPr="00A6043D">
        <w:rPr>
          <w:rFonts w:eastAsia="Calibri" w:cs="Times New Roman"/>
          <w:i/>
          <w:szCs w:val="24"/>
        </w:rPr>
        <w:t>bilag 4,</w:t>
      </w:r>
      <w:r>
        <w:rPr>
          <w:rFonts w:eastAsia="Calibri" w:cs="Times New Roman"/>
          <w:szCs w:val="24"/>
        </w:rPr>
        <w:t xml:space="preserve"> indeholder</w:t>
      </w:r>
      <w:r w:rsidR="00F1192B">
        <w:rPr>
          <w:rFonts w:eastAsia="Calibri" w:cs="Times New Roman"/>
          <w:szCs w:val="24"/>
        </w:rPr>
        <w:t xml:space="preserve"> </w:t>
      </w:r>
      <w:r w:rsidR="00C83052" w:rsidRPr="002C133D">
        <w:rPr>
          <w:rFonts w:eastAsia="Calibri" w:cs="Times New Roman"/>
          <w:szCs w:val="24"/>
        </w:rPr>
        <w:t>Europa-Parlamentets og Rådets forordning2020/873 af 24. juni 2020 om ændring af forordning (EU) nr. 575/2013 og (EU) 2019/876, for så vidt angår visse justeringer som reaktion på covid-19-pandemien</w:t>
      </w:r>
      <w:r w:rsidR="00C83052">
        <w:rPr>
          <w:rFonts w:eastAsia="Calibri" w:cs="Times New Roman"/>
          <w:szCs w:val="24"/>
        </w:rPr>
        <w:t xml:space="preserve"> (CRR </w:t>
      </w:r>
      <w:r w:rsidR="00F45238">
        <w:rPr>
          <w:rFonts w:eastAsia="Calibri" w:cs="Times New Roman"/>
          <w:szCs w:val="24"/>
        </w:rPr>
        <w:t>Covid-19-relaterede justeringer</w:t>
      </w:r>
      <w:r w:rsidR="00C83052">
        <w:rPr>
          <w:rFonts w:eastAsia="Calibri" w:cs="Times New Roman"/>
          <w:szCs w:val="24"/>
        </w:rPr>
        <w:t>).</w:t>
      </w:r>
    </w:p>
    <w:p w14:paraId="2A0994D4" w14:textId="77777777" w:rsidR="001E696A" w:rsidRDefault="001E696A" w:rsidP="00A456AA">
      <w:pPr>
        <w:jc w:val="center"/>
        <w:rPr>
          <w:rFonts w:cs="Times New Roman"/>
          <w:szCs w:val="24"/>
        </w:rPr>
      </w:pPr>
    </w:p>
    <w:p w14:paraId="4C9F6540" w14:textId="77777777" w:rsidR="00F0531D" w:rsidRPr="005768D7" w:rsidRDefault="00F0531D" w:rsidP="00A456AA">
      <w:pPr>
        <w:jc w:val="center"/>
        <w:rPr>
          <w:rFonts w:cs="Times New Roman"/>
          <w:i/>
          <w:szCs w:val="24"/>
        </w:rPr>
      </w:pPr>
      <w:r w:rsidRPr="005768D7">
        <w:rPr>
          <w:rFonts w:cs="Times New Roman"/>
          <w:i/>
          <w:szCs w:val="24"/>
        </w:rPr>
        <w:t>Til § 2</w:t>
      </w:r>
    </w:p>
    <w:p w14:paraId="19FC3918" w14:textId="77777777" w:rsidR="00AB1523" w:rsidRDefault="00AB1523" w:rsidP="00C83052">
      <w:pPr>
        <w:rPr>
          <w:rFonts w:cs="Times New Roman"/>
          <w:szCs w:val="24"/>
        </w:rPr>
      </w:pPr>
    </w:p>
    <w:p w14:paraId="4C6336E6" w14:textId="0E5C226A" w:rsidR="00DE3478" w:rsidRDefault="00F90C10" w:rsidP="00C256A3">
      <w:pPr>
        <w:rPr>
          <w:rFonts w:eastAsia="Calibri" w:cs="Times New Roman"/>
          <w:szCs w:val="24"/>
        </w:rPr>
      </w:pPr>
      <w:r>
        <w:rPr>
          <w:rFonts w:cs="Times New Roman"/>
          <w:szCs w:val="24"/>
        </w:rPr>
        <w:t xml:space="preserve">Det foreslås, at </w:t>
      </w:r>
      <w:r w:rsidR="00DA0267">
        <w:rPr>
          <w:rFonts w:eastAsia="Calibri" w:cs="Times New Roman"/>
          <w:szCs w:val="24"/>
        </w:rPr>
        <w:t>e</w:t>
      </w:r>
      <w:r w:rsidR="00AB1523">
        <w:rPr>
          <w:rFonts w:eastAsia="Calibri" w:cs="Times New Roman"/>
          <w:szCs w:val="24"/>
        </w:rPr>
        <w:t>rhvervsministeren fastsætter tidspunktet for lovens ikrafttræden.</w:t>
      </w:r>
    </w:p>
    <w:p w14:paraId="765BAB84" w14:textId="77777777" w:rsidR="00DE3478" w:rsidRDefault="00DE3478" w:rsidP="00C256A3">
      <w:pPr>
        <w:rPr>
          <w:rFonts w:eastAsia="Calibri" w:cs="Times New Roman"/>
          <w:szCs w:val="24"/>
        </w:rPr>
      </w:pPr>
    </w:p>
    <w:p w14:paraId="7C271652" w14:textId="1B7755FB" w:rsidR="00C256A3" w:rsidRDefault="007666F8" w:rsidP="00C256A3">
      <w:pPr>
        <w:rPr>
          <w:rFonts w:eastAsiaTheme="majorEastAsia"/>
        </w:rPr>
      </w:pPr>
      <w:r>
        <w:rPr>
          <w:sz w:val="23"/>
          <w:szCs w:val="23"/>
        </w:rPr>
        <w:t>B</w:t>
      </w:r>
      <w:r w:rsidR="00AB1523">
        <w:rPr>
          <w:sz w:val="23"/>
          <w:szCs w:val="23"/>
        </w:rPr>
        <w:t xml:space="preserve">estemmelserne i </w:t>
      </w:r>
      <w:r w:rsidR="00C256A3">
        <w:t>CRR II</w:t>
      </w:r>
      <w:r w:rsidR="00DE3478">
        <w:t xml:space="preserve"> skal</w:t>
      </w:r>
      <w:r w:rsidR="00C256A3">
        <w:t xml:space="preserve"> </w:t>
      </w:r>
      <w:r>
        <w:t xml:space="preserve">gælde for Grønland fra det tidspunkt, hvor </w:t>
      </w:r>
      <w:r w:rsidR="00C256A3">
        <w:t xml:space="preserve">en revision af </w:t>
      </w:r>
      <w:r w:rsidR="00C256A3" w:rsidRPr="002E41C2">
        <w:rPr>
          <w:rFonts w:eastAsiaTheme="majorEastAsia"/>
        </w:rPr>
        <w:t>direktiv om adgang til at udøve virksomhed som kreditinstitut og om tilsyn med kreditinstitutter og investeringsselskaber</w:t>
      </w:r>
      <w:r w:rsidR="00C256A3">
        <w:rPr>
          <w:rFonts w:eastAsiaTheme="majorEastAsia"/>
        </w:rPr>
        <w:t xml:space="preserve"> (CRD V) og </w:t>
      </w:r>
      <w:r w:rsidR="00C256A3" w:rsidRPr="00AA5F76">
        <w:t>direktivet om genopretning og afvikling af kreditinstitutter og investeringsselskaber</w:t>
      </w:r>
      <w:r w:rsidR="00C256A3">
        <w:t xml:space="preserve"> (BRRD II)</w:t>
      </w:r>
      <w:r w:rsidR="00C256A3">
        <w:rPr>
          <w:rFonts w:eastAsiaTheme="majorEastAsia"/>
        </w:rPr>
        <w:t xml:space="preserve"> får</w:t>
      </w:r>
      <w:r w:rsidR="00C256A3" w:rsidRPr="00AA5F76">
        <w:rPr>
          <w:rFonts w:eastAsiaTheme="majorEastAsia"/>
        </w:rPr>
        <w:t xml:space="preserve"> virkning</w:t>
      </w:r>
      <w:r>
        <w:rPr>
          <w:rFonts w:eastAsiaTheme="majorEastAsia"/>
        </w:rPr>
        <w:t xml:space="preserve"> for Grønland</w:t>
      </w:r>
      <w:r w:rsidR="00C256A3">
        <w:rPr>
          <w:rFonts w:eastAsiaTheme="majorEastAsia"/>
        </w:rPr>
        <w:t>.</w:t>
      </w:r>
    </w:p>
    <w:p w14:paraId="0290485F" w14:textId="77777777" w:rsidR="00C256A3" w:rsidRDefault="00C256A3" w:rsidP="00C256A3">
      <w:pPr>
        <w:rPr>
          <w:rFonts w:eastAsiaTheme="majorEastAsia"/>
        </w:rPr>
      </w:pPr>
    </w:p>
    <w:p w14:paraId="7E10E9FA" w14:textId="7A94B255" w:rsidR="00DE3478" w:rsidRDefault="00C256A3" w:rsidP="00C83052">
      <w:pPr>
        <w:rPr>
          <w:rFonts w:cs="Times New Roman"/>
          <w:szCs w:val="24"/>
        </w:rPr>
      </w:pPr>
      <w:r>
        <w:rPr>
          <w:rFonts w:eastAsiaTheme="majorEastAsia"/>
        </w:rPr>
        <w:t xml:space="preserve">Disse er direktiver er implementeret i dansk ret ved </w:t>
      </w:r>
      <w:r w:rsidR="00DE3478">
        <w:rPr>
          <w:rFonts w:eastAsiaTheme="majorEastAsia"/>
        </w:rPr>
        <w:t>ændrings</w:t>
      </w:r>
      <w:r>
        <w:rPr>
          <w:rFonts w:eastAsiaTheme="majorEastAsia"/>
        </w:rPr>
        <w:t>lov</w:t>
      </w:r>
      <w:r w:rsidR="00DE3478">
        <w:rPr>
          <w:rFonts w:eastAsiaTheme="majorEastAsia"/>
        </w:rPr>
        <w:t>e til lov om finansiel virksomhed</w:t>
      </w:r>
      <w:r>
        <w:rPr>
          <w:rFonts w:eastAsiaTheme="majorEastAsia"/>
        </w:rPr>
        <w:t xml:space="preserve"> og </w:t>
      </w:r>
      <w:r>
        <w:rPr>
          <w:rFonts w:eastAsia="Calibri"/>
        </w:rPr>
        <w:t xml:space="preserve">lov om restrukturering og afvikling </w:t>
      </w:r>
      <w:r w:rsidR="00527DC0">
        <w:rPr>
          <w:rFonts w:eastAsia="Calibri"/>
        </w:rPr>
        <w:t xml:space="preserve">af </w:t>
      </w:r>
      <w:r>
        <w:rPr>
          <w:rFonts w:eastAsia="Calibri"/>
        </w:rPr>
        <w:t xml:space="preserve">visse finansielle institutter. </w:t>
      </w:r>
      <w:r>
        <w:rPr>
          <w:rFonts w:eastAsiaTheme="majorEastAsia"/>
        </w:rPr>
        <w:t xml:space="preserve">De skal sættes i kraft for </w:t>
      </w:r>
      <w:r w:rsidR="00AF4868">
        <w:rPr>
          <w:rFonts w:eastAsiaTheme="majorEastAsia"/>
        </w:rPr>
        <w:t>Grønland</w:t>
      </w:r>
      <w:r>
        <w:rPr>
          <w:rFonts w:eastAsiaTheme="majorEastAsia"/>
        </w:rPr>
        <w:t xml:space="preserve"> ved kongelig anordning. </w:t>
      </w:r>
      <w:r w:rsidR="00DA0267">
        <w:rPr>
          <w:rFonts w:eastAsiaTheme="majorEastAsia"/>
        </w:rPr>
        <w:lastRenderedPageBreak/>
        <w:t xml:space="preserve">Anordningerne vil forventeligt træde i kraft </w:t>
      </w:r>
      <w:r w:rsidR="009729D0">
        <w:rPr>
          <w:rFonts w:eastAsiaTheme="majorEastAsia"/>
        </w:rPr>
        <w:t xml:space="preserve">den </w:t>
      </w:r>
      <w:r w:rsidR="00DA0267">
        <w:rPr>
          <w:rFonts w:eastAsiaTheme="majorEastAsia"/>
        </w:rPr>
        <w:t>1. j</w:t>
      </w:r>
      <w:r w:rsidR="00A6043D">
        <w:rPr>
          <w:rFonts w:eastAsiaTheme="majorEastAsia"/>
        </w:rPr>
        <w:t>uni</w:t>
      </w:r>
      <w:r w:rsidR="00DA0267">
        <w:rPr>
          <w:rFonts w:eastAsiaTheme="majorEastAsia"/>
        </w:rPr>
        <w:t xml:space="preserve"> 2023.</w:t>
      </w:r>
      <w:r w:rsidR="006E12E8">
        <w:rPr>
          <w:rFonts w:eastAsiaTheme="majorEastAsia"/>
        </w:rPr>
        <w:t xml:space="preserve"> </w:t>
      </w:r>
      <w:r w:rsidR="00DE3478">
        <w:rPr>
          <w:rFonts w:cs="Times New Roman"/>
          <w:szCs w:val="24"/>
        </w:rPr>
        <w:t xml:space="preserve">Inden anordningerne kan sættes i kraft, skal Selvstyret i Grønland komme med en udtalelse. </w:t>
      </w:r>
      <w:r w:rsidR="007D1B1F">
        <w:rPr>
          <w:rFonts w:cs="Times New Roman"/>
          <w:szCs w:val="24"/>
        </w:rPr>
        <w:t xml:space="preserve">Det er usikkert, hvornår denne udtalelse foreligger, og det kan derfor ikke med sikkerhed siges, at disse anordninger træder i kraft </w:t>
      </w:r>
      <w:r w:rsidR="009729D0">
        <w:rPr>
          <w:rFonts w:cs="Times New Roman"/>
          <w:szCs w:val="24"/>
        </w:rPr>
        <w:t xml:space="preserve">den </w:t>
      </w:r>
      <w:r w:rsidR="007D1B1F">
        <w:rPr>
          <w:rFonts w:cs="Times New Roman"/>
          <w:szCs w:val="24"/>
        </w:rPr>
        <w:t xml:space="preserve">1. </w:t>
      </w:r>
      <w:r w:rsidR="00A6043D">
        <w:rPr>
          <w:rFonts w:cs="Times New Roman"/>
          <w:szCs w:val="24"/>
        </w:rPr>
        <w:t xml:space="preserve">juni </w:t>
      </w:r>
      <w:r w:rsidR="007D1B1F">
        <w:rPr>
          <w:rFonts w:cs="Times New Roman"/>
          <w:szCs w:val="24"/>
        </w:rPr>
        <w:t>2023.</w:t>
      </w:r>
    </w:p>
    <w:p w14:paraId="1EBBE533" w14:textId="0CC8860A" w:rsidR="007D1B1F" w:rsidRDefault="007D1B1F" w:rsidP="00C83052">
      <w:pPr>
        <w:rPr>
          <w:rFonts w:cs="Times New Roman"/>
          <w:szCs w:val="24"/>
        </w:rPr>
      </w:pPr>
    </w:p>
    <w:p w14:paraId="03CAED40" w14:textId="4F9027A9" w:rsidR="007D1B1F" w:rsidRDefault="007D1B1F" w:rsidP="00C83052">
      <w:pPr>
        <w:rPr>
          <w:rFonts w:cs="Times New Roman"/>
          <w:szCs w:val="24"/>
        </w:rPr>
      </w:pPr>
      <w:r>
        <w:rPr>
          <w:rFonts w:cs="Times New Roman"/>
          <w:szCs w:val="24"/>
        </w:rPr>
        <w:t xml:space="preserve">Det foreslås på den baggrund, at erhvervsministeren fastsætter, hvornår denne lov træder i kraft. Ikrafttræden skal ske samtidig med, at de relevante ændringslove til henholdsvis </w:t>
      </w:r>
      <w:r>
        <w:rPr>
          <w:rFonts w:eastAsiaTheme="majorEastAsia"/>
        </w:rPr>
        <w:t xml:space="preserve">lov om finansiel virksomhed og </w:t>
      </w:r>
      <w:r>
        <w:rPr>
          <w:rFonts w:eastAsia="Calibri"/>
        </w:rPr>
        <w:t xml:space="preserve">lov om restrukturering og afvikling </w:t>
      </w:r>
      <w:r w:rsidR="00527DC0">
        <w:rPr>
          <w:rFonts w:eastAsia="Calibri"/>
        </w:rPr>
        <w:t xml:space="preserve">af </w:t>
      </w:r>
      <w:r>
        <w:rPr>
          <w:rFonts w:eastAsia="Calibri"/>
        </w:rPr>
        <w:t xml:space="preserve">visse finansielle institutter sættes i kraft for Grønland ved kongelig anordning. </w:t>
      </w:r>
    </w:p>
    <w:p w14:paraId="6A14BBA7" w14:textId="77777777" w:rsidR="004874A6" w:rsidRDefault="004874A6" w:rsidP="00A456AA"/>
    <w:sectPr w:rsidR="004874A6" w:rsidSect="00D712BA">
      <w:headerReference w:type="even" r:id="rId8"/>
      <w:headerReference w:type="default" r:id="rId9"/>
      <w:footerReference w:type="default" r:id="rId10"/>
      <w:headerReference w:type="first" r:id="rId11"/>
      <w:pgSz w:w="11906" w:h="16838" w:code="9"/>
      <w:pgMar w:top="1418" w:right="3260"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8962A" w14:textId="77777777" w:rsidR="002E413F" w:rsidRDefault="002E413F" w:rsidP="00D712BA">
      <w:pPr>
        <w:spacing w:line="240" w:lineRule="auto"/>
      </w:pPr>
      <w:r>
        <w:separator/>
      </w:r>
    </w:p>
  </w:endnote>
  <w:endnote w:type="continuationSeparator" w:id="0">
    <w:p w14:paraId="35B8D21A" w14:textId="77777777" w:rsidR="002E413F" w:rsidRDefault="002E413F" w:rsidP="00D71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Questa-Regular">
    <w:altName w:val="Times New Roman"/>
    <w:charset w:val="00"/>
    <w:family w:val="auto"/>
    <w:pitch w:val="default"/>
  </w:font>
  <w:font w:name="UICTFontTextStyleBod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8444" w:tblpY="15724"/>
      <w:tblOverlap w:val="never"/>
      <w:tblW w:w="1418" w:type="dxa"/>
      <w:tblCellMar>
        <w:left w:w="0" w:type="dxa"/>
        <w:right w:w="0" w:type="dxa"/>
      </w:tblCellMar>
      <w:tblLook w:val="04A0" w:firstRow="1" w:lastRow="0" w:firstColumn="1" w:lastColumn="0" w:noHBand="0" w:noVBand="1"/>
    </w:tblPr>
    <w:tblGrid>
      <w:gridCol w:w="1418"/>
    </w:tblGrid>
    <w:tr w:rsidR="000840AD" w14:paraId="3B8F7B48" w14:textId="77777777" w:rsidTr="007112C6">
      <w:trPr>
        <w:trHeight w:val="255"/>
      </w:trPr>
      <w:tc>
        <w:tcPr>
          <w:tcW w:w="1418" w:type="dxa"/>
          <w:hideMark/>
        </w:tcPr>
        <w:p w14:paraId="6C3B5742" w14:textId="38EBAA74" w:rsidR="000840AD" w:rsidRPr="006A1B98" w:rsidRDefault="000840AD">
          <w:pPr>
            <w:pStyle w:val="Sidefod"/>
            <w:rPr>
              <w:sz w:val="16"/>
              <w:szCs w:val="16"/>
            </w:rPr>
          </w:pPr>
          <w:r w:rsidRPr="006A1B98">
            <w:rPr>
              <w:rStyle w:val="Sidetal"/>
              <w:sz w:val="16"/>
              <w:szCs w:val="16"/>
            </w:rPr>
            <w:fldChar w:fldCharType="begin"/>
          </w:r>
          <w:r w:rsidRPr="006A1B98">
            <w:rPr>
              <w:rStyle w:val="Sidetal"/>
              <w:sz w:val="16"/>
              <w:szCs w:val="16"/>
            </w:rPr>
            <w:instrText xml:space="preserve"> PAGE </w:instrText>
          </w:r>
          <w:r w:rsidRPr="006A1B98">
            <w:rPr>
              <w:rStyle w:val="Sidetal"/>
              <w:sz w:val="16"/>
              <w:szCs w:val="16"/>
            </w:rPr>
            <w:fldChar w:fldCharType="separate"/>
          </w:r>
          <w:r w:rsidR="00C0653E">
            <w:rPr>
              <w:rStyle w:val="Sidetal"/>
              <w:noProof/>
              <w:sz w:val="16"/>
              <w:szCs w:val="16"/>
            </w:rPr>
            <w:t>6</w:t>
          </w:r>
          <w:r w:rsidRPr="006A1B98">
            <w:rPr>
              <w:rStyle w:val="Sidetal"/>
              <w:sz w:val="16"/>
              <w:szCs w:val="16"/>
            </w:rPr>
            <w:fldChar w:fldCharType="end"/>
          </w:r>
        </w:p>
      </w:tc>
    </w:tr>
  </w:tbl>
  <w:p w14:paraId="0A796030" w14:textId="77777777" w:rsidR="000840AD" w:rsidRDefault="000840A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882ED" w14:textId="77777777" w:rsidR="002E413F" w:rsidRDefault="002E413F" w:rsidP="00D712BA">
      <w:pPr>
        <w:spacing w:line="240" w:lineRule="auto"/>
      </w:pPr>
      <w:r>
        <w:separator/>
      </w:r>
    </w:p>
  </w:footnote>
  <w:footnote w:type="continuationSeparator" w:id="0">
    <w:p w14:paraId="0C770D9E" w14:textId="77777777" w:rsidR="002E413F" w:rsidRDefault="002E413F" w:rsidP="00D712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B6D9" w14:textId="77777777" w:rsidR="000840AD" w:rsidRDefault="00000000">
    <w:pPr>
      <w:pStyle w:val="Sidehoved"/>
    </w:pPr>
    <w:r>
      <w:rPr>
        <w:noProof/>
      </w:rPr>
      <w:pict w14:anchorId="01EF72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5985" o:spid="_x0000_s1029" type="#_x0000_t136" style="position:absolute;left:0;text-align:left;margin-left:0;margin-top:0;width:382.1pt;height:127.35pt;rotation:315;z-index:-251655168;mso-position-horizontal:center;mso-position-horizontal-relative:margin;mso-position-vertical:center;mso-position-vertical-relative:margin" o:allowincell="f" fillcolor="silver" stroked="f">
          <v:fill opacity=".5"/>
          <v:textpath style="font-family:&quot;Times New Roman&quot;;font-size:1pt" string="UD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4029C" w14:textId="77777777" w:rsidR="000840AD" w:rsidRDefault="00000000">
    <w:pPr>
      <w:pStyle w:val="Sidehoved"/>
    </w:pPr>
    <w:r>
      <w:rPr>
        <w:noProof/>
      </w:rPr>
      <w:pict w14:anchorId="59FE92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5986" o:spid="_x0000_s1030" type="#_x0000_t136" style="position:absolute;left:0;text-align:left;margin-left:0;margin-top:0;width:382.1pt;height:127.35pt;rotation:315;z-index:-251653120;mso-position-horizontal:center;mso-position-horizontal-relative:margin;mso-position-vertical:center;mso-position-vertical-relative:margin" o:allowincell="f" fillcolor="silver" stroked="f">
          <v:fill opacity=".5"/>
          <v:textpath style="font-family:&quot;Times New Roman&quot;;font-size:1pt" string="UDKAST"/>
          <w10:wrap anchorx="margin" anchory="margin"/>
        </v:shape>
      </w:pict>
    </w:r>
  </w:p>
  <w:p w14:paraId="2C44D75E" w14:textId="77777777" w:rsidR="000840AD" w:rsidRPr="004A7268" w:rsidRDefault="000840AD" w:rsidP="004A7268">
    <w:pPr>
      <w:pStyle w:val="Sidehoved"/>
      <w:jc w:val="center"/>
      <w:rPr>
        <w:b/>
      </w:rPr>
    </w:pPr>
    <w:r w:rsidRPr="004A7268">
      <w:rPr>
        <w:b/>
      </w:rPr>
      <w:t>UDKAST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C6D8" w14:textId="77777777" w:rsidR="000840AD" w:rsidRPr="004A7268" w:rsidRDefault="00000000" w:rsidP="004A7268">
    <w:pPr>
      <w:pStyle w:val="Sidehoved"/>
      <w:jc w:val="center"/>
      <w:rPr>
        <w:b/>
      </w:rPr>
    </w:pPr>
    <w:r>
      <w:rPr>
        <w:noProof/>
      </w:rPr>
      <w:pict w14:anchorId="1640B0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5984" o:spid="_x0000_s1028" type="#_x0000_t136" style="position:absolute;left:0;text-align:left;margin-left:0;margin-top:0;width:382.1pt;height:127.35pt;rotation:315;z-index:-251657216;mso-position-horizontal:center;mso-position-horizontal-relative:margin;mso-position-vertical:center;mso-position-vertical-relative:margin" o:allowincell="f" fillcolor="silver" stroked="f">
          <v:fill opacity=".5"/>
          <v:textpath style="font-family:&quot;Times New Roman&quot;;font-size:1pt" string="UDKAST"/>
          <w10:wrap anchorx="margin" anchory="margin"/>
        </v:shape>
      </w:pict>
    </w:r>
    <w:r w:rsidR="000840AD" w:rsidRPr="004A7268">
      <w:rPr>
        <w:b/>
      </w:rPr>
      <w:t>UDKAST</w:t>
    </w:r>
  </w:p>
  <w:p w14:paraId="74073657" w14:textId="77777777" w:rsidR="000840AD" w:rsidRDefault="000840AD">
    <w:pPr>
      <w:pStyle w:val="Sidehoved"/>
    </w:pPr>
  </w:p>
  <w:p w14:paraId="53BC9AB2" w14:textId="77777777" w:rsidR="000840AD" w:rsidRDefault="000840AD" w:rsidP="00B60A17">
    <w:pPr>
      <w:pStyle w:val="Sidehoved"/>
      <w:tabs>
        <w:tab w:val="clear" w:pos="4819"/>
        <w:tab w:val="clear" w:pos="9638"/>
        <w:tab w:val="left" w:pos="2070"/>
      </w:tabs>
    </w:pPr>
  </w:p>
  <w:p w14:paraId="05877882" w14:textId="77777777" w:rsidR="000840AD" w:rsidRDefault="000840AD">
    <w:pPr>
      <w:pStyle w:val="Sidehoved"/>
    </w:pPr>
  </w:p>
  <w:p w14:paraId="3926BE89" w14:textId="77777777" w:rsidR="000840AD" w:rsidRDefault="000840AD">
    <w:pPr>
      <w:pStyle w:val="Sidehoved"/>
    </w:pPr>
  </w:p>
  <w:p w14:paraId="1E686729" w14:textId="77777777" w:rsidR="000840AD" w:rsidRDefault="000840AD">
    <w:pPr>
      <w:pStyle w:val="Sidehoved"/>
    </w:pPr>
  </w:p>
  <w:p w14:paraId="264A5E1F" w14:textId="77777777" w:rsidR="000840AD" w:rsidRDefault="000840AD">
    <w:pPr>
      <w:pStyle w:val="Sidehoved"/>
    </w:pPr>
  </w:p>
  <w:p w14:paraId="0E099705" w14:textId="77777777" w:rsidR="000840AD" w:rsidRDefault="000840AD">
    <w:pPr>
      <w:pStyle w:val="Sidehoved"/>
    </w:pPr>
  </w:p>
  <w:p w14:paraId="20F3406F" w14:textId="77777777" w:rsidR="000840AD" w:rsidRDefault="000840AD">
    <w:pPr>
      <w:pStyle w:val="Sidehoved"/>
    </w:pPr>
  </w:p>
  <w:p w14:paraId="2EFB9CD8" w14:textId="77777777" w:rsidR="000840AD" w:rsidRDefault="000840AD">
    <w:pPr>
      <w:pStyle w:val="Sidehoved"/>
    </w:pPr>
  </w:p>
  <w:p w14:paraId="05BCDEFE" w14:textId="77777777" w:rsidR="000840AD" w:rsidRDefault="000840AD">
    <w:pPr>
      <w:pStyle w:val="Sidehoved"/>
    </w:pPr>
  </w:p>
  <w:p w14:paraId="39C3658E" w14:textId="77777777" w:rsidR="000840AD" w:rsidRDefault="000840AD">
    <w:pPr>
      <w:pStyle w:val="Sidehoved"/>
    </w:pPr>
  </w:p>
  <w:p w14:paraId="181BC3AB" w14:textId="77777777" w:rsidR="000840AD" w:rsidRDefault="000840AD">
    <w:pPr>
      <w:pStyle w:val="Sidehoved"/>
    </w:pPr>
  </w:p>
  <w:p w14:paraId="7C2E2ABE" w14:textId="77777777" w:rsidR="000840AD" w:rsidRDefault="000840AD">
    <w:pPr>
      <w:pStyle w:val="Sidehoved"/>
    </w:pPr>
  </w:p>
  <w:p w14:paraId="122AC100" w14:textId="77777777" w:rsidR="000840AD" w:rsidRDefault="000840AD">
    <w:pPr>
      <w:pStyle w:val="Sidehoved"/>
    </w:pPr>
  </w:p>
  <w:p w14:paraId="0D3AC7CA" w14:textId="77777777" w:rsidR="000840AD" w:rsidRDefault="000840AD">
    <w:pPr>
      <w:pStyle w:val="Sidehoved"/>
    </w:pPr>
  </w:p>
  <w:p w14:paraId="230F38FF" w14:textId="77777777" w:rsidR="000840AD" w:rsidRDefault="000840AD">
    <w:pPr>
      <w:pStyle w:val="Sidehoved"/>
    </w:pPr>
  </w:p>
  <w:p w14:paraId="1A0A5359" w14:textId="77777777" w:rsidR="000840AD" w:rsidRDefault="000840AD">
    <w:pPr>
      <w:pStyle w:val="Sidehoved"/>
    </w:pPr>
  </w:p>
  <w:p w14:paraId="192C4677" w14:textId="77777777" w:rsidR="000840AD" w:rsidRDefault="000840AD" w:rsidP="00D712BA">
    <w:pPr>
      <w:pStyle w:val="Sidehoved"/>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88A08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60B7494"/>
    <w:multiLevelType w:val="hybridMultilevel"/>
    <w:tmpl w:val="51BE3AEE"/>
    <w:lvl w:ilvl="0" w:tplc="04060001">
      <w:start w:val="1"/>
      <w:numFmt w:val="bullet"/>
      <w:lvlText w:val=""/>
      <w:lvlJc w:val="left"/>
      <w:pPr>
        <w:ind w:left="784" w:hanging="360"/>
      </w:pPr>
      <w:rPr>
        <w:rFonts w:ascii="Symbol" w:hAnsi="Symbol" w:hint="default"/>
      </w:rPr>
    </w:lvl>
    <w:lvl w:ilvl="1" w:tplc="04060003" w:tentative="1">
      <w:start w:val="1"/>
      <w:numFmt w:val="bullet"/>
      <w:lvlText w:val="o"/>
      <w:lvlJc w:val="left"/>
      <w:pPr>
        <w:ind w:left="1504" w:hanging="360"/>
      </w:pPr>
      <w:rPr>
        <w:rFonts w:ascii="Courier New" w:hAnsi="Courier New" w:cs="Courier New" w:hint="default"/>
      </w:rPr>
    </w:lvl>
    <w:lvl w:ilvl="2" w:tplc="04060005" w:tentative="1">
      <w:start w:val="1"/>
      <w:numFmt w:val="bullet"/>
      <w:lvlText w:val=""/>
      <w:lvlJc w:val="left"/>
      <w:pPr>
        <w:ind w:left="2224" w:hanging="360"/>
      </w:pPr>
      <w:rPr>
        <w:rFonts w:ascii="Wingdings" w:hAnsi="Wingdings" w:hint="default"/>
      </w:rPr>
    </w:lvl>
    <w:lvl w:ilvl="3" w:tplc="04060001" w:tentative="1">
      <w:start w:val="1"/>
      <w:numFmt w:val="bullet"/>
      <w:lvlText w:val=""/>
      <w:lvlJc w:val="left"/>
      <w:pPr>
        <w:ind w:left="2944" w:hanging="360"/>
      </w:pPr>
      <w:rPr>
        <w:rFonts w:ascii="Symbol" w:hAnsi="Symbol" w:hint="default"/>
      </w:rPr>
    </w:lvl>
    <w:lvl w:ilvl="4" w:tplc="04060003" w:tentative="1">
      <w:start w:val="1"/>
      <w:numFmt w:val="bullet"/>
      <w:lvlText w:val="o"/>
      <w:lvlJc w:val="left"/>
      <w:pPr>
        <w:ind w:left="3664" w:hanging="360"/>
      </w:pPr>
      <w:rPr>
        <w:rFonts w:ascii="Courier New" w:hAnsi="Courier New" w:cs="Courier New" w:hint="default"/>
      </w:rPr>
    </w:lvl>
    <w:lvl w:ilvl="5" w:tplc="04060005" w:tentative="1">
      <w:start w:val="1"/>
      <w:numFmt w:val="bullet"/>
      <w:lvlText w:val=""/>
      <w:lvlJc w:val="left"/>
      <w:pPr>
        <w:ind w:left="4384" w:hanging="360"/>
      </w:pPr>
      <w:rPr>
        <w:rFonts w:ascii="Wingdings" w:hAnsi="Wingdings" w:hint="default"/>
      </w:rPr>
    </w:lvl>
    <w:lvl w:ilvl="6" w:tplc="04060001" w:tentative="1">
      <w:start w:val="1"/>
      <w:numFmt w:val="bullet"/>
      <w:lvlText w:val=""/>
      <w:lvlJc w:val="left"/>
      <w:pPr>
        <w:ind w:left="5104" w:hanging="360"/>
      </w:pPr>
      <w:rPr>
        <w:rFonts w:ascii="Symbol" w:hAnsi="Symbol" w:hint="default"/>
      </w:rPr>
    </w:lvl>
    <w:lvl w:ilvl="7" w:tplc="04060003" w:tentative="1">
      <w:start w:val="1"/>
      <w:numFmt w:val="bullet"/>
      <w:lvlText w:val="o"/>
      <w:lvlJc w:val="left"/>
      <w:pPr>
        <w:ind w:left="5824" w:hanging="360"/>
      </w:pPr>
      <w:rPr>
        <w:rFonts w:ascii="Courier New" w:hAnsi="Courier New" w:cs="Courier New" w:hint="default"/>
      </w:rPr>
    </w:lvl>
    <w:lvl w:ilvl="8" w:tplc="04060005" w:tentative="1">
      <w:start w:val="1"/>
      <w:numFmt w:val="bullet"/>
      <w:lvlText w:val=""/>
      <w:lvlJc w:val="left"/>
      <w:pPr>
        <w:ind w:left="6544" w:hanging="360"/>
      </w:pPr>
      <w:rPr>
        <w:rFonts w:ascii="Wingdings" w:hAnsi="Wingdings" w:hint="default"/>
      </w:rPr>
    </w:lvl>
  </w:abstractNum>
  <w:abstractNum w:abstractNumId="2" w15:restartNumberingAfterBreak="0">
    <w:nsid w:val="06B204AD"/>
    <w:multiLevelType w:val="hybridMultilevel"/>
    <w:tmpl w:val="AE8003CC"/>
    <w:lvl w:ilvl="0" w:tplc="D9BC82EA">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0BD766C3"/>
    <w:multiLevelType w:val="hybridMultilevel"/>
    <w:tmpl w:val="4850952C"/>
    <w:lvl w:ilvl="0" w:tplc="C94CDB46">
      <w:start w:val="1"/>
      <w:numFmt w:val="decimal"/>
      <w:lvlText w:val="%1."/>
      <w:lvlJc w:val="left"/>
      <w:pPr>
        <w:ind w:left="838" w:hanging="360"/>
      </w:pPr>
      <w:rPr>
        <w:rFonts w:ascii="Times New Roman" w:hAnsi="Times New Roman" w:cs="Times New Roman" w:hint="default"/>
        <w:b/>
        <w:sz w:val="24"/>
        <w:szCs w:val="24"/>
      </w:rPr>
    </w:lvl>
    <w:lvl w:ilvl="1" w:tplc="04060019" w:tentative="1">
      <w:start w:val="1"/>
      <w:numFmt w:val="lowerLetter"/>
      <w:lvlText w:val="%2."/>
      <w:lvlJc w:val="left"/>
      <w:pPr>
        <w:ind w:left="1499" w:hanging="360"/>
      </w:pPr>
    </w:lvl>
    <w:lvl w:ilvl="2" w:tplc="0406001B" w:tentative="1">
      <w:start w:val="1"/>
      <w:numFmt w:val="lowerRoman"/>
      <w:lvlText w:val="%3."/>
      <w:lvlJc w:val="right"/>
      <w:pPr>
        <w:ind w:left="2219" w:hanging="180"/>
      </w:pPr>
    </w:lvl>
    <w:lvl w:ilvl="3" w:tplc="0406000F" w:tentative="1">
      <w:start w:val="1"/>
      <w:numFmt w:val="decimal"/>
      <w:lvlText w:val="%4."/>
      <w:lvlJc w:val="left"/>
      <w:pPr>
        <w:ind w:left="2939" w:hanging="360"/>
      </w:pPr>
    </w:lvl>
    <w:lvl w:ilvl="4" w:tplc="04060019" w:tentative="1">
      <w:start w:val="1"/>
      <w:numFmt w:val="lowerLetter"/>
      <w:lvlText w:val="%5."/>
      <w:lvlJc w:val="left"/>
      <w:pPr>
        <w:ind w:left="3659" w:hanging="360"/>
      </w:pPr>
    </w:lvl>
    <w:lvl w:ilvl="5" w:tplc="0406001B" w:tentative="1">
      <w:start w:val="1"/>
      <w:numFmt w:val="lowerRoman"/>
      <w:lvlText w:val="%6."/>
      <w:lvlJc w:val="right"/>
      <w:pPr>
        <w:ind w:left="4379" w:hanging="180"/>
      </w:pPr>
    </w:lvl>
    <w:lvl w:ilvl="6" w:tplc="0406000F" w:tentative="1">
      <w:start w:val="1"/>
      <w:numFmt w:val="decimal"/>
      <w:lvlText w:val="%7."/>
      <w:lvlJc w:val="left"/>
      <w:pPr>
        <w:ind w:left="5099" w:hanging="360"/>
      </w:pPr>
    </w:lvl>
    <w:lvl w:ilvl="7" w:tplc="04060019" w:tentative="1">
      <w:start w:val="1"/>
      <w:numFmt w:val="lowerLetter"/>
      <w:lvlText w:val="%8."/>
      <w:lvlJc w:val="left"/>
      <w:pPr>
        <w:ind w:left="5819" w:hanging="360"/>
      </w:pPr>
    </w:lvl>
    <w:lvl w:ilvl="8" w:tplc="0406001B" w:tentative="1">
      <w:start w:val="1"/>
      <w:numFmt w:val="lowerRoman"/>
      <w:lvlText w:val="%9."/>
      <w:lvlJc w:val="right"/>
      <w:pPr>
        <w:ind w:left="6539" w:hanging="180"/>
      </w:pPr>
    </w:lvl>
  </w:abstractNum>
  <w:abstractNum w:abstractNumId="4" w15:restartNumberingAfterBreak="0">
    <w:nsid w:val="18110A31"/>
    <w:multiLevelType w:val="multilevel"/>
    <w:tmpl w:val="0EA062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DA0421E"/>
    <w:multiLevelType w:val="hybridMultilevel"/>
    <w:tmpl w:val="6198618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EE866C3"/>
    <w:multiLevelType w:val="multilevel"/>
    <w:tmpl w:val="0D749554"/>
    <w:lvl w:ilvl="0">
      <w:start w:val="1"/>
      <w:numFmt w:val="decimal"/>
      <w:pStyle w:val="Underoverskrif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D7D699E"/>
    <w:multiLevelType w:val="hybridMultilevel"/>
    <w:tmpl w:val="2968CED4"/>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5DF845EE"/>
    <w:multiLevelType w:val="hybridMultilevel"/>
    <w:tmpl w:val="67300B56"/>
    <w:lvl w:ilvl="0" w:tplc="67CA4D42">
      <w:start w:val="1"/>
      <w:numFmt w:val="bullet"/>
      <w:lvlText w:val=""/>
      <w:lvlJc w:val="left"/>
      <w:pPr>
        <w:ind w:left="360" w:hanging="360"/>
      </w:pPr>
      <w:rPr>
        <w:rFonts w:ascii="Symbol" w:hAnsi="Symbol" w:hint="default"/>
        <w:u w:val="none"/>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66005C5D"/>
    <w:multiLevelType w:val="multilevel"/>
    <w:tmpl w:val="3C8C2FE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96E6539"/>
    <w:multiLevelType w:val="hybridMultilevel"/>
    <w:tmpl w:val="C186BABE"/>
    <w:lvl w:ilvl="0" w:tplc="8D0A4E7E">
      <w:start w:val="1"/>
      <w:numFmt w:val="decimal"/>
      <w:lvlText w:val="%1)"/>
      <w:lvlJc w:val="left"/>
      <w:pPr>
        <w:ind w:left="780" w:hanging="360"/>
      </w:pPr>
      <w:rPr>
        <w:rFonts w:hint="default"/>
      </w:rPr>
    </w:lvl>
    <w:lvl w:ilvl="1" w:tplc="04060019" w:tentative="1">
      <w:start w:val="1"/>
      <w:numFmt w:val="lowerLetter"/>
      <w:lvlText w:val="%2."/>
      <w:lvlJc w:val="left"/>
      <w:pPr>
        <w:ind w:left="1500" w:hanging="360"/>
      </w:pPr>
    </w:lvl>
    <w:lvl w:ilvl="2" w:tplc="0406001B" w:tentative="1">
      <w:start w:val="1"/>
      <w:numFmt w:val="lowerRoman"/>
      <w:lvlText w:val="%3."/>
      <w:lvlJc w:val="right"/>
      <w:pPr>
        <w:ind w:left="2220" w:hanging="180"/>
      </w:pPr>
    </w:lvl>
    <w:lvl w:ilvl="3" w:tplc="0406000F" w:tentative="1">
      <w:start w:val="1"/>
      <w:numFmt w:val="decimal"/>
      <w:lvlText w:val="%4."/>
      <w:lvlJc w:val="left"/>
      <w:pPr>
        <w:ind w:left="2940" w:hanging="360"/>
      </w:pPr>
    </w:lvl>
    <w:lvl w:ilvl="4" w:tplc="04060019" w:tentative="1">
      <w:start w:val="1"/>
      <w:numFmt w:val="lowerLetter"/>
      <w:lvlText w:val="%5."/>
      <w:lvlJc w:val="left"/>
      <w:pPr>
        <w:ind w:left="3660" w:hanging="360"/>
      </w:pPr>
    </w:lvl>
    <w:lvl w:ilvl="5" w:tplc="0406001B" w:tentative="1">
      <w:start w:val="1"/>
      <w:numFmt w:val="lowerRoman"/>
      <w:lvlText w:val="%6."/>
      <w:lvlJc w:val="right"/>
      <w:pPr>
        <w:ind w:left="4380" w:hanging="180"/>
      </w:pPr>
    </w:lvl>
    <w:lvl w:ilvl="6" w:tplc="0406000F" w:tentative="1">
      <w:start w:val="1"/>
      <w:numFmt w:val="decimal"/>
      <w:lvlText w:val="%7."/>
      <w:lvlJc w:val="left"/>
      <w:pPr>
        <w:ind w:left="5100" w:hanging="360"/>
      </w:pPr>
    </w:lvl>
    <w:lvl w:ilvl="7" w:tplc="04060019" w:tentative="1">
      <w:start w:val="1"/>
      <w:numFmt w:val="lowerLetter"/>
      <w:lvlText w:val="%8."/>
      <w:lvlJc w:val="left"/>
      <w:pPr>
        <w:ind w:left="5820" w:hanging="360"/>
      </w:pPr>
    </w:lvl>
    <w:lvl w:ilvl="8" w:tplc="0406001B" w:tentative="1">
      <w:start w:val="1"/>
      <w:numFmt w:val="lowerRoman"/>
      <w:lvlText w:val="%9."/>
      <w:lvlJc w:val="right"/>
      <w:pPr>
        <w:ind w:left="6540" w:hanging="180"/>
      </w:pPr>
    </w:lvl>
  </w:abstractNum>
  <w:abstractNum w:abstractNumId="11" w15:restartNumberingAfterBreak="0">
    <w:nsid w:val="6B352897"/>
    <w:multiLevelType w:val="hybridMultilevel"/>
    <w:tmpl w:val="44AE38AA"/>
    <w:lvl w:ilvl="0" w:tplc="3D9254B6">
      <w:start w:val="1"/>
      <w:numFmt w:val="decimal"/>
      <w:lvlText w:val="%1."/>
      <w:lvlJc w:val="left"/>
      <w:pPr>
        <w:ind w:left="779" w:hanging="360"/>
      </w:pPr>
      <w:rPr>
        <w:rFonts w:ascii="Times New Roman" w:hAnsi="Times New Roman" w:cs="Times New Roman" w:hint="default"/>
        <w:b/>
        <w:sz w:val="24"/>
        <w:szCs w:val="24"/>
      </w:rPr>
    </w:lvl>
    <w:lvl w:ilvl="1" w:tplc="04060019" w:tentative="1">
      <w:start w:val="1"/>
      <w:numFmt w:val="lowerLetter"/>
      <w:lvlText w:val="%2."/>
      <w:lvlJc w:val="left"/>
      <w:pPr>
        <w:ind w:left="1499" w:hanging="360"/>
      </w:pPr>
    </w:lvl>
    <w:lvl w:ilvl="2" w:tplc="0406001B" w:tentative="1">
      <w:start w:val="1"/>
      <w:numFmt w:val="lowerRoman"/>
      <w:lvlText w:val="%3."/>
      <w:lvlJc w:val="right"/>
      <w:pPr>
        <w:ind w:left="2219" w:hanging="180"/>
      </w:pPr>
    </w:lvl>
    <w:lvl w:ilvl="3" w:tplc="0406000F" w:tentative="1">
      <w:start w:val="1"/>
      <w:numFmt w:val="decimal"/>
      <w:lvlText w:val="%4."/>
      <w:lvlJc w:val="left"/>
      <w:pPr>
        <w:ind w:left="2939" w:hanging="360"/>
      </w:pPr>
    </w:lvl>
    <w:lvl w:ilvl="4" w:tplc="04060019" w:tentative="1">
      <w:start w:val="1"/>
      <w:numFmt w:val="lowerLetter"/>
      <w:lvlText w:val="%5."/>
      <w:lvlJc w:val="left"/>
      <w:pPr>
        <w:ind w:left="3659" w:hanging="360"/>
      </w:pPr>
    </w:lvl>
    <w:lvl w:ilvl="5" w:tplc="0406001B" w:tentative="1">
      <w:start w:val="1"/>
      <w:numFmt w:val="lowerRoman"/>
      <w:lvlText w:val="%6."/>
      <w:lvlJc w:val="right"/>
      <w:pPr>
        <w:ind w:left="4379" w:hanging="180"/>
      </w:pPr>
    </w:lvl>
    <w:lvl w:ilvl="6" w:tplc="0406000F" w:tentative="1">
      <w:start w:val="1"/>
      <w:numFmt w:val="decimal"/>
      <w:lvlText w:val="%7."/>
      <w:lvlJc w:val="left"/>
      <w:pPr>
        <w:ind w:left="5099" w:hanging="360"/>
      </w:pPr>
    </w:lvl>
    <w:lvl w:ilvl="7" w:tplc="04060019" w:tentative="1">
      <w:start w:val="1"/>
      <w:numFmt w:val="lowerLetter"/>
      <w:lvlText w:val="%8."/>
      <w:lvlJc w:val="left"/>
      <w:pPr>
        <w:ind w:left="5819" w:hanging="360"/>
      </w:pPr>
    </w:lvl>
    <w:lvl w:ilvl="8" w:tplc="0406001B" w:tentative="1">
      <w:start w:val="1"/>
      <w:numFmt w:val="lowerRoman"/>
      <w:lvlText w:val="%9."/>
      <w:lvlJc w:val="right"/>
      <w:pPr>
        <w:ind w:left="6539" w:hanging="180"/>
      </w:pPr>
    </w:lvl>
  </w:abstractNum>
  <w:abstractNum w:abstractNumId="12" w15:restartNumberingAfterBreak="0">
    <w:nsid w:val="7930084B"/>
    <w:multiLevelType w:val="multilevel"/>
    <w:tmpl w:val="B794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12549A"/>
    <w:multiLevelType w:val="hybridMultilevel"/>
    <w:tmpl w:val="B42A3D7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7B584366"/>
    <w:multiLevelType w:val="hybridMultilevel"/>
    <w:tmpl w:val="E89AE5DA"/>
    <w:lvl w:ilvl="0" w:tplc="C94CDB46">
      <w:start w:val="1"/>
      <w:numFmt w:val="decimal"/>
      <w:lvlText w:val="%1."/>
      <w:lvlJc w:val="left"/>
      <w:pPr>
        <w:ind w:left="779" w:hanging="360"/>
      </w:pPr>
      <w:rPr>
        <w:rFonts w:ascii="Times New Roman" w:hAnsi="Times New Roman" w:cs="Times New Roman" w:hint="default"/>
        <w:b/>
        <w:sz w:val="24"/>
        <w:szCs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7FEF461A"/>
    <w:multiLevelType w:val="multilevel"/>
    <w:tmpl w:val="2244F532"/>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696614004">
    <w:abstractNumId w:val="4"/>
  </w:num>
  <w:num w:numId="2" w16cid:durableId="48462393">
    <w:abstractNumId w:val="2"/>
  </w:num>
  <w:num w:numId="3" w16cid:durableId="1270358359">
    <w:abstractNumId w:val="7"/>
  </w:num>
  <w:num w:numId="4" w16cid:durableId="1110465201">
    <w:abstractNumId w:val="9"/>
  </w:num>
  <w:num w:numId="5" w16cid:durableId="1957522757">
    <w:abstractNumId w:val="15"/>
  </w:num>
  <w:num w:numId="6" w16cid:durableId="923226730">
    <w:abstractNumId w:val="11"/>
  </w:num>
  <w:num w:numId="7" w16cid:durableId="180363890">
    <w:abstractNumId w:val="14"/>
  </w:num>
  <w:num w:numId="8" w16cid:durableId="1234895017">
    <w:abstractNumId w:val="3"/>
  </w:num>
  <w:num w:numId="9" w16cid:durableId="2018997006">
    <w:abstractNumId w:val="10"/>
  </w:num>
  <w:num w:numId="10" w16cid:durableId="270088491">
    <w:abstractNumId w:val="5"/>
  </w:num>
  <w:num w:numId="11" w16cid:durableId="1135634591">
    <w:abstractNumId w:val="0"/>
  </w:num>
  <w:num w:numId="12" w16cid:durableId="1546091305">
    <w:abstractNumId w:val="13"/>
  </w:num>
  <w:num w:numId="13" w16cid:durableId="1112436154">
    <w:abstractNumId w:val="8"/>
  </w:num>
  <w:num w:numId="14" w16cid:durableId="147137386">
    <w:abstractNumId w:val="1"/>
  </w:num>
  <w:num w:numId="15" w16cid:durableId="1159418488">
    <w:abstractNumId w:val="6"/>
  </w:num>
  <w:num w:numId="16" w16cid:durableId="16659385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31D"/>
    <w:rsid w:val="0000070D"/>
    <w:rsid w:val="00006305"/>
    <w:rsid w:val="00012F51"/>
    <w:rsid w:val="00016FDC"/>
    <w:rsid w:val="00017296"/>
    <w:rsid w:val="00021B49"/>
    <w:rsid w:val="000270B8"/>
    <w:rsid w:val="00031B97"/>
    <w:rsid w:val="00033C70"/>
    <w:rsid w:val="000366D5"/>
    <w:rsid w:val="000447C2"/>
    <w:rsid w:val="00050B07"/>
    <w:rsid w:val="00052532"/>
    <w:rsid w:val="000536E5"/>
    <w:rsid w:val="000568D7"/>
    <w:rsid w:val="00060ECA"/>
    <w:rsid w:val="00061BD7"/>
    <w:rsid w:val="00062452"/>
    <w:rsid w:val="00062AA1"/>
    <w:rsid w:val="00063240"/>
    <w:rsid w:val="00072FCB"/>
    <w:rsid w:val="0007395B"/>
    <w:rsid w:val="000773B3"/>
    <w:rsid w:val="00082460"/>
    <w:rsid w:val="000840AD"/>
    <w:rsid w:val="000900D5"/>
    <w:rsid w:val="00091B9E"/>
    <w:rsid w:val="0009224A"/>
    <w:rsid w:val="00092308"/>
    <w:rsid w:val="000B0060"/>
    <w:rsid w:val="000B2228"/>
    <w:rsid w:val="000B4C92"/>
    <w:rsid w:val="000B5607"/>
    <w:rsid w:val="000C0A5E"/>
    <w:rsid w:val="000C0FEF"/>
    <w:rsid w:val="000C40D5"/>
    <w:rsid w:val="000C52E2"/>
    <w:rsid w:val="000D08B8"/>
    <w:rsid w:val="000D1973"/>
    <w:rsid w:val="000D2389"/>
    <w:rsid w:val="000D6805"/>
    <w:rsid w:val="000E300B"/>
    <w:rsid w:val="000E3052"/>
    <w:rsid w:val="000E7D7C"/>
    <w:rsid w:val="000E7EA3"/>
    <w:rsid w:val="000F064F"/>
    <w:rsid w:val="000F07E5"/>
    <w:rsid w:val="000F13D4"/>
    <w:rsid w:val="000F1678"/>
    <w:rsid w:val="000F246B"/>
    <w:rsid w:val="000F3B01"/>
    <w:rsid w:val="000F4956"/>
    <w:rsid w:val="000F72F5"/>
    <w:rsid w:val="000F790D"/>
    <w:rsid w:val="000F791B"/>
    <w:rsid w:val="00100CC7"/>
    <w:rsid w:val="001026C2"/>
    <w:rsid w:val="0010463D"/>
    <w:rsid w:val="001067E7"/>
    <w:rsid w:val="00111656"/>
    <w:rsid w:val="001259A7"/>
    <w:rsid w:val="00130E28"/>
    <w:rsid w:val="0013238A"/>
    <w:rsid w:val="00132ADA"/>
    <w:rsid w:val="001368A3"/>
    <w:rsid w:val="00140A50"/>
    <w:rsid w:val="001464BE"/>
    <w:rsid w:val="0014685F"/>
    <w:rsid w:val="001501D4"/>
    <w:rsid w:val="00150B87"/>
    <w:rsid w:val="00154DDA"/>
    <w:rsid w:val="00155862"/>
    <w:rsid w:val="00155D8F"/>
    <w:rsid w:val="001567B9"/>
    <w:rsid w:val="00156950"/>
    <w:rsid w:val="00156C1F"/>
    <w:rsid w:val="00161984"/>
    <w:rsid w:val="00161DC6"/>
    <w:rsid w:val="00166D68"/>
    <w:rsid w:val="001741FA"/>
    <w:rsid w:val="00180699"/>
    <w:rsid w:val="001847A8"/>
    <w:rsid w:val="00190994"/>
    <w:rsid w:val="0019623C"/>
    <w:rsid w:val="001A5B76"/>
    <w:rsid w:val="001A5DF0"/>
    <w:rsid w:val="001B20CC"/>
    <w:rsid w:val="001B6390"/>
    <w:rsid w:val="001B6D91"/>
    <w:rsid w:val="001C10B6"/>
    <w:rsid w:val="001D1AF2"/>
    <w:rsid w:val="001E3738"/>
    <w:rsid w:val="001E696A"/>
    <w:rsid w:val="001F1BEB"/>
    <w:rsid w:val="001F35D4"/>
    <w:rsid w:val="002012CB"/>
    <w:rsid w:val="002100B9"/>
    <w:rsid w:val="00210C67"/>
    <w:rsid w:val="00215A3D"/>
    <w:rsid w:val="0021689A"/>
    <w:rsid w:val="00217D27"/>
    <w:rsid w:val="00220F0B"/>
    <w:rsid w:val="00222C60"/>
    <w:rsid w:val="00222CFC"/>
    <w:rsid w:val="002242AF"/>
    <w:rsid w:val="002271F0"/>
    <w:rsid w:val="002359A7"/>
    <w:rsid w:val="002377CA"/>
    <w:rsid w:val="00241030"/>
    <w:rsid w:val="00242189"/>
    <w:rsid w:val="00242727"/>
    <w:rsid w:val="00244931"/>
    <w:rsid w:val="00245CF1"/>
    <w:rsid w:val="0024639C"/>
    <w:rsid w:val="00254C13"/>
    <w:rsid w:val="0027019F"/>
    <w:rsid w:val="00271901"/>
    <w:rsid w:val="0027384D"/>
    <w:rsid w:val="00273A38"/>
    <w:rsid w:val="00275CD7"/>
    <w:rsid w:val="00277BE2"/>
    <w:rsid w:val="00281599"/>
    <w:rsid w:val="00282625"/>
    <w:rsid w:val="0028319D"/>
    <w:rsid w:val="00285646"/>
    <w:rsid w:val="00285FD9"/>
    <w:rsid w:val="00291340"/>
    <w:rsid w:val="0029446C"/>
    <w:rsid w:val="00297E57"/>
    <w:rsid w:val="002A2761"/>
    <w:rsid w:val="002A591A"/>
    <w:rsid w:val="002A6373"/>
    <w:rsid w:val="002B21BA"/>
    <w:rsid w:val="002B5D11"/>
    <w:rsid w:val="002C133D"/>
    <w:rsid w:val="002C18FE"/>
    <w:rsid w:val="002C4258"/>
    <w:rsid w:val="002C77A2"/>
    <w:rsid w:val="002D038D"/>
    <w:rsid w:val="002D14F8"/>
    <w:rsid w:val="002E3DE6"/>
    <w:rsid w:val="002E413F"/>
    <w:rsid w:val="002E448F"/>
    <w:rsid w:val="002E631B"/>
    <w:rsid w:val="002E64DD"/>
    <w:rsid w:val="00313F0A"/>
    <w:rsid w:val="003210A4"/>
    <w:rsid w:val="0032303D"/>
    <w:rsid w:val="00337C9D"/>
    <w:rsid w:val="00342538"/>
    <w:rsid w:val="00344D6C"/>
    <w:rsid w:val="003526CD"/>
    <w:rsid w:val="00353C91"/>
    <w:rsid w:val="00354FB0"/>
    <w:rsid w:val="003646AD"/>
    <w:rsid w:val="003655D0"/>
    <w:rsid w:val="00367237"/>
    <w:rsid w:val="00374BAA"/>
    <w:rsid w:val="003819CA"/>
    <w:rsid w:val="00385541"/>
    <w:rsid w:val="00386E7E"/>
    <w:rsid w:val="00390D55"/>
    <w:rsid w:val="00391282"/>
    <w:rsid w:val="003954B2"/>
    <w:rsid w:val="00397D7E"/>
    <w:rsid w:val="003A14A8"/>
    <w:rsid w:val="003A1DD1"/>
    <w:rsid w:val="003A1EFD"/>
    <w:rsid w:val="003A520B"/>
    <w:rsid w:val="003B174B"/>
    <w:rsid w:val="003B22E2"/>
    <w:rsid w:val="003B4BC4"/>
    <w:rsid w:val="003B4EED"/>
    <w:rsid w:val="003B62AF"/>
    <w:rsid w:val="003C4A90"/>
    <w:rsid w:val="003D0985"/>
    <w:rsid w:val="003D0AD7"/>
    <w:rsid w:val="003D1FF3"/>
    <w:rsid w:val="003D2FF7"/>
    <w:rsid w:val="003D4F0A"/>
    <w:rsid w:val="003D59CC"/>
    <w:rsid w:val="003E23A0"/>
    <w:rsid w:val="003E2867"/>
    <w:rsid w:val="003E325B"/>
    <w:rsid w:val="003E5BA0"/>
    <w:rsid w:val="003E6F1B"/>
    <w:rsid w:val="003E7271"/>
    <w:rsid w:val="003E7997"/>
    <w:rsid w:val="003F0026"/>
    <w:rsid w:val="003F14E9"/>
    <w:rsid w:val="003F2926"/>
    <w:rsid w:val="003F3E1E"/>
    <w:rsid w:val="003F6E73"/>
    <w:rsid w:val="003F7723"/>
    <w:rsid w:val="00402061"/>
    <w:rsid w:val="00402D30"/>
    <w:rsid w:val="00405858"/>
    <w:rsid w:val="00414CBC"/>
    <w:rsid w:val="00415679"/>
    <w:rsid w:val="00417CAC"/>
    <w:rsid w:val="004224E9"/>
    <w:rsid w:val="00427898"/>
    <w:rsid w:val="00434DDE"/>
    <w:rsid w:val="00437BE9"/>
    <w:rsid w:val="00440709"/>
    <w:rsid w:val="00440C5E"/>
    <w:rsid w:val="00450BA6"/>
    <w:rsid w:val="00460E06"/>
    <w:rsid w:val="00461BE0"/>
    <w:rsid w:val="00461D83"/>
    <w:rsid w:val="00466B91"/>
    <w:rsid w:val="00466CFB"/>
    <w:rsid w:val="0047220E"/>
    <w:rsid w:val="00474B13"/>
    <w:rsid w:val="004806B8"/>
    <w:rsid w:val="004874A6"/>
    <w:rsid w:val="00487571"/>
    <w:rsid w:val="004915EA"/>
    <w:rsid w:val="00493E75"/>
    <w:rsid w:val="0049426E"/>
    <w:rsid w:val="00494CC3"/>
    <w:rsid w:val="00494E15"/>
    <w:rsid w:val="00495A77"/>
    <w:rsid w:val="004A5D30"/>
    <w:rsid w:val="004A637C"/>
    <w:rsid w:val="004A6B57"/>
    <w:rsid w:val="004A7268"/>
    <w:rsid w:val="004A75DC"/>
    <w:rsid w:val="004B22DC"/>
    <w:rsid w:val="004B2B00"/>
    <w:rsid w:val="004B309A"/>
    <w:rsid w:val="004B3A1A"/>
    <w:rsid w:val="004B79EC"/>
    <w:rsid w:val="004C1CC1"/>
    <w:rsid w:val="004C5A77"/>
    <w:rsid w:val="004C6E15"/>
    <w:rsid w:val="004D0B08"/>
    <w:rsid w:val="004D434A"/>
    <w:rsid w:val="004D7C8A"/>
    <w:rsid w:val="004E365B"/>
    <w:rsid w:val="004E3D3D"/>
    <w:rsid w:val="004F4244"/>
    <w:rsid w:val="004F4C33"/>
    <w:rsid w:val="00512E91"/>
    <w:rsid w:val="00515921"/>
    <w:rsid w:val="00520BE9"/>
    <w:rsid w:val="005237E6"/>
    <w:rsid w:val="005271F2"/>
    <w:rsid w:val="00527617"/>
    <w:rsid w:val="00527D95"/>
    <w:rsid w:val="00527DC0"/>
    <w:rsid w:val="00530103"/>
    <w:rsid w:val="00530F1F"/>
    <w:rsid w:val="00534E2B"/>
    <w:rsid w:val="00537312"/>
    <w:rsid w:val="00537D37"/>
    <w:rsid w:val="005512C2"/>
    <w:rsid w:val="00572E32"/>
    <w:rsid w:val="00573DB1"/>
    <w:rsid w:val="005768D7"/>
    <w:rsid w:val="00577DF5"/>
    <w:rsid w:val="0058002D"/>
    <w:rsid w:val="005813F3"/>
    <w:rsid w:val="00581518"/>
    <w:rsid w:val="005823B7"/>
    <w:rsid w:val="00585F1D"/>
    <w:rsid w:val="00587267"/>
    <w:rsid w:val="005931A1"/>
    <w:rsid w:val="00594A23"/>
    <w:rsid w:val="005A147D"/>
    <w:rsid w:val="005A40D5"/>
    <w:rsid w:val="005A799C"/>
    <w:rsid w:val="005B04D8"/>
    <w:rsid w:val="005C5AFC"/>
    <w:rsid w:val="005C7F70"/>
    <w:rsid w:val="005D3FCE"/>
    <w:rsid w:val="005D5366"/>
    <w:rsid w:val="005D71A2"/>
    <w:rsid w:val="005E04AE"/>
    <w:rsid w:val="005E3394"/>
    <w:rsid w:val="005E70CC"/>
    <w:rsid w:val="005E7E9F"/>
    <w:rsid w:val="005F1360"/>
    <w:rsid w:val="005F1F5A"/>
    <w:rsid w:val="005F35D5"/>
    <w:rsid w:val="005F642F"/>
    <w:rsid w:val="005F6CB4"/>
    <w:rsid w:val="0060306E"/>
    <w:rsid w:val="0060553B"/>
    <w:rsid w:val="00606432"/>
    <w:rsid w:val="006075A9"/>
    <w:rsid w:val="00611CCC"/>
    <w:rsid w:val="00612592"/>
    <w:rsid w:val="00613950"/>
    <w:rsid w:val="00614207"/>
    <w:rsid w:val="00616416"/>
    <w:rsid w:val="00620A1F"/>
    <w:rsid w:val="00622B10"/>
    <w:rsid w:val="00624BB9"/>
    <w:rsid w:val="006252E4"/>
    <w:rsid w:val="006301C4"/>
    <w:rsid w:val="00643F31"/>
    <w:rsid w:val="00643F35"/>
    <w:rsid w:val="006502A8"/>
    <w:rsid w:val="006509DB"/>
    <w:rsid w:val="006655F2"/>
    <w:rsid w:val="00666147"/>
    <w:rsid w:val="006766DC"/>
    <w:rsid w:val="00684CA1"/>
    <w:rsid w:val="0068659A"/>
    <w:rsid w:val="00694679"/>
    <w:rsid w:val="006A1B98"/>
    <w:rsid w:val="006A3B04"/>
    <w:rsid w:val="006B0216"/>
    <w:rsid w:val="006B55B1"/>
    <w:rsid w:val="006B6177"/>
    <w:rsid w:val="006C05DF"/>
    <w:rsid w:val="006C0D08"/>
    <w:rsid w:val="006D001D"/>
    <w:rsid w:val="006D3EB5"/>
    <w:rsid w:val="006E12E8"/>
    <w:rsid w:val="006E1492"/>
    <w:rsid w:val="006E4BA7"/>
    <w:rsid w:val="006F0B62"/>
    <w:rsid w:val="006F2BCD"/>
    <w:rsid w:val="00701520"/>
    <w:rsid w:val="00701CE4"/>
    <w:rsid w:val="00703441"/>
    <w:rsid w:val="00703606"/>
    <w:rsid w:val="00703BFA"/>
    <w:rsid w:val="0070745F"/>
    <w:rsid w:val="007102E2"/>
    <w:rsid w:val="007112C6"/>
    <w:rsid w:val="00711787"/>
    <w:rsid w:val="00711BB6"/>
    <w:rsid w:val="007162AF"/>
    <w:rsid w:val="00720979"/>
    <w:rsid w:val="00720AE1"/>
    <w:rsid w:val="00722EF1"/>
    <w:rsid w:val="0072363A"/>
    <w:rsid w:val="00727502"/>
    <w:rsid w:val="007306FC"/>
    <w:rsid w:val="00733C5F"/>
    <w:rsid w:val="00735787"/>
    <w:rsid w:val="00746063"/>
    <w:rsid w:val="00746DD2"/>
    <w:rsid w:val="00747B1A"/>
    <w:rsid w:val="00751348"/>
    <w:rsid w:val="0076174C"/>
    <w:rsid w:val="007666F8"/>
    <w:rsid w:val="00777BB8"/>
    <w:rsid w:val="0078091A"/>
    <w:rsid w:val="00782A8F"/>
    <w:rsid w:val="00787D82"/>
    <w:rsid w:val="00791460"/>
    <w:rsid w:val="00792660"/>
    <w:rsid w:val="00794401"/>
    <w:rsid w:val="007948A0"/>
    <w:rsid w:val="00795465"/>
    <w:rsid w:val="007A0D7B"/>
    <w:rsid w:val="007A36C8"/>
    <w:rsid w:val="007A4BC5"/>
    <w:rsid w:val="007A53A1"/>
    <w:rsid w:val="007A778B"/>
    <w:rsid w:val="007A7FA5"/>
    <w:rsid w:val="007B0480"/>
    <w:rsid w:val="007B13EB"/>
    <w:rsid w:val="007B1B35"/>
    <w:rsid w:val="007B3B01"/>
    <w:rsid w:val="007B3B16"/>
    <w:rsid w:val="007B5D58"/>
    <w:rsid w:val="007C27DC"/>
    <w:rsid w:val="007D0716"/>
    <w:rsid w:val="007D1B1F"/>
    <w:rsid w:val="007D2EA0"/>
    <w:rsid w:val="007D2EA8"/>
    <w:rsid w:val="007D7D56"/>
    <w:rsid w:val="007F02B6"/>
    <w:rsid w:val="007F04FC"/>
    <w:rsid w:val="007F49B1"/>
    <w:rsid w:val="007F527D"/>
    <w:rsid w:val="007F6EC4"/>
    <w:rsid w:val="008034FF"/>
    <w:rsid w:val="00803C74"/>
    <w:rsid w:val="00807F63"/>
    <w:rsid w:val="00813E05"/>
    <w:rsid w:val="008165C2"/>
    <w:rsid w:val="00816AB3"/>
    <w:rsid w:val="008227A3"/>
    <w:rsid w:val="008229DC"/>
    <w:rsid w:val="00823610"/>
    <w:rsid w:val="0082472E"/>
    <w:rsid w:val="008342A3"/>
    <w:rsid w:val="00834A45"/>
    <w:rsid w:val="00845A70"/>
    <w:rsid w:val="0085374E"/>
    <w:rsid w:val="00856C4E"/>
    <w:rsid w:val="008579E7"/>
    <w:rsid w:val="00864F48"/>
    <w:rsid w:val="008679AC"/>
    <w:rsid w:val="008717EC"/>
    <w:rsid w:val="008725E1"/>
    <w:rsid w:val="00873344"/>
    <w:rsid w:val="00877983"/>
    <w:rsid w:val="00877C1A"/>
    <w:rsid w:val="00881937"/>
    <w:rsid w:val="008827CB"/>
    <w:rsid w:val="00882CE0"/>
    <w:rsid w:val="00882E68"/>
    <w:rsid w:val="008836A7"/>
    <w:rsid w:val="00893A34"/>
    <w:rsid w:val="0089665D"/>
    <w:rsid w:val="008A6E21"/>
    <w:rsid w:val="008B2DA2"/>
    <w:rsid w:val="008B6B47"/>
    <w:rsid w:val="008C4B2D"/>
    <w:rsid w:val="008C51F4"/>
    <w:rsid w:val="008C5707"/>
    <w:rsid w:val="008C5F41"/>
    <w:rsid w:val="008D2D6F"/>
    <w:rsid w:val="008D6751"/>
    <w:rsid w:val="008D7E3C"/>
    <w:rsid w:val="008E687B"/>
    <w:rsid w:val="008F2BAE"/>
    <w:rsid w:val="008F54A7"/>
    <w:rsid w:val="008F5AF4"/>
    <w:rsid w:val="008F6869"/>
    <w:rsid w:val="009000C7"/>
    <w:rsid w:val="00907760"/>
    <w:rsid w:val="009101F6"/>
    <w:rsid w:val="00911F57"/>
    <w:rsid w:val="009124B1"/>
    <w:rsid w:val="0091301A"/>
    <w:rsid w:val="0091747A"/>
    <w:rsid w:val="00924C70"/>
    <w:rsid w:val="00927CB2"/>
    <w:rsid w:val="00927E23"/>
    <w:rsid w:val="0093125D"/>
    <w:rsid w:val="0093276D"/>
    <w:rsid w:val="00933BED"/>
    <w:rsid w:val="00933D3A"/>
    <w:rsid w:val="0093527F"/>
    <w:rsid w:val="00936BC8"/>
    <w:rsid w:val="009441BF"/>
    <w:rsid w:val="0094572F"/>
    <w:rsid w:val="00946655"/>
    <w:rsid w:val="00951E9D"/>
    <w:rsid w:val="0095365C"/>
    <w:rsid w:val="00956251"/>
    <w:rsid w:val="00956E26"/>
    <w:rsid w:val="0097125E"/>
    <w:rsid w:val="00972387"/>
    <w:rsid w:val="009729D0"/>
    <w:rsid w:val="00974AEE"/>
    <w:rsid w:val="0097580E"/>
    <w:rsid w:val="00977E3E"/>
    <w:rsid w:val="009807A1"/>
    <w:rsid w:val="00981293"/>
    <w:rsid w:val="00982434"/>
    <w:rsid w:val="00985B19"/>
    <w:rsid w:val="00990883"/>
    <w:rsid w:val="00991AC5"/>
    <w:rsid w:val="00993163"/>
    <w:rsid w:val="0099496A"/>
    <w:rsid w:val="009959B8"/>
    <w:rsid w:val="009970E6"/>
    <w:rsid w:val="009A1F36"/>
    <w:rsid w:val="009A37F4"/>
    <w:rsid w:val="009B23C1"/>
    <w:rsid w:val="009B3086"/>
    <w:rsid w:val="009B40E1"/>
    <w:rsid w:val="009C09AB"/>
    <w:rsid w:val="009C2AB5"/>
    <w:rsid w:val="009C5B3A"/>
    <w:rsid w:val="009D2311"/>
    <w:rsid w:val="009D35B1"/>
    <w:rsid w:val="009E0C5A"/>
    <w:rsid w:val="009E38F7"/>
    <w:rsid w:val="009E7073"/>
    <w:rsid w:val="009F01C7"/>
    <w:rsid w:val="009F1AB0"/>
    <w:rsid w:val="009F1FC0"/>
    <w:rsid w:val="00A0495A"/>
    <w:rsid w:val="00A06563"/>
    <w:rsid w:val="00A10FC4"/>
    <w:rsid w:val="00A14CCA"/>
    <w:rsid w:val="00A21A31"/>
    <w:rsid w:val="00A21BE7"/>
    <w:rsid w:val="00A233FC"/>
    <w:rsid w:val="00A237BA"/>
    <w:rsid w:val="00A27401"/>
    <w:rsid w:val="00A3107B"/>
    <w:rsid w:val="00A35F8F"/>
    <w:rsid w:val="00A431B3"/>
    <w:rsid w:val="00A43C98"/>
    <w:rsid w:val="00A456AA"/>
    <w:rsid w:val="00A45AF9"/>
    <w:rsid w:val="00A50C12"/>
    <w:rsid w:val="00A52739"/>
    <w:rsid w:val="00A56226"/>
    <w:rsid w:val="00A56C05"/>
    <w:rsid w:val="00A6043D"/>
    <w:rsid w:val="00A64DBF"/>
    <w:rsid w:val="00A74517"/>
    <w:rsid w:val="00A745CA"/>
    <w:rsid w:val="00A764CE"/>
    <w:rsid w:val="00A806D2"/>
    <w:rsid w:val="00A83729"/>
    <w:rsid w:val="00A846E0"/>
    <w:rsid w:val="00A8614A"/>
    <w:rsid w:val="00AA412E"/>
    <w:rsid w:val="00AB02B7"/>
    <w:rsid w:val="00AB1523"/>
    <w:rsid w:val="00AB22EE"/>
    <w:rsid w:val="00AB4025"/>
    <w:rsid w:val="00AD29A3"/>
    <w:rsid w:val="00AD5665"/>
    <w:rsid w:val="00AD68C6"/>
    <w:rsid w:val="00AD7F7A"/>
    <w:rsid w:val="00AE1048"/>
    <w:rsid w:val="00AE135C"/>
    <w:rsid w:val="00AE166B"/>
    <w:rsid w:val="00AE6E03"/>
    <w:rsid w:val="00AE79FC"/>
    <w:rsid w:val="00AF0AD2"/>
    <w:rsid w:val="00AF4868"/>
    <w:rsid w:val="00AF6027"/>
    <w:rsid w:val="00AF6C7A"/>
    <w:rsid w:val="00B00605"/>
    <w:rsid w:val="00B012B9"/>
    <w:rsid w:val="00B036EA"/>
    <w:rsid w:val="00B05606"/>
    <w:rsid w:val="00B11059"/>
    <w:rsid w:val="00B2467F"/>
    <w:rsid w:val="00B2539C"/>
    <w:rsid w:val="00B27848"/>
    <w:rsid w:val="00B34F5D"/>
    <w:rsid w:val="00B36F18"/>
    <w:rsid w:val="00B401DC"/>
    <w:rsid w:val="00B54302"/>
    <w:rsid w:val="00B56338"/>
    <w:rsid w:val="00B60A17"/>
    <w:rsid w:val="00B631FD"/>
    <w:rsid w:val="00B63B43"/>
    <w:rsid w:val="00B66276"/>
    <w:rsid w:val="00B703F8"/>
    <w:rsid w:val="00B730C4"/>
    <w:rsid w:val="00B74844"/>
    <w:rsid w:val="00B83095"/>
    <w:rsid w:val="00B92943"/>
    <w:rsid w:val="00B93BCA"/>
    <w:rsid w:val="00BA30BF"/>
    <w:rsid w:val="00BA4307"/>
    <w:rsid w:val="00BB5754"/>
    <w:rsid w:val="00BB757A"/>
    <w:rsid w:val="00BC292B"/>
    <w:rsid w:val="00BD40AA"/>
    <w:rsid w:val="00BD46A3"/>
    <w:rsid w:val="00BE134F"/>
    <w:rsid w:val="00BE6AEE"/>
    <w:rsid w:val="00BE7333"/>
    <w:rsid w:val="00BF17D6"/>
    <w:rsid w:val="00BF3D14"/>
    <w:rsid w:val="00BF7259"/>
    <w:rsid w:val="00BF7711"/>
    <w:rsid w:val="00BF7ACC"/>
    <w:rsid w:val="00C00ABA"/>
    <w:rsid w:val="00C03193"/>
    <w:rsid w:val="00C050B1"/>
    <w:rsid w:val="00C0653E"/>
    <w:rsid w:val="00C17FF4"/>
    <w:rsid w:val="00C20110"/>
    <w:rsid w:val="00C256A3"/>
    <w:rsid w:val="00C277EA"/>
    <w:rsid w:val="00C333A4"/>
    <w:rsid w:val="00C41F47"/>
    <w:rsid w:val="00C43687"/>
    <w:rsid w:val="00C44233"/>
    <w:rsid w:val="00C4493A"/>
    <w:rsid w:val="00C5232B"/>
    <w:rsid w:val="00C6387C"/>
    <w:rsid w:val="00C75C45"/>
    <w:rsid w:val="00C77564"/>
    <w:rsid w:val="00C8261A"/>
    <w:rsid w:val="00C83052"/>
    <w:rsid w:val="00C872C4"/>
    <w:rsid w:val="00C902C3"/>
    <w:rsid w:val="00C9412C"/>
    <w:rsid w:val="00C945B8"/>
    <w:rsid w:val="00C948BE"/>
    <w:rsid w:val="00CA4E42"/>
    <w:rsid w:val="00CA4EB5"/>
    <w:rsid w:val="00CB4A68"/>
    <w:rsid w:val="00CB4B2A"/>
    <w:rsid w:val="00CB57BE"/>
    <w:rsid w:val="00CB59A4"/>
    <w:rsid w:val="00CB6068"/>
    <w:rsid w:val="00CC1C4A"/>
    <w:rsid w:val="00CC45C8"/>
    <w:rsid w:val="00CC73F3"/>
    <w:rsid w:val="00CD05D8"/>
    <w:rsid w:val="00CD4695"/>
    <w:rsid w:val="00CD78C1"/>
    <w:rsid w:val="00CE2FC1"/>
    <w:rsid w:val="00CE5137"/>
    <w:rsid w:val="00CE7354"/>
    <w:rsid w:val="00CF1328"/>
    <w:rsid w:val="00CF5C4F"/>
    <w:rsid w:val="00CF7949"/>
    <w:rsid w:val="00D01378"/>
    <w:rsid w:val="00D0666A"/>
    <w:rsid w:val="00D0776E"/>
    <w:rsid w:val="00D148A2"/>
    <w:rsid w:val="00D1602C"/>
    <w:rsid w:val="00D265AB"/>
    <w:rsid w:val="00D30CED"/>
    <w:rsid w:val="00D31F3A"/>
    <w:rsid w:val="00D36136"/>
    <w:rsid w:val="00D4012C"/>
    <w:rsid w:val="00D4348B"/>
    <w:rsid w:val="00D45314"/>
    <w:rsid w:val="00D50A2A"/>
    <w:rsid w:val="00D51241"/>
    <w:rsid w:val="00D53CD7"/>
    <w:rsid w:val="00D57EC8"/>
    <w:rsid w:val="00D6338B"/>
    <w:rsid w:val="00D64B0D"/>
    <w:rsid w:val="00D712BA"/>
    <w:rsid w:val="00D719C6"/>
    <w:rsid w:val="00D73CD1"/>
    <w:rsid w:val="00D73D7C"/>
    <w:rsid w:val="00D80E90"/>
    <w:rsid w:val="00D8354A"/>
    <w:rsid w:val="00D84321"/>
    <w:rsid w:val="00D918A2"/>
    <w:rsid w:val="00D91C92"/>
    <w:rsid w:val="00D92993"/>
    <w:rsid w:val="00DA0267"/>
    <w:rsid w:val="00DA0674"/>
    <w:rsid w:val="00DA11C8"/>
    <w:rsid w:val="00DA2B91"/>
    <w:rsid w:val="00DA5466"/>
    <w:rsid w:val="00DB234B"/>
    <w:rsid w:val="00DB2E1A"/>
    <w:rsid w:val="00DB5856"/>
    <w:rsid w:val="00DB7A57"/>
    <w:rsid w:val="00DC121D"/>
    <w:rsid w:val="00DC447E"/>
    <w:rsid w:val="00DD2B88"/>
    <w:rsid w:val="00DD3430"/>
    <w:rsid w:val="00DD7E20"/>
    <w:rsid w:val="00DE3478"/>
    <w:rsid w:val="00DE375E"/>
    <w:rsid w:val="00DE6651"/>
    <w:rsid w:val="00DF0D0B"/>
    <w:rsid w:val="00DF1229"/>
    <w:rsid w:val="00DF16FC"/>
    <w:rsid w:val="00DF178E"/>
    <w:rsid w:val="00DF2FF7"/>
    <w:rsid w:val="00DF3DF6"/>
    <w:rsid w:val="00DF4BF9"/>
    <w:rsid w:val="00DF5063"/>
    <w:rsid w:val="00E00C74"/>
    <w:rsid w:val="00E02789"/>
    <w:rsid w:val="00E07B02"/>
    <w:rsid w:val="00E1049A"/>
    <w:rsid w:val="00E126EB"/>
    <w:rsid w:val="00E23A86"/>
    <w:rsid w:val="00E27ED2"/>
    <w:rsid w:val="00E31BA6"/>
    <w:rsid w:val="00E334CD"/>
    <w:rsid w:val="00E36A61"/>
    <w:rsid w:val="00E46A1B"/>
    <w:rsid w:val="00E56CBE"/>
    <w:rsid w:val="00E572DF"/>
    <w:rsid w:val="00E61AAA"/>
    <w:rsid w:val="00E61AAC"/>
    <w:rsid w:val="00E6629B"/>
    <w:rsid w:val="00E74A25"/>
    <w:rsid w:val="00E768EF"/>
    <w:rsid w:val="00E8014D"/>
    <w:rsid w:val="00E93993"/>
    <w:rsid w:val="00E97694"/>
    <w:rsid w:val="00E976C0"/>
    <w:rsid w:val="00EA074E"/>
    <w:rsid w:val="00EA7DDF"/>
    <w:rsid w:val="00EA7E43"/>
    <w:rsid w:val="00EB2D3E"/>
    <w:rsid w:val="00EB3C84"/>
    <w:rsid w:val="00EB41AA"/>
    <w:rsid w:val="00EC5226"/>
    <w:rsid w:val="00EC7DC9"/>
    <w:rsid w:val="00ED0AD8"/>
    <w:rsid w:val="00ED41FE"/>
    <w:rsid w:val="00ED54C7"/>
    <w:rsid w:val="00ED6792"/>
    <w:rsid w:val="00EE0230"/>
    <w:rsid w:val="00EE2B5D"/>
    <w:rsid w:val="00EE6265"/>
    <w:rsid w:val="00EF2185"/>
    <w:rsid w:val="00EF3111"/>
    <w:rsid w:val="00EF5A24"/>
    <w:rsid w:val="00F00D6D"/>
    <w:rsid w:val="00F03C98"/>
    <w:rsid w:val="00F0531D"/>
    <w:rsid w:val="00F0590C"/>
    <w:rsid w:val="00F107AA"/>
    <w:rsid w:val="00F11424"/>
    <w:rsid w:val="00F1192B"/>
    <w:rsid w:val="00F13862"/>
    <w:rsid w:val="00F16342"/>
    <w:rsid w:val="00F262B2"/>
    <w:rsid w:val="00F262FF"/>
    <w:rsid w:val="00F30C1E"/>
    <w:rsid w:val="00F374AE"/>
    <w:rsid w:val="00F37EE9"/>
    <w:rsid w:val="00F444CE"/>
    <w:rsid w:val="00F45238"/>
    <w:rsid w:val="00F56695"/>
    <w:rsid w:val="00F57F80"/>
    <w:rsid w:val="00F60B40"/>
    <w:rsid w:val="00F61745"/>
    <w:rsid w:val="00F6398E"/>
    <w:rsid w:val="00F7258A"/>
    <w:rsid w:val="00F73009"/>
    <w:rsid w:val="00F74C84"/>
    <w:rsid w:val="00F75DE5"/>
    <w:rsid w:val="00F772D9"/>
    <w:rsid w:val="00F800BC"/>
    <w:rsid w:val="00F80EB4"/>
    <w:rsid w:val="00F82EB3"/>
    <w:rsid w:val="00F85476"/>
    <w:rsid w:val="00F87402"/>
    <w:rsid w:val="00F90C10"/>
    <w:rsid w:val="00FA0143"/>
    <w:rsid w:val="00FA077A"/>
    <w:rsid w:val="00FA1704"/>
    <w:rsid w:val="00FA7862"/>
    <w:rsid w:val="00FA78F7"/>
    <w:rsid w:val="00FB1859"/>
    <w:rsid w:val="00FB326C"/>
    <w:rsid w:val="00FB3738"/>
    <w:rsid w:val="00FB3753"/>
    <w:rsid w:val="00FB4071"/>
    <w:rsid w:val="00FB74E0"/>
    <w:rsid w:val="00FB7D98"/>
    <w:rsid w:val="00FC260B"/>
    <w:rsid w:val="00FC7419"/>
    <w:rsid w:val="00FD6577"/>
    <w:rsid w:val="00FD664D"/>
    <w:rsid w:val="00FE1FD4"/>
    <w:rsid w:val="00FE4176"/>
    <w:rsid w:val="00FF0281"/>
    <w:rsid w:val="00FF3A9E"/>
    <w:rsid w:val="00FF44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4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8C6"/>
    <w:pPr>
      <w:spacing w:after="0" w:line="300" w:lineRule="auto"/>
      <w:jc w:val="both"/>
    </w:pPr>
    <w:rPr>
      <w:rFonts w:ascii="Times New Roman" w:hAnsi="Times New Roman"/>
      <w:sz w:val="24"/>
    </w:rPr>
  </w:style>
  <w:style w:type="paragraph" w:styleId="Overskrift1">
    <w:name w:val="heading 1"/>
    <w:basedOn w:val="Normal"/>
    <w:next w:val="Normal"/>
    <w:link w:val="Overskrift1Tegn"/>
    <w:uiPriority w:val="9"/>
    <w:qFormat/>
    <w:rsid w:val="00A06563"/>
    <w:pPr>
      <w:keepNext/>
      <w:keepLines/>
      <w:outlineLvl w:val="0"/>
    </w:pPr>
    <w:rPr>
      <w:rFonts w:eastAsiaTheme="majorEastAsia" w:cstheme="majorBidi"/>
      <w:b/>
      <w:bCs/>
      <w:sz w:val="28"/>
      <w:szCs w:val="28"/>
    </w:rPr>
  </w:style>
  <w:style w:type="paragraph" w:styleId="Overskrift2">
    <w:name w:val="heading 2"/>
    <w:basedOn w:val="Normal"/>
    <w:next w:val="Normal"/>
    <w:link w:val="Overskrift2Tegn"/>
    <w:uiPriority w:val="9"/>
    <w:unhideWhenUsed/>
    <w:qFormat/>
    <w:rsid w:val="00A06563"/>
    <w:pPr>
      <w:keepNext/>
      <w:keepLines/>
      <w:outlineLvl w:val="1"/>
    </w:pPr>
    <w:rPr>
      <w:rFonts w:eastAsiaTheme="majorEastAsia" w:cstheme="majorBidi"/>
      <w:b/>
      <w:bCs/>
      <w:sz w:val="28"/>
      <w:szCs w:val="26"/>
    </w:rPr>
  </w:style>
  <w:style w:type="paragraph" w:styleId="Overskrift3">
    <w:name w:val="heading 3"/>
    <w:basedOn w:val="Normal"/>
    <w:next w:val="Normal"/>
    <w:link w:val="Overskrift3Tegn"/>
    <w:uiPriority w:val="9"/>
    <w:semiHidden/>
    <w:unhideWhenUsed/>
    <w:qFormat/>
    <w:rsid w:val="00F0531D"/>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06563"/>
    <w:rPr>
      <w:rFonts w:ascii="Times New Roman" w:eastAsiaTheme="majorEastAsia" w:hAnsi="Times New Roman" w:cstheme="majorBidi"/>
      <w:b/>
      <w:bCs/>
      <w:sz w:val="28"/>
      <w:szCs w:val="28"/>
    </w:rPr>
  </w:style>
  <w:style w:type="character" w:customStyle="1" w:styleId="Overskrift2Tegn">
    <w:name w:val="Overskrift 2 Tegn"/>
    <w:basedOn w:val="Standardskrifttypeiafsnit"/>
    <w:link w:val="Overskrift2"/>
    <w:uiPriority w:val="9"/>
    <w:rsid w:val="00A06563"/>
    <w:rPr>
      <w:rFonts w:ascii="Times New Roman" w:eastAsiaTheme="majorEastAsia" w:hAnsi="Times New Roman" w:cstheme="majorBidi"/>
      <w:b/>
      <w:bCs/>
      <w:sz w:val="28"/>
      <w:szCs w:val="26"/>
    </w:rPr>
  </w:style>
  <w:style w:type="paragraph" w:styleId="Titel">
    <w:name w:val="Title"/>
    <w:basedOn w:val="Normal"/>
    <w:next w:val="Normal"/>
    <w:link w:val="TitelTegn"/>
    <w:uiPriority w:val="10"/>
    <w:qFormat/>
    <w:rsid w:val="00A10FC4"/>
    <w:pPr>
      <w:spacing w:before="240" w:after="60"/>
      <w:contextualSpacing/>
    </w:pPr>
    <w:rPr>
      <w:rFonts w:eastAsiaTheme="majorEastAsia" w:cstheme="majorBidi"/>
      <w:b/>
      <w:spacing w:val="5"/>
      <w:kern w:val="28"/>
      <w:sz w:val="32"/>
      <w:szCs w:val="52"/>
    </w:rPr>
  </w:style>
  <w:style w:type="character" w:customStyle="1" w:styleId="TitelTegn">
    <w:name w:val="Titel Tegn"/>
    <w:basedOn w:val="Standardskrifttypeiafsnit"/>
    <w:link w:val="Titel"/>
    <w:uiPriority w:val="10"/>
    <w:rsid w:val="00A10FC4"/>
    <w:rPr>
      <w:rFonts w:ascii="Times New Roman" w:eastAsiaTheme="majorEastAsia" w:hAnsi="Times New Roman" w:cstheme="majorBidi"/>
      <w:b/>
      <w:spacing w:val="5"/>
      <w:kern w:val="28"/>
      <w:sz w:val="32"/>
      <w:szCs w:val="52"/>
    </w:rPr>
  </w:style>
  <w:style w:type="paragraph" w:styleId="Undertitel">
    <w:name w:val="Subtitle"/>
    <w:basedOn w:val="Normal"/>
    <w:next w:val="Normal"/>
    <w:link w:val="UndertitelTegn"/>
    <w:uiPriority w:val="11"/>
    <w:qFormat/>
    <w:rsid w:val="00A10FC4"/>
    <w:pPr>
      <w:numPr>
        <w:ilvl w:val="1"/>
      </w:numPr>
      <w:spacing w:after="60"/>
      <w:outlineLvl w:val="1"/>
    </w:pPr>
    <w:rPr>
      <w:rFonts w:eastAsiaTheme="majorEastAsia" w:cstheme="majorBidi"/>
      <w:iCs/>
      <w:spacing w:val="15"/>
      <w:szCs w:val="24"/>
    </w:rPr>
  </w:style>
  <w:style w:type="character" w:customStyle="1" w:styleId="UndertitelTegn">
    <w:name w:val="Undertitel Tegn"/>
    <w:basedOn w:val="Standardskrifttypeiafsnit"/>
    <w:link w:val="Undertitel"/>
    <w:uiPriority w:val="11"/>
    <w:rsid w:val="00A10FC4"/>
    <w:rPr>
      <w:rFonts w:ascii="Times New Roman" w:eastAsiaTheme="majorEastAsia" w:hAnsi="Times New Roman" w:cstheme="majorBidi"/>
      <w:iCs/>
      <w:spacing w:val="15"/>
      <w:sz w:val="24"/>
      <w:szCs w:val="24"/>
    </w:rPr>
  </w:style>
  <w:style w:type="paragraph" w:styleId="Sidehoved">
    <w:name w:val="header"/>
    <w:basedOn w:val="Normal"/>
    <w:link w:val="SidehovedTegn"/>
    <w:uiPriority w:val="99"/>
    <w:unhideWhenUsed/>
    <w:rsid w:val="00D712B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712BA"/>
    <w:rPr>
      <w:rFonts w:ascii="Times New Roman" w:hAnsi="Times New Roman"/>
      <w:sz w:val="24"/>
    </w:rPr>
  </w:style>
  <w:style w:type="paragraph" w:styleId="Sidefod">
    <w:name w:val="footer"/>
    <w:basedOn w:val="Normal"/>
    <w:link w:val="SidefodTegn"/>
    <w:unhideWhenUsed/>
    <w:rsid w:val="00D712BA"/>
    <w:pPr>
      <w:tabs>
        <w:tab w:val="center" w:pos="4819"/>
        <w:tab w:val="right" w:pos="9638"/>
      </w:tabs>
      <w:spacing w:line="240" w:lineRule="auto"/>
    </w:pPr>
  </w:style>
  <w:style w:type="character" w:customStyle="1" w:styleId="SidefodTegn">
    <w:name w:val="Sidefod Tegn"/>
    <w:basedOn w:val="Standardskrifttypeiafsnit"/>
    <w:link w:val="Sidefod"/>
    <w:rsid w:val="00D712BA"/>
    <w:rPr>
      <w:rFonts w:ascii="Times New Roman" w:hAnsi="Times New Roman"/>
      <w:sz w:val="24"/>
    </w:rPr>
  </w:style>
  <w:style w:type="paragraph" w:styleId="Markeringsbobletekst">
    <w:name w:val="Balloon Text"/>
    <w:basedOn w:val="Normal"/>
    <w:link w:val="MarkeringsbobletekstTegn"/>
    <w:uiPriority w:val="99"/>
    <w:semiHidden/>
    <w:unhideWhenUsed/>
    <w:rsid w:val="00D712B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712BA"/>
    <w:rPr>
      <w:rFonts w:ascii="Tahoma" w:hAnsi="Tahoma" w:cs="Tahoma"/>
      <w:sz w:val="16"/>
      <w:szCs w:val="16"/>
    </w:rPr>
  </w:style>
  <w:style w:type="character" w:styleId="Sidetal">
    <w:name w:val="page number"/>
    <w:basedOn w:val="Standardskrifttypeiafsnit"/>
    <w:semiHidden/>
    <w:unhideWhenUsed/>
    <w:rsid w:val="005931A1"/>
  </w:style>
  <w:style w:type="paragraph" w:styleId="Citat">
    <w:name w:val="Quote"/>
    <w:basedOn w:val="Normal"/>
    <w:next w:val="Normal"/>
    <w:link w:val="CitatTegn"/>
    <w:uiPriority w:val="29"/>
    <w:qFormat/>
    <w:rsid w:val="00450BA6"/>
    <w:pPr>
      <w:ind w:left="567" w:right="567"/>
    </w:pPr>
    <w:rPr>
      <w:i/>
      <w:iCs/>
      <w:color w:val="000000" w:themeColor="text1"/>
    </w:rPr>
  </w:style>
  <w:style w:type="character" w:customStyle="1" w:styleId="CitatTegn">
    <w:name w:val="Citat Tegn"/>
    <w:basedOn w:val="Standardskrifttypeiafsnit"/>
    <w:link w:val="Citat"/>
    <w:uiPriority w:val="29"/>
    <w:rsid w:val="00450BA6"/>
    <w:rPr>
      <w:rFonts w:ascii="Times New Roman" w:hAnsi="Times New Roman"/>
      <w:i/>
      <w:iCs/>
      <w:color w:val="000000" w:themeColor="text1"/>
      <w:sz w:val="24"/>
    </w:rPr>
  </w:style>
  <w:style w:type="character" w:styleId="Hyperlink">
    <w:name w:val="Hyperlink"/>
    <w:basedOn w:val="Standardskrifttypeiafsnit"/>
    <w:uiPriority w:val="99"/>
    <w:unhideWhenUsed/>
    <w:rsid w:val="00092308"/>
    <w:rPr>
      <w:color w:val="0000FF" w:themeColor="hyperlink"/>
      <w:u w:val="single"/>
    </w:rPr>
  </w:style>
  <w:style w:type="table" w:customStyle="1" w:styleId="IndreTabel">
    <w:name w:val="IndreTabel"/>
    <w:basedOn w:val="Tabel-Normal"/>
    <w:uiPriority w:val="99"/>
    <w:rsid w:val="003B174B"/>
    <w:pPr>
      <w:spacing w:after="0" w:line="240" w:lineRule="auto"/>
    </w:pPr>
    <w:tblPr>
      <w:tblBorders>
        <w:top w:val="single" w:sz="8" w:space="0" w:color="E4E2D9"/>
        <w:bottom w:val="single" w:sz="8" w:space="0" w:color="E4E2D9"/>
        <w:insideH w:val="single" w:sz="8" w:space="0" w:color="E4E2D9"/>
      </w:tblBorders>
      <w:tblCellMar>
        <w:left w:w="0" w:type="dxa"/>
        <w:right w:w="0" w:type="dxa"/>
      </w:tblCellMar>
    </w:tblPr>
    <w:tcPr>
      <w:shd w:val="clear" w:color="auto" w:fill="auto"/>
      <w:vAlign w:val="center"/>
    </w:tcPr>
  </w:style>
  <w:style w:type="paragraph" w:customStyle="1" w:styleId="IndreTabelTekstVenstre">
    <w:name w:val="IndreTabelTekstVenstre"/>
    <w:basedOn w:val="Normal"/>
    <w:rsid w:val="003B174B"/>
    <w:pPr>
      <w:spacing w:line="150" w:lineRule="atLeast"/>
      <w:jc w:val="left"/>
    </w:pPr>
    <w:rPr>
      <w:sz w:val="14"/>
    </w:rPr>
  </w:style>
  <w:style w:type="paragraph" w:customStyle="1" w:styleId="IndreTabelTekstHjre">
    <w:name w:val="IndreTabelTekstHøjre"/>
    <w:basedOn w:val="IndreTabelTekstVenstre"/>
    <w:rsid w:val="003B174B"/>
    <w:pPr>
      <w:jc w:val="right"/>
    </w:pPr>
  </w:style>
  <w:style w:type="paragraph" w:customStyle="1" w:styleId="IndreTabelOverskriftHjre">
    <w:name w:val="IndreTabelOverskriftHøjre"/>
    <w:basedOn w:val="IndreTabelTekstHjre"/>
    <w:rsid w:val="003B174B"/>
    <w:rPr>
      <w:b/>
    </w:rPr>
  </w:style>
  <w:style w:type="paragraph" w:customStyle="1" w:styleId="IndreTabelOverskriftVenstre">
    <w:name w:val="IndreTabelOverskriftVenstre"/>
    <w:basedOn w:val="IndreTabelTekstVenstre"/>
    <w:rsid w:val="003B174B"/>
    <w:rPr>
      <w:i/>
    </w:rPr>
  </w:style>
  <w:style w:type="paragraph" w:customStyle="1" w:styleId="IndreTabelUnderoverskriftHjre">
    <w:name w:val="IndreTabelUnderoverskriftHøjre"/>
    <w:basedOn w:val="IndreTabelTekstHjre"/>
    <w:rsid w:val="003B174B"/>
    <w:rPr>
      <w:b/>
    </w:rPr>
  </w:style>
  <w:style w:type="paragraph" w:customStyle="1" w:styleId="IndreTabelUnderoverskriftVenstre">
    <w:name w:val="IndreTabelUnderoverskriftVenstre"/>
    <w:basedOn w:val="IndreTabelTekstVenstre"/>
    <w:rsid w:val="003B174B"/>
    <w:rPr>
      <w:b/>
    </w:rPr>
  </w:style>
  <w:style w:type="paragraph" w:customStyle="1" w:styleId="TabelKilde">
    <w:name w:val="TabelKilde"/>
    <w:basedOn w:val="Normal"/>
    <w:rsid w:val="003B174B"/>
    <w:pPr>
      <w:ind w:left="227" w:right="227"/>
    </w:pPr>
    <w:rPr>
      <w:color w:val="000000"/>
      <w:sz w:val="14"/>
    </w:rPr>
  </w:style>
  <w:style w:type="paragraph" w:customStyle="1" w:styleId="TabelOverskrift">
    <w:name w:val="TabelOverskrift"/>
    <w:basedOn w:val="Normal"/>
    <w:rsid w:val="003B174B"/>
    <w:pPr>
      <w:spacing w:after="210" w:line="210" w:lineRule="atLeast"/>
      <w:ind w:left="227" w:right="227"/>
    </w:pPr>
    <w:rPr>
      <w:b/>
      <w:color w:val="000000"/>
      <w:sz w:val="14"/>
    </w:rPr>
  </w:style>
  <w:style w:type="paragraph" w:customStyle="1" w:styleId="TabelTitel">
    <w:name w:val="TabelTitel"/>
    <w:basedOn w:val="Normal"/>
    <w:rsid w:val="003B174B"/>
    <w:pPr>
      <w:spacing w:before="170" w:line="230" w:lineRule="atLeast"/>
      <w:ind w:left="227" w:right="227"/>
    </w:pPr>
    <w:rPr>
      <w:b/>
      <w:color w:val="031D5C"/>
      <w:sz w:val="15"/>
    </w:rPr>
  </w:style>
  <w:style w:type="table" w:customStyle="1" w:styleId="YdreTabel">
    <w:name w:val="YdreTabel"/>
    <w:basedOn w:val="Tabel-Normal"/>
    <w:uiPriority w:val="99"/>
    <w:rsid w:val="003B174B"/>
    <w:pPr>
      <w:spacing w:after="0" w:line="240" w:lineRule="auto"/>
    </w:pPr>
    <w:rPr>
      <w:rFonts w:ascii="Times New Roman" w:hAnsi="Times New Roman"/>
      <w:sz w:val="14"/>
    </w:rPr>
    <w:tblPr>
      <w:tblStyleRowBandSize w:val="1"/>
      <w:tblBorders>
        <w:top w:val="single" w:sz="4" w:space="0" w:color="auto"/>
      </w:tblBorders>
      <w:tblCellMar>
        <w:left w:w="0" w:type="dxa"/>
        <w:right w:w="0" w:type="dxa"/>
      </w:tblCellMar>
    </w:tblPr>
    <w:tcPr>
      <w:shd w:val="clear" w:color="auto" w:fill="F9F8E0"/>
    </w:tcPr>
    <w:tblStylePr w:type="firstRow">
      <w:tblPr/>
      <w:tcPr>
        <w:shd w:val="clear" w:color="auto" w:fill="F9F8E0"/>
      </w:tcPr>
    </w:tblStylePr>
    <w:tblStylePr w:type="lastRow">
      <w:tblPr/>
      <w:tcPr>
        <w:tcBorders>
          <w:top w:val="nil"/>
          <w:left w:val="nil"/>
          <w:bottom w:val="nil"/>
          <w:right w:val="nil"/>
          <w:insideH w:val="nil"/>
          <w:insideV w:val="nil"/>
          <w:tl2br w:val="nil"/>
          <w:tr2bl w:val="nil"/>
        </w:tcBorders>
        <w:shd w:val="clear" w:color="auto" w:fill="F9F8E0"/>
      </w:tcPr>
    </w:tblStylePr>
    <w:tblStylePr w:type="band1Horz">
      <w:tblPr/>
      <w:tcPr>
        <w:shd w:val="clear" w:color="auto" w:fill="F9F8E0"/>
      </w:tcPr>
    </w:tblStylePr>
    <w:tblStylePr w:type="band2Horz">
      <w:tblPr/>
      <w:tcPr>
        <w:shd w:val="clear" w:color="auto" w:fill="F9F8E0"/>
      </w:tcPr>
    </w:tblStylePr>
  </w:style>
  <w:style w:type="character" w:styleId="Pladsholdertekst">
    <w:name w:val="Placeholder Text"/>
    <w:basedOn w:val="Standardskrifttypeiafsnit"/>
    <w:uiPriority w:val="99"/>
    <w:semiHidden/>
    <w:rsid w:val="00EA074E"/>
    <w:rPr>
      <w:color w:val="808080"/>
    </w:rPr>
  </w:style>
  <w:style w:type="character" w:customStyle="1" w:styleId="Overskrift3Tegn">
    <w:name w:val="Overskrift 3 Tegn"/>
    <w:basedOn w:val="Standardskrifttypeiafsnit"/>
    <w:link w:val="Overskrift3"/>
    <w:uiPriority w:val="9"/>
    <w:semiHidden/>
    <w:rsid w:val="00F0531D"/>
    <w:rPr>
      <w:rFonts w:asciiTheme="majorHAnsi" w:eastAsiaTheme="majorEastAsia" w:hAnsiTheme="majorHAnsi" w:cstheme="majorBidi"/>
      <w:color w:val="243F60" w:themeColor="accent1" w:themeShade="7F"/>
      <w:sz w:val="24"/>
      <w:szCs w:val="24"/>
    </w:rPr>
  </w:style>
  <w:style w:type="paragraph" w:styleId="Listeafsnit">
    <w:name w:val="List Paragraph"/>
    <w:basedOn w:val="Normal"/>
    <w:uiPriority w:val="34"/>
    <w:qFormat/>
    <w:rsid w:val="00F0531D"/>
    <w:pPr>
      <w:spacing w:after="200" w:line="276" w:lineRule="auto"/>
      <w:ind w:left="720"/>
      <w:contextualSpacing/>
      <w:jc w:val="left"/>
    </w:pPr>
    <w:rPr>
      <w:rFonts w:asciiTheme="minorHAnsi" w:hAnsiTheme="minorHAnsi"/>
      <w:sz w:val="22"/>
    </w:rPr>
  </w:style>
  <w:style w:type="paragraph" w:styleId="Indholdsfortegnelse1">
    <w:name w:val="toc 1"/>
    <w:basedOn w:val="Normal"/>
    <w:next w:val="Normal"/>
    <w:autoRedefine/>
    <w:uiPriority w:val="39"/>
    <w:unhideWhenUsed/>
    <w:rsid w:val="00F0531D"/>
    <w:pPr>
      <w:spacing w:after="100"/>
    </w:pPr>
  </w:style>
  <w:style w:type="paragraph" w:styleId="Indholdsfortegnelse2">
    <w:name w:val="toc 2"/>
    <w:basedOn w:val="Normal"/>
    <w:next w:val="Normal"/>
    <w:autoRedefine/>
    <w:uiPriority w:val="39"/>
    <w:unhideWhenUsed/>
    <w:rsid w:val="00F0531D"/>
    <w:pPr>
      <w:spacing w:after="100"/>
      <w:ind w:left="240"/>
    </w:pPr>
  </w:style>
  <w:style w:type="paragraph" w:styleId="Indholdsfortegnelse3">
    <w:name w:val="toc 3"/>
    <w:basedOn w:val="Normal"/>
    <w:next w:val="Normal"/>
    <w:autoRedefine/>
    <w:uiPriority w:val="39"/>
    <w:unhideWhenUsed/>
    <w:rsid w:val="00F0531D"/>
    <w:pPr>
      <w:spacing w:after="100"/>
      <w:ind w:left="480"/>
    </w:pPr>
  </w:style>
  <w:style w:type="character" w:customStyle="1" w:styleId="KommentartekstTegn">
    <w:name w:val="Kommentartekst Tegn"/>
    <w:basedOn w:val="Standardskrifttypeiafsnit"/>
    <w:link w:val="Kommentartekst"/>
    <w:rsid w:val="00F0531D"/>
    <w:rPr>
      <w:rFonts w:ascii="Times New Roman" w:hAnsi="Times New Roman"/>
      <w:sz w:val="20"/>
      <w:szCs w:val="20"/>
    </w:rPr>
  </w:style>
  <w:style w:type="paragraph" w:styleId="Kommentartekst">
    <w:name w:val="annotation text"/>
    <w:basedOn w:val="Normal"/>
    <w:link w:val="KommentartekstTegn"/>
    <w:unhideWhenUsed/>
    <w:rsid w:val="00F0531D"/>
    <w:pPr>
      <w:spacing w:line="240" w:lineRule="auto"/>
    </w:pPr>
    <w:rPr>
      <w:sz w:val="20"/>
      <w:szCs w:val="20"/>
    </w:rPr>
  </w:style>
  <w:style w:type="character" w:customStyle="1" w:styleId="KommentaremneTegn">
    <w:name w:val="Kommentaremne Tegn"/>
    <w:basedOn w:val="KommentartekstTegn"/>
    <w:link w:val="Kommentaremne"/>
    <w:uiPriority w:val="99"/>
    <w:semiHidden/>
    <w:rsid w:val="00F0531D"/>
    <w:rPr>
      <w:rFonts w:ascii="Times New Roman" w:hAnsi="Times New Roman"/>
      <w:b/>
      <w:bCs/>
      <w:sz w:val="20"/>
      <w:szCs w:val="20"/>
    </w:rPr>
  </w:style>
  <w:style w:type="paragraph" w:styleId="Kommentaremne">
    <w:name w:val="annotation subject"/>
    <w:basedOn w:val="Kommentartekst"/>
    <w:next w:val="Kommentartekst"/>
    <w:link w:val="KommentaremneTegn"/>
    <w:uiPriority w:val="99"/>
    <w:semiHidden/>
    <w:unhideWhenUsed/>
    <w:rsid w:val="00F0531D"/>
    <w:rPr>
      <w:b/>
      <w:bCs/>
    </w:rPr>
  </w:style>
  <w:style w:type="character" w:styleId="Kommentarhenvisning">
    <w:name w:val="annotation reference"/>
    <w:basedOn w:val="Standardskrifttypeiafsnit"/>
    <w:unhideWhenUsed/>
    <w:rsid w:val="00D265AB"/>
    <w:rPr>
      <w:sz w:val="16"/>
      <w:szCs w:val="16"/>
    </w:rPr>
  </w:style>
  <w:style w:type="paragraph" w:styleId="Fodnotetekst">
    <w:name w:val="footnote text"/>
    <w:aliases w:val="Footnote Text Char,Footnote Text Char1 Char,Footnote Text Char2 Char Char Char,Footnote Text Char1 Char Char Char Char,Footnote Text Char Char Char Char Char Char,Plonk,Footnote text PFR,Footnote Text Char2 Cha,Fußnote,ft"/>
    <w:basedOn w:val="Normal"/>
    <w:link w:val="FodnotetekstTegn"/>
    <w:uiPriority w:val="99"/>
    <w:unhideWhenUsed/>
    <w:qFormat/>
    <w:rsid w:val="0091301A"/>
    <w:pPr>
      <w:spacing w:line="240" w:lineRule="auto"/>
    </w:pPr>
    <w:rPr>
      <w:sz w:val="20"/>
      <w:szCs w:val="20"/>
    </w:rPr>
  </w:style>
  <w:style w:type="character" w:customStyle="1" w:styleId="FodnotetekstTegn">
    <w:name w:val="Fodnotetekst Tegn"/>
    <w:aliases w:val="Footnote Text Char Tegn,Footnote Text Char1 Char Tegn,Footnote Text Char2 Char Char Char Tegn,Footnote Text Char1 Char Char Char Char Tegn,Footnote Text Char Char Char Char Char Char Tegn,Plonk Tegn,Footnote text PFR Tegn,Fußnote Tegn"/>
    <w:basedOn w:val="Standardskrifttypeiafsnit"/>
    <w:link w:val="Fodnotetekst"/>
    <w:uiPriority w:val="99"/>
    <w:rsid w:val="0091301A"/>
    <w:rPr>
      <w:rFonts w:ascii="Times New Roman" w:hAnsi="Times New Roman"/>
      <w:sz w:val="20"/>
      <w:szCs w:val="20"/>
    </w:rPr>
  </w:style>
  <w:style w:type="character" w:styleId="Fodnotehenvisning">
    <w:name w:val="footnote reference"/>
    <w:aliases w:val="Footnote reference number,Footnote symbol,note TESI,SUPERS,EN Footnote Reference,stylish,BVI fnr,Footnote,Times 10 Point,Exposant 3 Point,Ref,de nota al pie,number,-E Fußnotenzeichen,Footnote number,16 Point,Superscript 6 Point, BVI f"/>
    <w:basedOn w:val="Standardskrifttypeiafsnit"/>
    <w:link w:val="FootnotesymbolCarZchn"/>
    <w:uiPriority w:val="99"/>
    <w:unhideWhenUsed/>
    <w:qFormat/>
    <w:rsid w:val="0091301A"/>
    <w:rPr>
      <w:vertAlign w:val="superscript"/>
    </w:rPr>
  </w:style>
  <w:style w:type="paragraph" w:styleId="Opstilling-punkttegn">
    <w:name w:val="List Bullet"/>
    <w:basedOn w:val="Normal"/>
    <w:uiPriority w:val="99"/>
    <w:unhideWhenUsed/>
    <w:rsid w:val="008B2DA2"/>
    <w:pPr>
      <w:numPr>
        <w:numId w:val="11"/>
      </w:numPr>
      <w:spacing w:line="280" w:lineRule="exact"/>
      <w:contextualSpacing/>
      <w:jc w:val="left"/>
    </w:pPr>
    <w:rPr>
      <w:rFonts w:eastAsia="Times New Roman" w:cs="Times New Roman"/>
      <w:szCs w:val="20"/>
      <w:lang w:eastAsia="da-DK"/>
    </w:rPr>
  </w:style>
  <w:style w:type="paragraph" w:customStyle="1" w:styleId="Default">
    <w:name w:val="Default"/>
    <w:rsid w:val="00494CC3"/>
    <w:pPr>
      <w:autoSpaceDE w:val="0"/>
      <w:autoSpaceDN w:val="0"/>
      <w:adjustRightInd w:val="0"/>
      <w:spacing w:after="0" w:line="240" w:lineRule="auto"/>
    </w:pPr>
    <w:rPr>
      <w:rFonts w:ascii="Times New Roman PSMT" w:hAnsi="Times New Roman PSMT" w:cs="Times New Roman PSMT"/>
      <w:color w:val="000000"/>
      <w:sz w:val="24"/>
      <w:szCs w:val="24"/>
    </w:rPr>
  </w:style>
  <w:style w:type="paragraph" w:styleId="Brdtekst">
    <w:name w:val="Body Text"/>
    <w:basedOn w:val="Normal"/>
    <w:link w:val="BrdtekstTegn"/>
    <w:rsid w:val="00050B07"/>
    <w:pPr>
      <w:spacing w:line="280" w:lineRule="exact"/>
    </w:pPr>
    <w:rPr>
      <w:rFonts w:ascii="Arial" w:eastAsia="Times New Roman" w:hAnsi="Arial" w:cs="Times New Roman"/>
      <w:sz w:val="21"/>
      <w:szCs w:val="20"/>
      <w:lang w:eastAsia="da-DK"/>
    </w:rPr>
  </w:style>
  <w:style w:type="character" w:customStyle="1" w:styleId="BrdtekstTegn">
    <w:name w:val="Brødtekst Tegn"/>
    <w:basedOn w:val="Standardskrifttypeiafsnit"/>
    <w:link w:val="Brdtekst"/>
    <w:rsid w:val="00050B07"/>
    <w:rPr>
      <w:rFonts w:ascii="Arial" w:eastAsia="Times New Roman" w:hAnsi="Arial" w:cs="Times New Roman"/>
      <w:sz w:val="21"/>
      <w:szCs w:val="20"/>
      <w:lang w:eastAsia="da-DK"/>
    </w:rPr>
  </w:style>
  <w:style w:type="paragraph" w:customStyle="1" w:styleId="Underoverskrift">
    <w:name w:val="Underoverskrift"/>
    <w:basedOn w:val="Overskrift2"/>
    <w:next w:val="Normal"/>
    <w:qFormat/>
    <w:rsid w:val="00803C74"/>
    <w:pPr>
      <w:keepLines w:val="0"/>
      <w:numPr>
        <w:numId w:val="15"/>
      </w:numPr>
      <w:tabs>
        <w:tab w:val="left" w:pos="-284"/>
      </w:tabs>
      <w:spacing w:before="280" w:after="140" w:line="280" w:lineRule="exact"/>
    </w:pPr>
    <w:rPr>
      <w:rFonts w:ascii="Constantia" w:eastAsia="Times New Roman" w:hAnsi="Constantia" w:cs="Arial"/>
      <w:iCs/>
      <w:sz w:val="22"/>
      <w:szCs w:val="28"/>
      <w:lang w:eastAsia="da-DK"/>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dnotehenvisning"/>
    <w:uiPriority w:val="99"/>
    <w:rsid w:val="00803C74"/>
    <w:pPr>
      <w:spacing w:after="160" w:line="240" w:lineRule="exact"/>
    </w:pPr>
    <w:rPr>
      <w:rFonts w:asciiTheme="minorHAnsi" w:hAnsiTheme="minorHAnsi"/>
      <w:sz w:val="22"/>
      <w:vertAlign w:val="superscript"/>
    </w:rPr>
  </w:style>
  <w:style w:type="character" w:styleId="Svagfremhvning">
    <w:name w:val="Subtle Emphasis"/>
    <w:basedOn w:val="Standardskrifttypeiafsnit"/>
    <w:uiPriority w:val="19"/>
    <w:qFormat/>
    <w:rsid w:val="008679AC"/>
    <w:rPr>
      <w:i/>
      <w:iCs/>
      <w:color w:val="404040" w:themeColor="text1" w:themeTint="BF"/>
    </w:rPr>
  </w:style>
  <w:style w:type="paragraph" w:styleId="NormalWeb">
    <w:name w:val="Normal (Web)"/>
    <w:basedOn w:val="Normal"/>
    <w:uiPriority w:val="99"/>
    <w:semiHidden/>
    <w:unhideWhenUsed/>
    <w:rsid w:val="006B55B1"/>
    <w:rPr>
      <w:rFonts w:cs="Times New Roman"/>
      <w:szCs w:val="24"/>
    </w:rPr>
  </w:style>
  <w:style w:type="paragraph" w:styleId="Korrektur">
    <w:name w:val="Revision"/>
    <w:hidden/>
    <w:uiPriority w:val="99"/>
    <w:semiHidden/>
    <w:rsid w:val="00BB757A"/>
    <w:pPr>
      <w:spacing w:after="0" w:line="240" w:lineRule="auto"/>
    </w:pPr>
    <w:rPr>
      <w:rFonts w:ascii="Times New Roman" w:hAnsi="Times New Roman"/>
      <w:sz w:val="24"/>
    </w:rPr>
  </w:style>
  <w:style w:type="table" w:styleId="Tabel-Gitter">
    <w:name w:val="Table Grid"/>
    <w:basedOn w:val="Tabel-Normal"/>
    <w:uiPriority w:val="59"/>
    <w:rsid w:val="009C0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27294">
      <w:bodyDiv w:val="1"/>
      <w:marLeft w:val="0"/>
      <w:marRight w:val="0"/>
      <w:marTop w:val="0"/>
      <w:marBottom w:val="0"/>
      <w:divBdr>
        <w:top w:val="none" w:sz="0" w:space="0" w:color="auto"/>
        <w:left w:val="none" w:sz="0" w:space="0" w:color="auto"/>
        <w:bottom w:val="none" w:sz="0" w:space="0" w:color="auto"/>
        <w:right w:val="none" w:sz="0" w:space="0" w:color="auto"/>
      </w:divBdr>
    </w:div>
    <w:div w:id="606889625">
      <w:bodyDiv w:val="1"/>
      <w:marLeft w:val="0"/>
      <w:marRight w:val="0"/>
      <w:marTop w:val="0"/>
      <w:marBottom w:val="0"/>
      <w:divBdr>
        <w:top w:val="none" w:sz="0" w:space="0" w:color="auto"/>
        <w:left w:val="none" w:sz="0" w:space="0" w:color="auto"/>
        <w:bottom w:val="none" w:sz="0" w:space="0" w:color="auto"/>
        <w:right w:val="none" w:sz="0" w:space="0" w:color="auto"/>
      </w:divBdr>
    </w:div>
    <w:div w:id="794525015">
      <w:bodyDiv w:val="1"/>
      <w:marLeft w:val="0"/>
      <w:marRight w:val="0"/>
      <w:marTop w:val="0"/>
      <w:marBottom w:val="0"/>
      <w:divBdr>
        <w:top w:val="none" w:sz="0" w:space="0" w:color="auto"/>
        <w:left w:val="none" w:sz="0" w:space="0" w:color="auto"/>
        <w:bottom w:val="none" w:sz="0" w:space="0" w:color="auto"/>
        <w:right w:val="none" w:sz="0" w:space="0" w:color="auto"/>
      </w:divBdr>
    </w:div>
    <w:div w:id="833952995">
      <w:bodyDiv w:val="1"/>
      <w:marLeft w:val="0"/>
      <w:marRight w:val="0"/>
      <w:marTop w:val="0"/>
      <w:marBottom w:val="0"/>
      <w:divBdr>
        <w:top w:val="none" w:sz="0" w:space="0" w:color="auto"/>
        <w:left w:val="none" w:sz="0" w:space="0" w:color="auto"/>
        <w:bottom w:val="none" w:sz="0" w:space="0" w:color="auto"/>
        <w:right w:val="none" w:sz="0" w:space="0" w:color="auto"/>
      </w:divBdr>
    </w:div>
    <w:div w:id="1021736095">
      <w:bodyDiv w:val="1"/>
      <w:marLeft w:val="0"/>
      <w:marRight w:val="0"/>
      <w:marTop w:val="0"/>
      <w:marBottom w:val="0"/>
      <w:divBdr>
        <w:top w:val="none" w:sz="0" w:space="0" w:color="auto"/>
        <w:left w:val="none" w:sz="0" w:space="0" w:color="auto"/>
        <w:bottom w:val="none" w:sz="0" w:space="0" w:color="auto"/>
        <w:right w:val="none" w:sz="0" w:space="0" w:color="auto"/>
      </w:divBdr>
    </w:div>
    <w:div w:id="1021785519">
      <w:bodyDiv w:val="1"/>
      <w:marLeft w:val="0"/>
      <w:marRight w:val="0"/>
      <w:marTop w:val="0"/>
      <w:marBottom w:val="0"/>
      <w:divBdr>
        <w:top w:val="none" w:sz="0" w:space="0" w:color="auto"/>
        <w:left w:val="none" w:sz="0" w:space="0" w:color="auto"/>
        <w:bottom w:val="none" w:sz="0" w:space="0" w:color="auto"/>
        <w:right w:val="none" w:sz="0" w:space="0" w:color="auto"/>
      </w:divBdr>
      <w:divsChild>
        <w:div w:id="817722097">
          <w:marLeft w:val="0"/>
          <w:marRight w:val="0"/>
          <w:marTop w:val="0"/>
          <w:marBottom w:val="0"/>
          <w:divBdr>
            <w:top w:val="none" w:sz="0" w:space="0" w:color="auto"/>
            <w:left w:val="none" w:sz="0" w:space="0" w:color="auto"/>
            <w:bottom w:val="none" w:sz="0" w:space="0" w:color="auto"/>
            <w:right w:val="none" w:sz="0" w:space="0" w:color="auto"/>
          </w:divBdr>
        </w:div>
      </w:divsChild>
    </w:div>
    <w:div w:id="1582249552">
      <w:bodyDiv w:val="1"/>
      <w:marLeft w:val="0"/>
      <w:marRight w:val="0"/>
      <w:marTop w:val="0"/>
      <w:marBottom w:val="0"/>
      <w:divBdr>
        <w:top w:val="none" w:sz="0" w:space="0" w:color="auto"/>
        <w:left w:val="none" w:sz="0" w:space="0" w:color="auto"/>
        <w:bottom w:val="none" w:sz="0" w:space="0" w:color="auto"/>
        <w:right w:val="none" w:sz="0" w:space="0" w:color="auto"/>
      </w:divBdr>
    </w:div>
    <w:div w:id="2017031201">
      <w:bodyDiv w:val="1"/>
      <w:marLeft w:val="0"/>
      <w:marRight w:val="0"/>
      <w:marTop w:val="0"/>
      <w:marBottom w:val="0"/>
      <w:divBdr>
        <w:top w:val="none" w:sz="0" w:space="0" w:color="auto"/>
        <w:left w:val="none" w:sz="0" w:space="0" w:color="auto"/>
        <w:bottom w:val="none" w:sz="0" w:space="0" w:color="auto"/>
        <w:right w:val="none" w:sz="0" w:space="0" w:color="auto"/>
      </w:divBdr>
    </w:div>
    <w:div w:id="2035155846">
      <w:bodyDiv w:val="1"/>
      <w:marLeft w:val="0"/>
      <w:marRight w:val="0"/>
      <w:marTop w:val="0"/>
      <w:marBottom w:val="0"/>
      <w:divBdr>
        <w:top w:val="none" w:sz="0" w:space="0" w:color="auto"/>
        <w:left w:val="none" w:sz="0" w:space="0" w:color="auto"/>
        <w:bottom w:val="none" w:sz="0" w:space="0" w:color="auto"/>
        <w:right w:val="none" w:sz="0" w:space="0" w:color="auto"/>
      </w:divBdr>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sChild>
        <w:div w:id="1095513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2BE28-69D5-46DF-9000-99A49699A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10470</Words>
  <Characters>59679</Characters>
  <Application>Microsoft Office Word</Application>
  <DocSecurity>0</DocSecurity>
  <Lines>497</Lines>
  <Paragraphs>140</Paragraphs>
  <ScaleCrop>false</ScaleCrop>
  <Company/>
  <LinksUpToDate>false</LinksUpToDate>
  <CharactersWithSpaces>70009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2022-12-15T12:44:00Z</dcterms:created>
  <dcterms:modified xsi:type="dcterms:W3CDTF">2022-12-15T12:45:00Z</dcterms:modified>
</cp:coreProperties>
</file>