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EA128" w14:textId="7D7CBB44" w:rsidR="00FF02AB" w:rsidRPr="001731EC" w:rsidRDefault="00FF02AB" w:rsidP="00D86F5C">
      <w:pPr>
        <w:spacing w:after="0" w:line="288" w:lineRule="auto"/>
        <w:ind w:left="0" w:firstLine="0"/>
        <w:jc w:val="center"/>
        <w:rPr>
          <w:b/>
          <w:color w:val="auto"/>
          <w:szCs w:val="24"/>
        </w:rPr>
      </w:pPr>
      <w:r w:rsidRPr="001731EC">
        <w:rPr>
          <w:b/>
          <w:color w:val="auto"/>
          <w:szCs w:val="24"/>
        </w:rPr>
        <w:t>Forslag</w:t>
      </w:r>
      <w:r w:rsidR="00F149F7" w:rsidRPr="001731EC">
        <w:rPr>
          <w:b/>
          <w:color w:val="auto"/>
          <w:szCs w:val="24"/>
        </w:rPr>
        <w:t xml:space="preserve"> </w:t>
      </w:r>
      <w:r w:rsidR="004A32ED" w:rsidRPr="001731EC">
        <w:rPr>
          <w:b/>
          <w:color w:val="auto"/>
          <w:szCs w:val="24"/>
        </w:rPr>
        <w:t>til:</w:t>
      </w:r>
    </w:p>
    <w:p w14:paraId="76DBD110" w14:textId="77777777" w:rsidR="00FF02AB" w:rsidRPr="001731EC" w:rsidRDefault="00FF02AB" w:rsidP="00D86F5C">
      <w:pPr>
        <w:spacing w:after="0" w:line="288" w:lineRule="auto"/>
        <w:ind w:left="0" w:firstLine="0"/>
        <w:jc w:val="center"/>
        <w:rPr>
          <w:b/>
          <w:color w:val="auto"/>
          <w:szCs w:val="24"/>
        </w:rPr>
      </w:pPr>
    </w:p>
    <w:p w14:paraId="64AABEBC" w14:textId="07EC0DDF" w:rsidR="00824A7B" w:rsidRPr="001731EC" w:rsidRDefault="00B953D0" w:rsidP="00D86F5C">
      <w:pPr>
        <w:spacing w:after="0" w:line="288" w:lineRule="auto"/>
        <w:ind w:left="0" w:firstLine="0"/>
        <w:jc w:val="center"/>
        <w:rPr>
          <w:color w:val="auto"/>
          <w:szCs w:val="24"/>
        </w:rPr>
      </w:pPr>
      <w:r w:rsidRPr="001731EC">
        <w:rPr>
          <w:b/>
          <w:color w:val="auto"/>
          <w:szCs w:val="24"/>
        </w:rPr>
        <w:t xml:space="preserve">Selvstyrets </w:t>
      </w:r>
      <w:r w:rsidR="00861001" w:rsidRPr="001731EC">
        <w:rPr>
          <w:b/>
          <w:color w:val="auto"/>
          <w:szCs w:val="24"/>
        </w:rPr>
        <w:t>bekendtgørelse om opbevaring af fyrværkeri</w:t>
      </w:r>
    </w:p>
    <w:p w14:paraId="69F0581C" w14:textId="77777777" w:rsidR="00FF02AB" w:rsidRPr="001731EC" w:rsidRDefault="00FF02AB" w:rsidP="00D86F5C">
      <w:pPr>
        <w:spacing w:after="0" w:line="288" w:lineRule="auto"/>
        <w:ind w:left="-6" w:right="57" w:hanging="11"/>
        <w:rPr>
          <w:color w:val="auto"/>
          <w:szCs w:val="24"/>
        </w:rPr>
      </w:pPr>
    </w:p>
    <w:p w14:paraId="05641E46" w14:textId="110D06CD" w:rsidR="00824A7B" w:rsidRPr="001731EC" w:rsidRDefault="00552CCD" w:rsidP="00D86F5C">
      <w:pPr>
        <w:spacing w:after="0" w:line="288" w:lineRule="auto"/>
        <w:ind w:left="-6" w:right="57" w:hanging="11"/>
        <w:rPr>
          <w:color w:val="auto"/>
          <w:szCs w:val="24"/>
        </w:rPr>
      </w:pPr>
      <w:r w:rsidRPr="001731EC">
        <w:rPr>
          <w:color w:val="auto"/>
        </w:rPr>
        <w:t>I medfør af § 25, stk. 1, og § 26, stk. 2 - 4, i landstingsforordning nr. 6 af 30. oktober 1992 om forebyggelse og bekæmpelse af ildebrand, fastsættes</w:t>
      </w:r>
      <w:r w:rsidR="00861001" w:rsidRPr="001731EC">
        <w:rPr>
          <w:color w:val="auto"/>
          <w:szCs w:val="24"/>
        </w:rPr>
        <w:t>:</w:t>
      </w:r>
    </w:p>
    <w:p w14:paraId="6CEA0D16" w14:textId="77777777" w:rsidR="00824A7B" w:rsidRPr="001731EC" w:rsidRDefault="00861001" w:rsidP="00D86F5C">
      <w:pPr>
        <w:spacing w:after="0" w:line="288" w:lineRule="auto"/>
        <w:ind w:left="0" w:firstLine="0"/>
        <w:rPr>
          <w:color w:val="auto"/>
          <w:szCs w:val="24"/>
        </w:rPr>
      </w:pPr>
      <w:r w:rsidRPr="001731EC">
        <w:rPr>
          <w:color w:val="auto"/>
          <w:szCs w:val="24"/>
        </w:rPr>
        <w:t xml:space="preserve"> </w:t>
      </w:r>
    </w:p>
    <w:p w14:paraId="6A0504E4" w14:textId="77777777" w:rsidR="00824A7B" w:rsidRPr="001731EC" w:rsidRDefault="00861001" w:rsidP="00D86F5C">
      <w:pPr>
        <w:pStyle w:val="Overskrift1"/>
        <w:spacing w:after="0" w:line="288" w:lineRule="auto"/>
        <w:rPr>
          <w:color w:val="auto"/>
          <w:szCs w:val="24"/>
        </w:rPr>
      </w:pPr>
      <w:r w:rsidRPr="001731EC">
        <w:rPr>
          <w:color w:val="auto"/>
          <w:szCs w:val="24"/>
        </w:rPr>
        <w:t>Anvendelsesområde</w:t>
      </w:r>
    </w:p>
    <w:p w14:paraId="766BC791" w14:textId="77777777" w:rsidR="007F17CB" w:rsidRPr="001731EC" w:rsidRDefault="007F17CB" w:rsidP="00D86F5C">
      <w:pPr>
        <w:spacing w:after="0" w:line="288" w:lineRule="auto"/>
        <w:ind w:left="-17" w:right="57" w:firstLine="0"/>
        <w:rPr>
          <w:b/>
          <w:color w:val="auto"/>
          <w:szCs w:val="24"/>
        </w:rPr>
      </w:pPr>
    </w:p>
    <w:p w14:paraId="5D99A16D" w14:textId="01B2AF02" w:rsidR="00824A7B" w:rsidRPr="001731EC" w:rsidRDefault="0046086D" w:rsidP="00D86F5C">
      <w:pPr>
        <w:spacing w:after="0" w:line="288" w:lineRule="auto"/>
        <w:ind w:left="-17" w:right="57" w:firstLine="0"/>
        <w:rPr>
          <w:color w:val="auto"/>
          <w:szCs w:val="24"/>
        </w:rPr>
      </w:pPr>
      <w:r w:rsidRPr="001731EC">
        <w:rPr>
          <w:b/>
          <w:color w:val="auto"/>
          <w:szCs w:val="24"/>
        </w:rPr>
        <w:t xml:space="preserve">  </w:t>
      </w:r>
      <w:r w:rsidR="00861001" w:rsidRPr="001731EC">
        <w:rPr>
          <w:b/>
          <w:color w:val="auto"/>
          <w:szCs w:val="24"/>
        </w:rPr>
        <w:t>§ 1.</w:t>
      </w:r>
      <w:r w:rsidR="00861001" w:rsidRPr="001731EC">
        <w:rPr>
          <w:color w:val="auto"/>
          <w:szCs w:val="24"/>
        </w:rPr>
        <w:t xml:space="preserve"> </w:t>
      </w:r>
      <w:r w:rsidRPr="001731EC">
        <w:rPr>
          <w:color w:val="auto"/>
          <w:szCs w:val="24"/>
        </w:rPr>
        <w:t xml:space="preserve"> </w:t>
      </w:r>
      <w:r w:rsidR="00861001" w:rsidRPr="001731EC">
        <w:rPr>
          <w:color w:val="auto"/>
          <w:szCs w:val="24"/>
        </w:rPr>
        <w:t xml:space="preserve">Bekendtgørelsen finder anvendelse på opbevaring af fyrværkeri, der uden særskilt tilladelse kan indføres til Grønland fra den øvrige </w:t>
      </w:r>
      <w:r w:rsidR="00552CCD" w:rsidRPr="001731EC">
        <w:rPr>
          <w:color w:val="auto"/>
          <w:szCs w:val="24"/>
        </w:rPr>
        <w:t>del af riget, jf. bekendtgørelse</w:t>
      </w:r>
      <w:r w:rsidR="00861001" w:rsidRPr="001731EC">
        <w:rPr>
          <w:color w:val="auto"/>
          <w:szCs w:val="24"/>
        </w:rPr>
        <w:t xml:space="preserve"> nr. 227 </w:t>
      </w:r>
      <w:r w:rsidR="007F17CB" w:rsidRPr="001731EC">
        <w:rPr>
          <w:color w:val="auto"/>
          <w:szCs w:val="24"/>
        </w:rPr>
        <w:t xml:space="preserve">af 6. juni 1968 </w:t>
      </w:r>
      <w:r w:rsidR="00861001" w:rsidRPr="001731EC">
        <w:rPr>
          <w:color w:val="auto"/>
          <w:szCs w:val="24"/>
        </w:rPr>
        <w:t>for Grønland om fyrværkeri.</w:t>
      </w:r>
    </w:p>
    <w:p w14:paraId="69D2C370" w14:textId="77777777" w:rsidR="00824A7B" w:rsidRPr="001731EC" w:rsidRDefault="00861001" w:rsidP="00D86F5C">
      <w:pPr>
        <w:spacing w:after="0" w:line="288" w:lineRule="auto"/>
        <w:ind w:left="0" w:firstLine="0"/>
        <w:rPr>
          <w:color w:val="auto"/>
          <w:szCs w:val="24"/>
        </w:rPr>
      </w:pPr>
      <w:r w:rsidRPr="001731EC">
        <w:rPr>
          <w:color w:val="auto"/>
          <w:szCs w:val="24"/>
        </w:rPr>
        <w:t xml:space="preserve"> </w:t>
      </w:r>
    </w:p>
    <w:p w14:paraId="55A08EA8" w14:textId="77777777" w:rsidR="00824A7B" w:rsidRPr="001731EC" w:rsidRDefault="00861001" w:rsidP="00D86F5C">
      <w:pPr>
        <w:pStyle w:val="Overskrift1"/>
        <w:spacing w:after="0" w:line="288" w:lineRule="auto"/>
        <w:rPr>
          <w:color w:val="auto"/>
          <w:szCs w:val="24"/>
        </w:rPr>
      </w:pPr>
      <w:r w:rsidRPr="001731EC">
        <w:rPr>
          <w:color w:val="auto"/>
          <w:szCs w:val="24"/>
        </w:rPr>
        <w:t>Definitioner</w:t>
      </w:r>
    </w:p>
    <w:p w14:paraId="53298034" w14:textId="77777777" w:rsidR="00461546" w:rsidRPr="001731EC" w:rsidRDefault="00461546" w:rsidP="00D86F5C">
      <w:pPr>
        <w:spacing w:after="0" w:line="288" w:lineRule="auto"/>
        <w:ind w:left="24" w:firstLine="0"/>
        <w:rPr>
          <w:b/>
          <w:color w:val="auto"/>
          <w:szCs w:val="24"/>
        </w:rPr>
      </w:pPr>
    </w:p>
    <w:p w14:paraId="0B8D9D40" w14:textId="474744B4" w:rsidR="00824A7B" w:rsidRPr="001731EC" w:rsidRDefault="0046086D" w:rsidP="00D86F5C">
      <w:pPr>
        <w:spacing w:after="0" w:line="288" w:lineRule="auto"/>
        <w:ind w:left="24" w:firstLine="0"/>
        <w:rPr>
          <w:color w:val="auto"/>
          <w:szCs w:val="24"/>
        </w:rPr>
      </w:pPr>
      <w:r w:rsidRPr="001731EC">
        <w:rPr>
          <w:b/>
          <w:color w:val="auto"/>
          <w:szCs w:val="24"/>
        </w:rPr>
        <w:t xml:space="preserve">  </w:t>
      </w:r>
      <w:r w:rsidR="00861001" w:rsidRPr="001731EC">
        <w:rPr>
          <w:b/>
          <w:color w:val="auto"/>
          <w:szCs w:val="24"/>
        </w:rPr>
        <w:t>§ 2.</w:t>
      </w:r>
      <w:r w:rsidR="00861001" w:rsidRPr="001731EC">
        <w:rPr>
          <w:color w:val="auto"/>
          <w:szCs w:val="24"/>
        </w:rPr>
        <w:t xml:space="preserve"> </w:t>
      </w:r>
      <w:r w:rsidRPr="001731EC">
        <w:rPr>
          <w:color w:val="auto"/>
          <w:szCs w:val="24"/>
        </w:rPr>
        <w:t xml:space="preserve"> </w:t>
      </w:r>
      <w:r w:rsidR="00861001" w:rsidRPr="001731EC">
        <w:rPr>
          <w:color w:val="auto"/>
          <w:szCs w:val="24"/>
        </w:rPr>
        <w:t>Ved fyrværkeri forstås i denne bekendtgørelse udelukkende fyrværkeri til underholdningsbrug</w:t>
      </w:r>
      <w:r w:rsidR="005207DE" w:rsidRPr="001731EC">
        <w:rPr>
          <w:color w:val="auto"/>
          <w:szCs w:val="24"/>
        </w:rPr>
        <w:t xml:space="preserve">, forsynet med CE-mærkning. </w:t>
      </w:r>
    </w:p>
    <w:p w14:paraId="52D64809" w14:textId="14237972" w:rsidR="00824A7B" w:rsidRPr="001731EC" w:rsidRDefault="0046086D" w:rsidP="00D86F5C">
      <w:pPr>
        <w:spacing w:after="0" w:line="288" w:lineRule="auto"/>
        <w:ind w:right="59"/>
        <w:rPr>
          <w:color w:val="auto"/>
          <w:szCs w:val="24"/>
        </w:rPr>
      </w:pPr>
      <w:r w:rsidRPr="001731EC">
        <w:rPr>
          <w:i/>
          <w:color w:val="auto"/>
          <w:szCs w:val="24"/>
        </w:rPr>
        <w:t xml:space="preserve">  </w:t>
      </w:r>
      <w:r w:rsidR="00861001" w:rsidRPr="001731EC">
        <w:rPr>
          <w:i/>
          <w:color w:val="auto"/>
          <w:szCs w:val="24"/>
        </w:rPr>
        <w:t>Stk. 2</w:t>
      </w:r>
      <w:r w:rsidR="00861001" w:rsidRPr="001731EC">
        <w:rPr>
          <w:color w:val="auto"/>
          <w:szCs w:val="24"/>
        </w:rPr>
        <w:t xml:space="preserve">. </w:t>
      </w:r>
      <w:r w:rsidRPr="001731EC">
        <w:rPr>
          <w:color w:val="auto"/>
          <w:szCs w:val="24"/>
        </w:rPr>
        <w:t xml:space="preserve"> </w:t>
      </w:r>
      <w:r w:rsidR="00861001" w:rsidRPr="001731EC">
        <w:rPr>
          <w:color w:val="auto"/>
          <w:szCs w:val="24"/>
        </w:rPr>
        <w:t>Ved fyrværkeri til underholdningsbrug forstås i denne bekendtgørelse fyrværkeri, hvis effekt er baseret på lys, lyd eller røg eller en kombination heraf, og som er konstrueret til at tjene et formål af underholdningsmæssig karakter. Til dette fyrværkeri hører kategorierne I og II.</w:t>
      </w:r>
    </w:p>
    <w:p w14:paraId="01966C6C" w14:textId="2FF6CBE7" w:rsidR="00824A7B" w:rsidRPr="001731EC" w:rsidRDefault="0046086D" w:rsidP="00D86F5C">
      <w:pPr>
        <w:spacing w:after="0" w:line="288" w:lineRule="auto"/>
        <w:ind w:left="-15" w:right="59" w:firstLine="0"/>
        <w:rPr>
          <w:color w:val="auto"/>
          <w:szCs w:val="24"/>
        </w:rPr>
      </w:pPr>
      <w:r w:rsidRPr="001731EC">
        <w:rPr>
          <w:i/>
          <w:color w:val="auto"/>
          <w:szCs w:val="24"/>
        </w:rPr>
        <w:t xml:space="preserve">  </w:t>
      </w:r>
      <w:r w:rsidR="00861001" w:rsidRPr="001731EC">
        <w:rPr>
          <w:i/>
          <w:color w:val="auto"/>
          <w:szCs w:val="24"/>
        </w:rPr>
        <w:t>Stk. 3</w:t>
      </w:r>
      <w:r w:rsidR="00861001" w:rsidRPr="001731EC">
        <w:rPr>
          <w:color w:val="auto"/>
          <w:szCs w:val="24"/>
        </w:rPr>
        <w:t xml:space="preserve">. </w:t>
      </w:r>
      <w:r w:rsidRPr="001731EC">
        <w:rPr>
          <w:color w:val="auto"/>
          <w:szCs w:val="24"/>
        </w:rPr>
        <w:t xml:space="preserve"> </w:t>
      </w:r>
      <w:r w:rsidR="00861001" w:rsidRPr="001731EC">
        <w:rPr>
          <w:color w:val="auto"/>
          <w:szCs w:val="24"/>
        </w:rPr>
        <w:t>Ved kategori I-fyrværkeri forstås i denne bekendtgørelse fyrværkeri til underholdningsbrug med begrænset effekt, der er konstrueret til ikke-professionel anvendelse, og som kan sælges i detailhandel. Omfattet af kategori I er: Knaldhætter (amorces), knaldbånd (amorcesbånd), knaldperler, knaldpropper, knallerter, bordbomber, trækbordbomber, stjernekastere og isfontæner.</w:t>
      </w:r>
    </w:p>
    <w:p w14:paraId="02CA14F9" w14:textId="7A964B00" w:rsidR="00824A7B" w:rsidRPr="001731EC" w:rsidRDefault="0046086D" w:rsidP="00D86F5C">
      <w:pPr>
        <w:spacing w:after="0" w:line="288" w:lineRule="auto"/>
        <w:ind w:left="-15" w:right="59" w:firstLine="0"/>
        <w:rPr>
          <w:color w:val="auto"/>
          <w:szCs w:val="24"/>
        </w:rPr>
      </w:pPr>
      <w:r w:rsidRPr="001731EC">
        <w:rPr>
          <w:i/>
          <w:color w:val="auto"/>
          <w:szCs w:val="24"/>
        </w:rPr>
        <w:t xml:space="preserve">  </w:t>
      </w:r>
      <w:r w:rsidR="00861001" w:rsidRPr="001731EC">
        <w:rPr>
          <w:i/>
          <w:color w:val="auto"/>
          <w:szCs w:val="24"/>
        </w:rPr>
        <w:t>Stk. 4.</w:t>
      </w:r>
      <w:r w:rsidR="00861001" w:rsidRPr="001731EC">
        <w:rPr>
          <w:color w:val="auto"/>
          <w:szCs w:val="24"/>
        </w:rPr>
        <w:t xml:space="preserve"> </w:t>
      </w:r>
      <w:r w:rsidRPr="001731EC">
        <w:rPr>
          <w:color w:val="auto"/>
          <w:szCs w:val="24"/>
        </w:rPr>
        <w:t xml:space="preserve"> </w:t>
      </w:r>
      <w:r w:rsidR="00861001" w:rsidRPr="001731EC">
        <w:rPr>
          <w:color w:val="auto"/>
          <w:szCs w:val="24"/>
        </w:rPr>
        <w:t xml:space="preserve">Ved kategori II-fyrværkeri forstås i denne bekendtgørelse fyrværkeri til underholdningsbrug, der er konstrueret til ikke-professionel anvendelse, og som kan sælges i detailhandel. </w:t>
      </w:r>
    </w:p>
    <w:p w14:paraId="072E7D0F" w14:textId="77777777" w:rsidR="003552AD" w:rsidRPr="001731EC" w:rsidRDefault="003552AD" w:rsidP="00D86F5C">
      <w:pPr>
        <w:spacing w:after="0" w:line="288" w:lineRule="auto"/>
        <w:ind w:right="59"/>
        <w:rPr>
          <w:b/>
          <w:color w:val="auto"/>
          <w:szCs w:val="24"/>
        </w:rPr>
      </w:pPr>
    </w:p>
    <w:p w14:paraId="1D934E9B" w14:textId="2955EEBE" w:rsidR="00824A7B" w:rsidRPr="001731EC" w:rsidRDefault="0046086D" w:rsidP="00D86F5C">
      <w:pPr>
        <w:spacing w:after="0" w:line="288" w:lineRule="auto"/>
        <w:ind w:right="59"/>
        <w:rPr>
          <w:color w:val="auto"/>
          <w:szCs w:val="24"/>
        </w:rPr>
      </w:pPr>
      <w:r w:rsidRPr="001731EC">
        <w:rPr>
          <w:b/>
          <w:color w:val="auto"/>
          <w:szCs w:val="24"/>
        </w:rPr>
        <w:t xml:space="preserve">  </w:t>
      </w:r>
      <w:r w:rsidR="00861001" w:rsidRPr="001731EC">
        <w:rPr>
          <w:b/>
          <w:color w:val="auto"/>
          <w:szCs w:val="24"/>
        </w:rPr>
        <w:t>§ 3.</w:t>
      </w:r>
      <w:r w:rsidR="00861001" w:rsidRPr="001731EC">
        <w:rPr>
          <w:color w:val="auto"/>
          <w:szCs w:val="24"/>
        </w:rPr>
        <w:t xml:space="preserve"> </w:t>
      </w:r>
      <w:r w:rsidRPr="001731EC">
        <w:rPr>
          <w:color w:val="auto"/>
          <w:szCs w:val="24"/>
        </w:rPr>
        <w:t xml:space="preserve"> </w:t>
      </w:r>
      <w:r w:rsidR="00861001" w:rsidRPr="001731EC">
        <w:rPr>
          <w:color w:val="auto"/>
          <w:szCs w:val="24"/>
        </w:rPr>
        <w:t xml:space="preserve">Mængdeangivelserne i denne bekendtgørelse er angivet i kg </w:t>
      </w:r>
      <w:r w:rsidR="005207DE" w:rsidRPr="001731EC">
        <w:rPr>
          <w:color w:val="auto"/>
          <w:szCs w:val="24"/>
        </w:rPr>
        <w:t>NEM</w:t>
      </w:r>
      <w:r w:rsidR="00861001" w:rsidRPr="001731EC">
        <w:rPr>
          <w:color w:val="auto"/>
          <w:szCs w:val="24"/>
        </w:rPr>
        <w:t>.</w:t>
      </w:r>
    </w:p>
    <w:p w14:paraId="373B4D7C" w14:textId="2603A6F9" w:rsidR="00824A7B" w:rsidRPr="001731EC" w:rsidRDefault="0046086D" w:rsidP="00D86F5C">
      <w:pPr>
        <w:spacing w:after="0" w:line="288" w:lineRule="auto"/>
        <w:ind w:left="-15" w:right="59" w:firstLine="0"/>
        <w:rPr>
          <w:color w:val="auto"/>
          <w:szCs w:val="24"/>
        </w:rPr>
      </w:pPr>
      <w:r w:rsidRPr="001731EC">
        <w:rPr>
          <w:b/>
          <w:color w:val="auto"/>
          <w:szCs w:val="24"/>
        </w:rPr>
        <w:t xml:space="preserve">  </w:t>
      </w:r>
      <w:r w:rsidR="00861001" w:rsidRPr="001731EC">
        <w:rPr>
          <w:b/>
          <w:color w:val="auto"/>
          <w:szCs w:val="24"/>
        </w:rPr>
        <w:t>§ 4.</w:t>
      </w:r>
      <w:r w:rsidR="00861001" w:rsidRPr="001731EC">
        <w:rPr>
          <w:color w:val="auto"/>
          <w:szCs w:val="24"/>
        </w:rPr>
        <w:t xml:space="preserve"> </w:t>
      </w:r>
      <w:r w:rsidRPr="001731EC">
        <w:rPr>
          <w:color w:val="auto"/>
          <w:szCs w:val="24"/>
        </w:rPr>
        <w:t xml:space="preserve"> </w:t>
      </w:r>
      <w:r w:rsidR="00861001" w:rsidRPr="001731EC">
        <w:rPr>
          <w:color w:val="auto"/>
          <w:szCs w:val="24"/>
        </w:rPr>
        <w:t>Ved salgssted forstås i denne bekendtgørelse disk, bord, skranke eller lignende, hvorfra salg og udlevering af fyrværkeri finder sted.</w:t>
      </w:r>
    </w:p>
    <w:p w14:paraId="79186FF0" w14:textId="752963D6" w:rsidR="00824A7B" w:rsidRPr="001731EC" w:rsidRDefault="0046086D" w:rsidP="00D86F5C">
      <w:pPr>
        <w:spacing w:after="0" w:line="288" w:lineRule="auto"/>
        <w:ind w:left="-15" w:right="59" w:firstLine="0"/>
        <w:rPr>
          <w:color w:val="auto"/>
          <w:szCs w:val="24"/>
        </w:rPr>
      </w:pPr>
      <w:r w:rsidRPr="001731EC">
        <w:rPr>
          <w:i/>
          <w:color w:val="auto"/>
          <w:szCs w:val="24"/>
        </w:rPr>
        <w:t xml:space="preserve">  </w:t>
      </w:r>
      <w:r w:rsidR="00861001" w:rsidRPr="001731EC">
        <w:rPr>
          <w:i/>
          <w:color w:val="auto"/>
          <w:szCs w:val="24"/>
        </w:rPr>
        <w:t>Stk. 2.</w:t>
      </w:r>
      <w:r w:rsidR="00861001" w:rsidRPr="001731EC">
        <w:rPr>
          <w:color w:val="auto"/>
          <w:szCs w:val="24"/>
        </w:rPr>
        <w:t xml:space="preserve"> </w:t>
      </w:r>
      <w:r w:rsidRPr="001731EC">
        <w:rPr>
          <w:color w:val="auto"/>
          <w:szCs w:val="24"/>
        </w:rPr>
        <w:t xml:space="preserve"> </w:t>
      </w:r>
      <w:r w:rsidR="00861001" w:rsidRPr="001731EC">
        <w:rPr>
          <w:color w:val="auto"/>
          <w:szCs w:val="24"/>
        </w:rPr>
        <w:t>Ved container forstås i denne bekendtgørelse transportcontainer eller lignende af stål på højst 20 fod.</w:t>
      </w:r>
    </w:p>
    <w:p w14:paraId="398B4346" w14:textId="4FE81096" w:rsidR="00824A7B" w:rsidRPr="001731EC" w:rsidRDefault="0046086D" w:rsidP="00D86F5C">
      <w:pPr>
        <w:spacing w:after="0" w:line="288" w:lineRule="auto"/>
        <w:ind w:right="59"/>
        <w:rPr>
          <w:color w:val="auto"/>
          <w:szCs w:val="24"/>
        </w:rPr>
      </w:pPr>
      <w:r w:rsidRPr="001731EC">
        <w:rPr>
          <w:i/>
          <w:color w:val="auto"/>
          <w:szCs w:val="24"/>
        </w:rPr>
        <w:t xml:space="preserve">  </w:t>
      </w:r>
      <w:r w:rsidR="00861001" w:rsidRPr="001731EC">
        <w:rPr>
          <w:i/>
          <w:color w:val="auto"/>
          <w:szCs w:val="24"/>
        </w:rPr>
        <w:t>Stk. 3.</w:t>
      </w:r>
      <w:r w:rsidR="00861001" w:rsidRPr="001731EC">
        <w:rPr>
          <w:color w:val="auto"/>
          <w:szCs w:val="24"/>
        </w:rPr>
        <w:t xml:space="preserve"> </w:t>
      </w:r>
      <w:r w:rsidRPr="001731EC">
        <w:rPr>
          <w:color w:val="auto"/>
          <w:szCs w:val="24"/>
        </w:rPr>
        <w:t xml:space="preserve"> </w:t>
      </w:r>
      <w:r w:rsidR="00861001" w:rsidRPr="001731EC">
        <w:rPr>
          <w:color w:val="auto"/>
          <w:szCs w:val="24"/>
        </w:rPr>
        <w:t>Ved opbevaringsenhed forstås i denne bekendtgørelse bygning eller container.</w:t>
      </w:r>
    </w:p>
    <w:p w14:paraId="2EA09C4A" w14:textId="14D13079" w:rsidR="00824A7B" w:rsidRPr="001731EC" w:rsidRDefault="0046086D" w:rsidP="00D86F5C">
      <w:pPr>
        <w:spacing w:after="0" w:line="288" w:lineRule="auto"/>
        <w:ind w:left="0" w:right="30" w:firstLine="0"/>
        <w:jc w:val="both"/>
        <w:rPr>
          <w:color w:val="auto"/>
          <w:szCs w:val="24"/>
        </w:rPr>
      </w:pPr>
      <w:r w:rsidRPr="001731EC">
        <w:rPr>
          <w:i/>
          <w:color w:val="auto"/>
          <w:szCs w:val="24"/>
        </w:rPr>
        <w:t xml:space="preserve">  </w:t>
      </w:r>
      <w:r w:rsidR="00861001" w:rsidRPr="001731EC">
        <w:rPr>
          <w:i/>
          <w:color w:val="auto"/>
          <w:szCs w:val="24"/>
        </w:rPr>
        <w:t>Stk. 4.</w:t>
      </w:r>
      <w:r w:rsidR="00861001" w:rsidRPr="001731EC">
        <w:rPr>
          <w:color w:val="auto"/>
          <w:szCs w:val="24"/>
        </w:rPr>
        <w:t xml:space="preserve"> </w:t>
      </w:r>
      <w:r w:rsidRPr="001731EC">
        <w:rPr>
          <w:color w:val="auto"/>
          <w:szCs w:val="24"/>
        </w:rPr>
        <w:t xml:space="preserve"> </w:t>
      </w:r>
      <w:r w:rsidR="00861001" w:rsidRPr="001731EC">
        <w:rPr>
          <w:color w:val="auto"/>
          <w:szCs w:val="24"/>
        </w:rPr>
        <w:t>Ved rammeområde forstås i denne bekendtgørelse et område, der er beliggende indenfor by eller bygdezonen, og som i henhold til gældende kommuneplan er kategoriseret som område A, B, C, D eller E.</w:t>
      </w:r>
    </w:p>
    <w:p w14:paraId="62987DC6" w14:textId="77777777" w:rsidR="00824A7B" w:rsidRPr="001731EC" w:rsidRDefault="00861001" w:rsidP="00D86F5C">
      <w:pPr>
        <w:spacing w:after="0" w:line="288" w:lineRule="auto"/>
        <w:ind w:left="0" w:firstLine="0"/>
        <w:rPr>
          <w:color w:val="auto"/>
          <w:szCs w:val="24"/>
        </w:rPr>
      </w:pPr>
      <w:r w:rsidRPr="001731EC">
        <w:rPr>
          <w:color w:val="auto"/>
          <w:szCs w:val="24"/>
        </w:rPr>
        <w:t xml:space="preserve"> </w:t>
      </w:r>
    </w:p>
    <w:p w14:paraId="0F1E0C4B" w14:textId="77777777" w:rsidR="00824A7B" w:rsidRPr="001731EC" w:rsidRDefault="00861001" w:rsidP="00D86F5C">
      <w:pPr>
        <w:pStyle w:val="Overskrift1"/>
        <w:spacing w:after="0" w:line="288" w:lineRule="auto"/>
        <w:rPr>
          <w:color w:val="auto"/>
          <w:szCs w:val="24"/>
        </w:rPr>
      </w:pPr>
      <w:r w:rsidRPr="001731EC">
        <w:rPr>
          <w:color w:val="auto"/>
          <w:szCs w:val="24"/>
        </w:rPr>
        <w:lastRenderedPageBreak/>
        <w:t>Opbevaring</w:t>
      </w:r>
    </w:p>
    <w:p w14:paraId="540FF463" w14:textId="77777777" w:rsidR="00264BED" w:rsidRPr="001731EC" w:rsidRDefault="00264BED" w:rsidP="00D86F5C">
      <w:pPr>
        <w:rPr>
          <w:color w:val="auto"/>
        </w:rPr>
      </w:pPr>
    </w:p>
    <w:p w14:paraId="0ECA5A4A" w14:textId="416F6570" w:rsidR="00824A7B" w:rsidRPr="001731EC" w:rsidRDefault="0046086D" w:rsidP="00D86F5C">
      <w:pPr>
        <w:spacing w:after="0" w:line="288" w:lineRule="auto"/>
        <w:ind w:right="57"/>
        <w:rPr>
          <w:color w:val="auto"/>
          <w:szCs w:val="24"/>
        </w:rPr>
      </w:pPr>
      <w:r w:rsidRPr="001731EC">
        <w:rPr>
          <w:b/>
          <w:color w:val="auto"/>
          <w:szCs w:val="24"/>
        </w:rPr>
        <w:t xml:space="preserve">  </w:t>
      </w:r>
      <w:r w:rsidR="00861001" w:rsidRPr="001731EC">
        <w:rPr>
          <w:b/>
          <w:color w:val="auto"/>
          <w:szCs w:val="24"/>
        </w:rPr>
        <w:t>§ 5.</w:t>
      </w:r>
      <w:r w:rsidR="00861001" w:rsidRPr="001731EC">
        <w:rPr>
          <w:color w:val="auto"/>
          <w:szCs w:val="24"/>
        </w:rPr>
        <w:t xml:space="preserve"> </w:t>
      </w:r>
      <w:r w:rsidRPr="001731EC">
        <w:rPr>
          <w:color w:val="auto"/>
          <w:szCs w:val="24"/>
        </w:rPr>
        <w:t xml:space="preserve"> </w:t>
      </w:r>
      <w:r w:rsidR="00861001" w:rsidRPr="001731EC">
        <w:rPr>
          <w:color w:val="auto"/>
          <w:szCs w:val="24"/>
        </w:rPr>
        <w:t xml:space="preserve">I bygninger, der anvendes til beboelse, må der maksimalt opbevares </w:t>
      </w:r>
      <w:r w:rsidR="00982588" w:rsidRPr="001731EC">
        <w:rPr>
          <w:color w:val="auto"/>
          <w:szCs w:val="24"/>
        </w:rPr>
        <w:t>1 kg NEM</w:t>
      </w:r>
      <w:r w:rsidR="00861001" w:rsidRPr="001731EC">
        <w:rPr>
          <w:color w:val="auto"/>
          <w:szCs w:val="24"/>
        </w:rPr>
        <w:t xml:space="preserve"> fyrværkeri pr. bolig.</w:t>
      </w:r>
    </w:p>
    <w:p w14:paraId="26CCAF7F" w14:textId="77777777" w:rsidR="00264BED" w:rsidRPr="001731EC" w:rsidRDefault="00264BED" w:rsidP="00D86F5C">
      <w:pPr>
        <w:spacing w:after="0" w:line="288" w:lineRule="auto"/>
        <w:ind w:left="-15" w:right="57" w:firstLine="0"/>
        <w:rPr>
          <w:b/>
          <w:color w:val="auto"/>
          <w:szCs w:val="24"/>
        </w:rPr>
      </w:pPr>
    </w:p>
    <w:p w14:paraId="03F66F7A" w14:textId="77B469F6" w:rsidR="00824A7B" w:rsidRPr="001731EC" w:rsidRDefault="0046086D" w:rsidP="00D86F5C">
      <w:pPr>
        <w:spacing w:after="0" w:line="288" w:lineRule="auto"/>
        <w:ind w:left="-15" w:right="57" w:firstLine="0"/>
        <w:rPr>
          <w:color w:val="auto"/>
          <w:szCs w:val="24"/>
        </w:rPr>
      </w:pPr>
      <w:r w:rsidRPr="001731EC">
        <w:rPr>
          <w:b/>
          <w:color w:val="auto"/>
          <w:szCs w:val="24"/>
        </w:rPr>
        <w:t xml:space="preserve">  </w:t>
      </w:r>
      <w:r w:rsidR="00861001" w:rsidRPr="001731EC">
        <w:rPr>
          <w:b/>
          <w:color w:val="auto"/>
          <w:szCs w:val="24"/>
        </w:rPr>
        <w:t>§ 6.</w:t>
      </w:r>
      <w:r w:rsidR="00861001" w:rsidRPr="001731EC">
        <w:rPr>
          <w:color w:val="auto"/>
          <w:szCs w:val="24"/>
        </w:rPr>
        <w:t xml:space="preserve"> </w:t>
      </w:r>
      <w:r w:rsidRPr="001731EC">
        <w:rPr>
          <w:color w:val="auto"/>
          <w:szCs w:val="24"/>
        </w:rPr>
        <w:t xml:space="preserve"> </w:t>
      </w:r>
      <w:r w:rsidR="00861001" w:rsidRPr="001731EC">
        <w:rPr>
          <w:color w:val="auto"/>
          <w:szCs w:val="24"/>
        </w:rPr>
        <w:t xml:space="preserve">I lokaler, hvor der stationært eller midlertidigt er etableret et salgssted, der benyttes til salg af fyrværkeri, må der maksimalt opbevares </w:t>
      </w:r>
      <w:r w:rsidR="00982588" w:rsidRPr="001731EC">
        <w:rPr>
          <w:color w:val="auto"/>
          <w:szCs w:val="24"/>
        </w:rPr>
        <w:t>12,5 kg NEM</w:t>
      </w:r>
      <w:r w:rsidR="00861001" w:rsidRPr="001731EC">
        <w:rPr>
          <w:color w:val="auto"/>
          <w:szCs w:val="24"/>
        </w:rPr>
        <w:t xml:space="preserve"> fyrværkeri.</w:t>
      </w:r>
    </w:p>
    <w:p w14:paraId="73D525DE" w14:textId="77777777" w:rsidR="00264BED" w:rsidRPr="001731EC" w:rsidRDefault="00264BED" w:rsidP="00D86F5C">
      <w:pPr>
        <w:spacing w:after="0" w:line="288" w:lineRule="auto"/>
        <w:ind w:left="-15" w:right="57" w:firstLine="0"/>
        <w:rPr>
          <w:b/>
          <w:color w:val="auto"/>
          <w:szCs w:val="24"/>
        </w:rPr>
      </w:pPr>
    </w:p>
    <w:p w14:paraId="201F3D57" w14:textId="3DFA828D" w:rsidR="00824A7B" w:rsidRPr="001731EC" w:rsidRDefault="0046086D" w:rsidP="00D86F5C">
      <w:pPr>
        <w:spacing w:after="0" w:line="288" w:lineRule="auto"/>
        <w:ind w:left="-15" w:right="57" w:firstLine="0"/>
        <w:rPr>
          <w:color w:val="auto"/>
          <w:szCs w:val="24"/>
        </w:rPr>
      </w:pPr>
      <w:r w:rsidRPr="001731EC">
        <w:rPr>
          <w:b/>
          <w:color w:val="auto"/>
          <w:szCs w:val="24"/>
        </w:rPr>
        <w:t xml:space="preserve">  </w:t>
      </w:r>
      <w:r w:rsidR="00861001" w:rsidRPr="001731EC">
        <w:rPr>
          <w:b/>
          <w:color w:val="auto"/>
          <w:szCs w:val="24"/>
        </w:rPr>
        <w:t>§ 7.</w:t>
      </w:r>
      <w:r w:rsidR="00861001" w:rsidRPr="001731EC">
        <w:rPr>
          <w:color w:val="auto"/>
          <w:szCs w:val="24"/>
        </w:rPr>
        <w:t xml:space="preserve"> </w:t>
      </w:r>
      <w:r w:rsidRPr="001731EC">
        <w:rPr>
          <w:color w:val="auto"/>
          <w:szCs w:val="24"/>
        </w:rPr>
        <w:t xml:space="preserve"> </w:t>
      </w:r>
      <w:r w:rsidR="00861001" w:rsidRPr="001731EC">
        <w:rPr>
          <w:color w:val="auto"/>
          <w:szCs w:val="24"/>
        </w:rPr>
        <w:t>I lokaler, der støder op til et salgssted</w:t>
      </w:r>
      <w:r w:rsidR="0090615C" w:rsidRPr="001731EC">
        <w:rPr>
          <w:color w:val="auto"/>
          <w:szCs w:val="24"/>
        </w:rPr>
        <w:t xml:space="preserve"> må</w:t>
      </w:r>
      <w:r w:rsidR="00861001" w:rsidRPr="001731EC">
        <w:rPr>
          <w:color w:val="auto"/>
          <w:szCs w:val="24"/>
        </w:rPr>
        <w:t xml:space="preserve"> der maksimalt opbevares </w:t>
      </w:r>
      <w:r w:rsidR="00982588" w:rsidRPr="001731EC">
        <w:rPr>
          <w:color w:val="auto"/>
          <w:szCs w:val="24"/>
        </w:rPr>
        <w:t>25 kg NEM</w:t>
      </w:r>
      <w:r w:rsidR="00861001" w:rsidRPr="001731EC">
        <w:rPr>
          <w:color w:val="auto"/>
          <w:szCs w:val="24"/>
        </w:rPr>
        <w:t xml:space="preserve"> fyrværkeri.</w:t>
      </w:r>
    </w:p>
    <w:p w14:paraId="6980F7E9" w14:textId="56CC4243" w:rsidR="00824A7B" w:rsidRPr="001731EC" w:rsidRDefault="0046086D" w:rsidP="00D86F5C">
      <w:pPr>
        <w:spacing w:after="0" w:line="288" w:lineRule="auto"/>
        <w:ind w:right="57"/>
        <w:rPr>
          <w:color w:val="auto"/>
          <w:szCs w:val="24"/>
        </w:rPr>
      </w:pPr>
      <w:r w:rsidRPr="001731EC">
        <w:rPr>
          <w:i/>
          <w:color w:val="auto"/>
          <w:szCs w:val="24"/>
        </w:rPr>
        <w:t xml:space="preserve">  </w:t>
      </w:r>
      <w:r w:rsidR="00861001" w:rsidRPr="001731EC">
        <w:rPr>
          <w:i/>
          <w:color w:val="auto"/>
          <w:szCs w:val="24"/>
        </w:rPr>
        <w:t>Stk. 2.</w:t>
      </w:r>
      <w:r w:rsidR="00861001" w:rsidRPr="001731EC">
        <w:rPr>
          <w:color w:val="auto"/>
          <w:szCs w:val="24"/>
        </w:rPr>
        <w:t xml:space="preserve"> </w:t>
      </w:r>
      <w:r w:rsidRPr="001731EC">
        <w:rPr>
          <w:color w:val="auto"/>
          <w:szCs w:val="24"/>
        </w:rPr>
        <w:t xml:space="preserve"> </w:t>
      </w:r>
      <w:r w:rsidR="00861001" w:rsidRPr="001731EC">
        <w:rPr>
          <w:color w:val="auto"/>
          <w:szCs w:val="24"/>
        </w:rPr>
        <w:t>Lokalerne skal være adskilt fra salgsstedet med en tætsluttende dør.</w:t>
      </w:r>
      <w:r w:rsidR="001A0218" w:rsidRPr="001731EC">
        <w:rPr>
          <w:color w:val="auto"/>
          <w:szCs w:val="24"/>
        </w:rPr>
        <w:br/>
      </w:r>
      <w:r w:rsidRPr="001731EC">
        <w:rPr>
          <w:i/>
          <w:color w:val="auto"/>
          <w:szCs w:val="24"/>
        </w:rPr>
        <w:t xml:space="preserve">  </w:t>
      </w:r>
      <w:r w:rsidR="001A0218" w:rsidRPr="001731EC">
        <w:rPr>
          <w:i/>
          <w:color w:val="auto"/>
          <w:szCs w:val="24"/>
        </w:rPr>
        <w:t>Stk.3.</w:t>
      </w:r>
      <w:r w:rsidR="001A0218" w:rsidRPr="001731EC">
        <w:rPr>
          <w:color w:val="auto"/>
          <w:szCs w:val="24"/>
        </w:rPr>
        <w:t xml:space="preserve"> </w:t>
      </w:r>
      <w:r w:rsidRPr="001731EC">
        <w:rPr>
          <w:color w:val="auto"/>
          <w:szCs w:val="24"/>
        </w:rPr>
        <w:t xml:space="preserve"> </w:t>
      </w:r>
      <w:r w:rsidR="001A0218" w:rsidRPr="001731EC">
        <w:rPr>
          <w:color w:val="auto"/>
          <w:szCs w:val="24"/>
        </w:rPr>
        <w:t>Der må i lokalet ikke forefindes brandbare væsker, F-gas, eller andet brandfarligt oplag.</w:t>
      </w:r>
    </w:p>
    <w:p w14:paraId="7EBDDA07" w14:textId="77777777" w:rsidR="00264BED" w:rsidRPr="001731EC" w:rsidRDefault="00264BED" w:rsidP="00D86F5C">
      <w:pPr>
        <w:spacing w:after="0" w:line="288" w:lineRule="auto"/>
        <w:ind w:left="-15" w:right="57" w:firstLine="0"/>
        <w:rPr>
          <w:b/>
          <w:color w:val="auto"/>
          <w:szCs w:val="24"/>
        </w:rPr>
      </w:pPr>
    </w:p>
    <w:p w14:paraId="13B3A686" w14:textId="2A348BA2" w:rsidR="00824A7B" w:rsidRPr="001731EC" w:rsidRDefault="0046086D" w:rsidP="00D86F5C">
      <w:pPr>
        <w:spacing w:after="0" w:line="288" w:lineRule="auto"/>
        <w:ind w:left="-15" w:right="57" w:firstLine="0"/>
        <w:rPr>
          <w:color w:val="auto"/>
          <w:szCs w:val="24"/>
        </w:rPr>
      </w:pPr>
      <w:r w:rsidRPr="001731EC">
        <w:rPr>
          <w:b/>
          <w:color w:val="auto"/>
          <w:szCs w:val="24"/>
        </w:rPr>
        <w:t xml:space="preserve">  </w:t>
      </w:r>
      <w:r w:rsidR="00861001" w:rsidRPr="001731EC">
        <w:rPr>
          <w:b/>
          <w:color w:val="auto"/>
          <w:szCs w:val="24"/>
        </w:rPr>
        <w:t>§ 8.</w:t>
      </w:r>
      <w:r w:rsidR="00861001" w:rsidRPr="001731EC">
        <w:rPr>
          <w:color w:val="auto"/>
          <w:szCs w:val="24"/>
        </w:rPr>
        <w:t xml:space="preserve"> </w:t>
      </w:r>
      <w:r w:rsidRPr="001731EC">
        <w:rPr>
          <w:color w:val="auto"/>
          <w:szCs w:val="24"/>
        </w:rPr>
        <w:t xml:space="preserve"> </w:t>
      </w:r>
      <w:r w:rsidR="00861001" w:rsidRPr="001731EC">
        <w:rPr>
          <w:color w:val="auto"/>
          <w:szCs w:val="24"/>
        </w:rPr>
        <w:t xml:space="preserve">I </w:t>
      </w:r>
      <w:r w:rsidR="006D4ECA" w:rsidRPr="001731EC">
        <w:rPr>
          <w:color w:val="auto"/>
          <w:szCs w:val="24"/>
        </w:rPr>
        <w:t>1</w:t>
      </w:r>
      <w:r w:rsidR="00861001" w:rsidRPr="001731EC">
        <w:rPr>
          <w:color w:val="auto"/>
          <w:szCs w:val="24"/>
        </w:rPr>
        <w:t xml:space="preserve"> bygning, der er beliggende i rammeområde A eller C, må der maksimalt opbevares</w:t>
      </w:r>
      <w:r w:rsidR="005B55F0">
        <w:rPr>
          <w:color w:val="auto"/>
          <w:szCs w:val="24"/>
        </w:rPr>
        <w:t xml:space="preserve"> 37,5</w:t>
      </w:r>
      <w:bookmarkStart w:id="0" w:name="_GoBack"/>
      <w:bookmarkEnd w:id="0"/>
      <w:r w:rsidR="00861001" w:rsidRPr="001731EC">
        <w:rPr>
          <w:color w:val="auto"/>
          <w:szCs w:val="24"/>
        </w:rPr>
        <w:t xml:space="preserve"> kg</w:t>
      </w:r>
      <w:r w:rsidR="00982588" w:rsidRPr="001731EC">
        <w:rPr>
          <w:color w:val="auto"/>
          <w:szCs w:val="24"/>
        </w:rPr>
        <w:t xml:space="preserve"> NEM</w:t>
      </w:r>
      <w:r w:rsidR="00861001" w:rsidRPr="001731EC">
        <w:rPr>
          <w:color w:val="auto"/>
          <w:szCs w:val="24"/>
        </w:rPr>
        <w:t xml:space="preserve"> fyrværkeri.</w:t>
      </w:r>
    </w:p>
    <w:p w14:paraId="6E082656" w14:textId="60B9D0EB" w:rsidR="00824A7B" w:rsidRPr="001731EC" w:rsidRDefault="0046086D" w:rsidP="00D86F5C">
      <w:pPr>
        <w:spacing w:after="0" w:line="288" w:lineRule="auto"/>
        <w:ind w:right="57"/>
        <w:rPr>
          <w:color w:val="auto"/>
          <w:szCs w:val="24"/>
        </w:rPr>
      </w:pPr>
      <w:r w:rsidRPr="001731EC">
        <w:rPr>
          <w:i/>
          <w:color w:val="auto"/>
          <w:szCs w:val="24"/>
        </w:rPr>
        <w:t xml:space="preserve">  </w:t>
      </w:r>
      <w:r w:rsidR="00861001" w:rsidRPr="001731EC">
        <w:rPr>
          <w:i/>
          <w:color w:val="auto"/>
          <w:szCs w:val="24"/>
        </w:rPr>
        <w:t>Stk. 2.</w:t>
      </w:r>
      <w:r w:rsidR="00861001" w:rsidRPr="001731EC">
        <w:rPr>
          <w:color w:val="auto"/>
          <w:szCs w:val="24"/>
        </w:rPr>
        <w:t xml:space="preserve"> </w:t>
      </w:r>
      <w:r w:rsidRPr="001731EC">
        <w:rPr>
          <w:color w:val="auto"/>
          <w:szCs w:val="24"/>
        </w:rPr>
        <w:t xml:space="preserve"> </w:t>
      </w:r>
      <w:r w:rsidR="00861001" w:rsidRPr="001731EC">
        <w:rPr>
          <w:color w:val="auto"/>
          <w:szCs w:val="24"/>
        </w:rPr>
        <w:t>I rammeområde A eller C må der ikke opbevares fyrværkeri i containere.</w:t>
      </w:r>
    </w:p>
    <w:p w14:paraId="29386F3B" w14:textId="77777777" w:rsidR="00264BED" w:rsidRPr="001731EC" w:rsidRDefault="00264BED" w:rsidP="00D86F5C">
      <w:pPr>
        <w:spacing w:after="0" w:line="288" w:lineRule="auto"/>
        <w:ind w:left="-15" w:right="57" w:firstLine="0"/>
        <w:rPr>
          <w:b/>
          <w:color w:val="auto"/>
          <w:szCs w:val="24"/>
        </w:rPr>
      </w:pPr>
    </w:p>
    <w:p w14:paraId="49B3B245" w14:textId="21159ABD" w:rsidR="00824A7B" w:rsidRPr="001731EC" w:rsidRDefault="0046086D" w:rsidP="00D86F5C">
      <w:pPr>
        <w:spacing w:after="0" w:line="288" w:lineRule="auto"/>
        <w:ind w:left="-15" w:right="57" w:firstLine="0"/>
        <w:rPr>
          <w:color w:val="auto"/>
          <w:szCs w:val="24"/>
        </w:rPr>
      </w:pPr>
      <w:r w:rsidRPr="001731EC">
        <w:rPr>
          <w:b/>
          <w:color w:val="auto"/>
          <w:szCs w:val="24"/>
        </w:rPr>
        <w:t xml:space="preserve">  </w:t>
      </w:r>
      <w:r w:rsidR="00861001" w:rsidRPr="001731EC">
        <w:rPr>
          <w:b/>
          <w:color w:val="auto"/>
          <w:szCs w:val="24"/>
        </w:rPr>
        <w:t>§ 9.</w:t>
      </w:r>
      <w:r w:rsidR="00861001" w:rsidRPr="001731EC">
        <w:rPr>
          <w:color w:val="auto"/>
          <w:szCs w:val="24"/>
        </w:rPr>
        <w:t xml:space="preserve"> </w:t>
      </w:r>
      <w:r w:rsidRPr="001731EC">
        <w:rPr>
          <w:color w:val="auto"/>
          <w:szCs w:val="24"/>
        </w:rPr>
        <w:t xml:space="preserve"> </w:t>
      </w:r>
      <w:r w:rsidR="00861001" w:rsidRPr="001731EC">
        <w:rPr>
          <w:color w:val="auto"/>
          <w:szCs w:val="24"/>
        </w:rPr>
        <w:t>I rammeområderne B, D eller E må der opbevares fyrværkeri i bygninger eller containere, jf. dog stk. 2</w:t>
      </w:r>
      <w:r w:rsidR="00EA28F3" w:rsidRPr="001731EC">
        <w:rPr>
          <w:color w:val="auto"/>
          <w:szCs w:val="24"/>
        </w:rPr>
        <w:t>-4</w:t>
      </w:r>
      <w:r w:rsidR="00861001" w:rsidRPr="001731EC">
        <w:rPr>
          <w:color w:val="auto"/>
          <w:szCs w:val="24"/>
        </w:rPr>
        <w:t>, såfremt følgende krav overholdes:</w:t>
      </w:r>
    </w:p>
    <w:p w14:paraId="0DCAD2D1" w14:textId="5DE7DAD8" w:rsidR="00824A7B" w:rsidRPr="001731EC" w:rsidRDefault="00FF32D1" w:rsidP="00D86F5C">
      <w:pPr>
        <w:spacing w:after="0" w:line="288" w:lineRule="auto"/>
        <w:ind w:right="57"/>
        <w:rPr>
          <w:color w:val="auto"/>
          <w:szCs w:val="24"/>
        </w:rPr>
      </w:pPr>
      <w:r w:rsidRPr="001731EC">
        <w:rPr>
          <w:color w:val="auto"/>
          <w:szCs w:val="24"/>
        </w:rPr>
        <w:t xml:space="preserve">1) </w:t>
      </w:r>
      <w:r w:rsidR="0046086D" w:rsidRPr="001731EC">
        <w:rPr>
          <w:color w:val="auto"/>
          <w:szCs w:val="24"/>
        </w:rPr>
        <w:t xml:space="preserve"> </w:t>
      </w:r>
      <w:r w:rsidR="00861001" w:rsidRPr="001731EC">
        <w:rPr>
          <w:color w:val="auto"/>
          <w:szCs w:val="24"/>
        </w:rPr>
        <w:t>der skal være minimum 10 meter mellem opbevaringsenhederne,</w:t>
      </w:r>
    </w:p>
    <w:p w14:paraId="390655EC" w14:textId="22AD4281" w:rsidR="00824A7B" w:rsidRPr="001731EC" w:rsidRDefault="00FF32D1" w:rsidP="00D86F5C">
      <w:pPr>
        <w:spacing w:after="0" w:line="288" w:lineRule="auto"/>
        <w:ind w:right="57"/>
        <w:rPr>
          <w:color w:val="auto"/>
          <w:szCs w:val="24"/>
        </w:rPr>
      </w:pPr>
      <w:r w:rsidRPr="001731EC">
        <w:rPr>
          <w:color w:val="auto"/>
          <w:szCs w:val="24"/>
        </w:rPr>
        <w:t xml:space="preserve">2)  </w:t>
      </w:r>
      <w:r w:rsidR="00861001" w:rsidRPr="001731EC">
        <w:rPr>
          <w:color w:val="auto"/>
          <w:szCs w:val="24"/>
        </w:rPr>
        <w:t>der skal være minimum 15 meter til brandfarligt oplag i det fri, og</w:t>
      </w:r>
    </w:p>
    <w:p w14:paraId="431B08D7" w14:textId="33C8A837" w:rsidR="00824A7B" w:rsidRPr="001731EC" w:rsidRDefault="00FF32D1" w:rsidP="00D86F5C">
      <w:pPr>
        <w:spacing w:after="0" w:line="288" w:lineRule="auto"/>
        <w:ind w:right="57"/>
        <w:rPr>
          <w:color w:val="auto"/>
          <w:szCs w:val="24"/>
        </w:rPr>
      </w:pPr>
      <w:r w:rsidRPr="001731EC">
        <w:rPr>
          <w:color w:val="auto"/>
          <w:szCs w:val="24"/>
        </w:rPr>
        <w:t xml:space="preserve">3)  </w:t>
      </w:r>
      <w:r w:rsidR="00861001" w:rsidRPr="001731EC">
        <w:rPr>
          <w:color w:val="auto"/>
          <w:szCs w:val="24"/>
        </w:rPr>
        <w:t>der skal være minimum 40 meter til bygninger, der anvendes til beboelse.</w:t>
      </w:r>
    </w:p>
    <w:p w14:paraId="7F2EEC3B" w14:textId="63ADE8D8" w:rsidR="00824A7B" w:rsidRPr="001731EC" w:rsidRDefault="0046086D" w:rsidP="00D86F5C">
      <w:pPr>
        <w:spacing w:after="0" w:line="288" w:lineRule="auto"/>
        <w:ind w:left="-15" w:right="57" w:firstLine="0"/>
        <w:rPr>
          <w:color w:val="auto"/>
          <w:szCs w:val="24"/>
        </w:rPr>
      </w:pPr>
      <w:r w:rsidRPr="001731EC">
        <w:rPr>
          <w:i/>
          <w:color w:val="auto"/>
          <w:szCs w:val="24"/>
        </w:rPr>
        <w:t xml:space="preserve">  </w:t>
      </w:r>
      <w:r w:rsidR="00861001" w:rsidRPr="001731EC">
        <w:rPr>
          <w:i/>
          <w:color w:val="auto"/>
          <w:szCs w:val="24"/>
        </w:rPr>
        <w:t>Stk. 2.</w:t>
      </w:r>
      <w:r w:rsidR="00861001" w:rsidRPr="001731EC">
        <w:rPr>
          <w:color w:val="auto"/>
          <w:szCs w:val="24"/>
        </w:rPr>
        <w:t xml:space="preserve"> </w:t>
      </w:r>
      <w:r w:rsidRPr="001731EC">
        <w:rPr>
          <w:color w:val="auto"/>
          <w:szCs w:val="24"/>
        </w:rPr>
        <w:t xml:space="preserve"> </w:t>
      </w:r>
      <w:r w:rsidR="00861001" w:rsidRPr="001731EC">
        <w:rPr>
          <w:color w:val="auto"/>
          <w:szCs w:val="24"/>
        </w:rPr>
        <w:t>Ved opstilling af flere containere skal disse placeres parallelt med døråbningerne i samme retning.</w:t>
      </w:r>
    </w:p>
    <w:p w14:paraId="46298241" w14:textId="21CA9C09" w:rsidR="00824A7B" w:rsidRPr="001731EC" w:rsidRDefault="0046086D" w:rsidP="00D86F5C">
      <w:pPr>
        <w:spacing w:after="0" w:line="288" w:lineRule="auto"/>
        <w:ind w:right="57"/>
        <w:rPr>
          <w:color w:val="auto"/>
          <w:szCs w:val="24"/>
        </w:rPr>
      </w:pPr>
      <w:r w:rsidRPr="001731EC">
        <w:rPr>
          <w:i/>
          <w:color w:val="auto"/>
          <w:szCs w:val="24"/>
        </w:rPr>
        <w:t xml:space="preserve">  </w:t>
      </w:r>
      <w:r w:rsidR="00861001" w:rsidRPr="001731EC">
        <w:rPr>
          <w:i/>
          <w:color w:val="auto"/>
          <w:szCs w:val="24"/>
        </w:rPr>
        <w:t>Stk. 3.</w:t>
      </w:r>
      <w:r w:rsidR="00861001" w:rsidRPr="001731EC">
        <w:rPr>
          <w:color w:val="auto"/>
          <w:szCs w:val="24"/>
        </w:rPr>
        <w:t xml:space="preserve"> </w:t>
      </w:r>
      <w:r w:rsidRPr="001731EC">
        <w:rPr>
          <w:color w:val="auto"/>
          <w:szCs w:val="24"/>
        </w:rPr>
        <w:t xml:space="preserve"> </w:t>
      </w:r>
      <w:r w:rsidR="00861001" w:rsidRPr="001731EC">
        <w:rPr>
          <w:color w:val="auto"/>
          <w:szCs w:val="24"/>
        </w:rPr>
        <w:t>Containere må ikke ligge i forlængelse af hinanden.</w:t>
      </w:r>
    </w:p>
    <w:p w14:paraId="4176C3F7" w14:textId="74D0B885" w:rsidR="00824A7B" w:rsidRPr="001731EC" w:rsidRDefault="0046086D" w:rsidP="00D86F5C">
      <w:pPr>
        <w:spacing w:after="0" w:line="288" w:lineRule="auto"/>
        <w:ind w:left="-15" w:right="57" w:firstLine="0"/>
        <w:rPr>
          <w:color w:val="auto"/>
          <w:szCs w:val="24"/>
        </w:rPr>
      </w:pPr>
      <w:r w:rsidRPr="001731EC">
        <w:rPr>
          <w:i/>
          <w:color w:val="auto"/>
          <w:szCs w:val="24"/>
        </w:rPr>
        <w:t xml:space="preserve">  </w:t>
      </w:r>
      <w:r w:rsidR="00861001" w:rsidRPr="001731EC">
        <w:rPr>
          <w:i/>
          <w:color w:val="auto"/>
          <w:szCs w:val="24"/>
        </w:rPr>
        <w:t>Stk. 4.</w:t>
      </w:r>
      <w:r w:rsidR="00861001" w:rsidRPr="001731EC">
        <w:rPr>
          <w:color w:val="auto"/>
          <w:szCs w:val="24"/>
        </w:rPr>
        <w:t xml:space="preserve"> </w:t>
      </w:r>
      <w:r w:rsidRPr="001731EC">
        <w:rPr>
          <w:color w:val="auto"/>
          <w:szCs w:val="24"/>
        </w:rPr>
        <w:t xml:space="preserve"> </w:t>
      </w:r>
      <w:r w:rsidR="00861001" w:rsidRPr="001731EC">
        <w:rPr>
          <w:color w:val="auto"/>
          <w:szCs w:val="24"/>
        </w:rPr>
        <w:t>Opbevaring af fyrværkeri i containere i rammeområderne B, D og E sker efter forudgående godkendelse af kommunalbestyrelsen.</w:t>
      </w:r>
    </w:p>
    <w:p w14:paraId="0448B818" w14:textId="77777777" w:rsidR="00824A7B" w:rsidRPr="001731EC" w:rsidRDefault="00861001" w:rsidP="00D86F5C">
      <w:pPr>
        <w:spacing w:after="0" w:line="288" w:lineRule="auto"/>
        <w:ind w:left="0" w:firstLine="0"/>
        <w:rPr>
          <w:color w:val="auto"/>
          <w:szCs w:val="24"/>
        </w:rPr>
      </w:pPr>
      <w:r w:rsidRPr="001731EC">
        <w:rPr>
          <w:color w:val="auto"/>
          <w:szCs w:val="24"/>
        </w:rPr>
        <w:t xml:space="preserve"> </w:t>
      </w:r>
    </w:p>
    <w:p w14:paraId="74CB30A1" w14:textId="5CB04E6A" w:rsidR="00824A7B" w:rsidRPr="001731EC" w:rsidRDefault="0069077A" w:rsidP="00D86F5C">
      <w:pPr>
        <w:pStyle w:val="Overskrift1"/>
        <w:spacing w:after="0" w:line="288" w:lineRule="auto"/>
        <w:rPr>
          <w:color w:val="auto"/>
          <w:szCs w:val="24"/>
        </w:rPr>
      </w:pPr>
      <w:r w:rsidRPr="001731EC">
        <w:rPr>
          <w:color w:val="auto"/>
          <w:szCs w:val="24"/>
        </w:rPr>
        <w:t>Foranstaltninger</w:t>
      </w:r>
    </w:p>
    <w:p w14:paraId="00999359" w14:textId="77777777" w:rsidR="00FE49BC" w:rsidRPr="001731EC" w:rsidRDefault="00FE49BC" w:rsidP="00D86F5C">
      <w:pPr>
        <w:spacing w:after="0" w:line="288" w:lineRule="auto"/>
        <w:ind w:right="57"/>
        <w:rPr>
          <w:b/>
          <w:color w:val="auto"/>
          <w:szCs w:val="24"/>
        </w:rPr>
      </w:pPr>
    </w:p>
    <w:p w14:paraId="32158E5E" w14:textId="79CD9009" w:rsidR="00824A7B" w:rsidRPr="001731EC" w:rsidRDefault="0046086D" w:rsidP="00D86F5C">
      <w:pPr>
        <w:spacing w:after="0" w:line="288" w:lineRule="auto"/>
        <w:ind w:right="57"/>
        <w:rPr>
          <w:color w:val="auto"/>
          <w:szCs w:val="24"/>
        </w:rPr>
      </w:pPr>
      <w:r w:rsidRPr="001731EC">
        <w:rPr>
          <w:b/>
          <w:color w:val="auto"/>
          <w:szCs w:val="24"/>
        </w:rPr>
        <w:t xml:space="preserve">  </w:t>
      </w:r>
      <w:r w:rsidR="00861001" w:rsidRPr="001731EC">
        <w:rPr>
          <w:b/>
          <w:color w:val="auto"/>
          <w:szCs w:val="24"/>
        </w:rPr>
        <w:t>§ 10.</w:t>
      </w:r>
      <w:r w:rsidR="00861001" w:rsidRPr="001731EC">
        <w:rPr>
          <w:color w:val="auto"/>
          <w:szCs w:val="24"/>
        </w:rPr>
        <w:t xml:space="preserve"> </w:t>
      </w:r>
      <w:r w:rsidRPr="001731EC">
        <w:rPr>
          <w:color w:val="auto"/>
          <w:szCs w:val="24"/>
        </w:rPr>
        <w:t xml:space="preserve"> </w:t>
      </w:r>
      <w:r w:rsidR="00FE49BC" w:rsidRPr="001731EC">
        <w:rPr>
          <w:color w:val="auto"/>
          <w:szCs w:val="24"/>
        </w:rPr>
        <w:t xml:space="preserve">Der kan pålægges foranstaltninger i form af bøde for </w:t>
      </w:r>
      <w:r w:rsidR="00861001" w:rsidRPr="001731EC">
        <w:rPr>
          <w:color w:val="auto"/>
          <w:szCs w:val="24"/>
        </w:rPr>
        <w:t>overtrædelse af §§ 5-9.</w:t>
      </w:r>
    </w:p>
    <w:p w14:paraId="64A2B735" w14:textId="77777777" w:rsidR="00812527" w:rsidRPr="001731EC" w:rsidRDefault="0046086D" w:rsidP="00812527">
      <w:pPr>
        <w:spacing w:after="0" w:line="288" w:lineRule="auto"/>
        <w:ind w:left="-15" w:right="57" w:firstLine="0"/>
        <w:rPr>
          <w:color w:val="auto"/>
          <w:szCs w:val="24"/>
        </w:rPr>
      </w:pPr>
      <w:r w:rsidRPr="001731EC">
        <w:rPr>
          <w:i/>
          <w:color w:val="auto"/>
          <w:szCs w:val="24"/>
        </w:rPr>
        <w:t xml:space="preserve">  </w:t>
      </w:r>
      <w:r w:rsidR="00861001" w:rsidRPr="001731EC">
        <w:rPr>
          <w:i/>
          <w:color w:val="auto"/>
          <w:szCs w:val="24"/>
        </w:rPr>
        <w:t>Stk. 2.</w:t>
      </w:r>
      <w:r w:rsidR="00861001" w:rsidRPr="001731EC">
        <w:rPr>
          <w:color w:val="auto"/>
          <w:szCs w:val="24"/>
        </w:rPr>
        <w:t xml:space="preserve"> </w:t>
      </w:r>
      <w:r w:rsidRPr="001731EC">
        <w:rPr>
          <w:color w:val="auto"/>
          <w:szCs w:val="24"/>
        </w:rPr>
        <w:t xml:space="preserve"> </w:t>
      </w:r>
      <w:r w:rsidR="00812527" w:rsidRPr="001731EC">
        <w:rPr>
          <w:color w:val="auto"/>
          <w:szCs w:val="24"/>
        </w:rPr>
        <w:t>Der kan pålægges selskaber m.v. (juridiske personer) kriminalretligt ansvar efter</w:t>
      </w:r>
    </w:p>
    <w:p w14:paraId="00038BFC" w14:textId="36768D29" w:rsidR="00824A7B" w:rsidRPr="001731EC" w:rsidRDefault="00812527" w:rsidP="00D86F5C">
      <w:pPr>
        <w:spacing w:after="0" w:line="288" w:lineRule="auto"/>
        <w:ind w:left="-15" w:right="57" w:firstLine="0"/>
        <w:rPr>
          <w:color w:val="auto"/>
          <w:szCs w:val="24"/>
        </w:rPr>
      </w:pPr>
      <w:r w:rsidRPr="001731EC">
        <w:rPr>
          <w:color w:val="auto"/>
          <w:szCs w:val="24"/>
        </w:rPr>
        <w:t>reglerne i kriminallovens kapitel 5</w:t>
      </w:r>
      <w:r w:rsidR="00AE48B2">
        <w:rPr>
          <w:color w:val="auto"/>
          <w:szCs w:val="24"/>
        </w:rPr>
        <w:t xml:space="preserve">. </w:t>
      </w:r>
      <w:r w:rsidR="00861001" w:rsidRPr="001731EC">
        <w:rPr>
          <w:color w:val="auto"/>
          <w:szCs w:val="24"/>
        </w:rPr>
        <w:t>Er overtrædelsen begået af et aktieselskab, anpartsselskab, andelsselskab eller lignende, kan bødeansvar pålægges selskabet som sådan.</w:t>
      </w:r>
    </w:p>
    <w:p w14:paraId="76FA9DCC" w14:textId="3785703B" w:rsidR="0070046A" w:rsidRPr="001731EC" w:rsidRDefault="0046086D" w:rsidP="00D86F5C">
      <w:pPr>
        <w:spacing w:after="0" w:line="288" w:lineRule="auto"/>
        <w:ind w:left="-15" w:right="57" w:firstLine="0"/>
        <w:rPr>
          <w:color w:val="auto"/>
          <w:szCs w:val="24"/>
        </w:rPr>
      </w:pPr>
      <w:r w:rsidRPr="001731EC">
        <w:rPr>
          <w:i/>
          <w:color w:val="auto"/>
          <w:szCs w:val="24"/>
        </w:rPr>
        <w:t xml:space="preserve">  </w:t>
      </w:r>
      <w:r w:rsidR="00861001" w:rsidRPr="001731EC">
        <w:rPr>
          <w:i/>
          <w:color w:val="auto"/>
          <w:szCs w:val="24"/>
        </w:rPr>
        <w:t>Stk. 3.</w:t>
      </w:r>
      <w:r w:rsidR="00861001" w:rsidRPr="001731EC">
        <w:rPr>
          <w:color w:val="auto"/>
          <w:szCs w:val="24"/>
        </w:rPr>
        <w:t xml:space="preserve"> </w:t>
      </w:r>
      <w:r w:rsidRPr="001731EC">
        <w:rPr>
          <w:color w:val="auto"/>
          <w:szCs w:val="24"/>
        </w:rPr>
        <w:t xml:space="preserve"> </w:t>
      </w:r>
      <w:r w:rsidR="00861001" w:rsidRPr="001731EC">
        <w:rPr>
          <w:color w:val="auto"/>
          <w:szCs w:val="24"/>
        </w:rPr>
        <w:t>Er overtrædelsen begået af en kommune eller et kommunalt fællesskab, kan der pålægges kommunen eller det kommunale fællesskab bødeansvar.</w:t>
      </w:r>
    </w:p>
    <w:p w14:paraId="152F6911" w14:textId="77777777" w:rsidR="00D86F5C" w:rsidRPr="001731EC" w:rsidRDefault="00D86F5C" w:rsidP="00D86F5C">
      <w:pPr>
        <w:spacing w:after="0" w:line="288" w:lineRule="auto"/>
        <w:ind w:left="-15" w:right="57" w:firstLine="0"/>
        <w:rPr>
          <w:color w:val="auto"/>
          <w:szCs w:val="24"/>
        </w:rPr>
      </w:pPr>
    </w:p>
    <w:p w14:paraId="6DA30DB4" w14:textId="19EFB6BB" w:rsidR="0069077A" w:rsidRPr="001731EC" w:rsidRDefault="0069077A" w:rsidP="0069077A">
      <w:pPr>
        <w:pStyle w:val="Overskrift1"/>
        <w:spacing w:after="0" w:line="288" w:lineRule="auto"/>
        <w:rPr>
          <w:color w:val="auto"/>
          <w:szCs w:val="24"/>
        </w:rPr>
      </w:pPr>
      <w:r w:rsidRPr="001731EC">
        <w:rPr>
          <w:color w:val="auto"/>
          <w:szCs w:val="24"/>
        </w:rPr>
        <w:t>Ikrafttrædelse</w:t>
      </w:r>
    </w:p>
    <w:p w14:paraId="435A10BA" w14:textId="77777777" w:rsidR="0069077A" w:rsidRPr="001731EC" w:rsidRDefault="0069077A" w:rsidP="00D86F5C">
      <w:pPr>
        <w:spacing w:after="0" w:line="288" w:lineRule="auto"/>
        <w:ind w:left="-15" w:right="57" w:firstLine="0"/>
        <w:rPr>
          <w:color w:val="auto"/>
          <w:szCs w:val="24"/>
        </w:rPr>
      </w:pPr>
    </w:p>
    <w:p w14:paraId="5148A0C6" w14:textId="79D79C31" w:rsidR="00824A7B" w:rsidRPr="001731EC" w:rsidRDefault="0046086D" w:rsidP="00D86F5C">
      <w:pPr>
        <w:spacing w:after="0" w:line="288" w:lineRule="auto"/>
        <w:ind w:right="57"/>
        <w:rPr>
          <w:color w:val="auto"/>
          <w:szCs w:val="24"/>
        </w:rPr>
      </w:pPr>
      <w:r w:rsidRPr="001731EC">
        <w:rPr>
          <w:b/>
          <w:color w:val="auto"/>
          <w:szCs w:val="24"/>
        </w:rPr>
        <w:t xml:space="preserve">  </w:t>
      </w:r>
      <w:r w:rsidR="00861001" w:rsidRPr="001731EC">
        <w:rPr>
          <w:b/>
          <w:color w:val="auto"/>
          <w:szCs w:val="24"/>
        </w:rPr>
        <w:t>§ 11.</w:t>
      </w:r>
      <w:r w:rsidR="00861001" w:rsidRPr="001731EC">
        <w:rPr>
          <w:color w:val="auto"/>
          <w:szCs w:val="24"/>
        </w:rPr>
        <w:t xml:space="preserve"> </w:t>
      </w:r>
      <w:r w:rsidRPr="001731EC">
        <w:rPr>
          <w:color w:val="auto"/>
          <w:szCs w:val="24"/>
        </w:rPr>
        <w:t xml:space="preserve"> </w:t>
      </w:r>
      <w:r w:rsidR="00861001" w:rsidRPr="001731EC">
        <w:rPr>
          <w:color w:val="auto"/>
          <w:szCs w:val="24"/>
        </w:rPr>
        <w:t xml:space="preserve">Bekendtgørelsen træder i kraft den </w:t>
      </w:r>
      <w:r w:rsidRPr="001731EC">
        <w:rPr>
          <w:color w:val="auto"/>
          <w:szCs w:val="24"/>
        </w:rPr>
        <w:t>XX</w:t>
      </w:r>
      <w:r w:rsidR="00861001" w:rsidRPr="001731EC">
        <w:rPr>
          <w:color w:val="auto"/>
          <w:szCs w:val="24"/>
        </w:rPr>
        <w:t xml:space="preserve">. </w:t>
      </w:r>
      <w:r w:rsidRPr="001731EC">
        <w:rPr>
          <w:color w:val="auto"/>
          <w:szCs w:val="24"/>
        </w:rPr>
        <w:t>XX</w:t>
      </w:r>
      <w:r w:rsidR="005C7862" w:rsidRPr="001731EC">
        <w:rPr>
          <w:color w:val="auto"/>
          <w:szCs w:val="24"/>
        </w:rPr>
        <w:t>X</w:t>
      </w:r>
      <w:r w:rsidR="00861001" w:rsidRPr="001731EC">
        <w:rPr>
          <w:color w:val="auto"/>
          <w:szCs w:val="24"/>
        </w:rPr>
        <w:t xml:space="preserve"> 20</w:t>
      </w:r>
      <w:r w:rsidRPr="001731EC">
        <w:rPr>
          <w:color w:val="auto"/>
          <w:szCs w:val="24"/>
        </w:rPr>
        <w:t>22</w:t>
      </w:r>
    </w:p>
    <w:p w14:paraId="72F06116" w14:textId="7E2990F7" w:rsidR="00FE5E8D" w:rsidRPr="001731EC" w:rsidRDefault="00FE5E8D" w:rsidP="00D86F5C">
      <w:pPr>
        <w:spacing w:after="0" w:line="288" w:lineRule="auto"/>
        <w:ind w:right="57"/>
        <w:rPr>
          <w:color w:val="auto"/>
          <w:szCs w:val="24"/>
        </w:rPr>
      </w:pPr>
      <w:r w:rsidRPr="001731EC">
        <w:rPr>
          <w:color w:val="auto"/>
          <w:szCs w:val="24"/>
        </w:rPr>
        <w:lastRenderedPageBreak/>
        <w:t xml:space="preserve">  </w:t>
      </w:r>
      <w:r w:rsidRPr="001731EC">
        <w:rPr>
          <w:i/>
          <w:color w:val="auto"/>
          <w:szCs w:val="24"/>
        </w:rPr>
        <w:t>Stk. 2</w:t>
      </w:r>
      <w:r w:rsidR="00395F01" w:rsidRPr="001731EC">
        <w:rPr>
          <w:i/>
          <w:color w:val="auto"/>
          <w:szCs w:val="24"/>
        </w:rPr>
        <w:t>.</w:t>
      </w:r>
      <w:r w:rsidRPr="001731EC">
        <w:rPr>
          <w:color w:val="auto"/>
          <w:szCs w:val="24"/>
        </w:rPr>
        <w:t xml:space="preserve">  Samtidigt ophæves Hjemmestyrets bekendtgørelse nr. 19 af 9. december 2004 om opbevaring af fyrværkeri</w:t>
      </w:r>
    </w:p>
    <w:p w14:paraId="4C083E30" w14:textId="77777777" w:rsidR="0070046A" w:rsidRDefault="0070046A" w:rsidP="00D86F5C">
      <w:pPr>
        <w:spacing w:after="0" w:line="288" w:lineRule="auto"/>
        <w:ind w:left="-6" w:right="57" w:hanging="11"/>
        <w:rPr>
          <w:szCs w:val="24"/>
        </w:rPr>
      </w:pPr>
    </w:p>
    <w:p w14:paraId="16B26C8E" w14:textId="77777777" w:rsidR="0070046A" w:rsidRDefault="0070046A" w:rsidP="00D86F5C">
      <w:pPr>
        <w:spacing w:after="0" w:line="288" w:lineRule="auto"/>
        <w:ind w:left="-6" w:right="57" w:hanging="11"/>
        <w:rPr>
          <w:szCs w:val="24"/>
        </w:rPr>
      </w:pPr>
    </w:p>
    <w:p w14:paraId="61193D49" w14:textId="77777777" w:rsidR="0070046A" w:rsidRDefault="0070046A" w:rsidP="00D86F5C">
      <w:pPr>
        <w:spacing w:after="0" w:line="288" w:lineRule="auto"/>
        <w:ind w:left="-6" w:right="57" w:hanging="11"/>
        <w:rPr>
          <w:szCs w:val="24"/>
        </w:rPr>
      </w:pPr>
    </w:p>
    <w:p w14:paraId="6A4C9F96" w14:textId="22A3489E" w:rsidR="00824A7B" w:rsidRPr="00D86F5C" w:rsidRDefault="00861001" w:rsidP="00D86F5C">
      <w:pPr>
        <w:spacing w:after="0" w:line="288" w:lineRule="auto"/>
        <w:ind w:left="-6" w:right="57" w:hanging="11"/>
        <w:jc w:val="center"/>
        <w:rPr>
          <w:i/>
          <w:szCs w:val="24"/>
        </w:rPr>
      </w:pPr>
      <w:r w:rsidRPr="00D86F5C">
        <w:rPr>
          <w:i/>
          <w:szCs w:val="24"/>
        </w:rPr>
        <w:t xml:space="preserve">Grønlands </w:t>
      </w:r>
      <w:r w:rsidR="00B953D0" w:rsidRPr="00D86F5C">
        <w:rPr>
          <w:i/>
          <w:szCs w:val="24"/>
        </w:rPr>
        <w:t>Selvstyre</w:t>
      </w:r>
      <w:r w:rsidRPr="00D86F5C">
        <w:rPr>
          <w:i/>
          <w:szCs w:val="24"/>
        </w:rPr>
        <w:t xml:space="preserve">, den </w:t>
      </w:r>
      <w:r w:rsidR="00B953D0" w:rsidRPr="00D86F5C">
        <w:rPr>
          <w:i/>
          <w:szCs w:val="24"/>
        </w:rPr>
        <w:t>XX</w:t>
      </w:r>
      <w:r w:rsidRPr="00D86F5C">
        <w:rPr>
          <w:i/>
          <w:szCs w:val="24"/>
        </w:rPr>
        <w:t xml:space="preserve">. </w:t>
      </w:r>
      <w:r w:rsidR="00B953D0" w:rsidRPr="00D86F5C">
        <w:rPr>
          <w:i/>
          <w:szCs w:val="24"/>
        </w:rPr>
        <w:t xml:space="preserve">XXX </w:t>
      </w:r>
      <w:r w:rsidR="00F602DC" w:rsidRPr="00D86F5C">
        <w:rPr>
          <w:i/>
          <w:szCs w:val="24"/>
        </w:rPr>
        <w:t>2022</w:t>
      </w:r>
    </w:p>
    <w:p w14:paraId="563F726E" w14:textId="77777777" w:rsidR="0070046A" w:rsidRDefault="0070046A" w:rsidP="00D86F5C">
      <w:pPr>
        <w:spacing w:after="0" w:line="288" w:lineRule="auto"/>
        <w:ind w:left="-5" w:right="59"/>
        <w:rPr>
          <w:szCs w:val="24"/>
        </w:rPr>
      </w:pPr>
    </w:p>
    <w:p w14:paraId="33B5DDA8" w14:textId="77777777" w:rsidR="0070046A" w:rsidRDefault="0070046A" w:rsidP="00D86F5C">
      <w:pPr>
        <w:spacing w:after="0" w:line="288" w:lineRule="auto"/>
        <w:ind w:left="-5" w:right="59"/>
        <w:rPr>
          <w:szCs w:val="24"/>
        </w:rPr>
      </w:pPr>
    </w:p>
    <w:p w14:paraId="48577F6D" w14:textId="77777777" w:rsidR="0070046A" w:rsidRDefault="0070046A" w:rsidP="00D86F5C">
      <w:pPr>
        <w:spacing w:after="0" w:line="288" w:lineRule="auto"/>
        <w:ind w:left="-5" w:right="59"/>
        <w:rPr>
          <w:szCs w:val="24"/>
        </w:rPr>
      </w:pPr>
    </w:p>
    <w:p w14:paraId="189322F3" w14:textId="13AFC161" w:rsidR="00824A7B" w:rsidRPr="00D86F5C" w:rsidRDefault="00F602DC" w:rsidP="00D86F5C">
      <w:pPr>
        <w:spacing w:after="0" w:line="288" w:lineRule="auto"/>
        <w:ind w:left="-5" w:right="59"/>
        <w:jc w:val="center"/>
        <w:rPr>
          <w:b/>
          <w:szCs w:val="24"/>
        </w:rPr>
      </w:pPr>
      <w:r w:rsidRPr="00D86F5C">
        <w:rPr>
          <w:b/>
          <w:szCs w:val="24"/>
        </w:rPr>
        <w:t>Kalistat Lund</w:t>
      </w:r>
    </w:p>
    <w:p w14:paraId="788F1871" w14:textId="404CA342" w:rsidR="00D35FC2" w:rsidRPr="003552AD" w:rsidRDefault="00446B33" w:rsidP="00D86F5C">
      <w:pPr>
        <w:spacing w:after="0" w:line="288" w:lineRule="auto"/>
        <w:ind w:left="-5" w:right="59"/>
        <w:jc w:val="center"/>
        <w:rPr>
          <w:szCs w:val="24"/>
        </w:rPr>
      </w:pPr>
      <w:r w:rsidRPr="00446B33">
        <w:rPr>
          <w:szCs w:val="24"/>
        </w:rPr>
        <w:t>Naalakkersuisoq for Landbrug, Selvforsyning, Energi og Miljø</w:t>
      </w:r>
    </w:p>
    <w:p w14:paraId="4C337E58" w14:textId="77777777" w:rsidR="00D35FC2" w:rsidRDefault="00D35FC2" w:rsidP="00D86F5C">
      <w:pPr>
        <w:spacing w:after="0" w:line="288" w:lineRule="auto"/>
        <w:ind w:left="4907" w:right="59"/>
        <w:jc w:val="right"/>
        <w:rPr>
          <w:szCs w:val="24"/>
        </w:rPr>
      </w:pPr>
    </w:p>
    <w:p w14:paraId="2768D874" w14:textId="77777777" w:rsidR="00D35FC2" w:rsidRDefault="00D35FC2" w:rsidP="00D86F5C">
      <w:pPr>
        <w:spacing w:after="0" w:line="288" w:lineRule="auto"/>
        <w:ind w:left="4907" w:right="59"/>
        <w:jc w:val="right"/>
        <w:rPr>
          <w:szCs w:val="24"/>
        </w:rPr>
      </w:pPr>
    </w:p>
    <w:p w14:paraId="024C29F6" w14:textId="77777777" w:rsidR="00D35FC2" w:rsidRDefault="00D35FC2" w:rsidP="00D86F5C">
      <w:pPr>
        <w:spacing w:after="0" w:line="288" w:lineRule="auto"/>
        <w:ind w:left="4907" w:right="59"/>
        <w:jc w:val="right"/>
        <w:rPr>
          <w:szCs w:val="24"/>
        </w:rPr>
      </w:pPr>
    </w:p>
    <w:p w14:paraId="0F98BCAB" w14:textId="56B1A840" w:rsidR="00824A7B" w:rsidRPr="003552AD" w:rsidRDefault="00861001" w:rsidP="00D86F5C">
      <w:pPr>
        <w:spacing w:after="0" w:line="288" w:lineRule="auto"/>
        <w:ind w:left="4907" w:right="59"/>
        <w:jc w:val="right"/>
        <w:rPr>
          <w:szCs w:val="24"/>
        </w:rPr>
      </w:pPr>
      <w:r w:rsidRPr="003552AD">
        <w:rPr>
          <w:szCs w:val="24"/>
        </w:rPr>
        <w:t>/</w:t>
      </w:r>
      <w:r w:rsidR="00D35FC2">
        <w:rPr>
          <w:szCs w:val="24"/>
        </w:rPr>
        <w:t xml:space="preserve"> </w:t>
      </w:r>
      <w:r w:rsidR="00F602DC" w:rsidRPr="003552AD">
        <w:rPr>
          <w:szCs w:val="24"/>
        </w:rPr>
        <w:t>Mette Skarregaard Pedersen</w:t>
      </w:r>
    </w:p>
    <w:sectPr w:rsidR="00824A7B" w:rsidRPr="003552AD" w:rsidSect="00D86F5C">
      <w:headerReference w:type="default" r:id="rId8"/>
      <w:footerReference w:type="default" r:id="rId9"/>
      <w:pgSz w:w="12240" w:h="15840"/>
      <w:pgMar w:top="1418" w:right="1418" w:bottom="1418" w:left="1418" w:header="709" w:footer="709"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CAE02" w14:textId="77777777" w:rsidR="005D715A" w:rsidRDefault="005D715A" w:rsidP="004A32ED">
      <w:pPr>
        <w:spacing w:after="0" w:line="240" w:lineRule="auto"/>
      </w:pPr>
      <w:r>
        <w:separator/>
      </w:r>
    </w:p>
  </w:endnote>
  <w:endnote w:type="continuationSeparator" w:id="0">
    <w:p w14:paraId="539A0A22" w14:textId="77777777" w:rsidR="005D715A" w:rsidRDefault="005D715A" w:rsidP="004A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7978" w14:textId="4B346A61" w:rsidR="005C5C95" w:rsidRDefault="005D715A" w:rsidP="00D86F5C">
    <w:pPr>
      <w:pStyle w:val="Sidefod"/>
      <w:jc w:val="center"/>
    </w:pPr>
    <w:sdt>
      <w:sdtPr>
        <w:id w:val="-1589069581"/>
        <w:docPartObj>
          <w:docPartGallery w:val="Page Numbers (Bottom of Page)"/>
          <w:docPartUnique/>
        </w:docPartObj>
      </w:sdtPr>
      <w:sdtEndPr/>
      <w:sdtContent>
        <w:r w:rsidR="00ED216C">
          <w:fldChar w:fldCharType="begin"/>
        </w:r>
        <w:r w:rsidR="00ED216C">
          <w:instrText>PAGE   \* MERGEFORMAT</w:instrText>
        </w:r>
        <w:r w:rsidR="00ED216C">
          <w:fldChar w:fldCharType="separate"/>
        </w:r>
        <w:r w:rsidR="005B55F0">
          <w:rPr>
            <w:noProof/>
          </w:rPr>
          <w:t>0</w:t>
        </w:r>
        <w:r w:rsidR="00ED216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ED3AF" w14:textId="77777777" w:rsidR="005D715A" w:rsidRDefault="005D715A" w:rsidP="004A32ED">
      <w:pPr>
        <w:spacing w:after="0" w:line="240" w:lineRule="auto"/>
      </w:pPr>
      <w:r>
        <w:separator/>
      </w:r>
    </w:p>
  </w:footnote>
  <w:footnote w:type="continuationSeparator" w:id="0">
    <w:p w14:paraId="41DE1BA6" w14:textId="77777777" w:rsidR="005D715A" w:rsidRDefault="005D715A" w:rsidP="004A3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0E32" w14:textId="29E309CF" w:rsidR="0046086D" w:rsidRDefault="0046086D" w:rsidP="00122D78">
    <w:pPr>
      <w:pStyle w:val="Sidehoved"/>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879AB"/>
    <w:multiLevelType w:val="hybridMultilevel"/>
    <w:tmpl w:val="EC8EB4C6"/>
    <w:lvl w:ilvl="0" w:tplc="81F28D6A">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09D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A4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AC7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C25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EB1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86B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AF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479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7B"/>
    <w:rsid w:val="000A77FC"/>
    <w:rsid w:val="000B1F04"/>
    <w:rsid w:val="00122D78"/>
    <w:rsid w:val="001731EC"/>
    <w:rsid w:val="001A0218"/>
    <w:rsid w:val="001B38FE"/>
    <w:rsid w:val="00264BED"/>
    <w:rsid w:val="00280124"/>
    <w:rsid w:val="003552AD"/>
    <w:rsid w:val="00395F01"/>
    <w:rsid w:val="003E5011"/>
    <w:rsid w:val="003E6626"/>
    <w:rsid w:val="00446B33"/>
    <w:rsid w:val="0046086D"/>
    <w:rsid w:val="00461546"/>
    <w:rsid w:val="004A32ED"/>
    <w:rsid w:val="005207DE"/>
    <w:rsid w:val="00552CCD"/>
    <w:rsid w:val="005B55F0"/>
    <w:rsid w:val="005C5C95"/>
    <w:rsid w:val="005C7862"/>
    <w:rsid w:val="005D2EB9"/>
    <w:rsid w:val="005D715A"/>
    <w:rsid w:val="006050CF"/>
    <w:rsid w:val="0069077A"/>
    <w:rsid w:val="006D4ECA"/>
    <w:rsid w:val="0070046A"/>
    <w:rsid w:val="00713C84"/>
    <w:rsid w:val="007A740D"/>
    <w:rsid w:val="007C3D79"/>
    <w:rsid w:val="007F17CB"/>
    <w:rsid w:val="007F7A6F"/>
    <w:rsid w:val="00812527"/>
    <w:rsid w:val="00824A7B"/>
    <w:rsid w:val="00850C33"/>
    <w:rsid w:val="00861001"/>
    <w:rsid w:val="0089408F"/>
    <w:rsid w:val="0090615C"/>
    <w:rsid w:val="009411F8"/>
    <w:rsid w:val="00982588"/>
    <w:rsid w:val="009C71CC"/>
    <w:rsid w:val="00A9205C"/>
    <w:rsid w:val="00AE48B2"/>
    <w:rsid w:val="00AE7BE5"/>
    <w:rsid w:val="00B953D0"/>
    <w:rsid w:val="00B97D34"/>
    <w:rsid w:val="00C424A0"/>
    <w:rsid w:val="00C66D21"/>
    <w:rsid w:val="00C854F5"/>
    <w:rsid w:val="00D35FC2"/>
    <w:rsid w:val="00D86F5C"/>
    <w:rsid w:val="00DA2897"/>
    <w:rsid w:val="00E5708C"/>
    <w:rsid w:val="00EA28F3"/>
    <w:rsid w:val="00ED216C"/>
    <w:rsid w:val="00F149F7"/>
    <w:rsid w:val="00F602DC"/>
    <w:rsid w:val="00FE49BC"/>
    <w:rsid w:val="00FE5E8D"/>
    <w:rsid w:val="00FF02AB"/>
    <w:rsid w:val="00FF32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9220"/>
  <w15:docId w15:val="{BDD7A523-A8E7-4AF4-9B01-E268D817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11" w:lineRule="auto"/>
      <w:ind w:left="10"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240"/>
      <w:ind w:left="10" w:hanging="10"/>
      <w:jc w:val="center"/>
      <w:outlineLvl w:val="0"/>
    </w:pPr>
    <w:rPr>
      <w:rFonts w:ascii="Times New Roman" w:eastAsia="Times New Roman" w:hAnsi="Times New Roman" w:cs="Times New Roman"/>
      <w:i/>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i/>
      <w:color w:val="000000"/>
      <w:sz w:val="24"/>
    </w:rPr>
  </w:style>
  <w:style w:type="paragraph" w:styleId="Markeringsbobletekst">
    <w:name w:val="Balloon Text"/>
    <w:basedOn w:val="Normal"/>
    <w:link w:val="MarkeringsbobletekstTegn"/>
    <w:uiPriority w:val="99"/>
    <w:semiHidden/>
    <w:unhideWhenUsed/>
    <w:rsid w:val="001A02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A0218"/>
    <w:rPr>
      <w:rFonts w:ascii="Tahoma" w:eastAsia="Times New Roman" w:hAnsi="Tahoma" w:cs="Tahoma"/>
      <w:color w:val="000000"/>
      <w:sz w:val="16"/>
      <w:szCs w:val="16"/>
    </w:rPr>
  </w:style>
  <w:style w:type="character" w:styleId="Kommentarhenvisning">
    <w:name w:val="annotation reference"/>
    <w:basedOn w:val="Standardskrifttypeiafsnit"/>
    <w:uiPriority w:val="99"/>
    <w:semiHidden/>
    <w:unhideWhenUsed/>
    <w:rsid w:val="001A0218"/>
    <w:rPr>
      <w:sz w:val="16"/>
      <w:szCs w:val="16"/>
    </w:rPr>
  </w:style>
  <w:style w:type="paragraph" w:styleId="Kommentartekst">
    <w:name w:val="annotation text"/>
    <w:basedOn w:val="Normal"/>
    <w:link w:val="KommentartekstTegn"/>
    <w:uiPriority w:val="99"/>
    <w:semiHidden/>
    <w:unhideWhenUsed/>
    <w:rsid w:val="001A021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A0218"/>
    <w:rPr>
      <w:rFonts w:ascii="Times New Roman" w:eastAsia="Times New Roman" w:hAnsi="Times New Roman" w:cs="Times New Roman"/>
      <w:color w:val="000000"/>
      <w:sz w:val="20"/>
      <w:szCs w:val="20"/>
    </w:rPr>
  </w:style>
  <w:style w:type="paragraph" w:styleId="Kommentaremne">
    <w:name w:val="annotation subject"/>
    <w:basedOn w:val="Kommentartekst"/>
    <w:next w:val="Kommentartekst"/>
    <w:link w:val="KommentaremneTegn"/>
    <w:uiPriority w:val="99"/>
    <w:semiHidden/>
    <w:unhideWhenUsed/>
    <w:rsid w:val="001A0218"/>
    <w:rPr>
      <w:b/>
      <w:bCs/>
    </w:rPr>
  </w:style>
  <w:style w:type="character" w:customStyle="1" w:styleId="KommentaremneTegn">
    <w:name w:val="Kommentaremne Tegn"/>
    <w:basedOn w:val="KommentartekstTegn"/>
    <w:link w:val="Kommentaremne"/>
    <w:uiPriority w:val="99"/>
    <w:semiHidden/>
    <w:rsid w:val="001A0218"/>
    <w:rPr>
      <w:rFonts w:ascii="Times New Roman" w:eastAsia="Times New Roman" w:hAnsi="Times New Roman" w:cs="Times New Roman"/>
      <w:b/>
      <w:bCs/>
      <w:color w:val="000000"/>
      <w:sz w:val="20"/>
      <w:szCs w:val="20"/>
    </w:rPr>
  </w:style>
  <w:style w:type="paragraph" w:styleId="Sidehoved">
    <w:name w:val="header"/>
    <w:basedOn w:val="Normal"/>
    <w:link w:val="SidehovedTegn"/>
    <w:uiPriority w:val="99"/>
    <w:unhideWhenUsed/>
    <w:rsid w:val="004A32E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32ED"/>
    <w:rPr>
      <w:rFonts w:ascii="Times New Roman" w:eastAsia="Times New Roman" w:hAnsi="Times New Roman" w:cs="Times New Roman"/>
      <w:color w:val="000000"/>
      <w:sz w:val="24"/>
    </w:rPr>
  </w:style>
  <w:style w:type="paragraph" w:styleId="Sidefod">
    <w:name w:val="footer"/>
    <w:basedOn w:val="Normal"/>
    <w:link w:val="SidefodTegn"/>
    <w:uiPriority w:val="99"/>
    <w:unhideWhenUsed/>
    <w:rsid w:val="004A32E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A32ED"/>
    <w:rPr>
      <w:rFonts w:ascii="Times New Roman" w:eastAsia="Times New Roman" w:hAnsi="Times New Roman" w:cs="Times New Roman"/>
      <w:color w:val="000000"/>
      <w:sz w:val="24"/>
    </w:rPr>
  </w:style>
  <w:style w:type="paragraph" w:styleId="Fodnotetekst">
    <w:name w:val="footnote text"/>
    <w:basedOn w:val="Normal"/>
    <w:link w:val="FodnotetekstTegn"/>
    <w:uiPriority w:val="99"/>
    <w:semiHidden/>
    <w:unhideWhenUsed/>
    <w:rsid w:val="00850C3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50C33"/>
    <w:rPr>
      <w:rFonts w:ascii="Times New Roman" w:eastAsia="Times New Roman" w:hAnsi="Times New Roman" w:cs="Times New Roman"/>
      <w:color w:val="000000"/>
      <w:sz w:val="20"/>
      <w:szCs w:val="20"/>
    </w:rPr>
  </w:style>
  <w:style w:type="character" w:styleId="Fodnotehenvisning">
    <w:name w:val="footnote reference"/>
    <w:basedOn w:val="Standardskrifttypeiafsnit"/>
    <w:uiPriority w:val="99"/>
    <w:semiHidden/>
    <w:unhideWhenUsed/>
    <w:rsid w:val="00850C33"/>
    <w:rPr>
      <w:vertAlign w:val="superscript"/>
    </w:rPr>
  </w:style>
  <w:style w:type="paragraph" w:styleId="Korrektur">
    <w:name w:val="Revision"/>
    <w:hidden/>
    <w:uiPriority w:val="99"/>
    <w:semiHidden/>
    <w:rsid w:val="003552AD"/>
    <w:pPr>
      <w:spacing w:after="0" w:line="240" w:lineRule="auto"/>
    </w:pPr>
    <w:rPr>
      <w:rFonts w:ascii="Times New Roman" w:eastAsia="Times New Roman" w:hAnsi="Times New Roman" w:cs="Times New Roman"/>
      <w:color w:val="000000"/>
      <w:sz w:val="24"/>
    </w:rPr>
  </w:style>
  <w:style w:type="paragraph" w:styleId="Listeafsnit">
    <w:name w:val="List Paragraph"/>
    <w:basedOn w:val="Normal"/>
    <w:uiPriority w:val="34"/>
    <w:qFormat/>
    <w:rsid w:val="00FF3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F709-9D3E-43B9-8642-07857E45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Green Prangsgaard</dc:creator>
  <cp:keywords/>
  <cp:lastModifiedBy>Julie Green Prangsgaard</cp:lastModifiedBy>
  <cp:revision>5</cp:revision>
  <dcterms:created xsi:type="dcterms:W3CDTF">2021-12-21T17:36:00Z</dcterms:created>
  <dcterms:modified xsi:type="dcterms:W3CDTF">2022-02-11T16:19:00Z</dcterms:modified>
</cp:coreProperties>
</file>