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A2A26" w14:textId="77777777" w:rsidR="00466ECA" w:rsidRDefault="00466ECA" w:rsidP="003953A0">
      <w:pPr>
        <w:pStyle w:val="Lille"/>
        <w:framePr w:w="1985" w:h="3493" w:hRule="exact" w:hSpace="181" w:wrap="notBeside" w:vAnchor="page" w:hAnchor="page" w:x="9317" w:y="4843" w:anchorLock="1"/>
        <w:spacing w:line="180" w:lineRule="atLeast"/>
        <w:ind w:left="284" w:hanging="284"/>
      </w:pPr>
      <w:r>
        <w:t xml:space="preserve">Brevdato: </w:t>
      </w:r>
      <w:r w:rsidRPr="00D15685">
        <w:t>25-11-2022</w:t>
      </w:r>
      <w:r w:rsidRPr="00D15685">
        <w:rPr>
          <w:rFonts w:cs="Arial"/>
        </w:rPr>
        <w:t xml:space="preserve"> </w:t>
      </w:r>
      <w:r w:rsidRPr="00D15685">
        <w:t xml:space="preserve"> </w:t>
      </w:r>
    </w:p>
    <w:p w14:paraId="062FD225" w14:textId="77777777" w:rsidR="00466ECA" w:rsidRDefault="00466ECA" w:rsidP="003953A0">
      <w:pPr>
        <w:pStyle w:val="Lille"/>
        <w:framePr w:w="1985" w:h="3493" w:hRule="exact" w:hSpace="181" w:wrap="notBeside" w:vAnchor="page" w:hAnchor="page" w:x="9317" w:y="4843" w:anchorLock="1"/>
        <w:spacing w:line="180" w:lineRule="atLeast"/>
      </w:pPr>
      <w:r>
        <w:t xml:space="preserve">Sagsnr.: </w:t>
      </w:r>
      <w:r w:rsidRPr="00D15685">
        <w:rPr>
          <w:rFonts w:cs="Arial"/>
          <w:szCs w:val="14"/>
        </w:rPr>
        <w:t>2022 - 24315</w:t>
      </w:r>
      <w:r w:rsidRPr="00D15685">
        <w:t xml:space="preserve">  </w:t>
      </w:r>
    </w:p>
    <w:p w14:paraId="739D7CDA" w14:textId="77777777" w:rsidR="00466ECA" w:rsidRDefault="00466ECA" w:rsidP="003953A0">
      <w:pPr>
        <w:pStyle w:val="Lille"/>
        <w:framePr w:w="1985" w:h="3493" w:hRule="exact" w:hSpace="181" w:wrap="notBeside" w:vAnchor="page" w:hAnchor="page" w:x="9317" w:y="4843" w:anchorLock="1"/>
        <w:spacing w:line="180" w:lineRule="atLeast"/>
      </w:pPr>
      <w:r>
        <w:t xml:space="preserve">Akt-id: </w:t>
      </w:r>
      <w:r w:rsidRPr="00D15685">
        <w:t xml:space="preserve">21862406   </w:t>
      </w:r>
    </w:p>
    <w:p w14:paraId="7BCBA5DC" w14:textId="77777777" w:rsidR="00466ECA" w:rsidRDefault="00466ECA" w:rsidP="003953A0">
      <w:pPr>
        <w:pStyle w:val="Lille"/>
        <w:framePr w:w="1985" w:h="3493" w:hRule="exact" w:hSpace="181" w:wrap="notBeside" w:vAnchor="page" w:hAnchor="page" w:x="9317" w:y="4843" w:anchorLock="1"/>
        <w:spacing w:line="180" w:lineRule="atLeast"/>
      </w:pPr>
    </w:p>
    <w:p w14:paraId="4EA6F410" w14:textId="77777777" w:rsidR="00466ECA" w:rsidRDefault="00466ECA" w:rsidP="003953A0">
      <w:pPr>
        <w:pStyle w:val="Lille"/>
        <w:framePr w:w="1985" w:h="3493" w:hRule="exact" w:hSpace="181" w:wrap="notBeside" w:vAnchor="page" w:hAnchor="page" w:x="9317" w:y="4843" w:anchorLock="1"/>
        <w:spacing w:line="180" w:lineRule="atLeast"/>
      </w:pPr>
      <w:r>
        <w:t>Postboks 1614</w:t>
      </w:r>
    </w:p>
    <w:p w14:paraId="75EDEF7D" w14:textId="77777777" w:rsidR="00466ECA" w:rsidRPr="00D15685" w:rsidRDefault="00466ECA" w:rsidP="003953A0">
      <w:pPr>
        <w:pStyle w:val="Lille"/>
        <w:framePr w:w="1985" w:h="3493" w:hRule="exact" w:hSpace="181" w:wrap="notBeside" w:vAnchor="page" w:hAnchor="page" w:x="9317" w:y="4843" w:anchorLock="1"/>
        <w:spacing w:line="180" w:lineRule="atLeast"/>
        <w:rPr>
          <w:lang w:val="en-US"/>
        </w:rPr>
      </w:pPr>
      <w:r w:rsidRPr="00D15685">
        <w:rPr>
          <w:lang w:val="en-US"/>
        </w:rPr>
        <w:t>3900 Nuuk</w:t>
      </w:r>
    </w:p>
    <w:p w14:paraId="44097AE8" w14:textId="77777777" w:rsidR="00466ECA" w:rsidRPr="00D15685" w:rsidRDefault="00466ECA" w:rsidP="003953A0">
      <w:pPr>
        <w:pStyle w:val="Lille"/>
        <w:framePr w:w="1985" w:h="3493" w:hRule="exact" w:hSpace="181" w:wrap="notBeside" w:vAnchor="page" w:hAnchor="page" w:x="9317" w:y="4843" w:anchorLock="1"/>
        <w:spacing w:line="180" w:lineRule="atLeast"/>
        <w:rPr>
          <w:lang w:val="en-US"/>
        </w:rPr>
      </w:pPr>
      <w:proofErr w:type="spellStart"/>
      <w:r w:rsidRPr="00D15685">
        <w:rPr>
          <w:lang w:val="en-US"/>
        </w:rPr>
        <w:t>Tlf</w:t>
      </w:r>
      <w:proofErr w:type="spellEnd"/>
      <w:r w:rsidRPr="00D15685">
        <w:rPr>
          <w:lang w:val="en-US"/>
        </w:rPr>
        <w:t>. (+299) 34 50 00</w:t>
      </w:r>
    </w:p>
    <w:p w14:paraId="3ABCF0B8" w14:textId="77777777" w:rsidR="00466ECA" w:rsidRPr="00466ECA" w:rsidRDefault="00466ECA" w:rsidP="003953A0">
      <w:pPr>
        <w:pStyle w:val="Lille"/>
        <w:framePr w:w="1985" w:h="3493" w:hRule="exact" w:hSpace="181" w:wrap="notBeside" w:vAnchor="page" w:hAnchor="page" w:x="9317" w:y="4843" w:anchorLock="1"/>
        <w:spacing w:line="180" w:lineRule="atLeast"/>
        <w:rPr>
          <w:lang w:val="en-US"/>
        </w:rPr>
      </w:pPr>
      <w:r w:rsidRPr="00466ECA">
        <w:rPr>
          <w:lang w:val="en-US"/>
        </w:rPr>
        <w:t>Fax (+299) 34 54 10</w:t>
      </w:r>
    </w:p>
    <w:p w14:paraId="7D6BA5E5" w14:textId="77777777" w:rsidR="00466ECA" w:rsidRPr="00466ECA" w:rsidRDefault="00466ECA" w:rsidP="003953A0">
      <w:pPr>
        <w:pStyle w:val="Lille"/>
        <w:framePr w:w="1985" w:h="3493" w:hRule="exact" w:hSpace="181" w:wrap="notBeside" w:vAnchor="page" w:hAnchor="page" w:x="9317" w:y="4843" w:anchorLock="1"/>
        <w:spacing w:line="180" w:lineRule="atLeast"/>
        <w:rPr>
          <w:lang w:val="en-US"/>
        </w:rPr>
      </w:pPr>
      <w:r w:rsidRPr="00466ECA">
        <w:rPr>
          <w:lang w:val="en-US"/>
        </w:rPr>
        <w:t>E-mail: pan@nanoq.gl</w:t>
      </w:r>
    </w:p>
    <w:p w14:paraId="25C84757" w14:textId="77777777" w:rsidR="00466ECA" w:rsidRDefault="00466ECA" w:rsidP="003953A0">
      <w:pPr>
        <w:pStyle w:val="Lille"/>
        <w:framePr w:w="1985" w:h="3493" w:hRule="exact" w:hSpace="181" w:wrap="notBeside" w:vAnchor="page" w:hAnchor="page" w:x="9317" w:y="4843" w:anchorLock="1"/>
        <w:spacing w:line="180" w:lineRule="atLeast"/>
        <w:rPr>
          <w:lang w:val="en-US"/>
        </w:rPr>
      </w:pPr>
      <w:r>
        <w:t>www.naalakkersuisut.g</w:t>
      </w:r>
      <w:r>
        <w:rPr>
          <w:lang w:val="en-US"/>
        </w:rPr>
        <w:t>l</w:t>
      </w:r>
    </w:p>
    <w:p w14:paraId="0F65A5E8" w14:textId="77777777" w:rsidR="00465A30" w:rsidRPr="004D553F" w:rsidRDefault="00465A30" w:rsidP="00465A30">
      <w:pPr>
        <w:pStyle w:val="Lille"/>
        <w:framePr w:w="1985" w:h="3493" w:hRule="exact" w:hSpace="181" w:wrap="notBeside" w:vAnchor="page" w:hAnchor="page" w:x="9317" w:y="4843" w:anchorLock="1"/>
        <w:rPr>
          <w:lang w:val="en-US"/>
        </w:rPr>
      </w:pPr>
    </w:p>
    <w:p w14:paraId="499A6BD4" w14:textId="77777777" w:rsidR="00465A30" w:rsidRPr="004D553F" w:rsidRDefault="00465A30" w:rsidP="00465A30">
      <w:pPr>
        <w:pStyle w:val="Lille"/>
        <w:framePr w:w="1985" w:h="3493" w:hRule="exact" w:hSpace="181" w:wrap="notBeside" w:vAnchor="page" w:hAnchor="page" w:x="9317" w:y="4843" w:anchorLock="1"/>
        <w:rPr>
          <w:lang w:val="en-US"/>
        </w:rPr>
      </w:pP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24"/>
      </w:tblGrid>
      <w:tr w:rsidR="00465A30" w:rsidRPr="00AD1BB6" w14:paraId="0C21A987" w14:textId="77777777" w:rsidTr="00EE48FC">
        <w:trPr>
          <w:trHeight w:val="2552"/>
        </w:trPr>
        <w:tc>
          <w:tcPr>
            <w:tcW w:w="7825" w:type="dxa"/>
          </w:tcPr>
          <w:tbl>
            <w:tblPr>
              <w:tblW w:w="0" w:type="auto"/>
              <w:tblLook w:val="01E0" w:firstRow="1" w:lastRow="1" w:firstColumn="1" w:lastColumn="1" w:noHBand="0" w:noVBand="0"/>
            </w:tblPr>
            <w:tblGrid>
              <w:gridCol w:w="7608"/>
            </w:tblGrid>
            <w:tr w:rsidR="00AD1BB6" w:rsidRPr="00AD1BB6" w14:paraId="108C6136" w14:textId="77777777" w:rsidTr="00A80BBE">
              <w:trPr>
                <w:trHeight w:val="2552"/>
              </w:trPr>
              <w:tc>
                <w:tcPr>
                  <w:tcW w:w="7825" w:type="dxa"/>
                  <w:tcMar>
                    <w:left w:w="0" w:type="dxa"/>
                    <w:right w:w="0" w:type="dxa"/>
                  </w:tcMar>
                </w:tcPr>
                <w:p w14:paraId="71CF3F35" w14:textId="77777777" w:rsidR="00D15685" w:rsidRDefault="00D15685" w:rsidP="00D15685">
                  <w:pPr>
                    <w:rPr>
                      <w:rFonts w:ascii="Times New Roman" w:hAnsi="Times New Roman" w:cs="Times New Roman"/>
                      <w:sz w:val="24"/>
                      <w:szCs w:val="24"/>
                    </w:rPr>
                  </w:pPr>
                  <w:r>
                    <w:rPr>
                      <w:rFonts w:ascii="Times New Roman" w:hAnsi="Times New Roman" w:cs="Times New Roman"/>
                      <w:sz w:val="24"/>
                      <w:szCs w:val="24"/>
                    </w:rPr>
                    <w:t>Departementet for Fiskeri og Fangst</w:t>
                  </w:r>
                </w:p>
                <w:p w14:paraId="69CAE8E3" w14:textId="77777777" w:rsidR="00AD1BB6" w:rsidRDefault="00D15685" w:rsidP="00D15685">
                  <w:pPr>
                    <w:rPr>
                      <w:rFonts w:ascii="Times New Roman" w:hAnsi="Times New Roman" w:cs="Times New Roman"/>
                      <w:sz w:val="24"/>
                      <w:szCs w:val="24"/>
                    </w:rPr>
                  </w:pPr>
                  <w:r>
                    <w:rPr>
                      <w:rFonts w:ascii="Times New Roman" w:hAnsi="Times New Roman" w:cs="Times New Roman"/>
                      <w:sz w:val="24"/>
                      <w:szCs w:val="24"/>
                    </w:rPr>
                    <w:t>Att. Masaana Dorph</w:t>
                  </w:r>
                </w:p>
                <w:p w14:paraId="25C57EA1" w14:textId="77777777" w:rsidR="00D15685" w:rsidRPr="00D15685" w:rsidRDefault="00D15685" w:rsidP="00D15685">
                  <w:pPr>
                    <w:rPr>
                      <w:rFonts w:ascii="Times New Roman" w:hAnsi="Times New Roman" w:cs="Times New Roman"/>
                      <w:sz w:val="24"/>
                      <w:szCs w:val="24"/>
                    </w:rPr>
                  </w:pPr>
                </w:p>
                <w:p w14:paraId="68CC1573" w14:textId="77777777" w:rsidR="00D15685" w:rsidRPr="00D15685" w:rsidRDefault="00D15685" w:rsidP="00D15685">
                  <w:pPr>
                    <w:rPr>
                      <w:rFonts w:ascii="Times New Roman" w:hAnsi="Times New Roman" w:cs="Times New Roman"/>
                      <w:sz w:val="24"/>
                      <w:szCs w:val="24"/>
                    </w:rPr>
                  </w:pPr>
                </w:p>
                <w:p w14:paraId="0E4BF647" w14:textId="77777777" w:rsidR="00D15685" w:rsidRPr="00D15685" w:rsidRDefault="00D15685" w:rsidP="00D15685">
                  <w:pPr>
                    <w:rPr>
                      <w:rFonts w:ascii="Times New Roman" w:hAnsi="Times New Roman" w:cs="Times New Roman"/>
                      <w:sz w:val="24"/>
                      <w:szCs w:val="24"/>
                    </w:rPr>
                  </w:pPr>
                </w:p>
                <w:p w14:paraId="4064F942" w14:textId="77777777" w:rsidR="00D15685" w:rsidRDefault="00D15685" w:rsidP="00D15685">
                  <w:pPr>
                    <w:rPr>
                      <w:rFonts w:ascii="Times New Roman" w:hAnsi="Times New Roman" w:cs="Times New Roman"/>
                      <w:sz w:val="24"/>
                      <w:szCs w:val="24"/>
                    </w:rPr>
                  </w:pPr>
                </w:p>
                <w:p w14:paraId="5F27AFB3" w14:textId="297BD37C" w:rsidR="00D15685" w:rsidRPr="00D15685" w:rsidRDefault="00D15685" w:rsidP="00D15685">
                  <w:pPr>
                    <w:rPr>
                      <w:rFonts w:ascii="Times New Roman" w:hAnsi="Times New Roman" w:cs="Times New Roman"/>
                      <w:b/>
                      <w:bCs/>
                      <w:sz w:val="24"/>
                      <w:szCs w:val="24"/>
                    </w:rPr>
                  </w:pPr>
                  <w:r w:rsidRPr="00D15685">
                    <w:rPr>
                      <w:rFonts w:ascii="Times New Roman" w:hAnsi="Times New Roman" w:cs="Times New Roman"/>
                      <w:b/>
                      <w:bCs/>
                      <w:sz w:val="24"/>
                      <w:szCs w:val="24"/>
                    </w:rPr>
                    <w:t>Departementet for Landbrug, Selvforsyning, Energi og Miljøs bemærkninger til oplæg til Naalakkersuisut vedr. kvoter for nar- og hvidhval 2023</w:t>
                  </w:r>
                </w:p>
              </w:tc>
            </w:tr>
          </w:tbl>
          <w:p w14:paraId="747A1FC4" w14:textId="77777777" w:rsidR="00465A30" w:rsidRPr="00AD1BB6" w:rsidRDefault="00465A30" w:rsidP="00AD1BB6">
            <w:pPr>
              <w:spacing w:line="280" w:lineRule="atLeast"/>
              <w:rPr>
                <w:rFonts w:ascii="Times New Roman" w:hAnsi="Times New Roman" w:cs="Times New Roman"/>
                <w:sz w:val="24"/>
                <w:szCs w:val="24"/>
              </w:rPr>
            </w:pPr>
          </w:p>
        </w:tc>
      </w:tr>
      <w:tr w:rsidR="00465A30" w:rsidRPr="00AD1BB6" w14:paraId="50E2E3E2" w14:textId="77777777" w:rsidTr="00EE48FC">
        <w:tc>
          <w:tcPr>
            <w:tcW w:w="7825" w:type="dxa"/>
          </w:tcPr>
          <w:p w14:paraId="02715552" w14:textId="77777777" w:rsidR="00465A30" w:rsidRPr="00AD1BB6" w:rsidRDefault="00465A30" w:rsidP="00AD1BB6">
            <w:pPr>
              <w:spacing w:line="280" w:lineRule="atLeast"/>
              <w:rPr>
                <w:rFonts w:ascii="Times New Roman" w:hAnsi="Times New Roman" w:cs="Times New Roman"/>
                <w:b/>
                <w:sz w:val="24"/>
                <w:szCs w:val="24"/>
              </w:rPr>
            </w:pPr>
          </w:p>
        </w:tc>
      </w:tr>
    </w:tbl>
    <w:p w14:paraId="051AAA70" w14:textId="37E1C7BB" w:rsidR="00465A30" w:rsidRDefault="00D15685" w:rsidP="00AD1BB6">
      <w:pPr>
        <w:rPr>
          <w:rFonts w:ascii="Times New Roman" w:hAnsi="Times New Roman" w:cs="Times New Roman"/>
          <w:sz w:val="24"/>
          <w:szCs w:val="24"/>
        </w:rPr>
      </w:pPr>
      <w:r w:rsidRPr="00D15685">
        <w:rPr>
          <w:rFonts w:ascii="Times New Roman" w:hAnsi="Times New Roman" w:cs="Times New Roman"/>
          <w:sz w:val="24"/>
          <w:szCs w:val="24"/>
        </w:rPr>
        <w:t>Departementet for Landbrug, Selvforsyning, Energi og Miljø</w:t>
      </w:r>
      <w:r>
        <w:rPr>
          <w:rFonts w:ascii="Times New Roman" w:hAnsi="Times New Roman" w:cs="Times New Roman"/>
          <w:sz w:val="24"/>
          <w:szCs w:val="24"/>
        </w:rPr>
        <w:t xml:space="preserve"> takker for muligheden for at komme med bemærkninger til oplægget til Naalakkersuisut vedr. kvoter for nar- og hvidhval 2023.</w:t>
      </w:r>
    </w:p>
    <w:p w14:paraId="6BB82CCB" w14:textId="6B0B527B" w:rsidR="00D15685" w:rsidRDefault="00D15685" w:rsidP="00AD1BB6">
      <w:pPr>
        <w:rPr>
          <w:rFonts w:ascii="Times New Roman" w:hAnsi="Times New Roman" w:cs="Times New Roman"/>
          <w:sz w:val="24"/>
          <w:szCs w:val="24"/>
        </w:rPr>
      </w:pPr>
    </w:p>
    <w:p w14:paraId="2C682029" w14:textId="44D1346E" w:rsidR="009014F5" w:rsidRPr="009014F5" w:rsidRDefault="009014F5" w:rsidP="00AD1BB6">
      <w:pPr>
        <w:rPr>
          <w:rFonts w:ascii="Times New Roman" w:hAnsi="Times New Roman" w:cs="Times New Roman"/>
          <w:i/>
          <w:iCs/>
          <w:sz w:val="24"/>
          <w:szCs w:val="24"/>
          <w:u w:val="single"/>
        </w:rPr>
      </w:pPr>
      <w:r w:rsidRPr="009014F5">
        <w:rPr>
          <w:rFonts w:ascii="Times New Roman" w:hAnsi="Times New Roman" w:cs="Times New Roman"/>
          <w:i/>
          <w:iCs/>
          <w:sz w:val="24"/>
          <w:szCs w:val="24"/>
          <w:u w:val="single"/>
        </w:rPr>
        <w:t>Narhvaler</w:t>
      </w:r>
    </w:p>
    <w:p w14:paraId="6DDBF4D1" w14:textId="15F51137" w:rsidR="00A359A2" w:rsidRDefault="00A359A2" w:rsidP="00975E7F">
      <w:pPr>
        <w:rPr>
          <w:rFonts w:ascii="Times New Roman" w:hAnsi="Times New Roman" w:cs="Times New Roman"/>
          <w:sz w:val="24"/>
          <w:szCs w:val="24"/>
        </w:rPr>
      </w:pPr>
      <w:r>
        <w:rPr>
          <w:rFonts w:ascii="Times New Roman" w:hAnsi="Times New Roman" w:cs="Times New Roman"/>
          <w:sz w:val="24"/>
          <w:szCs w:val="24"/>
        </w:rPr>
        <w:t xml:space="preserve">NAMMCO og JCNB har i de seneste år gjort en stor indsats for at </w:t>
      </w:r>
      <w:r w:rsidR="007649BC">
        <w:rPr>
          <w:rFonts w:ascii="Times New Roman" w:hAnsi="Times New Roman" w:cs="Times New Roman"/>
          <w:sz w:val="24"/>
          <w:szCs w:val="24"/>
        </w:rPr>
        <w:t>samle</w:t>
      </w:r>
      <w:r>
        <w:rPr>
          <w:rFonts w:ascii="Times New Roman" w:hAnsi="Times New Roman" w:cs="Times New Roman"/>
          <w:sz w:val="24"/>
          <w:szCs w:val="24"/>
        </w:rPr>
        <w:t xml:space="preserve"> al</w:t>
      </w:r>
      <w:r w:rsidR="005B095F">
        <w:rPr>
          <w:rFonts w:ascii="Times New Roman" w:hAnsi="Times New Roman" w:cs="Times New Roman"/>
          <w:sz w:val="24"/>
          <w:szCs w:val="24"/>
        </w:rPr>
        <w:t>le</w:t>
      </w:r>
      <w:r>
        <w:rPr>
          <w:rFonts w:ascii="Times New Roman" w:hAnsi="Times New Roman" w:cs="Times New Roman"/>
          <w:sz w:val="24"/>
          <w:szCs w:val="24"/>
        </w:rPr>
        <w:t xml:space="preserve"> tilgængelig</w:t>
      </w:r>
      <w:r w:rsidR="005B095F">
        <w:rPr>
          <w:rFonts w:ascii="Times New Roman" w:hAnsi="Times New Roman" w:cs="Times New Roman"/>
          <w:sz w:val="24"/>
          <w:szCs w:val="24"/>
        </w:rPr>
        <w:t>e</w:t>
      </w:r>
      <w:r>
        <w:rPr>
          <w:rFonts w:ascii="Times New Roman" w:hAnsi="Times New Roman" w:cs="Times New Roman"/>
          <w:sz w:val="24"/>
          <w:szCs w:val="24"/>
        </w:rPr>
        <w:t xml:space="preserve"> data og seneste viden om hvid- og narhvaler og </w:t>
      </w:r>
      <w:r w:rsidR="005B095F">
        <w:rPr>
          <w:rFonts w:ascii="Times New Roman" w:hAnsi="Times New Roman" w:cs="Times New Roman"/>
          <w:sz w:val="24"/>
          <w:szCs w:val="24"/>
        </w:rPr>
        <w:t xml:space="preserve">er </w:t>
      </w:r>
      <w:r>
        <w:rPr>
          <w:rFonts w:ascii="Times New Roman" w:hAnsi="Times New Roman" w:cs="Times New Roman"/>
          <w:sz w:val="24"/>
          <w:szCs w:val="24"/>
        </w:rPr>
        <w:t xml:space="preserve">på baggrund af dette arbejde </w:t>
      </w:r>
      <w:r w:rsidR="007649BC">
        <w:rPr>
          <w:rFonts w:ascii="Times New Roman" w:hAnsi="Times New Roman" w:cs="Times New Roman"/>
          <w:sz w:val="24"/>
          <w:szCs w:val="24"/>
        </w:rPr>
        <w:t>kommet med ny</w:t>
      </w:r>
      <w:r>
        <w:rPr>
          <w:rFonts w:ascii="Times New Roman" w:hAnsi="Times New Roman" w:cs="Times New Roman"/>
          <w:sz w:val="24"/>
          <w:szCs w:val="24"/>
        </w:rPr>
        <w:t xml:space="preserve"> biologiske rådgivning. De biologiske undersøgelser og fangstdata viser, at særligt de små bestande i Melvillebugten og Østgrønland er kritisk truede. </w:t>
      </w:r>
    </w:p>
    <w:p w14:paraId="299F5C20" w14:textId="77777777" w:rsidR="005B095F" w:rsidRDefault="005B095F" w:rsidP="00975E7F">
      <w:pPr>
        <w:rPr>
          <w:rFonts w:ascii="Times New Roman" w:hAnsi="Times New Roman" w:cs="Times New Roman"/>
          <w:sz w:val="24"/>
          <w:szCs w:val="24"/>
        </w:rPr>
      </w:pPr>
    </w:p>
    <w:p w14:paraId="1A04F310" w14:textId="519330A5" w:rsidR="0089103B" w:rsidRDefault="00A359A2" w:rsidP="00975E7F">
      <w:pPr>
        <w:rPr>
          <w:rFonts w:ascii="Times New Roman" w:hAnsi="Times New Roman" w:cs="Times New Roman"/>
          <w:sz w:val="24"/>
          <w:szCs w:val="24"/>
        </w:rPr>
      </w:pPr>
      <w:r>
        <w:rPr>
          <w:rFonts w:ascii="Times New Roman" w:hAnsi="Times New Roman" w:cs="Times New Roman"/>
          <w:sz w:val="24"/>
          <w:szCs w:val="24"/>
        </w:rPr>
        <w:t>Departementet for Landbrug, Selvforsyning, Energi og Miljø finder det meget bekymrende, at der i oplægget lægges op til en kvote, der er 500 % højere end den biologiske rådgivning for narhvalbestanden i Melvillebugten</w:t>
      </w:r>
      <w:r w:rsidR="005B095F">
        <w:rPr>
          <w:rFonts w:ascii="Times New Roman" w:hAnsi="Times New Roman" w:cs="Times New Roman"/>
          <w:sz w:val="24"/>
          <w:szCs w:val="24"/>
        </w:rPr>
        <w:t>,</w:t>
      </w:r>
      <w:r w:rsidR="0089103B">
        <w:rPr>
          <w:rFonts w:ascii="Times New Roman" w:hAnsi="Times New Roman" w:cs="Times New Roman"/>
          <w:sz w:val="24"/>
          <w:szCs w:val="24"/>
        </w:rPr>
        <w:t xml:space="preserve"> og en kvote på 50 narhvaler for bestandene i Ittoqqortoormiit, Kangerlussuaq og Tasiilaq, hvor den biologiske anbefaling er, at alt fangst af narhvaler bør stoppes for at forhindre akut udryddelse af disse bestande.</w:t>
      </w:r>
    </w:p>
    <w:p w14:paraId="12AD24DD" w14:textId="77777777" w:rsidR="0089103B" w:rsidRDefault="0089103B" w:rsidP="00975E7F">
      <w:pPr>
        <w:rPr>
          <w:rFonts w:ascii="Times New Roman" w:hAnsi="Times New Roman" w:cs="Times New Roman"/>
          <w:sz w:val="24"/>
          <w:szCs w:val="24"/>
        </w:rPr>
      </w:pPr>
    </w:p>
    <w:p w14:paraId="3EB7ADC8" w14:textId="4AED74F8" w:rsidR="00975E7F" w:rsidRDefault="00975E7F" w:rsidP="00975E7F">
      <w:pPr>
        <w:rPr>
          <w:rFonts w:ascii="Times New Roman" w:hAnsi="Times New Roman" w:cs="Times New Roman"/>
          <w:sz w:val="24"/>
          <w:szCs w:val="24"/>
        </w:rPr>
      </w:pPr>
      <w:r>
        <w:rPr>
          <w:rFonts w:ascii="Times New Roman" w:hAnsi="Times New Roman" w:cs="Times New Roman"/>
          <w:sz w:val="24"/>
          <w:szCs w:val="24"/>
        </w:rPr>
        <w:t xml:space="preserve">Beskyttelse og fangst af hvid- og narhvaler reguleres i </w:t>
      </w:r>
      <w:r w:rsidRPr="00975E7F">
        <w:rPr>
          <w:rFonts w:ascii="Times New Roman" w:hAnsi="Times New Roman" w:cs="Times New Roman"/>
          <w:i/>
          <w:iCs/>
          <w:sz w:val="24"/>
          <w:szCs w:val="24"/>
        </w:rPr>
        <w:t>Selvstyrets bekendtgørelse nr. 3 af 27. januar 2017 om beskyttelse og fangst af hvid- og narhvaler</w:t>
      </w:r>
      <w:r>
        <w:rPr>
          <w:rFonts w:ascii="Times New Roman" w:hAnsi="Times New Roman" w:cs="Times New Roman"/>
          <w:i/>
          <w:iCs/>
          <w:sz w:val="24"/>
          <w:szCs w:val="24"/>
        </w:rPr>
        <w:t xml:space="preserve">. </w:t>
      </w:r>
      <w:r>
        <w:rPr>
          <w:rFonts w:ascii="Times New Roman" w:hAnsi="Times New Roman" w:cs="Times New Roman"/>
          <w:sz w:val="24"/>
          <w:szCs w:val="24"/>
        </w:rPr>
        <w:t>Det fremgår af bekendtgørelsens § 4, at</w:t>
      </w:r>
    </w:p>
    <w:p w14:paraId="010CFA0E" w14:textId="7178B4A9" w:rsidR="00975E7F" w:rsidRPr="00975E7F" w:rsidRDefault="00975E7F" w:rsidP="00975E7F">
      <w:pPr>
        <w:rPr>
          <w:rFonts w:ascii="Times New Roman" w:hAnsi="Times New Roman" w:cs="Times New Roman"/>
          <w:i/>
          <w:iCs/>
          <w:sz w:val="24"/>
          <w:szCs w:val="24"/>
        </w:rPr>
      </w:pPr>
      <w:r>
        <w:rPr>
          <w:rFonts w:ascii="Times New Roman" w:hAnsi="Times New Roman" w:cs="Times New Roman"/>
          <w:sz w:val="24"/>
          <w:szCs w:val="24"/>
        </w:rPr>
        <w:t>”</w:t>
      </w:r>
      <w:r w:rsidRPr="00975E7F">
        <w:rPr>
          <w:rFonts w:ascii="Times New Roman" w:hAnsi="Times New Roman" w:cs="Times New Roman"/>
          <w:i/>
          <w:iCs/>
          <w:sz w:val="24"/>
          <w:szCs w:val="24"/>
        </w:rPr>
        <w:t>Fastsættelsen af kvoter sker med hensyntagen til følgende:</w:t>
      </w:r>
    </w:p>
    <w:p w14:paraId="69E1A561" w14:textId="77777777" w:rsidR="00975E7F" w:rsidRPr="00975E7F" w:rsidRDefault="00975E7F" w:rsidP="00975E7F">
      <w:pPr>
        <w:rPr>
          <w:rFonts w:ascii="Times New Roman" w:hAnsi="Times New Roman" w:cs="Times New Roman"/>
          <w:i/>
          <w:iCs/>
          <w:sz w:val="24"/>
          <w:szCs w:val="24"/>
        </w:rPr>
      </w:pPr>
      <w:r w:rsidRPr="00975E7F">
        <w:rPr>
          <w:rFonts w:ascii="Times New Roman" w:hAnsi="Times New Roman" w:cs="Times New Roman"/>
          <w:i/>
          <w:iCs/>
          <w:sz w:val="24"/>
          <w:szCs w:val="24"/>
        </w:rPr>
        <w:t>1) Internationale aftaler, der er indgået med henblik på ressourcernes bevarelse og reproduktion,</w:t>
      </w:r>
    </w:p>
    <w:p w14:paraId="10926038" w14:textId="77777777" w:rsidR="00975E7F" w:rsidRPr="00975E7F" w:rsidRDefault="00975E7F" w:rsidP="00975E7F">
      <w:pPr>
        <w:rPr>
          <w:rFonts w:ascii="Times New Roman" w:hAnsi="Times New Roman" w:cs="Times New Roman"/>
          <w:i/>
          <w:iCs/>
          <w:sz w:val="24"/>
          <w:szCs w:val="24"/>
        </w:rPr>
      </w:pPr>
      <w:r w:rsidRPr="00975E7F">
        <w:rPr>
          <w:rFonts w:ascii="Times New Roman" w:hAnsi="Times New Roman" w:cs="Times New Roman"/>
          <w:i/>
          <w:iCs/>
          <w:sz w:val="24"/>
          <w:szCs w:val="24"/>
        </w:rPr>
        <w:t>2) biologisk rådgivning,</w:t>
      </w:r>
    </w:p>
    <w:p w14:paraId="5A820B73" w14:textId="77777777" w:rsidR="00975E7F" w:rsidRPr="00975E7F" w:rsidRDefault="00975E7F" w:rsidP="00975E7F">
      <w:pPr>
        <w:rPr>
          <w:rFonts w:ascii="Times New Roman" w:hAnsi="Times New Roman" w:cs="Times New Roman"/>
          <w:i/>
          <w:iCs/>
          <w:sz w:val="24"/>
          <w:szCs w:val="24"/>
        </w:rPr>
      </w:pPr>
      <w:r w:rsidRPr="00975E7F">
        <w:rPr>
          <w:rFonts w:ascii="Times New Roman" w:hAnsi="Times New Roman" w:cs="Times New Roman"/>
          <w:i/>
          <w:iCs/>
          <w:sz w:val="24"/>
          <w:szCs w:val="24"/>
        </w:rPr>
        <w:t>3) brugerviden, og</w:t>
      </w:r>
    </w:p>
    <w:p w14:paraId="7B1E8D72" w14:textId="6EEF0CE7" w:rsidR="00DB7590" w:rsidRDefault="00975E7F" w:rsidP="00975E7F">
      <w:pPr>
        <w:rPr>
          <w:rFonts w:ascii="Times New Roman" w:hAnsi="Times New Roman" w:cs="Times New Roman"/>
          <w:sz w:val="24"/>
          <w:szCs w:val="24"/>
        </w:rPr>
      </w:pPr>
      <w:r w:rsidRPr="00975E7F">
        <w:rPr>
          <w:rFonts w:ascii="Times New Roman" w:hAnsi="Times New Roman" w:cs="Times New Roman"/>
          <w:i/>
          <w:iCs/>
          <w:sz w:val="24"/>
          <w:szCs w:val="24"/>
        </w:rPr>
        <w:t>4) høring af Fangstrådets medlemmer og kommunerne</w:t>
      </w:r>
      <w:r w:rsidRPr="00975E7F">
        <w:rPr>
          <w:rFonts w:ascii="Times New Roman" w:hAnsi="Times New Roman" w:cs="Times New Roman"/>
          <w:sz w:val="24"/>
          <w:szCs w:val="24"/>
        </w:rPr>
        <w:t>.</w:t>
      </w:r>
      <w:r>
        <w:rPr>
          <w:rFonts w:ascii="Times New Roman" w:hAnsi="Times New Roman" w:cs="Times New Roman"/>
          <w:sz w:val="24"/>
          <w:szCs w:val="24"/>
        </w:rPr>
        <w:t>”</w:t>
      </w:r>
    </w:p>
    <w:p w14:paraId="63CEF207" w14:textId="1F36E52E" w:rsidR="00975E7F" w:rsidRDefault="00975E7F" w:rsidP="00975E7F">
      <w:pPr>
        <w:rPr>
          <w:rFonts w:ascii="Times New Roman" w:hAnsi="Times New Roman" w:cs="Times New Roman"/>
          <w:sz w:val="24"/>
          <w:szCs w:val="24"/>
        </w:rPr>
      </w:pPr>
    </w:p>
    <w:p w14:paraId="55C26F5B" w14:textId="176BF2CD" w:rsidR="00975E7F" w:rsidRDefault="00177E8B" w:rsidP="00975E7F">
      <w:pPr>
        <w:rPr>
          <w:rFonts w:ascii="Times New Roman" w:hAnsi="Times New Roman" w:cs="Times New Roman"/>
          <w:sz w:val="24"/>
          <w:szCs w:val="24"/>
        </w:rPr>
      </w:pPr>
      <w:r>
        <w:rPr>
          <w:rFonts w:ascii="Times New Roman" w:hAnsi="Times New Roman" w:cs="Times New Roman"/>
          <w:sz w:val="24"/>
          <w:szCs w:val="24"/>
        </w:rPr>
        <w:t xml:space="preserve">Bekendtgørelsen om beskyttelse og </w:t>
      </w:r>
      <w:r w:rsidR="009827A1">
        <w:rPr>
          <w:rFonts w:ascii="Times New Roman" w:hAnsi="Times New Roman" w:cs="Times New Roman"/>
          <w:sz w:val="24"/>
          <w:szCs w:val="24"/>
        </w:rPr>
        <w:t xml:space="preserve">fangst af hvid- og narhvaler har hjemmel i </w:t>
      </w:r>
      <w:r w:rsidR="009827A1" w:rsidRPr="009827A1">
        <w:rPr>
          <w:rFonts w:ascii="Times New Roman" w:hAnsi="Times New Roman" w:cs="Times New Roman"/>
          <w:i/>
          <w:iCs/>
          <w:sz w:val="24"/>
          <w:szCs w:val="24"/>
        </w:rPr>
        <w:t>Landstingslov nr. 29 af 18. december 2003 om naturbeskyttelse</w:t>
      </w:r>
      <w:r w:rsidR="009827A1">
        <w:rPr>
          <w:rFonts w:ascii="Times New Roman" w:hAnsi="Times New Roman" w:cs="Times New Roman"/>
          <w:i/>
          <w:iCs/>
          <w:sz w:val="24"/>
          <w:szCs w:val="24"/>
        </w:rPr>
        <w:t xml:space="preserve"> </w:t>
      </w:r>
      <w:r w:rsidR="009827A1">
        <w:rPr>
          <w:rFonts w:ascii="Times New Roman" w:hAnsi="Times New Roman" w:cs="Times New Roman"/>
          <w:sz w:val="24"/>
          <w:szCs w:val="24"/>
        </w:rPr>
        <w:t xml:space="preserve">(Naturbeskyttelsesloven) og </w:t>
      </w:r>
      <w:r w:rsidR="009827A1" w:rsidRPr="009827A1">
        <w:rPr>
          <w:rFonts w:ascii="Times New Roman" w:hAnsi="Times New Roman" w:cs="Times New Roman"/>
          <w:i/>
          <w:iCs/>
          <w:sz w:val="24"/>
          <w:szCs w:val="24"/>
        </w:rPr>
        <w:t>Landstingslov nr. 12 af 29. oktober 1999 om fangst og jagt</w:t>
      </w:r>
      <w:r w:rsidR="009827A1">
        <w:rPr>
          <w:rFonts w:ascii="Times New Roman" w:hAnsi="Times New Roman" w:cs="Times New Roman"/>
          <w:sz w:val="24"/>
          <w:szCs w:val="24"/>
        </w:rPr>
        <w:t xml:space="preserve"> (Fangstloven).</w:t>
      </w:r>
    </w:p>
    <w:p w14:paraId="234E6503" w14:textId="77777777" w:rsidR="0089103B" w:rsidRDefault="0089103B" w:rsidP="00975E7F">
      <w:pPr>
        <w:rPr>
          <w:rFonts w:ascii="Times New Roman" w:hAnsi="Times New Roman" w:cs="Times New Roman"/>
          <w:sz w:val="24"/>
          <w:szCs w:val="24"/>
        </w:rPr>
      </w:pPr>
    </w:p>
    <w:p w14:paraId="6B11ABD7" w14:textId="65B9F688" w:rsidR="009827A1" w:rsidRDefault="009827A1" w:rsidP="00975E7F">
      <w:pPr>
        <w:rPr>
          <w:rFonts w:ascii="Times New Roman" w:hAnsi="Times New Roman" w:cs="Times New Roman"/>
          <w:sz w:val="24"/>
          <w:szCs w:val="24"/>
        </w:rPr>
      </w:pPr>
      <w:r>
        <w:rPr>
          <w:rFonts w:ascii="Times New Roman" w:hAnsi="Times New Roman" w:cs="Times New Roman"/>
          <w:sz w:val="24"/>
          <w:szCs w:val="24"/>
        </w:rPr>
        <w:t>I henhold til Naturbeskyttelsesloven skal</w:t>
      </w:r>
      <w:r w:rsidRPr="009827A1">
        <w:rPr>
          <w:rFonts w:ascii="Times New Roman" w:hAnsi="Times New Roman" w:cs="Times New Roman"/>
          <w:sz w:val="24"/>
          <w:szCs w:val="24"/>
        </w:rPr>
        <w:t xml:space="preserve"> udnyttelsen af de levende ressourcer </w:t>
      </w:r>
      <w:r w:rsidR="0089103B" w:rsidRPr="0089103B">
        <w:rPr>
          <w:rFonts w:ascii="Times New Roman" w:hAnsi="Times New Roman" w:cs="Times New Roman"/>
          <w:sz w:val="24"/>
          <w:szCs w:val="24"/>
        </w:rPr>
        <w:t xml:space="preserve">ske på et økologisk bæredygtigt grundlag, i overensstemmelse med forsigtighedsprincippet og i respekt for menneskers livsvilkår og for bevarelsen af dyre- og plantelivet. </w:t>
      </w:r>
    </w:p>
    <w:p w14:paraId="2A33A589" w14:textId="77777777" w:rsidR="0089103B" w:rsidRDefault="0089103B" w:rsidP="00975E7F">
      <w:pPr>
        <w:rPr>
          <w:rFonts w:ascii="Times New Roman" w:hAnsi="Times New Roman" w:cs="Times New Roman"/>
          <w:sz w:val="24"/>
          <w:szCs w:val="24"/>
        </w:rPr>
      </w:pPr>
    </w:p>
    <w:p w14:paraId="56A8D99D" w14:textId="75A2195C" w:rsidR="009827A1" w:rsidRPr="00A559EB" w:rsidRDefault="009827A1" w:rsidP="009827A1">
      <w:pPr>
        <w:rPr>
          <w:rFonts w:ascii="Times New Roman" w:hAnsi="Times New Roman" w:cs="Times New Roman"/>
          <w:i/>
          <w:iCs/>
          <w:sz w:val="24"/>
          <w:szCs w:val="24"/>
        </w:rPr>
      </w:pPr>
      <w:r>
        <w:rPr>
          <w:rFonts w:ascii="Times New Roman" w:hAnsi="Times New Roman" w:cs="Times New Roman"/>
          <w:sz w:val="24"/>
          <w:szCs w:val="24"/>
        </w:rPr>
        <w:lastRenderedPageBreak/>
        <w:t xml:space="preserve">Formålet med Fangstloven er </w:t>
      </w:r>
      <w:r w:rsidR="00A559EB">
        <w:rPr>
          <w:rFonts w:ascii="Times New Roman" w:hAnsi="Times New Roman" w:cs="Times New Roman"/>
          <w:sz w:val="24"/>
          <w:szCs w:val="24"/>
        </w:rPr>
        <w:t>”</w:t>
      </w:r>
      <w:r w:rsidRPr="00A559EB">
        <w:rPr>
          <w:rFonts w:ascii="Times New Roman" w:hAnsi="Times New Roman" w:cs="Times New Roman"/>
          <w:i/>
          <w:iCs/>
          <w:sz w:val="24"/>
          <w:szCs w:val="24"/>
        </w:rPr>
        <w:t>at sikre en hensigtsmæssig og biologisk forsvarlig udnyttelse af fangstressourcerne.</w:t>
      </w:r>
    </w:p>
    <w:p w14:paraId="38485978" w14:textId="38C428FB" w:rsidR="009827A1" w:rsidRDefault="009827A1" w:rsidP="009827A1">
      <w:pPr>
        <w:rPr>
          <w:rFonts w:ascii="Times New Roman" w:hAnsi="Times New Roman" w:cs="Times New Roman"/>
          <w:sz w:val="24"/>
          <w:szCs w:val="24"/>
        </w:rPr>
      </w:pPr>
      <w:r w:rsidRPr="00A559EB">
        <w:rPr>
          <w:rFonts w:ascii="Times New Roman" w:hAnsi="Times New Roman" w:cs="Times New Roman"/>
          <w:i/>
          <w:iCs/>
          <w:sz w:val="24"/>
          <w:szCs w:val="24"/>
        </w:rPr>
        <w:t xml:space="preserve">Ved lovens administration </w:t>
      </w:r>
      <w:bookmarkStart w:id="0" w:name="_Hlk120616057"/>
      <w:r w:rsidRPr="00A559EB">
        <w:rPr>
          <w:rFonts w:ascii="Times New Roman" w:hAnsi="Times New Roman" w:cs="Times New Roman"/>
          <w:i/>
          <w:iCs/>
          <w:sz w:val="24"/>
          <w:szCs w:val="24"/>
        </w:rPr>
        <w:t xml:space="preserve">skal der lægges vægt på ressourcernes bevarelse og reproduktion, den rationelle og sæsonmæssigt bedste udnyttelse i overensstemmelse med sædvanlig biologisk rådgivning, økonomiske og beskæftigelsesmæssige hensyn indenfor fangsterhvervet </w:t>
      </w:r>
      <w:bookmarkEnd w:id="0"/>
      <w:r w:rsidRPr="00A559EB">
        <w:rPr>
          <w:rFonts w:ascii="Times New Roman" w:hAnsi="Times New Roman" w:cs="Times New Roman"/>
          <w:i/>
          <w:iCs/>
          <w:sz w:val="24"/>
          <w:szCs w:val="24"/>
        </w:rPr>
        <w:t>og dertil knyttede erhverv, andre erhvervsmæssige interesser samt på befolkningens rekreative behov</w:t>
      </w:r>
      <w:r w:rsidR="00A559EB">
        <w:rPr>
          <w:rFonts w:ascii="Times New Roman" w:hAnsi="Times New Roman" w:cs="Times New Roman"/>
          <w:sz w:val="24"/>
          <w:szCs w:val="24"/>
        </w:rPr>
        <w:t>”</w:t>
      </w:r>
      <w:r w:rsidRPr="009827A1">
        <w:rPr>
          <w:rFonts w:ascii="Times New Roman" w:hAnsi="Times New Roman" w:cs="Times New Roman"/>
          <w:sz w:val="24"/>
          <w:szCs w:val="24"/>
        </w:rPr>
        <w:t>.</w:t>
      </w:r>
    </w:p>
    <w:p w14:paraId="45898F01" w14:textId="5865052A" w:rsidR="00A559EB" w:rsidRDefault="00A559EB" w:rsidP="009827A1">
      <w:pPr>
        <w:rPr>
          <w:rFonts w:ascii="Times New Roman" w:hAnsi="Times New Roman" w:cs="Times New Roman"/>
          <w:sz w:val="24"/>
          <w:szCs w:val="24"/>
        </w:rPr>
      </w:pPr>
    </w:p>
    <w:p w14:paraId="3684103F" w14:textId="02D453CE" w:rsidR="00A559EB" w:rsidRDefault="00A559EB" w:rsidP="009827A1">
      <w:pPr>
        <w:rPr>
          <w:rFonts w:ascii="Times New Roman" w:hAnsi="Times New Roman" w:cs="Times New Roman"/>
          <w:i/>
          <w:iCs/>
          <w:sz w:val="24"/>
          <w:szCs w:val="24"/>
        </w:rPr>
      </w:pPr>
      <w:r>
        <w:rPr>
          <w:rFonts w:ascii="Times New Roman" w:hAnsi="Times New Roman" w:cs="Times New Roman"/>
          <w:sz w:val="24"/>
          <w:szCs w:val="24"/>
        </w:rPr>
        <w:t>Det fremgår således af lovgivningen, der regulerer beskyttelsen og udnyttelsen af hvid- og narhvaler, at ressourcerne skal forvaltes økologisk bæredygtigt, og at der skal</w:t>
      </w:r>
      <w:r w:rsidRPr="00A559EB">
        <w:rPr>
          <w:rFonts w:ascii="Times New Roman" w:hAnsi="Times New Roman" w:cs="Times New Roman"/>
          <w:sz w:val="24"/>
          <w:szCs w:val="24"/>
        </w:rPr>
        <w:t xml:space="preserve"> </w:t>
      </w:r>
      <w:r w:rsidRPr="00A559EB">
        <w:rPr>
          <w:rFonts w:ascii="Times New Roman" w:hAnsi="Times New Roman" w:cs="Times New Roman"/>
          <w:i/>
          <w:iCs/>
          <w:sz w:val="24"/>
          <w:szCs w:val="24"/>
        </w:rPr>
        <w:t>lægges vægt på ressourcernes bevarelse og reproduktion, den rationelle og sæsonmæssigt bedste udnyttelse i overensstemmelse med sædvanlig biologisk rådgivning, økonomiske og beskæftigelsesmæssige hensyn indenfor fangsterhvervet</w:t>
      </w:r>
      <w:r>
        <w:rPr>
          <w:rFonts w:ascii="Times New Roman" w:hAnsi="Times New Roman" w:cs="Times New Roman"/>
          <w:i/>
          <w:iCs/>
          <w:sz w:val="24"/>
          <w:szCs w:val="24"/>
        </w:rPr>
        <w:t xml:space="preserve">. </w:t>
      </w:r>
    </w:p>
    <w:p w14:paraId="269FA588" w14:textId="1A62425A" w:rsidR="00A559EB" w:rsidRDefault="00A559EB" w:rsidP="009827A1">
      <w:pPr>
        <w:rPr>
          <w:rFonts w:ascii="Times New Roman" w:hAnsi="Times New Roman" w:cs="Times New Roman"/>
          <w:sz w:val="24"/>
          <w:szCs w:val="24"/>
        </w:rPr>
      </w:pPr>
    </w:p>
    <w:p w14:paraId="46983868" w14:textId="4F72DC56" w:rsidR="0089103B" w:rsidRDefault="0089103B" w:rsidP="009827A1">
      <w:pPr>
        <w:rPr>
          <w:rFonts w:ascii="Times New Roman" w:hAnsi="Times New Roman" w:cs="Times New Roman"/>
          <w:sz w:val="24"/>
          <w:szCs w:val="24"/>
        </w:rPr>
      </w:pPr>
      <w:proofErr w:type="gramStart"/>
      <w:r>
        <w:rPr>
          <w:rFonts w:ascii="Times New Roman" w:hAnsi="Times New Roman" w:cs="Times New Roman"/>
          <w:sz w:val="24"/>
          <w:szCs w:val="24"/>
        </w:rPr>
        <w:t>Såfremt</w:t>
      </w:r>
      <w:proofErr w:type="gramEnd"/>
      <w:r>
        <w:rPr>
          <w:rFonts w:ascii="Times New Roman" w:hAnsi="Times New Roman" w:cs="Times New Roman"/>
          <w:sz w:val="24"/>
          <w:szCs w:val="24"/>
        </w:rPr>
        <w:t xml:space="preserve"> der er tvivl om bæredygtigheden </w:t>
      </w:r>
      <w:r w:rsidR="00ED66C5">
        <w:rPr>
          <w:rFonts w:ascii="Times New Roman" w:hAnsi="Times New Roman" w:cs="Times New Roman"/>
          <w:sz w:val="24"/>
          <w:szCs w:val="24"/>
        </w:rPr>
        <w:t>af udnyttelsen af en levende ressource, skal udnyttelsen ske i overensstemmelse med forsigtighedsprincippet.</w:t>
      </w:r>
    </w:p>
    <w:p w14:paraId="0918D782" w14:textId="77777777" w:rsidR="00ED66C5" w:rsidRDefault="00ED66C5" w:rsidP="009827A1">
      <w:pPr>
        <w:rPr>
          <w:rFonts w:ascii="Times New Roman" w:hAnsi="Times New Roman" w:cs="Times New Roman"/>
          <w:sz w:val="24"/>
          <w:szCs w:val="24"/>
        </w:rPr>
      </w:pPr>
    </w:p>
    <w:p w14:paraId="201F191E" w14:textId="135A873D" w:rsidR="00ED66C5" w:rsidRDefault="00B249D0" w:rsidP="00B249D0">
      <w:pPr>
        <w:rPr>
          <w:rFonts w:ascii="Times New Roman" w:hAnsi="Times New Roman" w:cs="Times New Roman"/>
          <w:sz w:val="24"/>
          <w:szCs w:val="24"/>
        </w:rPr>
      </w:pPr>
      <w:r>
        <w:rPr>
          <w:rFonts w:ascii="Times New Roman" w:hAnsi="Times New Roman" w:cs="Times New Roman"/>
          <w:sz w:val="24"/>
          <w:szCs w:val="24"/>
        </w:rPr>
        <w:t>K</w:t>
      </w:r>
      <w:r w:rsidR="00DB7590" w:rsidRPr="00DB7590">
        <w:rPr>
          <w:rFonts w:ascii="Times New Roman" w:hAnsi="Times New Roman" w:cs="Times New Roman"/>
          <w:sz w:val="24"/>
          <w:szCs w:val="24"/>
        </w:rPr>
        <w:t>voteforslag</w:t>
      </w:r>
      <w:r w:rsidR="00A559EB">
        <w:rPr>
          <w:rFonts w:ascii="Times New Roman" w:hAnsi="Times New Roman" w:cs="Times New Roman"/>
          <w:sz w:val="24"/>
          <w:szCs w:val="24"/>
        </w:rPr>
        <w:t>et</w:t>
      </w:r>
      <w:r w:rsidR="00DB7590" w:rsidRPr="00DB7590">
        <w:rPr>
          <w:rFonts w:ascii="Times New Roman" w:hAnsi="Times New Roman" w:cs="Times New Roman"/>
          <w:sz w:val="24"/>
          <w:szCs w:val="24"/>
        </w:rPr>
        <w:t xml:space="preserve"> </w:t>
      </w:r>
      <w:r>
        <w:rPr>
          <w:rFonts w:ascii="Times New Roman" w:hAnsi="Times New Roman" w:cs="Times New Roman"/>
          <w:sz w:val="24"/>
          <w:szCs w:val="24"/>
        </w:rPr>
        <w:t>ligger langt over den biologiske rådgivning</w:t>
      </w:r>
      <w:r w:rsidRPr="00DB7590">
        <w:rPr>
          <w:rFonts w:ascii="Times New Roman" w:hAnsi="Times New Roman" w:cs="Times New Roman"/>
          <w:sz w:val="24"/>
          <w:szCs w:val="24"/>
        </w:rPr>
        <w:t xml:space="preserve"> </w:t>
      </w:r>
      <w:r w:rsidR="00DB7590" w:rsidRPr="00DB7590">
        <w:rPr>
          <w:rFonts w:ascii="Times New Roman" w:hAnsi="Times New Roman" w:cs="Times New Roman"/>
          <w:sz w:val="24"/>
          <w:szCs w:val="24"/>
        </w:rPr>
        <w:t xml:space="preserve">for narhvaler </w:t>
      </w:r>
      <w:r w:rsidR="00A559EB">
        <w:rPr>
          <w:rFonts w:ascii="Times New Roman" w:hAnsi="Times New Roman" w:cs="Times New Roman"/>
          <w:sz w:val="24"/>
          <w:szCs w:val="24"/>
        </w:rPr>
        <w:t xml:space="preserve">for alle bestande </w:t>
      </w:r>
      <w:r w:rsidR="00EC1A73">
        <w:rPr>
          <w:rFonts w:ascii="Times New Roman" w:hAnsi="Times New Roman" w:cs="Times New Roman"/>
          <w:sz w:val="24"/>
          <w:szCs w:val="24"/>
        </w:rPr>
        <w:t xml:space="preserve">med undtagelse af </w:t>
      </w:r>
      <w:proofErr w:type="spellStart"/>
      <w:r w:rsidR="00EC1A73">
        <w:rPr>
          <w:rFonts w:ascii="Times New Roman" w:hAnsi="Times New Roman" w:cs="Times New Roman"/>
          <w:sz w:val="24"/>
          <w:szCs w:val="24"/>
        </w:rPr>
        <w:t>Etah</w:t>
      </w:r>
      <w:proofErr w:type="spellEnd"/>
      <w:r w:rsidR="00EC1A73">
        <w:rPr>
          <w:rFonts w:ascii="Times New Roman" w:hAnsi="Times New Roman" w:cs="Times New Roman"/>
          <w:sz w:val="24"/>
          <w:szCs w:val="24"/>
        </w:rPr>
        <w:t xml:space="preserve">. </w:t>
      </w:r>
    </w:p>
    <w:p w14:paraId="1302EA95" w14:textId="77777777" w:rsidR="007649BC" w:rsidRDefault="007649BC" w:rsidP="00B249D0">
      <w:pPr>
        <w:rPr>
          <w:rFonts w:ascii="Times New Roman" w:hAnsi="Times New Roman" w:cs="Times New Roman"/>
          <w:sz w:val="24"/>
          <w:szCs w:val="24"/>
        </w:rPr>
      </w:pPr>
    </w:p>
    <w:tbl>
      <w:tblPr>
        <w:tblStyle w:val="Tabel-Gitter"/>
        <w:tblW w:w="9067" w:type="dxa"/>
        <w:tblLook w:val="04A0" w:firstRow="1" w:lastRow="0" w:firstColumn="1" w:lastColumn="0" w:noHBand="0" w:noVBand="1"/>
      </w:tblPr>
      <w:tblGrid>
        <w:gridCol w:w="1953"/>
        <w:gridCol w:w="1953"/>
        <w:gridCol w:w="1954"/>
        <w:gridCol w:w="3207"/>
      </w:tblGrid>
      <w:tr w:rsidR="00ED66C5" w14:paraId="6ECBB689" w14:textId="77777777" w:rsidTr="007649BC">
        <w:tc>
          <w:tcPr>
            <w:tcW w:w="1953" w:type="dxa"/>
          </w:tcPr>
          <w:p w14:paraId="0D707358" w14:textId="0C58B5C8" w:rsidR="00ED66C5" w:rsidRDefault="00ED66C5" w:rsidP="00B249D0">
            <w:pPr>
              <w:rPr>
                <w:rFonts w:ascii="Times New Roman" w:hAnsi="Times New Roman" w:cs="Times New Roman"/>
                <w:sz w:val="24"/>
                <w:szCs w:val="24"/>
              </w:rPr>
            </w:pPr>
            <w:r>
              <w:rPr>
                <w:rFonts w:ascii="Times New Roman" w:hAnsi="Times New Roman" w:cs="Times New Roman"/>
                <w:sz w:val="24"/>
                <w:szCs w:val="24"/>
              </w:rPr>
              <w:t>Bestand</w:t>
            </w:r>
          </w:p>
        </w:tc>
        <w:tc>
          <w:tcPr>
            <w:tcW w:w="1953" w:type="dxa"/>
          </w:tcPr>
          <w:p w14:paraId="2E05B2D6" w14:textId="651B7696" w:rsidR="00ED66C5" w:rsidRDefault="00ED66C5" w:rsidP="00D76A81">
            <w:pPr>
              <w:jc w:val="center"/>
              <w:rPr>
                <w:rFonts w:ascii="Times New Roman" w:hAnsi="Times New Roman" w:cs="Times New Roman"/>
                <w:sz w:val="24"/>
                <w:szCs w:val="24"/>
              </w:rPr>
            </w:pPr>
            <w:r>
              <w:rPr>
                <w:rFonts w:ascii="Times New Roman" w:hAnsi="Times New Roman" w:cs="Times New Roman"/>
                <w:sz w:val="24"/>
                <w:szCs w:val="24"/>
              </w:rPr>
              <w:t>Rådgivning</w:t>
            </w:r>
          </w:p>
        </w:tc>
        <w:tc>
          <w:tcPr>
            <w:tcW w:w="1954" w:type="dxa"/>
          </w:tcPr>
          <w:p w14:paraId="2BAA9A9A" w14:textId="49BBF72A" w:rsidR="00ED66C5" w:rsidRDefault="00ED66C5" w:rsidP="00D76A81">
            <w:pPr>
              <w:jc w:val="center"/>
              <w:rPr>
                <w:rFonts w:ascii="Times New Roman" w:hAnsi="Times New Roman" w:cs="Times New Roman"/>
                <w:sz w:val="24"/>
                <w:szCs w:val="24"/>
              </w:rPr>
            </w:pPr>
            <w:r>
              <w:rPr>
                <w:rFonts w:ascii="Times New Roman" w:hAnsi="Times New Roman" w:cs="Times New Roman"/>
                <w:sz w:val="24"/>
                <w:szCs w:val="24"/>
              </w:rPr>
              <w:t>Kvoteforslag</w:t>
            </w:r>
          </w:p>
        </w:tc>
        <w:tc>
          <w:tcPr>
            <w:tcW w:w="3207" w:type="dxa"/>
          </w:tcPr>
          <w:p w14:paraId="4AF9DE23" w14:textId="0FD7BF83" w:rsidR="00ED66C5" w:rsidRDefault="00ED66C5" w:rsidP="00D76A81">
            <w:pPr>
              <w:jc w:val="center"/>
              <w:rPr>
                <w:rFonts w:ascii="Times New Roman" w:hAnsi="Times New Roman" w:cs="Times New Roman"/>
                <w:sz w:val="24"/>
                <w:szCs w:val="24"/>
              </w:rPr>
            </w:pPr>
            <w:r>
              <w:rPr>
                <w:rFonts w:ascii="Times New Roman" w:hAnsi="Times New Roman" w:cs="Times New Roman"/>
                <w:sz w:val="24"/>
                <w:szCs w:val="24"/>
              </w:rPr>
              <w:t>Afvigelse</w:t>
            </w:r>
          </w:p>
        </w:tc>
      </w:tr>
      <w:tr w:rsidR="00ED66C5" w14:paraId="62FDFFAE" w14:textId="77777777" w:rsidTr="007649BC">
        <w:tc>
          <w:tcPr>
            <w:tcW w:w="1953" w:type="dxa"/>
          </w:tcPr>
          <w:p w14:paraId="18268D19" w14:textId="749F3039" w:rsidR="00ED66C5" w:rsidRDefault="00ED66C5" w:rsidP="00B249D0">
            <w:pPr>
              <w:rPr>
                <w:rFonts w:ascii="Times New Roman" w:hAnsi="Times New Roman" w:cs="Times New Roman"/>
                <w:sz w:val="24"/>
                <w:szCs w:val="24"/>
              </w:rPr>
            </w:pPr>
            <w:proofErr w:type="spellStart"/>
            <w:r>
              <w:rPr>
                <w:rFonts w:ascii="Times New Roman" w:hAnsi="Times New Roman" w:cs="Times New Roman"/>
                <w:sz w:val="24"/>
                <w:szCs w:val="24"/>
              </w:rPr>
              <w:t>Etah</w:t>
            </w:r>
            <w:proofErr w:type="spellEnd"/>
          </w:p>
        </w:tc>
        <w:tc>
          <w:tcPr>
            <w:tcW w:w="1953" w:type="dxa"/>
          </w:tcPr>
          <w:p w14:paraId="19FFBE25" w14:textId="5F41732E" w:rsidR="00ED66C5" w:rsidRDefault="00ED66C5" w:rsidP="008E5A4B">
            <w:pPr>
              <w:jc w:val="center"/>
              <w:rPr>
                <w:rFonts w:ascii="Times New Roman" w:hAnsi="Times New Roman" w:cs="Times New Roman"/>
                <w:sz w:val="24"/>
                <w:szCs w:val="24"/>
              </w:rPr>
            </w:pPr>
            <w:r>
              <w:rPr>
                <w:rFonts w:ascii="Times New Roman" w:hAnsi="Times New Roman" w:cs="Times New Roman"/>
                <w:sz w:val="24"/>
                <w:szCs w:val="24"/>
              </w:rPr>
              <w:t>38</w:t>
            </w:r>
          </w:p>
        </w:tc>
        <w:tc>
          <w:tcPr>
            <w:tcW w:w="1954" w:type="dxa"/>
          </w:tcPr>
          <w:p w14:paraId="032E3E8D" w14:textId="247F5AD7" w:rsidR="00ED66C5" w:rsidRDefault="008E5A4B" w:rsidP="00D76A81">
            <w:pPr>
              <w:jc w:val="center"/>
              <w:rPr>
                <w:rFonts w:ascii="Times New Roman" w:hAnsi="Times New Roman" w:cs="Times New Roman"/>
                <w:sz w:val="24"/>
                <w:szCs w:val="24"/>
              </w:rPr>
            </w:pPr>
            <w:r>
              <w:rPr>
                <w:rFonts w:ascii="Times New Roman" w:hAnsi="Times New Roman" w:cs="Times New Roman"/>
                <w:sz w:val="24"/>
                <w:szCs w:val="24"/>
              </w:rPr>
              <w:t>5</w:t>
            </w:r>
          </w:p>
        </w:tc>
        <w:tc>
          <w:tcPr>
            <w:tcW w:w="3207" w:type="dxa"/>
            <w:shd w:val="clear" w:color="auto" w:fill="92D050"/>
          </w:tcPr>
          <w:p w14:paraId="2022680A" w14:textId="23C860AB" w:rsidR="00ED66C5" w:rsidRDefault="00D76A81" w:rsidP="00D76A81">
            <w:pPr>
              <w:jc w:val="center"/>
              <w:rPr>
                <w:rFonts w:ascii="Times New Roman" w:hAnsi="Times New Roman" w:cs="Times New Roman"/>
                <w:sz w:val="24"/>
                <w:szCs w:val="24"/>
              </w:rPr>
            </w:pPr>
            <w:r>
              <w:rPr>
                <w:rFonts w:ascii="Times New Roman" w:hAnsi="Times New Roman" w:cs="Times New Roman"/>
                <w:sz w:val="24"/>
                <w:szCs w:val="24"/>
              </w:rPr>
              <w:t>15</w:t>
            </w:r>
            <w:r w:rsidR="007649BC">
              <w:rPr>
                <w:rFonts w:ascii="Times New Roman" w:hAnsi="Times New Roman" w:cs="Times New Roman"/>
                <w:sz w:val="24"/>
                <w:szCs w:val="24"/>
              </w:rPr>
              <w:t xml:space="preserve"> </w:t>
            </w:r>
            <w:r>
              <w:rPr>
                <w:rFonts w:ascii="Times New Roman" w:hAnsi="Times New Roman" w:cs="Times New Roman"/>
                <w:sz w:val="24"/>
                <w:szCs w:val="24"/>
              </w:rPr>
              <w:t>% af mulig kvote</w:t>
            </w:r>
          </w:p>
        </w:tc>
      </w:tr>
      <w:tr w:rsidR="00ED66C5" w14:paraId="032E3582" w14:textId="77777777" w:rsidTr="007649BC">
        <w:tc>
          <w:tcPr>
            <w:tcW w:w="1953" w:type="dxa"/>
          </w:tcPr>
          <w:p w14:paraId="4546A1F5" w14:textId="6FDCAEB8" w:rsidR="00ED66C5" w:rsidRDefault="00ED66C5" w:rsidP="00B249D0">
            <w:pPr>
              <w:rPr>
                <w:rFonts w:ascii="Times New Roman" w:hAnsi="Times New Roman" w:cs="Times New Roman"/>
                <w:sz w:val="24"/>
                <w:szCs w:val="24"/>
              </w:rPr>
            </w:pPr>
            <w:r>
              <w:rPr>
                <w:rFonts w:ascii="Times New Roman" w:hAnsi="Times New Roman" w:cs="Times New Roman"/>
                <w:sz w:val="24"/>
                <w:szCs w:val="24"/>
              </w:rPr>
              <w:t>Qaanaaq</w:t>
            </w:r>
          </w:p>
        </w:tc>
        <w:tc>
          <w:tcPr>
            <w:tcW w:w="1953" w:type="dxa"/>
          </w:tcPr>
          <w:p w14:paraId="41C0157C" w14:textId="346EFE24" w:rsidR="00ED66C5" w:rsidRDefault="00ED66C5" w:rsidP="008E5A4B">
            <w:pPr>
              <w:jc w:val="center"/>
              <w:rPr>
                <w:rFonts w:ascii="Times New Roman" w:hAnsi="Times New Roman" w:cs="Times New Roman"/>
                <w:sz w:val="24"/>
                <w:szCs w:val="24"/>
              </w:rPr>
            </w:pPr>
            <w:r>
              <w:rPr>
                <w:rFonts w:ascii="Times New Roman" w:hAnsi="Times New Roman" w:cs="Times New Roman"/>
                <w:sz w:val="24"/>
                <w:szCs w:val="24"/>
              </w:rPr>
              <w:t>55</w:t>
            </w:r>
          </w:p>
        </w:tc>
        <w:tc>
          <w:tcPr>
            <w:tcW w:w="1954" w:type="dxa"/>
          </w:tcPr>
          <w:p w14:paraId="01051BF4" w14:textId="7E1E713D" w:rsidR="00ED66C5" w:rsidRDefault="008E5A4B" w:rsidP="00D76A81">
            <w:pPr>
              <w:jc w:val="center"/>
              <w:rPr>
                <w:rFonts w:ascii="Times New Roman" w:hAnsi="Times New Roman" w:cs="Times New Roman"/>
                <w:sz w:val="24"/>
                <w:szCs w:val="24"/>
              </w:rPr>
            </w:pPr>
            <w:r>
              <w:rPr>
                <w:rFonts w:ascii="Times New Roman" w:hAnsi="Times New Roman" w:cs="Times New Roman"/>
                <w:sz w:val="24"/>
                <w:szCs w:val="24"/>
              </w:rPr>
              <w:t>98</w:t>
            </w:r>
          </w:p>
        </w:tc>
        <w:tc>
          <w:tcPr>
            <w:tcW w:w="3207" w:type="dxa"/>
            <w:shd w:val="clear" w:color="auto" w:fill="FF0000"/>
          </w:tcPr>
          <w:p w14:paraId="3C0E1451" w14:textId="2CA3D252" w:rsidR="00ED66C5" w:rsidRDefault="007649BC" w:rsidP="007649BC">
            <w:pPr>
              <w:jc w:val="center"/>
              <w:rPr>
                <w:rFonts w:ascii="Times New Roman" w:hAnsi="Times New Roman" w:cs="Times New Roman"/>
                <w:sz w:val="24"/>
                <w:szCs w:val="24"/>
              </w:rPr>
            </w:pPr>
            <w:r>
              <w:rPr>
                <w:rFonts w:ascii="Times New Roman" w:hAnsi="Times New Roman" w:cs="Times New Roman"/>
                <w:sz w:val="24"/>
                <w:szCs w:val="24"/>
              </w:rPr>
              <w:t>88 % over rådgivning</w:t>
            </w:r>
          </w:p>
        </w:tc>
      </w:tr>
      <w:tr w:rsidR="00ED66C5" w14:paraId="352EFC8A" w14:textId="77777777" w:rsidTr="007649BC">
        <w:tc>
          <w:tcPr>
            <w:tcW w:w="1953" w:type="dxa"/>
          </w:tcPr>
          <w:p w14:paraId="1EC75F25" w14:textId="6F0E5E9C" w:rsidR="00ED66C5" w:rsidRDefault="00ED66C5" w:rsidP="00B249D0">
            <w:pPr>
              <w:rPr>
                <w:rFonts w:ascii="Times New Roman" w:hAnsi="Times New Roman" w:cs="Times New Roman"/>
                <w:sz w:val="24"/>
                <w:szCs w:val="24"/>
              </w:rPr>
            </w:pPr>
            <w:r>
              <w:rPr>
                <w:rFonts w:ascii="Times New Roman" w:hAnsi="Times New Roman" w:cs="Times New Roman"/>
                <w:sz w:val="24"/>
                <w:szCs w:val="24"/>
              </w:rPr>
              <w:t>Melvillebugten</w:t>
            </w:r>
          </w:p>
        </w:tc>
        <w:tc>
          <w:tcPr>
            <w:tcW w:w="1953" w:type="dxa"/>
          </w:tcPr>
          <w:p w14:paraId="6199DAA5" w14:textId="45A1722E" w:rsidR="00ED66C5" w:rsidRDefault="00ED66C5" w:rsidP="008E5A4B">
            <w:pPr>
              <w:jc w:val="center"/>
              <w:rPr>
                <w:rFonts w:ascii="Times New Roman" w:hAnsi="Times New Roman" w:cs="Times New Roman"/>
                <w:sz w:val="24"/>
                <w:szCs w:val="24"/>
              </w:rPr>
            </w:pPr>
            <w:r>
              <w:rPr>
                <w:rFonts w:ascii="Times New Roman" w:hAnsi="Times New Roman" w:cs="Times New Roman"/>
                <w:sz w:val="24"/>
                <w:szCs w:val="24"/>
              </w:rPr>
              <w:t>24</w:t>
            </w:r>
          </w:p>
        </w:tc>
        <w:tc>
          <w:tcPr>
            <w:tcW w:w="1954" w:type="dxa"/>
          </w:tcPr>
          <w:p w14:paraId="6665D25E" w14:textId="55E71EA0" w:rsidR="00ED66C5" w:rsidRDefault="008E5A4B" w:rsidP="00D76A81">
            <w:pPr>
              <w:jc w:val="center"/>
              <w:rPr>
                <w:rFonts w:ascii="Times New Roman" w:hAnsi="Times New Roman" w:cs="Times New Roman"/>
                <w:sz w:val="24"/>
                <w:szCs w:val="24"/>
              </w:rPr>
            </w:pPr>
            <w:r>
              <w:rPr>
                <w:rFonts w:ascii="Times New Roman" w:hAnsi="Times New Roman" w:cs="Times New Roman"/>
                <w:sz w:val="24"/>
                <w:szCs w:val="24"/>
              </w:rPr>
              <w:t>143*</w:t>
            </w:r>
          </w:p>
        </w:tc>
        <w:tc>
          <w:tcPr>
            <w:tcW w:w="3207" w:type="dxa"/>
            <w:shd w:val="clear" w:color="auto" w:fill="FF0000"/>
          </w:tcPr>
          <w:p w14:paraId="6B444599" w14:textId="59314188" w:rsidR="00ED66C5" w:rsidRDefault="007649BC" w:rsidP="007649BC">
            <w:pPr>
              <w:jc w:val="center"/>
              <w:rPr>
                <w:rFonts w:ascii="Times New Roman" w:hAnsi="Times New Roman" w:cs="Times New Roman"/>
                <w:sz w:val="24"/>
                <w:szCs w:val="24"/>
              </w:rPr>
            </w:pPr>
            <w:r>
              <w:rPr>
                <w:rFonts w:ascii="Times New Roman" w:hAnsi="Times New Roman" w:cs="Times New Roman"/>
                <w:sz w:val="24"/>
                <w:szCs w:val="24"/>
              </w:rPr>
              <w:t>496 % over rådgivning</w:t>
            </w:r>
          </w:p>
        </w:tc>
      </w:tr>
      <w:tr w:rsidR="00ED66C5" w14:paraId="5D3C7143" w14:textId="77777777" w:rsidTr="007649BC">
        <w:tc>
          <w:tcPr>
            <w:tcW w:w="1953" w:type="dxa"/>
          </w:tcPr>
          <w:p w14:paraId="669AFAA5" w14:textId="53D1143A" w:rsidR="00ED66C5" w:rsidRDefault="00ED66C5" w:rsidP="00B249D0">
            <w:pPr>
              <w:rPr>
                <w:rFonts w:ascii="Times New Roman" w:hAnsi="Times New Roman" w:cs="Times New Roman"/>
                <w:sz w:val="24"/>
                <w:szCs w:val="24"/>
              </w:rPr>
            </w:pPr>
            <w:r>
              <w:rPr>
                <w:rFonts w:ascii="Times New Roman" w:hAnsi="Times New Roman" w:cs="Times New Roman"/>
                <w:sz w:val="24"/>
                <w:szCs w:val="24"/>
              </w:rPr>
              <w:t>Uummannaq</w:t>
            </w:r>
          </w:p>
        </w:tc>
        <w:tc>
          <w:tcPr>
            <w:tcW w:w="1953" w:type="dxa"/>
          </w:tcPr>
          <w:p w14:paraId="628E74D7" w14:textId="4A7A0A8C" w:rsidR="00ED66C5" w:rsidRDefault="00ED66C5" w:rsidP="008E5A4B">
            <w:pPr>
              <w:jc w:val="center"/>
              <w:rPr>
                <w:rFonts w:ascii="Times New Roman" w:hAnsi="Times New Roman" w:cs="Times New Roman"/>
                <w:sz w:val="24"/>
                <w:szCs w:val="24"/>
              </w:rPr>
            </w:pPr>
            <w:r>
              <w:rPr>
                <w:rFonts w:ascii="Times New Roman" w:hAnsi="Times New Roman" w:cs="Times New Roman"/>
                <w:sz w:val="24"/>
                <w:szCs w:val="24"/>
              </w:rPr>
              <w:t>123</w:t>
            </w:r>
          </w:p>
        </w:tc>
        <w:tc>
          <w:tcPr>
            <w:tcW w:w="1954" w:type="dxa"/>
          </w:tcPr>
          <w:p w14:paraId="0E254156" w14:textId="4CF4CC94" w:rsidR="00ED66C5" w:rsidRDefault="00D76A81" w:rsidP="00D76A81">
            <w:pPr>
              <w:jc w:val="center"/>
              <w:rPr>
                <w:rFonts w:ascii="Times New Roman" w:hAnsi="Times New Roman" w:cs="Times New Roman"/>
                <w:sz w:val="24"/>
                <w:szCs w:val="24"/>
              </w:rPr>
            </w:pPr>
            <w:r>
              <w:rPr>
                <w:rFonts w:ascii="Times New Roman" w:hAnsi="Times New Roman" w:cs="Times New Roman"/>
                <w:sz w:val="24"/>
                <w:szCs w:val="24"/>
              </w:rPr>
              <w:t>154</w:t>
            </w:r>
          </w:p>
        </w:tc>
        <w:tc>
          <w:tcPr>
            <w:tcW w:w="3207" w:type="dxa"/>
            <w:shd w:val="clear" w:color="auto" w:fill="FF0000"/>
          </w:tcPr>
          <w:p w14:paraId="464842EE" w14:textId="51ABEE33" w:rsidR="00ED66C5" w:rsidRDefault="007649BC" w:rsidP="007649BC">
            <w:pPr>
              <w:jc w:val="center"/>
              <w:rPr>
                <w:rFonts w:ascii="Times New Roman" w:hAnsi="Times New Roman" w:cs="Times New Roman"/>
                <w:sz w:val="24"/>
                <w:szCs w:val="24"/>
              </w:rPr>
            </w:pPr>
            <w:r>
              <w:rPr>
                <w:rFonts w:ascii="Times New Roman" w:hAnsi="Times New Roman" w:cs="Times New Roman"/>
                <w:sz w:val="24"/>
                <w:szCs w:val="24"/>
              </w:rPr>
              <w:t>25 % over rådgivning</w:t>
            </w:r>
          </w:p>
        </w:tc>
      </w:tr>
      <w:tr w:rsidR="00ED66C5" w14:paraId="393B3E55" w14:textId="77777777" w:rsidTr="007649BC">
        <w:tc>
          <w:tcPr>
            <w:tcW w:w="1953" w:type="dxa"/>
          </w:tcPr>
          <w:p w14:paraId="72D1F825" w14:textId="7DB319B6" w:rsidR="00ED66C5" w:rsidRDefault="00ED66C5" w:rsidP="00B249D0">
            <w:pPr>
              <w:rPr>
                <w:rFonts w:ascii="Times New Roman" w:hAnsi="Times New Roman" w:cs="Times New Roman"/>
                <w:sz w:val="24"/>
                <w:szCs w:val="24"/>
              </w:rPr>
            </w:pPr>
            <w:r>
              <w:rPr>
                <w:rFonts w:ascii="Times New Roman" w:hAnsi="Times New Roman" w:cs="Times New Roman"/>
                <w:sz w:val="24"/>
                <w:szCs w:val="24"/>
              </w:rPr>
              <w:t>Diskobugten</w:t>
            </w:r>
          </w:p>
        </w:tc>
        <w:tc>
          <w:tcPr>
            <w:tcW w:w="1953" w:type="dxa"/>
          </w:tcPr>
          <w:p w14:paraId="7C29975A" w14:textId="081D002C" w:rsidR="00ED66C5" w:rsidRDefault="00ED66C5" w:rsidP="008E5A4B">
            <w:pPr>
              <w:jc w:val="center"/>
              <w:rPr>
                <w:rFonts w:ascii="Times New Roman" w:hAnsi="Times New Roman" w:cs="Times New Roman"/>
                <w:sz w:val="24"/>
                <w:szCs w:val="24"/>
              </w:rPr>
            </w:pPr>
            <w:r>
              <w:rPr>
                <w:rFonts w:ascii="Times New Roman" w:hAnsi="Times New Roman" w:cs="Times New Roman"/>
                <w:sz w:val="24"/>
                <w:szCs w:val="24"/>
              </w:rPr>
              <w:t>54</w:t>
            </w:r>
          </w:p>
        </w:tc>
        <w:tc>
          <w:tcPr>
            <w:tcW w:w="1954" w:type="dxa"/>
          </w:tcPr>
          <w:p w14:paraId="62A057E5" w14:textId="0752A4FB" w:rsidR="00ED66C5" w:rsidRDefault="00D76A81" w:rsidP="00D76A81">
            <w:pPr>
              <w:jc w:val="center"/>
              <w:rPr>
                <w:rFonts w:ascii="Times New Roman" w:hAnsi="Times New Roman" w:cs="Times New Roman"/>
                <w:sz w:val="24"/>
                <w:szCs w:val="24"/>
              </w:rPr>
            </w:pPr>
            <w:r>
              <w:rPr>
                <w:rFonts w:ascii="Times New Roman" w:hAnsi="Times New Roman" w:cs="Times New Roman"/>
                <w:sz w:val="24"/>
                <w:szCs w:val="24"/>
              </w:rPr>
              <w:t>88</w:t>
            </w:r>
          </w:p>
        </w:tc>
        <w:tc>
          <w:tcPr>
            <w:tcW w:w="3207" w:type="dxa"/>
            <w:shd w:val="clear" w:color="auto" w:fill="FF0000"/>
          </w:tcPr>
          <w:p w14:paraId="3C58E44D" w14:textId="4BDDF4AA" w:rsidR="00ED66C5" w:rsidRDefault="007649BC" w:rsidP="007649BC">
            <w:pPr>
              <w:jc w:val="center"/>
              <w:rPr>
                <w:rFonts w:ascii="Times New Roman" w:hAnsi="Times New Roman" w:cs="Times New Roman"/>
                <w:sz w:val="24"/>
                <w:szCs w:val="24"/>
              </w:rPr>
            </w:pPr>
            <w:r>
              <w:rPr>
                <w:rFonts w:ascii="Times New Roman" w:hAnsi="Times New Roman" w:cs="Times New Roman"/>
                <w:sz w:val="24"/>
                <w:szCs w:val="24"/>
              </w:rPr>
              <w:t>39 % over rådgivning</w:t>
            </w:r>
          </w:p>
        </w:tc>
      </w:tr>
      <w:tr w:rsidR="00ED66C5" w14:paraId="632DDCDF" w14:textId="77777777" w:rsidTr="007649BC">
        <w:tc>
          <w:tcPr>
            <w:tcW w:w="1953" w:type="dxa"/>
          </w:tcPr>
          <w:p w14:paraId="2823C4B0" w14:textId="593BDD38" w:rsidR="00ED66C5" w:rsidRDefault="00ED66C5" w:rsidP="00B249D0">
            <w:pPr>
              <w:rPr>
                <w:rFonts w:ascii="Times New Roman" w:hAnsi="Times New Roman" w:cs="Times New Roman"/>
                <w:sz w:val="24"/>
                <w:szCs w:val="24"/>
              </w:rPr>
            </w:pPr>
            <w:r>
              <w:rPr>
                <w:rFonts w:ascii="Times New Roman" w:hAnsi="Times New Roman" w:cs="Times New Roman"/>
                <w:sz w:val="24"/>
                <w:szCs w:val="24"/>
              </w:rPr>
              <w:t>Ittoqqortoormiit</w:t>
            </w:r>
          </w:p>
        </w:tc>
        <w:tc>
          <w:tcPr>
            <w:tcW w:w="1953" w:type="dxa"/>
          </w:tcPr>
          <w:p w14:paraId="7F3D6981" w14:textId="378E3E46" w:rsidR="00ED66C5" w:rsidRDefault="008E5A4B" w:rsidP="008E5A4B">
            <w:pPr>
              <w:jc w:val="center"/>
              <w:rPr>
                <w:rFonts w:ascii="Times New Roman" w:hAnsi="Times New Roman" w:cs="Times New Roman"/>
                <w:sz w:val="24"/>
                <w:szCs w:val="24"/>
              </w:rPr>
            </w:pPr>
            <w:r>
              <w:rPr>
                <w:rFonts w:ascii="Times New Roman" w:hAnsi="Times New Roman" w:cs="Times New Roman"/>
                <w:sz w:val="24"/>
                <w:szCs w:val="24"/>
              </w:rPr>
              <w:t>0</w:t>
            </w:r>
          </w:p>
        </w:tc>
        <w:tc>
          <w:tcPr>
            <w:tcW w:w="1954" w:type="dxa"/>
          </w:tcPr>
          <w:p w14:paraId="72056455" w14:textId="13A5B4AC" w:rsidR="00ED66C5" w:rsidRDefault="00D76A81" w:rsidP="00D76A81">
            <w:pPr>
              <w:jc w:val="center"/>
              <w:rPr>
                <w:rFonts w:ascii="Times New Roman" w:hAnsi="Times New Roman" w:cs="Times New Roman"/>
                <w:sz w:val="24"/>
                <w:szCs w:val="24"/>
              </w:rPr>
            </w:pPr>
            <w:r>
              <w:rPr>
                <w:rFonts w:ascii="Times New Roman" w:hAnsi="Times New Roman" w:cs="Times New Roman"/>
                <w:sz w:val="24"/>
                <w:szCs w:val="24"/>
              </w:rPr>
              <w:t>20</w:t>
            </w:r>
          </w:p>
        </w:tc>
        <w:tc>
          <w:tcPr>
            <w:tcW w:w="3207" w:type="dxa"/>
            <w:shd w:val="clear" w:color="auto" w:fill="FF0000"/>
          </w:tcPr>
          <w:p w14:paraId="53E7156D" w14:textId="15DCDDD9" w:rsidR="00ED66C5" w:rsidRDefault="007649BC" w:rsidP="00B249D0">
            <w:pPr>
              <w:rPr>
                <w:rFonts w:ascii="Times New Roman" w:hAnsi="Times New Roman" w:cs="Times New Roman"/>
                <w:sz w:val="24"/>
                <w:szCs w:val="24"/>
              </w:rPr>
            </w:pPr>
            <w:r>
              <w:rPr>
                <w:rFonts w:ascii="Times New Roman" w:hAnsi="Times New Roman" w:cs="Times New Roman"/>
                <w:sz w:val="24"/>
                <w:szCs w:val="24"/>
              </w:rPr>
              <w:t>Bestand kan ikke bære fangst</w:t>
            </w:r>
          </w:p>
        </w:tc>
      </w:tr>
      <w:tr w:rsidR="00ED66C5" w14:paraId="508DF90D" w14:textId="77777777" w:rsidTr="007649BC">
        <w:tc>
          <w:tcPr>
            <w:tcW w:w="1953" w:type="dxa"/>
          </w:tcPr>
          <w:p w14:paraId="717F54E3" w14:textId="62DDDE57" w:rsidR="00ED66C5" w:rsidRDefault="00ED66C5" w:rsidP="00B249D0">
            <w:pPr>
              <w:rPr>
                <w:rFonts w:ascii="Times New Roman" w:hAnsi="Times New Roman" w:cs="Times New Roman"/>
                <w:sz w:val="24"/>
                <w:szCs w:val="24"/>
              </w:rPr>
            </w:pPr>
            <w:r>
              <w:rPr>
                <w:rFonts w:ascii="Times New Roman" w:hAnsi="Times New Roman" w:cs="Times New Roman"/>
                <w:sz w:val="24"/>
                <w:szCs w:val="24"/>
              </w:rPr>
              <w:t>Kangerlussuaq</w:t>
            </w:r>
          </w:p>
        </w:tc>
        <w:tc>
          <w:tcPr>
            <w:tcW w:w="1953" w:type="dxa"/>
          </w:tcPr>
          <w:p w14:paraId="3CE88EA9" w14:textId="66F7CFB4" w:rsidR="00ED66C5" w:rsidRDefault="008E5A4B" w:rsidP="008E5A4B">
            <w:pPr>
              <w:jc w:val="center"/>
              <w:rPr>
                <w:rFonts w:ascii="Times New Roman" w:hAnsi="Times New Roman" w:cs="Times New Roman"/>
                <w:sz w:val="24"/>
                <w:szCs w:val="24"/>
              </w:rPr>
            </w:pPr>
            <w:r>
              <w:rPr>
                <w:rFonts w:ascii="Times New Roman" w:hAnsi="Times New Roman" w:cs="Times New Roman"/>
                <w:sz w:val="24"/>
                <w:szCs w:val="24"/>
              </w:rPr>
              <w:t>0</w:t>
            </w:r>
          </w:p>
        </w:tc>
        <w:tc>
          <w:tcPr>
            <w:tcW w:w="1954" w:type="dxa"/>
          </w:tcPr>
          <w:p w14:paraId="40B5CF86" w14:textId="3F0E61CC" w:rsidR="00ED66C5" w:rsidRDefault="00D76A81" w:rsidP="00D76A81">
            <w:pPr>
              <w:jc w:val="center"/>
              <w:rPr>
                <w:rFonts w:ascii="Times New Roman" w:hAnsi="Times New Roman" w:cs="Times New Roman"/>
                <w:sz w:val="24"/>
                <w:szCs w:val="24"/>
              </w:rPr>
            </w:pPr>
            <w:r>
              <w:rPr>
                <w:rFonts w:ascii="Times New Roman" w:hAnsi="Times New Roman" w:cs="Times New Roman"/>
                <w:sz w:val="24"/>
                <w:szCs w:val="24"/>
              </w:rPr>
              <w:t>20</w:t>
            </w:r>
          </w:p>
        </w:tc>
        <w:tc>
          <w:tcPr>
            <w:tcW w:w="3207" w:type="dxa"/>
            <w:shd w:val="clear" w:color="auto" w:fill="FF0000"/>
          </w:tcPr>
          <w:p w14:paraId="19E71143" w14:textId="65F75F07" w:rsidR="00ED66C5" w:rsidRDefault="007649BC" w:rsidP="00B249D0">
            <w:pPr>
              <w:rPr>
                <w:rFonts w:ascii="Times New Roman" w:hAnsi="Times New Roman" w:cs="Times New Roman"/>
                <w:sz w:val="24"/>
                <w:szCs w:val="24"/>
              </w:rPr>
            </w:pPr>
            <w:r>
              <w:rPr>
                <w:rFonts w:ascii="Times New Roman" w:hAnsi="Times New Roman" w:cs="Times New Roman"/>
                <w:sz w:val="24"/>
                <w:szCs w:val="24"/>
              </w:rPr>
              <w:t>Bestand kan ikke bære fangst</w:t>
            </w:r>
          </w:p>
        </w:tc>
      </w:tr>
      <w:tr w:rsidR="00ED66C5" w14:paraId="7E6CC679" w14:textId="77777777" w:rsidTr="007649BC">
        <w:tc>
          <w:tcPr>
            <w:tcW w:w="1953" w:type="dxa"/>
          </w:tcPr>
          <w:p w14:paraId="71984D06" w14:textId="02F046CA" w:rsidR="00ED66C5" w:rsidRDefault="00ED66C5" w:rsidP="00B249D0">
            <w:pPr>
              <w:rPr>
                <w:rFonts w:ascii="Times New Roman" w:hAnsi="Times New Roman" w:cs="Times New Roman"/>
                <w:sz w:val="24"/>
                <w:szCs w:val="24"/>
              </w:rPr>
            </w:pPr>
            <w:r>
              <w:rPr>
                <w:rFonts w:ascii="Times New Roman" w:hAnsi="Times New Roman" w:cs="Times New Roman"/>
                <w:sz w:val="24"/>
                <w:szCs w:val="24"/>
              </w:rPr>
              <w:t>Tasiilaq</w:t>
            </w:r>
          </w:p>
        </w:tc>
        <w:tc>
          <w:tcPr>
            <w:tcW w:w="1953" w:type="dxa"/>
          </w:tcPr>
          <w:p w14:paraId="7ACFCF32" w14:textId="4BE82925" w:rsidR="00ED66C5" w:rsidRDefault="008E5A4B" w:rsidP="008E5A4B">
            <w:pPr>
              <w:jc w:val="center"/>
              <w:rPr>
                <w:rFonts w:ascii="Times New Roman" w:hAnsi="Times New Roman" w:cs="Times New Roman"/>
                <w:sz w:val="24"/>
                <w:szCs w:val="24"/>
              </w:rPr>
            </w:pPr>
            <w:r>
              <w:rPr>
                <w:rFonts w:ascii="Times New Roman" w:hAnsi="Times New Roman" w:cs="Times New Roman"/>
                <w:sz w:val="24"/>
                <w:szCs w:val="24"/>
              </w:rPr>
              <w:t>0</w:t>
            </w:r>
          </w:p>
        </w:tc>
        <w:tc>
          <w:tcPr>
            <w:tcW w:w="1954" w:type="dxa"/>
          </w:tcPr>
          <w:p w14:paraId="114CA049" w14:textId="67F1A447" w:rsidR="00ED66C5" w:rsidRDefault="00D76A81" w:rsidP="00D76A81">
            <w:pPr>
              <w:jc w:val="center"/>
              <w:rPr>
                <w:rFonts w:ascii="Times New Roman" w:hAnsi="Times New Roman" w:cs="Times New Roman"/>
                <w:sz w:val="24"/>
                <w:szCs w:val="24"/>
              </w:rPr>
            </w:pPr>
            <w:r>
              <w:rPr>
                <w:rFonts w:ascii="Times New Roman" w:hAnsi="Times New Roman" w:cs="Times New Roman"/>
                <w:sz w:val="24"/>
                <w:szCs w:val="24"/>
              </w:rPr>
              <w:t>10</w:t>
            </w:r>
          </w:p>
        </w:tc>
        <w:tc>
          <w:tcPr>
            <w:tcW w:w="3207" w:type="dxa"/>
            <w:shd w:val="clear" w:color="auto" w:fill="FF0000"/>
          </w:tcPr>
          <w:p w14:paraId="43ADD262" w14:textId="5E057B5D" w:rsidR="00ED66C5" w:rsidRDefault="007649BC" w:rsidP="00B249D0">
            <w:pPr>
              <w:rPr>
                <w:rFonts w:ascii="Times New Roman" w:hAnsi="Times New Roman" w:cs="Times New Roman"/>
                <w:sz w:val="24"/>
                <w:szCs w:val="24"/>
              </w:rPr>
            </w:pPr>
            <w:r>
              <w:rPr>
                <w:rFonts w:ascii="Times New Roman" w:hAnsi="Times New Roman" w:cs="Times New Roman"/>
                <w:sz w:val="24"/>
                <w:szCs w:val="24"/>
              </w:rPr>
              <w:t>Bestand kan ikke bære fangst</w:t>
            </w:r>
          </w:p>
        </w:tc>
      </w:tr>
    </w:tbl>
    <w:p w14:paraId="55915DEC" w14:textId="65090CB7" w:rsidR="00ED66C5" w:rsidRPr="008E5A4B" w:rsidRDefault="008E5A4B" w:rsidP="00B249D0">
      <w:pPr>
        <w:rPr>
          <w:rFonts w:ascii="Times New Roman" w:hAnsi="Times New Roman" w:cs="Times New Roman"/>
          <w:sz w:val="20"/>
          <w:szCs w:val="20"/>
        </w:rPr>
      </w:pPr>
      <w:r w:rsidRPr="008E5A4B">
        <w:rPr>
          <w:rFonts w:ascii="Times New Roman" w:hAnsi="Times New Roman" w:cs="Times New Roman"/>
          <w:sz w:val="20"/>
          <w:szCs w:val="20"/>
        </w:rPr>
        <w:t xml:space="preserve">*110+15+18 narhvaler fra </w:t>
      </w:r>
      <w:proofErr w:type="spellStart"/>
      <w:r w:rsidRPr="008E5A4B">
        <w:rPr>
          <w:rFonts w:ascii="Times New Roman" w:hAnsi="Times New Roman" w:cs="Times New Roman"/>
          <w:sz w:val="20"/>
          <w:szCs w:val="20"/>
        </w:rPr>
        <w:t>Melvillebugtbestanden</w:t>
      </w:r>
      <w:proofErr w:type="spellEnd"/>
      <w:r w:rsidRPr="008E5A4B">
        <w:rPr>
          <w:rFonts w:ascii="Times New Roman" w:hAnsi="Times New Roman" w:cs="Times New Roman"/>
          <w:sz w:val="20"/>
          <w:szCs w:val="20"/>
        </w:rPr>
        <w:t xml:space="preserve"> fanget i hhv. Melvillebugten, Uummannaq og Diskobugten</w:t>
      </w:r>
    </w:p>
    <w:p w14:paraId="07F21533" w14:textId="77777777" w:rsidR="00ED66C5" w:rsidRDefault="00ED66C5" w:rsidP="00B249D0">
      <w:pPr>
        <w:rPr>
          <w:rFonts w:ascii="Times New Roman" w:hAnsi="Times New Roman" w:cs="Times New Roman"/>
          <w:sz w:val="24"/>
          <w:szCs w:val="24"/>
        </w:rPr>
      </w:pPr>
    </w:p>
    <w:p w14:paraId="08238B25" w14:textId="3A694242" w:rsidR="00D22819" w:rsidRDefault="00B249D0" w:rsidP="00D22819">
      <w:pPr>
        <w:rPr>
          <w:rFonts w:ascii="Times New Roman" w:hAnsi="Times New Roman" w:cs="Times New Roman"/>
          <w:sz w:val="24"/>
          <w:szCs w:val="24"/>
        </w:rPr>
      </w:pPr>
      <w:r w:rsidRPr="00DB7590">
        <w:rPr>
          <w:rFonts w:ascii="Times New Roman" w:hAnsi="Times New Roman" w:cs="Times New Roman"/>
          <w:sz w:val="24"/>
          <w:szCs w:val="24"/>
        </w:rPr>
        <w:t>De seneste biologiske undersøgelser har vist en markant tilbagegang i narhvalbestandene i Melvillebugten, Tasiilaq, Kangerlussuaq og Scoresbysund Fjord.</w:t>
      </w:r>
      <w:r w:rsidR="006E11A7">
        <w:rPr>
          <w:rFonts w:ascii="Times New Roman" w:hAnsi="Times New Roman" w:cs="Times New Roman"/>
          <w:sz w:val="24"/>
          <w:szCs w:val="24"/>
        </w:rPr>
        <w:t xml:space="preserve"> </w:t>
      </w:r>
      <w:r w:rsidR="00D22819">
        <w:rPr>
          <w:rFonts w:ascii="Times New Roman" w:hAnsi="Times New Roman" w:cs="Times New Roman"/>
          <w:sz w:val="24"/>
          <w:szCs w:val="24"/>
        </w:rPr>
        <w:t xml:space="preserve">Narhvalbestanden i </w:t>
      </w:r>
      <w:r w:rsidR="00D22819" w:rsidRPr="00DB7590">
        <w:rPr>
          <w:rFonts w:ascii="Times New Roman" w:hAnsi="Times New Roman" w:cs="Times New Roman"/>
          <w:sz w:val="24"/>
          <w:szCs w:val="24"/>
        </w:rPr>
        <w:t xml:space="preserve">Melville Bugtbugten </w:t>
      </w:r>
      <w:r w:rsidR="00D22819">
        <w:rPr>
          <w:rFonts w:ascii="Times New Roman" w:hAnsi="Times New Roman" w:cs="Times New Roman"/>
          <w:sz w:val="24"/>
          <w:szCs w:val="24"/>
        </w:rPr>
        <w:t>er</w:t>
      </w:r>
      <w:r w:rsidR="00D22819" w:rsidRPr="00DB7590">
        <w:rPr>
          <w:rFonts w:ascii="Times New Roman" w:hAnsi="Times New Roman" w:cs="Times New Roman"/>
          <w:sz w:val="24"/>
          <w:szCs w:val="24"/>
        </w:rPr>
        <w:t xml:space="preserve"> således reduceret til 25 % af sin oprindelige størrelse</w:t>
      </w:r>
      <w:r w:rsidR="00D22819">
        <w:rPr>
          <w:rFonts w:ascii="Times New Roman" w:hAnsi="Times New Roman" w:cs="Times New Roman"/>
          <w:sz w:val="24"/>
          <w:szCs w:val="24"/>
        </w:rPr>
        <w:t>, og der bør samlet</w:t>
      </w:r>
      <w:r w:rsidR="00D22819" w:rsidRPr="00DB7590">
        <w:rPr>
          <w:rFonts w:ascii="Times New Roman" w:hAnsi="Times New Roman" w:cs="Times New Roman"/>
          <w:sz w:val="24"/>
          <w:szCs w:val="24"/>
        </w:rPr>
        <w:t xml:space="preserve"> set ikke fanges mere end 24 narhvaler per år fra </w:t>
      </w:r>
      <w:r w:rsidR="00D22819">
        <w:rPr>
          <w:rFonts w:ascii="Times New Roman" w:hAnsi="Times New Roman" w:cs="Times New Roman"/>
          <w:sz w:val="24"/>
          <w:szCs w:val="24"/>
        </w:rPr>
        <w:t xml:space="preserve">denne </w:t>
      </w:r>
      <w:r w:rsidR="00D22819" w:rsidRPr="00DB7590">
        <w:rPr>
          <w:rFonts w:ascii="Times New Roman" w:hAnsi="Times New Roman" w:cs="Times New Roman"/>
          <w:sz w:val="24"/>
          <w:szCs w:val="24"/>
        </w:rPr>
        <w:t xml:space="preserve">bestand. </w:t>
      </w:r>
      <w:r w:rsidR="00D22819">
        <w:rPr>
          <w:rFonts w:ascii="Times New Roman" w:hAnsi="Times New Roman" w:cs="Times New Roman"/>
          <w:sz w:val="24"/>
          <w:szCs w:val="24"/>
        </w:rPr>
        <w:t xml:space="preserve">Narhvalbestandene ved </w:t>
      </w:r>
      <w:r w:rsidR="00D22819" w:rsidRPr="00DB7590">
        <w:rPr>
          <w:rFonts w:ascii="Times New Roman" w:hAnsi="Times New Roman" w:cs="Times New Roman"/>
          <w:sz w:val="24"/>
          <w:szCs w:val="24"/>
        </w:rPr>
        <w:t>Tasiilaq, Kangerlussuaq og Scoresbysund Fjord</w:t>
      </w:r>
      <w:r w:rsidR="00D22819">
        <w:rPr>
          <w:rFonts w:ascii="Times New Roman" w:hAnsi="Times New Roman" w:cs="Times New Roman"/>
          <w:sz w:val="24"/>
          <w:szCs w:val="24"/>
        </w:rPr>
        <w:t xml:space="preserve"> er reduceret til et niveau, hvor det ikke længere er muligt at udnytte bestandene bæredygtigt, da tilvæksten i bestandene er så lav, at den ikke kan opveje fangst. </w:t>
      </w:r>
    </w:p>
    <w:p w14:paraId="1C3D64A3" w14:textId="77777777" w:rsidR="00D22819" w:rsidRPr="00DB7590" w:rsidRDefault="00D22819" w:rsidP="00D22819">
      <w:pPr>
        <w:rPr>
          <w:rFonts w:ascii="Times New Roman" w:hAnsi="Times New Roman" w:cs="Times New Roman"/>
          <w:sz w:val="24"/>
          <w:szCs w:val="24"/>
        </w:rPr>
      </w:pPr>
    </w:p>
    <w:p w14:paraId="444D8B47" w14:textId="569DC82E" w:rsidR="00DB7590" w:rsidRDefault="00EC1A73" w:rsidP="00DB7590">
      <w:pPr>
        <w:rPr>
          <w:rFonts w:ascii="Times New Roman" w:hAnsi="Times New Roman" w:cs="Times New Roman"/>
          <w:sz w:val="24"/>
          <w:szCs w:val="24"/>
        </w:rPr>
      </w:pPr>
      <w:r>
        <w:rPr>
          <w:rFonts w:ascii="Times New Roman" w:hAnsi="Times New Roman" w:cs="Times New Roman"/>
          <w:sz w:val="24"/>
          <w:szCs w:val="24"/>
        </w:rPr>
        <w:t xml:space="preserve">Kvoteforslaget </w:t>
      </w:r>
      <w:r w:rsidR="00DB7590" w:rsidRPr="00DB7590">
        <w:rPr>
          <w:rFonts w:ascii="Times New Roman" w:hAnsi="Times New Roman" w:cs="Times New Roman"/>
          <w:sz w:val="24"/>
          <w:szCs w:val="24"/>
        </w:rPr>
        <w:t xml:space="preserve">kan </w:t>
      </w:r>
      <w:r>
        <w:rPr>
          <w:rFonts w:ascii="Times New Roman" w:hAnsi="Times New Roman" w:cs="Times New Roman"/>
          <w:sz w:val="24"/>
          <w:szCs w:val="24"/>
        </w:rPr>
        <w:t xml:space="preserve">derfor forventes at </w:t>
      </w:r>
      <w:r w:rsidR="00DB7590" w:rsidRPr="00DB7590">
        <w:rPr>
          <w:rFonts w:ascii="Times New Roman" w:hAnsi="Times New Roman" w:cs="Times New Roman"/>
          <w:sz w:val="24"/>
          <w:szCs w:val="24"/>
        </w:rPr>
        <w:t>medføre yderligere tilbagegang i d</w:t>
      </w:r>
      <w:r w:rsidR="006E11A7">
        <w:rPr>
          <w:rFonts w:ascii="Times New Roman" w:hAnsi="Times New Roman" w:cs="Times New Roman"/>
          <w:sz w:val="24"/>
          <w:szCs w:val="24"/>
        </w:rPr>
        <w:t>iss</w:t>
      </w:r>
      <w:r w:rsidR="00DB7590" w:rsidRPr="00DB7590">
        <w:rPr>
          <w:rFonts w:ascii="Times New Roman" w:hAnsi="Times New Roman" w:cs="Times New Roman"/>
          <w:sz w:val="24"/>
          <w:szCs w:val="24"/>
        </w:rPr>
        <w:t>e kritisk små bestande.</w:t>
      </w:r>
    </w:p>
    <w:p w14:paraId="4A297B75" w14:textId="787733FE" w:rsidR="00D15685" w:rsidRDefault="00DB7590" w:rsidP="00DB7590">
      <w:pPr>
        <w:rPr>
          <w:rFonts w:ascii="Times New Roman" w:hAnsi="Times New Roman" w:cs="Times New Roman"/>
          <w:sz w:val="24"/>
          <w:szCs w:val="24"/>
        </w:rPr>
      </w:pPr>
      <w:r w:rsidRPr="00DB7590">
        <w:rPr>
          <w:rFonts w:ascii="Times New Roman" w:hAnsi="Times New Roman" w:cs="Times New Roman"/>
          <w:sz w:val="24"/>
          <w:szCs w:val="24"/>
        </w:rPr>
        <w:t xml:space="preserve">Det fremgår ikke af </w:t>
      </w:r>
      <w:r w:rsidR="00EC1A73">
        <w:rPr>
          <w:rFonts w:ascii="Times New Roman" w:hAnsi="Times New Roman" w:cs="Times New Roman"/>
          <w:sz w:val="24"/>
          <w:szCs w:val="24"/>
        </w:rPr>
        <w:t>oplægget</w:t>
      </w:r>
      <w:r w:rsidRPr="00DB7590">
        <w:rPr>
          <w:rFonts w:ascii="Times New Roman" w:hAnsi="Times New Roman" w:cs="Times New Roman"/>
          <w:sz w:val="24"/>
          <w:szCs w:val="24"/>
        </w:rPr>
        <w:t>, hvad der ligger til grund for kvoteforslaget, og den langsigtede bæredygtighed af de foreslåede kvoter er ikke underbygget i kvoteforslaget</w:t>
      </w:r>
      <w:r w:rsidR="00B249D0">
        <w:rPr>
          <w:rFonts w:ascii="Times New Roman" w:hAnsi="Times New Roman" w:cs="Times New Roman"/>
          <w:sz w:val="24"/>
          <w:szCs w:val="24"/>
        </w:rPr>
        <w:t>.</w:t>
      </w:r>
    </w:p>
    <w:p w14:paraId="101292FC" w14:textId="77777777" w:rsidR="005B095F" w:rsidRDefault="005B095F" w:rsidP="00DB7590">
      <w:pPr>
        <w:rPr>
          <w:rFonts w:ascii="Times New Roman" w:hAnsi="Times New Roman" w:cs="Times New Roman"/>
          <w:sz w:val="24"/>
          <w:szCs w:val="24"/>
        </w:rPr>
      </w:pPr>
    </w:p>
    <w:p w14:paraId="6D87B158" w14:textId="673E4230" w:rsidR="00DB7590" w:rsidRDefault="00B249D0" w:rsidP="00DB7590">
      <w:pPr>
        <w:rPr>
          <w:rFonts w:ascii="Times New Roman" w:hAnsi="Times New Roman" w:cs="Times New Roman"/>
          <w:sz w:val="24"/>
          <w:szCs w:val="24"/>
        </w:rPr>
      </w:pPr>
      <w:r w:rsidRPr="00DB7590">
        <w:rPr>
          <w:rFonts w:ascii="Times New Roman" w:hAnsi="Times New Roman" w:cs="Times New Roman"/>
          <w:sz w:val="24"/>
          <w:szCs w:val="24"/>
        </w:rPr>
        <w:t>Departementet for Landbrug, Selvforsyning, Energi og Miljø bemærker, at</w:t>
      </w:r>
      <w:r w:rsidR="009014F5">
        <w:rPr>
          <w:rFonts w:ascii="Times New Roman" w:hAnsi="Times New Roman" w:cs="Times New Roman"/>
          <w:sz w:val="24"/>
          <w:szCs w:val="24"/>
        </w:rPr>
        <w:t xml:space="preserve"> det tydeligt bør fremgå af oplægget til Naalakkersuisut, at de foreslåede kvoter ikke er i overensstemmelse med formålsbestemmelserne i Fangstloven og Naturbeskyttelsesloven, </w:t>
      </w:r>
      <w:r w:rsidR="00DD2EEF">
        <w:rPr>
          <w:rFonts w:ascii="Times New Roman" w:hAnsi="Times New Roman" w:cs="Times New Roman"/>
          <w:sz w:val="24"/>
          <w:szCs w:val="24"/>
        </w:rPr>
        <w:t>og at</w:t>
      </w:r>
      <w:r w:rsidR="009014F5">
        <w:rPr>
          <w:rFonts w:ascii="Times New Roman" w:hAnsi="Times New Roman" w:cs="Times New Roman"/>
          <w:sz w:val="24"/>
          <w:szCs w:val="24"/>
        </w:rPr>
        <w:t xml:space="preserve"> kvote</w:t>
      </w:r>
      <w:r w:rsidR="00DD2EEF">
        <w:rPr>
          <w:rFonts w:ascii="Times New Roman" w:hAnsi="Times New Roman" w:cs="Times New Roman"/>
          <w:sz w:val="24"/>
          <w:szCs w:val="24"/>
        </w:rPr>
        <w:t>forslaget</w:t>
      </w:r>
      <w:r w:rsidR="009014F5">
        <w:rPr>
          <w:rFonts w:ascii="Times New Roman" w:hAnsi="Times New Roman" w:cs="Times New Roman"/>
          <w:sz w:val="24"/>
          <w:szCs w:val="24"/>
        </w:rPr>
        <w:t xml:space="preserve"> ikke understøtter en langsigtet bæredygtig udnyttelse eller tager hensyn til forsigtighedsprincippet.</w:t>
      </w:r>
    </w:p>
    <w:p w14:paraId="1A70B6C9" w14:textId="71211030" w:rsidR="00B249D0" w:rsidRDefault="00B249D0" w:rsidP="00DB7590">
      <w:pPr>
        <w:rPr>
          <w:rFonts w:ascii="Times New Roman" w:hAnsi="Times New Roman" w:cs="Times New Roman"/>
          <w:sz w:val="24"/>
          <w:szCs w:val="24"/>
        </w:rPr>
      </w:pPr>
    </w:p>
    <w:p w14:paraId="23DF730E" w14:textId="697FE89A" w:rsidR="00DB7590" w:rsidRPr="00DB7590" w:rsidRDefault="00DB7590" w:rsidP="00DB7590">
      <w:pPr>
        <w:rPr>
          <w:rFonts w:ascii="Times New Roman" w:hAnsi="Times New Roman" w:cs="Times New Roman"/>
          <w:sz w:val="24"/>
          <w:szCs w:val="24"/>
        </w:rPr>
      </w:pPr>
      <w:r w:rsidRPr="00DB7590">
        <w:rPr>
          <w:rFonts w:ascii="Times New Roman" w:hAnsi="Times New Roman" w:cs="Times New Roman"/>
          <w:sz w:val="24"/>
          <w:szCs w:val="24"/>
        </w:rPr>
        <w:t xml:space="preserve">Departementet for Landbrug, Selvforsyning, Energi og Miljø anbefaler, at den biologiske rådgivning </w:t>
      </w:r>
      <w:r w:rsidR="009014F5">
        <w:rPr>
          <w:rFonts w:ascii="Times New Roman" w:hAnsi="Times New Roman" w:cs="Times New Roman"/>
          <w:sz w:val="24"/>
          <w:szCs w:val="24"/>
        </w:rPr>
        <w:t xml:space="preserve">og forsigtighedsprincippet </w:t>
      </w:r>
      <w:r w:rsidRPr="00DB7590">
        <w:rPr>
          <w:rFonts w:ascii="Times New Roman" w:hAnsi="Times New Roman" w:cs="Times New Roman"/>
          <w:sz w:val="24"/>
          <w:szCs w:val="24"/>
        </w:rPr>
        <w:t>følges.</w:t>
      </w:r>
    </w:p>
    <w:p w14:paraId="4E4DB7E7" w14:textId="77777777" w:rsidR="00DB7590" w:rsidRPr="00DB7590" w:rsidRDefault="00DB7590" w:rsidP="00DB7590">
      <w:pPr>
        <w:rPr>
          <w:rFonts w:ascii="Times New Roman" w:hAnsi="Times New Roman" w:cs="Times New Roman"/>
          <w:sz w:val="24"/>
          <w:szCs w:val="24"/>
        </w:rPr>
      </w:pPr>
    </w:p>
    <w:p w14:paraId="1694F9C4" w14:textId="77777777" w:rsidR="00DB7590" w:rsidRPr="009014F5" w:rsidRDefault="00DB7590" w:rsidP="00DB7590">
      <w:pPr>
        <w:rPr>
          <w:rFonts w:ascii="Times New Roman" w:hAnsi="Times New Roman" w:cs="Times New Roman"/>
          <w:i/>
          <w:iCs/>
          <w:sz w:val="24"/>
          <w:szCs w:val="24"/>
          <w:u w:val="single"/>
        </w:rPr>
      </w:pPr>
      <w:r w:rsidRPr="009014F5">
        <w:rPr>
          <w:rFonts w:ascii="Times New Roman" w:hAnsi="Times New Roman" w:cs="Times New Roman"/>
          <w:i/>
          <w:iCs/>
          <w:sz w:val="24"/>
          <w:szCs w:val="24"/>
          <w:u w:val="single"/>
        </w:rPr>
        <w:t>Hvidhvaler</w:t>
      </w:r>
    </w:p>
    <w:p w14:paraId="6C3E9217" w14:textId="77777777" w:rsidR="00DB7590" w:rsidRPr="00DB7590" w:rsidRDefault="00DB7590" w:rsidP="00DB7590">
      <w:pPr>
        <w:rPr>
          <w:rFonts w:ascii="Times New Roman" w:hAnsi="Times New Roman" w:cs="Times New Roman"/>
          <w:sz w:val="24"/>
          <w:szCs w:val="24"/>
        </w:rPr>
      </w:pPr>
      <w:r w:rsidRPr="00DB7590">
        <w:rPr>
          <w:rFonts w:ascii="Times New Roman" w:hAnsi="Times New Roman" w:cs="Times New Roman"/>
          <w:sz w:val="24"/>
          <w:szCs w:val="24"/>
        </w:rPr>
        <w:t xml:space="preserve">Departementet for Landbrug, Selvforsyning, Energi og Miljø bemærker, at kvoteforslaget for hvidhvaler i Vestgrønland ikke følger den biologiske rådgivning fra JCNB og NAMMCO. Det fremgår af den biologiske rådgivning, at der ikke bør foregå fangst af hvidhvaler syd for 65°N (Sydvestgrønland) for at beskytte de få individer, der måtte være tilbage af den historiske sommerpopulation af hvidhvaler i dette område. Den Fælles JCNB/NAMMCO videnskabelige arbejdsgruppe (JWG) anbefaler </w:t>
      </w:r>
      <w:proofErr w:type="gramStart"/>
      <w:r w:rsidRPr="00DB7590">
        <w:rPr>
          <w:rFonts w:ascii="Times New Roman" w:hAnsi="Times New Roman" w:cs="Times New Roman"/>
          <w:sz w:val="24"/>
          <w:szCs w:val="24"/>
        </w:rPr>
        <w:t>endvidere</w:t>
      </w:r>
      <w:proofErr w:type="gramEnd"/>
      <w:r w:rsidRPr="00DB7590">
        <w:rPr>
          <w:rFonts w:ascii="Times New Roman" w:hAnsi="Times New Roman" w:cs="Times New Roman"/>
          <w:sz w:val="24"/>
          <w:szCs w:val="24"/>
        </w:rPr>
        <w:t xml:space="preserve">, at hvidhvalfangst sæsonbegrænses i følgende områder: </w:t>
      </w:r>
    </w:p>
    <w:p w14:paraId="37777DE8" w14:textId="1A31B753" w:rsidR="00DB7590" w:rsidRPr="00DB7590" w:rsidRDefault="00DB7590" w:rsidP="00DB7590">
      <w:pPr>
        <w:rPr>
          <w:rFonts w:ascii="Times New Roman" w:hAnsi="Times New Roman" w:cs="Times New Roman"/>
          <w:sz w:val="24"/>
          <w:szCs w:val="24"/>
        </w:rPr>
      </w:pPr>
      <w:r w:rsidRPr="00DB7590">
        <w:rPr>
          <w:rFonts w:ascii="Times New Roman" w:hAnsi="Times New Roman" w:cs="Times New Roman"/>
          <w:sz w:val="24"/>
          <w:szCs w:val="24"/>
        </w:rPr>
        <w:t>•</w:t>
      </w:r>
      <w:r w:rsidR="009014F5">
        <w:rPr>
          <w:rFonts w:ascii="Times New Roman" w:hAnsi="Times New Roman" w:cs="Times New Roman"/>
          <w:sz w:val="24"/>
          <w:szCs w:val="24"/>
        </w:rPr>
        <w:t xml:space="preserve"> </w:t>
      </w:r>
      <w:r w:rsidRPr="00DB7590">
        <w:rPr>
          <w:rFonts w:ascii="Times New Roman" w:hAnsi="Times New Roman" w:cs="Times New Roman"/>
          <w:sz w:val="24"/>
          <w:szCs w:val="24"/>
        </w:rPr>
        <w:t xml:space="preserve">Uummannaq, Upernavik og </w:t>
      </w:r>
      <w:proofErr w:type="spellStart"/>
      <w:r w:rsidRPr="00DB7590">
        <w:rPr>
          <w:rFonts w:ascii="Times New Roman" w:hAnsi="Times New Roman" w:cs="Times New Roman"/>
          <w:sz w:val="24"/>
          <w:szCs w:val="24"/>
        </w:rPr>
        <w:t>Savissivik</w:t>
      </w:r>
      <w:proofErr w:type="spellEnd"/>
      <w:r w:rsidRPr="00DB7590">
        <w:rPr>
          <w:rFonts w:ascii="Times New Roman" w:hAnsi="Times New Roman" w:cs="Times New Roman"/>
          <w:sz w:val="24"/>
          <w:szCs w:val="24"/>
        </w:rPr>
        <w:t xml:space="preserve"> </w:t>
      </w:r>
      <w:r w:rsidR="005B095F">
        <w:rPr>
          <w:rFonts w:ascii="Times New Roman" w:hAnsi="Times New Roman" w:cs="Times New Roman"/>
          <w:sz w:val="24"/>
          <w:szCs w:val="24"/>
        </w:rPr>
        <w:t>–</w:t>
      </w:r>
      <w:r w:rsidRPr="00DB7590">
        <w:rPr>
          <w:rFonts w:ascii="Times New Roman" w:hAnsi="Times New Roman" w:cs="Times New Roman"/>
          <w:sz w:val="24"/>
          <w:szCs w:val="24"/>
        </w:rPr>
        <w:t xml:space="preserve"> juni</w:t>
      </w:r>
      <w:r w:rsidR="005B095F">
        <w:rPr>
          <w:rFonts w:ascii="Times New Roman" w:hAnsi="Times New Roman" w:cs="Times New Roman"/>
          <w:sz w:val="24"/>
          <w:szCs w:val="24"/>
        </w:rPr>
        <w:t xml:space="preserve"> </w:t>
      </w:r>
      <w:r w:rsidRPr="00DB7590">
        <w:rPr>
          <w:rFonts w:ascii="Times New Roman" w:hAnsi="Times New Roman" w:cs="Times New Roman"/>
          <w:sz w:val="24"/>
          <w:szCs w:val="24"/>
        </w:rPr>
        <w:t xml:space="preserve">til og med august </w:t>
      </w:r>
    </w:p>
    <w:p w14:paraId="7E26095D" w14:textId="7EE3DDE7" w:rsidR="00DB7590" w:rsidRPr="00DB7590" w:rsidRDefault="00DB7590" w:rsidP="00DB7590">
      <w:pPr>
        <w:rPr>
          <w:rFonts w:ascii="Times New Roman" w:hAnsi="Times New Roman" w:cs="Times New Roman"/>
          <w:sz w:val="24"/>
          <w:szCs w:val="24"/>
        </w:rPr>
      </w:pPr>
      <w:r w:rsidRPr="00DB7590">
        <w:rPr>
          <w:rFonts w:ascii="Times New Roman" w:hAnsi="Times New Roman" w:cs="Times New Roman"/>
          <w:sz w:val="24"/>
          <w:szCs w:val="24"/>
        </w:rPr>
        <w:t>•</w:t>
      </w:r>
      <w:r w:rsidR="009014F5">
        <w:rPr>
          <w:rFonts w:ascii="Times New Roman" w:hAnsi="Times New Roman" w:cs="Times New Roman"/>
          <w:sz w:val="24"/>
          <w:szCs w:val="24"/>
        </w:rPr>
        <w:t xml:space="preserve"> </w:t>
      </w:r>
      <w:r w:rsidRPr="00DB7590">
        <w:rPr>
          <w:rFonts w:ascii="Times New Roman" w:hAnsi="Times New Roman" w:cs="Times New Roman"/>
          <w:sz w:val="24"/>
          <w:szCs w:val="24"/>
        </w:rPr>
        <w:t xml:space="preserve">Diskobugten </w:t>
      </w:r>
      <w:r w:rsidR="005B095F">
        <w:rPr>
          <w:rFonts w:ascii="Times New Roman" w:hAnsi="Times New Roman" w:cs="Times New Roman"/>
          <w:sz w:val="24"/>
          <w:szCs w:val="24"/>
        </w:rPr>
        <w:t>–</w:t>
      </w:r>
      <w:r w:rsidRPr="00DB7590">
        <w:rPr>
          <w:rFonts w:ascii="Times New Roman" w:hAnsi="Times New Roman" w:cs="Times New Roman"/>
          <w:sz w:val="24"/>
          <w:szCs w:val="24"/>
        </w:rPr>
        <w:t xml:space="preserve"> juni</w:t>
      </w:r>
      <w:r w:rsidR="005B095F">
        <w:rPr>
          <w:rFonts w:ascii="Times New Roman" w:hAnsi="Times New Roman" w:cs="Times New Roman"/>
          <w:sz w:val="24"/>
          <w:szCs w:val="24"/>
        </w:rPr>
        <w:t xml:space="preserve"> </w:t>
      </w:r>
      <w:r w:rsidRPr="00DB7590">
        <w:rPr>
          <w:rFonts w:ascii="Times New Roman" w:hAnsi="Times New Roman" w:cs="Times New Roman"/>
          <w:sz w:val="24"/>
          <w:szCs w:val="24"/>
        </w:rPr>
        <w:t xml:space="preserve">til og med oktober </w:t>
      </w:r>
    </w:p>
    <w:p w14:paraId="14423E0F" w14:textId="4BEEC44B" w:rsidR="00DB7590" w:rsidRPr="00DB7590" w:rsidRDefault="00DB7590" w:rsidP="00DB7590">
      <w:pPr>
        <w:rPr>
          <w:rFonts w:ascii="Times New Roman" w:hAnsi="Times New Roman" w:cs="Times New Roman"/>
          <w:sz w:val="24"/>
          <w:szCs w:val="24"/>
        </w:rPr>
      </w:pPr>
      <w:r w:rsidRPr="00DB7590">
        <w:rPr>
          <w:rFonts w:ascii="Times New Roman" w:hAnsi="Times New Roman" w:cs="Times New Roman"/>
          <w:sz w:val="24"/>
          <w:szCs w:val="24"/>
        </w:rPr>
        <w:t>•</w:t>
      </w:r>
      <w:r w:rsidR="009014F5">
        <w:rPr>
          <w:rFonts w:ascii="Times New Roman" w:hAnsi="Times New Roman" w:cs="Times New Roman"/>
          <w:sz w:val="24"/>
          <w:szCs w:val="24"/>
        </w:rPr>
        <w:t xml:space="preserve"> </w:t>
      </w:r>
      <w:r w:rsidRPr="00DB7590">
        <w:rPr>
          <w:rFonts w:ascii="Times New Roman" w:hAnsi="Times New Roman" w:cs="Times New Roman"/>
          <w:sz w:val="24"/>
          <w:szCs w:val="24"/>
        </w:rPr>
        <w:t xml:space="preserve">Syd for </w:t>
      </w:r>
      <w:proofErr w:type="spellStart"/>
      <w:r w:rsidRPr="00DB7590">
        <w:rPr>
          <w:rFonts w:ascii="Times New Roman" w:hAnsi="Times New Roman" w:cs="Times New Roman"/>
          <w:sz w:val="24"/>
          <w:szCs w:val="24"/>
        </w:rPr>
        <w:t>Kangaatsiaq</w:t>
      </w:r>
      <w:proofErr w:type="spellEnd"/>
      <w:r w:rsidRPr="00DB7590">
        <w:rPr>
          <w:rFonts w:ascii="Times New Roman" w:hAnsi="Times New Roman" w:cs="Times New Roman"/>
          <w:sz w:val="24"/>
          <w:szCs w:val="24"/>
        </w:rPr>
        <w:t xml:space="preserve"> </w:t>
      </w:r>
      <w:r w:rsidR="005B095F">
        <w:rPr>
          <w:rFonts w:ascii="Times New Roman" w:hAnsi="Times New Roman" w:cs="Times New Roman"/>
          <w:sz w:val="24"/>
          <w:szCs w:val="24"/>
        </w:rPr>
        <w:t>–</w:t>
      </w:r>
      <w:r w:rsidRPr="00DB7590">
        <w:rPr>
          <w:rFonts w:ascii="Times New Roman" w:hAnsi="Times New Roman" w:cs="Times New Roman"/>
          <w:sz w:val="24"/>
          <w:szCs w:val="24"/>
        </w:rPr>
        <w:t xml:space="preserve"> maj</w:t>
      </w:r>
      <w:r w:rsidR="005B095F">
        <w:rPr>
          <w:rFonts w:ascii="Times New Roman" w:hAnsi="Times New Roman" w:cs="Times New Roman"/>
          <w:sz w:val="24"/>
          <w:szCs w:val="24"/>
        </w:rPr>
        <w:t xml:space="preserve"> </w:t>
      </w:r>
      <w:r w:rsidRPr="00DB7590">
        <w:rPr>
          <w:rFonts w:ascii="Times New Roman" w:hAnsi="Times New Roman" w:cs="Times New Roman"/>
          <w:sz w:val="24"/>
          <w:szCs w:val="24"/>
        </w:rPr>
        <w:t xml:space="preserve">til og med oktober </w:t>
      </w:r>
    </w:p>
    <w:p w14:paraId="4C536FEF" w14:textId="77777777" w:rsidR="00DB7590" w:rsidRPr="00DB7590" w:rsidRDefault="00DB7590" w:rsidP="00DB7590">
      <w:pPr>
        <w:rPr>
          <w:rFonts w:ascii="Times New Roman" w:hAnsi="Times New Roman" w:cs="Times New Roman"/>
          <w:sz w:val="24"/>
          <w:szCs w:val="24"/>
        </w:rPr>
      </w:pPr>
    </w:p>
    <w:p w14:paraId="37F9FD4A" w14:textId="77777777" w:rsidR="00DB7590" w:rsidRPr="00DB7590" w:rsidRDefault="00DB7590" w:rsidP="00DB7590">
      <w:pPr>
        <w:rPr>
          <w:rFonts w:ascii="Times New Roman" w:hAnsi="Times New Roman" w:cs="Times New Roman"/>
          <w:sz w:val="24"/>
          <w:szCs w:val="24"/>
        </w:rPr>
      </w:pPr>
      <w:r w:rsidRPr="00DB7590">
        <w:rPr>
          <w:rFonts w:ascii="Times New Roman" w:hAnsi="Times New Roman" w:cs="Times New Roman"/>
          <w:sz w:val="24"/>
          <w:szCs w:val="24"/>
        </w:rPr>
        <w:t xml:space="preserve">På den baggrund anbefaler Departementet for Landbrug, Selvforsyning, Energi og Miljø, at der i kvoteforslaget indarbejdes fangstsæsoner samt stop for fangst syd for 65°N. </w:t>
      </w:r>
    </w:p>
    <w:p w14:paraId="0C76D514" w14:textId="77777777" w:rsidR="00DB7590" w:rsidRPr="00DB7590" w:rsidRDefault="00DB7590" w:rsidP="00DB7590">
      <w:pPr>
        <w:rPr>
          <w:rFonts w:ascii="Times New Roman" w:hAnsi="Times New Roman" w:cs="Times New Roman"/>
          <w:sz w:val="24"/>
          <w:szCs w:val="24"/>
        </w:rPr>
      </w:pPr>
    </w:p>
    <w:p w14:paraId="45D927E6" w14:textId="21ED4638" w:rsidR="00DB7590" w:rsidRPr="00DB7590" w:rsidRDefault="00DB7590" w:rsidP="00DB7590">
      <w:pPr>
        <w:rPr>
          <w:rFonts w:ascii="Times New Roman" w:hAnsi="Times New Roman" w:cs="Times New Roman"/>
          <w:sz w:val="24"/>
          <w:szCs w:val="24"/>
        </w:rPr>
      </w:pPr>
      <w:r w:rsidRPr="00DB7590">
        <w:rPr>
          <w:rFonts w:ascii="Times New Roman" w:hAnsi="Times New Roman" w:cs="Times New Roman"/>
          <w:sz w:val="24"/>
          <w:szCs w:val="24"/>
        </w:rPr>
        <w:t xml:space="preserve">Departementet for Landbrug, Selvforsyning, Energi og Miljø bemærker, at andelen af ramte og mistede hvidhvaler må formodes at stige, hvis hvidhvalskvoten bliver frigivet for fritidsfangere. Dette kan være en følge af, at fritidsfangere har mindre erfaring med hvidhvalsfangst og manglende adgang til relevant fangstudstyr, herunder harpuner og semiautomatiske rifler. Andelen af ramte og mistede dyr, som er inkluderet i kvoterådgivningen, foreslås således korrigeret i forhold til, at der åbnes op for, at fritidsfangere må fange hvidhvaler. </w:t>
      </w:r>
    </w:p>
    <w:p w14:paraId="36DC6EE8" w14:textId="77777777" w:rsidR="00DB7590" w:rsidRPr="00DB7590" w:rsidRDefault="00DB7590" w:rsidP="00DB7590">
      <w:pPr>
        <w:rPr>
          <w:rFonts w:ascii="Times New Roman" w:hAnsi="Times New Roman" w:cs="Times New Roman"/>
          <w:sz w:val="24"/>
          <w:szCs w:val="24"/>
        </w:rPr>
      </w:pPr>
    </w:p>
    <w:p w14:paraId="0B4FFB00" w14:textId="1B412D14" w:rsidR="00DB7590" w:rsidRPr="00AD1BB6" w:rsidRDefault="00DB7590" w:rsidP="00DB7590">
      <w:pPr>
        <w:rPr>
          <w:rFonts w:ascii="Times New Roman" w:hAnsi="Times New Roman" w:cs="Times New Roman"/>
          <w:sz w:val="24"/>
          <w:szCs w:val="24"/>
        </w:rPr>
      </w:pPr>
      <w:r w:rsidRPr="00DB7590">
        <w:rPr>
          <w:rFonts w:ascii="Times New Roman" w:hAnsi="Times New Roman" w:cs="Times New Roman"/>
          <w:sz w:val="24"/>
          <w:szCs w:val="24"/>
        </w:rPr>
        <w:t>Departementet for Landbrug, Selvforsyning, Energi og Miljø anbefaler, at der udarbejdes en forvaltningsplan eller anden strategi, der sikrer en langsigtet bæredygtig udnyttelse af hvid- og narhvaler i Grønland i overensstemmelse med nationale målsætninger og internationale aftaler.</w:t>
      </w:r>
    </w:p>
    <w:p w14:paraId="6B093552" w14:textId="5A7E2605" w:rsidR="00EE48FC" w:rsidRDefault="00EE48FC" w:rsidP="00AD1BB6">
      <w:pPr>
        <w:rPr>
          <w:rFonts w:ascii="Times New Roman" w:hAnsi="Times New Roman" w:cs="Times New Roman"/>
          <w:sz w:val="24"/>
          <w:szCs w:val="24"/>
        </w:rPr>
      </w:pPr>
    </w:p>
    <w:p w14:paraId="34856DF3" w14:textId="77777777" w:rsidR="00DD2EEF" w:rsidRPr="00AD1BB6" w:rsidRDefault="00DD2EEF" w:rsidP="00AD1BB6">
      <w:pPr>
        <w:rPr>
          <w:rFonts w:ascii="Times New Roman" w:hAnsi="Times New Roman" w:cs="Times New Roman"/>
          <w:sz w:val="24"/>
          <w:szCs w:val="24"/>
        </w:rPr>
      </w:pPr>
    </w:p>
    <w:p w14:paraId="11DC8EC1" w14:textId="77777777" w:rsidR="00EE48FC" w:rsidRPr="00AD1BB6" w:rsidRDefault="00EE48FC" w:rsidP="00AD1BB6">
      <w:pPr>
        <w:rPr>
          <w:rFonts w:ascii="Times New Roman" w:hAnsi="Times New Roman" w:cs="Times New Roman"/>
          <w:sz w:val="24"/>
          <w:szCs w:val="24"/>
        </w:rPr>
      </w:pPr>
      <w:proofErr w:type="spellStart"/>
      <w:r w:rsidRPr="00AD1BB6">
        <w:rPr>
          <w:rFonts w:ascii="Times New Roman" w:hAnsi="Times New Roman" w:cs="Times New Roman"/>
          <w:sz w:val="24"/>
          <w:szCs w:val="24"/>
        </w:rPr>
        <w:t>Inussiarnersumik</w:t>
      </w:r>
      <w:proofErr w:type="spellEnd"/>
      <w:r w:rsidRPr="00AD1BB6">
        <w:rPr>
          <w:rFonts w:ascii="Times New Roman" w:hAnsi="Times New Roman" w:cs="Times New Roman"/>
          <w:sz w:val="24"/>
          <w:szCs w:val="24"/>
        </w:rPr>
        <w:t xml:space="preserve"> </w:t>
      </w:r>
      <w:proofErr w:type="spellStart"/>
      <w:r w:rsidRPr="00AD1BB6">
        <w:rPr>
          <w:rFonts w:ascii="Times New Roman" w:hAnsi="Times New Roman" w:cs="Times New Roman"/>
          <w:sz w:val="24"/>
          <w:szCs w:val="24"/>
        </w:rPr>
        <w:t>inuulluaqqusillunga</w:t>
      </w:r>
      <w:proofErr w:type="spellEnd"/>
    </w:p>
    <w:p w14:paraId="555D4A7E" w14:textId="77777777" w:rsidR="00EE48FC" w:rsidRPr="00AD1BB6" w:rsidRDefault="00C63E01" w:rsidP="00AD1BB6">
      <w:pPr>
        <w:rPr>
          <w:rFonts w:ascii="Times New Roman" w:hAnsi="Times New Roman" w:cs="Times New Roman"/>
          <w:sz w:val="24"/>
          <w:szCs w:val="24"/>
        </w:rPr>
      </w:pPr>
      <w:r w:rsidRPr="00AD1BB6">
        <w:rPr>
          <w:rFonts w:ascii="Times New Roman" w:hAnsi="Times New Roman" w:cs="Times New Roman"/>
          <w:sz w:val="24"/>
          <w:szCs w:val="24"/>
        </w:rPr>
        <w:t>Med venlig hilsen</w:t>
      </w:r>
    </w:p>
    <w:p w14:paraId="76FFAF71" w14:textId="77777777" w:rsidR="00EE48FC" w:rsidRPr="00AD1BB6" w:rsidRDefault="00EE48FC" w:rsidP="00AD1BB6">
      <w:pPr>
        <w:rPr>
          <w:rFonts w:ascii="Times New Roman" w:hAnsi="Times New Roman" w:cs="Times New Roman"/>
          <w:sz w:val="24"/>
          <w:szCs w:val="24"/>
        </w:rPr>
      </w:pPr>
    </w:p>
    <w:p w14:paraId="49FA82ED" w14:textId="600D04DA" w:rsidR="00EE48FC" w:rsidRPr="00AD1BB6" w:rsidRDefault="00DD2EEF" w:rsidP="00AD1BB6">
      <w:pPr>
        <w:rPr>
          <w:rFonts w:ascii="Times New Roman" w:hAnsi="Times New Roman" w:cs="Times New Roman"/>
          <w:sz w:val="24"/>
          <w:szCs w:val="24"/>
        </w:rPr>
      </w:pPr>
      <w:r>
        <w:rPr>
          <w:rFonts w:ascii="Times New Roman" w:hAnsi="Times New Roman" w:cs="Times New Roman"/>
          <w:sz w:val="24"/>
          <w:szCs w:val="24"/>
        </w:rPr>
        <w:t>Mettelise Fritz Hansen</w:t>
      </w:r>
    </w:p>
    <w:p w14:paraId="6A2E1C54" w14:textId="7FCEC505" w:rsidR="001C7F38" w:rsidRPr="001C7F38" w:rsidRDefault="00466ECA" w:rsidP="00DD2EEF">
      <w:pPr>
        <w:rPr>
          <w:rFonts w:ascii="Times New Roman" w:hAnsi="Times New Roman" w:cs="Times New Roman"/>
          <w:sz w:val="24"/>
          <w:szCs w:val="24"/>
        </w:rPr>
      </w:pPr>
      <w:bookmarkStart w:id="1" w:name="_Hlk120538213"/>
      <w:r w:rsidRPr="00D15685">
        <w:rPr>
          <w:rFonts w:ascii="Times New Roman" w:hAnsi="Times New Roman" w:cs="Times New Roman"/>
          <w:sz w:val="24"/>
          <w:szCs w:val="24"/>
        </w:rPr>
        <w:t>Departementet for Landbrug, Selvforsyning, Energi og Miljø</w:t>
      </w:r>
      <w:bookmarkEnd w:id="1"/>
    </w:p>
    <w:sectPr w:rsidR="001C7F38" w:rsidRPr="001C7F38" w:rsidSect="00BD3A41">
      <w:footerReference w:type="default" r:id="rId8"/>
      <w:headerReference w:type="first" r:id="rId9"/>
      <w:footerReference w:type="first" r:id="rId10"/>
      <w:pgSz w:w="11906" w:h="16838" w:code="9"/>
      <w:pgMar w:top="2268" w:right="2835" w:bottom="737" w:left="1247" w:header="567" w:footer="47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15DD5" w14:textId="77777777" w:rsidR="0056322B" w:rsidRDefault="0056322B" w:rsidP="00FA2B29">
      <w:pPr>
        <w:spacing w:line="240" w:lineRule="auto"/>
      </w:pPr>
      <w:r>
        <w:separator/>
      </w:r>
    </w:p>
  </w:endnote>
  <w:endnote w:type="continuationSeparator" w:id="0">
    <w:p w14:paraId="0A91E8E0" w14:textId="77777777" w:rsidR="0056322B" w:rsidRDefault="0056322B" w:rsidP="00FA2B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6845171"/>
      <w:docPartObj>
        <w:docPartGallery w:val="Page Numbers (Bottom of Page)"/>
        <w:docPartUnique/>
      </w:docPartObj>
    </w:sdtPr>
    <w:sdtContent>
      <w:p w14:paraId="1F1FDC75" w14:textId="77777777" w:rsidR="004D553F" w:rsidRDefault="004D553F">
        <w:pPr>
          <w:pStyle w:val="Sidefod"/>
          <w:jc w:val="right"/>
        </w:pPr>
        <w:r>
          <w:fldChar w:fldCharType="begin"/>
        </w:r>
        <w:r>
          <w:instrText>PAGE   \* MERGEFORMAT</w:instrText>
        </w:r>
        <w:r>
          <w:fldChar w:fldCharType="separate"/>
        </w:r>
        <w:r>
          <w:rPr>
            <w:noProof/>
          </w:rPr>
          <w:t>2</w:t>
        </w:r>
        <w:r>
          <w:fldChar w:fldCharType="end"/>
        </w:r>
      </w:p>
    </w:sdtContent>
  </w:sdt>
  <w:p w14:paraId="24592F79" w14:textId="77777777" w:rsidR="004D553F" w:rsidRDefault="004D553F">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5624114"/>
      <w:docPartObj>
        <w:docPartGallery w:val="Page Numbers (Bottom of Page)"/>
        <w:docPartUnique/>
      </w:docPartObj>
    </w:sdtPr>
    <w:sdtContent>
      <w:p w14:paraId="46452898" w14:textId="77777777" w:rsidR="004D553F" w:rsidRDefault="004D553F">
        <w:pPr>
          <w:pStyle w:val="Sidefod"/>
          <w:jc w:val="right"/>
        </w:pPr>
        <w:r>
          <w:fldChar w:fldCharType="begin"/>
        </w:r>
        <w:r>
          <w:instrText xml:space="preserve"> PAGE  \* MERGEFORMAT </w:instrText>
        </w:r>
        <w:r>
          <w:fldChar w:fldCharType="separate"/>
        </w:r>
        <w:r w:rsidR="00A72218">
          <w:rPr>
            <w:noProof/>
          </w:rPr>
          <w:t>1</w:t>
        </w:r>
        <w:r>
          <w:fldChar w:fldCharType="end"/>
        </w:r>
      </w:p>
    </w:sdtContent>
  </w:sdt>
  <w:p w14:paraId="66333964" w14:textId="77777777" w:rsidR="004D553F" w:rsidRDefault="004D553F">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1B37C" w14:textId="77777777" w:rsidR="0056322B" w:rsidRDefault="0056322B" w:rsidP="00FA2B29">
      <w:pPr>
        <w:spacing w:line="240" w:lineRule="auto"/>
      </w:pPr>
      <w:r>
        <w:separator/>
      </w:r>
    </w:p>
  </w:footnote>
  <w:footnote w:type="continuationSeparator" w:id="0">
    <w:p w14:paraId="251284C6" w14:textId="77777777" w:rsidR="0056322B" w:rsidRDefault="0056322B" w:rsidP="00FA2B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F9D05" w14:textId="77777777" w:rsidR="004D553F" w:rsidRDefault="00000000" w:rsidP="00FA2B29">
    <w:pPr>
      <w:pStyle w:val="Lillev"/>
    </w:pPr>
    <w:sdt>
      <w:sdtPr>
        <w:id w:val="20680398"/>
        <w:docPartObj>
          <w:docPartGallery w:val="Watermarks"/>
          <w:docPartUnique/>
        </w:docPartObj>
      </w:sdtPr>
      <w:sdtContent>
        <w:r w:rsidR="004D553F">
          <w:rPr>
            <w:noProof/>
            <w:lang w:val="kl-GL" w:eastAsia="kl-GL"/>
          </w:rPr>
          <w:drawing>
            <wp:anchor distT="0" distB="0" distL="114300" distR="114300" simplePos="0" relativeHeight="251657728" behindDoc="1" locked="1" layoutInCell="1" allowOverlap="1" wp14:anchorId="279A0D19" wp14:editId="5BF54362">
              <wp:simplePos x="0" y="0"/>
              <wp:positionH relativeFrom="column">
                <wp:posOffset>266700</wp:posOffset>
              </wp:positionH>
              <wp:positionV relativeFrom="page">
                <wp:posOffset>5404485</wp:posOffset>
              </wp:positionV>
              <wp:extent cx="6504940" cy="5292725"/>
              <wp:effectExtent l="0" t="0" r="0" b="3175"/>
              <wp:wrapNone/>
              <wp:docPr id="5" name="Billede 5" descr="NANOQ_stor_gradiant_bl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NOQ_stor_gradiant_bla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04940" cy="5292725"/>
                      </a:xfrm>
                      <a:prstGeom prst="rect">
                        <a:avLst/>
                      </a:prstGeom>
                      <a:noFill/>
                    </pic:spPr>
                  </pic:pic>
                </a:graphicData>
              </a:graphic>
              <wp14:sizeRelH relativeFrom="page">
                <wp14:pctWidth>0</wp14:pctWidth>
              </wp14:sizeRelH>
              <wp14:sizeRelV relativeFrom="page">
                <wp14:pctHeight>0</wp14:pctHeight>
              </wp14:sizeRelV>
            </wp:anchor>
          </w:drawing>
        </w:r>
      </w:sdtContent>
    </w:sdt>
    <w:r w:rsidR="004D553F">
      <w:t xml:space="preserve">   </w:t>
    </w:r>
  </w:p>
  <w:p w14:paraId="34D76FC8" w14:textId="77777777" w:rsidR="003953A0" w:rsidRPr="00650850" w:rsidRDefault="003953A0" w:rsidP="003953A0">
    <w:pPr>
      <w:pStyle w:val="Lillev"/>
      <w:ind w:right="0"/>
      <w:jc w:val="left"/>
      <w:rPr>
        <w:lang w:val="en-US"/>
      </w:rPr>
    </w:pPr>
    <w:r>
      <w:rPr>
        <w:noProof/>
        <w:lang w:val="kl-GL" w:eastAsia="kl-GL"/>
      </w:rPr>
      <w:drawing>
        <wp:anchor distT="0" distB="0" distL="114300" distR="114300" simplePos="0" relativeHeight="251659776" behindDoc="1" locked="1" layoutInCell="1" allowOverlap="1" wp14:anchorId="6B26F57E" wp14:editId="50A4DC62">
          <wp:simplePos x="0" y="0"/>
          <wp:positionH relativeFrom="column">
            <wp:posOffset>4161155</wp:posOffset>
          </wp:positionH>
          <wp:positionV relativeFrom="page">
            <wp:posOffset>365125</wp:posOffset>
          </wp:positionV>
          <wp:extent cx="2162175" cy="714375"/>
          <wp:effectExtent l="0" t="0" r="9525" b="9525"/>
          <wp:wrapThrough wrapText="bothSides">
            <wp:wrapPolygon edited="0">
              <wp:start x="0" y="0"/>
              <wp:lineTo x="0" y="21312"/>
              <wp:lineTo x="21505" y="21312"/>
              <wp:lineTo x="21505" y="0"/>
              <wp:lineTo x="0" y="0"/>
            </wp:wrapPolygon>
          </wp:wrapThrough>
          <wp:docPr id="22" name="Billede 22" descr="Nanoq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Nanoq_logo_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62175" cy="71437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650850">
      <w:rPr>
        <w:lang w:val="en-US"/>
      </w:rPr>
      <w:t>Nunalerinermut</w:t>
    </w:r>
    <w:proofErr w:type="spellEnd"/>
    <w:r w:rsidRPr="00650850">
      <w:rPr>
        <w:lang w:val="en-US"/>
      </w:rPr>
      <w:t xml:space="preserve">, </w:t>
    </w:r>
    <w:proofErr w:type="spellStart"/>
    <w:r w:rsidRPr="00650850">
      <w:rPr>
        <w:lang w:val="en-US"/>
      </w:rPr>
      <w:t>Imminut</w:t>
    </w:r>
    <w:proofErr w:type="spellEnd"/>
    <w:r w:rsidRPr="00650850">
      <w:rPr>
        <w:lang w:val="en-US"/>
      </w:rPr>
      <w:t xml:space="preserve"> </w:t>
    </w:r>
    <w:proofErr w:type="spellStart"/>
    <w:r w:rsidRPr="00650850">
      <w:rPr>
        <w:lang w:val="en-US"/>
      </w:rPr>
      <w:t>Pilersornermut</w:t>
    </w:r>
    <w:proofErr w:type="spellEnd"/>
    <w:r w:rsidRPr="00650850">
      <w:rPr>
        <w:lang w:val="en-US"/>
      </w:rPr>
      <w:t xml:space="preserve">, </w:t>
    </w:r>
    <w:proofErr w:type="spellStart"/>
    <w:r w:rsidRPr="00650850">
      <w:rPr>
        <w:lang w:val="en-US"/>
      </w:rPr>
      <w:t>Nukissiutinut</w:t>
    </w:r>
    <w:proofErr w:type="spellEnd"/>
    <w:r w:rsidRPr="00650850">
      <w:rPr>
        <w:lang w:val="en-US"/>
      </w:rPr>
      <w:t xml:space="preserve"> </w:t>
    </w:r>
    <w:proofErr w:type="spellStart"/>
    <w:r w:rsidRPr="00650850">
      <w:rPr>
        <w:lang w:val="en-US"/>
      </w:rPr>
      <w:t>Avatangiisinullu</w:t>
    </w:r>
    <w:proofErr w:type="spellEnd"/>
    <w:r>
      <w:rPr>
        <w:lang w:val="en-US"/>
      </w:rPr>
      <w:t xml:space="preserve"> </w:t>
    </w:r>
    <w:proofErr w:type="spellStart"/>
    <w:r w:rsidRPr="00650850">
      <w:rPr>
        <w:lang w:val="en-US"/>
      </w:rPr>
      <w:t>Naalakkersuisoq</w:t>
    </w:r>
    <w:r w:rsidR="00A72218">
      <w:rPr>
        <w:lang w:val="en-US"/>
      </w:rPr>
      <w:t>arfik</w:t>
    </w:r>
    <w:proofErr w:type="spellEnd"/>
    <w:r w:rsidRPr="00650850">
      <w:rPr>
        <w:lang w:val="en-US"/>
      </w:rPr>
      <w:t xml:space="preserve"> </w:t>
    </w:r>
  </w:p>
  <w:p w14:paraId="47E81084" w14:textId="77777777" w:rsidR="003953A0" w:rsidRPr="00351598" w:rsidRDefault="007D292A" w:rsidP="003953A0">
    <w:pPr>
      <w:pStyle w:val="Lillev"/>
      <w:ind w:right="0"/>
      <w:jc w:val="left"/>
    </w:pPr>
    <w:r>
      <w:t>Departementet</w:t>
    </w:r>
    <w:r w:rsidR="003953A0">
      <w:t xml:space="preserve"> for Landbrug, Selvforsyning, Energi og Miljø </w:t>
    </w:r>
  </w:p>
  <w:p w14:paraId="2CCE7A86" w14:textId="77777777" w:rsidR="008B79AB" w:rsidRDefault="008B79AB" w:rsidP="004C75A8">
    <w:pPr>
      <w:pStyle w:val="Lillev"/>
      <w:tabs>
        <w:tab w:val="left" w:pos="5245"/>
      </w:tabs>
      <w:ind w:right="2579"/>
      <w:jc w:val="left"/>
    </w:pPr>
  </w:p>
  <w:p w14:paraId="083F2B51" w14:textId="77777777" w:rsidR="008B79AB" w:rsidRDefault="008B79AB" w:rsidP="004C75A8">
    <w:pPr>
      <w:pStyle w:val="Lillev"/>
      <w:tabs>
        <w:tab w:val="left" w:pos="5245"/>
      </w:tabs>
      <w:ind w:right="2579"/>
      <w:jc w:val="left"/>
    </w:pPr>
  </w:p>
  <w:p w14:paraId="7A6D8496" w14:textId="77777777" w:rsidR="004D553F" w:rsidRPr="008137F5" w:rsidRDefault="004D553F" w:rsidP="004C75A8">
    <w:pPr>
      <w:pStyle w:val="Lillev"/>
      <w:tabs>
        <w:tab w:val="left" w:pos="5245"/>
      </w:tabs>
      <w:ind w:right="2579"/>
      <w:jc w:val="left"/>
    </w:pPr>
  </w:p>
  <w:p w14:paraId="5684573E" w14:textId="77777777" w:rsidR="004D553F" w:rsidRDefault="004D553F">
    <w:pPr>
      <w:pStyle w:val="Sidehove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4B7"/>
    <w:rsid w:val="00005175"/>
    <w:rsid w:val="00027D8E"/>
    <w:rsid w:val="00101E69"/>
    <w:rsid w:val="00103773"/>
    <w:rsid w:val="001113B9"/>
    <w:rsid w:val="00151BC7"/>
    <w:rsid w:val="0017656E"/>
    <w:rsid w:val="00177E8B"/>
    <w:rsid w:val="001C7F38"/>
    <w:rsid w:val="001F3B9C"/>
    <w:rsid w:val="002907DD"/>
    <w:rsid w:val="0029289B"/>
    <w:rsid w:val="0037474E"/>
    <w:rsid w:val="0038543E"/>
    <w:rsid w:val="00386064"/>
    <w:rsid w:val="003953A0"/>
    <w:rsid w:val="003D4E14"/>
    <w:rsid w:val="004402D4"/>
    <w:rsid w:val="00443203"/>
    <w:rsid w:val="00465A30"/>
    <w:rsid w:val="00466ECA"/>
    <w:rsid w:val="004C75A8"/>
    <w:rsid w:val="004D553F"/>
    <w:rsid w:val="0052722A"/>
    <w:rsid w:val="0056322B"/>
    <w:rsid w:val="00574DFE"/>
    <w:rsid w:val="00585DC4"/>
    <w:rsid w:val="005A226D"/>
    <w:rsid w:val="005B095F"/>
    <w:rsid w:val="005C2519"/>
    <w:rsid w:val="006D7809"/>
    <w:rsid w:val="006E11A7"/>
    <w:rsid w:val="00724820"/>
    <w:rsid w:val="00740B5D"/>
    <w:rsid w:val="007649BC"/>
    <w:rsid w:val="00766F82"/>
    <w:rsid w:val="007D292A"/>
    <w:rsid w:val="007D3B61"/>
    <w:rsid w:val="007F3259"/>
    <w:rsid w:val="00835854"/>
    <w:rsid w:val="00843F0D"/>
    <w:rsid w:val="008728BB"/>
    <w:rsid w:val="00874C50"/>
    <w:rsid w:val="0089103B"/>
    <w:rsid w:val="008B5055"/>
    <w:rsid w:val="008B79AB"/>
    <w:rsid w:val="008E5A4B"/>
    <w:rsid w:val="009014F5"/>
    <w:rsid w:val="00975E7F"/>
    <w:rsid w:val="009827A1"/>
    <w:rsid w:val="00986E1B"/>
    <w:rsid w:val="009B7083"/>
    <w:rsid w:val="00A359A2"/>
    <w:rsid w:val="00A559EB"/>
    <w:rsid w:val="00A72218"/>
    <w:rsid w:val="00AB4C37"/>
    <w:rsid w:val="00AC03C4"/>
    <w:rsid w:val="00AC1A37"/>
    <w:rsid w:val="00AC7977"/>
    <w:rsid w:val="00AD1BB6"/>
    <w:rsid w:val="00AE5CA0"/>
    <w:rsid w:val="00B249D0"/>
    <w:rsid w:val="00B525FE"/>
    <w:rsid w:val="00B75A84"/>
    <w:rsid w:val="00B77528"/>
    <w:rsid w:val="00BD3A41"/>
    <w:rsid w:val="00C63E01"/>
    <w:rsid w:val="00CB4DF4"/>
    <w:rsid w:val="00CF289A"/>
    <w:rsid w:val="00D15685"/>
    <w:rsid w:val="00D22819"/>
    <w:rsid w:val="00D374B7"/>
    <w:rsid w:val="00D64CED"/>
    <w:rsid w:val="00D76A81"/>
    <w:rsid w:val="00DB04B7"/>
    <w:rsid w:val="00DB7590"/>
    <w:rsid w:val="00DD2EEF"/>
    <w:rsid w:val="00EC1A73"/>
    <w:rsid w:val="00ED66C5"/>
    <w:rsid w:val="00ED78B8"/>
    <w:rsid w:val="00EE48FC"/>
    <w:rsid w:val="00EF3466"/>
    <w:rsid w:val="00F022BD"/>
    <w:rsid w:val="00F23E0B"/>
    <w:rsid w:val="00F36F76"/>
    <w:rsid w:val="00F635F7"/>
    <w:rsid w:val="00F96341"/>
    <w:rsid w:val="00FA2B29"/>
    <w:rsid w:val="00FC3EAA"/>
    <w:rsid w:val="00FD4F0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31CEA8"/>
  <w15:docId w15:val="{6855B261-BE48-4978-8700-D92892328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553F"/>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4402D4"/>
    <w:rPr>
      <w:color w:val="808080"/>
    </w:rPr>
  </w:style>
  <w:style w:type="paragraph" w:styleId="Markeringsbobletekst">
    <w:name w:val="Balloon Text"/>
    <w:basedOn w:val="Normal"/>
    <w:link w:val="MarkeringsbobletekstTegn"/>
    <w:uiPriority w:val="99"/>
    <w:semiHidden/>
    <w:unhideWhenUsed/>
    <w:rsid w:val="004402D4"/>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402D4"/>
    <w:rPr>
      <w:rFonts w:ascii="Tahoma" w:hAnsi="Tahoma" w:cs="Tahoma"/>
      <w:sz w:val="16"/>
      <w:szCs w:val="16"/>
    </w:rPr>
  </w:style>
  <w:style w:type="paragraph" w:styleId="Sidehoved">
    <w:name w:val="header"/>
    <w:basedOn w:val="Normal"/>
    <w:link w:val="SidehovedTegn"/>
    <w:uiPriority w:val="99"/>
    <w:unhideWhenUsed/>
    <w:rsid w:val="00FA2B29"/>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FA2B29"/>
  </w:style>
  <w:style w:type="paragraph" w:styleId="Sidefod">
    <w:name w:val="footer"/>
    <w:basedOn w:val="Normal"/>
    <w:link w:val="SidefodTegn"/>
    <w:uiPriority w:val="99"/>
    <w:unhideWhenUsed/>
    <w:rsid w:val="00FA2B29"/>
    <w:pPr>
      <w:tabs>
        <w:tab w:val="center" w:pos="4819"/>
        <w:tab w:val="right" w:pos="9638"/>
      </w:tabs>
      <w:spacing w:line="240" w:lineRule="auto"/>
    </w:pPr>
  </w:style>
  <w:style w:type="character" w:customStyle="1" w:styleId="SidefodTegn">
    <w:name w:val="Sidefod Tegn"/>
    <w:basedOn w:val="Standardskrifttypeiafsnit"/>
    <w:link w:val="Sidefod"/>
    <w:uiPriority w:val="99"/>
    <w:rsid w:val="00FA2B29"/>
  </w:style>
  <w:style w:type="paragraph" w:customStyle="1" w:styleId="Lillev">
    <w:name w:val="Lille v"/>
    <w:basedOn w:val="Sidehoved"/>
    <w:link w:val="Lille1Tegn"/>
    <w:qFormat/>
    <w:rsid w:val="004D553F"/>
    <w:pPr>
      <w:tabs>
        <w:tab w:val="clear" w:pos="4819"/>
        <w:tab w:val="clear" w:pos="9638"/>
      </w:tabs>
      <w:spacing w:line="200" w:lineRule="atLeast"/>
      <w:ind w:right="3289"/>
      <w:jc w:val="both"/>
    </w:pPr>
    <w:rPr>
      <w:rFonts w:ascii="Arial" w:eastAsia="Times New Roman" w:hAnsi="Arial" w:cs="Times New Roman"/>
      <w:sz w:val="14"/>
      <w:szCs w:val="24"/>
    </w:rPr>
  </w:style>
  <w:style w:type="character" w:customStyle="1" w:styleId="Lille1Tegn">
    <w:name w:val="Lille 1 Tegn"/>
    <w:basedOn w:val="SidehovedTegn"/>
    <w:link w:val="Lillev"/>
    <w:rsid w:val="004D553F"/>
    <w:rPr>
      <w:rFonts w:ascii="Arial" w:eastAsia="Times New Roman" w:hAnsi="Arial" w:cs="Times New Roman"/>
      <w:sz w:val="14"/>
      <w:szCs w:val="24"/>
    </w:rPr>
  </w:style>
  <w:style w:type="table" w:styleId="Tabel-Gitter">
    <w:name w:val="Table Grid"/>
    <w:basedOn w:val="Tabel-Normal"/>
    <w:uiPriority w:val="59"/>
    <w:rsid w:val="00465A3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lle">
    <w:name w:val="Lille"/>
    <w:basedOn w:val="Normal"/>
    <w:link w:val="LilleTegn"/>
    <w:rsid w:val="00465A30"/>
    <w:pPr>
      <w:spacing w:line="200" w:lineRule="atLeast"/>
      <w:jc w:val="right"/>
    </w:pPr>
    <w:rPr>
      <w:rFonts w:ascii="Arial" w:eastAsia="Times New Roman" w:hAnsi="Arial" w:cs="Times New Roman"/>
      <w:sz w:val="14"/>
      <w:szCs w:val="24"/>
    </w:rPr>
  </w:style>
  <w:style w:type="character" w:customStyle="1" w:styleId="LilleTegn">
    <w:name w:val="Lille Tegn"/>
    <w:link w:val="Lille"/>
    <w:rsid w:val="00465A30"/>
    <w:rPr>
      <w:rFonts w:ascii="Arial" w:eastAsia="Times New Roman" w:hAnsi="Arial" w:cs="Times New Roman"/>
      <w:sz w:val="14"/>
      <w:szCs w:val="24"/>
    </w:rPr>
  </w:style>
  <w:style w:type="character" w:styleId="Sidetal">
    <w:name w:val="page number"/>
    <w:rsid w:val="00EE48FC"/>
    <w:rPr>
      <w:rFonts w:ascii="Arial" w:hAnsi="Arial"/>
      <w:sz w:val="14"/>
    </w:rPr>
  </w:style>
  <w:style w:type="paragraph" w:styleId="Korrektur">
    <w:name w:val="Revision"/>
    <w:hidden/>
    <w:uiPriority w:val="99"/>
    <w:semiHidden/>
    <w:rsid w:val="005B095F"/>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225947">
      <w:bodyDiv w:val="1"/>
      <w:marLeft w:val="0"/>
      <w:marRight w:val="0"/>
      <w:marTop w:val="0"/>
      <w:marBottom w:val="0"/>
      <w:divBdr>
        <w:top w:val="none" w:sz="0" w:space="0" w:color="auto"/>
        <w:left w:val="none" w:sz="0" w:space="0" w:color="auto"/>
        <w:bottom w:val="none" w:sz="0" w:space="0" w:color="auto"/>
        <w:right w:val="none" w:sz="0" w:space="0" w:color="auto"/>
      </w:divBdr>
    </w:div>
    <w:div w:id="360713279">
      <w:bodyDiv w:val="1"/>
      <w:marLeft w:val="0"/>
      <w:marRight w:val="0"/>
      <w:marTop w:val="0"/>
      <w:marBottom w:val="0"/>
      <w:divBdr>
        <w:top w:val="none" w:sz="0" w:space="0" w:color="auto"/>
        <w:left w:val="none" w:sz="0" w:space="0" w:color="auto"/>
        <w:bottom w:val="none" w:sz="0" w:space="0" w:color="auto"/>
        <w:right w:val="none" w:sz="0" w:space="0" w:color="auto"/>
      </w:divBdr>
    </w:div>
    <w:div w:id="927353244">
      <w:bodyDiv w:val="1"/>
      <w:marLeft w:val="0"/>
      <w:marRight w:val="0"/>
      <w:marTop w:val="0"/>
      <w:marBottom w:val="0"/>
      <w:divBdr>
        <w:top w:val="none" w:sz="0" w:space="0" w:color="auto"/>
        <w:left w:val="none" w:sz="0" w:space="0" w:color="auto"/>
        <w:bottom w:val="none" w:sz="0" w:space="0" w:color="auto"/>
        <w:right w:val="none" w:sz="0" w:space="0" w:color="auto"/>
      </w:divBdr>
    </w:div>
    <w:div w:id="1641809703">
      <w:bodyDiv w:val="1"/>
      <w:marLeft w:val="0"/>
      <w:marRight w:val="0"/>
      <w:marTop w:val="0"/>
      <w:marBottom w:val="0"/>
      <w:divBdr>
        <w:top w:val="none" w:sz="0" w:space="0" w:color="auto"/>
        <w:left w:val="none" w:sz="0" w:space="0" w:color="auto"/>
        <w:bottom w:val="none" w:sz="0" w:space="0" w:color="auto"/>
        <w:right w:val="none" w:sz="0" w:space="0" w:color="auto"/>
      </w:divBdr>
    </w:div>
    <w:div w:id="1912351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sc\AppData\Local\cBrain\F2\.tmp\557c3fc1d5564e07aa9b21c247968bc8.dot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ns0:Root xmlns:ns0="Captia">
  <ns0:address>
    <Content xmlns="Captia" id="address1">
      <Value/>
    </Content>
    <Content xmlns="Captia" id="name:name1">
      <Value/>
    </Content>
    <Content xmlns="Captia" id="name:name2">
      <Value/>
    </Content>
    <Content xmlns="Captia" id="address2">
      <Value/>
    </Content>
    <Content xmlns="Captia" id="address3">
      <Value/>
    </Content>
    <Content xmlns="Captia" id="postcode">
      <Value/>
    </Content>
    <Content xmlns="Captia" id="postcode">
      <Elab/>
    </Content>
  </ns0:address>
  <ns0:case>
    <Content xmlns="Captia" id="file_no">
      <Value/>
    </Content>
    <ns0:officer>
      <Content xmlns="Captia" id="name1">
        <Value/>
      </Content>
      <Content xmlns="Captia" id="name2">
        <Value/>
      </Content>
      <Content xmlns="Captia" id="address_main:phone_no">
        <Value/>
      </Content>
      <Content xmlns="Captia" id="address_main:email">
        <Value/>
      </Content>
    </ns0:officer>
  </ns0:case>
  <ns0:record>
    <Content xmlns="Captia" id="title">
      <Value/>
    </Content>
    <Content xmlns="Captia" id="letter_date">
      <Value/>
    </Content>
    <Content xmlns="Captia" id="record_key">
      <Value/>
    </Content>
    <ns0:officer>
      <Content xmlns="Captia" id="name1">
        <Value/>
      </Content>
      <Content xmlns="Captia" id="name2">
        <Value/>
      </Content>
      <Content xmlns="Captia" id="address_main:phone_no">
        <Value/>
      </Content>
      <Content xmlns="Captia" id="address_main:email">
        <Value/>
      </Content>
    </ns0:officer>
  </ns0:record>
</ns0:Root>
</file>

<file path=customXml/itemProps1.xml><?xml version="1.0" encoding="utf-8"?>
<ds:datastoreItem xmlns:ds="http://schemas.openxmlformats.org/officeDocument/2006/customXml" ds:itemID="{42551231-4875-43B1-BF09-C868E19E6623}">
  <ds:schemaRefs>
    <ds:schemaRef ds:uri="http://schemas.openxmlformats.org/officeDocument/2006/bibliography"/>
  </ds:schemaRefs>
</ds:datastoreItem>
</file>

<file path=customXml/itemProps2.xml><?xml version="1.0" encoding="utf-8"?>
<ds:datastoreItem xmlns:ds="http://schemas.openxmlformats.org/officeDocument/2006/customXml" ds:itemID="{B27B73CA-A8C0-4576-81C5-9253D6CB1BA5}">
  <ds:schemaRefs>
    <ds:schemaRef ds:uri="Captia"/>
  </ds:schemaRefs>
</ds:datastoreItem>
</file>

<file path=docProps/app.xml><?xml version="1.0" encoding="utf-8"?>
<Properties xmlns="http://schemas.openxmlformats.org/officeDocument/2006/extended-properties" xmlns:vt="http://schemas.openxmlformats.org/officeDocument/2006/docPropsVTypes">
  <Template>557c3fc1d5564e07aa9b21c247968bc8</Template>
  <TotalTime>7063</TotalTime>
  <Pages>3</Pages>
  <Words>1003</Words>
  <Characters>6121</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Kalaallit Nunaanni Namminersorlutik Oqartussat</Company>
  <LinksUpToDate>false</LinksUpToDate>
  <CharactersWithSpaces>7110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Schiøtz</dc:creator>
  <cp:lastModifiedBy>Martin Schiøtz</cp:lastModifiedBy>
  <cp:revision>6</cp:revision>
  <dcterms:created xsi:type="dcterms:W3CDTF">2022-11-25T18:52:00Z</dcterms:created>
  <dcterms:modified xsi:type="dcterms:W3CDTF">2022-12-01T18:10:00Z</dcterms:modified>
</cp:coreProperties>
</file>