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470" w:type="dxa"/>
        <w:tblInd w:w="-459" w:type="dxa"/>
        <w:tblBorders>
          <w:top w:val="none" w:sz="0" w:space="0" w:color="auto"/>
          <w:left w:val="none" w:sz="0" w:space="0" w:color="auto"/>
          <w:bottom w:val="single" w:sz="2" w:space="0" w:color="002060"/>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336"/>
        <w:gridCol w:w="1708"/>
      </w:tblGrid>
      <w:tr w:rsidR="00B06416" w:rsidRPr="00C348A9" w14:paraId="012ACC79" w14:textId="77777777" w:rsidTr="009F7E3F">
        <w:trPr>
          <w:trHeight w:val="1204"/>
        </w:trPr>
        <w:tc>
          <w:tcPr>
            <w:tcW w:w="425" w:type="dxa"/>
            <w:tcBorders>
              <w:bottom w:val="nil"/>
              <w:right w:val="nil"/>
            </w:tcBorders>
          </w:tcPr>
          <w:p w14:paraId="070AEB9D" w14:textId="77777777" w:rsidR="001A42E2" w:rsidRPr="006836D5" w:rsidRDefault="001A42E2" w:rsidP="001A42E2">
            <w:pPr>
              <w:rPr>
                <w:rFonts w:asciiTheme="majorHAnsi" w:hAnsiTheme="majorHAnsi"/>
                <w:szCs w:val="24"/>
              </w:rPr>
            </w:pPr>
          </w:p>
        </w:tc>
        <w:tc>
          <w:tcPr>
            <w:tcW w:w="7340" w:type="dxa"/>
            <w:tcBorders>
              <w:top w:val="nil"/>
              <w:left w:val="nil"/>
              <w:bottom w:val="single" w:sz="2" w:space="0" w:color="C4BC96" w:themeColor="background2" w:themeShade="BF"/>
              <w:right w:val="nil"/>
            </w:tcBorders>
          </w:tcPr>
          <w:p w14:paraId="48FDAD71" w14:textId="77777777" w:rsidR="009D382F" w:rsidRPr="00C23F6E" w:rsidRDefault="009D382F" w:rsidP="00C752D0">
            <w:pPr>
              <w:ind w:left="-75"/>
              <w:rPr>
                <w:rFonts w:ascii="Cambria" w:hAnsi="Cambria"/>
                <w:b/>
                <w:color w:val="17365D" w:themeColor="text2" w:themeShade="BF"/>
                <w:sz w:val="16"/>
                <w:szCs w:val="16"/>
                <w:lang w:val="fr-FR"/>
              </w:rPr>
            </w:pPr>
          </w:p>
          <w:p w14:paraId="46F3A5DC" w14:textId="77777777" w:rsidR="009D382F" w:rsidRPr="009718BB" w:rsidRDefault="00C752D0" w:rsidP="00C752D0">
            <w:pPr>
              <w:ind w:left="-75"/>
              <w:rPr>
                <w:rFonts w:ascii="Cambria" w:hAnsi="Cambria"/>
                <w:color w:val="002060"/>
                <w:sz w:val="20"/>
                <w:lang w:val="en-US"/>
              </w:rPr>
            </w:pPr>
            <w:r w:rsidRPr="009718BB">
              <w:rPr>
                <w:rFonts w:ascii="Cambria" w:hAnsi="Cambria"/>
                <w:b/>
                <w:color w:val="002060"/>
                <w:sz w:val="20"/>
                <w:lang w:val="fr-FR"/>
              </w:rPr>
              <w:t>Kalaallit Nunaanni Aalisartut Piniartullu Kattuffiat</w:t>
            </w:r>
          </w:p>
          <w:p w14:paraId="0C2ED2A6" w14:textId="46E6D5F7" w:rsidR="009D382F" w:rsidRPr="009718BB" w:rsidRDefault="00C752D0" w:rsidP="00C752D0">
            <w:pPr>
              <w:ind w:left="-75"/>
              <w:rPr>
                <w:rFonts w:ascii="Cambria" w:hAnsi="Cambria"/>
                <w:color w:val="002060"/>
                <w:sz w:val="20"/>
                <w:lang w:val="en-US"/>
              </w:rPr>
            </w:pPr>
            <w:r w:rsidRPr="009718BB">
              <w:rPr>
                <w:rFonts w:ascii="Cambria" w:hAnsi="Cambria"/>
                <w:color w:val="002060"/>
                <w:sz w:val="20"/>
                <w:lang w:val="en-US"/>
              </w:rPr>
              <w:t>Fisher</w:t>
            </w:r>
            <w:r w:rsidR="00D72F12">
              <w:rPr>
                <w:rFonts w:ascii="Cambria" w:hAnsi="Cambria"/>
                <w:color w:val="002060"/>
                <w:sz w:val="20"/>
                <w:lang w:val="en-US"/>
              </w:rPr>
              <w:t>men</w:t>
            </w:r>
            <w:r w:rsidRPr="009718BB">
              <w:rPr>
                <w:rFonts w:ascii="Cambria" w:hAnsi="Cambria"/>
                <w:color w:val="002060"/>
                <w:sz w:val="20"/>
                <w:lang w:val="en-US"/>
              </w:rPr>
              <w:t xml:space="preserve"> </w:t>
            </w:r>
            <w:r w:rsidR="00D72F12">
              <w:rPr>
                <w:rFonts w:ascii="Cambria" w:hAnsi="Cambria"/>
                <w:color w:val="002060"/>
                <w:sz w:val="20"/>
                <w:lang w:val="en-US"/>
              </w:rPr>
              <w:t>and</w:t>
            </w:r>
            <w:r w:rsidRPr="009718BB">
              <w:rPr>
                <w:rFonts w:ascii="Cambria" w:hAnsi="Cambria"/>
                <w:color w:val="002060"/>
                <w:sz w:val="20"/>
                <w:lang w:val="en-US"/>
              </w:rPr>
              <w:t xml:space="preserve"> Hunters </w:t>
            </w:r>
            <w:r w:rsidR="00D72F12">
              <w:rPr>
                <w:rFonts w:ascii="Cambria" w:hAnsi="Cambria"/>
                <w:color w:val="002060"/>
                <w:sz w:val="20"/>
                <w:lang w:val="en-US"/>
              </w:rPr>
              <w:t xml:space="preserve">Association </w:t>
            </w:r>
            <w:r w:rsidRPr="009718BB">
              <w:rPr>
                <w:rFonts w:ascii="Cambria" w:hAnsi="Cambria"/>
                <w:color w:val="002060"/>
                <w:sz w:val="20"/>
                <w:lang w:val="en-US"/>
              </w:rPr>
              <w:t>in Greenland</w:t>
            </w:r>
          </w:p>
          <w:p w14:paraId="7B53E917" w14:textId="2542E9D6" w:rsidR="001A42E2" w:rsidRPr="00C752D0" w:rsidRDefault="00C752D0" w:rsidP="00C752D0">
            <w:pPr>
              <w:ind w:hanging="75"/>
              <w:rPr>
                <w:rFonts w:ascii="Cambria" w:hAnsi="Cambria"/>
                <w:szCs w:val="24"/>
              </w:rPr>
            </w:pPr>
            <w:r w:rsidRPr="009718BB">
              <w:rPr>
                <w:rFonts w:ascii="Cambria" w:hAnsi="Cambria"/>
                <w:color w:val="002060"/>
                <w:sz w:val="20"/>
              </w:rPr>
              <w:t>Fisker</w:t>
            </w:r>
            <w:r w:rsidR="00D72F12">
              <w:rPr>
                <w:rFonts w:ascii="Cambria" w:hAnsi="Cambria"/>
                <w:color w:val="002060"/>
                <w:sz w:val="20"/>
              </w:rPr>
              <w:t>n</w:t>
            </w:r>
            <w:r w:rsidRPr="009718BB">
              <w:rPr>
                <w:rFonts w:ascii="Cambria" w:hAnsi="Cambria"/>
                <w:color w:val="002060"/>
                <w:sz w:val="20"/>
              </w:rPr>
              <w:t>e</w:t>
            </w:r>
            <w:r w:rsidR="00D72F12">
              <w:rPr>
                <w:rFonts w:ascii="Cambria" w:hAnsi="Cambria"/>
                <w:color w:val="002060"/>
                <w:sz w:val="20"/>
              </w:rPr>
              <w:t>s</w:t>
            </w:r>
            <w:r w:rsidRPr="009718BB">
              <w:rPr>
                <w:rFonts w:ascii="Cambria" w:hAnsi="Cambria"/>
                <w:color w:val="002060"/>
                <w:sz w:val="20"/>
              </w:rPr>
              <w:t xml:space="preserve"> og Fanger</w:t>
            </w:r>
            <w:r w:rsidR="00D72F12">
              <w:rPr>
                <w:rFonts w:ascii="Cambria" w:hAnsi="Cambria"/>
                <w:color w:val="002060"/>
                <w:sz w:val="20"/>
              </w:rPr>
              <w:t>n</w:t>
            </w:r>
            <w:r w:rsidRPr="009718BB">
              <w:rPr>
                <w:rFonts w:ascii="Cambria" w:hAnsi="Cambria"/>
                <w:color w:val="002060"/>
                <w:sz w:val="20"/>
              </w:rPr>
              <w:t>e</w:t>
            </w:r>
            <w:r w:rsidR="00D72F12">
              <w:rPr>
                <w:rFonts w:ascii="Cambria" w:hAnsi="Cambria"/>
                <w:color w:val="002060"/>
                <w:sz w:val="20"/>
              </w:rPr>
              <w:t>s</w:t>
            </w:r>
            <w:r w:rsidRPr="009718BB">
              <w:rPr>
                <w:rFonts w:ascii="Cambria" w:hAnsi="Cambria"/>
                <w:color w:val="002060"/>
                <w:sz w:val="20"/>
              </w:rPr>
              <w:t xml:space="preserve"> </w:t>
            </w:r>
            <w:r w:rsidR="00D72F12">
              <w:rPr>
                <w:rFonts w:ascii="Cambria" w:hAnsi="Cambria"/>
                <w:color w:val="002060"/>
                <w:sz w:val="20"/>
              </w:rPr>
              <w:t xml:space="preserve">Sammenslutning </w:t>
            </w:r>
            <w:r w:rsidRPr="009718BB">
              <w:rPr>
                <w:rFonts w:ascii="Cambria" w:hAnsi="Cambria"/>
                <w:color w:val="002060"/>
                <w:sz w:val="20"/>
              </w:rPr>
              <w:t>i Grønland</w:t>
            </w:r>
          </w:p>
        </w:tc>
        <w:tc>
          <w:tcPr>
            <w:tcW w:w="1703" w:type="dxa"/>
            <w:tcBorders>
              <w:left w:val="nil"/>
              <w:bottom w:val="nil"/>
            </w:tcBorders>
          </w:tcPr>
          <w:p w14:paraId="5D221FCC" w14:textId="3E15CB56" w:rsidR="00D72F12" w:rsidRPr="001A42E2" w:rsidRDefault="009F7E3F" w:rsidP="00A479B9">
            <w:pPr>
              <w:jc w:val="right"/>
              <w:rPr>
                <w:lang w:val="en-US"/>
              </w:rPr>
            </w:pPr>
            <w:r w:rsidRPr="009F7E3F">
              <w:rPr>
                <w:noProof/>
              </w:rPr>
              <w:drawing>
                <wp:inline distT="0" distB="0" distL="0" distR="0" wp14:anchorId="02F4765B" wp14:editId="3C144C73">
                  <wp:extent cx="733425" cy="733425"/>
                  <wp:effectExtent l="0" t="0" r="9525" b="9525"/>
                  <wp:docPr id="6" name="Billede 5">
                    <a:extLst xmlns:a="http://schemas.openxmlformats.org/drawingml/2006/main">
                      <a:ext uri="{FF2B5EF4-FFF2-40B4-BE49-F238E27FC236}">
                        <a16:creationId xmlns:a16="http://schemas.microsoft.com/office/drawing/2014/main" id="{8E5418BE-5320-46BB-BD9D-03141761E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5">
                            <a:extLst>
                              <a:ext uri="{FF2B5EF4-FFF2-40B4-BE49-F238E27FC236}">
                                <a16:creationId xmlns:a16="http://schemas.microsoft.com/office/drawing/2014/main" id="{8E5418BE-5320-46BB-BD9D-03141761EAFE}"/>
                              </a:ext>
                            </a:extLst>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33425" cy="733425"/>
                          </a:xfrm>
                          <a:prstGeom prst="rect">
                            <a:avLst/>
                          </a:prstGeom>
                        </pic:spPr>
                      </pic:pic>
                    </a:graphicData>
                  </a:graphic>
                </wp:inline>
              </w:drawing>
            </w:r>
          </w:p>
        </w:tc>
      </w:tr>
      <w:tr w:rsidR="00D72F12" w:rsidRPr="00163D6E" w14:paraId="3BFCA261" w14:textId="77777777" w:rsidTr="009F7E3F">
        <w:trPr>
          <w:gridBefore w:val="1"/>
          <w:wBefore w:w="426" w:type="dxa"/>
          <w:trHeight w:val="1189"/>
        </w:trPr>
        <w:tc>
          <w:tcPr>
            <w:tcW w:w="7335" w:type="dxa"/>
            <w:tcBorders>
              <w:top w:val="single" w:sz="4" w:space="0" w:color="C4BC96" w:themeColor="background2" w:themeShade="BF"/>
              <w:bottom w:val="nil"/>
              <w:right w:val="single" w:sz="4" w:space="0" w:color="C4BC96" w:themeColor="background2" w:themeShade="BF"/>
            </w:tcBorders>
          </w:tcPr>
          <w:p w14:paraId="3DBDD407" w14:textId="77777777" w:rsidR="00A479B9" w:rsidRPr="00163D6E" w:rsidRDefault="00A479B9" w:rsidP="00D72F12">
            <w:pPr>
              <w:tabs>
                <w:tab w:val="left" w:pos="-2688"/>
              </w:tabs>
              <w:rPr>
                <w:sz w:val="22"/>
                <w:szCs w:val="22"/>
              </w:rPr>
            </w:pPr>
          </w:p>
          <w:p w14:paraId="314AC5BF" w14:textId="1D70CE99" w:rsidR="00942D80" w:rsidRDefault="00EB26AB" w:rsidP="00D72F12">
            <w:pPr>
              <w:tabs>
                <w:tab w:val="left" w:pos="-2688"/>
              </w:tabs>
              <w:rPr>
                <w:sz w:val="22"/>
                <w:szCs w:val="22"/>
              </w:rPr>
            </w:pPr>
            <w:r>
              <w:rPr>
                <w:sz w:val="22"/>
                <w:szCs w:val="22"/>
              </w:rPr>
              <w:t xml:space="preserve">APN – </w:t>
            </w:r>
            <w:r w:rsidR="00844F8D">
              <w:rPr>
                <w:sz w:val="22"/>
                <w:szCs w:val="22"/>
              </w:rPr>
              <w:t>Departementet for Fiskeri og Fangst</w:t>
            </w:r>
          </w:p>
          <w:p w14:paraId="62BE395F" w14:textId="77777777" w:rsidR="00EB26AB" w:rsidRPr="00CE6E24" w:rsidRDefault="00EB26AB" w:rsidP="00D72F12">
            <w:pPr>
              <w:tabs>
                <w:tab w:val="left" w:pos="-2688"/>
              </w:tabs>
              <w:rPr>
                <w:sz w:val="22"/>
                <w:szCs w:val="22"/>
                <w:lang w:val="en-US"/>
              </w:rPr>
            </w:pPr>
            <w:proofErr w:type="spellStart"/>
            <w:r w:rsidRPr="00CE6E24">
              <w:rPr>
                <w:sz w:val="22"/>
                <w:szCs w:val="22"/>
                <w:lang w:val="en-US"/>
              </w:rPr>
              <w:t>Postboks</w:t>
            </w:r>
            <w:proofErr w:type="spellEnd"/>
            <w:r w:rsidRPr="00CE6E24">
              <w:rPr>
                <w:sz w:val="22"/>
                <w:szCs w:val="22"/>
                <w:lang w:val="en-US"/>
              </w:rPr>
              <w:t xml:space="preserve"> 269</w:t>
            </w:r>
          </w:p>
          <w:p w14:paraId="64E8C5CC" w14:textId="77777777" w:rsidR="00EB26AB" w:rsidRPr="00082C6B" w:rsidRDefault="00EB26AB" w:rsidP="00D72F12">
            <w:pPr>
              <w:tabs>
                <w:tab w:val="left" w:pos="-2688"/>
              </w:tabs>
              <w:rPr>
                <w:sz w:val="22"/>
                <w:szCs w:val="22"/>
                <w:lang w:val="en-US"/>
              </w:rPr>
            </w:pPr>
            <w:r w:rsidRPr="00082C6B">
              <w:rPr>
                <w:sz w:val="22"/>
                <w:szCs w:val="22"/>
                <w:lang w:val="en-US"/>
              </w:rPr>
              <w:t>3900 Nuuk</w:t>
            </w:r>
          </w:p>
          <w:p w14:paraId="7F87B458" w14:textId="77777777" w:rsidR="00EB26AB" w:rsidRPr="00082C6B" w:rsidRDefault="00EB26AB" w:rsidP="00D72F12">
            <w:pPr>
              <w:tabs>
                <w:tab w:val="left" w:pos="-2688"/>
              </w:tabs>
              <w:rPr>
                <w:sz w:val="22"/>
                <w:szCs w:val="22"/>
                <w:lang w:val="en-US"/>
              </w:rPr>
            </w:pPr>
          </w:p>
          <w:p w14:paraId="422D4997" w14:textId="1A86E190" w:rsidR="00EB26AB" w:rsidRPr="00082C6B" w:rsidRDefault="00EB26AB" w:rsidP="00D72F12">
            <w:pPr>
              <w:tabs>
                <w:tab w:val="left" w:pos="-2688"/>
              </w:tabs>
              <w:rPr>
                <w:sz w:val="22"/>
                <w:szCs w:val="22"/>
                <w:lang w:val="en-US"/>
              </w:rPr>
            </w:pPr>
            <w:r w:rsidRPr="00082C6B">
              <w:rPr>
                <w:sz w:val="22"/>
                <w:szCs w:val="22"/>
                <w:lang w:val="en-US"/>
              </w:rPr>
              <w:t xml:space="preserve">Email.: </w:t>
            </w:r>
            <w:hyperlink r:id="rId10" w:history="1">
              <w:r w:rsidRPr="00082C6B">
                <w:rPr>
                  <w:rStyle w:val="Hyperlink"/>
                  <w:sz w:val="22"/>
                  <w:szCs w:val="22"/>
                  <w:lang w:val="en-US"/>
                </w:rPr>
                <w:t>apn@nanoq.gl</w:t>
              </w:r>
            </w:hyperlink>
            <w:r w:rsidRPr="00082C6B">
              <w:rPr>
                <w:sz w:val="22"/>
                <w:szCs w:val="22"/>
                <w:lang w:val="en-US"/>
              </w:rPr>
              <w:t xml:space="preserve"> </w:t>
            </w:r>
          </w:p>
        </w:tc>
        <w:tc>
          <w:tcPr>
            <w:tcW w:w="1709" w:type="dxa"/>
            <w:tcBorders>
              <w:top w:val="nil"/>
              <w:left w:val="single" w:sz="4" w:space="0" w:color="C4BC96" w:themeColor="background2" w:themeShade="BF"/>
              <w:bottom w:val="nil"/>
              <w:right w:val="nil"/>
            </w:tcBorders>
            <w:vAlign w:val="bottom"/>
          </w:tcPr>
          <w:p w14:paraId="5E6CF9B3" w14:textId="77777777" w:rsidR="00D72F12" w:rsidRPr="00163D6E" w:rsidRDefault="00D72F12" w:rsidP="00D72F12">
            <w:pPr>
              <w:jc w:val="right"/>
              <w:rPr>
                <w:b/>
                <w:iCs/>
                <w:color w:val="002060"/>
                <w:sz w:val="14"/>
                <w:szCs w:val="14"/>
                <w:lang w:val="en-US"/>
              </w:rPr>
            </w:pPr>
            <w:proofErr w:type="spellStart"/>
            <w:r w:rsidRPr="00163D6E">
              <w:rPr>
                <w:iCs/>
                <w:color w:val="002060"/>
                <w:sz w:val="14"/>
                <w:szCs w:val="14"/>
                <w:lang w:val="en-US"/>
              </w:rPr>
              <w:t>Allaffeqarfik</w:t>
            </w:r>
            <w:proofErr w:type="spellEnd"/>
            <w:r w:rsidRPr="00163D6E">
              <w:rPr>
                <w:iCs/>
                <w:color w:val="002060"/>
                <w:sz w:val="14"/>
                <w:szCs w:val="14"/>
                <w:lang w:val="en-US"/>
              </w:rPr>
              <w:t>/Head Office:</w:t>
            </w:r>
          </w:p>
          <w:p w14:paraId="12546F7B" w14:textId="1FB5172E" w:rsidR="00D72F12" w:rsidRPr="00163D6E" w:rsidRDefault="00D72F12" w:rsidP="00D72F12">
            <w:pPr>
              <w:jc w:val="right"/>
              <w:rPr>
                <w:color w:val="000000" w:themeColor="text1"/>
                <w:sz w:val="14"/>
                <w:szCs w:val="14"/>
                <w:lang w:val="en-US"/>
              </w:rPr>
            </w:pPr>
            <w:proofErr w:type="spellStart"/>
            <w:r w:rsidRPr="00163D6E">
              <w:rPr>
                <w:color w:val="000000" w:themeColor="text1"/>
                <w:sz w:val="14"/>
                <w:szCs w:val="14"/>
                <w:lang w:val="en-US"/>
              </w:rPr>
              <w:t>Aqqusinersuaq</w:t>
            </w:r>
            <w:proofErr w:type="spellEnd"/>
            <w:r w:rsidRPr="00163D6E">
              <w:rPr>
                <w:color w:val="000000" w:themeColor="text1"/>
                <w:sz w:val="14"/>
                <w:szCs w:val="14"/>
                <w:lang w:val="en-US"/>
              </w:rPr>
              <w:t xml:space="preserve"> 31, 1. Sal</w:t>
            </w:r>
          </w:p>
          <w:p w14:paraId="6C9A2291" w14:textId="77777777" w:rsidR="00D72F12" w:rsidRPr="00163D6E" w:rsidRDefault="00D72F12" w:rsidP="00D72F12">
            <w:pPr>
              <w:jc w:val="right"/>
              <w:rPr>
                <w:color w:val="000000" w:themeColor="text1"/>
                <w:sz w:val="14"/>
                <w:szCs w:val="14"/>
                <w:lang w:val="en-US"/>
              </w:rPr>
            </w:pPr>
            <w:r w:rsidRPr="00163D6E">
              <w:rPr>
                <w:color w:val="000000" w:themeColor="text1"/>
                <w:sz w:val="14"/>
                <w:szCs w:val="14"/>
                <w:lang w:val="en-US"/>
              </w:rPr>
              <w:t>P.O. Box 386</w:t>
            </w:r>
          </w:p>
          <w:p w14:paraId="260413C2" w14:textId="77777777" w:rsidR="00D72F12" w:rsidRPr="00163D6E" w:rsidRDefault="00D72F12" w:rsidP="00D72F12">
            <w:pPr>
              <w:jc w:val="right"/>
              <w:rPr>
                <w:color w:val="000000" w:themeColor="text1"/>
                <w:sz w:val="14"/>
                <w:szCs w:val="14"/>
                <w:lang w:val="en-US"/>
              </w:rPr>
            </w:pPr>
            <w:r w:rsidRPr="00163D6E">
              <w:rPr>
                <w:color w:val="000000" w:themeColor="text1"/>
                <w:sz w:val="14"/>
                <w:szCs w:val="14"/>
                <w:lang w:val="en-US"/>
              </w:rPr>
              <w:t>3900 Nuuk</w:t>
            </w:r>
          </w:p>
          <w:p w14:paraId="358AF62A" w14:textId="77777777" w:rsidR="00D72F12" w:rsidRPr="00163D6E" w:rsidRDefault="00D72F12" w:rsidP="00D72F12">
            <w:pPr>
              <w:jc w:val="right"/>
              <w:rPr>
                <w:color w:val="000000" w:themeColor="text1"/>
                <w:sz w:val="14"/>
                <w:szCs w:val="14"/>
                <w:lang w:val="en-US"/>
              </w:rPr>
            </w:pPr>
          </w:p>
          <w:p w14:paraId="5EA76586" w14:textId="77777777" w:rsidR="00D72F12" w:rsidRPr="00163D6E" w:rsidRDefault="00D72F12" w:rsidP="00D72F12">
            <w:pPr>
              <w:jc w:val="right"/>
              <w:rPr>
                <w:iCs/>
                <w:color w:val="000000" w:themeColor="text1"/>
                <w:sz w:val="14"/>
                <w:szCs w:val="14"/>
                <w:lang w:val="en-US"/>
              </w:rPr>
            </w:pPr>
            <w:proofErr w:type="spellStart"/>
            <w:r w:rsidRPr="00163D6E">
              <w:rPr>
                <w:iCs/>
                <w:color w:val="000000" w:themeColor="text1"/>
                <w:sz w:val="14"/>
                <w:szCs w:val="14"/>
                <w:lang w:val="en-US"/>
              </w:rPr>
              <w:t>Tlf</w:t>
            </w:r>
            <w:proofErr w:type="spellEnd"/>
            <w:r w:rsidRPr="00163D6E">
              <w:rPr>
                <w:iCs/>
                <w:color w:val="000000" w:themeColor="text1"/>
                <w:sz w:val="14"/>
                <w:szCs w:val="14"/>
                <w:lang w:val="en-US"/>
              </w:rPr>
              <w:t>.: +299 32 24 22</w:t>
            </w:r>
          </w:p>
          <w:p w14:paraId="15B42BAF" w14:textId="005B6BF1" w:rsidR="00D72F12" w:rsidRPr="00163D6E" w:rsidRDefault="00D72F12" w:rsidP="00D72F12">
            <w:pPr>
              <w:jc w:val="right"/>
              <w:rPr>
                <w:iCs/>
                <w:color w:val="000000" w:themeColor="text1"/>
                <w:sz w:val="14"/>
                <w:szCs w:val="14"/>
                <w:lang w:val="en-US"/>
              </w:rPr>
            </w:pPr>
            <w:r w:rsidRPr="00163D6E">
              <w:rPr>
                <w:iCs/>
                <w:color w:val="000000" w:themeColor="text1"/>
                <w:sz w:val="14"/>
                <w:szCs w:val="14"/>
                <w:lang w:val="en-US"/>
              </w:rPr>
              <w:t xml:space="preserve">Fax: +299 32 57 </w:t>
            </w:r>
          </w:p>
        </w:tc>
      </w:tr>
      <w:tr w:rsidR="00D72F12" w:rsidRPr="00163D6E" w14:paraId="58773779" w14:textId="77777777" w:rsidTr="009F7E3F">
        <w:trPr>
          <w:gridBefore w:val="1"/>
          <w:wBefore w:w="426" w:type="dxa"/>
          <w:trHeight w:val="350"/>
        </w:trPr>
        <w:tc>
          <w:tcPr>
            <w:tcW w:w="7335" w:type="dxa"/>
            <w:tcBorders>
              <w:top w:val="nil"/>
              <w:left w:val="nil"/>
              <w:bottom w:val="nil"/>
              <w:right w:val="single" w:sz="4" w:space="0" w:color="C4BC96" w:themeColor="background2" w:themeShade="BF"/>
            </w:tcBorders>
          </w:tcPr>
          <w:p w14:paraId="380BE144" w14:textId="179C5F57" w:rsidR="000C4C4C" w:rsidRPr="00163D6E" w:rsidRDefault="000C4C4C" w:rsidP="00D72F12">
            <w:pPr>
              <w:rPr>
                <w:sz w:val="22"/>
                <w:szCs w:val="22"/>
              </w:rPr>
            </w:pPr>
          </w:p>
        </w:tc>
        <w:tc>
          <w:tcPr>
            <w:tcW w:w="1709" w:type="dxa"/>
            <w:tcBorders>
              <w:left w:val="single" w:sz="4" w:space="0" w:color="C4BC96" w:themeColor="background2" w:themeShade="BF"/>
              <w:bottom w:val="nil"/>
              <w:right w:val="nil"/>
            </w:tcBorders>
            <w:vAlign w:val="bottom"/>
          </w:tcPr>
          <w:p w14:paraId="3ACDBA35" w14:textId="77777777" w:rsidR="00D72F12" w:rsidRPr="00163D6E" w:rsidRDefault="00D72F12" w:rsidP="00D72F12">
            <w:pPr>
              <w:jc w:val="right"/>
              <w:rPr>
                <w:color w:val="000000" w:themeColor="text1"/>
                <w:sz w:val="14"/>
                <w:szCs w:val="14"/>
              </w:rPr>
            </w:pPr>
          </w:p>
          <w:p w14:paraId="016D4831" w14:textId="77777777" w:rsidR="00D72F12" w:rsidRPr="00163D6E" w:rsidRDefault="00D72F12" w:rsidP="00D72F12">
            <w:pPr>
              <w:jc w:val="right"/>
              <w:rPr>
                <w:color w:val="000000" w:themeColor="text1"/>
                <w:sz w:val="14"/>
                <w:szCs w:val="14"/>
                <w:lang w:val="en-US"/>
              </w:rPr>
            </w:pPr>
            <w:r w:rsidRPr="00163D6E">
              <w:rPr>
                <w:color w:val="000000" w:themeColor="text1"/>
                <w:sz w:val="14"/>
                <w:szCs w:val="14"/>
                <w:lang w:val="en-US"/>
              </w:rPr>
              <w:t xml:space="preserve">Email: </w:t>
            </w:r>
            <w:hyperlink r:id="rId11" w:history="1">
              <w:r w:rsidRPr="00163D6E">
                <w:rPr>
                  <w:rStyle w:val="Hyperlink"/>
                  <w:sz w:val="14"/>
                  <w:szCs w:val="14"/>
                  <w:lang w:val="en-US"/>
                </w:rPr>
                <w:t>knapk@knapk.gl</w:t>
              </w:r>
            </w:hyperlink>
            <w:r w:rsidRPr="00163D6E">
              <w:rPr>
                <w:rStyle w:val="Hyperlink"/>
                <w:color w:val="000000" w:themeColor="text1"/>
                <w:sz w:val="14"/>
                <w:szCs w:val="14"/>
                <w:lang w:val="en-US"/>
              </w:rPr>
              <w:t xml:space="preserve">  </w:t>
            </w:r>
          </w:p>
        </w:tc>
      </w:tr>
      <w:tr w:rsidR="00D72F12" w:rsidRPr="00163D6E" w14:paraId="027F0BB5" w14:textId="77777777" w:rsidTr="009F7E3F">
        <w:trPr>
          <w:gridBefore w:val="1"/>
          <w:wBefore w:w="426" w:type="dxa"/>
          <w:trHeight w:val="350"/>
        </w:trPr>
        <w:tc>
          <w:tcPr>
            <w:tcW w:w="7335" w:type="dxa"/>
            <w:tcBorders>
              <w:top w:val="nil"/>
              <w:left w:val="nil"/>
              <w:bottom w:val="nil"/>
              <w:right w:val="single" w:sz="4" w:space="0" w:color="C4BC96" w:themeColor="background2" w:themeShade="BF"/>
            </w:tcBorders>
          </w:tcPr>
          <w:p w14:paraId="7097F539" w14:textId="05896152" w:rsidR="00D72F12" w:rsidRPr="00EB22B3" w:rsidRDefault="00D72F12" w:rsidP="00D72F12">
            <w:pPr>
              <w:rPr>
                <w:color w:val="FF0000"/>
                <w:sz w:val="28"/>
                <w:szCs w:val="28"/>
                <w:lang w:val="en-US"/>
              </w:rPr>
            </w:pPr>
          </w:p>
        </w:tc>
        <w:tc>
          <w:tcPr>
            <w:tcW w:w="1709" w:type="dxa"/>
            <w:tcBorders>
              <w:left w:val="single" w:sz="4" w:space="0" w:color="C4BC96" w:themeColor="background2" w:themeShade="BF"/>
              <w:bottom w:val="nil"/>
              <w:right w:val="nil"/>
            </w:tcBorders>
            <w:vAlign w:val="bottom"/>
          </w:tcPr>
          <w:p w14:paraId="0F1C0793" w14:textId="77777777" w:rsidR="00511778" w:rsidRPr="00163D6E" w:rsidRDefault="00D72F12" w:rsidP="00D72F12">
            <w:pPr>
              <w:jc w:val="right"/>
              <w:rPr>
                <w:rStyle w:val="Hyperlink"/>
                <w:sz w:val="14"/>
                <w:szCs w:val="14"/>
                <w:lang w:val="en-US"/>
              </w:rPr>
            </w:pPr>
            <w:r w:rsidRPr="00163D6E">
              <w:rPr>
                <w:color w:val="000000" w:themeColor="text1"/>
                <w:sz w:val="14"/>
                <w:szCs w:val="14"/>
                <w:lang w:val="en-US"/>
              </w:rPr>
              <w:t xml:space="preserve">Homepage: </w:t>
            </w:r>
            <w:hyperlink r:id="rId12" w:history="1">
              <w:r w:rsidRPr="00163D6E">
                <w:rPr>
                  <w:rStyle w:val="Hyperlink"/>
                  <w:sz w:val="14"/>
                  <w:szCs w:val="14"/>
                  <w:lang w:val="en-US"/>
                </w:rPr>
                <w:t>www.knapk.gl</w:t>
              </w:r>
            </w:hyperlink>
          </w:p>
          <w:p w14:paraId="10A76FF7" w14:textId="797B6D46" w:rsidR="00D72F12" w:rsidRPr="00163D6E" w:rsidRDefault="00D72F12" w:rsidP="00D72F12">
            <w:pPr>
              <w:jc w:val="right"/>
              <w:rPr>
                <w:color w:val="000000" w:themeColor="text1"/>
                <w:sz w:val="14"/>
                <w:szCs w:val="14"/>
                <w:lang w:val="en-US"/>
              </w:rPr>
            </w:pPr>
            <w:r w:rsidRPr="00163D6E">
              <w:rPr>
                <w:rStyle w:val="Hyperlink"/>
                <w:color w:val="000000" w:themeColor="text1"/>
                <w:sz w:val="14"/>
                <w:szCs w:val="14"/>
                <w:lang w:val="en-US"/>
              </w:rPr>
              <w:t xml:space="preserve"> </w:t>
            </w:r>
          </w:p>
        </w:tc>
      </w:tr>
      <w:tr w:rsidR="00D72F12" w:rsidRPr="00163D6E" w14:paraId="0886DA4B" w14:textId="77777777" w:rsidTr="009F7E3F">
        <w:trPr>
          <w:gridBefore w:val="1"/>
          <w:wBefore w:w="426" w:type="dxa"/>
          <w:trHeight w:val="350"/>
        </w:trPr>
        <w:tc>
          <w:tcPr>
            <w:tcW w:w="7335" w:type="dxa"/>
            <w:tcBorders>
              <w:top w:val="nil"/>
              <w:left w:val="nil"/>
              <w:bottom w:val="nil"/>
              <w:right w:val="single" w:sz="4" w:space="0" w:color="C4BC96" w:themeColor="background2" w:themeShade="BF"/>
            </w:tcBorders>
          </w:tcPr>
          <w:p w14:paraId="61DE17FD" w14:textId="77777777" w:rsidR="00D72F12" w:rsidRPr="00163D6E" w:rsidRDefault="00D72F12" w:rsidP="00D72F12">
            <w:pPr>
              <w:rPr>
                <w:sz w:val="22"/>
                <w:szCs w:val="22"/>
              </w:rPr>
            </w:pPr>
          </w:p>
        </w:tc>
        <w:tc>
          <w:tcPr>
            <w:tcW w:w="1709" w:type="dxa"/>
            <w:tcBorders>
              <w:left w:val="single" w:sz="4" w:space="0" w:color="C4BC96" w:themeColor="background2" w:themeShade="BF"/>
              <w:bottom w:val="nil"/>
              <w:right w:val="nil"/>
            </w:tcBorders>
          </w:tcPr>
          <w:p w14:paraId="204B317C" w14:textId="30CDB746" w:rsidR="00D72F12" w:rsidRPr="00163D6E" w:rsidRDefault="00D72F12" w:rsidP="00D72F12">
            <w:pPr>
              <w:jc w:val="right"/>
              <w:rPr>
                <w:color w:val="000000" w:themeColor="text1"/>
                <w:sz w:val="14"/>
                <w:szCs w:val="14"/>
                <w:lang w:val="en-US"/>
              </w:rPr>
            </w:pPr>
            <w:proofErr w:type="spellStart"/>
            <w:r w:rsidRPr="00163D6E">
              <w:rPr>
                <w:color w:val="000000" w:themeColor="text1"/>
                <w:sz w:val="14"/>
                <w:szCs w:val="14"/>
                <w:lang w:val="en-US"/>
              </w:rPr>
              <w:t>Ulloq</w:t>
            </w:r>
            <w:proofErr w:type="spellEnd"/>
            <w:r w:rsidRPr="00163D6E">
              <w:rPr>
                <w:color w:val="000000" w:themeColor="text1"/>
                <w:sz w:val="14"/>
                <w:szCs w:val="14"/>
                <w:lang w:val="en-US"/>
              </w:rPr>
              <w:t xml:space="preserve">, </w:t>
            </w:r>
            <w:r w:rsidR="00D917B9">
              <w:rPr>
                <w:color w:val="000000" w:themeColor="text1"/>
                <w:sz w:val="14"/>
                <w:szCs w:val="14"/>
                <w:lang w:val="en-US"/>
              </w:rPr>
              <w:t>10.09.</w:t>
            </w:r>
            <w:r w:rsidRPr="00163D6E">
              <w:rPr>
                <w:color w:val="000000" w:themeColor="text1"/>
                <w:sz w:val="14"/>
                <w:szCs w:val="14"/>
                <w:lang w:val="en-US"/>
              </w:rPr>
              <w:t>20</w:t>
            </w:r>
            <w:r w:rsidR="00CA2596" w:rsidRPr="00163D6E">
              <w:rPr>
                <w:color w:val="000000" w:themeColor="text1"/>
                <w:sz w:val="14"/>
                <w:szCs w:val="14"/>
                <w:lang w:val="en-US"/>
              </w:rPr>
              <w:t>22</w:t>
            </w:r>
          </w:p>
          <w:p w14:paraId="7FB61D16" w14:textId="79C9C6C2" w:rsidR="00D72F12" w:rsidRPr="00163D6E" w:rsidRDefault="00D72F12" w:rsidP="00D72F12">
            <w:pPr>
              <w:jc w:val="right"/>
              <w:rPr>
                <w:color w:val="000000" w:themeColor="text1"/>
                <w:sz w:val="14"/>
                <w:szCs w:val="14"/>
                <w:lang w:val="en-US"/>
              </w:rPr>
            </w:pPr>
            <w:r w:rsidRPr="00163D6E">
              <w:rPr>
                <w:color w:val="000000" w:themeColor="text1"/>
                <w:sz w:val="14"/>
                <w:szCs w:val="14"/>
                <w:lang w:val="en-US"/>
              </w:rPr>
              <w:t>J.nr.</w:t>
            </w:r>
            <w:r w:rsidR="00D917B9">
              <w:rPr>
                <w:color w:val="000000" w:themeColor="text1"/>
                <w:sz w:val="14"/>
                <w:szCs w:val="14"/>
                <w:lang w:val="en-US"/>
              </w:rPr>
              <w:t>11.02.02</w:t>
            </w:r>
            <w:r w:rsidR="00905DDB" w:rsidRPr="00163D6E">
              <w:rPr>
                <w:color w:val="000000" w:themeColor="text1"/>
                <w:sz w:val="14"/>
                <w:szCs w:val="14"/>
                <w:lang w:val="en-US"/>
              </w:rPr>
              <w:t xml:space="preserve"> </w:t>
            </w:r>
          </w:p>
        </w:tc>
      </w:tr>
      <w:tr w:rsidR="009F7E3F" w:rsidRPr="00163D6E" w14:paraId="3FB89159" w14:textId="77777777" w:rsidTr="009F7E3F">
        <w:trPr>
          <w:gridBefore w:val="1"/>
          <w:wBefore w:w="426" w:type="dxa"/>
          <w:trHeight w:val="213"/>
        </w:trPr>
        <w:tc>
          <w:tcPr>
            <w:tcW w:w="7335" w:type="dxa"/>
            <w:tcBorders>
              <w:top w:val="nil"/>
              <w:left w:val="nil"/>
              <w:bottom w:val="nil"/>
              <w:right w:val="single" w:sz="4" w:space="0" w:color="C4BC96" w:themeColor="background2" w:themeShade="BF"/>
            </w:tcBorders>
          </w:tcPr>
          <w:p w14:paraId="0F842CAB" w14:textId="77777777" w:rsidR="009F7E3F" w:rsidRPr="00163D6E" w:rsidRDefault="009F7E3F" w:rsidP="00267116">
            <w:pPr>
              <w:rPr>
                <w:color w:val="00194C"/>
                <w:sz w:val="18"/>
                <w:szCs w:val="18"/>
                <w:lang w:val="en-US"/>
              </w:rPr>
            </w:pPr>
          </w:p>
        </w:tc>
        <w:tc>
          <w:tcPr>
            <w:tcW w:w="1709" w:type="dxa"/>
            <w:tcBorders>
              <w:left w:val="single" w:sz="4" w:space="0" w:color="C4BC96" w:themeColor="background2" w:themeShade="BF"/>
              <w:bottom w:val="nil"/>
              <w:right w:val="nil"/>
            </w:tcBorders>
          </w:tcPr>
          <w:p w14:paraId="5CB2501F" w14:textId="6AF7D711" w:rsidR="009F7E3F" w:rsidRPr="00163D6E" w:rsidRDefault="009F7E3F" w:rsidP="00267116">
            <w:pPr>
              <w:rPr>
                <w:color w:val="000000" w:themeColor="text1"/>
                <w:sz w:val="14"/>
                <w:szCs w:val="14"/>
                <w:lang w:val="en-US"/>
              </w:rPr>
            </w:pPr>
          </w:p>
        </w:tc>
      </w:tr>
      <w:tr w:rsidR="00D72F12" w:rsidRPr="00163D6E" w14:paraId="36202D42" w14:textId="77777777" w:rsidTr="009F7E3F">
        <w:trPr>
          <w:gridBefore w:val="1"/>
          <w:wBefore w:w="426" w:type="dxa"/>
          <w:trHeight w:val="60"/>
        </w:trPr>
        <w:tc>
          <w:tcPr>
            <w:tcW w:w="7340" w:type="dxa"/>
            <w:tcBorders>
              <w:top w:val="nil"/>
              <w:left w:val="nil"/>
              <w:bottom w:val="single" w:sz="4" w:space="0" w:color="auto"/>
              <w:right w:val="single" w:sz="4" w:space="0" w:color="C4BC96" w:themeColor="background2" w:themeShade="BF"/>
            </w:tcBorders>
          </w:tcPr>
          <w:p w14:paraId="3871281E" w14:textId="77777777" w:rsidR="00D72F12" w:rsidRPr="00163D6E" w:rsidRDefault="00D72F12" w:rsidP="00D72F12">
            <w:pPr>
              <w:rPr>
                <w:sz w:val="6"/>
                <w:szCs w:val="6"/>
                <w:lang w:val="en-US"/>
              </w:rPr>
            </w:pPr>
          </w:p>
        </w:tc>
        <w:tc>
          <w:tcPr>
            <w:tcW w:w="1703" w:type="dxa"/>
            <w:tcBorders>
              <w:top w:val="nil"/>
              <w:left w:val="single" w:sz="4" w:space="0" w:color="C4BC96" w:themeColor="background2" w:themeShade="BF"/>
              <w:bottom w:val="single" w:sz="4" w:space="0" w:color="auto"/>
              <w:right w:val="nil"/>
            </w:tcBorders>
          </w:tcPr>
          <w:p w14:paraId="681CDB91" w14:textId="77777777" w:rsidR="00D72F12" w:rsidRPr="00163D6E" w:rsidRDefault="00D72F12" w:rsidP="00D72F12">
            <w:pPr>
              <w:jc w:val="right"/>
              <w:rPr>
                <w:sz w:val="6"/>
                <w:szCs w:val="6"/>
                <w:lang w:val="en-US"/>
              </w:rPr>
            </w:pPr>
          </w:p>
        </w:tc>
      </w:tr>
    </w:tbl>
    <w:p w14:paraId="0B74FFD1" w14:textId="77777777" w:rsidR="002F660C" w:rsidRPr="00163D6E" w:rsidRDefault="002F660C" w:rsidP="00C440D0">
      <w:pPr>
        <w:ind w:left="1304" w:hanging="1304"/>
        <w:jc w:val="both"/>
        <w:rPr>
          <w:color w:val="002060"/>
          <w:sz w:val="6"/>
          <w:szCs w:val="6"/>
          <w:lang w:val="en-US"/>
        </w:rPr>
      </w:pPr>
    </w:p>
    <w:p w14:paraId="589F8B58" w14:textId="4E0A7F4C" w:rsidR="00844F8D" w:rsidRPr="009E0C32" w:rsidRDefault="00844F8D" w:rsidP="00E80BC2">
      <w:pPr>
        <w:jc w:val="both"/>
        <w:rPr>
          <w:color w:val="1F497D" w:themeColor="text2"/>
          <w:sz w:val="20"/>
        </w:rPr>
      </w:pPr>
      <w:r w:rsidRPr="009E0C32">
        <w:rPr>
          <w:color w:val="1F497D" w:themeColor="text2"/>
          <w:sz w:val="20"/>
        </w:rPr>
        <w:t xml:space="preserve">Vedrørende: </w:t>
      </w:r>
      <w:r w:rsidR="00A27D95" w:rsidRPr="009E0C32">
        <w:rPr>
          <w:color w:val="1F497D" w:themeColor="text2"/>
          <w:sz w:val="20"/>
        </w:rPr>
        <w:t>Svarskrivelse til høring om kvoter for hvidhvaler og narhvaler for 2023</w:t>
      </w:r>
    </w:p>
    <w:p w14:paraId="76E51298" w14:textId="231BEE9F" w:rsidR="00E80BC2" w:rsidRPr="009E0C32" w:rsidRDefault="00E80BC2" w:rsidP="00E80BC2">
      <w:pPr>
        <w:jc w:val="both"/>
        <w:rPr>
          <w:sz w:val="20"/>
        </w:rPr>
      </w:pPr>
    </w:p>
    <w:p w14:paraId="019E0BC7" w14:textId="5E74613C" w:rsidR="00CD644B" w:rsidRPr="00CD644B" w:rsidRDefault="00CD644B" w:rsidP="00E80BC2">
      <w:pPr>
        <w:jc w:val="both"/>
        <w:rPr>
          <w:b/>
          <w:bCs/>
          <w:szCs w:val="24"/>
        </w:rPr>
      </w:pPr>
      <w:r>
        <w:rPr>
          <w:b/>
          <w:bCs/>
          <w:szCs w:val="24"/>
        </w:rPr>
        <w:t xml:space="preserve">KNAPK har følgende </w:t>
      </w:r>
      <w:r w:rsidR="004A3A66">
        <w:rPr>
          <w:b/>
          <w:bCs/>
          <w:szCs w:val="24"/>
        </w:rPr>
        <w:t>kommentarer</w:t>
      </w:r>
      <w:r>
        <w:rPr>
          <w:b/>
          <w:bCs/>
          <w:szCs w:val="24"/>
        </w:rPr>
        <w:t xml:space="preserve"> til høring</w:t>
      </w:r>
      <w:r w:rsidR="004A3A66">
        <w:rPr>
          <w:b/>
          <w:bCs/>
          <w:szCs w:val="24"/>
        </w:rPr>
        <w:t>ssvaret</w:t>
      </w:r>
      <w:r>
        <w:rPr>
          <w:b/>
          <w:bCs/>
          <w:szCs w:val="24"/>
        </w:rPr>
        <w:t>:</w:t>
      </w:r>
    </w:p>
    <w:p w14:paraId="65C4E0B4" w14:textId="31C31157" w:rsidR="00216BAF" w:rsidRDefault="00216BAF" w:rsidP="008A7DD6">
      <w:pPr>
        <w:rPr>
          <w:b/>
          <w:bCs/>
          <w:szCs w:val="24"/>
        </w:rPr>
      </w:pPr>
    </w:p>
    <w:p w14:paraId="237D0894" w14:textId="54F0EE06" w:rsidR="004A3A66" w:rsidRPr="004A3A66" w:rsidRDefault="004A3A66" w:rsidP="008A7DD6">
      <w:pPr>
        <w:rPr>
          <w:szCs w:val="24"/>
        </w:rPr>
      </w:pPr>
      <w:r>
        <w:rPr>
          <w:szCs w:val="24"/>
        </w:rPr>
        <w:t>Der blev nævnt fordele til kvote</w:t>
      </w:r>
      <w:r w:rsidR="002858EB">
        <w:rPr>
          <w:szCs w:val="24"/>
        </w:rPr>
        <w:t>fastsættelse</w:t>
      </w:r>
      <w:r>
        <w:rPr>
          <w:szCs w:val="24"/>
        </w:rPr>
        <w:t xml:space="preserve"> for flere år ad gangen, dette er godt, samt</w:t>
      </w:r>
      <w:r w:rsidR="002858EB">
        <w:rPr>
          <w:szCs w:val="24"/>
        </w:rPr>
        <w:t>, hvis der er skudt flere end de kvotefastsatte det år og hvis de er mange, så kan man fordele de overskydende fangster,</w:t>
      </w:r>
      <w:r w:rsidR="00D222B2">
        <w:rPr>
          <w:szCs w:val="24"/>
        </w:rPr>
        <w:t xml:space="preserve"> de</w:t>
      </w:r>
      <w:r w:rsidR="002858EB">
        <w:rPr>
          <w:szCs w:val="24"/>
        </w:rPr>
        <w:t xml:space="preserve"> bliv</w:t>
      </w:r>
      <w:r w:rsidR="00D222B2">
        <w:rPr>
          <w:szCs w:val="24"/>
        </w:rPr>
        <w:t>er</w:t>
      </w:r>
      <w:r w:rsidR="002858EB">
        <w:rPr>
          <w:szCs w:val="24"/>
        </w:rPr>
        <w:t xml:space="preserve"> trukket fra kvoterne </w:t>
      </w:r>
      <w:r w:rsidR="00D222B2">
        <w:rPr>
          <w:szCs w:val="24"/>
        </w:rPr>
        <w:t xml:space="preserve">for </w:t>
      </w:r>
      <w:r w:rsidR="002858EB">
        <w:rPr>
          <w:szCs w:val="24"/>
        </w:rPr>
        <w:t>de næste år</w:t>
      </w:r>
      <w:r w:rsidR="00082891">
        <w:rPr>
          <w:szCs w:val="24"/>
        </w:rPr>
        <w:t>, dette er også godt.</w:t>
      </w:r>
    </w:p>
    <w:p w14:paraId="5836B69E" w14:textId="77777777" w:rsidR="00727E80" w:rsidRPr="004A3A66" w:rsidRDefault="00727E80" w:rsidP="007C008F">
      <w:pPr>
        <w:jc w:val="both"/>
        <w:rPr>
          <w:szCs w:val="24"/>
        </w:rPr>
      </w:pPr>
    </w:p>
    <w:p w14:paraId="48066EDD" w14:textId="104E4DE4" w:rsidR="00082891" w:rsidRPr="00082891" w:rsidRDefault="00082891" w:rsidP="007C008F">
      <w:pPr>
        <w:jc w:val="both"/>
        <w:rPr>
          <w:szCs w:val="24"/>
        </w:rPr>
      </w:pPr>
      <w:r w:rsidRPr="00082891">
        <w:rPr>
          <w:szCs w:val="24"/>
        </w:rPr>
        <w:t>Kvoterne for Hvidhvaler for 2023 e</w:t>
      </w:r>
      <w:r>
        <w:rPr>
          <w:szCs w:val="24"/>
        </w:rPr>
        <w:t xml:space="preserve">r ikke ændret i forhold til 2022 fastlagt af </w:t>
      </w:r>
      <w:proofErr w:type="spellStart"/>
      <w:r>
        <w:rPr>
          <w:szCs w:val="24"/>
        </w:rPr>
        <w:t>Naalakkersuisut</w:t>
      </w:r>
      <w:proofErr w:type="spellEnd"/>
      <w:r>
        <w:rPr>
          <w:szCs w:val="24"/>
        </w:rPr>
        <w:t>. Vi fra KNAPK vil have ændret kvoterne for hvidhvaler, fordi vi vil kræve, at der gives fælles kvoter for hvidhvaler hvert år i Grønlands Østkyst.</w:t>
      </w:r>
    </w:p>
    <w:p w14:paraId="2DD3DC68" w14:textId="5EA31D64" w:rsidR="00082891" w:rsidRPr="00D222B2" w:rsidRDefault="00B761C6" w:rsidP="007C008F">
      <w:pPr>
        <w:jc w:val="both"/>
        <w:rPr>
          <w:i/>
          <w:iCs/>
          <w:szCs w:val="24"/>
        </w:rPr>
      </w:pPr>
      <w:r>
        <w:rPr>
          <w:szCs w:val="24"/>
        </w:rPr>
        <w:t>Vores argument for det</w:t>
      </w:r>
      <w:r w:rsidR="00D222B2">
        <w:rPr>
          <w:szCs w:val="24"/>
        </w:rPr>
        <w:t>,</w:t>
      </w:r>
      <w:r>
        <w:rPr>
          <w:szCs w:val="24"/>
        </w:rPr>
        <w:t xml:space="preserve"> er, at fangerne i </w:t>
      </w:r>
      <w:proofErr w:type="spellStart"/>
      <w:r>
        <w:rPr>
          <w:szCs w:val="24"/>
        </w:rPr>
        <w:t>østgrønland</w:t>
      </w:r>
      <w:proofErr w:type="spellEnd"/>
      <w:r>
        <w:rPr>
          <w:szCs w:val="24"/>
        </w:rPr>
        <w:t xml:space="preserve"> har set mange hvidhvaler i løbet af mange år og fanget dem. Videnskabsmændenes argument for ikke at give kvoter kan ikke bruges, bare fordi de ikke har set hvidhvaler, når de opholdt sig i </w:t>
      </w:r>
      <w:proofErr w:type="spellStart"/>
      <w:r>
        <w:rPr>
          <w:szCs w:val="24"/>
        </w:rPr>
        <w:t>østgrønland</w:t>
      </w:r>
      <w:proofErr w:type="spellEnd"/>
      <w:r>
        <w:rPr>
          <w:szCs w:val="24"/>
        </w:rPr>
        <w:t xml:space="preserve">, </w:t>
      </w:r>
      <w:r w:rsidR="00E06506">
        <w:rPr>
          <w:szCs w:val="24"/>
        </w:rPr>
        <w:t>da man skal lægge vægt på og respektere fangernes lokale kendskab året rundt.</w:t>
      </w:r>
      <w:r w:rsidR="00D222B2">
        <w:rPr>
          <w:szCs w:val="24"/>
        </w:rPr>
        <w:t xml:space="preserve"> </w:t>
      </w:r>
      <w:proofErr w:type="spellStart"/>
      <w:r w:rsidR="00D222B2">
        <w:rPr>
          <w:i/>
          <w:iCs/>
          <w:szCs w:val="24"/>
        </w:rPr>
        <w:t>KNAPK’s</w:t>
      </w:r>
      <w:proofErr w:type="spellEnd"/>
      <w:r w:rsidR="00D222B2">
        <w:rPr>
          <w:i/>
          <w:iCs/>
          <w:szCs w:val="24"/>
        </w:rPr>
        <w:t xml:space="preserve"> </w:t>
      </w:r>
      <w:r w:rsidR="00534FA7">
        <w:rPr>
          <w:i/>
          <w:iCs/>
          <w:szCs w:val="24"/>
        </w:rPr>
        <w:t xml:space="preserve">udtalelsers rigtighed kan ses i Aarhus Universitets store bog som udkom i 2019, som hedder Fangsten I Østgrønland kortlagt af fangere. I denne, kan du se fra side 222-223, at der er fanget 28 hvidhvaler i årene fra 1993 til 2015, </w:t>
      </w:r>
      <w:r w:rsidR="009E0C32">
        <w:rPr>
          <w:i/>
          <w:iCs/>
          <w:szCs w:val="24"/>
        </w:rPr>
        <w:t>f.eks. er der fanget i foråret i år 16 stykker ved Tasiilaq selvom der ikke er fastsat kvoter. Østgrønland har også hvidhvaler.</w:t>
      </w:r>
    </w:p>
    <w:p w14:paraId="00947AEF" w14:textId="77777777" w:rsidR="00082891" w:rsidRPr="00082891" w:rsidRDefault="00082891" w:rsidP="007C008F">
      <w:pPr>
        <w:jc w:val="both"/>
        <w:rPr>
          <w:szCs w:val="24"/>
        </w:rPr>
      </w:pPr>
    </w:p>
    <w:p w14:paraId="04BA6B01" w14:textId="7F0A656C" w:rsidR="006435ED" w:rsidRPr="009E0C32" w:rsidRDefault="009E0C32" w:rsidP="007C008F">
      <w:pPr>
        <w:jc w:val="both"/>
        <w:rPr>
          <w:szCs w:val="24"/>
        </w:rPr>
      </w:pPr>
      <w:r w:rsidRPr="009E0C32">
        <w:rPr>
          <w:szCs w:val="24"/>
        </w:rPr>
        <w:t xml:space="preserve">I forhold til </w:t>
      </w:r>
      <w:proofErr w:type="spellStart"/>
      <w:r w:rsidRPr="009E0C32">
        <w:rPr>
          <w:szCs w:val="24"/>
        </w:rPr>
        <w:t>narhvalskvoter</w:t>
      </w:r>
      <w:proofErr w:type="spellEnd"/>
      <w:r w:rsidRPr="009E0C32">
        <w:rPr>
          <w:szCs w:val="24"/>
        </w:rPr>
        <w:t xml:space="preserve"> for d</w:t>
      </w:r>
      <w:r>
        <w:rPr>
          <w:szCs w:val="24"/>
        </w:rPr>
        <w:t>e næste år, så kan det slet ikke accepteres, at kvoterne bliver færre. Kvoterne for narhvaler for år 2022 er på 424 og de</w:t>
      </w:r>
      <w:r w:rsidR="006435ED">
        <w:rPr>
          <w:szCs w:val="24"/>
        </w:rPr>
        <w:t xml:space="preserve"> bliver færre for hvert år og hvis kvoterne skæres ned til 228 i år 2026, så bliver Grønland ramt meget hårdt mht. til kødforsyning og Fangernes indtjeningsmuligheder bliver hårdt ramt. </w:t>
      </w:r>
      <w:r w:rsidR="002A2691">
        <w:rPr>
          <w:szCs w:val="24"/>
        </w:rPr>
        <w:t xml:space="preserve">Derfor skal vi fra </w:t>
      </w:r>
      <w:proofErr w:type="spellStart"/>
      <w:r w:rsidR="002A2691">
        <w:rPr>
          <w:szCs w:val="24"/>
        </w:rPr>
        <w:t>KNAPK’s</w:t>
      </w:r>
      <w:proofErr w:type="spellEnd"/>
      <w:r w:rsidR="002A2691">
        <w:rPr>
          <w:szCs w:val="24"/>
        </w:rPr>
        <w:t xml:space="preserve"> side kraftigt opfordre </w:t>
      </w:r>
      <w:proofErr w:type="spellStart"/>
      <w:r w:rsidR="002A2691">
        <w:rPr>
          <w:szCs w:val="24"/>
        </w:rPr>
        <w:t>Naalakkersuisut</w:t>
      </w:r>
      <w:proofErr w:type="spellEnd"/>
      <w:r w:rsidR="002A2691">
        <w:rPr>
          <w:szCs w:val="24"/>
        </w:rPr>
        <w:t xml:space="preserve"> til ikke at mindske kvotens størrelse</w:t>
      </w:r>
      <w:r w:rsidR="003E5E12">
        <w:rPr>
          <w:szCs w:val="24"/>
        </w:rPr>
        <w:t xml:space="preserve">, og at de skal tænke som grønlandske folk i forhold til fangst og fiskeri og at arbejde for det. Det er os, som er landets oprindelige folk, som har levet af fangererhvervet i mange år, og som har levet af det, </w:t>
      </w:r>
      <w:r w:rsidR="003E2720">
        <w:rPr>
          <w:szCs w:val="24"/>
        </w:rPr>
        <w:t>og det er jer, som skal arbejde for os og give os kvoter.</w:t>
      </w:r>
    </w:p>
    <w:p w14:paraId="05690561" w14:textId="77777777" w:rsidR="009E0C32" w:rsidRPr="009E0C32" w:rsidRDefault="009E0C32" w:rsidP="007C008F">
      <w:pPr>
        <w:jc w:val="both"/>
        <w:rPr>
          <w:szCs w:val="24"/>
        </w:rPr>
      </w:pPr>
    </w:p>
    <w:p w14:paraId="1238F9A2" w14:textId="550DB5FA" w:rsidR="003E2720" w:rsidRPr="003E2720" w:rsidRDefault="003E2720" w:rsidP="007C008F">
      <w:pPr>
        <w:jc w:val="both"/>
        <w:rPr>
          <w:b/>
          <w:bCs/>
          <w:szCs w:val="24"/>
        </w:rPr>
      </w:pPr>
      <w:r w:rsidRPr="003E2720">
        <w:rPr>
          <w:b/>
          <w:bCs/>
          <w:szCs w:val="24"/>
        </w:rPr>
        <w:t xml:space="preserve">Derfor </w:t>
      </w:r>
      <w:r>
        <w:rPr>
          <w:b/>
          <w:bCs/>
          <w:szCs w:val="24"/>
        </w:rPr>
        <w:t>kræver</w:t>
      </w:r>
      <w:r w:rsidRPr="003E2720">
        <w:rPr>
          <w:b/>
          <w:bCs/>
          <w:szCs w:val="24"/>
        </w:rPr>
        <w:t xml:space="preserve"> vi fra </w:t>
      </w:r>
      <w:proofErr w:type="spellStart"/>
      <w:r w:rsidRPr="003E2720">
        <w:rPr>
          <w:b/>
          <w:bCs/>
          <w:szCs w:val="24"/>
        </w:rPr>
        <w:t>K</w:t>
      </w:r>
      <w:r>
        <w:rPr>
          <w:b/>
          <w:bCs/>
          <w:szCs w:val="24"/>
        </w:rPr>
        <w:t>NAPK’s</w:t>
      </w:r>
      <w:proofErr w:type="spellEnd"/>
      <w:r>
        <w:rPr>
          <w:b/>
          <w:bCs/>
          <w:szCs w:val="24"/>
        </w:rPr>
        <w:t xml:space="preserve"> side, at</w:t>
      </w:r>
      <w:r w:rsidR="00A446CF">
        <w:rPr>
          <w:b/>
          <w:bCs/>
          <w:szCs w:val="24"/>
        </w:rPr>
        <w:t xml:space="preserve"> </w:t>
      </w:r>
      <w:r w:rsidR="00CE6E24">
        <w:rPr>
          <w:b/>
          <w:bCs/>
          <w:szCs w:val="24"/>
        </w:rPr>
        <w:t>man</w:t>
      </w:r>
      <w:r>
        <w:rPr>
          <w:b/>
          <w:bCs/>
          <w:szCs w:val="24"/>
        </w:rPr>
        <w:t xml:space="preserve"> forhandle</w:t>
      </w:r>
      <w:r w:rsidR="00CE6E24">
        <w:rPr>
          <w:b/>
          <w:bCs/>
          <w:szCs w:val="24"/>
        </w:rPr>
        <w:t>r</w:t>
      </w:r>
      <w:r>
        <w:rPr>
          <w:b/>
          <w:bCs/>
          <w:szCs w:val="24"/>
        </w:rPr>
        <w:t xml:space="preserve"> med KNAPK</w:t>
      </w:r>
      <w:r w:rsidR="00CE6E24">
        <w:rPr>
          <w:b/>
          <w:bCs/>
          <w:szCs w:val="24"/>
        </w:rPr>
        <w:t xml:space="preserve"> </w:t>
      </w:r>
      <w:r w:rsidR="00CE6E24">
        <w:rPr>
          <w:b/>
          <w:bCs/>
          <w:szCs w:val="24"/>
        </w:rPr>
        <w:t>efter høringsperiode</w:t>
      </w:r>
      <w:r w:rsidR="00264BDD">
        <w:rPr>
          <w:b/>
          <w:bCs/>
          <w:szCs w:val="24"/>
        </w:rPr>
        <w:t>r</w:t>
      </w:r>
      <w:r>
        <w:rPr>
          <w:b/>
          <w:bCs/>
          <w:szCs w:val="24"/>
        </w:rPr>
        <w:t xml:space="preserve"> om det endelige kvotefastsættelse</w:t>
      </w:r>
      <w:r w:rsidR="00264BDD">
        <w:rPr>
          <w:b/>
          <w:bCs/>
          <w:szCs w:val="24"/>
        </w:rPr>
        <w:t>r,</w:t>
      </w:r>
      <w:r w:rsidR="00DB5EAF">
        <w:rPr>
          <w:b/>
          <w:bCs/>
          <w:szCs w:val="24"/>
        </w:rPr>
        <w:t xml:space="preserve"> inden man beslutter sig for kvotestørrelse</w:t>
      </w:r>
      <w:r w:rsidR="00264BDD">
        <w:rPr>
          <w:b/>
          <w:bCs/>
          <w:szCs w:val="24"/>
        </w:rPr>
        <w:t>rne</w:t>
      </w:r>
      <w:r w:rsidR="00CE6E24">
        <w:rPr>
          <w:b/>
          <w:bCs/>
          <w:szCs w:val="24"/>
        </w:rPr>
        <w:t xml:space="preserve">, og man bør i </w:t>
      </w:r>
      <w:proofErr w:type="spellStart"/>
      <w:r w:rsidR="00CE6E24">
        <w:rPr>
          <w:b/>
          <w:bCs/>
          <w:szCs w:val="24"/>
        </w:rPr>
        <w:t>gangsætte</w:t>
      </w:r>
      <w:proofErr w:type="spellEnd"/>
      <w:r w:rsidR="00CE6E24">
        <w:rPr>
          <w:b/>
          <w:bCs/>
          <w:szCs w:val="24"/>
        </w:rPr>
        <w:t xml:space="preserve"> arbejdet her for. P</w:t>
      </w:r>
      <w:r w:rsidR="00DB5EAF">
        <w:rPr>
          <w:b/>
          <w:bCs/>
          <w:szCs w:val="24"/>
        </w:rPr>
        <w:t xml:space="preserve">å den måde kan der skabes ro </w:t>
      </w:r>
      <w:r w:rsidR="00CE6E24">
        <w:rPr>
          <w:b/>
          <w:bCs/>
          <w:szCs w:val="24"/>
        </w:rPr>
        <w:t>mellem</w:t>
      </w:r>
      <w:r w:rsidR="00DB5EAF">
        <w:rPr>
          <w:b/>
          <w:bCs/>
          <w:szCs w:val="24"/>
        </w:rPr>
        <w:t xml:space="preserve"> </w:t>
      </w:r>
      <w:proofErr w:type="spellStart"/>
      <w:r w:rsidR="00DB5EAF">
        <w:rPr>
          <w:b/>
          <w:bCs/>
          <w:szCs w:val="24"/>
        </w:rPr>
        <w:t>Naalakkersuisut</w:t>
      </w:r>
      <w:proofErr w:type="spellEnd"/>
      <w:r w:rsidR="00DB5EAF">
        <w:rPr>
          <w:b/>
          <w:bCs/>
          <w:szCs w:val="24"/>
        </w:rPr>
        <w:t xml:space="preserve"> og </w:t>
      </w:r>
      <w:r w:rsidR="00CE6E24">
        <w:rPr>
          <w:b/>
          <w:bCs/>
          <w:szCs w:val="24"/>
        </w:rPr>
        <w:t>brugerne</w:t>
      </w:r>
      <w:r w:rsidR="00264BDD">
        <w:rPr>
          <w:b/>
          <w:bCs/>
          <w:szCs w:val="24"/>
        </w:rPr>
        <w:t xml:space="preserve"> </w:t>
      </w:r>
      <w:r w:rsidR="00DB5EAF">
        <w:rPr>
          <w:b/>
          <w:bCs/>
          <w:szCs w:val="24"/>
        </w:rPr>
        <w:t xml:space="preserve">og </w:t>
      </w:r>
      <w:r w:rsidR="00264BDD">
        <w:rPr>
          <w:b/>
          <w:bCs/>
          <w:szCs w:val="24"/>
        </w:rPr>
        <w:t>mere</w:t>
      </w:r>
      <w:r w:rsidR="00DB5EAF">
        <w:rPr>
          <w:b/>
          <w:bCs/>
          <w:szCs w:val="24"/>
        </w:rPr>
        <w:t xml:space="preserve"> forståelse for hinanden.</w:t>
      </w:r>
      <w:r w:rsidR="00264BDD">
        <w:rPr>
          <w:b/>
          <w:bCs/>
          <w:szCs w:val="24"/>
        </w:rPr>
        <w:t xml:space="preserve"> </w:t>
      </w:r>
    </w:p>
    <w:p w14:paraId="18F5A98C" w14:textId="77777777" w:rsidR="003E2720" w:rsidRPr="003E2720" w:rsidRDefault="003E2720" w:rsidP="007C008F">
      <w:pPr>
        <w:jc w:val="both"/>
        <w:rPr>
          <w:b/>
          <w:bCs/>
          <w:szCs w:val="24"/>
        </w:rPr>
      </w:pPr>
    </w:p>
    <w:p w14:paraId="6A672663" w14:textId="40BA8777" w:rsidR="00DB5EAF" w:rsidRPr="00A446CF" w:rsidRDefault="00A446CF" w:rsidP="007C008F">
      <w:pPr>
        <w:jc w:val="both"/>
        <w:rPr>
          <w:szCs w:val="24"/>
        </w:rPr>
      </w:pPr>
      <w:r>
        <w:rPr>
          <w:szCs w:val="24"/>
        </w:rPr>
        <w:t>Grunden til, at man ikke fanger hele kvoten i nogle år, er, at der i nogle tilfælde i det arktiske egne kan være hårde år på grund af den store natur, da det kan være meget koldt, er meget mørkt og har kraftige storme, som er svær</w:t>
      </w:r>
      <w:r w:rsidR="00C81203">
        <w:rPr>
          <w:szCs w:val="24"/>
        </w:rPr>
        <w:t xml:space="preserve">t for </w:t>
      </w:r>
      <w:proofErr w:type="gramStart"/>
      <w:r w:rsidR="00C81203">
        <w:rPr>
          <w:szCs w:val="24"/>
        </w:rPr>
        <w:t>en almindelig menneske</w:t>
      </w:r>
      <w:proofErr w:type="gramEnd"/>
      <w:r w:rsidR="00C81203">
        <w:rPr>
          <w:szCs w:val="24"/>
        </w:rPr>
        <w:t xml:space="preserve"> at kæmpe imod. Det tydeligste bevis for det, er, livsforholdende i Qaanaaq i vores Lands nordligste bo</w:t>
      </w:r>
      <w:r w:rsidR="00FD7248">
        <w:rPr>
          <w:szCs w:val="24"/>
        </w:rPr>
        <w:t>sted</w:t>
      </w:r>
      <w:r w:rsidR="00C81203">
        <w:rPr>
          <w:szCs w:val="24"/>
        </w:rPr>
        <w:t>, som befolkningen har at leve under samt i Vores lands nordøstlige del</w:t>
      </w:r>
      <w:r w:rsidR="00FD7248">
        <w:rPr>
          <w:szCs w:val="24"/>
        </w:rPr>
        <w:t xml:space="preserve"> i</w:t>
      </w:r>
      <w:r w:rsidR="00C81203">
        <w:rPr>
          <w:szCs w:val="24"/>
        </w:rPr>
        <w:t xml:space="preserve"> Ittoqqortoormiit </w:t>
      </w:r>
      <w:r w:rsidR="00C81203">
        <w:rPr>
          <w:szCs w:val="24"/>
        </w:rPr>
        <w:lastRenderedPageBreak/>
        <w:t xml:space="preserve">leveforhold. I disse steder kan </w:t>
      </w:r>
      <w:r w:rsidR="00FD7248">
        <w:rPr>
          <w:szCs w:val="24"/>
        </w:rPr>
        <w:t>det ses tydeligt, at den store natur har stor indflydelse på menneskets leveforhold.</w:t>
      </w:r>
    </w:p>
    <w:p w14:paraId="1D5E8C94" w14:textId="77777777" w:rsidR="00DB5EAF" w:rsidRPr="00A446CF" w:rsidRDefault="00DB5EAF" w:rsidP="007C008F">
      <w:pPr>
        <w:jc w:val="both"/>
        <w:rPr>
          <w:szCs w:val="24"/>
        </w:rPr>
      </w:pPr>
    </w:p>
    <w:p w14:paraId="7920F1C2" w14:textId="62F4D2FE" w:rsidR="001F26D1" w:rsidRPr="008A02C5" w:rsidRDefault="00EF6F8A" w:rsidP="007C008F">
      <w:pPr>
        <w:jc w:val="both"/>
        <w:rPr>
          <w:szCs w:val="24"/>
        </w:rPr>
      </w:pPr>
      <w:proofErr w:type="spellStart"/>
      <w:r w:rsidRPr="00EF6F8A">
        <w:rPr>
          <w:szCs w:val="24"/>
        </w:rPr>
        <w:t>Naalakkersuisut</w:t>
      </w:r>
      <w:proofErr w:type="spellEnd"/>
      <w:r w:rsidRPr="00EF6F8A">
        <w:rPr>
          <w:szCs w:val="24"/>
        </w:rPr>
        <w:t xml:space="preserve"> skal arbejde for, i</w:t>
      </w:r>
      <w:r>
        <w:rPr>
          <w:szCs w:val="24"/>
        </w:rPr>
        <w:t xml:space="preserve"> hele vores land, at man skal lave optællinger af </w:t>
      </w:r>
      <w:proofErr w:type="spellStart"/>
      <w:r>
        <w:rPr>
          <w:szCs w:val="24"/>
        </w:rPr>
        <w:t>bestandende</w:t>
      </w:r>
      <w:proofErr w:type="spellEnd"/>
      <w:r>
        <w:rPr>
          <w:szCs w:val="24"/>
        </w:rPr>
        <w:t xml:space="preserve"> for hvidhvaler og narhvaler i samarbejde med Fangerne og disse optællinger af </w:t>
      </w:r>
      <w:proofErr w:type="spellStart"/>
      <w:r>
        <w:rPr>
          <w:szCs w:val="24"/>
        </w:rPr>
        <w:t>bestandende</w:t>
      </w:r>
      <w:proofErr w:type="spellEnd"/>
      <w:r>
        <w:rPr>
          <w:szCs w:val="24"/>
        </w:rPr>
        <w:t xml:space="preserve"> skal udføres oftere og skal planlægges, og man skal udnytte, </w:t>
      </w:r>
      <w:r w:rsidR="008A02C5">
        <w:rPr>
          <w:szCs w:val="24"/>
        </w:rPr>
        <w:t xml:space="preserve">Fangernes beretninger og </w:t>
      </w:r>
      <w:r w:rsidR="008A02C5">
        <w:rPr>
          <w:b/>
          <w:bCs/>
          <w:szCs w:val="24"/>
        </w:rPr>
        <w:t xml:space="preserve">observationer </w:t>
      </w:r>
      <w:r w:rsidR="008A02C5">
        <w:rPr>
          <w:szCs w:val="24"/>
        </w:rPr>
        <w:t>af fangstdyr i hele landet og deres beretninger skal udnyttes fuldt ud.</w:t>
      </w:r>
    </w:p>
    <w:p w14:paraId="435F80F2" w14:textId="77777777" w:rsidR="00FD7248" w:rsidRPr="00EF6F8A" w:rsidRDefault="00FD7248" w:rsidP="007C008F">
      <w:pPr>
        <w:jc w:val="both"/>
        <w:rPr>
          <w:szCs w:val="24"/>
        </w:rPr>
      </w:pPr>
    </w:p>
    <w:p w14:paraId="2D01B204" w14:textId="77777777" w:rsidR="008A02C5" w:rsidRPr="00CE6E24" w:rsidRDefault="008A02C5" w:rsidP="008A7DD6">
      <w:pPr>
        <w:rPr>
          <w:b/>
          <w:bCs/>
          <w:szCs w:val="24"/>
        </w:rPr>
      </w:pPr>
    </w:p>
    <w:p w14:paraId="2D80C86B" w14:textId="7BB83FE3" w:rsidR="00883C85" w:rsidRPr="00CE6E24" w:rsidRDefault="008A02C5" w:rsidP="008A7DD6">
      <w:pPr>
        <w:rPr>
          <w:b/>
          <w:bCs/>
          <w:szCs w:val="24"/>
        </w:rPr>
      </w:pPr>
      <w:r w:rsidRPr="00CE6E24">
        <w:rPr>
          <w:b/>
          <w:bCs/>
          <w:szCs w:val="24"/>
        </w:rPr>
        <w:t>Beslutninger om fangstkvoter</w:t>
      </w:r>
      <w:r w:rsidR="00216BAF" w:rsidRPr="00CE6E24">
        <w:rPr>
          <w:b/>
          <w:bCs/>
          <w:szCs w:val="24"/>
        </w:rPr>
        <w:t>:</w:t>
      </w:r>
    </w:p>
    <w:p w14:paraId="459C1008" w14:textId="0B783A80" w:rsidR="00216BAF" w:rsidRPr="00CE6E24" w:rsidRDefault="00216BAF" w:rsidP="00FA45DA">
      <w:pPr>
        <w:jc w:val="both"/>
        <w:rPr>
          <w:szCs w:val="24"/>
        </w:rPr>
      </w:pPr>
    </w:p>
    <w:p w14:paraId="1E6901D7" w14:textId="7C1BE3EE" w:rsidR="009A1850" w:rsidRPr="008C2859" w:rsidRDefault="008C2859" w:rsidP="00FA45DA">
      <w:pPr>
        <w:jc w:val="both"/>
        <w:rPr>
          <w:szCs w:val="24"/>
        </w:rPr>
      </w:pPr>
      <w:r w:rsidRPr="008C2859">
        <w:rPr>
          <w:szCs w:val="24"/>
        </w:rPr>
        <w:t>Vi finder det ikke e</w:t>
      </w:r>
      <w:r>
        <w:rPr>
          <w:szCs w:val="24"/>
        </w:rPr>
        <w:t xml:space="preserve">r på sin plads, at </w:t>
      </w:r>
      <w:proofErr w:type="spellStart"/>
      <w:r>
        <w:rPr>
          <w:szCs w:val="24"/>
        </w:rPr>
        <w:t>Naalakkersuisut</w:t>
      </w:r>
      <w:proofErr w:type="spellEnd"/>
      <w:r>
        <w:rPr>
          <w:szCs w:val="24"/>
        </w:rPr>
        <w:t xml:space="preserve"> i vores land, at fangerne</w:t>
      </w:r>
      <w:r w:rsidR="00941714">
        <w:rPr>
          <w:szCs w:val="24"/>
        </w:rPr>
        <w:t>s</w:t>
      </w:r>
      <w:r>
        <w:rPr>
          <w:szCs w:val="24"/>
        </w:rPr>
        <w:t xml:space="preserve"> opfordringer gennem deres organisation KNAPK overhøres, </w:t>
      </w:r>
      <w:r w:rsidR="00941714">
        <w:rPr>
          <w:szCs w:val="24"/>
        </w:rPr>
        <w:t xml:space="preserve">men </w:t>
      </w:r>
      <w:r>
        <w:rPr>
          <w:szCs w:val="24"/>
        </w:rPr>
        <w:t xml:space="preserve">når </w:t>
      </w:r>
      <w:r w:rsidR="00941714">
        <w:rPr>
          <w:szCs w:val="24"/>
        </w:rPr>
        <w:t xml:space="preserve">der kommer forslag til kvoteantal fra JCBN og NAMMCO (når de laver forslag) så hører de kun dem. </w:t>
      </w:r>
      <w:r w:rsidR="004B7A80">
        <w:rPr>
          <w:szCs w:val="24"/>
        </w:rPr>
        <w:t xml:space="preserve">Ja men, når vi er nedmennesker i hele </w:t>
      </w:r>
      <w:proofErr w:type="spellStart"/>
      <w:r w:rsidR="004B7A80">
        <w:rPr>
          <w:szCs w:val="24"/>
        </w:rPr>
        <w:t>nordarktis</w:t>
      </w:r>
      <w:proofErr w:type="spellEnd"/>
      <w:r w:rsidR="004B7A80">
        <w:rPr>
          <w:szCs w:val="24"/>
        </w:rPr>
        <w:t xml:space="preserve"> med kun ca. 110.000 mennesker og vi fra Grønland er ca. 56.000 mennesker og vores fangere er ca. 1.900, hvordan kan vi udrydde nar- og hvidhvaler </w:t>
      </w:r>
      <w:r w:rsidR="00B93EB2">
        <w:rPr>
          <w:szCs w:val="24"/>
        </w:rPr>
        <w:t xml:space="preserve">som er ved havene i </w:t>
      </w:r>
      <w:proofErr w:type="spellStart"/>
      <w:r w:rsidR="00B93EB2">
        <w:rPr>
          <w:szCs w:val="24"/>
        </w:rPr>
        <w:t>arktis</w:t>
      </w:r>
      <w:proofErr w:type="spellEnd"/>
      <w:r w:rsidR="00B93EB2">
        <w:rPr>
          <w:szCs w:val="24"/>
        </w:rPr>
        <w:t>? Vi opfører ikke ligesom Europæerne, da de var hvalfangere, det er e</w:t>
      </w:r>
      <w:r w:rsidR="00645864">
        <w:rPr>
          <w:szCs w:val="24"/>
        </w:rPr>
        <w:t>uro</w:t>
      </w:r>
      <w:r w:rsidR="00B93EB2">
        <w:rPr>
          <w:szCs w:val="24"/>
        </w:rPr>
        <w:t>p</w:t>
      </w:r>
      <w:r w:rsidR="00645864">
        <w:rPr>
          <w:szCs w:val="24"/>
        </w:rPr>
        <w:t>æ</w:t>
      </w:r>
      <w:r w:rsidR="00B93EB2">
        <w:rPr>
          <w:szCs w:val="24"/>
        </w:rPr>
        <w:t xml:space="preserve">erne der udryddede hvalerne i </w:t>
      </w:r>
      <w:proofErr w:type="spellStart"/>
      <w:r w:rsidR="00B93EB2">
        <w:rPr>
          <w:szCs w:val="24"/>
        </w:rPr>
        <w:t>arktis</w:t>
      </w:r>
      <w:proofErr w:type="spellEnd"/>
      <w:r w:rsidR="00B93EB2">
        <w:rPr>
          <w:szCs w:val="24"/>
        </w:rPr>
        <w:t>, ligesom de er ved at udrydde sælerne.</w:t>
      </w:r>
    </w:p>
    <w:p w14:paraId="4FCF154F" w14:textId="77777777" w:rsidR="00B93EB2" w:rsidRPr="00B93EB2" w:rsidRDefault="00B93EB2" w:rsidP="00FA45DA">
      <w:pPr>
        <w:jc w:val="both"/>
        <w:rPr>
          <w:szCs w:val="24"/>
        </w:rPr>
      </w:pPr>
    </w:p>
    <w:p w14:paraId="4C143692" w14:textId="5E58E8CE" w:rsidR="00B93EB2" w:rsidRPr="00645864" w:rsidRDefault="00BC69A9" w:rsidP="00FA45DA">
      <w:pPr>
        <w:jc w:val="both"/>
        <w:rPr>
          <w:i/>
          <w:iCs/>
          <w:szCs w:val="24"/>
        </w:rPr>
      </w:pPr>
      <w:r>
        <w:rPr>
          <w:i/>
          <w:iCs/>
          <w:szCs w:val="24"/>
        </w:rPr>
        <w:t xml:space="preserve">Derfor opfordrer vi </w:t>
      </w:r>
      <w:proofErr w:type="spellStart"/>
      <w:r>
        <w:rPr>
          <w:i/>
          <w:iCs/>
          <w:szCs w:val="24"/>
        </w:rPr>
        <w:t>Naalakkersuisut</w:t>
      </w:r>
      <w:proofErr w:type="spellEnd"/>
      <w:r>
        <w:rPr>
          <w:i/>
          <w:iCs/>
          <w:szCs w:val="24"/>
        </w:rPr>
        <w:t xml:space="preserve"> fra KNAPK, at videnskabsmænd fra JCNB og NAMMCO skal rejse i vores land vedrørende deres arbejde og udrede disse overfor fangerne i Grønland. De skal også </w:t>
      </w:r>
      <w:r w:rsidR="00135083">
        <w:rPr>
          <w:i/>
          <w:iCs/>
          <w:szCs w:val="24"/>
        </w:rPr>
        <w:t xml:space="preserve">indsamle Fangernes viden om </w:t>
      </w:r>
      <w:proofErr w:type="spellStart"/>
      <w:r w:rsidR="00135083">
        <w:rPr>
          <w:i/>
          <w:iCs/>
          <w:szCs w:val="24"/>
        </w:rPr>
        <w:t>fangsdyr</w:t>
      </w:r>
      <w:proofErr w:type="spellEnd"/>
      <w:r w:rsidR="00135083">
        <w:rPr>
          <w:i/>
          <w:iCs/>
          <w:szCs w:val="24"/>
        </w:rPr>
        <w:t xml:space="preserve">. </w:t>
      </w:r>
    </w:p>
    <w:p w14:paraId="10D0F9A7" w14:textId="77777777" w:rsidR="00B93EB2" w:rsidRPr="00645864" w:rsidRDefault="00B93EB2" w:rsidP="00FA45DA">
      <w:pPr>
        <w:jc w:val="both"/>
        <w:rPr>
          <w:i/>
          <w:iCs/>
          <w:szCs w:val="24"/>
        </w:rPr>
      </w:pPr>
    </w:p>
    <w:p w14:paraId="6A8BFDAC" w14:textId="6423503E" w:rsidR="00A905E6" w:rsidRPr="00135083" w:rsidRDefault="00135083" w:rsidP="00FA45DA">
      <w:pPr>
        <w:jc w:val="both"/>
        <w:rPr>
          <w:i/>
          <w:iCs/>
          <w:szCs w:val="24"/>
        </w:rPr>
      </w:pPr>
      <w:r w:rsidRPr="00135083">
        <w:rPr>
          <w:i/>
          <w:iCs/>
          <w:szCs w:val="24"/>
        </w:rPr>
        <w:t>På g</w:t>
      </w:r>
      <w:r>
        <w:rPr>
          <w:i/>
          <w:iCs/>
          <w:szCs w:val="24"/>
        </w:rPr>
        <w:t>rundlag af videnskabelige undersøgelser er de</w:t>
      </w:r>
      <w:r w:rsidR="008E290B">
        <w:rPr>
          <w:i/>
          <w:iCs/>
          <w:szCs w:val="24"/>
        </w:rPr>
        <w:t>t</w:t>
      </w:r>
      <w:r>
        <w:rPr>
          <w:i/>
          <w:iCs/>
          <w:szCs w:val="24"/>
        </w:rPr>
        <w:t xml:space="preserve"> blevet </w:t>
      </w:r>
      <w:r w:rsidR="0076069F">
        <w:rPr>
          <w:i/>
          <w:iCs/>
          <w:szCs w:val="24"/>
        </w:rPr>
        <w:t>foreslået af videnskabsmænd</w:t>
      </w:r>
      <w:r>
        <w:rPr>
          <w:i/>
          <w:iCs/>
          <w:szCs w:val="24"/>
        </w:rPr>
        <w:t>, at hval</w:t>
      </w:r>
      <w:r w:rsidR="008E290B">
        <w:rPr>
          <w:i/>
          <w:iCs/>
          <w:szCs w:val="24"/>
        </w:rPr>
        <w:t>flokkene ved Grønlands og Canadas kyster</w:t>
      </w:r>
      <w:r w:rsidR="0076069F">
        <w:rPr>
          <w:i/>
          <w:iCs/>
          <w:szCs w:val="24"/>
        </w:rPr>
        <w:t xml:space="preserve"> har forskellige ruter og at man derfor skulle der gives info om disse og give kvoter i henhold til disse, og det kan man se og det er baggrunden for, at man giver flere fangstkvoter til Uummannaq i det senere år, ja, dette er forståeligt. Men i det </w:t>
      </w:r>
      <w:proofErr w:type="spellStart"/>
      <w:r w:rsidR="0076069F">
        <w:rPr>
          <w:i/>
          <w:iCs/>
          <w:szCs w:val="24"/>
        </w:rPr>
        <w:t>langsstrakte</w:t>
      </w:r>
      <w:proofErr w:type="spellEnd"/>
      <w:r w:rsidR="0076069F">
        <w:rPr>
          <w:i/>
          <w:iCs/>
          <w:szCs w:val="24"/>
        </w:rPr>
        <w:t xml:space="preserve"> vestkyst</w:t>
      </w:r>
      <w:r w:rsidR="00E8187C">
        <w:rPr>
          <w:i/>
          <w:iCs/>
          <w:szCs w:val="24"/>
        </w:rPr>
        <w:t xml:space="preserve"> der jages hvert år af fangerne fra Diskobugten, Sisimiut og Maniitsoq er hvaler, som er forskellige hvalflokke, som bliver flere og flere og man derfor </w:t>
      </w:r>
      <w:r w:rsidR="006C2AC7">
        <w:rPr>
          <w:i/>
          <w:iCs/>
          <w:szCs w:val="24"/>
        </w:rPr>
        <w:t>skal ellers give fangstkvoter på grundlag af disse.</w:t>
      </w:r>
    </w:p>
    <w:p w14:paraId="474934B1" w14:textId="77777777" w:rsidR="00135083" w:rsidRPr="00135083" w:rsidRDefault="00135083" w:rsidP="00FA45DA">
      <w:pPr>
        <w:jc w:val="both"/>
        <w:rPr>
          <w:i/>
          <w:iCs/>
          <w:szCs w:val="24"/>
        </w:rPr>
      </w:pPr>
    </w:p>
    <w:p w14:paraId="21B9F23F" w14:textId="09147B0F" w:rsidR="006C2AC7" w:rsidRPr="006C2AC7" w:rsidRDefault="006C2AC7" w:rsidP="00FA45DA">
      <w:pPr>
        <w:jc w:val="both"/>
        <w:rPr>
          <w:i/>
          <w:iCs/>
          <w:szCs w:val="24"/>
        </w:rPr>
      </w:pPr>
      <w:r w:rsidRPr="006C2AC7">
        <w:rPr>
          <w:i/>
          <w:iCs/>
          <w:szCs w:val="24"/>
        </w:rPr>
        <w:t xml:space="preserve">I Qaanaaq </w:t>
      </w:r>
      <w:r>
        <w:rPr>
          <w:i/>
          <w:iCs/>
          <w:szCs w:val="24"/>
        </w:rPr>
        <w:t>benytter</w:t>
      </w:r>
      <w:r w:rsidRPr="006C2AC7">
        <w:rPr>
          <w:i/>
          <w:iCs/>
          <w:szCs w:val="24"/>
        </w:rPr>
        <w:t xml:space="preserve"> man k</w:t>
      </w:r>
      <w:r>
        <w:rPr>
          <w:i/>
          <w:iCs/>
          <w:szCs w:val="24"/>
        </w:rPr>
        <w:t xml:space="preserve">ajak til fangst, her harpunerer man hvalen først og skyder og dræber den bagefter, det går godt på den måde og dette er fint. Derfor skal man sikre, at der tillades fangst af disse vedvarende. På samme måde skal man give kvoter </w:t>
      </w:r>
      <w:r w:rsidR="00B44904">
        <w:rPr>
          <w:i/>
          <w:iCs/>
          <w:szCs w:val="24"/>
        </w:rPr>
        <w:t xml:space="preserve">i Melville Bugten til kajakfangst og det er sikkert, at man også kan give tilladelse til kajakfangst til resten af </w:t>
      </w:r>
      <w:proofErr w:type="spellStart"/>
      <w:r w:rsidR="00B44904">
        <w:rPr>
          <w:i/>
          <w:iCs/>
          <w:szCs w:val="24"/>
        </w:rPr>
        <w:t>grønland</w:t>
      </w:r>
      <w:proofErr w:type="spellEnd"/>
      <w:r w:rsidR="00B44904">
        <w:rPr>
          <w:i/>
          <w:iCs/>
          <w:szCs w:val="24"/>
        </w:rPr>
        <w:t>.</w:t>
      </w:r>
    </w:p>
    <w:p w14:paraId="0EBBF9B7" w14:textId="77777777" w:rsidR="006C2AC7" w:rsidRPr="006C2AC7" w:rsidRDefault="006C2AC7" w:rsidP="00FA45DA">
      <w:pPr>
        <w:jc w:val="both"/>
        <w:rPr>
          <w:i/>
          <w:iCs/>
          <w:szCs w:val="24"/>
        </w:rPr>
      </w:pPr>
    </w:p>
    <w:p w14:paraId="5522B144" w14:textId="609A9F8C" w:rsidR="00891450" w:rsidRPr="00B44904" w:rsidRDefault="00B44904" w:rsidP="00FA45DA">
      <w:pPr>
        <w:jc w:val="both"/>
        <w:rPr>
          <w:i/>
          <w:iCs/>
          <w:szCs w:val="24"/>
        </w:rPr>
      </w:pPr>
      <w:r w:rsidRPr="00B44904">
        <w:rPr>
          <w:i/>
          <w:iCs/>
          <w:szCs w:val="24"/>
        </w:rPr>
        <w:t xml:space="preserve">Hvid- og narhvaler og </w:t>
      </w:r>
      <w:r>
        <w:rPr>
          <w:i/>
          <w:iCs/>
          <w:szCs w:val="24"/>
        </w:rPr>
        <w:t xml:space="preserve">andre </w:t>
      </w:r>
      <w:r w:rsidRPr="00B44904">
        <w:rPr>
          <w:i/>
          <w:iCs/>
          <w:szCs w:val="24"/>
        </w:rPr>
        <w:t>m</w:t>
      </w:r>
      <w:r>
        <w:rPr>
          <w:i/>
          <w:iCs/>
          <w:szCs w:val="24"/>
        </w:rPr>
        <w:t>indre hvaler spiser meget fisk, også andre større hvaler spiser meget små fisk og kriller, derfor skal vi i vores land arbejde for, at der ikke bliver for mange af dem</w:t>
      </w:r>
      <w:r w:rsidR="002C1812">
        <w:rPr>
          <w:i/>
          <w:iCs/>
          <w:szCs w:val="24"/>
        </w:rPr>
        <w:t xml:space="preserve">. I vores land er vi økonomisk afhængige af fisk og lever af disse. </w:t>
      </w:r>
    </w:p>
    <w:p w14:paraId="2F48213C" w14:textId="6E20F93D" w:rsidR="00297028" w:rsidRPr="00CE6E24" w:rsidRDefault="00297028" w:rsidP="00FA45DA">
      <w:pPr>
        <w:jc w:val="both"/>
        <w:rPr>
          <w:i/>
          <w:iCs/>
          <w:szCs w:val="24"/>
        </w:rPr>
      </w:pPr>
    </w:p>
    <w:p w14:paraId="02068210" w14:textId="496208C0" w:rsidR="002C1812" w:rsidRPr="002C1812" w:rsidRDefault="002C1812" w:rsidP="00FA45DA">
      <w:pPr>
        <w:jc w:val="both"/>
        <w:rPr>
          <w:i/>
          <w:iCs/>
          <w:szCs w:val="24"/>
        </w:rPr>
      </w:pPr>
      <w:r w:rsidRPr="002C1812">
        <w:rPr>
          <w:i/>
          <w:iCs/>
          <w:szCs w:val="24"/>
        </w:rPr>
        <w:t>Bostederne I vores land, d</w:t>
      </w:r>
      <w:r>
        <w:rPr>
          <w:i/>
          <w:iCs/>
          <w:szCs w:val="24"/>
        </w:rPr>
        <w:t>vs. Byerne og Bygderne skal have kvoter, da hele befolkningen i vores land har behov for mad/kød.</w:t>
      </w:r>
    </w:p>
    <w:p w14:paraId="20CCDC02" w14:textId="77777777" w:rsidR="002C1812" w:rsidRPr="002C1812" w:rsidRDefault="002C1812" w:rsidP="00FA45DA">
      <w:pPr>
        <w:jc w:val="both"/>
        <w:rPr>
          <w:i/>
          <w:iCs/>
          <w:szCs w:val="24"/>
        </w:rPr>
      </w:pPr>
    </w:p>
    <w:p w14:paraId="52576F47" w14:textId="5AA4C7C0" w:rsidR="00FB3341" w:rsidRPr="002837DC" w:rsidRDefault="002837DC" w:rsidP="00FA45DA">
      <w:pPr>
        <w:jc w:val="both"/>
        <w:rPr>
          <w:i/>
          <w:iCs/>
          <w:szCs w:val="24"/>
        </w:rPr>
      </w:pPr>
      <w:r w:rsidRPr="002837DC">
        <w:rPr>
          <w:i/>
          <w:iCs/>
          <w:szCs w:val="24"/>
        </w:rPr>
        <w:t>Vi skal give befolkningen i</w:t>
      </w:r>
      <w:r>
        <w:rPr>
          <w:i/>
          <w:iCs/>
          <w:szCs w:val="24"/>
        </w:rPr>
        <w:t xml:space="preserve"> vores land mulighed for at få hvid- og narhvalstykker for at madforsyning </w:t>
      </w:r>
      <w:r w:rsidR="002C2C06">
        <w:rPr>
          <w:i/>
          <w:iCs/>
          <w:szCs w:val="24"/>
        </w:rPr>
        <w:t xml:space="preserve">og producere </w:t>
      </w:r>
      <w:proofErr w:type="spellStart"/>
      <w:r>
        <w:rPr>
          <w:i/>
          <w:iCs/>
          <w:szCs w:val="24"/>
        </w:rPr>
        <w:t>mattak</w:t>
      </w:r>
      <w:proofErr w:type="spellEnd"/>
      <w:r>
        <w:rPr>
          <w:i/>
          <w:iCs/>
          <w:szCs w:val="24"/>
        </w:rPr>
        <w:t xml:space="preserve">, kød, </w:t>
      </w:r>
      <w:r w:rsidR="002C2C06">
        <w:rPr>
          <w:i/>
          <w:iCs/>
          <w:szCs w:val="24"/>
        </w:rPr>
        <w:t xml:space="preserve">hvalhaler mv. og vi anbefaler, at </w:t>
      </w:r>
      <w:proofErr w:type="spellStart"/>
      <w:r w:rsidR="002C2C06">
        <w:rPr>
          <w:i/>
          <w:iCs/>
          <w:szCs w:val="24"/>
        </w:rPr>
        <w:t>Naalakkersuisut</w:t>
      </w:r>
      <w:proofErr w:type="spellEnd"/>
      <w:r w:rsidR="002C2C06">
        <w:rPr>
          <w:i/>
          <w:iCs/>
          <w:szCs w:val="24"/>
        </w:rPr>
        <w:t xml:space="preserve"> skal bane vej for det.</w:t>
      </w:r>
    </w:p>
    <w:p w14:paraId="1E6BAA21" w14:textId="77777777" w:rsidR="002C1812" w:rsidRPr="002837DC" w:rsidRDefault="002C1812" w:rsidP="00FA45DA">
      <w:pPr>
        <w:jc w:val="both"/>
        <w:rPr>
          <w:i/>
          <w:iCs/>
          <w:szCs w:val="24"/>
        </w:rPr>
      </w:pPr>
    </w:p>
    <w:p w14:paraId="751E5262" w14:textId="07E23D8F" w:rsidR="002C2C06" w:rsidRPr="002C2C06" w:rsidRDefault="002C2C06" w:rsidP="00FA45DA">
      <w:pPr>
        <w:jc w:val="both"/>
        <w:rPr>
          <w:i/>
          <w:iCs/>
          <w:szCs w:val="24"/>
        </w:rPr>
      </w:pPr>
      <w:r w:rsidRPr="002C2C06">
        <w:rPr>
          <w:i/>
          <w:iCs/>
          <w:szCs w:val="24"/>
        </w:rPr>
        <w:t>Vi anbefaler på det k</w:t>
      </w:r>
      <w:r>
        <w:rPr>
          <w:i/>
          <w:iCs/>
          <w:szCs w:val="24"/>
        </w:rPr>
        <w:t xml:space="preserve">raftigste fra KNAPK, at siden alle fangstdyr er kvoterede, så skal </w:t>
      </w:r>
      <w:proofErr w:type="spellStart"/>
      <w:r w:rsidR="00512D87">
        <w:rPr>
          <w:i/>
          <w:iCs/>
          <w:szCs w:val="24"/>
        </w:rPr>
        <w:t>Erhvervfangerne</w:t>
      </w:r>
      <w:proofErr w:type="spellEnd"/>
      <w:r w:rsidR="00512D87">
        <w:rPr>
          <w:i/>
          <w:iCs/>
          <w:szCs w:val="24"/>
        </w:rPr>
        <w:t xml:space="preserve"> med fangstbevis fange dyrene. Ikke mindst, skal man gøre dette, når det gælder hvid- og </w:t>
      </w:r>
      <w:proofErr w:type="spellStart"/>
      <w:r w:rsidR="00512D87">
        <w:rPr>
          <w:i/>
          <w:iCs/>
          <w:szCs w:val="24"/>
        </w:rPr>
        <w:t>narhvalsfangsten</w:t>
      </w:r>
      <w:proofErr w:type="spellEnd"/>
      <w:r w:rsidR="00512D87">
        <w:rPr>
          <w:i/>
          <w:iCs/>
          <w:szCs w:val="24"/>
        </w:rPr>
        <w:t>.</w:t>
      </w:r>
    </w:p>
    <w:p w14:paraId="13703DE6" w14:textId="77777777" w:rsidR="002C2C06" w:rsidRPr="002C2C06" w:rsidRDefault="002C2C06" w:rsidP="00FA45DA">
      <w:pPr>
        <w:jc w:val="both"/>
        <w:rPr>
          <w:i/>
          <w:iCs/>
          <w:szCs w:val="24"/>
        </w:rPr>
      </w:pPr>
    </w:p>
    <w:p w14:paraId="41A9AE0E" w14:textId="35F0B38D" w:rsidR="00512D87" w:rsidRPr="00512D87" w:rsidRDefault="00512D87" w:rsidP="00FA45DA">
      <w:pPr>
        <w:jc w:val="both"/>
        <w:rPr>
          <w:b/>
          <w:bCs/>
          <w:i/>
          <w:iCs/>
          <w:szCs w:val="24"/>
        </w:rPr>
      </w:pPr>
      <w:r w:rsidRPr="00512D87">
        <w:rPr>
          <w:b/>
          <w:bCs/>
          <w:i/>
          <w:iCs/>
          <w:szCs w:val="24"/>
        </w:rPr>
        <w:t xml:space="preserve">KNAPK kræver til </w:t>
      </w:r>
      <w:proofErr w:type="spellStart"/>
      <w:r w:rsidRPr="00512D87">
        <w:rPr>
          <w:b/>
          <w:bCs/>
          <w:i/>
          <w:iCs/>
          <w:szCs w:val="24"/>
        </w:rPr>
        <w:t>Naalakkersuisut</w:t>
      </w:r>
      <w:proofErr w:type="spellEnd"/>
      <w:r w:rsidRPr="00512D87">
        <w:rPr>
          <w:b/>
          <w:bCs/>
          <w:i/>
          <w:iCs/>
          <w:szCs w:val="24"/>
        </w:rPr>
        <w:t xml:space="preserve">, </w:t>
      </w:r>
      <w:r>
        <w:rPr>
          <w:b/>
          <w:bCs/>
          <w:i/>
          <w:iCs/>
          <w:szCs w:val="24"/>
        </w:rPr>
        <w:t>så længe man giver fangst af kvoterede dyr</w:t>
      </w:r>
      <w:r w:rsidR="00A51C28">
        <w:rPr>
          <w:b/>
          <w:bCs/>
          <w:i/>
          <w:iCs/>
          <w:szCs w:val="24"/>
        </w:rPr>
        <w:t xml:space="preserve">, og når man i forhold til forrige år skærer antallet ned i kvoterne, så skal der gives økonomisk </w:t>
      </w:r>
      <w:r w:rsidR="00A51C28">
        <w:rPr>
          <w:b/>
          <w:bCs/>
          <w:i/>
          <w:iCs/>
          <w:szCs w:val="24"/>
        </w:rPr>
        <w:lastRenderedPageBreak/>
        <w:t xml:space="preserve">kompensation i forhold til prisniveauet i vores land. KNAPK kræver i tilgift, at KNAPK og </w:t>
      </w:r>
      <w:proofErr w:type="spellStart"/>
      <w:r w:rsidR="00A51C28">
        <w:rPr>
          <w:b/>
          <w:bCs/>
          <w:i/>
          <w:iCs/>
          <w:szCs w:val="24"/>
        </w:rPr>
        <w:t>Naalakkersuit</w:t>
      </w:r>
      <w:proofErr w:type="spellEnd"/>
      <w:r w:rsidR="00A51C28">
        <w:rPr>
          <w:b/>
          <w:bCs/>
          <w:i/>
          <w:iCs/>
          <w:szCs w:val="24"/>
        </w:rPr>
        <w:t xml:space="preserve"> skal begynde at forhandle om disse.</w:t>
      </w:r>
    </w:p>
    <w:p w14:paraId="4D03403A" w14:textId="77777777" w:rsidR="00512D87" w:rsidRPr="00512D87" w:rsidRDefault="00512D87" w:rsidP="00FA45DA">
      <w:pPr>
        <w:jc w:val="both"/>
        <w:rPr>
          <w:b/>
          <w:bCs/>
          <w:i/>
          <w:iCs/>
          <w:szCs w:val="24"/>
        </w:rPr>
      </w:pPr>
    </w:p>
    <w:p w14:paraId="28E0729C" w14:textId="0B4384AB" w:rsidR="009F4989" w:rsidRDefault="00A51C28" w:rsidP="00FA45DA">
      <w:pPr>
        <w:jc w:val="both"/>
        <w:rPr>
          <w:b/>
          <w:bCs/>
          <w:szCs w:val="24"/>
          <w:lang w:val="en-US"/>
        </w:rPr>
      </w:pPr>
      <w:proofErr w:type="spellStart"/>
      <w:r>
        <w:rPr>
          <w:b/>
          <w:bCs/>
          <w:szCs w:val="24"/>
          <w:lang w:val="en-US"/>
        </w:rPr>
        <w:t>Hvidhvaler</w:t>
      </w:r>
      <w:proofErr w:type="spellEnd"/>
      <w:r w:rsidR="009F4989" w:rsidRPr="009F4989">
        <w:rPr>
          <w:b/>
          <w:bCs/>
          <w:szCs w:val="24"/>
          <w:lang w:val="en-US"/>
        </w:rPr>
        <w:t>:</w:t>
      </w:r>
    </w:p>
    <w:p w14:paraId="0421AA3D" w14:textId="77777777" w:rsidR="00216BAF" w:rsidRDefault="00216BAF" w:rsidP="00FA45DA">
      <w:pPr>
        <w:jc w:val="both"/>
        <w:rPr>
          <w:b/>
          <w:bCs/>
          <w:szCs w:val="24"/>
          <w:lang w:val="en-US"/>
        </w:rPr>
      </w:pPr>
    </w:p>
    <w:p w14:paraId="54293224" w14:textId="063ECFF6" w:rsidR="00A51C28" w:rsidRPr="00A51C28" w:rsidRDefault="00A51C28" w:rsidP="00FA45DA">
      <w:pPr>
        <w:pStyle w:val="Listeafsnit"/>
        <w:numPr>
          <w:ilvl w:val="0"/>
          <w:numId w:val="14"/>
        </w:numPr>
        <w:jc w:val="both"/>
        <w:rPr>
          <w:i/>
          <w:iCs/>
          <w:szCs w:val="24"/>
        </w:rPr>
      </w:pPr>
      <w:r w:rsidRPr="00A51C28">
        <w:rPr>
          <w:i/>
          <w:iCs/>
          <w:szCs w:val="24"/>
        </w:rPr>
        <w:t xml:space="preserve">KNAPK opfordrer </w:t>
      </w:r>
      <w:proofErr w:type="spellStart"/>
      <w:r w:rsidRPr="00A51C28">
        <w:rPr>
          <w:i/>
          <w:iCs/>
          <w:szCs w:val="24"/>
        </w:rPr>
        <w:t>Naalakkersuisut</w:t>
      </w:r>
      <w:proofErr w:type="spellEnd"/>
      <w:r w:rsidRPr="00A51C28">
        <w:rPr>
          <w:i/>
          <w:iCs/>
          <w:szCs w:val="24"/>
        </w:rPr>
        <w:t xml:space="preserve">, at </w:t>
      </w:r>
      <w:r>
        <w:rPr>
          <w:i/>
          <w:iCs/>
          <w:szCs w:val="24"/>
        </w:rPr>
        <w:t>kvoterne for hvidhvaler ikke b</w:t>
      </w:r>
      <w:r w:rsidR="00525BEC">
        <w:rPr>
          <w:i/>
          <w:iCs/>
          <w:szCs w:val="24"/>
        </w:rPr>
        <w:t>liver færre i de næstkommende år.</w:t>
      </w:r>
    </w:p>
    <w:p w14:paraId="75630D37" w14:textId="77777777" w:rsidR="00A51C28" w:rsidRPr="00A51C28" w:rsidRDefault="00A51C28" w:rsidP="00A51C28">
      <w:pPr>
        <w:pStyle w:val="Listeafsnit"/>
        <w:jc w:val="both"/>
        <w:rPr>
          <w:i/>
          <w:iCs/>
          <w:szCs w:val="24"/>
        </w:rPr>
      </w:pPr>
    </w:p>
    <w:p w14:paraId="0D75D55F" w14:textId="2D20CCAF" w:rsidR="00525BEC" w:rsidRPr="00525BEC" w:rsidRDefault="00525BEC" w:rsidP="00FA45DA">
      <w:pPr>
        <w:pStyle w:val="Listeafsnit"/>
        <w:numPr>
          <w:ilvl w:val="0"/>
          <w:numId w:val="14"/>
        </w:numPr>
        <w:jc w:val="both"/>
        <w:rPr>
          <w:i/>
          <w:iCs/>
          <w:szCs w:val="24"/>
        </w:rPr>
      </w:pPr>
      <w:r w:rsidRPr="00525BEC">
        <w:rPr>
          <w:i/>
          <w:iCs/>
          <w:szCs w:val="24"/>
        </w:rPr>
        <w:t>At der gives fælleskvoter f</w:t>
      </w:r>
      <w:r>
        <w:rPr>
          <w:i/>
          <w:iCs/>
          <w:szCs w:val="24"/>
        </w:rPr>
        <w:t>or hvidhvaler i Østgrønland hvert år.</w:t>
      </w:r>
    </w:p>
    <w:p w14:paraId="7C87497E" w14:textId="77777777" w:rsidR="00525BEC" w:rsidRPr="00525BEC" w:rsidRDefault="00525BEC" w:rsidP="00525BEC">
      <w:pPr>
        <w:pStyle w:val="Listeafsnit"/>
        <w:rPr>
          <w:i/>
          <w:iCs/>
          <w:szCs w:val="24"/>
        </w:rPr>
      </w:pPr>
    </w:p>
    <w:p w14:paraId="1B8E88F0" w14:textId="3F0B6135" w:rsidR="00525BEC" w:rsidRPr="00525BEC" w:rsidRDefault="00525BEC" w:rsidP="00FA45DA">
      <w:pPr>
        <w:pStyle w:val="Listeafsnit"/>
        <w:numPr>
          <w:ilvl w:val="0"/>
          <w:numId w:val="14"/>
        </w:numPr>
        <w:jc w:val="both"/>
        <w:rPr>
          <w:i/>
          <w:iCs/>
          <w:szCs w:val="24"/>
        </w:rPr>
      </w:pPr>
      <w:r>
        <w:rPr>
          <w:i/>
          <w:iCs/>
          <w:szCs w:val="24"/>
        </w:rPr>
        <w:t>Målet skal være, at der</w:t>
      </w:r>
      <w:r w:rsidRPr="00525BEC">
        <w:rPr>
          <w:i/>
          <w:iCs/>
          <w:szCs w:val="24"/>
        </w:rPr>
        <w:t xml:space="preserve"> gives større k</w:t>
      </w:r>
      <w:r>
        <w:rPr>
          <w:i/>
          <w:iCs/>
          <w:szCs w:val="24"/>
        </w:rPr>
        <w:t xml:space="preserve">voter i </w:t>
      </w:r>
      <w:proofErr w:type="spellStart"/>
      <w:r>
        <w:rPr>
          <w:i/>
          <w:iCs/>
          <w:szCs w:val="24"/>
        </w:rPr>
        <w:t>vestgrønland</w:t>
      </w:r>
      <w:proofErr w:type="spellEnd"/>
      <w:r>
        <w:rPr>
          <w:i/>
          <w:iCs/>
          <w:szCs w:val="24"/>
        </w:rPr>
        <w:t xml:space="preserve"> fra Ilulissat til og med Maniitsoq.</w:t>
      </w:r>
    </w:p>
    <w:p w14:paraId="462813A3" w14:textId="77777777" w:rsidR="00525BEC" w:rsidRPr="00525BEC" w:rsidRDefault="00525BEC" w:rsidP="00525BEC">
      <w:pPr>
        <w:pStyle w:val="Listeafsnit"/>
        <w:rPr>
          <w:i/>
          <w:iCs/>
          <w:szCs w:val="24"/>
        </w:rPr>
      </w:pPr>
    </w:p>
    <w:p w14:paraId="4DF30AE4" w14:textId="506C07C7" w:rsidR="00525BEC" w:rsidRPr="00C23B64" w:rsidRDefault="00C23B64" w:rsidP="00FA45DA">
      <w:pPr>
        <w:pStyle w:val="Listeafsnit"/>
        <w:numPr>
          <w:ilvl w:val="0"/>
          <w:numId w:val="14"/>
        </w:numPr>
        <w:jc w:val="both"/>
        <w:rPr>
          <w:i/>
          <w:iCs/>
          <w:szCs w:val="24"/>
        </w:rPr>
      </w:pPr>
      <w:r w:rsidRPr="00C23B64">
        <w:rPr>
          <w:i/>
          <w:iCs/>
          <w:szCs w:val="24"/>
        </w:rPr>
        <w:t>Når der om vinteren i</w:t>
      </w:r>
      <w:r>
        <w:rPr>
          <w:i/>
          <w:iCs/>
          <w:szCs w:val="24"/>
        </w:rPr>
        <w:t>kke har fanget alle kvoterede dyr i det år, så skal der sørges for, at man genfordeler de ikke fangede dyr, ligesom vi gør det med sildepiskerkvoterne.</w:t>
      </w:r>
    </w:p>
    <w:p w14:paraId="7FF59D5F" w14:textId="77777777" w:rsidR="00525BEC" w:rsidRPr="00C23B64" w:rsidRDefault="00525BEC" w:rsidP="00525BEC">
      <w:pPr>
        <w:pStyle w:val="Listeafsnit"/>
        <w:rPr>
          <w:i/>
          <w:iCs/>
          <w:szCs w:val="24"/>
        </w:rPr>
      </w:pPr>
    </w:p>
    <w:p w14:paraId="465E1F50" w14:textId="77777777" w:rsidR="00216BAF" w:rsidRPr="00CE6E24" w:rsidRDefault="00216BAF" w:rsidP="00FA45DA">
      <w:pPr>
        <w:jc w:val="both"/>
        <w:rPr>
          <w:b/>
          <w:bCs/>
          <w:szCs w:val="24"/>
        </w:rPr>
      </w:pPr>
    </w:p>
    <w:p w14:paraId="2FCE498D" w14:textId="3E07E409" w:rsidR="0062533F" w:rsidRDefault="00C23B64" w:rsidP="00FA45DA">
      <w:pPr>
        <w:jc w:val="both"/>
        <w:rPr>
          <w:b/>
          <w:bCs/>
          <w:szCs w:val="24"/>
          <w:lang w:val="en-US"/>
        </w:rPr>
      </w:pPr>
      <w:proofErr w:type="spellStart"/>
      <w:r>
        <w:rPr>
          <w:b/>
          <w:bCs/>
          <w:szCs w:val="24"/>
          <w:lang w:val="en-US"/>
        </w:rPr>
        <w:t>Narhvaler</w:t>
      </w:r>
      <w:proofErr w:type="spellEnd"/>
      <w:r w:rsidR="0062533F">
        <w:rPr>
          <w:b/>
          <w:bCs/>
          <w:szCs w:val="24"/>
          <w:lang w:val="en-US"/>
        </w:rPr>
        <w:t>:</w:t>
      </w:r>
    </w:p>
    <w:p w14:paraId="7478BF19" w14:textId="77777777" w:rsidR="00216BAF" w:rsidRDefault="00216BAF" w:rsidP="00FA45DA">
      <w:pPr>
        <w:jc w:val="both"/>
        <w:rPr>
          <w:b/>
          <w:bCs/>
          <w:szCs w:val="24"/>
          <w:lang w:val="en-US"/>
        </w:rPr>
      </w:pPr>
    </w:p>
    <w:p w14:paraId="459C2ADB" w14:textId="07A78A55" w:rsidR="00C94741" w:rsidRPr="00C94741" w:rsidRDefault="00C94741" w:rsidP="00FA45DA">
      <w:pPr>
        <w:pStyle w:val="Listeafsnit"/>
        <w:numPr>
          <w:ilvl w:val="0"/>
          <w:numId w:val="14"/>
        </w:numPr>
        <w:jc w:val="both"/>
        <w:rPr>
          <w:i/>
          <w:iCs/>
          <w:szCs w:val="24"/>
        </w:rPr>
      </w:pPr>
      <w:r w:rsidRPr="00C94741">
        <w:rPr>
          <w:i/>
          <w:iCs/>
          <w:szCs w:val="24"/>
        </w:rPr>
        <w:t xml:space="preserve">Fra KNAPK opfordrer vi </w:t>
      </w:r>
      <w:r>
        <w:rPr>
          <w:i/>
          <w:iCs/>
          <w:szCs w:val="24"/>
        </w:rPr>
        <w:t xml:space="preserve">til </w:t>
      </w:r>
      <w:proofErr w:type="spellStart"/>
      <w:r>
        <w:rPr>
          <w:i/>
          <w:iCs/>
          <w:szCs w:val="24"/>
        </w:rPr>
        <w:t>Naalakkersuisut</w:t>
      </w:r>
      <w:proofErr w:type="spellEnd"/>
      <w:r>
        <w:rPr>
          <w:i/>
          <w:iCs/>
          <w:szCs w:val="24"/>
        </w:rPr>
        <w:t xml:space="preserve">, at man ikke </w:t>
      </w:r>
      <w:r w:rsidR="00BA11A6">
        <w:rPr>
          <w:i/>
          <w:iCs/>
          <w:szCs w:val="24"/>
        </w:rPr>
        <w:t>giver</w:t>
      </w:r>
      <w:r>
        <w:rPr>
          <w:i/>
          <w:iCs/>
          <w:szCs w:val="24"/>
        </w:rPr>
        <w:t xml:space="preserve"> færre kvoter for narhvaler for de kommende år.</w:t>
      </w:r>
    </w:p>
    <w:p w14:paraId="09FF1BE1" w14:textId="77777777" w:rsidR="00C94741" w:rsidRPr="00C94741" w:rsidRDefault="00C94741" w:rsidP="00C94741">
      <w:pPr>
        <w:pStyle w:val="Listeafsnit"/>
        <w:jc w:val="both"/>
        <w:rPr>
          <w:i/>
          <w:iCs/>
          <w:szCs w:val="24"/>
        </w:rPr>
      </w:pPr>
    </w:p>
    <w:p w14:paraId="0C28767E" w14:textId="0BAB4A75" w:rsidR="00C94741" w:rsidRPr="00BA11A6" w:rsidRDefault="00BA11A6" w:rsidP="00FA45DA">
      <w:pPr>
        <w:pStyle w:val="Listeafsnit"/>
        <w:numPr>
          <w:ilvl w:val="0"/>
          <w:numId w:val="14"/>
        </w:numPr>
        <w:jc w:val="both"/>
        <w:rPr>
          <w:i/>
          <w:iCs/>
          <w:szCs w:val="24"/>
        </w:rPr>
      </w:pPr>
      <w:r>
        <w:rPr>
          <w:i/>
          <w:iCs/>
          <w:szCs w:val="24"/>
        </w:rPr>
        <w:t xml:space="preserve">KNAPK kræver, at man tildeler kvoter i Qaanaaq for at de unge kan lære hvalfangst fra </w:t>
      </w:r>
      <w:proofErr w:type="spellStart"/>
      <w:r>
        <w:rPr>
          <w:i/>
          <w:iCs/>
          <w:szCs w:val="24"/>
        </w:rPr>
        <w:t>qajaq</w:t>
      </w:r>
      <w:proofErr w:type="spellEnd"/>
      <w:r>
        <w:rPr>
          <w:i/>
          <w:iCs/>
          <w:szCs w:val="24"/>
        </w:rPr>
        <w:t xml:space="preserve"> for en </w:t>
      </w:r>
      <w:proofErr w:type="spellStart"/>
      <w:r>
        <w:rPr>
          <w:i/>
          <w:iCs/>
          <w:szCs w:val="24"/>
        </w:rPr>
        <w:t>fem-årig</w:t>
      </w:r>
      <w:proofErr w:type="spellEnd"/>
      <w:r>
        <w:rPr>
          <w:i/>
          <w:iCs/>
          <w:szCs w:val="24"/>
        </w:rPr>
        <w:t xml:space="preserve"> periode.</w:t>
      </w:r>
    </w:p>
    <w:p w14:paraId="07566564" w14:textId="77777777" w:rsidR="00C94741" w:rsidRPr="00BA11A6" w:rsidRDefault="00C94741" w:rsidP="00C94741">
      <w:pPr>
        <w:pStyle w:val="Listeafsnit"/>
        <w:rPr>
          <w:i/>
          <w:iCs/>
          <w:szCs w:val="24"/>
        </w:rPr>
      </w:pPr>
    </w:p>
    <w:p w14:paraId="23EA0EA1" w14:textId="019BC222" w:rsidR="00BA11A6" w:rsidRPr="00BA11A6" w:rsidRDefault="00BA11A6" w:rsidP="00FA45DA">
      <w:pPr>
        <w:pStyle w:val="Listeafsnit"/>
        <w:numPr>
          <w:ilvl w:val="0"/>
          <w:numId w:val="14"/>
        </w:numPr>
        <w:jc w:val="both"/>
        <w:rPr>
          <w:i/>
          <w:iCs/>
          <w:szCs w:val="24"/>
        </w:rPr>
      </w:pPr>
      <w:r w:rsidRPr="00BA11A6">
        <w:rPr>
          <w:i/>
          <w:iCs/>
          <w:szCs w:val="24"/>
        </w:rPr>
        <w:t xml:space="preserve">Vi kræver, at man </w:t>
      </w:r>
      <w:r>
        <w:rPr>
          <w:i/>
          <w:iCs/>
          <w:szCs w:val="24"/>
        </w:rPr>
        <w:t xml:space="preserve">giver </w:t>
      </w:r>
      <w:r w:rsidR="008A0D9C">
        <w:rPr>
          <w:i/>
          <w:iCs/>
          <w:szCs w:val="24"/>
        </w:rPr>
        <w:t>nok kvoter til Melvillebugten og den skal vægtes højt.</w:t>
      </w:r>
    </w:p>
    <w:p w14:paraId="6540010A" w14:textId="77777777" w:rsidR="00BA11A6" w:rsidRPr="00BA11A6" w:rsidRDefault="00BA11A6" w:rsidP="00BA11A6">
      <w:pPr>
        <w:pStyle w:val="Listeafsnit"/>
        <w:rPr>
          <w:i/>
          <w:iCs/>
          <w:szCs w:val="24"/>
        </w:rPr>
      </w:pPr>
    </w:p>
    <w:p w14:paraId="7AB3BDA7" w14:textId="270A3C1C" w:rsidR="008A0D9C" w:rsidRPr="008A0D9C" w:rsidRDefault="008A0D9C" w:rsidP="00FA45DA">
      <w:pPr>
        <w:pStyle w:val="Listeafsnit"/>
        <w:numPr>
          <w:ilvl w:val="0"/>
          <w:numId w:val="14"/>
        </w:numPr>
        <w:jc w:val="both"/>
        <w:rPr>
          <w:i/>
          <w:iCs/>
          <w:szCs w:val="24"/>
        </w:rPr>
      </w:pPr>
      <w:r w:rsidRPr="008A0D9C">
        <w:rPr>
          <w:i/>
          <w:iCs/>
          <w:szCs w:val="24"/>
        </w:rPr>
        <w:t>Vi kræver, at byer o</w:t>
      </w:r>
      <w:r>
        <w:rPr>
          <w:i/>
          <w:iCs/>
          <w:szCs w:val="24"/>
        </w:rPr>
        <w:t>g bygder ved Upernavik gives flere kvoter til narhvaler.</w:t>
      </w:r>
    </w:p>
    <w:p w14:paraId="5C7F9CC3" w14:textId="77777777" w:rsidR="008A0D9C" w:rsidRPr="008A0D9C" w:rsidRDefault="008A0D9C" w:rsidP="008A0D9C">
      <w:pPr>
        <w:pStyle w:val="Listeafsnit"/>
        <w:rPr>
          <w:i/>
          <w:iCs/>
          <w:szCs w:val="24"/>
        </w:rPr>
      </w:pPr>
    </w:p>
    <w:p w14:paraId="6F8CF195" w14:textId="298E74DB" w:rsidR="008A0D9C" w:rsidRPr="008A0D9C" w:rsidRDefault="008A0D9C" w:rsidP="00FA45DA">
      <w:pPr>
        <w:pStyle w:val="Listeafsnit"/>
        <w:numPr>
          <w:ilvl w:val="0"/>
          <w:numId w:val="14"/>
        </w:numPr>
        <w:jc w:val="both"/>
        <w:rPr>
          <w:i/>
          <w:iCs/>
          <w:szCs w:val="24"/>
        </w:rPr>
      </w:pPr>
      <w:r w:rsidRPr="008A0D9C">
        <w:rPr>
          <w:i/>
          <w:iCs/>
          <w:szCs w:val="24"/>
        </w:rPr>
        <w:t xml:space="preserve">Vi kræver, at </w:t>
      </w:r>
      <w:r>
        <w:rPr>
          <w:i/>
          <w:iCs/>
          <w:szCs w:val="24"/>
        </w:rPr>
        <w:t xml:space="preserve">der gives flere kvoter </w:t>
      </w:r>
      <w:r w:rsidR="00EC1324">
        <w:rPr>
          <w:i/>
          <w:iCs/>
          <w:szCs w:val="24"/>
        </w:rPr>
        <w:t>af</w:t>
      </w:r>
      <w:r>
        <w:rPr>
          <w:i/>
          <w:iCs/>
          <w:szCs w:val="24"/>
        </w:rPr>
        <w:t xml:space="preserve"> de forskellige hvaler, da disse bliver flere og flere fra Diskobugten indtil Maniitsoq</w:t>
      </w:r>
      <w:r w:rsidR="00EC1324">
        <w:rPr>
          <w:i/>
          <w:iCs/>
          <w:szCs w:val="24"/>
        </w:rPr>
        <w:t>.</w:t>
      </w:r>
    </w:p>
    <w:p w14:paraId="0D1CC5D6" w14:textId="77777777" w:rsidR="008A0D9C" w:rsidRPr="008A0D9C" w:rsidRDefault="008A0D9C" w:rsidP="008A0D9C">
      <w:pPr>
        <w:pStyle w:val="Listeafsnit"/>
        <w:rPr>
          <w:i/>
          <w:iCs/>
          <w:szCs w:val="24"/>
        </w:rPr>
      </w:pPr>
    </w:p>
    <w:p w14:paraId="18BAE2F0" w14:textId="505ADC4D" w:rsidR="00EC1324" w:rsidRPr="00EC1324" w:rsidRDefault="00EC1324" w:rsidP="00FA45DA">
      <w:pPr>
        <w:pStyle w:val="Listeafsnit"/>
        <w:numPr>
          <w:ilvl w:val="0"/>
          <w:numId w:val="14"/>
        </w:numPr>
        <w:jc w:val="both"/>
        <w:rPr>
          <w:i/>
          <w:iCs/>
          <w:szCs w:val="24"/>
        </w:rPr>
      </w:pPr>
      <w:r w:rsidRPr="00EC1324">
        <w:rPr>
          <w:i/>
          <w:iCs/>
          <w:szCs w:val="24"/>
        </w:rPr>
        <w:t>Vi kræver, at der s</w:t>
      </w:r>
      <w:r>
        <w:rPr>
          <w:i/>
          <w:iCs/>
          <w:szCs w:val="24"/>
        </w:rPr>
        <w:t>ørges for at tildele ikke fangede hvaler for året hurtigst muligt, ligesom vi er begyndt at gøre de med sildepiskere.</w:t>
      </w:r>
    </w:p>
    <w:p w14:paraId="54A0DBE4" w14:textId="77777777" w:rsidR="00EC1324" w:rsidRPr="00EC1324" w:rsidRDefault="00EC1324" w:rsidP="00EC1324">
      <w:pPr>
        <w:pStyle w:val="Listeafsnit"/>
        <w:rPr>
          <w:i/>
          <w:iCs/>
          <w:szCs w:val="24"/>
        </w:rPr>
      </w:pPr>
    </w:p>
    <w:p w14:paraId="643A10AD" w14:textId="77777777" w:rsidR="00EC1324" w:rsidRDefault="00EC1324" w:rsidP="00E80BC2">
      <w:pPr>
        <w:jc w:val="center"/>
        <w:rPr>
          <w:szCs w:val="24"/>
        </w:rPr>
      </w:pPr>
    </w:p>
    <w:p w14:paraId="3D7FBC23" w14:textId="77777777" w:rsidR="00EC1324" w:rsidRDefault="00EC1324" w:rsidP="00E80BC2">
      <w:pPr>
        <w:jc w:val="center"/>
        <w:rPr>
          <w:szCs w:val="24"/>
        </w:rPr>
      </w:pPr>
    </w:p>
    <w:p w14:paraId="4D0755C4" w14:textId="229EB483" w:rsidR="00E80BC2" w:rsidRPr="00082C6B" w:rsidRDefault="00E80BC2" w:rsidP="00E80BC2">
      <w:pPr>
        <w:jc w:val="center"/>
        <w:rPr>
          <w:szCs w:val="24"/>
        </w:rPr>
      </w:pPr>
      <w:proofErr w:type="spellStart"/>
      <w:r w:rsidRPr="00082C6B">
        <w:rPr>
          <w:szCs w:val="24"/>
        </w:rPr>
        <w:t>Inussiarnersumik</w:t>
      </w:r>
      <w:proofErr w:type="spellEnd"/>
      <w:r w:rsidRPr="00082C6B">
        <w:rPr>
          <w:szCs w:val="24"/>
        </w:rPr>
        <w:t xml:space="preserve"> </w:t>
      </w:r>
      <w:proofErr w:type="spellStart"/>
      <w:r w:rsidRPr="00082C6B">
        <w:rPr>
          <w:szCs w:val="24"/>
        </w:rPr>
        <w:t>inuulluaqqusillunga</w:t>
      </w:r>
      <w:proofErr w:type="spellEnd"/>
    </w:p>
    <w:p w14:paraId="2D72267B" w14:textId="77777777" w:rsidR="00E80BC2" w:rsidRDefault="00E80BC2" w:rsidP="00E80BC2">
      <w:pPr>
        <w:jc w:val="center"/>
        <w:rPr>
          <w:szCs w:val="24"/>
        </w:rPr>
      </w:pPr>
      <w:r>
        <w:rPr>
          <w:szCs w:val="24"/>
        </w:rPr>
        <w:t>Med venlig hilsen</w:t>
      </w:r>
    </w:p>
    <w:p w14:paraId="0F3B1434" w14:textId="77777777" w:rsidR="00E80BC2" w:rsidRDefault="00E80BC2" w:rsidP="00E80BC2">
      <w:pPr>
        <w:jc w:val="center"/>
        <w:rPr>
          <w:szCs w:val="24"/>
        </w:rPr>
      </w:pPr>
    </w:p>
    <w:p w14:paraId="4452BE23" w14:textId="53AD452F" w:rsidR="00942D80" w:rsidRPr="00082C6B" w:rsidRDefault="00D07BE3" w:rsidP="00D07BE3">
      <w:pPr>
        <w:jc w:val="center"/>
        <w:rPr>
          <w:szCs w:val="24"/>
        </w:rPr>
      </w:pPr>
      <w:r w:rsidRPr="00082C6B">
        <w:rPr>
          <w:szCs w:val="24"/>
        </w:rPr>
        <w:t>Ni</w:t>
      </w:r>
      <w:r w:rsidR="00D917B9" w:rsidRPr="00082C6B">
        <w:rPr>
          <w:szCs w:val="24"/>
        </w:rPr>
        <w:t>kkulaat Jeremiassen</w:t>
      </w:r>
    </w:p>
    <w:p w14:paraId="3E21A5EF" w14:textId="7956716B" w:rsidR="00E80BC2" w:rsidRDefault="00E80BC2" w:rsidP="00E80BC2">
      <w:pPr>
        <w:jc w:val="center"/>
        <w:rPr>
          <w:szCs w:val="24"/>
          <w:lang w:val="en-US"/>
        </w:rPr>
      </w:pPr>
      <w:proofErr w:type="spellStart"/>
      <w:r w:rsidRPr="00942D80">
        <w:rPr>
          <w:szCs w:val="24"/>
          <w:lang w:val="en-US"/>
        </w:rPr>
        <w:t>Siulittaasoq</w:t>
      </w:r>
      <w:proofErr w:type="spellEnd"/>
    </w:p>
    <w:p w14:paraId="1EE7FD4A" w14:textId="100DCE42" w:rsidR="007F0D8E" w:rsidRPr="00942D80" w:rsidRDefault="00D917B9" w:rsidP="00590CFA">
      <w:pPr>
        <w:jc w:val="center"/>
        <w:rPr>
          <w:szCs w:val="24"/>
          <w:lang w:val="en-US"/>
        </w:rPr>
      </w:pPr>
      <w:proofErr w:type="spellStart"/>
      <w:r>
        <w:rPr>
          <w:szCs w:val="24"/>
          <w:lang w:val="en-US"/>
        </w:rPr>
        <w:t>Formand</w:t>
      </w:r>
      <w:proofErr w:type="spellEnd"/>
    </w:p>
    <w:sectPr w:rsidR="007F0D8E" w:rsidRPr="00942D80" w:rsidSect="00251ADF">
      <w:footerReference w:type="default" r:id="rId13"/>
      <w:pgSz w:w="11906" w:h="16838" w:code="9"/>
      <w:pgMar w:top="709" w:right="1440" w:bottom="709"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4EFC" w14:textId="77777777" w:rsidR="00BB2677" w:rsidRDefault="00BB2677" w:rsidP="004F5CE1">
      <w:r>
        <w:separator/>
      </w:r>
    </w:p>
  </w:endnote>
  <w:endnote w:type="continuationSeparator" w:id="0">
    <w:p w14:paraId="2FE0E239" w14:textId="77777777" w:rsidR="00BB2677" w:rsidRDefault="00BB2677" w:rsidP="004F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566291"/>
      <w:docPartObj>
        <w:docPartGallery w:val="Page Numbers (Bottom of Page)"/>
        <w:docPartUnique/>
      </w:docPartObj>
    </w:sdtPr>
    <w:sdtEndPr/>
    <w:sdtContent>
      <w:p w14:paraId="3035131D" w14:textId="41213DBB" w:rsidR="00CD175D" w:rsidRDefault="00CD175D">
        <w:pPr>
          <w:pStyle w:val="Sidefod"/>
          <w:jc w:val="center"/>
        </w:pPr>
        <w:r>
          <w:fldChar w:fldCharType="begin"/>
        </w:r>
        <w:r>
          <w:instrText>PAGE   \* MERGEFORMAT</w:instrText>
        </w:r>
        <w:r>
          <w:fldChar w:fldCharType="separate"/>
        </w:r>
        <w:r>
          <w:t>2</w:t>
        </w:r>
        <w:r>
          <w:fldChar w:fldCharType="end"/>
        </w:r>
      </w:p>
    </w:sdtContent>
  </w:sdt>
  <w:p w14:paraId="1290926E" w14:textId="58F7A9AC" w:rsidR="00151468" w:rsidRPr="001E27E3" w:rsidRDefault="00151468">
    <w:pPr>
      <w:pStyle w:val="Sidefod"/>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FBD9" w14:textId="77777777" w:rsidR="00BB2677" w:rsidRDefault="00BB2677" w:rsidP="004F5CE1">
      <w:r>
        <w:separator/>
      </w:r>
    </w:p>
  </w:footnote>
  <w:footnote w:type="continuationSeparator" w:id="0">
    <w:p w14:paraId="034E9D60" w14:textId="77777777" w:rsidR="00BB2677" w:rsidRDefault="00BB2677" w:rsidP="004F5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20A8"/>
    <w:multiLevelType w:val="hybridMultilevel"/>
    <w:tmpl w:val="12C800BA"/>
    <w:lvl w:ilvl="0" w:tplc="4BFA1CE6">
      <w:start w:val="2013"/>
      <w:numFmt w:val="bullet"/>
      <w:lvlText w:val="-"/>
      <w:lvlJc w:val="left"/>
      <w:pPr>
        <w:ind w:left="720" w:hanging="360"/>
      </w:pPr>
      <w:rPr>
        <w:rFonts w:ascii="Times New Roman" w:eastAsia="Times New Roman" w:hAnsi="Times New Roman" w:cs="Times New Roman" w:hint="default"/>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BF7C85"/>
    <w:multiLevelType w:val="hybridMultilevel"/>
    <w:tmpl w:val="1480B424"/>
    <w:lvl w:ilvl="0" w:tplc="0C8EE0C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527613"/>
    <w:multiLevelType w:val="hybridMultilevel"/>
    <w:tmpl w:val="47107ED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5244242"/>
    <w:multiLevelType w:val="hybridMultilevel"/>
    <w:tmpl w:val="20E671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F3B6032"/>
    <w:multiLevelType w:val="hybridMultilevel"/>
    <w:tmpl w:val="7E6ED6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F774C82"/>
    <w:multiLevelType w:val="hybridMultilevel"/>
    <w:tmpl w:val="A42E14A8"/>
    <w:lvl w:ilvl="0" w:tplc="8626D3D2">
      <w:start w:val="3900"/>
      <w:numFmt w:val="bullet"/>
      <w:lvlText w:val="-"/>
      <w:lvlJc w:val="left"/>
      <w:pPr>
        <w:ind w:left="720" w:hanging="360"/>
      </w:pPr>
      <w:rPr>
        <w:rFonts w:ascii="Cambria" w:eastAsia="Times New Roman" w:hAnsi="Cambr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1045BB3"/>
    <w:multiLevelType w:val="hybridMultilevel"/>
    <w:tmpl w:val="42A6558E"/>
    <w:lvl w:ilvl="0" w:tplc="185022EC">
      <w:start w:val="10"/>
      <w:numFmt w:val="bullet"/>
      <w:lvlText w:val="-"/>
      <w:lvlJc w:val="left"/>
      <w:pPr>
        <w:ind w:left="786" w:hanging="360"/>
      </w:pPr>
      <w:rPr>
        <w:rFonts w:ascii="Cambria" w:eastAsia="Times New Roman" w:hAnsi="Cambria" w:cs="Aria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7" w15:restartNumberingAfterBreak="0">
    <w:nsid w:val="5A3569E8"/>
    <w:multiLevelType w:val="hybridMultilevel"/>
    <w:tmpl w:val="C8A60D7A"/>
    <w:lvl w:ilvl="0" w:tplc="04060011">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2731D6F"/>
    <w:multiLevelType w:val="hybridMultilevel"/>
    <w:tmpl w:val="AFF01A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50C57B8"/>
    <w:multiLevelType w:val="hybridMultilevel"/>
    <w:tmpl w:val="EC669224"/>
    <w:lvl w:ilvl="0" w:tplc="7A0C9FE6">
      <w:start w:val="1"/>
      <w:numFmt w:val="decimal"/>
      <w:lvlText w:val="%1."/>
      <w:lvlJc w:val="left"/>
      <w:pPr>
        <w:ind w:left="720" w:hanging="360"/>
      </w:pPr>
      <w:rPr>
        <w:rFonts w:ascii="Arial" w:hAnsi="Arial" w:cs="Arial" w:hint="default"/>
        <w:sz w:val="2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6D691199"/>
    <w:multiLevelType w:val="hybridMultilevel"/>
    <w:tmpl w:val="AF3E6EEC"/>
    <w:lvl w:ilvl="0" w:tplc="9EE66088">
      <w:start w:val="202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5F46032"/>
    <w:multiLevelType w:val="hybridMultilevel"/>
    <w:tmpl w:val="BF00DDD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BCA56E0"/>
    <w:multiLevelType w:val="hybridMultilevel"/>
    <w:tmpl w:val="56B23CD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B80F2B"/>
    <w:multiLevelType w:val="hybridMultilevel"/>
    <w:tmpl w:val="7E4CB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15430552">
    <w:abstractNumId w:val="0"/>
  </w:num>
  <w:num w:numId="2" w16cid:durableId="1099368643">
    <w:abstractNumId w:val="1"/>
  </w:num>
  <w:num w:numId="3" w16cid:durableId="151750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09448">
    <w:abstractNumId w:val="6"/>
  </w:num>
  <w:num w:numId="5" w16cid:durableId="1906405401">
    <w:abstractNumId w:val="5"/>
  </w:num>
  <w:num w:numId="6" w16cid:durableId="104350458">
    <w:abstractNumId w:val="2"/>
  </w:num>
  <w:num w:numId="7" w16cid:durableId="1789466797">
    <w:abstractNumId w:val="7"/>
  </w:num>
  <w:num w:numId="8" w16cid:durableId="1449855933">
    <w:abstractNumId w:val="4"/>
  </w:num>
  <w:num w:numId="9" w16cid:durableId="550771716">
    <w:abstractNumId w:val="3"/>
  </w:num>
  <w:num w:numId="10" w16cid:durableId="299963412">
    <w:abstractNumId w:val="11"/>
  </w:num>
  <w:num w:numId="11" w16cid:durableId="991718003">
    <w:abstractNumId w:val="12"/>
  </w:num>
  <w:num w:numId="12" w16cid:durableId="405497520">
    <w:abstractNumId w:val="13"/>
  </w:num>
  <w:num w:numId="13" w16cid:durableId="587271881">
    <w:abstractNumId w:val="8"/>
  </w:num>
  <w:num w:numId="14" w16cid:durableId="1065492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2E2"/>
    <w:rsid w:val="0000700D"/>
    <w:rsid w:val="00011170"/>
    <w:rsid w:val="00011BEF"/>
    <w:rsid w:val="00016E2C"/>
    <w:rsid w:val="0002192D"/>
    <w:rsid w:val="0002784F"/>
    <w:rsid w:val="000279A3"/>
    <w:rsid w:val="00043297"/>
    <w:rsid w:val="00055F4B"/>
    <w:rsid w:val="00057D41"/>
    <w:rsid w:val="00062D12"/>
    <w:rsid w:val="00074DCA"/>
    <w:rsid w:val="0007644B"/>
    <w:rsid w:val="00082891"/>
    <w:rsid w:val="00082C6B"/>
    <w:rsid w:val="00083116"/>
    <w:rsid w:val="000844EC"/>
    <w:rsid w:val="0009282B"/>
    <w:rsid w:val="000A65C3"/>
    <w:rsid w:val="000A707A"/>
    <w:rsid w:val="000C0F80"/>
    <w:rsid w:val="000C1932"/>
    <w:rsid w:val="000C3E6F"/>
    <w:rsid w:val="000C4C4C"/>
    <w:rsid w:val="000C69AF"/>
    <w:rsid w:val="000C7634"/>
    <w:rsid w:val="000D1F3B"/>
    <w:rsid w:val="000D4A8F"/>
    <w:rsid w:val="000E3CEE"/>
    <w:rsid w:val="000E4F7D"/>
    <w:rsid w:val="000E6206"/>
    <w:rsid w:val="000F2BCA"/>
    <w:rsid w:val="000F4838"/>
    <w:rsid w:val="000F5BEE"/>
    <w:rsid w:val="000F5EF2"/>
    <w:rsid w:val="000F757C"/>
    <w:rsid w:val="000F7AC7"/>
    <w:rsid w:val="00103860"/>
    <w:rsid w:val="0010557D"/>
    <w:rsid w:val="00107586"/>
    <w:rsid w:val="001204C8"/>
    <w:rsid w:val="001227FA"/>
    <w:rsid w:val="001303DD"/>
    <w:rsid w:val="00135083"/>
    <w:rsid w:val="0014202D"/>
    <w:rsid w:val="00151468"/>
    <w:rsid w:val="0015315F"/>
    <w:rsid w:val="00155E16"/>
    <w:rsid w:val="00163C7F"/>
    <w:rsid w:val="00163D6E"/>
    <w:rsid w:val="00170BEC"/>
    <w:rsid w:val="001737D2"/>
    <w:rsid w:val="001746E4"/>
    <w:rsid w:val="001861E2"/>
    <w:rsid w:val="0019705F"/>
    <w:rsid w:val="00197111"/>
    <w:rsid w:val="001A42E2"/>
    <w:rsid w:val="001A46A3"/>
    <w:rsid w:val="001C15E3"/>
    <w:rsid w:val="001C5592"/>
    <w:rsid w:val="001E2093"/>
    <w:rsid w:val="001E27E3"/>
    <w:rsid w:val="001E7878"/>
    <w:rsid w:val="001E7E20"/>
    <w:rsid w:val="001F1997"/>
    <w:rsid w:val="001F26D1"/>
    <w:rsid w:val="001F3FF7"/>
    <w:rsid w:val="001F55B3"/>
    <w:rsid w:val="001F7F9C"/>
    <w:rsid w:val="0020465A"/>
    <w:rsid w:val="002103D8"/>
    <w:rsid w:val="00216BAF"/>
    <w:rsid w:val="002340CB"/>
    <w:rsid w:val="00244192"/>
    <w:rsid w:val="002508C7"/>
    <w:rsid w:val="00251ADF"/>
    <w:rsid w:val="00264BDD"/>
    <w:rsid w:val="00267116"/>
    <w:rsid w:val="002837DC"/>
    <w:rsid w:val="002858EB"/>
    <w:rsid w:val="002960B2"/>
    <w:rsid w:val="00297028"/>
    <w:rsid w:val="002A0013"/>
    <w:rsid w:val="002A2691"/>
    <w:rsid w:val="002A5AC5"/>
    <w:rsid w:val="002B0B82"/>
    <w:rsid w:val="002B45A0"/>
    <w:rsid w:val="002C1812"/>
    <w:rsid w:val="002C18C2"/>
    <w:rsid w:val="002C2C06"/>
    <w:rsid w:val="002C33E4"/>
    <w:rsid w:val="002E51B3"/>
    <w:rsid w:val="002E52B0"/>
    <w:rsid w:val="002E7666"/>
    <w:rsid w:val="002F242D"/>
    <w:rsid w:val="002F34BA"/>
    <w:rsid w:val="002F3643"/>
    <w:rsid w:val="002F660C"/>
    <w:rsid w:val="002F6BE6"/>
    <w:rsid w:val="002F73CB"/>
    <w:rsid w:val="00301233"/>
    <w:rsid w:val="003057BB"/>
    <w:rsid w:val="00330F89"/>
    <w:rsid w:val="00343B11"/>
    <w:rsid w:val="00373BBC"/>
    <w:rsid w:val="00381323"/>
    <w:rsid w:val="003836DC"/>
    <w:rsid w:val="003851CE"/>
    <w:rsid w:val="003D4917"/>
    <w:rsid w:val="003D4BE2"/>
    <w:rsid w:val="003E1794"/>
    <w:rsid w:val="003E2720"/>
    <w:rsid w:val="003E4B95"/>
    <w:rsid w:val="003E54AF"/>
    <w:rsid w:val="003E5E12"/>
    <w:rsid w:val="003F0F4D"/>
    <w:rsid w:val="003F2483"/>
    <w:rsid w:val="003F3846"/>
    <w:rsid w:val="00402A17"/>
    <w:rsid w:val="00404B84"/>
    <w:rsid w:val="004116DD"/>
    <w:rsid w:val="00416558"/>
    <w:rsid w:val="00425B5C"/>
    <w:rsid w:val="004300AA"/>
    <w:rsid w:val="00430F4C"/>
    <w:rsid w:val="00433E3E"/>
    <w:rsid w:val="00452901"/>
    <w:rsid w:val="00456AA7"/>
    <w:rsid w:val="0045758B"/>
    <w:rsid w:val="004575B8"/>
    <w:rsid w:val="00474CD3"/>
    <w:rsid w:val="0049451B"/>
    <w:rsid w:val="00496BB6"/>
    <w:rsid w:val="004A3A66"/>
    <w:rsid w:val="004A5402"/>
    <w:rsid w:val="004B4FFC"/>
    <w:rsid w:val="004B6C64"/>
    <w:rsid w:val="004B7A80"/>
    <w:rsid w:val="004C3B62"/>
    <w:rsid w:val="004C7779"/>
    <w:rsid w:val="004E0463"/>
    <w:rsid w:val="004E0743"/>
    <w:rsid w:val="004F5CE1"/>
    <w:rsid w:val="004F61DF"/>
    <w:rsid w:val="00502487"/>
    <w:rsid w:val="00510E50"/>
    <w:rsid w:val="00511778"/>
    <w:rsid w:val="00512D87"/>
    <w:rsid w:val="00516812"/>
    <w:rsid w:val="00525BEC"/>
    <w:rsid w:val="00534FA7"/>
    <w:rsid w:val="005366FC"/>
    <w:rsid w:val="005376A1"/>
    <w:rsid w:val="005552B0"/>
    <w:rsid w:val="00564D03"/>
    <w:rsid w:val="00565014"/>
    <w:rsid w:val="005668C3"/>
    <w:rsid w:val="0056696F"/>
    <w:rsid w:val="00570A07"/>
    <w:rsid w:val="00575F21"/>
    <w:rsid w:val="0058484F"/>
    <w:rsid w:val="00584AEC"/>
    <w:rsid w:val="00586384"/>
    <w:rsid w:val="00590CFA"/>
    <w:rsid w:val="005964B1"/>
    <w:rsid w:val="005A4585"/>
    <w:rsid w:val="005A52F8"/>
    <w:rsid w:val="005B000C"/>
    <w:rsid w:val="005C706D"/>
    <w:rsid w:val="005D03A4"/>
    <w:rsid w:val="005D3C38"/>
    <w:rsid w:val="005D5CA1"/>
    <w:rsid w:val="005D7696"/>
    <w:rsid w:val="005E2E64"/>
    <w:rsid w:val="00605C99"/>
    <w:rsid w:val="00614B25"/>
    <w:rsid w:val="00624235"/>
    <w:rsid w:val="0062533F"/>
    <w:rsid w:val="00626407"/>
    <w:rsid w:val="00634029"/>
    <w:rsid w:val="0063741C"/>
    <w:rsid w:val="006435ED"/>
    <w:rsid w:val="00645864"/>
    <w:rsid w:val="00652745"/>
    <w:rsid w:val="00655F6D"/>
    <w:rsid w:val="00676E6E"/>
    <w:rsid w:val="006836D5"/>
    <w:rsid w:val="00697D02"/>
    <w:rsid w:val="006A0688"/>
    <w:rsid w:val="006A510A"/>
    <w:rsid w:val="006A511A"/>
    <w:rsid w:val="006B0724"/>
    <w:rsid w:val="006B0FDE"/>
    <w:rsid w:val="006B29A9"/>
    <w:rsid w:val="006B6D29"/>
    <w:rsid w:val="006C2AC7"/>
    <w:rsid w:val="006C6566"/>
    <w:rsid w:val="006D41B8"/>
    <w:rsid w:val="006E260E"/>
    <w:rsid w:val="006F29BC"/>
    <w:rsid w:val="00701236"/>
    <w:rsid w:val="00722793"/>
    <w:rsid w:val="0072339B"/>
    <w:rsid w:val="00727E80"/>
    <w:rsid w:val="00732939"/>
    <w:rsid w:val="00732AFF"/>
    <w:rsid w:val="0073418E"/>
    <w:rsid w:val="0074423D"/>
    <w:rsid w:val="007453C9"/>
    <w:rsid w:val="0075071A"/>
    <w:rsid w:val="00755B5B"/>
    <w:rsid w:val="00760144"/>
    <w:rsid w:val="0076069F"/>
    <w:rsid w:val="007663E6"/>
    <w:rsid w:val="007A40FF"/>
    <w:rsid w:val="007B60E6"/>
    <w:rsid w:val="007B6AE6"/>
    <w:rsid w:val="007C008F"/>
    <w:rsid w:val="007C42AC"/>
    <w:rsid w:val="007C60CB"/>
    <w:rsid w:val="007D291D"/>
    <w:rsid w:val="007D50D3"/>
    <w:rsid w:val="007D64B0"/>
    <w:rsid w:val="007E491F"/>
    <w:rsid w:val="007E5383"/>
    <w:rsid w:val="007F0D8E"/>
    <w:rsid w:val="007F3460"/>
    <w:rsid w:val="0081168B"/>
    <w:rsid w:val="0082091A"/>
    <w:rsid w:val="00820C32"/>
    <w:rsid w:val="00826160"/>
    <w:rsid w:val="00844F8D"/>
    <w:rsid w:val="00846DE3"/>
    <w:rsid w:val="008472FE"/>
    <w:rsid w:val="00847841"/>
    <w:rsid w:val="00854BD8"/>
    <w:rsid w:val="00855EC3"/>
    <w:rsid w:val="008614F7"/>
    <w:rsid w:val="00864AF3"/>
    <w:rsid w:val="00865668"/>
    <w:rsid w:val="00871644"/>
    <w:rsid w:val="008814EA"/>
    <w:rsid w:val="00883C85"/>
    <w:rsid w:val="00891450"/>
    <w:rsid w:val="008933A7"/>
    <w:rsid w:val="00894CA0"/>
    <w:rsid w:val="008A02C5"/>
    <w:rsid w:val="008A0D9C"/>
    <w:rsid w:val="008A392D"/>
    <w:rsid w:val="008A77DE"/>
    <w:rsid w:val="008A7DD6"/>
    <w:rsid w:val="008B049F"/>
    <w:rsid w:val="008B0607"/>
    <w:rsid w:val="008B37F4"/>
    <w:rsid w:val="008B4AB5"/>
    <w:rsid w:val="008B5947"/>
    <w:rsid w:val="008B613B"/>
    <w:rsid w:val="008B6F4E"/>
    <w:rsid w:val="008C2859"/>
    <w:rsid w:val="008C5C58"/>
    <w:rsid w:val="008D06DC"/>
    <w:rsid w:val="008E290B"/>
    <w:rsid w:val="008F2CF4"/>
    <w:rsid w:val="00905DDB"/>
    <w:rsid w:val="009076CD"/>
    <w:rsid w:val="009079D3"/>
    <w:rsid w:val="00907A42"/>
    <w:rsid w:val="00912E41"/>
    <w:rsid w:val="00930A08"/>
    <w:rsid w:val="00941714"/>
    <w:rsid w:val="00942D80"/>
    <w:rsid w:val="00953994"/>
    <w:rsid w:val="009718BB"/>
    <w:rsid w:val="009810E4"/>
    <w:rsid w:val="009818E1"/>
    <w:rsid w:val="0098575A"/>
    <w:rsid w:val="00985F18"/>
    <w:rsid w:val="00996358"/>
    <w:rsid w:val="009A1850"/>
    <w:rsid w:val="009B7E3E"/>
    <w:rsid w:val="009C5DD9"/>
    <w:rsid w:val="009C7CFC"/>
    <w:rsid w:val="009D382F"/>
    <w:rsid w:val="009E0C32"/>
    <w:rsid w:val="009E22B6"/>
    <w:rsid w:val="009E2481"/>
    <w:rsid w:val="009F0D9D"/>
    <w:rsid w:val="009F4989"/>
    <w:rsid w:val="009F4CED"/>
    <w:rsid w:val="009F5C80"/>
    <w:rsid w:val="009F663E"/>
    <w:rsid w:val="009F7E3F"/>
    <w:rsid w:val="00A0090A"/>
    <w:rsid w:val="00A07305"/>
    <w:rsid w:val="00A1370C"/>
    <w:rsid w:val="00A13C66"/>
    <w:rsid w:val="00A27D95"/>
    <w:rsid w:val="00A30C55"/>
    <w:rsid w:val="00A446CF"/>
    <w:rsid w:val="00A46888"/>
    <w:rsid w:val="00A479B9"/>
    <w:rsid w:val="00A51C28"/>
    <w:rsid w:val="00A61A34"/>
    <w:rsid w:val="00A71F3A"/>
    <w:rsid w:val="00A746FB"/>
    <w:rsid w:val="00A82656"/>
    <w:rsid w:val="00A844E4"/>
    <w:rsid w:val="00A905E6"/>
    <w:rsid w:val="00AA26A5"/>
    <w:rsid w:val="00AB7895"/>
    <w:rsid w:val="00AC7952"/>
    <w:rsid w:val="00AE3627"/>
    <w:rsid w:val="00AF068D"/>
    <w:rsid w:val="00AF229C"/>
    <w:rsid w:val="00AF6B2C"/>
    <w:rsid w:val="00AF761C"/>
    <w:rsid w:val="00AF7F9E"/>
    <w:rsid w:val="00B0447A"/>
    <w:rsid w:val="00B06416"/>
    <w:rsid w:val="00B17F8F"/>
    <w:rsid w:val="00B207A7"/>
    <w:rsid w:val="00B26EB5"/>
    <w:rsid w:val="00B27FD2"/>
    <w:rsid w:val="00B34473"/>
    <w:rsid w:val="00B34B7C"/>
    <w:rsid w:val="00B44904"/>
    <w:rsid w:val="00B47DD0"/>
    <w:rsid w:val="00B555E1"/>
    <w:rsid w:val="00B761C6"/>
    <w:rsid w:val="00B807FB"/>
    <w:rsid w:val="00B81B00"/>
    <w:rsid w:val="00B84209"/>
    <w:rsid w:val="00B91742"/>
    <w:rsid w:val="00B93EB2"/>
    <w:rsid w:val="00B95813"/>
    <w:rsid w:val="00BA11A6"/>
    <w:rsid w:val="00BA76E5"/>
    <w:rsid w:val="00BB2677"/>
    <w:rsid w:val="00BB5692"/>
    <w:rsid w:val="00BB6ACE"/>
    <w:rsid w:val="00BC6586"/>
    <w:rsid w:val="00BC69A9"/>
    <w:rsid w:val="00BE1CB4"/>
    <w:rsid w:val="00BE37B3"/>
    <w:rsid w:val="00BF0340"/>
    <w:rsid w:val="00BF46C2"/>
    <w:rsid w:val="00C1205A"/>
    <w:rsid w:val="00C17CBC"/>
    <w:rsid w:val="00C2092B"/>
    <w:rsid w:val="00C2165E"/>
    <w:rsid w:val="00C23B64"/>
    <w:rsid w:val="00C23F6E"/>
    <w:rsid w:val="00C248C6"/>
    <w:rsid w:val="00C302D9"/>
    <w:rsid w:val="00C348A9"/>
    <w:rsid w:val="00C3506E"/>
    <w:rsid w:val="00C41B8E"/>
    <w:rsid w:val="00C429AB"/>
    <w:rsid w:val="00C440D0"/>
    <w:rsid w:val="00C44796"/>
    <w:rsid w:val="00C53639"/>
    <w:rsid w:val="00C73617"/>
    <w:rsid w:val="00C73CF6"/>
    <w:rsid w:val="00C752D0"/>
    <w:rsid w:val="00C81203"/>
    <w:rsid w:val="00C938DA"/>
    <w:rsid w:val="00C94741"/>
    <w:rsid w:val="00CA2596"/>
    <w:rsid w:val="00CB4544"/>
    <w:rsid w:val="00CC1314"/>
    <w:rsid w:val="00CD175D"/>
    <w:rsid w:val="00CD4F09"/>
    <w:rsid w:val="00CD56C4"/>
    <w:rsid w:val="00CD644B"/>
    <w:rsid w:val="00CE0438"/>
    <w:rsid w:val="00CE1689"/>
    <w:rsid w:val="00CE55FB"/>
    <w:rsid w:val="00CE5A64"/>
    <w:rsid w:val="00CE6E24"/>
    <w:rsid w:val="00CF1F38"/>
    <w:rsid w:val="00D015B6"/>
    <w:rsid w:val="00D06CB3"/>
    <w:rsid w:val="00D07B0F"/>
    <w:rsid w:val="00D07BE3"/>
    <w:rsid w:val="00D222B2"/>
    <w:rsid w:val="00D24B8B"/>
    <w:rsid w:val="00D25892"/>
    <w:rsid w:val="00D50587"/>
    <w:rsid w:val="00D5234B"/>
    <w:rsid w:val="00D564DD"/>
    <w:rsid w:val="00D625CD"/>
    <w:rsid w:val="00D72F12"/>
    <w:rsid w:val="00D917B9"/>
    <w:rsid w:val="00D97275"/>
    <w:rsid w:val="00DA3AD0"/>
    <w:rsid w:val="00DB5DD7"/>
    <w:rsid w:val="00DB5EAF"/>
    <w:rsid w:val="00DB7D56"/>
    <w:rsid w:val="00DC1720"/>
    <w:rsid w:val="00DD08F4"/>
    <w:rsid w:val="00DD1BDF"/>
    <w:rsid w:val="00DE0889"/>
    <w:rsid w:val="00DE69D5"/>
    <w:rsid w:val="00DF2D06"/>
    <w:rsid w:val="00DF5F94"/>
    <w:rsid w:val="00E06506"/>
    <w:rsid w:val="00E132FA"/>
    <w:rsid w:val="00E16ED7"/>
    <w:rsid w:val="00E20D41"/>
    <w:rsid w:val="00E2766A"/>
    <w:rsid w:val="00E34C06"/>
    <w:rsid w:val="00E72770"/>
    <w:rsid w:val="00E80BC2"/>
    <w:rsid w:val="00E8187C"/>
    <w:rsid w:val="00E8564D"/>
    <w:rsid w:val="00EA1095"/>
    <w:rsid w:val="00EA2EB9"/>
    <w:rsid w:val="00EA335C"/>
    <w:rsid w:val="00EA6F04"/>
    <w:rsid w:val="00EB145E"/>
    <w:rsid w:val="00EB22B3"/>
    <w:rsid w:val="00EB26AB"/>
    <w:rsid w:val="00EB3973"/>
    <w:rsid w:val="00EC1324"/>
    <w:rsid w:val="00EC35E5"/>
    <w:rsid w:val="00EC55EE"/>
    <w:rsid w:val="00EC66ED"/>
    <w:rsid w:val="00EE2A9E"/>
    <w:rsid w:val="00EE4B08"/>
    <w:rsid w:val="00EE6490"/>
    <w:rsid w:val="00EE7E4A"/>
    <w:rsid w:val="00EF038E"/>
    <w:rsid w:val="00EF19EF"/>
    <w:rsid w:val="00EF6F8A"/>
    <w:rsid w:val="00F1747F"/>
    <w:rsid w:val="00F41978"/>
    <w:rsid w:val="00F423F7"/>
    <w:rsid w:val="00F65B14"/>
    <w:rsid w:val="00F70767"/>
    <w:rsid w:val="00F7567C"/>
    <w:rsid w:val="00F75C1D"/>
    <w:rsid w:val="00F80B04"/>
    <w:rsid w:val="00F82EBA"/>
    <w:rsid w:val="00F95DB0"/>
    <w:rsid w:val="00FA45DA"/>
    <w:rsid w:val="00FB3341"/>
    <w:rsid w:val="00FB388A"/>
    <w:rsid w:val="00FB754D"/>
    <w:rsid w:val="00FC3F23"/>
    <w:rsid w:val="00FC4D43"/>
    <w:rsid w:val="00FC7AE8"/>
    <w:rsid w:val="00FD3A46"/>
    <w:rsid w:val="00FD3FC2"/>
    <w:rsid w:val="00FD7248"/>
    <w:rsid w:val="00FE09C4"/>
    <w:rsid w:val="00FE0F8E"/>
    <w:rsid w:val="00FF51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B3DEA"/>
  <w15:docId w15:val="{92F8D17C-2C2B-4111-8FB3-90D63635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E2"/>
    <w:pPr>
      <w:spacing w:after="0" w:line="240" w:lineRule="auto"/>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uiPriority w:val="9"/>
    <w:qFormat/>
    <w:rsid w:val="00C447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A42E2"/>
    <w:pPr>
      <w:tabs>
        <w:tab w:val="center" w:pos="4819"/>
        <w:tab w:val="right" w:pos="9638"/>
      </w:tabs>
    </w:pPr>
  </w:style>
  <w:style w:type="character" w:customStyle="1" w:styleId="SidehovedTegn">
    <w:name w:val="Sidehoved Tegn"/>
    <w:basedOn w:val="Standardskrifttypeiafsnit"/>
    <w:link w:val="Sidehoved"/>
    <w:uiPriority w:val="99"/>
    <w:rsid w:val="001A42E2"/>
    <w:rPr>
      <w:rFonts w:ascii="Times New Roman" w:eastAsia="Times New Roman" w:hAnsi="Times New Roman" w:cs="Times New Roman"/>
      <w:sz w:val="24"/>
      <w:szCs w:val="20"/>
      <w:lang w:eastAsia="da-DK"/>
    </w:rPr>
  </w:style>
  <w:style w:type="table" w:styleId="Tabel-Gitter">
    <w:name w:val="Table Grid"/>
    <w:basedOn w:val="Tabel-Normal"/>
    <w:uiPriority w:val="59"/>
    <w:rsid w:val="001A4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F6BE6"/>
    <w:rPr>
      <w:color w:val="0000FF"/>
      <w:u w:val="single"/>
    </w:rPr>
  </w:style>
  <w:style w:type="paragraph" w:styleId="Sidefod">
    <w:name w:val="footer"/>
    <w:basedOn w:val="Normal"/>
    <w:link w:val="SidefodTegn"/>
    <w:uiPriority w:val="99"/>
    <w:unhideWhenUsed/>
    <w:rsid w:val="004F5CE1"/>
    <w:pPr>
      <w:tabs>
        <w:tab w:val="center" w:pos="4819"/>
        <w:tab w:val="right" w:pos="9638"/>
      </w:tabs>
    </w:pPr>
  </w:style>
  <w:style w:type="character" w:customStyle="1" w:styleId="SidefodTegn">
    <w:name w:val="Sidefod Tegn"/>
    <w:basedOn w:val="Standardskrifttypeiafsnit"/>
    <w:link w:val="Sidefod"/>
    <w:uiPriority w:val="99"/>
    <w:rsid w:val="004F5CE1"/>
    <w:rPr>
      <w:rFonts w:ascii="Times New Roman" w:eastAsia="Times New Roman" w:hAnsi="Times New Roman" w:cs="Times New Roman"/>
      <w:sz w:val="24"/>
      <w:szCs w:val="20"/>
      <w:lang w:eastAsia="da-DK"/>
    </w:rPr>
  </w:style>
  <w:style w:type="paragraph" w:styleId="Markeringsbobletekst">
    <w:name w:val="Balloon Text"/>
    <w:basedOn w:val="Normal"/>
    <w:link w:val="MarkeringsbobletekstTegn"/>
    <w:uiPriority w:val="99"/>
    <w:semiHidden/>
    <w:unhideWhenUsed/>
    <w:rsid w:val="004F5CE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F5CE1"/>
    <w:rPr>
      <w:rFonts w:ascii="Tahoma" w:eastAsia="Times New Roman" w:hAnsi="Tahoma" w:cs="Tahoma"/>
      <w:sz w:val="16"/>
      <w:szCs w:val="16"/>
      <w:lang w:eastAsia="da-DK"/>
    </w:rPr>
  </w:style>
  <w:style w:type="character" w:styleId="Bogenstitel">
    <w:name w:val="Book Title"/>
    <w:basedOn w:val="Standardskrifttypeiafsnit"/>
    <w:uiPriority w:val="33"/>
    <w:qFormat/>
    <w:rsid w:val="0015315F"/>
    <w:rPr>
      <w:b/>
      <w:bCs/>
      <w:smallCaps/>
      <w:spacing w:val="5"/>
    </w:rPr>
  </w:style>
  <w:style w:type="character" w:styleId="Strk">
    <w:name w:val="Strong"/>
    <w:basedOn w:val="Standardskrifttypeiafsnit"/>
    <w:uiPriority w:val="22"/>
    <w:qFormat/>
    <w:rsid w:val="00170BEC"/>
    <w:rPr>
      <w:b/>
      <w:bCs/>
    </w:rPr>
  </w:style>
  <w:style w:type="character" w:customStyle="1" w:styleId="Overskrift1Tegn">
    <w:name w:val="Overskrift 1 Tegn"/>
    <w:basedOn w:val="Standardskrifttypeiafsnit"/>
    <w:link w:val="Overskrift1"/>
    <w:uiPriority w:val="9"/>
    <w:rsid w:val="00C44796"/>
    <w:rPr>
      <w:rFonts w:asciiTheme="majorHAnsi" w:eastAsiaTheme="majorEastAsia" w:hAnsiTheme="majorHAnsi" w:cstheme="majorBidi"/>
      <w:b/>
      <w:bCs/>
      <w:color w:val="365F91" w:themeColor="accent1" w:themeShade="BF"/>
      <w:sz w:val="28"/>
      <w:szCs w:val="28"/>
      <w:lang w:eastAsia="da-DK"/>
    </w:rPr>
  </w:style>
  <w:style w:type="paragraph" w:styleId="Listeafsnit">
    <w:name w:val="List Paragraph"/>
    <w:basedOn w:val="Normal"/>
    <w:uiPriority w:val="34"/>
    <w:qFormat/>
    <w:rsid w:val="003D4BE2"/>
    <w:pPr>
      <w:ind w:left="720"/>
      <w:contextualSpacing/>
    </w:pPr>
  </w:style>
  <w:style w:type="character" w:styleId="Ulstomtale">
    <w:name w:val="Unresolved Mention"/>
    <w:basedOn w:val="Standardskrifttypeiafsnit"/>
    <w:uiPriority w:val="99"/>
    <w:semiHidden/>
    <w:unhideWhenUsed/>
    <w:rsid w:val="00D72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6915">
      <w:bodyDiv w:val="1"/>
      <w:marLeft w:val="0"/>
      <w:marRight w:val="0"/>
      <w:marTop w:val="0"/>
      <w:marBottom w:val="0"/>
      <w:divBdr>
        <w:top w:val="none" w:sz="0" w:space="0" w:color="auto"/>
        <w:left w:val="none" w:sz="0" w:space="0" w:color="auto"/>
        <w:bottom w:val="none" w:sz="0" w:space="0" w:color="auto"/>
        <w:right w:val="none" w:sz="0" w:space="0" w:color="auto"/>
      </w:divBdr>
    </w:div>
    <w:div w:id="478349882">
      <w:bodyDiv w:val="1"/>
      <w:marLeft w:val="0"/>
      <w:marRight w:val="0"/>
      <w:marTop w:val="0"/>
      <w:marBottom w:val="0"/>
      <w:divBdr>
        <w:top w:val="none" w:sz="0" w:space="0" w:color="auto"/>
        <w:left w:val="none" w:sz="0" w:space="0" w:color="auto"/>
        <w:bottom w:val="none" w:sz="0" w:space="0" w:color="auto"/>
        <w:right w:val="none" w:sz="0" w:space="0" w:color="auto"/>
      </w:divBdr>
      <w:divsChild>
        <w:div w:id="340818910">
          <w:marLeft w:val="0"/>
          <w:marRight w:val="0"/>
          <w:marTop w:val="0"/>
          <w:marBottom w:val="0"/>
          <w:divBdr>
            <w:top w:val="none" w:sz="0" w:space="0" w:color="auto"/>
            <w:left w:val="none" w:sz="0" w:space="0" w:color="auto"/>
            <w:bottom w:val="none" w:sz="0" w:space="0" w:color="auto"/>
            <w:right w:val="none" w:sz="0" w:space="0" w:color="auto"/>
          </w:divBdr>
          <w:divsChild>
            <w:div w:id="622153777">
              <w:marLeft w:val="0"/>
              <w:marRight w:val="0"/>
              <w:marTop w:val="0"/>
              <w:marBottom w:val="0"/>
              <w:divBdr>
                <w:top w:val="none" w:sz="0" w:space="0" w:color="auto"/>
                <w:left w:val="none" w:sz="0" w:space="0" w:color="auto"/>
                <w:bottom w:val="none" w:sz="0" w:space="0" w:color="auto"/>
                <w:right w:val="none" w:sz="0" w:space="0" w:color="auto"/>
              </w:divBdr>
              <w:divsChild>
                <w:div w:id="1368601674">
                  <w:marLeft w:val="0"/>
                  <w:marRight w:val="0"/>
                  <w:marTop w:val="0"/>
                  <w:marBottom w:val="0"/>
                  <w:divBdr>
                    <w:top w:val="none" w:sz="0" w:space="0" w:color="auto"/>
                    <w:left w:val="none" w:sz="0" w:space="0" w:color="auto"/>
                    <w:bottom w:val="none" w:sz="0" w:space="0" w:color="auto"/>
                    <w:right w:val="none" w:sz="0" w:space="0" w:color="auto"/>
                  </w:divBdr>
                  <w:divsChild>
                    <w:div w:id="1516649278">
                      <w:marLeft w:val="0"/>
                      <w:marRight w:val="0"/>
                      <w:marTop w:val="0"/>
                      <w:marBottom w:val="0"/>
                      <w:divBdr>
                        <w:top w:val="none" w:sz="0" w:space="0" w:color="auto"/>
                        <w:left w:val="none" w:sz="0" w:space="0" w:color="auto"/>
                        <w:bottom w:val="none" w:sz="0" w:space="0" w:color="auto"/>
                        <w:right w:val="none" w:sz="0" w:space="0" w:color="auto"/>
                      </w:divBdr>
                      <w:divsChild>
                        <w:div w:id="1187211821">
                          <w:marLeft w:val="0"/>
                          <w:marRight w:val="0"/>
                          <w:marTop w:val="0"/>
                          <w:marBottom w:val="0"/>
                          <w:divBdr>
                            <w:top w:val="none" w:sz="0" w:space="0" w:color="auto"/>
                            <w:left w:val="none" w:sz="0" w:space="0" w:color="auto"/>
                            <w:bottom w:val="none" w:sz="0" w:space="0" w:color="auto"/>
                            <w:right w:val="none" w:sz="0" w:space="0" w:color="auto"/>
                          </w:divBdr>
                          <w:divsChild>
                            <w:div w:id="4370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2588">
      <w:bodyDiv w:val="1"/>
      <w:marLeft w:val="0"/>
      <w:marRight w:val="0"/>
      <w:marTop w:val="0"/>
      <w:marBottom w:val="0"/>
      <w:divBdr>
        <w:top w:val="none" w:sz="0" w:space="0" w:color="auto"/>
        <w:left w:val="none" w:sz="0" w:space="0" w:color="auto"/>
        <w:bottom w:val="none" w:sz="0" w:space="0" w:color="auto"/>
        <w:right w:val="none" w:sz="0" w:space="0" w:color="auto"/>
      </w:divBdr>
    </w:div>
    <w:div w:id="17291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apk.g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pk@knapk.g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n@nanoq.gl" TargetMode="External"/><Relationship Id="rId4" Type="http://schemas.openxmlformats.org/officeDocument/2006/relationships/settings" Target="settings.xml"/><Relationship Id="rId9" Type="http://schemas.openxmlformats.org/officeDocument/2006/relationships/hyperlink" Target="https://km-fish.dk/partners/"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A931-F400-4072-9E20-771BA670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1138</Words>
  <Characters>6943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KNAPK</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 Biilmann</dc:creator>
  <cp:keywords/>
  <dc:description/>
  <cp:lastModifiedBy>Mikael Petersen</cp:lastModifiedBy>
  <cp:revision>2</cp:revision>
  <cp:lastPrinted>2022-09-19T17:51:00Z</cp:lastPrinted>
  <dcterms:created xsi:type="dcterms:W3CDTF">2022-09-19T18:04:00Z</dcterms:created>
  <dcterms:modified xsi:type="dcterms:W3CDTF">2022-09-19T18:04:00Z</dcterms:modified>
</cp:coreProperties>
</file>