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7C9A" w14:textId="27A27009" w:rsidR="00EA674C" w:rsidRPr="00402A09" w:rsidRDefault="005D003D" w:rsidP="00402A09">
      <w:pPr>
        <w:spacing w:line="288" w:lineRule="auto"/>
        <w:rPr>
          <w:b/>
        </w:rPr>
      </w:pPr>
      <w:r>
        <w:rPr>
          <w:b/>
        </w:rPr>
        <w:t>Departementet f</w:t>
      </w:r>
      <w:r w:rsidR="001D0D8F" w:rsidRPr="00402A09">
        <w:rPr>
          <w:b/>
        </w:rPr>
        <w:t xml:space="preserve">or </w:t>
      </w:r>
      <w:r w:rsidR="004C6596" w:rsidRPr="00402A09">
        <w:rPr>
          <w:b/>
        </w:rPr>
        <w:t>Landbrug, Selvforsyning, Energi og Miljø</w:t>
      </w:r>
    </w:p>
    <w:p w14:paraId="02850879" w14:textId="77777777" w:rsidR="00EA674C" w:rsidRPr="00402A09" w:rsidRDefault="00EA674C" w:rsidP="00402A09">
      <w:pPr>
        <w:spacing w:line="288" w:lineRule="auto"/>
      </w:pPr>
    </w:p>
    <w:p w14:paraId="1903A346" w14:textId="5DC5CE55" w:rsidR="00EA674C" w:rsidRPr="00402A09" w:rsidRDefault="0007116F" w:rsidP="00402A09">
      <w:pPr>
        <w:spacing w:line="288" w:lineRule="auto"/>
      </w:pPr>
      <w:r w:rsidRPr="00402A09">
        <w:t xml:space="preserve">Sagsnummer: </w:t>
      </w:r>
      <w:r w:rsidR="002E6CAC" w:rsidRPr="00402A09">
        <w:t>202</w:t>
      </w:r>
      <w:r w:rsidR="002C1580" w:rsidRPr="00402A09">
        <w:t>1</w:t>
      </w:r>
      <w:r w:rsidR="002E6CAC" w:rsidRPr="00402A09">
        <w:t xml:space="preserve"> </w:t>
      </w:r>
      <w:r w:rsidR="008F555F" w:rsidRPr="00402A09">
        <w:t xml:space="preserve">– 7493 </w:t>
      </w:r>
    </w:p>
    <w:p w14:paraId="17970966" w14:textId="77777777" w:rsidR="00EA674C" w:rsidRPr="00402A09" w:rsidRDefault="00EA674C" w:rsidP="00402A09">
      <w:pPr>
        <w:spacing w:line="288" w:lineRule="auto"/>
      </w:pPr>
    </w:p>
    <w:p w14:paraId="18505D1B" w14:textId="137CF25E" w:rsidR="00641372" w:rsidRPr="00402A09" w:rsidRDefault="00641372" w:rsidP="00402A09">
      <w:pPr>
        <w:spacing w:line="288" w:lineRule="auto"/>
        <w:jc w:val="center"/>
        <w:rPr>
          <w:b/>
          <w:color w:val="FF0000"/>
        </w:rPr>
      </w:pPr>
    </w:p>
    <w:p w14:paraId="5E10A07C" w14:textId="77777777" w:rsidR="00641372" w:rsidRPr="00402A09" w:rsidRDefault="00641372" w:rsidP="00402A09">
      <w:pPr>
        <w:spacing w:line="288" w:lineRule="auto"/>
        <w:rPr>
          <w:b/>
        </w:rPr>
      </w:pPr>
    </w:p>
    <w:p w14:paraId="3EE9A06B" w14:textId="065E6B62" w:rsidR="00EA674C" w:rsidRPr="00402A09" w:rsidRDefault="006642A5" w:rsidP="00402A09">
      <w:pPr>
        <w:spacing w:line="288" w:lineRule="auto"/>
        <w:rPr>
          <w:b/>
        </w:rPr>
      </w:pPr>
      <w:r>
        <w:rPr>
          <w:b/>
        </w:rPr>
        <w:t>Forklaringsn</w:t>
      </w:r>
      <w:r w:rsidR="00167177" w:rsidRPr="00402A09">
        <w:rPr>
          <w:b/>
        </w:rPr>
        <w:t xml:space="preserve">otat </w:t>
      </w:r>
    </w:p>
    <w:p w14:paraId="7538AD7A" w14:textId="77777777" w:rsidR="00CD65B1" w:rsidRPr="00402A09" w:rsidRDefault="00CD65B1" w:rsidP="00402A09">
      <w:pPr>
        <w:spacing w:line="288" w:lineRule="auto"/>
      </w:pPr>
    </w:p>
    <w:p w14:paraId="375E9C83" w14:textId="5770AA63" w:rsidR="006943BB" w:rsidRPr="00402A09" w:rsidRDefault="004528BA" w:rsidP="00A81331">
      <w:pPr>
        <w:spacing w:line="288" w:lineRule="auto"/>
      </w:pPr>
      <w:r w:rsidRPr="00402A09">
        <w:rPr>
          <w:b/>
        </w:rPr>
        <w:t xml:space="preserve">Forslag til: </w:t>
      </w:r>
      <w:r w:rsidR="00A81331" w:rsidRPr="00A81331">
        <w:rPr>
          <w:b/>
        </w:rPr>
        <w:t>Selvstyrets bekendtgørelse om fortrolighed og undtagelse fra aktindsigt af visse dokumenter om kommercielle vandkraftaktiviteter</w:t>
      </w:r>
    </w:p>
    <w:p w14:paraId="3D28D75B" w14:textId="77777777" w:rsidR="003B0C2E" w:rsidRDefault="003B0C2E" w:rsidP="00402A09">
      <w:pPr>
        <w:spacing w:line="288" w:lineRule="auto"/>
        <w:rPr>
          <w:b/>
        </w:rPr>
      </w:pPr>
    </w:p>
    <w:p w14:paraId="31F50AE7" w14:textId="2EE909C7" w:rsidR="0006168B" w:rsidRPr="00402A09" w:rsidRDefault="0006168B" w:rsidP="00402A09">
      <w:pPr>
        <w:spacing w:line="288" w:lineRule="auto"/>
        <w:rPr>
          <w:b/>
        </w:rPr>
      </w:pPr>
      <w:r w:rsidRPr="00402A09">
        <w:rPr>
          <w:b/>
        </w:rPr>
        <w:t>Indledning</w:t>
      </w:r>
    </w:p>
    <w:p w14:paraId="2282DAEB" w14:textId="77777777" w:rsidR="00561291" w:rsidRDefault="00CA55DA" w:rsidP="00402A09">
      <w:pPr>
        <w:spacing w:line="288" w:lineRule="auto"/>
      </w:pPr>
      <w:r w:rsidRPr="00402A09">
        <w:t>På EM2021 vedtog Inatsisartut Naalakkersuisut</w:t>
      </w:r>
      <w:r w:rsidR="00EC4C9F" w:rsidRPr="00402A09">
        <w:t>´</w:t>
      </w:r>
      <w:r w:rsidRPr="00402A09">
        <w:t>s ændringsforslag</w:t>
      </w:r>
      <w:r w:rsidR="00561291">
        <w:t xml:space="preserve"> til </w:t>
      </w:r>
      <w:proofErr w:type="spellStart"/>
      <w:r w:rsidR="00561291">
        <w:t>Inatsisartutbeslutning</w:t>
      </w:r>
      <w:proofErr w:type="spellEnd"/>
      <w:r w:rsidR="00561291">
        <w:t>:</w:t>
      </w:r>
    </w:p>
    <w:p w14:paraId="7F0673C5" w14:textId="3DE28059" w:rsidR="00CA55DA" w:rsidRPr="00A81331" w:rsidRDefault="00CA55DA" w:rsidP="00402A09">
      <w:pPr>
        <w:spacing w:line="288" w:lineRule="auto"/>
        <w:rPr>
          <w:i/>
          <w:iCs/>
        </w:rPr>
      </w:pPr>
      <w:r w:rsidRPr="00A81331">
        <w:rPr>
          <w:i/>
          <w:iCs/>
        </w:rPr>
        <w:t xml:space="preserve"> ”Naalakkersuisut pålægges at udarbejde en konkret plan for at markedsføre og konkurrenceudsætte vandkraftpotentialet i Tasersiaq og nærtliggende potentialer</w:t>
      </w:r>
      <w:r w:rsidR="00EC4C9F" w:rsidRPr="00A81331">
        <w:rPr>
          <w:i/>
          <w:iCs/>
        </w:rPr>
        <w:t xml:space="preserve"> (Alcoa-potentialerne).</w:t>
      </w:r>
      <w:r w:rsidRPr="00A81331">
        <w:rPr>
          <w:i/>
          <w:iCs/>
        </w:rPr>
        <w:t xml:space="preserve"> Udmeldingen om konkurrenceudsættelse af disse vandkraftpotentialer skal ske i 2022.</w:t>
      </w:r>
      <w:r w:rsidR="00F02B5D" w:rsidRPr="00A81331">
        <w:rPr>
          <w:i/>
          <w:iCs/>
        </w:rPr>
        <w:t>”</w:t>
      </w:r>
      <w:r w:rsidRPr="00A81331">
        <w:rPr>
          <w:i/>
          <w:iCs/>
        </w:rPr>
        <w:t xml:space="preserve"> </w:t>
      </w:r>
    </w:p>
    <w:p w14:paraId="034A2FEC" w14:textId="77777777" w:rsidR="00EC4C9F" w:rsidRPr="00402A09" w:rsidRDefault="00EC4C9F" w:rsidP="00402A09">
      <w:pPr>
        <w:spacing w:line="288" w:lineRule="auto"/>
      </w:pPr>
    </w:p>
    <w:p w14:paraId="1B577B5A" w14:textId="77777777" w:rsidR="00A75287" w:rsidRPr="00402A09" w:rsidRDefault="00EA674C" w:rsidP="00402A09">
      <w:pPr>
        <w:spacing w:line="288" w:lineRule="auto"/>
        <w:rPr>
          <w:b/>
        </w:rPr>
      </w:pPr>
      <w:r w:rsidRPr="00402A09">
        <w:rPr>
          <w:b/>
        </w:rPr>
        <w:t>Baggrund</w:t>
      </w:r>
    </w:p>
    <w:p w14:paraId="14152E58" w14:textId="42DA52F0" w:rsidR="0071251F" w:rsidRPr="00402A09" w:rsidRDefault="0071251F" w:rsidP="00402A09">
      <w:pPr>
        <w:spacing w:line="288" w:lineRule="auto"/>
        <w:rPr>
          <w:bCs/>
        </w:rPr>
      </w:pPr>
      <w:r w:rsidRPr="00402A09">
        <w:rPr>
          <w:bCs/>
        </w:rPr>
        <w:t>For at kunne gennemføre en konkurrenceudsættelse har Departementet taget en række initiativer til brug for markedsføring af Grønlands vandkraftpotentialer overfor internationale investorer indenfor den grønne omstilling.</w:t>
      </w:r>
    </w:p>
    <w:p w14:paraId="6CD6BB83" w14:textId="77777777" w:rsidR="003B0C2E" w:rsidRDefault="003B0C2E" w:rsidP="00402A09">
      <w:pPr>
        <w:spacing w:line="288" w:lineRule="auto"/>
        <w:rPr>
          <w:bCs/>
        </w:rPr>
      </w:pPr>
    </w:p>
    <w:p w14:paraId="0A9D606F" w14:textId="457F500D" w:rsidR="00AF0074" w:rsidRPr="00402A09" w:rsidRDefault="00AF0074" w:rsidP="00402A09">
      <w:pPr>
        <w:spacing w:line="288" w:lineRule="auto"/>
        <w:rPr>
          <w:bCs/>
        </w:rPr>
      </w:pPr>
      <w:r w:rsidRPr="00402A09">
        <w:rPr>
          <w:bCs/>
        </w:rPr>
        <w:t>Departementet har igangsat et arbejde med at få fastlagt rammer for udbud, gennemførelse af udbud og markedsføring af vandkraftpotentialer. Markedet for Power to X er globalt et nyt ikke udviklet marked og det er derfor essentielt at selvstyret og potentielle</w:t>
      </w:r>
      <w:r w:rsidR="005F0A19" w:rsidRPr="00402A09">
        <w:rPr>
          <w:bCs/>
        </w:rPr>
        <w:t xml:space="preserve"> </w:t>
      </w:r>
      <w:r w:rsidRPr="00402A09">
        <w:rPr>
          <w:bCs/>
        </w:rPr>
        <w:t>investorer kan føre en</w:t>
      </w:r>
      <w:r w:rsidR="005F0A19" w:rsidRPr="00402A09">
        <w:rPr>
          <w:bCs/>
        </w:rPr>
        <w:t xml:space="preserve"> </w:t>
      </w:r>
      <w:r w:rsidR="00C53290" w:rsidRPr="00402A09">
        <w:rPr>
          <w:bCs/>
        </w:rPr>
        <w:t>fortrolig dialog</w:t>
      </w:r>
      <w:r w:rsidR="00404812" w:rsidRPr="00402A09">
        <w:rPr>
          <w:bCs/>
        </w:rPr>
        <w:t>,</w:t>
      </w:r>
      <w:r w:rsidRPr="00402A09">
        <w:rPr>
          <w:bCs/>
        </w:rPr>
        <w:t xml:space="preserve"> hvor der forud for gennemførelse af et udbud kan </w:t>
      </w:r>
      <w:r w:rsidR="00404812" w:rsidRPr="00402A09">
        <w:rPr>
          <w:bCs/>
        </w:rPr>
        <w:t xml:space="preserve">ske en fortrolig forventningsafstemning </w:t>
      </w:r>
      <w:r w:rsidR="005F0A19" w:rsidRPr="00402A09">
        <w:rPr>
          <w:bCs/>
        </w:rPr>
        <w:t xml:space="preserve">og </w:t>
      </w:r>
      <w:r w:rsidR="00C53290" w:rsidRPr="00402A09">
        <w:rPr>
          <w:bCs/>
        </w:rPr>
        <w:t>videnopbygning</w:t>
      </w:r>
      <w:r w:rsidR="005F0A19" w:rsidRPr="00402A09">
        <w:rPr>
          <w:bCs/>
        </w:rPr>
        <w:t xml:space="preserve"> </w:t>
      </w:r>
      <w:r w:rsidR="00404812" w:rsidRPr="00402A09">
        <w:rPr>
          <w:bCs/>
        </w:rPr>
        <w:t>forinden gennemførelse af et udbud.</w:t>
      </w:r>
    </w:p>
    <w:p w14:paraId="35AC8FAD" w14:textId="77777777" w:rsidR="00404812" w:rsidRPr="00402A09" w:rsidRDefault="00404812" w:rsidP="00402A09">
      <w:pPr>
        <w:spacing w:line="288" w:lineRule="auto"/>
        <w:rPr>
          <w:bCs/>
        </w:rPr>
      </w:pPr>
    </w:p>
    <w:p w14:paraId="21CC7E8C" w14:textId="77777777" w:rsidR="00404812" w:rsidRPr="00402A09" w:rsidRDefault="00404812" w:rsidP="00402A09">
      <w:pPr>
        <w:spacing w:line="288" w:lineRule="auto"/>
        <w:rPr>
          <w:bCs/>
        </w:rPr>
      </w:pPr>
      <w:r w:rsidRPr="00402A09">
        <w:rPr>
          <w:bCs/>
        </w:rPr>
        <w:t>F</w:t>
      </w:r>
      <w:r w:rsidR="0073126B" w:rsidRPr="00402A09">
        <w:rPr>
          <w:bCs/>
        </w:rPr>
        <w:t>ortrolighed er et afgørende markedsvilkår på det internationale marked for privat kapitalinvestering</w:t>
      </w:r>
      <w:r w:rsidRPr="00402A09">
        <w:rPr>
          <w:bCs/>
        </w:rPr>
        <w:t xml:space="preserve"> i vandkraft til anvendelse til eksempelvis produktion af Power to X.</w:t>
      </w:r>
    </w:p>
    <w:p w14:paraId="7C98AD48" w14:textId="53D5C010" w:rsidR="004C2D5F" w:rsidRPr="00402A09" w:rsidRDefault="00404812" w:rsidP="00402A09">
      <w:pPr>
        <w:spacing w:line="288" w:lineRule="auto"/>
        <w:rPr>
          <w:bCs/>
        </w:rPr>
      </w:pPr>
      <w:r w:rsidRPr="00402A09">
        <w:rPr>
          <w:bCs/>
        </w:rPr>
        <w:t xml:space="preserve">På </w:t>
      </w:r>
      <w:r w:rsidR="005F0A19" w:rsidRPr="00402A09">
        <w:rPr>
          <w:bCs/>
        </w:rPr>
        <w:t>g</w:t>
      </w:r>
      <w:r w:rsidR="0073126B" w:rsidRPr="00402A09">
        <w:rPr>
          <w:bCs/>
        </w:rPr>
        <w:t xml:space="preserve">rund af markedsvilkåret om fortrolighed </w:t>
      </w:r>
      <w:r w:rsidR="00572DB6" w:rsidRPr="00402A09">
        <w:rPr>
          <w:bCs/>
        </w:rPr>
        <w:t>er</w:t>
      </w:r>
      <w:r w:rsidR="00DD5B6E" w:rsidRPr="00402A09">
        <w:rPr>
          <w:bCs/>
        </w:rPr>
        <w:t xml:space="preserve"> </w:t>
      </w:r>
      <w:r w:rsidR="00122498">
        <w:rPr>
          <w:bCs/>
        </w:rPr>
        <w:t xml:space="preserve">der </w:t>
      </w:r>
      <w:r w:rsidR="00DD5B6E" w:rsidRPr="00402A09">
        <w:rPr>
          <w:bCs/>
        </w:rPr>
        <w:t xml:space="preserve">indgået fortrolighedsaftaler med </w:t>
      </w:r>
      <w:r w:rsidRPr="00402A09">
        <w:rPr>
          <w:bCs/>
        </w:rPr>
        <w:t>de virksomheder</w:t>
      </w:r>
      <w:r w:rsidR="00572DB6" w:rsidRPr="00402A09">
        <w:rPr>
          <w:bCs/>
        </w:rPr>
        <w:t>,</w:t>
      </w:r>
      <w:r w:rsidRPr="00402A09">
        <w:rPr>
          <w:bCs/>
        </w:rPr>
        <w:t xml:space="preserve"> som har </w:t>
      </w:r>
      <w:r w:rsidR="00DD5B6E" w:rsidRPr="00402A09">
        <w:rPr>
          <w:bCs/>
        </w:rPr>
        <w:t xml:space="preserve">rettet </w:t>
      </w:r>
      <w:r w:rsidRPr="00402A09">
        <w:rPr>
          <w:bCs/>
        </w:rPr>
        <w:t>henvend</w:t>
      </w:r>
      <w:r w:rsidR="00572DB6" w:rsidRPr="00402A09">
        <w:rPr>
          <w:bCs/>
        </w:rPr>
        <w:t>else</w:t>
      </w:r>
      <w:r w:rsidR="00DD5B6E" w:rsidRPr="00402A09">
        <w:rPr>
          <w:bCs/>
        </w:rPr>
        <w:t xml:space="preserve"> om dialog med departementet.</w:t>
      </w:r>
      <w:r w:rsidR="00122498">
        <w:rPr>
          <w:bCs/>
        </w:rPr>
        <w:t xml:space="preserve"> </w:t>
      </w:r>
      <w:r w:rsidR="00DD5B6E" w:rsidRPr="00402A09">
        <w:rPr>
          <w:bCs/>
        </w:rPr>
        <w:t xml:space="preserve">Om fortrolighedsaftalerne </w:t>
      </w:r>
      <w:r w:rsidR="00A3082E" w:rsidRPr="00402A09">
        <w:rPr>
          <w:bCs/>
        </w:rPr>
        <w:t>skal bemærkes at</w:t>
      </w:r>
      <w:r w:rsidR="00DD5B6E" w:rsidRPr="00402A09">
        <w:rPr>
          <w:bCs/>
        </w:rPr>
        <w:t xml:space="preserve"> de naturligvis ikke fravige</w:t>
      </w:r>
      <w:r w:rsidR="00A3082E" w:rsidRPr="00402A09">
        <w:rPr>
          <w:bCs/>
        </w:rPr>
        <w:t>r</w:t>
      </w:r>
      <w:r w:rsidR="00DD5B6E" w:rsidRPr="00402A09">
        <w:rPr>
          <w:bCs/>
        </w:rPr>
        <w:t xml:space="preserve"> </w:t>
      </w:r>
      <w:r w:rsidR="00A3082E" w:rsidRPr="00402A09">
        <w:rPr>
          <w:bCs/>
        </w:rPr>
        <w:t xml:space="preserve">landstingslov om </w:t>
      </w:r>
      <w:r w:rsidR="00DD5B6E" w:rsidRPr="00402A09">
        <w:rPr>
          <w:bCs/>
        </w:rPr>
        <w:t>offentlig</w:t>
      </w:r>
      <w:r w:rsidR="00A3082E" w:rsidRPr="00402A09">
        <w:rPr>
          <w:bCs/>
        </w:rPr>
        <w:t xml:space="preserve"> i forvaltningen, </w:t>
      </w:r>
      <w:r w:rsidR="00DD5B6E" w:rsidRPr="00402A09">
        <w:rPr>
          <w:bCs/>
        </w:rPr>
        <w:t xml:space="preserve">men at aftalerne </w:t>
      </w:r>
      <w:r w:rsidR="004C2D5F" w:rsidRPr="00402A09">
        <w:rPr>
          <w:bCs/>
        </w:rPr>
        <w:t xml:space="preserve">er </w:t>
      </w:r>
      <w:r w:rsidR="00A3082E" w:rsidRPr="00402A09">
        <w:rPr>
          <w:bCs/>
        </w:rPr>
        <w:t>aff</w:t>
      </w:r>
      <w:r w:rsidR="004C2D5F" w:rsidRPr="00402A09">
        <w:rPr>
          <w:bCs/>
        </w:rPr>
        <w:t xml:space="preserve">attet </w:t>
      </w:r>
      <w:r w:rsidR="00DD5B6E" w:rsidRPr="00402A09">
        <w:rPr>
          <w:bCs/>
        </w:rPr>
        <w:t>i overensstemmelse med</w:t>
      </w:r>
      <w:r w:rsidR="005F0A19" w:rsidRPr="00402A09">
        <w:rPr>
          <w:bCs/>
        </w:rPr>
        <w:t xml:space="preserve"> særligt </w:t>
      </w:r>
      <w:r w:rsidR="004C2D5F" w:rsidRPr="00402A09">
        <w:rPr>
          <w:bCs/>
        </w:rPr>
        <w:t>§ 12 stk. 1 i landstingsloven.</w:t>
      </w:r>
    </w:p>
    <w:p w14:paraId="1A7904FB" w14:textId="77777777" w:rsidR="004C2D5F" w:rsidRPr="00402A09" w:rsidRDefault="004C2D5F" w:rsidP="00402A09">
      <w:pPr>
        <w:spacing w:line="288" w:lineRule="auto"/>
        <w:rPr>
          <w:bCs/>
        </w:rPr>
      </w:pPr>
    </w:p>
    <w:p w14:paraId="49EDFD86" w14:textId="1C9D16E4" w:rsidR="00A3082E" w:rsidRPr="00402A09" w:rsidRDefault="004C2D5F" w:rsidP="00402A09">
      <w:pPr>
        <w:spacing w:line="288" w:lineRule="auto"/>
        <w:rPr>
          <w:bCs/>
          <w:i/>
          <w:iCs/>
        </w:rPr>
      </w:pPr>
      <w:r w:rsidRPr="00402A09">
        <w:rPr>
          <w:b/>
        </w:rPr>
        <w:t xml:space="preserve"> </w:t>
      </w:r>
      <w:r w:rsidRPr="00402A09">
        <w:rPr>
          <w:b/>
          <w:i/>
          <w:iCs/>
        </w:rPr>
        <w:t xml:space="preserve">§ </w:t>
      </w:r>
      <w:r w:rsidR="00A3082E" w:rsidRPr="00402A09">
        <w:rPr>
          <w:b/>
          <w:i/>
          <w:iCs/>
        </w:rPr>
        <w:t>12</w:t>
      </w:r>
      <w:r w:rsidR="00A3082E" w:rsidRPr="00402A09">
        <w:rPr>
          <w:bCs/>
          <w:i/>
          <w:iCs/>
        </w:rPr>
        <w:t>. Retten til aktindsigt omfatter ikke oplysninger om</w:t>
      </w:r>
    </w:p>
    <w:p w14:paraId="4A23E023" w14:textId="77777777" w:rsidR="00A3082E" w:rsidRPr="00402A09" w:rsidRDefault="00A3082E" w:rsidP="00402A09">
      <w:pPr>
        <w:spacing w:line="288" w:lineRule="auto"/>
        <w:rPr>
          <w:bCs/>
          <w:i/>
          <w:iCs/>
        </w:rPr>
      </w:pPr>
      <w:r w:rsidRPr="00402A09">
        <w:rPr>
          <w:bCs/>
          <w:i/>
          <w:iCs/>
        </w:rPr>
        <w:t>1) enkeltpersoners private, herunder økonomiske, forhold,</w:t>
      </w:r>
    </w:p>
    <w:p w14:paraId="5D5A6C1D" w14:textId="3B9EB856" w:rsidR="00A3082E" w:rsidRDefault="00A3082E" w:rsidP="00402A09">
      <w:pPr>
        <w:spacing w:line="288" w:lineRule="auto"/>
        <w:rPr>
          <w:bCs/>
          <w:i/>
          <w:iCs/>
        </w:rPr>
      </w:pPr>
      <w:r w:rsidRPr="00402A09">
        <w:rPr>
          <w:bCs/>
          <w:i/>
          <w:iCs/>
        </w:rPr>
        <w:t>2) tekniske indretninger eller fremgangsmåder eller om drifts- eller forretningsforhold eller lignende, for så vidt det er af væsentlig økonomisk betydning for den person eller virksomhed, oplysningen angår, at begæringen ikke imødekommes.</w:t>
      </w:r>
    </w:p>
    <w:p w14:paraId="5312893E" w14:textId="0927ECBD" w:rsidR="00A81331" w:rsidRDefault="00A81331" w:rsidP="00402A09">
      <w:pPr>
        <w:spacing w:line="288" w:lineRule="auto"/>
        <w:rPr>
          <w:bCs/>
          <w:i/>
          <w:iCs/>
        </w:rPr>
      </w:pPr>
    </w:p>
    <w:p w14:paraId="2FBB73DA" w14:textId="1E9E5F85" w:rsidR="00A81331" w:rsidRDefault="004C2D5F" w:rsidP="00402A09">
      <w:pPr>
        <w:spacing w:line="288" w:lineRule="auto"/>
        <w:rPr>
          <w:b/>
        </w:rPr>
      </w:pPr>
      <w:r w:rsidRPr="00402A09">
        <w:rPr>
          <w:b/>
        </w:rPr>
        <w:t xml:space="preserve">Bestemmelsen i § </w:t>
      </w:r>
      <w:r w:rsidR="00A81331">
        <w:rPr>
          <w:b/>
        </w:rPr>
        <w:t xml:space="preserve">18, stk. 3 i </w:t>
      </w:r>
      <w:r w:rsidR="00A81331" w:rsidRPr="00A81331">
        <w:rPr>
          <w:b/>
        </w:rPr>
        <w:t>Inatsisartutlov om udnyttelse af vandkraftressourcer til produktion af energi</w:t>
      </w:r>
    </w:p>
    <w:p w14:paraId="028EC1B7" w14:textId="39AA3550" w:rsidR="00A81331" w:rsidRDefault="00A81331" w:rsidP="00402A09">
      <w:pPr>
        <w:spacing w:line="288" w:lineRule="auto"/>
        <w:rPr>
          <w:bCs/>
        </w:rPr>
      </w:pPr>
    </w:p>
    <w:p w14:paraId="0E34FB0B" w14:textId="11DFAAEE" w:rsidR="004C2D5F" w:rsidRDefault="004C2D5F" w:rsidP="00402A09">
      <w:pPr>
        <w:spacing w:line="288" w:lineRule="auto"/>
        <w:rPr>
          <w:bCs/>
        </w:rPr>
      </w:pPr>
      <w:r w:rsidRPr="00402A09">
        <w:rPr>
          <w:bCs/>
        </w:rPr>
        <w:t>Bestemmelsen har følgende ordlyd:</w:t>
      </w:r>
    </w:p>
    <w:p w14:paraId="2A902176" w14:textId="77777777" w:rsidR="008769CB" w:rsidRPr="008769CB" w:rsidRDefault="008769CB" w:rsidP="008769CB">
      <w:pPr>
        <w:rPr>
          <w:bCs/>
          <w:i/>
          <w:iCs/>
        </w:rPr>
      </w:pPr>
      <w:r w:rsidRPr="008769CB">
        <w:rPr>
          <w:bCs/>
          <w:i/>
          <w:iCs/>
        </w:rPr>
        <w:t xml:space="preserve">  Stk. 3.  Naalakkersuisut kan fastsætte regler om indhentelse og meddelelse af oplysninger, herunder regler om fortrolighed og regler om undtagelse fra aktindsigt.</w:t>
      </w:r>
    </w:p>
    <w:p w14:paraId="4CAD37D7" w14:textId="6E7AD37F" w:rsidR="008769CB" w:rsidRDefault="008769CB" w:rsidP="00402A09">
      <w:pPr>
        <w:spacing w:line="288" w:lineRule="auto"/>
        <w:rPr>
          <w:bCs/>
          <w:i/>
          <w:iCs/>
        </w:rPr>
      </w:pPr>
    </w:p>
    <w:p w14:paraId="79108F91" w14:textId="24D26805" w:rsidR="008769CB" w:rsidRDefault="008769CB" w:rsidP="00402A09">
      <w:pPr>
        <w:spacing w:line="288" w:lineRule="auto"/>
        <w:rPr>
          <w:bCs/>
        </w:rPr>
      </w:pPr>
      <w:r w:rsidRPr="008769CB">
        <w:rPr>
          <w:bCs/>
        </w:rPr>
        <w:t>I bemærkningerne til lovforslaget, anføres det bl.a.:</w:t>
      </w:r>
    </w:p>
    <w:p w14:paraId="36ED3F30" w14:textId="469DF731" w:rsidR="008769CB" w:rsidRDefault="008769CB" w:rsidP="00402A09">
      <w:pPr>
        <w:spacing w:line="288" w:lineRule="auto"/>
        <w:rPr>
          <w:bCs/>
        </w:rPr>
      </w:pPr>
    </w:p>
    <w:p w14:paraId="1CCBB425" w14:textId="3F14194E" w:rsidR="008769CB" w:rsidRPr="008769CB" w:rsidRDefault="008769CB" w:rsidP="008769CB">
      <w:pPr>
        <w:spacing w:line="288" w:lineRule="auto"/>
        <w:rPr>
          <w:bCs/>
          <w:i/>
          <w:iCs/>
        </w:rPr>
      </w:pPr>
      <w:r>
        <w:rPr>
          <w:bCs/>
        </w:rPr>
        <w:t>”</w:t>
      </w:r>
      <w:r w:rsidRPr="008769CB">
        <w:rPr>
          <w:bCs/>
          <w:i/>
          <w:iCs/>
        </w:rPr>
        <w:t>Til stk. 3</w:t>
      </w:r>
    </w:p>
    <w:p w14:paraId="4DCAC1F0" w14:textId="77777777" w:rsidR="008769CB" w:rsidRPr="008769CB" w:rsidRDefault="008769CB" w:rsidP="008769CB">
      <w:pPr>
        <w:spacing w:line="288" w:lineRule="auto"/>
        <w:rPr>
          <w:bCs/>
          <w:i/>
          <w:iCs/>
        </w:rPr>
      </w:pPr>
      <w:r w:rsidRPr="008769CB">
        <w:rPr>
          <w:bCs/>
          <w:i/>
          <w:iCs/>
        </w:rPr>
        <w:t xml:space="preserve">Naalakkersuisut kan fastsætte regler om, at de meddelte oplysninger af hensyn til ansøgers </w:t>
      </w:r>
    </w:p>
    <w:p w14:paraId="767EED80" w14:textId="77777777" w:rsidR="008769CB" w:rsidRPr="008769CB" w:rsidRDefault="008769CB" w:rsidP="008769CB">
      <w:pPr>
        <w:spacing w:line="288" w:lineRule="auto"/>
        <w:rPr>
          <w:bCs/>
          <w:i/>
          <w:iCs/>
        </w:rPr>
      </w:pPr>
      <w:r w:rsidRPr="008769CB">
        <w:rPr>
          <w:bCs/>
          <w:i/>
          <w:iCs/>
        </w:rPr>
        <w:t xml:space="preserve">eller rettighedsindehavers forretningsmæssige forhold ikke skal anses for omfattet af regler </w:t>
      </w:r>
    </w:p>
    <w:p w14:paraId="7E6A351E" w14:textId="77777777" w:rsidR="008769CB" w:rsidRPr="008769CB" w:rsidRDefault="008769CB" w:rsidP="008769CB">
      <w:pPr>
        <w:spacing w:line="288" w:lineRule="auto"/>
        <w:rPr>
          <w:bCs/>
          <w:i/>
          <w:iCs/>
        </w:rPr>
      </w:pPr>
      <w:r w:rsidRPr="008769CB">
        <w:rPr>
          <w:bCs/>
          <w:i/>
          <w:iCs/>
        </w:rPr>
        <w:t xml:space="preserve">om aktindsigt, herunder reglerne herom i landstingslov om offentlighed i forvaltningen og </w:t>
      </w:r>
    </w:p>
    <w:p w14:paraId="3520FC13" w14:textId="1412ABA6" w:rsidR="008769CB" w:rsidRPr="008769CB" w:rsidRDefault="008769CB" w:rsidP="008769CB">
      <w:pPr>
        <w:spacing w:line="288" w:lineRule="auto"/>
        <w:rPr>
          <w:bCs/>
          <w:i/>
          <w:iCs/>
        </w:rPr>
      </w:pPr>
      <w:r w:rsidRPr="008769CB">
        <w:rPr>
          <w:bCs/>
          <w:i/>
          <w:iCs/>
        </w:rPr>
        <w:t>landstingslov om sagsbehandling i den offentlige forvaltning. Efter landstingslov om offent</w:t>
      </w:r>
      <w:r w:rsidR="009A3FE4">
        <w:rPr>
          <w:bCs/>
          <w:i/>
          <w:iCs/>
        </w:rPr>
        <w:t>l</w:t>
      </w:r>
      <w:r w:rsidRPr="008769CB">
        <w:rPr>
          <w:bCs/>
          <w:i/>
          <w:iCs/>
        </w:rPr>
        <w:t xml:space="preserve">ighed kan Naalakkersuisut ikke uden særlig hjemmel give tilsagn om, at afgivne oplysninger vil blive holdt fortrolige (diskretionstilsagn). Af hensyn til at Naalakkersuisut kan få det bedste oplysningsgrundlag for myndighedsbehandlingen er der med bestemmelsen i stk. 3 lagt vægt på, at Naalakkersuisut kan indhente en række væsentlige og fortrolige oplysninger fra ansøgere. Såfremt Naalakkersuisut ikke kan give et diskretionstilsagn, kan dette virke hindrende for </w:t>
      </w:r>
      <w:proofErr w:type="spellStart"/>
      <w:r w:rsidRPr="008769CB">
        <w:rPr>
          <w:bCs/>
          <w:i/>
          <w:iCs/>
        </w:rPr>
        <w:t>Naalakkersuisuts</w:t>
      </w:r>
      <w:proofErr w:type="spellEnd"/>
      <w:r w:rsidRPr="008769CB">
        <w:rPr>
          <w:bCs/>
          <w:i/>
          <w:iCs/>
        </w:rPr>
        <w:t xml:space="preserve"> muligheder for at indhente oplysninger</w:t>
      </w:r>
      <w:r>
        <w:rPr>
          <w:bCs/>
          <w:i/>
          <w:iCs/>
        </w:rPr>
        <w:t>”</w:t>
      </w:r>
    </w:p>
    <w:p w14:paraId="4824C36F" w14:textId="2B4FCD28" w:rsidR="008769CB" w:rsidRDefault="008769CB" w:rsidP="00402A09">
      <w:pPr>
        <w:spacing w:line="288" w:lineRule="auto"/>
        <w:rPr>
          <w:bCs/>
          <w:i/>
          <w:iCs/>
        </w:rPr>
      </w:pPr>
    </w:p>
    <w:p w14:paraId="35FCAA03" w14:textId="491E976B" w:rsidR="0057119F" w:rsidRDefault="009A3FE4" w:rsidP="00402A09">
      <w:pPr>
        <w:spacing w:line="288" w:lineRule="auto"/>
        <w:rPr>
          <w:bCs/>
        </w:rPr>
      </w:pPr>
      <w:r>
        <w:rPr>
          <w:bCs/>
        </w:rPr>
        <w:t xml:space="preserve">Bestemmelsen i § </w:t>
      </w:r>
      <w:r w:rsidR="00325C23">
        <w:rPr>
          <w:bCs/>
        </w:rPr>
        <w:t xml:space="preserve">3 </w:t>
      </w:r>
      <w:r w:rsidRPr="009A3FE4">
        <w:rPr>
          <w:bCs/>
        </w:rPr>
        <w:t xml:space="preserve">Inatsisartutlov om </w:t>
      </w:r>
      <w:r w:rsidR="00325C23">
        <w:rPr>
          <w:bCs/>
        </w:rPr>
        <w:t>offentlighed i forvaltningen indeholder ligeledes en bemyndigelse til Naalakkersuisut til at fastsætte bestemmel</w:t>
      </w:r>
      <w:r w:rsidR="0057119F">
        <w:rPr>
          <w:bCs/>
        </w:rPr>
        <w:t>s</w:t>
      </w:r>
      <w:r w:rsidR="00325C23">
        <w:rPr>
          <w:bCs/>
        </w:rPr>
        <w:t xml:space="preserve">er om at undtage </w:t>
      </w:r>
      <w:r w:rsidR="0057119F">
        <w:rPr>
          <w:bCs/>
        </w:rPr>
        <w:t>sagsområder og typer af dokumenter fra aktindsigt:</w:t>
      </w:r>
    </w:p>
    <w:p w14:paraId="35A3C8A7" w14:textId="77777777" w:rsidR="0057119F" w:rsidRDefault="0057119F" w:rsidP="00402A09">
      <w:pPr>
        <w:spacing w:line="288" w:lineRule="auto"/>
        <w:rPr>
          <w:bCs/>
        </w:rPr>
      </w:pPr>
    </w:p>
    <w:p w14:paraId="2F13C408" w14:textId="739BCAF3" w:rsidR="00691AB9" w:rsidRPr="00402A09" w:rsidRDefault="0057119F" w:rsidP="00402A09">
      <w:pPr>
        <w:spacing w:line="288" w:lineRule="auto"/>
        <w:rPr>
          <w:bCs/>
          <w:i/>
          <w:iCs/>
        </w:rPr>
      </w:pPr>
      <w:r>
        <w:rPr>
          <w:bCs/>
        </w:rPr>
        <w:t>”</w:t>
      </w:r>
      <w:r w:rsidR="004C2D5F" w:rsidRPr="00402A09">
        <w:rPr>
          <w:bCs/>
        </w:rPr>
        <w:t xml:space="preserve"> </w:t>
      </w:r>
      <w:r w:rsidR="00070A71" w:rsidRPr="00402A09">
        <w:rPr>
          <w:b/>
          <w:i/>
          <w:iCs/>
        </w:rPr>
        <w:t>§ 3.</w:t>
      </w:r>
      <w:r w:rsidR="00070A71" w:rsidRPr="00402A09">
        <w:rPr>
          <w:bCs/>
          <w:i/>
          <w:iCs/>
        </w:rPr>
        <w:t xml:space="preserve"> </w:t>
      </w:r>
      <w:r w:rsidR="004C2D5F" w:rsidRPr="00402A09">
        <w:rPr>
          <w:bCs/>
          <w:i/>
          <w:iCs/>
        </w:rPr>
        <w:t xml:space="preserve"> </w:t>
      </w:r>
      <w:r w:rsidR="00070A71" w:rsidRPr="00402A09">
        <w:rPr>
          <w:bCs/>
          <w:i/>
          <w:iCs/>
        </w:rPr>
        <w:t>Landsstyret kan fastsætte regler om, at nærmere angivne myndigheder, sagsområder eller arter af dokumenter, for hvilke bestemmelserne i §§ 7-14 i almindelighed vil medføre, at begæring om aktindsigt kan afslås, skal være undtaget fra loven</w:t>
      </w:r>
      <w:r>
        <w:rPr>
          <w:bCs/>
          <w:i/>
          <w:iCs/>
        </w:rPr>
        <w:t>”</w:t>
      </w:r>
      <w:r w:rsidR="00070A71" w:rsidRPr="00402A09">
        <w:rPr>
          <w:bCs/>
          <w:i/>
          <w:iCs/>
        </w:rPr>
        <w:t>.</w:t>
      </w:r>
    </w:p>
    <w:p w14:paraId="05777CD6" w14:textId="77777777" w:rsidR="00070A71" w:rsidRPr="00402A09" w:rsidRDefault="00070A71" w:rsidP="00402A09">
      <w:pPr>
        <w:spacing w:line="288" w:lineRule="auto"/>
        <w:rPr>
          <w:bCs/>
          <w:i/>
          <w:iCs/>
        </w:rPr>
      </w:pPr>
    </w:p>
    <w:p w14:paraId="5DB90BB4" w14:textId="525CAD26" w:rsidR="00096CA1" w:rsidRPr="00402A09" w:rsidRDefault="00096CA1" w:rsidP="00402A09">
      <w:pPr>
        <w:spacing w:line="288" w:lineRule="auto"/>
        <w:rPr>
          <w:bCs/>
        </w:rPr>
      </w:pPr>
      <w:bookmarkStart w:id="0" w:name="_Hlk108696789"/>
      <w:r w:rsidRPr="00402A09">
        <w:rPr>
          <w:bCs/>
        </w:rPr>
        <w:t>I bemærkningerne til lovforslaget, anføres det bl.a.:</w:t>
      </w:r>
    </w:p>
    <w:bookmarkEnd w:id="0"/>
    <w:p w14:paraId="61ED4216" w14:textId="6665ADD2" w:rsidR="00070A71" w:rsidRPr="00402A09" w:rsidRDefault="00070A71" w:rsidP="00402A09">
      <w:pPr>
        <w:spacing w:line="288" w:lineRule="auto"/>
        <w:rPr>
          <w:bCs/>
          <w:i/>
          <w:iCs/>
        </w:rPr>
      </w:pPr>
      <w:r w:rsidRPr="00402A09">
        <w:rPr>
          <w:bCs/>
          <w:i/>
          <w:iCs/>
        </w:rPr>
        <w:t xml:space="preserve">Til § 3: </w:t>
      </w:r>
    </w:p>
    <w:p w14:paraId="2AA2BC1C" w14:textId="097E30B0" w:rsidR="004C2D5F" w:rsidRPr="0057119F" w:rsidRDefault="0057119F" w:rsidP="00402A09">
      <w:pPr>
        <w:spacing w:line="288" w:lineRule="auto"/>
        <w:rPr>
          <w:bCs/>
          <w:i/>
          <w:iCs/>
        </w:rPr>
      </w:pPr>
      <w:r>
        <w:rPr>
          <w:bCs/>
          <w:i/>
          <w:iCs/>
        </w:rPr>
        <w:t>”</w:t>
      </w:r>
      <w:r w:rsidR="00070A71" w:rsidRPr="00402A09">
        <w:rPr>
          <w:bCs/>
          <w:i/>
          <w:iCs/>
        </w:rPr>
        <w:t xml:space="preserve">Bestemmelsen indeholder en bemyndigelse for landsstyret til ved bekendtgørelse at fravige lovens almindelige regler, når nærmere angivne betingelser er opfyldt. </w:t>
      </w:r>
      <w:r w:rsidR="00096CA1" w:rsidRPr="0057119F">
        <w:rPr>
          <w:bCs/>
          <w:i/>
          <w:iCs/>
        </w:rPr>
        <w:t>Bestemmelsen hjemler adgang til at fastsætte</w:t>
      </w:r>
      <w:r w:rsidR="00345D1A" w:rsidRPr="0057119F">
        <w:rPr>
          <w:bCs/>
          <w:i/>
          <w:iCs/>
        </w:rPr>
        <w:t xml:space="preserve"> </w:t>
      </w:r>
      <w:r w:rsidR="00096CA1" w:rsidRPr="0057119F">
        <w:rPr>
          <w:bCs/>
          <w:i/>
          <w:iCs/>
        </w:rPr>
        <w:t>generelle undtagelser fra offentlighedsprincippet for nærmere angivne myndigheder, sagsområder eller arter af dokumenter</w:t>
      </w:r>
      <w:r w:rsidR="00345D1A" w:rsidRPr="0057119F">
        <w:rPr>
          <w:bCs/>
          <w:i/>
          <w:iCs/>
        </w:rPr>
        <w:t>.</w:t>
      </w:r>
      <w:r>
        <w:rPr>
          <w:bCs/>
          <w:i/>
          <w:iCs/>
        </w:rPr>
        <w:t>”</w:t>
      </w:r>
    </w:p>
    <w:p w14:paraId="0018D786" w14:textId="77777777" w:rsidR="00345D1A" w:rsidRPr="00402A09" w:rsidRDefault="00345D1A" w:rsidP="00402A09">
      <w:pPr>
        <w:spacing w:line="288" w:lineRule="auto"/>
        <w:rPr>
          <w:bCs/>
        </w:rPr>
      </w:pPr>
    </w:p>
    <w:p w14:paraId="473A686D" w14:textId="412D48E0" w:rsidR="0057119F" w:rsidRDefault="00F81CC6" w:rsidP="0057119F">
      <w:pPr>
        <w:spacing w:line="288" w:lineRule="auto"/>
        <w:rPr>
          <w:b/>
        </w:rPr>
      </w:pPr>
      <w:r>
        <w:rPr>
          <w:b/>
        </w:rPr>
        <w:t>Indhold i f</w:t>
      </w:r>
      <w:r w:rsidR="0057119F" w:rsidRPr="0057119F">
        <w:rPr>
          <w:b/>
        </w:rPr>
        <w:t>orslag til bekendtgørelse om fortrolighed og undtagelse fra aktindsigt af visse dokumenter om kommercielle vandkraftaktiviteter</w:t>
      </w:r>
    </w:p>
    <w:p w14:paraId="01518DD3" w14:textId="30BA7FF7" w:rsidR="00305AFD" w:rsidRDefault="00305AFD" w:rsidP="0057119F">
      <w:pPr>
        <w:spacing w:line="288" w:lineRule="auto"/>
        <w:rPr>
          <w:b/>
        </w:rPr>
      </w:pPr>
    </w:p>
    <w:p w14:paraId="7DCBF5ED" w14:textId="3B50529F" w:rsidR="00305AFD" w:rsidRDefault="00305AFD" w:rsidP="0057119F">
      <w:pPr>
        <w:spacing w:line="288" w:lineRule="auto"/>
        <w:rPr>
          <w:b/>
        </w:rPr>
      </w:pPr>
      <w:r>
        <w:rPr>
          <w:b/>
        </w:rPr>
        <w:t>Anvendelsesområde</w:t>
      </w:r>
    </w:p>
    <w:p w14:paraId="137E841E" w14:textId="538E74B1" w:rsidR="00305AFD" w:rsidRPr="00305AFD" w:rsidRDefault="00305AFD" w:rsidP="0057119F">
      <w:pPr>
        <w:spacing w:line="288" w:lineRule="auto"/>
        <w:rPr>
          <w:bCs/>
        </w:rPr>
      </w:pPr>
      <w:r>
        <w:rPr>
          <w:bCs/>
        </w:rPr>
        <w:lastRenderedPageBreak/>
        <w:t xml:space="preserve">Anvendelsesområdet er afgrænset til indledende drøftelser og forhandlinger (Dialog processen). Efter udstedelse af tilladelse til forundersøgelse eller udnyttelse fastsættes bestemmelser om fortrolighed i tilladelserne efter bestemmelserne herom </w:t>
      </w:r>
      <w:r w:rsidR="009D6555">
        <w:rPr>
          <w:bCs/>
        </w:rPr>
        <w:t xml:space="preserve">i </w:t>
      </w:r>
      <w:r>
        <w:rPr>
          <w:bCs/>
        </w:rPr>
        <w:t>vandkraftloven</w:t>
      </w:r>
      <w:r w:rsidR="009D6555">
        <w:rPr>
          <w:bCs/>
        </w:rPr>
        <w:t>.</w:t>
      </w:r>
      <w:r>
        <w:rPr>
          <w:bCs/>
        </w:rPr>
        <w:t xml:space="preserve">  </w:t>
      </w:r>
      <w:r w:rsidR="009D6555">
        <w:rPr>
          <w:bCs/>
        </w:rPr>
        <w:t>A</w:t>
      </w:r>
      <w:r>
        <w:rPr>
          <w:bCs/>
        </w:rPr>
        <w:t xml:space="preserve">ktiviteter, der er omfattet af </w:t>
      </w:r>
      <w:r w:rsidR="009D6555">
        <w:rPr>
          <w:bCs/>
        </w:rPr>
        <w:t xml:space="preserve">fortrolighed i en </w:t>
      </w:r>
      <w:r>
        <w:rPr>
          <w:bCs/>
        </w:rPr>
        <w:t>forundersøgelsestilladelse</w:t>
      </w:r>
      <w:r w:rsidR="007F6C24">
        <w:rPr>
          <w:bCs/>
        </w:rPr>
        <w:t>,</w:t>
      </w:r>
      <w:r w:rsidR="009D6555">
        <w:rPr>
          <w:bCs/>
        </w:rPr>
        <w:t xml:space="preserve"> vil være </w:t>
      </w:r>
      <w:r>
        <w:rPr>
          <w:bCs/>
        </w:rPr>
        <w:t xml:space="preserve">dataindsamling og </w:t>
      </w:r>
      <w:r w:rsidR="009D6555">
        <w:rPr>
          <w:bCs/>
        </w:rPr>
        <w:t xml:space="preserve">for </w:t>
      </w:r>
      <w:r>
        <w:rPr>
          <w:bCs/>
        </w:rPr>
        <w:t xml:space="preserve">en udnyttelsestilladelse </w:t>
      </w:r>
      <w:r w:rsidR="009D6555">
        <w:rPr>
          <w:bCs/>
        </w:rPr>
        <w:t xml:space="preserve">vil det være typisk rapportering om oplysninger og dokumenter om </w:t>
      </w:r>
      <w:r>
        <w:rPr>
          <w:bCs/>
        </w:rPr>
        <w:t xml:space="preserve">projektspecifikke forretningsforhold.  </w:t>
      </w:r>
    </w:p>
    <w:p w14:paraId="30423A88" w14:textId="77777777" w:rsidR="00305AFD" w:rsidRPr="009D6555" w:rsidRDefault="00305AFD" w:rsidP="0057119F">
      <w:pPr>
        <w:spacing w:line="288" w:lineRule="auto"/>
        <w:rPr>
          <w:b/>
        </w:rPr>
      </w:pPr>
    </w:p>
    <w:p w14:paraId="536642CF" w14:textId="1F362905" w:rsidR="0057119F" w:rsidRDefault="009D6555" w:rsidP="0057119F">
      <w:pPr>
        <w:spacing w:line="288" w:lineRule="auto"/>
        <w:rPr>
          <w:b/>
        </w:rPr>
      </w:pPr>
      <w:r w:rsidRPr="009D6555">
        <w:rPr>
          <w:b/>
        </w:rPr>
        <w:t xml:space="preserve">Dokumenter eller sager undtaget fra aktindsigt </w:t>
      </w:r>
    </w:p>
    <w:p w14:paraId="7BD06062" w14:textId="6440DA44" w:rsidR="009D6555" w:rsidRPr="009D6555" w:rsidRDefault="009D6555" w:rsidP="0057119F">
      <w:pPr>
        <w:spacing w:line="288" w:lineRule="auto"/>
        <w:rPr>
          <w:bCs/>
        </w:rPr>
      </w:pPr>
      <w:r w:rsidRPr="009D6555">
        <w:rPr>
          <w:bCs/>
        </w:rPr>
        <w:t>Bekendtgørelsen undtager dokumenter eller sager, hvor det må formodes i almindelighed efter offentlighedsloven, at aktindsigt allerede må nægtes</w:t>
      </w:r>
    </w:p>
    <w:p w14:paraId="2446AACB" w14:textId="272F28F0" w:rsidR="00070A71" w:rsidRPr="00402A09" w:rsidRDefault="00645BD2" w:rsidP="00402A09">
      <w:pPr>
        <w:spacing w:line="288" w:lineRule="auto"/>
        <w:rPr>
          <w:bCs/>
        </w:rPr>
      </w:pPr>
      <w:r w:rsidRPr="00402A09">
        <w:rPr>
          <w:bCs/>
        </w:rPr>
        <w:t>Sager om drøftelse og forhandlinger om privat kapitalinvestering i vandkraft til anvendelse til eksempelvis produktion af Power to X.</w:t>
      </w:r>
      <w:r w:rsidRPr="00402A09">
        <w:t xml:space="preserve"> </w:t>
      </w:r>
      <w:r w:rsidRPr="00402A09">
        <w:rPr>
          <w:bCs/>
        </w:rPr>
        <w:t xml:space="preserve">er, som </w:t>
      </w:r>
      <w:r w:rsidR="005F0A19" w:rsidRPr="00402A09">
        <w:rPr>
          <w:bCs/>
        </w:rPr>
        <w:t>nævnt,</w:t>
      </w:r>
      <w:r w:rsidRPr="00402A09">
        <w:rPr>
          <w:bCs/>
        </w:rPr>
        <w:t xml:space="preserve"> meget følsomme og må behandles med den største forsigtighed, både af hensyn til det offentliges økonomiske interesser og troværdighed som forhandlingspartner, og af hensyn til interesserede virksomheders økonomiske og forretningsmæssige forhold, hvor </w:t>
      </w:r>
      <w:r w:rsidR="00E37A93" w:rsidRPr="00402A09">
        <w:rPr>
          <w:bCs/>
        </w:rPr>
        <w:t xml:space="preserve">udveksling af oplysninger til brug for indgivelse af mulige </w:t>
      </w:r>
      <w:r w:rsidRPr="00402A09">
        <w:rPr>
          <w:bCs/>
        </w:rPr>
        <w:t xml:space="preserve">ansøgninger gives under forudsætning af fortrolighed. </w:t>
      </w:r>
    </w:p>
    <w:p w14:paraId="04FE5E72" w14:textId="77777777" w:rsidR="00714234" w:rsidRPr="00402A09" w:rsidRDefault="00714234" w:rsidP="00402A09">
      <w:pPr>
        <w:spacing w:line="288" w:lineRule="auto"/>
        <w:rPr>
          <w:bCs/>
        </w:rPr>
      </w:pPr>
    </w:p>
    <w:p w14:paraId="0A6E7D9C" w14:textId="59A04FC5" w:rsidR="00714234" w:rsidRPr="00402A09" w:rsidRDefault="00714234" w:rsidP="00402A09">
      <w:pPr>
        <w:spacing w:line="288" w:lineRule="auto"/>
        <w:rPr>
          <w:bCs/>
        </w:rPr>
      </w:pPr>
      <w:r w:rsidRPr="00402A09">
        <w:t>D</w:t>
      </w:r>
      <w:r w:rsidRPr="00402A09">
        <w:rPr>
          <w:bCs/>
        </w:rPr>
        <w:t xml:space="preserve">e undtagelsesbestemmelser i offentlighedsloven, som </w:t>
      </w:r>
      <w:r w:rsidR="0057119F">
        <w:rPr>
          <w:bCs/>
        </w:rPr>
        <w:t>også vil</w:t>
      </w:r>
      <w:r w:rsidRPr="00402A09">
        <w:rPr>
          <w:bCs/>
        </w:rPr>
        <w:t xml:space="preserve"> kunne finde anvendelse over for begæringer om aktindsigt </w:t>
      </w:r>
      <w:bookmarkStart w:id="1" w:name="_Hlk98941813"/>
      <w:r w:rsidRPr="00402A09">
        <w:rPr>
          <w:bCs/>
        </w:rPr>
        <w:t>i sager om mulige tilladelsesansøgninger og tilladelser efter vandkraftloven</w:t>
      </w:r>
      <w:bookmarkEnd w:id="1"/>
      <w:r w:rsidRPr="00402A09">
        <w:rPr>
          <w:bCs/>
        </w:rPr>
        <w:t xml:space="preserve"> </w:t>
      </w:r>
      <w:r w:rsidR="00096CA1" w:rsidRPr="00402A09">
        <w:rPr>
          <w:bCs/>
        </w:rPr>
        <w:t xml:space="preserve">drejer sig navnlig om bestemmelserne i lovens § 12, stk. 1, nr. 2 om </w:t>
      </w:r>
      <w:r w:rsidRPr="00402A09">
        <w:rPr>
          <w:bCs/>
        </w:rPr>
        <w:t>forretningsforhold og § 13 nr.</w:t>
      </w:r>
      <w:r w:rsidR="005F0A19" w:rsidRPr="00402A09">
        <w:rPr>
          <w:bCs/>
        </w:rPr>
        <w:t xml:space="preserve"> </w:t>
      </w:r>
      <w:r w:rsidRPr="00402A09">
        <w:rPr>
          <w:bCs/>
        </w:rPr>
        <w:t xml:space="preserve">5 og 6 om </w:t>
      </w:r>
      <w:r w:rsidR="005F0A19" w:rsidRPr="00402A09">
        <w:rPr>
          <w:bCs/>
        </w:rPr>
        <w:t>selvstyrets</w:t>
      </w:r>
      <w:r w:rsidRPr="00402A09">
        <w:rPr>
          <w:bCs/>
        </w:rPr>
        <w:t xml:space="preserve"> </w:t>
      </w:r>
      <w:r w:rsidR="005F0A19" w:rsidRPr="00402A09">
        <w:rPr>
          <w:bCs/>
        </w:rPr>
        <w:t xml:space="preserve">og private </w:t>
      </w:r>
      <w:r w:rsidRPr="00402A09">
        <w:rPr>
          <w:bCs/>
        </w:rPr>
        <w:t>økonomiske interesser, hvor hemmeligholdelse efter forholdets særlige karakter er påkrævet.</w:t>
      </w:r>
    </w:p>
    <w:p w14:paraId="42B456FA" w14:textId="77777777" w:rsidR="00E37A93" w:rsidRPr="00402A09" w:rsidRDefault="00E37A93" w:rsidP="00402A09">
      <w:pPr>
        <w:spacing w:line="288" w:lineRule="auto"/>
        <w:rPr>
          <w:bCs/>
        </w:rPr>
      </w:pPr>
    </w:p>
    <w:p w14:paraId="2DDC5398" w14:textId="77777777" w:rsidR="00E37A93" w:rsidRPr="00402A09" w:rsidRDefault="00E37A93" w:rsidP="00402A09">
      <w:pPr>
        <w:spacing w:line="288" w:lineRule="auto"/>
        <w:rPr>
          <w:bCs/>
          <w:i/>
          <w:iCs/>
        </w:rPr>
      </w:pPr>
      <w:r w:rsidRPr="00402A09">
        <w:rPr>
          <w:bCs/>
          <w:i/>
          <w:iCs/>
        </w:rPr>
        <w:t>§ 12. Retten til aktindsigt omfatter ikke oplysninger om</w:t>
      </w:r>
    </w:p>
    <w:p w14:paraId="787FACA2" w14:textId="77777777" w:rsidR="00E37A93" w:rsidRPr="00402A09" w:rsidRDefault="00E37A93" w:rsidP="00402A09">
      <w:pPr>
        <w:spacing w:line="288" w:lineRule="auto"/>
        <w:rPr>
          <w:bCs/>
          <w:i/>
          <w:iCs/>
        </w:rPr>
      </w:pPr>
      <w:r w:rsidRPr="00402A09">
        <w:rPr>
          <w:bCs/>
          <w:i/>
          <w:iCs/>
        </w:rPr>
        <w:t>1) enkeltpersoners private, herunder økonomiske, forhold,</w:t>
      </w:r>
    </w:p>
    <w:p w14:paraId="550EA874" w14:textId="4E647406" w:rsidR="00E37A93" w:rsidRPr="00402A09" w:rsidRDefault="00E37A93" w:rsidP="00402A09">
      <w:pPr>
        <w:spacing w:line="288" w:lineRule="auto"/>
        <w:rPr>
          <w:bCs/>
          <w:i/>
          <w:iCs/>
        </w:rPr>
      </w:pPr>
      <w:r w:rsidRPr="00402A09">
        <w:rPr>
          <w:bCs/>
          <w:i/>
          <w:iCs/>
        </w:rPr>
        <w:t xml:space="preserve">2) tekniske indretninger eller fremgangsmåder eller om drifts- eller forretningsforhold eller lignende, for så vidt det er af væsentlig økonomisk </w:t>
      </w:r>
      <w:r w:rsidR="00E721CC" w:rsidRPr="00402A09">
        <w:rPr>
          <w:bCs/>
          <w:i/>
          <w:iCs/>
        </w:rPr>
        <w:t>b</w:t>
      </w:r>
      <w:r w:rsidRPr="00402A09">
        <w:rPr>
          <w:bCs/>
          <w:i/>
          <w:iCs/>
        </w:rPr>
        <w:t>etydning for den person eller virksomhed, oplysningen angår, at begæringen ikke imødekommes.</w:t>
      </w:r>
    </w:p>
    <w:p w14:paraId="22B8CBAE" w14:textId="7EC3F95F" w:rsidR="00E37A93" w:rsidRPr="00402A09" w:rsidRDefault="00E37A93" w:rsidP="00402A09">
      <w:pPr>
        <w:spacing w:line="288" w:lineRule="auto"/>
        <w:rPr>
          <w:bCs/>
          <w:i/>
          <w:iCs/>
        </w:rPr>
      </w:pPr>
    </w:p>
    <w:p w14:paraId="7CFFAAD5" w14:textId="530395ED" w:rsidR="00E721CC" w:rsidRPr="00402A09" w:rsidRDefault="00E721CC" w:rsidP="00402A09">
      <w:pPr>
        <w:spacing w:line="288" w:lineRule="auto"/>
        <w:rPr>
          <w:bCs/>
        </w:rPr>
      </w:pPr>
      <w:r w:rsidRPr="00402A09">
        <w:rPr>
          <w:bCs/>
        </w:rPr>
        <w:t xml:space="preserve">I lyset af, at bestemmelsen i § </w:t>
      </w:r>
      <w:r w:rsidR="005F0A19" w:rsidRPr="00402A09">
        <w:rPr>
          <w:bCs/>
        </w:rPr>
        <w:t>12</w:t>
      </w:r>
      <w:r w:rsidRPr="00402A09">
        <w:rPr>
          <w:bCs/>
        </w:rPr>
        <w:t xml:space="preserve"> nr. 2, beskytter erhvervsmæssige interesser </w:t>
      </w:r>
    </w:p>
    <w:p w14:paraId="1BE9FB6B" w14:textId="3CC34563" w:rsidR="00641635" w:rsidRPr="00402A09" w:rsidRDefault="00E721CC" w:rsidP="00402A09">
      <w:pPr>
        <w:spacing w:line="288" w:lineRule="auto"/>
        <w:rPr>
          <w:bCs/>
        </w:rPr>
      </w:pPr>
      <w:r w:rsidRPr="00402A09">
        <w:rPr>
          <w:bCs/>
        </w:rPr>
        <w:t xml:space="preserve">som sådan, og som eksempler bl.a. oplysninger om forretningsforbindelser, forretningsbetingelser og kontraktvilkår – og således ikke kun oplysninger om virksomheden selv og dens produktionsforhold mv. i snæver forstand – </w:t>
      </w:r>
      <w:r w:rsidR="00122498">
        <w:rPr>
          <w:bCs/>
        </w:rPr>
        <w:t>vil</w:t>
      </w:r>
      <w:r w:rsidRPr="00402A09">
        <w:rPr>
          <w:bCs/>
        </w:rPr>
        <w:t xml:space="preserve"> oplysninger om en eventuel fremtidig </w:t>
      </w:r>
      <w:r w:rsidR="005F0A19" w:rsidRPr="00402A09">
        <w:rPr>
          <w:bCs/>
        </w:rPr>
        <w:t xml:space="preserve">tilladelse efter vandkraftloven </w:t>
      </w:r>
      <w:r w:rsidR="00402A09" w:rsidRPr="00402A09">
        <w:rPr>
          <w:bCs/>
        </w:rPr>
        <w:t>efter</w:t>
      </w:r>
      <w:r w:rsidRPr="00402A09">
        <w:rPr>
          <w:bCs/>
        </w:rPr>
        <w:t xml:space="preserve"> deres karakter</w:t>
      </w:r>
      <w:r w:rsidR="0057119F">
        <w:rPr>
          <w:bCs/>
        </w:rPr>
        <w:t xml:space="preserve"> kunne </w:t>
      </w:r>
      <w:r w:rsidR="00122498">
        <w:rPr>
          <w:bCs/>
        </w:rPr>
        <w:t xml:space="preserve">være </w:t>
      </w:r>
      <w:r w:rsidRPr="00402A09">
        <w:rPr>
          <w:bCs/>
        </w:rPr>
        <w:t xml:space="preserve">omfattet af bestemmelsen i offentlighedslovens § </w:t>
      </w:r>
      <w:r w:rsidR="005F0A19" w:rsidRPr="00402A09">
        <w:rPr>
          <w:bCs/>
        </w:rPr>
        <w:t>12</w:t>
      </w:r>
      <w:r w:rsidRPr="00402A09">
        <w:rPr>
          <w:bCs/>
        </w:rPr>
        <w:t xml:space="preserve">, nr. 2. </w:t>
      </w:r>
    </w:p>
    <w:p w14:paraId="00FE5524" w14:textId="77777777" w:rsidR="00641635" w:rsidRPr="00402A09" w:rsidRDefault="00641635" w:rsidP="00402A09">
      <w:pPr>
        <w:spacing w:line="288" w:lineRule="auto"/>
        <w:rPr>
          <w:bCs/>
          <w:i/>
          <w:iCs/>
        </w:rPr>
      </w:pPr>
    </w:p>
    <w:p w14:paraId="0EBF69DD" w14:textId="63BA01EB" w:rsidR="00096CA1" w:rsidRPr="00402A09" w:rsidRDefault="0057119F" w:rsidP="00402A09">
      <w:pPr>
        <w:spacing w:line="288" w:lineRule="auto"/>
        <w:rPr>
          <w:bCs/>
        </w:rPr>
      </w:pPr>
      <w:r>
        <w:rPr>
          <w:bCs/>
        </w:rPr>
        <w:t>A</w:t>
      </w:r>
      <w:r w:rsidR="00096CA1" w:rsidRPr="00402A09">
        <w:rPr>
          <w:bCs/>
        </w:rPr>
        <w:t xml:space="preserve">nvendelse af </w:t>
      </w:r>
      <w:r>
        <w:rPr>
          <w:bCs/>
        </w:rPr>
        <w:t>offentligheds</w:t>
      </w:r>
      <w:r w:rsidR="00096CA1" w:rsidRPr="00402A09">
        <w:rPr>
          <w:bCs/>
        </w:rPr>
        <w:t>lovens almindelige undtagelsesbestemmelser - der kræver udøvelse af et konkret skøn for hver</w:t>
      </w:r>
      <w:r w:rsidR="005F61D0">
        <w:rPr>
          <w:bCs/>
        </w:rPr>
        <w:t>t</w:t>
      </w:r>
      <w:r w:rsidR="00DC17DE" w:rsidRPr="00402A09">
        <w:rPr>
          <w:bCs/>
        </w:rPr>
        <w:t xml:space="preserve"> e</w:t>
      </w:r>
      <w:r w:rsidR="00096CA1" w:rsidRPr="00402A09">
        <w:rPr>
          <w:bCs/>
        </w:rPr>
        <w:t xml:space="preserve">nkelt dokument i sagen </w:t>
      </w:r>
      <w:r>
        <w:rPr>
          <w:bCs/>
        </w:rPr>
        <w:t>–</w:t>
      </w:r>
      <w:r w:rsidR="00096CA1" w:rsidRPr="00402A09">
        <w:rPr>
          <w:bCs/>
        </w:rPr>
        <w:t xml:space="preserve"> </w:t>
      </w:r>
      <w:r>
        <w:rPr>
          <w:bCs/>
        </w:rPr>
        <w:t xml:space="preserve">vil </w:t>
      </w:r>
      <w:r w:rsidR="00096CA1" w:rsidRPr="00402A09">
        <w:rPr>
          <w:bCs/>
        </w:rPr>
        <w:t>alligevel normalt føre til, at der må gives afslag på aktindsigt</w:t>
      </w:r>
      <w:r w:rsidR="002C11E9">
        <w:rPr>
          <w:bCs/>
        </w:rPr>
        <w:t>. U</w:t>
      </w:r>
      <w:r w:rsidR="00096CA1" w:rsidRPr="00402A09">
        <w:rPr>
          <w:bCs/>
        </w:rPr>
        <w:t xml:space="preserve">den væsentlig indskrænkning af offentligheden opnås </w:t>
      </w:r>
      <w:r w:rsidR="002C11E9">
        <w:rPr>
          <w:bCs/>
        </w:rPr>
        <w:t xml:space="preserve">med bekendtgørelsen </w:t>
      </w:r>
      <w:r w:rsidR="00096CA1" w:rsidRPr="00402A09">
        <w:rPr>
          <w:bCs/>
        </w:rPr>
        <w:t xml:space="preserve">en betydelig </w:t>
      </w:r>
      <w:r w:rsidR="002C11E9">
        <w:rPr>
          <w:bCs/>
        </w:rPr>
        <w:t xml:space="preserve">administrativ </w:t>
      </w:r>
      <w:r w:rsidR="00096CA1" w:rsidRPr="00402A09">
        <w:rPr>
          <w:bCs/>
        </w:rPr>
        <w:t>lettelse ved på forhånd generelt at angive, at sagsområdet er undtaget fra offentlighed.</w:t>
      </w:r>
      <w:r w:rsidR="005F0A19" w:rsidRPr="00402A09">
        <w:rPr>
          <w:bCs/>
        </w:rPr>
        <w:t xml:space="preserve"> </w:t>
      </w:r>
      <w:r w:rsidR="005A431A" w:rsidRPr="00402A09">
        <w:rPr>
          <w:bCs/>
        </w:rPr>
        <w:t xml:space="preserve">Bekendtgørelsen </w:t>
      </w:r>
      <w:r w:rsidR="00096CA1" w:rsidRPr="00402A09">
        <w:rPr>
          <w:bCs/>
        </w:rPr>
        <w:t xml:space="preserve">gives </w:t>
      </w:r>
      <w:r w:rsidR="005A431A" w:rsidRPr="00402A09">
        <w:rPr>
          <w:bCs/>
        </w:rPr>
        <w:t xml:space="preserve">samtidig en </w:t>
      </w:r>
      <w:r w:rsidR="00096CA1" w:rsidRPr="00402A09">
        <w:rPr>
          <w:bCs/>
        </w:rPr>
        <w:t xml:space="preserve">klar </w:t>
      </w:r>
      <w:r w:rsidR="005A431A" w:rsidRPr="00402A09">
        <w:rPr>
          <w:bCs/>
        </w:rPr>
        <w:t xml:space="preserve">afgrænsning </w:t>
      </w:r>
      <w:r w:rsidR="005A431A" w:rsidRPr="00402A09">
        <w:rPr>
          <w:bCs/>
        </w:rPr>
        <w:lastRenderedPageBreak/>
        <w:t xml:space="preserve">af </w:t>
      </w:r>
      <w:r w:rsidR="00096CA1" w:rsidRPr="00402A09">
        <w:rPr>
          <w:bCs/>
        </w:rPr>
        <w:t>offentlighedslovens anvendelse på området</w:t>
      </w:r>
      <w:r w:rsidR="002C11E9">
        <w:rPr>
          <w:bCs/>
        </w:rPr>
        <w:t xml:space="preserve"> og skaber et fortroligt rum for dialog med interesserede selskaber.</w:t>
      </w:r>
    </w:p>
    <w:p w14:paraId="0CF24FDE" w14:textId="77777777" w:rsidR="00070A71" w:rsidRPr="00402A09" w:rsidRDefault="00070A71" w:rsidP="00402A09">
      <w:pPr>
        <w:spacing w:line="288" w:lineRule="auto"/>
        <w:rPr>
          <w:bCs/>
        </w:rPr>
      </w:pPr>
    </w:p>
    <w:p w14:paraId="4CAC21DB" w14:textId="6C3EA316" w:rsidR="00070A71" w:rsidRPr="00402A09" w:rsidRDefault="00096CA1" w:rsidP="00402A09">
      <w:pPr>
        <w:spacing w:line="288" w:lineRule="auto"/>
        <w:rPr>
          <w:bCs/>
        </w:rPr>
      </w:pPr>
      <w:r w:rsidRPr="00402A09">
        <w:rPr>
          <w:bCs/>
        </w:rPr>
        <w:t xml:space="preserve">Det </w:t>
      </w:r>
      <w:r w:rsidR="00DC17DE" w:rsidRPr="00402A09">
        <w:rPr>
          <w:bCs/>
        </w:rPr>
        <w:t>er ikke hensigten</w:t>
      </w:r>
      <w:r w:rsidRPr="00402A09">
        <w:rPr>
          <w:bCs/>
        </w:rPr>
        <w:t xml:space="preserve">, at </w:t>
      </w:r>
      <w:r w:rsidR="00DC17DE" w:rsidRPr="00402A09">
        <w:rPr>
          <w:bCs/>
        </w:rPr>
        <w:t xml:space="preserve">bekendtgørelsen skal </w:t>
      </w:r>
      <w:r w:rsidRPr="00402A09">
        <w:rPr>
          <w:bCs/>
        </w:rPr>
        <w:t>skabe nye undtagelser fra offentlighedsloven eller udvide de eksisterende undtagelsesområder</w:t>
      </w:r>
      <w:r w:rsidR="003B0C2E">
        <w:rPr>
          <w:bCs/>
        </w:rPr>
        <w:t>.</w:t>
      </w:r>
      <w:r w:rsidRPr="00402A09">
        <w:rPr>
          <w:bCs/>
        </w:rPr>
        <w:t xml:space="preserve"> </w:t>
      </w:r>
      <w:r w:rsidR="003B0C2E">
        <w:rPr>
          <w:bCs/>
        </w:rPr>
        <w:t>Undtagelse fra at være om</w:t>
      </w:r>
      <w:r w:rsidR="00AA1BC7">
        <w:rPr>
          <w:bCs/>
        </w:rPr>
        <w:t>fattet af offentlighedslovens</w:t>
      </w:r>
      <w:r w:rsidR="003B0C2E">
        <w:rPr>
          <w:bCs/>
        </w:rPr>
        <w:t xml:space="preserve"> </w:t>
      </w:r>
      <w:r w:rsidR="00AA1BC7">
        <w:rPr>
          <w:bCs/>
        </w:rPr>
        <w:t xml:space="preserve">bestemmelser om </w:t>
      </w:r>
      <w:r w:rsidR="003B0C2E">
        <w:rPr>
          <w:bCs/>
        </w:rPr>
        <w:t xml:space="preserve">aktindsigt </w:t>
      </w:r>
      <w:r w:rsidR="00AA1BC7">
        <w:rPr>
          <w:bCs/>
        </w:rPr>
        <w:t>ophører efter 3 år, hvorefter det må antages at der ikke gælder særlige hensyn til at bevare fortrolighed omkring oplysninger og dokumenter.</w:t>
      </w:r>
    </w:p>
    <w:p w14:paraId="732C441E" w14:textId="290282D6" w:rsidR="00DC17DE" w:rsidRDefault="00DC17DE" w:rsidP="00402A09">
      <w:pPr>
        <w:spacing w:line="288" w:lineRule="auto"/>
        <w:rPr>
          <w:bCs/>
        </w:rPr>
      </w:pPr>
    </w:p>
    <w:p w14:paraId="60620523" w14:textId="643F8834" w:rsidR="00572308" w:rsidRPr="00402A09" w:rsidRDefault="00572308" w:rsidP="00402A09">
      <w:pPr>
        <w:spacing w:line="288" w:lineRule="auto"/>
        <w:rPr>
          <w:bCs/>
        </w:rPr>
      </w:pPr>
      <w:r>
        <w:rPr>
          <w:bCs/>
        </w:rPr>
        <w:t>Der er modtaget interne høringssvar fra departementet for finanser og fra råstofdepartementet. Høringssvarene er i relevant omfang indarbejdet i forslag til bekendtgørelse. Det er således tydeliggjort at bekendtgørelsen alene finder anvendelse i en dialog</w:t>
      </w:r>
      <w:r w:rsidR="003A39D2">
        <w:rPr>
          <w:bCs/>
        </w:rPr>
        <w:t>-</w:t>
      </w:r>
      <w:r>
        <w:rPr>
          <w:bCs/>
        </w:rPr>
        <w:t xml:space="preserve"> og forhandlingsfase indtil modtagelse af en formel ansøgning om tilladelse efter vandkraftloven.</w:t>
      </w:r>
    </w:p>
    <w:sectPr w:rsidR="00572308" w:rsidRPr="00402A09" w:rsidSect="001E574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A6C1" w14:textId="77777777" w:rsidR="00040112" w:rsidRDefault="00040112">
      <w:r>
        <w:separator/>
      </w:r>
    </w:p>
  </w:endnote>
  <w:endnote w:type="continuationSeparator" w:id="0">
    <w:p w14:paraId="1B431375" w14:textId="77777777" w:rsidR="00040112" w:rsidRDefault="000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F2FC" w14:textId="77777777" w:rsidR="00801E2E" w:rsidRDefault="009F5AE4" w:rsidP="00195E73">
    <w:pPr>
      <w:pStyle w:val="Sidefod"/>
      <w:framePr w:wrap="around" w:vAnchor="text" w:hAnchor="margin" w:xAlign="right" w:y="1"/>
      <w:rPr>
        <w:rStyle w:val="Sidetal"/>
      </w:rPr>
    </w:pPr>
    <w:r>
      <w:rPr>
        <w:rStyle w:val="Sidetal"/>
      </w:rPr>
      <w:fldChar w:fldCharType="begin"/>
    </w:r>
    <w:r w:rsidR="0007116F">
      <w:rPr>
        <w:rStyle w:val="Sidetal"/>
      </w:rPr>
      <w:instrText xml:space="preserve">PAGE  </w:instrText>
    </w:r>
    <w:r>
      <w:rPr>
        <w:rStyle w:val="Sidetal"/>
      </w:rPr>
      <w:fldChar w:fldCharType="end"/>
    </w:r>
  </w:p>
  <w:p w14:paraId="002F673F" w14:textId="77777777" w:rsidR="00801E2E" w:rsidRDefault="00040112" w:rsidP="00A60EF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D83" w14:textId="789A4DDE" w:rsidR="00801E2E" w:rsidRDefault="009F5AE4" w:rsidP="00195E73">
    <w:pPr>
      <w:pStyle w:val="Sidefod"/>
      <w:framePr w:wrap="around" w:vAnchor="text" w:hAnchor="margin" w:xAlign="right" w:y="1"/>
      <w:rPr>
        <w:rStyle w:val="Sidetal"/>
      </w:rPr>
    </w:pPr>
    <w:r>
      <w:rPr>
        <w:rStyle w:val="Sidetal"/>
      </w:rPr>
      <w:fldChar w:fldCharType="begin"/>
    </w:r>
    <w:r w:rsidR="0007116F">
      <w:rPr>
        <w:rStyle w:val="Sidetal"/>
      </w:rPr>
      <w:instrText xml:space="preserve">PAGE  </w:instrText>
    </w:r>
    <w:r>
      <w:rPr>
        <w:rStyle w:val="Sidetal"/>
      </w:rPr>
      <w:fldChar w:fldCharType="separate"/>
    </w:r>
    <w:r w:rsidR="009E2BAD">
      <w:rPr>
        <w:rStyle w:val="Sidetal"/>
        <w:noProof/>
      </w:rPr>
      <w:t>2</w:t>
    </w:r>
    <w:r>
      <w:rPr>
        <w:rStyle w:val="Sidetal"/>
      </w:rPr>
      <w:fldChar w:fldCharType="end"/>
    </w:r>
  </w:p>
  <w:p w14:paraId="2C96DFEF" w14:textId="77777777" w:rsidR="00801E2E" w:rsidRDefault="00040112" w:rsidP="00A60EF6">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D5CB" w14:textId="77777777" w:rsidR="00040112" w:rsidRDefault="00040112">
      <w:r>
        <w:separator/>
      </w:r>
    </w:p>
  </w:footnote>
  <w:footnote w:type="continuationSeparator" w:id="0">
    <w:p w14:paraId="066DB0FE" w14:textId="77777777" w:rsidR="00040112" w:rsidRDefault="000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462377"/>
    <w:multiLevelType w:val="hybridMultilevel"/>
    <w:tmpl w:val="0EAE8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0C9559D"/>
    <w:multiLevelType w:val="hybridMultilevel"/>
    <w:tmpl w:val="4F5AA2AE"/>
    <w:lvl w:ilvl="0" w:tplc="CAE2D948">
      <w:numFmt w:val="bullet"/>
      <w:lvlText w:val="-"/>
      <w:lvlJc w:val="left"/>
      <w:pPr>
        <w:ind w:left="1664" w:hanging="360"/>
      </w:pPr>
      <w:rPr>
        <w:rFonts w:ascii="Times New Roman" w:eastAsia="Times New Roman" w:hAnsi="Times New Roman" w:cs="Times New Roman"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09FB1F8D"/>
    <w:multiLevelType w:val="hybridMultilevel"/>
    <w:tmpl w:val="2B78E1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80280F"/>
    <w:multiLevelType w:val="hybridMultilevel"/>
    <w:tmpl w:val="83D2A348"/>
    <w:lvl w:ilvl="0" w:tplc="E0C22B8E">
      <w:start w:val="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4566F9"/>
    <w:multiLevelType w:val="hybridMultilevel"/>
    <w:tmpl w:val="4718F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C51A91"/>
    <w:multiLevelType w:val="hybridMultilevel"/>
    <w:tmpl w:val="ADEE3628"/>
    <w:lvl w:ilvl="0" w:tplc="EE56F87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D01BF2"/>
    <w:multiLevelType w:val="hybridMultilevel"/>
    <w:tmpl w:val="178E1A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EAE0BD6"/>
    <w:multiLevelType w:val="hybridMultilevel"/>
    <w:tmpl w:val="60EE2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8F2420"/>
    <w:multiLevelType w:val="hybridMultilevel"/>
    <w:tmpl w:val="2838663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42554F"/>
    <w:multiLevelType w:val="hybridMultilevel"/>
    <w:tmpl w:val="5E58B4DE"/>
    <w:lvl w:ilvl="0" w:tplc="39C21CC6">
      <w:numFmt w:val="bullet"/>
      <w:lvlText w:val="-"/>
      <w:lvlJc w:val="left"/>
      <w:pPr>
        <w:ind w:left="720" w:hanging="360"/>
      </w:pPr>
      <w:rPr>
        <w:rFonts w:ascii="Times New Roman" w:eastAsia="Times New Roman" w:hAnsi="Times New Roman"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1" w15:restartNumberingAfterBreak="0">
    <w:nsid w:val="3E32508D"/>
    <w:multiLevelType w:val="hybridMultilevel"/>
    <w:tmpl w:val="0BAA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702669"/>
    <w:multiLevelType w:val="hybridMultilevel"/>
    <w:tmpl w:val="A29234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5296D22"/>
    <w:multiLevelType w:val="hybridMultilevel"/>
    <w:tmpl w:val="630AD5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7BF3671"/>
    <w:multiLevelType w:val="hybridMultilevel"/>
    <w:tmpl w:val="5D527C6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9A61BF2"/>
    <w:multiLevelType w:val="hybridMultilevel"/>
    <w:tmpl w:val="5F2692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9FD367A"/>
    <w:multiLevelType w:val="hybridMultilevel"/>
    <w:tmpl w:val="49D03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9E73A59"/>
    <w:multiLevelType w:val="hybridMultilevel"/>
    <w:tmpl w:val="70500620"/>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580E68"/>
    <w:multiLevelType w:val="hybridMultilevel"/>
    <w:tmpl w:val="9A3C58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59434BD"/>
    <w:multiLevelType w:val="hybridMultilevel"/>
    <w:tmpl w:val="E97A96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DDF6408"/>
    <w:multiLevelType w:val="hybridMultilevel"/>
    <w:tmpl w:val="D756BE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5"/>
  </w:num>
  <w:num w:numId="5">
    <w:abstractNumId w:val="14"/>
  </w:num>
  <w:num w:numId="6">
    <w:abstractNumId w:val="7"/>
  </w:num>
  <w:num w:numId="7">
    <w:abstractNumId w:val="0"/>
  </w:num>
  <w:num w:numId="8">
    <w:abstractNumId w:val="20"/>
  </w:num>
  <w:num w:numId="9">
    <w:abstractNumId w:val="8"/>
  </w:num>
  <w:num w:numId="10">
    <w:abstractNumId w:val="9"/>
  </w:num>
  <w:num w:numId="11">
    <w:abstractNumId w:val="5"/>
  </w:num>
  <w:num w:numId="12">
    <w:abstractNumId w:val="17"/>
  </w:num>
  <w:num w:numId="13">
    <w:abstractNumId w:val="12"/>
  </w:num>
  <w:num w:numId="14">
    <w:abstractNumId w:val="13"/>
  </w:num>
  <w:num w:numId="15">
    <w:abstractNumId w:val="16"/>
  </w:num>
  <w:num w:numId="16">
    <w:abstractNumId w:val="11"/>
  </w:num>
  <w:num w:numId="17">
    <w:abstractNumId w:val="18"/>
  </w:num>
  <w:num w:numId="18">
    <w:abstractNumId w:val="19"/>
  </w:num>
  <w:num w:numId="19">
    <w:abstractNumId w:val="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D3"/>
    <w:rsid w:val="00006932"/>
    <w:rsid w:val="00016E90"/>
    <w:rsid w:val="00016F66"/>
    <w:rsid w:val="00017A3F"/>
    <w:rsid w:val="00020996"/>
    <w:rsid w:val="00021525"/>
    <w:rsid w:val="00027C53"/>
    <w:rsid w:val="0003799E"/>
    <w:rsid w:val="00040112"/>
    <w:rsid w:val="000412A1"/>
    <w:rsid w:val="00042D29"/>
    <w:rsid w:val="000451BA"/>
    <w:rsid w:val="000472F5"/>
    <w:rsid w:val="000521F5"/>
    <w:rsid w:val="00053515"/>
    <w:rsid w:val="000548A7"/>
    <w:rsid w:val="00055852"/>
    <w:rsid w:val="0005592C"/>
    <w:rsid w:val="00055BA3"/>
    <w:rsid w:val="0006168B"/>
    <w:rsid w:val="00062516"/>
    <w:rsid w:val="00070A71"/>
    <w:rsid w:val="0007116F"/>
    <w:rsid w:val="00075D6F"/>
    <w:rsid w:val="00081E8A"/>
    <w:rsid w:val="00087E8B"/>
    <w:rsid w:val="000949D3"/>
    <w:rsid w:val="0009616A"/>
    <w:rsid w:val="00096CA1"/>
    <w:rsid w:val="000A5530"/>
    <w:rsid w:val="000A57E1"/>
    <w:rsid w:val="000A6C92"/>
    <w:rsid w:val="000B06B7"/>
    <w:rsid w:val="000B6123"/>
    <w:rsid w:val="000B78EB"/>
    <w:rsid w:val="000C0323"/>
    <w:rsid w:val="000C21C2"/>
    <w:rsid w:val="000E1E89"/>
    <w:rsid w:val="000E20CE"/>
    <w:rsid w:val="000E2D32"/>
    <w:rsid w:val="000E6BB4"/>
    <w:rsid w:val="000F0827"/>
    <w:rsid w:val="000F14B2"/>
    <w:rsid w:val="001010AF"/>
    <w:rsid w:val="00105FFC"/>
    <w:rsid w:val="001126DC"/>
    <w:rsid w:val="00115A5E"/>
    <w:rsid w:val="00116920"/>
    <w:rsid w:val="001204F4"/>
    <w:rsid w:val="00121CEF"/>
    <w:rsid w:val="00122498"/>
    <w:rsid w:val="0012264B"/>
    <w:rsid w:val="001246B2"/>
    <w:rsid w:val="001265AF"/>
    <w:rsid w:val="00126A36"/>
    <w:rsid w:val="00127A67"/>
    <w:rsid w:val="00141FF4"/>
    <w:rsid w:val="00151074"/>
    <w:rsid w:val="00155EB8"/>
    <w:rsid w:val="00156F25"/>
    <w:rsid w:val="0016289B"/>
    <w:rsid w:val="00167177"/>
    <w:rsid w:val="00170339"/>
    <w:rsid w:val="0017041A"/>
    <w:rsid w:val="00175311"/>
    <w:rsid w:val="001813CA"/>
    <w:rsid w:val="00186E95"/>
    <w:rsid w:val="00191114"/>
    <w:rsid w:val="00194554"/>
    <w:rsid w:val="001B390E"/>
    <w:rsid w:val="001B3FBC"/>
    <w:rsid w:val="001B5059"/>
    <w:rsid w:val="001D0D8F"/>
    <w:rsid w:val="001E092D"/>
    <w:rsid w:val="001E3C64"/>
    <w:rsid w:val="001E5748"/>
    <w:rsid w:val="001F01D9"/>
    <w:rsid w:val="001F1EFC"/>
    <w:rsid w:val="00200273"/>
    <w:rsid w:val="00200975"/>
    <w:rsid w:val="0020122F"/>
    <w:rsid w:val="00202230"/>
    <w:rsid w:val="00217E7B"/>
    <w:rsid w:val="00221BA2"/>
    <w:rsid w:val="00226FDA"/>
    <w:rsid w:val="00236B8A"/>
    <w:rsid w:val="00237353"/>
    <w:rsid w:val="0023796F"/>
    <w:rsid w:val="0024414A"/>
    <w:rsid w:val="00247F39"/>
    <w:rsid w:val="002647A5"/>
    <w:rsid w:val="00270BF8"/>
    <w:rsid w:val="0027429B"/>
    <w:rsid w:val="00275CBF"/>
    <w:rsid w:val="0027685D"/>
    <w:rsid w:val="00277940"/>
    <w:rsid w:val="00277AF2"/>
    <w:rsid w:val="00284B35"/>
    <w:rsid w:val="00294574"/>
    <w:rsid w:val="00296F06"/>
    <w:rsid w:val="002A34CC"/>
    <w:rsid w:val="002A698D"/>
    <w:rsid w:val="002B00BC"/>
    <w:rsid w:val="002B062E"/>
    <w:rsid w:val="002C048B"/>
    <w:rsid w:val="002C0D63"/>
    <w:rsid w:val="002C11E9"/>
    <w:rsid w:val="002C1580"/>
    <w:rsid w:val="002C6708"/>
    <w:rsid w:val="002C728A"/>
    <w:rsid w:val="002D0E2A"/>
    <w:rsid w:val="002D1E28"/>
    <w:rsid w:val="002D4802"/>
    <w:rsid w:val="002D6390"/>
    <w:rsid w:val="002E51E0"/>
    <w:rsid w:val="002E6CAC"/>
    <w:rsid w:val="002E7A0B"/>
    <w:rsid w:val="002F20AF"/>
    <w:rsid w:val="003013EF"/>
    <w:rsid w:val="00305AFD"/>
    <w:rsid w:val="0031066B"/>
    <w:rsid w:val="003129E1"/>
    <w:rsid w:val="003165C6"/>
    <w:rsid w:val="003211A2"/>
    <w:rsid w:val="003215CE"/>
    <w:rsid w:val="00324AD9"/>
    <w:rsid w:val="00325C23"/>
    <w:rsid w:val="00326D74"/>
    <w:rsid w:val="00345D1A"/>
    <w:rsid w:val="00345D29"/>
    <w:rsid w:val="003460DD"/>
    <w:rsid w:val="00355565"/>
    <w:rsid w:val="00355CF2"/>
    <w:rsid w:val="00366C17"/>
    <w:rsid w:val="003829AF"/>
    <w:rsid w:val="00390A33"/>
    <w:rsid w:val="00395351"/>
    <w:rsid w:val="003963FE"/>
    <w:rsid w:val="003A39D2"/>
    <w:rsid w:val="003A7897"/>
    <w:rsid w:val="003B0C2E"/>
    <w:rsid w:val="003B2178"/>
    <w:rsid w:val="003B2B1C"/>
    <w:rsid w:val="003B3F03"/>
    <w:rsid w:val="003C4320"/>
    <w:rsid w:val="003C712F"/>
    <w:rsid w:val="003C77B7"/>
    <w:rsid w:val="003D4083"/>
    <w:rsid w:val="003D4209"/>
    <w:rsid w:val="003D4F5A"/>
    <w:rsid w:val="003D7A56"/>
    <w:rsid w:val="003E1218"/>
    <w:rsid w:val="003E2EC6"/>
    <w:rsid w:val="003E6F2C"/>
    <w:rsid w:val="003F7807"/>
    <w:rsid w:val="00402A09"/>
    <w:rsid w:val="00404812"/>
    <w:rsid w:val="004117D0"/>
    <w:rsid w:val="0041401D"/>
    <w:rsid w:val="004161B5"/>
    <w:rsid w:val="004202CE"/>
    <w:rsid w:val="00423D32"/>
    <w:rsid w:val="00436354"/>
    <w:rsid w:val="00444995"/>
    <w:rsid w:val="00450952"/>
    <w:rsid w:val="004528BA"/>
    <w:rsid w:val="004657DD"/>
    <w:rsid w:val="004703EF"/>
    <w:rsid w:val="00481B19"/>
    <w:rsid w:val="00483B47"/>
    <w:rsid w:val="00485745"/>
    <w:rsid w:val="00487E55"/>
    <w:rsid w:val="0049064A"/>
    <w:rsid w:val="00493C3E"/>
    <w:rsid w:val="0049669B"/>
    <w:rsid w:val="004A2E04"/>
    <w:rsid w:val="004A6F24"/>
    <w:rsid w:val="004B0AF6"/>
    <w:rsid w:val="004B302D"/>
    <w:rsid w:val="004B681A"/>
    <w:rsid w:val="004C2D5F"/>
    <w:rsid w:val="004C6596"/>
    <w:rsid w:val="004D20E6"/>
    <w:rsid w:val="004D4430"/>
    <w:rsid w:val="004E276A"/>
    <w:rsid w:val="004E6915"/>
    <w:rsid w:val="004E6BEB"/>
    <w:rsid w:val="004F0D11"/>
    <w:rsid w:val="004F566D"/>
    <w:rsid w:val="0050671D"/>
    <w:rsid w:val="00520AC6"/>
    <w:rsid w:val="00520C37"/>
    <w:rsid w:val="005213B9"/>
    <w:rsid w:val="00523BBD"/>
    <w:rsid w:val="00526A5E"/>
    <w:rsid w:val="005273B2"/>
    <w:rsid w:val="005336FF"/>
    <w:rsid w:val="00534A84"/>
    <w:rsid w:val="00535F67"/>
    <w:rsid w:val="00541E5A"/>
    <w:rsid w:val="00542C97"/>
    <w:rsid w:val="00547B84"/>
    <w:rsid w:val="00553EEB"/>
    <w:rsid w:val="00560B02"/>
    <w:rsid w:val="00561291"/>
    <w:rsid w:val="0056183E"/>
    <w:rsid w:val="00562188"/>
    <w:rsid w:val="005626FE"/>
    <w:rsid w:val="005627E9"/>
    <w:rsid w:val="005644C4"/>
    <w:rsid w:val="00567966"/>
    <w:rsid w:val="0057119F"/>
    <w:rsid w:val="00572308"/>
    <w:rsid w:val="00572DB6"/>
    <w:rsid w:val="005806EE"/>
    <w:rsid w:val="00593BCB"/>
    <w:rsid w:val="005951A2"/>
    <w:rsid w:val="005A431A"/>
    <w:rsid w:val="005A708E"/>
    <w:rsid w:val="005C019D"/>
    <w:rsid w:val="005C0DC9"/>
    <w:rsid w:val="005C1DB5"/>
    <w:rsid w:val="005C29CB"/>
    <w:rsid w:val="005C73EC"/>
    <w:rsid w:val="005C7893"/>
    <w:rsid w:val="005D003D"/>
    <w:rsid w:val="005E2998"/>
    <w:rsid w:val="005E2CDA"/>
    <w:rsid w:val="005E3D82"/>
    <w:rsid w:val="005F0A19"/>
    <w:rsid w:val="005F198B"/>
    <w:rsid w:val="005F33CC"/>
    <w:rsid w:val="005F61D0"/>
    <w:rsid w:val="0060390F"/>
    <w:rsid w:val="00603C64"/>
    <w:rsid w:val="00605969"/>
    <w:rsid w:val="006229AB"/>
    <w:rsid w:val="00634014"/>
    <w:rsid w:val="00641372"/>
    <w:rsid w:val="00641635"/>
    <w:rsid w:val="00645BD2"/>
    <w:rsid w:val="006560AA"/>
    <w:rsid w:val="0066219B"/>
    <w:rsid w:val="006642A5"/>
    <w:rsid w:val="00664678"/>
    <w:rsid w:val="0066602D"/>
    <w:rsid w:val="006701AD"/>
    <w:rsid w:val="00671AD3"/>
    <w:rsid w:val="00691AB9"/>
    <w:rsid w:val="00693382"/>
    <w:rsid w:val="006943AC"/>
    <w:rsid w:val="006943BB"/>
    <w:rsid w:val="006A09B3"/>
    <w:rsid w:val="006A38C4"/>
    <w:rsid w:val="006B268E"/>
    <w:rsid w:val="006B3630"/>
    <w:rsid w:val="006B459F"/>
    <w:rsid w:val="006B64E8"/>
    <w:rsid w:val="006C3F69"/>
    <w:rsid w:val="006C669D"/>
    <w:rsid w:val="006E0659"/>
    <w:rsid w:val="006E0F1F"/>
    <w:rsid w:val="006E2454"/>
    <w:rsid w:val="006E33D4"/>
    <w:rsid w:val="006E4F32"/>
    <w:rsid w:val="006F2B90"/>
    <w:rsid w:val="006F661F"/>
    <w:rsid w:val="00704D1D"/>
    <w:rsid w:val="0071251F"/>
    <w:rsid w:val="00712CE4"/>
    <w:rsid w:val="00714234"/>
    <w:rsid w:val="00717D74"/>
    <w:rsid w:val="00720570"/>
    <w:rsid w:val="00722C29"/>
    <w:rsid w:val="0072427B"/>
    <w:rsid w:val="0073126B"/>
    <w:rsid w:val="00736E2E"/>
    <w:rsid w:val="00742B49"/>
    <w:rsid w:val="0074545A"/>
    <w:rsid w:val="00745CA2"/>
    <w:rsid w:val="00747258"/>
    <w:rsid w:val="00751C53"/>
    <w:rsid w:val="00751CF2"/>
    <w:rsid w:val="007546F0"/>
    <w:rsid w:val="00761076"/>
    <w:rsid w:val="00774A59"/>
    <w:rsid w:val="007808BD"/>
    <w:rsid w:val="0078483C"/>
    <w:rsid w:val="00786DD2"/>
    <w:rsid w:val="007975F7"/>
    <w:rsid w:val="007A4134"/>
    <w:rsid w:val="007A4613"/>
    <w:rsid w:val="007B79B7"/>
    <w:rsid w:val="007C0BE1"/>
    <w:rsid w:val="007C2B23"/>
    <w:rsid w:val="007C2CAA"/>
    <w:rsid w:val="007C4977"/>
    <w:rsid w:val="007C4DB4"/>
    <w:rsid w:val="007C5EEC"/>
    <w:rsid w:val="007C6AC6"/>
    <w:rsid w:val="007C754A"/>
    <w:rsid w:val="007D0A2E"/>
    <w:rsid w:val="007D6572"/>
    <w:rsid w:val="007E1CCD"/>
    <w:rsid w:val="007E7F38"/>
    <w:rsid w:val="007F01F1"/>
    <w:rsid w:val="007F6C24"/>
    <w:rsid w:val="0080200E"/>
    <w:rsid w:val="00806171"/>
    <w:rsid w:val="008123D6"/>
    <w:rsid w:val="00815FAA"/>
    <w:rsid w:val="00820A03"/>
    <w:rsid w:val="00821C0F"/>
    <w:rsid w:val="00822F2E"/>
    <w:rsid w:val="00826B6A"/>
    <w:rsid w:val="00827B8C"/>
    <w:rsid w:val="00841104"/>
    <w:rsid w:val="00841E7D"/>
    <w:rsid w:val="00850DB8"/>
    <w:rsid w:val="0085119E"/>
    <w:rsid w:val="008513B3"/>
    <w:rsid w:val="00854D6B"/>
    <w:rsid w:val="00854DF9"/>
    <w:rsid w:val="00862E59"/>
    <w:rsid w:val="00873C65"/>
    <w:rsid w:val="008769CB"/>
    <w:rsid w:val="00886CDE"/>
    <w:rsid w:val="008976C3"/>
    <w:rsid w:val="008B4E95"/>
    <w:rsid w:val="008B7189"/>
    <w:rsid w:val="008C2AAA"/>
    <w:rsid w:val="008C2D86"/>
    <w:rsid w:val="008C3EDF"/>
    <w:rsid w:val="008C4C39"/>
    <w:rsid w:val="008C5D23"/>
    <w:rsid w:val="008D0613"/>
    <w:rsid w:val="008D18B1"/>
    <w:rsid w:val="008D1FEC"/>
    <w:rsid w:val="008D4B7F"/>
    <w:rsid w:val="008D7340"/>
    <w:rsid w:val="008E4E45"/>
    <w:rsid w:val="008E6AF9"/>
    <w:rsid w:val="008E6D2E"/>
    <w:rsid w:val="008F1277"/>
    <w:rsid w:val="008F19D2"/>
    <w:rsid w:val="008F555F"/>
    <w:rsid w:val="008F7AE1"/>
    <w:rsid w:val="00900418"/>
    <w:rsid w:val="00902661"/>
    <w:rsid w:val="00905AFB"/>
    <w:rsid w:val="0091049D"/>
    <w:rsid w:val="009144F7"/>
    <w:rsid w:val="00917887"/>
    <w:rsid w:val="0092273C"/>
    <w:rsid w:val="00926A24"/>
    <w:rsid w:val="00926BA2"/>
    <w:rsid w:val="00927E11"/>
    <w:rsid w:val="00933022"/>
    <w:rsid w:val="009361F0"/>
    <w:rsid w:val="0093789D"/>
    <w:rsid w:val="00941778"/>
    <w:rsid w:val="00943623"/>
    <w:rsid w:val="00951877"/>
    <w:rsid w:val="0096185B"/>
    <w:rsid w:val="009812A5"/>
    <w:rsid w:val="009813C5"/>
    <w:rsid w:val="009A3FE4"/>
    <w:rsid w:val="009A4216"/>
    <w:rsid w:val="009B796F"/>
    <w:rsid w:val="009C124E"/>
    <w:rsid w:val="009D21CA"/>
    <w:rsid w:val="009D30B3"/>
    <w:rsid w:val="009D6555"/>
    <w:rsid w:val="009D6A6A"/>
    <w:rsid w:val="009E0723"/>
    <w:rsid w:val="009E2BAD"/>
    <w:rsid w:val="009E6F13"/>
    <w:rsid w:val="009F5AE4"/>
    <w:rsid w:val="009F5EEC"/>
    <w:rsid w:val="00A0175A"/>
    <w:rsid w:val="00A034E5"/>
    <w:rsid w:val="00A15728"/>
    <w:rsid w:val="00A225DE"/>
    <w:rsid w:val="00A3082E"/>
    <w:rsid w:val="00A31363"/>
    <w:rsid w:val="00A33A78"/>
    <w:rsid w:val="00A37E55"/>
    <w:rsid w:val="00A6397B"/>
    <w:rsid w:val="00A65CDA"/>
    <w:rsid w:val="00A672DD"/>
    <w:rsid w:val="00A74946"/>
    <w:rsid w:val="00A75287"/>
    <w:rsid w:val="00A800CB"/>
    <w:rsid w:val="00A81331"/>
    <w:rsid w:val="00AA1BC7"/>
    <w:rsid w:val="00AA352C"/>
    <w:rsid w:val="00AB6150"/>
    <w:rsid w:val="00AC4F23"/>
    <w:rsid w:val="00AD0E97"/>
    <w:rsid w:val="00AE485E"/>
    <w:rsid w:val="00AE60EF"/>
    <w:rsid w:val="00AE7867"/>
    <w:rsid w:val="00AF0074"/>
    <w:rsid w:val="00AF11A2"/>
    <w:rsid w:val="00AF2446"/>
    <w:rsid w:val="00AF322D"/>
    <w:rsid w:val="00AF6BF6"/>
    <w:rsid w:val="00B11698"/>
    <w:rsid w:val="00B166DD"/>
    <w:rsid w:val="00B2016D"/>
    <w:rsid w:val="00B22ABB"/>
    <w:rsid w:val="00B305A3"/>
    <w:rsid w:val="00B30B8B"/>
    <w:rsid w:val="00B3384E"/>
    <w:rsid w:val="00B37117"/>
    <w:rsid w:val="00B374BE"/>
    <w:rsid w:val="00B42213"/>
    <w:rsid w:val="00B46F2D"/>
    <w:rsid w:val="00B55538"/>
    <w:rsid w:val="00B55AB0"/>
    <w:rsid w:val="00B60408"/>
    <w:rsid w:val="00B7145E"/>
    <w:rsid w:val="00B75A42"/>
    <w:rsid w:val="00B97667"/>
    <w:rsid w:val="00BA2C9A"/>
    <w:rsid w:val="00BA34B1"/>
    <w:rsid w:val="00BA4EEF"/>
    <w:rsid w:val="00BB6218"/>
    <w:rsid w:val="00BB6768"/>
    <w:rsid w:val="00BB67CE"/>
    <w:rsid w:val="00BC4AE2"/>
    <w:rsid w:val="00BC4E4D"/>
    <w:rsid w:val="00BD640A"/>
    <w:rsid w:val="00BD73CF"/>
    <w:rsid w:val="00BE1DBC"/>
    <w:rsid w:val="00BE2282"/>
    <w:rsid w:val="00BE2E9A"/>
    <w:rsid w:val="00BE48B0"/>
    <w:rsid w:val="00BE74EA"/>
    <w:rsid w:val="00BF79FD"/>
    <w:rsid w:val="00C011AD"/>
    <w:rsid w:val="00C03FB8"/>
    <w:rsid w:val="00C042EB"/>
    <w:rsid w:val="00C21EDF"/>
    <w:rsid w:val="00C250B9"/>
    <w:rsid w:val="00C25860"/>
    <w:rsid w:val="00C27B3F"/>
    <w:rsid w:val="00C41504"/>
    <w:rsid w:val="00C41CFF"/>
    <w:rsid w:val="00C41D78"/>
    <w:rsid w:val="00C42EDA"/>
    <w:rsid w:val="00C47BD3"/>
    <w:rsid w:val="00C47C81"/>
    <w:rsid w:val="00C50035"/>
    <w:rsid w:val="00C53290"/>
    <w:rsid w:val="00C622FB"/>
    <w:rsid w:val="00C74992"/>
    <w:rsid w:val="00C75AA6"/>
    <w:rsid w:val="00C779D3"/>
    <w:rsid w:val="00C83516"/>
    <w:rsid w:val="00C856BF"/>
    <w:rsid w:val="00C85ED6"/>
    <w:rsid w:val="00C9101F"/>
    <w:rsid w:val="00C91485"/>
    <w:rsid w:val="00C96434"/>
    <w:rsid w:val="00CA088C"/>
    <w:rsid w:val="00CA0DD1"/>
    <w:rsid w:val="00CA49A3"/>
    <w:rsid w:val="00CA55DA"/>
    <w:rsid w:val="00CA791C"/>
    <w:rsid w:val="00CB22E8"/>
    <w:rsid w:val="00CB2C1D"/>
    <w:rsid w:val="00CB6380"/>
    <w:rsid w:val="00CD449C"/>
    <w:rsid w:val="00CD49EA"/>
    <w:rsid w:val="00CD5FC6"/>
    <w:rsid w:val="00CD65B1"/>
    <w:rsid w:val="00CF0531"/>
    <w:rsid w:val="00CF0A13"/>
    <w:rsid w:val="00CF4327"/>
    <w:rsid w:val="00CF4FBB"/>
    <w:rsid w:val="00D03F33"/>
    <w:rsid w:val="00D076FF"/>
    <w:rsid w:val="00D10656"/>
    <w:rsid w:val="00D1180F"/>
    <w:rsid w:val="00D13E86"/>
    <w:rsid w:val="00D14483"/>
    <w:rsid w:val="00D14887"/>
    <w:rsid w:val="00D16106"/>
    <w:rsid w:val="00D17D50"/>
    <w:rsid w:val="00D330F4"/>
    <w:rsid w:val="00D5063D"/>
    <w:rsid w:val="00D52554"/>
    <w:rsid w:val="00D53D0C"/>
    <w:rsid w:val="00D6516C"/>
    <w:rsid w:val="00D6521D"/>
    <w:rsid w:val="00D905B2"/>
    <w:rsid w:val="00DA0974"/>
    <w:rsid w:val="00DA16EA"/>
    <w:rsid w:val="00DA16EB"/>
    <w:rsid w:val="00DA1743"/>
    <w:rsid w:val="00DB57AB"/>
    <w:rsid w:val="00DB6DB8"/>
    <w:rsid w:val="00DC0D64"/>
    <w:rsid w:val="00DC17DE"/>
    <w:rsid w:val="00DC662C"/>
    <w:rsid w:val="00DD0EE0"/>
    <w:rsid w:val="00DD5B6E"/>
    <w:rsid w:val="00DD7C1A"/>
    <w:rsid w:val="00DE2041"/>
    <w:rsid w:val="00DE7E4B"/>
    <w:rsid w:val="00DF247B"/>
    <w:rsid w:val="00DF3BAF"/>
    <w:rsid w:val="00DF5825"/>
    <w:rsid w:val="00E0210D"/>
    <w:rsid w:val="00E022C7"/>
    <w:rsid w:val="00E07C72"/>
    <w:rsid w:val="00E110CC"/>
    <w:rsid w:val="00E14BF5"/>
    <w:rsid w:val="00E17B67"/>
    <w:rsid w:val="00E232F3"/>
    <w:rsid w:val="00E25997"/>
    <w:rsid w:val="00E25CD2"/>
    <w:rsid w:val="00E27DCC"/>
    <w:rsid w:val="00E32821"/>
    <w:rsid w:val="00E36F3F"/>
    <w:rsid w:val="00E37A93"/>
    <w:rsid w:val="00E41BEC"/>
    <w:rsid w:val="00E42067"/>
    <w:rsid w:val="00E60EA6"/>
    <w:rsid w:val="00E61D1E"/>
    <w:rsid w:val="00E7000E"/>
    <w:rsid w:val="00E721CC"/>
    <w:rsid w:val="00E743D4"/>
    <w:rsid w:val="00E902A4"/>
    <w:rsid w:val="00E92BC0"/>
    <w:rsid w:val="00E9792F"/>
    <w:rsid w:val="00EA2FA5"/>
    <w:rsid w:val="00EA451D"/>
    <w:rsid w:val="00EA674C"/>
    <w:rsid w:val="00EB15CC"/>
    <w:rsid w:val="00EC4C9F"/>
    <w:rsid w:val="00ED10F6"/>
    <w:rsid w:val="00EE3E1C"/>
    <w:rsid w:val="00EE539E"/>
    <w:rsid w:val="00EF143C"/>
    <w:rsid w:val="00F02B5D"/>
    <w:rsid w:val="00F04606"/>
    <w:rsid w:val="00F061F5"/>
    <w:rsid w:val="00F10A28"/>
    <w:rsid w:val="00F11B47"/>
    <w:rsid w:val="00F14EA8"/>
    <w:rsid w:val="00F15DEA"/>
    <w:rsid w:val="00F23A51"/>
    <w:rsid w:val="00F243D3"/>
    <w:rsid w:val="00F450DD"/>
    <w:rsid w:val="00F4535F"/>
    <w:rsid w:val="00F4760C"/>
    <w:rsid w:val="00F530B8"/>
    <w:rsid w:val="00F53CEB"/>
    <w:rsid w:val="00F63382"/>
    <w:rsid w:val="00F63530"/>
    <w:rsid w:val="00F65E62"/>
    <w:rsid w:val="00F7165E"/>
    <w:rsid w:val="00F71FE0"/>
    <w:rsid w:val="00F75C02"/>
    <w:rsid w:val="00F76137"/>
    <w:rsid w:val="00F81458"/>
    <w:rsid w:val="00F81CC6"/>
    <w:rsid w:val="00F830A9"/>
    <w:rsid w:val="00F83177"/>
    <w:rsid w:val="00F846B6"/>
    <w:rsid w:val="00F97358"/>
    <w:rsid w:val="00FA24A5"/>
    <w:rsid w:val="00FA5E34"/>
    <w:rsid w:val="00FB1F9D"/>
    <w:rsid w:val="00FB4175"/>
    <w:rsid w:val="00FB7931"/>
    <w:rsid w:val="00FC016F"/>
    <w:rsid w:val="00FC2331"/>
    <w:rsid w:val="00FC46E0"/>
    <w:rsid w:val="00FC4DE5"/>
    <w:rsid w:val="00FD66AB"/>
    <w:rsid w:val="00FE547E"/>
    <w:rsid w:val="00FE59C8"/>
    <w:rsid w:val="00FF27DF"/>
    <w:rsid w:val="00FF76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A306"/>
  <w15:docId w15:val="{40089C55-4F0B-4E21-8C58-15700424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74C"/>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D49EA"/>
    <w:pPr>
      <w:keepNext/>
      <w:numPr>
        <w:numId w:val="7"/>
      </w:numPr>
      <w:tabs>
        <w:tab w:val="num" w:pos="360"/>
      </w:tabs>
      <w:autoSpaceDE w:val="0"/>
      <w:autoSpaceDN w:val="0"/>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D49EA"/>
    <w:pPr>
      <w:keepNext/>
      <w:numPr>
        <w:ilvl w:val="1"/>
        <w:numId w:val="7"/>
      </w:numPr>
      <w:tabs>
        <w:tab w:val="clear" w:pos="0"/>
        <w:tab w:val="num" w:pos="360"/>
      </w:tabs>
      <w:autoSpaceDE w:val="0"/>
      <w:autoSpaceDN w:val="0"/>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D49EA"/>
    <w:pPr>
      <w:keepNext/>
      <w:numPr>
        <w:ilvl w:val="2"/>
        <w:numId w:val="7"/>
      </w:numPr>
      <w:tabs>
        <w:tab w:val="clear" w:pos="0"/>
        <w:tab w:val="num" w:pos="360"/>
      </w:tabs>
      <w:autoSpaceDE w:val="0"/>
      <w:autoSpaceDN w:val="0"/>
      <w:spacing w:after="60" w:line="320" w:lineRule="atLeast"/>
      <w:outlineLvl w:val="2"/>
    </w:pPr>
    <w:rPr>
      <w:sz w:val="22"/>
      <w:szCs w:val="22"/>
      <w:lang w:eastAsia="en-US"/>
    </w:rPr>
  </w:style>
  <w:style w:type="paragraph" w:styleId="Overskrift4">
    <w:name w:val="heading 4"/>
    <w:basedOn w:val="Normal"/>
    <w:next w:val="Normal"/>
    <w:link w:val="Overskrift4Tegn"/>
    <w:qFormat/>
    <w:rsid w:val="00CD49EA"/>
    <w:pPr>
      <w:keepNext/>
      <w:numPr>
        <w:ilvl w:val="3"/>
        <w:numId w:val="7"/>
      </w:numPr>
      <w:tabs>
        <w:tab w:val="clear" w:pos="0"/>
        <w:tab w:val="num" w:pos="360"/>
      </w:tabs>
      <w:autoSpaceDE w:val="0"/>
      <w:autoSpaceDN w:val="0"/>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D49EA"/>
    <w:pPr>
      <w:keepNext/>
      <w:numPr>
        <w:ilvl w:val="4"/>
        <w:numId w:val="7"/>
      </w:numPr>
      <w:tabs>
        <w:tab w:val="clear" w:pos="709"/>
        <w:tab w:val="num" w:pos="851"/>
        <w:tab w:val="left" w:pos="1701"/>
        <w:tab w:val="left" w:pos="2552"/>
        <w:tab w:val="left" w:pos="3402"/>
        <w:tab w:val="left" w:pos="4253"/>
        <w:tab w:val="left" w:pos="5103"/>
        <w:tab w:val="left" w:pos="5954"/>
      </w:tabs>
      <w:spacing w:line="320" w:lineRule="atLeast"/>
      <w:ind w:left="851" w:hanging="851"/>
      <w:outlineLvl w:val="4"/>
    </w:pPr>
    <w:rPr>
      <w:b/>
      <w:sz w:val="22"/>
      <w:szCs w:val="22"/>
    </w:rPr>
  </w:style>
  <w:style w:type="paragraph" w:styleId="Overskrift6">
    <w:name w:val="heading 6"/>
    <w:basedOn w:val="Normal"/>
    <w:next w:val="Normal"/>
    <w:link w:val="Overskrift6Tegn"/>
    <w:qFormat/>
    <w:rsid w:val="00CD49EA"/>
    <w:pPr>
      <w:numPr>
        <w:ilvl w:val="5"/>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5"/>
    </w:pPr>
    <w:rPr>
      <w:sz w:val="22"/>
      <w:szCs w:val="22"/>
    </w:rPr>
  </w:style>
  <w:style w:type="paragraph" w:styleId="Overskrift7">
    <w:name w:val="heading 7"/>
    <w:basedOn w:val="Normal"/>
    <w:next w:val="Normal"/>
    <w:link w:val="Overskrift7Tegn"/>
    <w:qFormat/>
    <w:rsid w:val="00CD49EA"/>
    <w:pPr>
      <w:numPr>
        <w:ilvl w:val="6"/>
        <w:numId w:val="7"/>
      </w:numPr>
      <w:tabs>
        <w:tab w:val="left" w:pos="851"/>
        <w:tab w:val="left" w:pos="1701"/>
        <w:tab w:val="left" w:pos="2552"/>
        <w:tab w:val="left" w:pos="3402"/>
        <w:tab w:val="left" w:pos="4253"/>
        <w:tab w:val="left" w:pos="5103"/>
        <w:tab w:val="left" w:pos="5954"/>
      </w:tabs>
      <w:spacing w:line="320" w:lineRule="atLeast"/>
      <w:outlineLvl w:val="6"/>
    </w:pPr>
    <w:rPr>
      <w:sz w:val="22"/>
      <w:szCs w:val="22"/>
    </w:rPr>
  </w:style>
  <w:style w:type="paragraph" w:styleId="Overskrift8">
    <w:name w:val="heading 8"/>
    <w:basedOn w:val="Normal"/>
    <w:next w:val="Normal"/>
    <w:link w:val="Overskrift8Tegn"/>
    <w:qFormat/>
    <w:rsid w:val="00CD49EA"/>
    <w:pPr>
      <w:numPr>
        <w:ilvl w:val="7"/>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7"/>
    </w:pPr>
    <w:rPr>
      <w:sz w:val="22"/>
      <w:szCs w:val="22"/>
    </w:rPr>
  </w:style>
  <w:style w:type="paragraph" w:styleId="Overskrift9">
    <w:name w:val="heading 9"/>
    <w:basedOn w:val="Normal"/>
    <w:next w:val="Normal"/>
    <w:link w:val="Overskrift9Tegn"/>
    <w:qFormat/>
    <w:rsid w:val="00CD49EA"/>
    <w:pPr>
      <w:numPr>
        <w:ilvl w:val="8"/>
        <w:numId w:val="7"/>
      </w:numPr>
      <w:tabs>
        <w:tab w:val="clear" w:pos="0"/>
        <w:tab w:val="left" w:pos="851"/>
        <w:tab w:val="left" w:pos="1701"/>
        <w:tab w:val="left" w:pos="2552"/>
        <w:tab w:val="left" w:pos="3402"/>
        <w:tab w:val="left" w:pos="4253"/>
        <w:tab w:val="left" w:pos="5103"/>
        <w:tab w:val="left" w:pos="5954"/>
      </w:tabs>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EA674C"/>
    <w:pPr>
      <w:tabs>
        <w:tab w:val="center" w:pos="4819"/>
        <w:tab w:val="right" w:pos="9638"/>
      </w:tabs>
    </w:pPr>
  </w:style>
  <w:style w:type="character" w:customStyle="1" w:styleId="SidefodTegn">
    <w:name w:val="Sidefod Tegn"/>
    <w:basedOn w:val="Standardskrifttypeiafsnit"/>
    <w:link w:val="Sidefod"/>
    <w:rsid w:val="00EA674C"/>
    <w:rPr>
      <w:rFonts w:ascii="Times New Roman" w:eastAsia="Times New Roman" w:hAnsi="Times New Roman" w:cs="Times New Roman"/>
      <w:sz w:val="24"/>
      <w:szCs w:val="24"/>
      <w:lang w:eastAsia="da-DK"/>
    </w:rPr>
  </w:style>
  <w:style w:type="character" w:styleId="Sidetal">
    <w:name w:val="page number"/>
    <w:basedOn w:val="Standardskrifttypeiafsnit"/>
    <w:rsid w:val="00EA674C"/>
  </w:style>
  <w:style w:type="paragraph" w:styleId="Sidehoved">
    <w:name w:val="header"/>
    <w:basedOn w:val="Normal"/>
    <w:link w:val="SidehovedTegn"/>
    <w:rsid w:val="00EA674C"/>
    <w:pPr>
      <w:tabs>
        <w:tab w:val="center" w:pos="4819"/>
        <w:tab w:val="right" w:pos="9638"/>
      </w:tabs>
    </w:pPr>
  </w:style>
  <w:style w:type="character" w:customStyle="1" w:styleId="SidehovedTegn">
    <w:name w:val="Sidehoved Tegn"/>
    <w:basedOn w:val="Standardskrifttypeiafsnit"/>
    <w:link w:val="Sidehoved"/>
    <w:rsid w:val="00EA674C"/>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07116F"/>
    <w:rPr>
      <w:color w:val="808080"/>
    </w:rPr>
  </w:style>
  <w:style w:type="paragraph" w:styleId="Markeringsbobletekst">
    <w:name w:val="Balloon Text"/>
    <w:basedOn w:val="Normal"/>
    <w:link w:val="MarkeringsbobletekstTegn"/>
    <w:uiPriority w:val="99"/>
    <w:semiHidden/>
    <w:unhideWhenUsed/>
    <w:rsid w:val="0007116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16F"/>
    <w:rPr>
      <w:rFonts w:ascii="Tahoma" w:eastAsia="Times New Roman" w:hAnsi="Tahoma" w:cs="Tahoma"/>
      <w:sz w:val="16"/>
      <w:szCs w:val="16"/>
      <w:lang w:eastAsia="da-DK"/>
    </w:rPr>
  </w:style>
  <w:style w:type="paragraph" w:styleId="Listeafsnit">
    <w:name w:val="List Paragraph"/>
    <w:basedOn w:val="Normal"/>
    <w:link w:val="ListeafsnitTegn"/>
    <w:uiPriority w:val="34"/>
    <w:qFormat/>
    <w:rsid w:val="003B2B1C"/>
    <w:pPr>
      <w:ind w:left="720"/>
      <w:contextualSpacing/>
    </w:pPr>
  </w:style>
  <w:style w:type="character" w:styleId="Kommentarhenvisning">
    <w:name w:val="annotation reference"/>
    <w:uiPriority w:val="99"/>
    <w:semiHidden/>
    <w:unhideWhenUsed/>
    <w:rsid w:val="00900418"/>
    <w:rPr>
      <w:sz w:val="16"/>
      <w:szCs w:val="16"/>
    </w:rPr>
  </w:style>
  <w:style w:type="paragraph" w:styleId="Kommentartekst">
    <w:name w:val="annotation text"/>
    <w:basedOn w:val="Normal"/>
    <w:link w:val="KommentartekstTegn"/>
    <w:uiPriority w:val="99"/>
    <w:semiHidden/>
    <w:unhideWhenUsed/>
    <w:rsid w:val="00900418"/>
    <w:rPr>
      <w:sz w:val="20"/>
      <w:szCs w:val="20"/>
    </w:rPr>
  </w:style>
  <w:style w:type="character" w:customStyle="1" w:styleId="KommentartekstTegn">
    <w:name w:val="Kommentartekst Tegn"/>
    <w:basedOn w:val="Standardskrifttypeiafsnit"/>
    <w:link w:val="Kommentartekst"/>
    <w:uiPriority w:val="99"/>
    <w:semiHidden/>
    <w:rsid w:val="00900418"/>
    <w:rPr>
      <w:rFonts w:ascii="Times New Roman" w:eastAsia="Times New Roman" w:hAnsi="Times New Roman" w:cs="Times New Roman"/>
      <w:sz w:val="20"/>
      <w:szCs w:val="20"/>
      <w:lang w:eastAsia="da-DK"/>
    </w:rPr>
  </w:style>
  <w:style w:type="character" w:styleId="Hyperlink">
    <w:name w:val="Hyperlink"/>
    <w:rsid w:val="00900418"/>
    <w:rPr>
      <w:color w:val="0000FF"/>
      <w:u w:val="single"/>
    </w:rPr>
  </w:style>
  <w:style w:type="paragraph" w:customStyle="1" w:styleId="Default">
    <w:name w:val="Default"/>
    <w:rsid w:val="00F11B4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12264B"/>
    <w:pPr>
      <w:spacing w:before="100" w:beforeAutospacing="1" w:after="100" w:afterAutospacing="1"/>
    </w:pPr>
    <w:rPr>
      <w:color w:val="000000"/>
    </w:rPr>
  </w:style>
  <w:style w:type="character" w:styleId="Strk">
    <w:name w:val="Strong"/>
    <w:basedOn w:val="Standardskrifttypeiafsnit"/>
    <w:qFormat/>
    <w:rsid w:val="0012264B"/>
    <w:rPr>
      <w:b/>
      <w:bCs/>
    </w:rPr>
  </w:style>
  <w:style w:type="character" w:customStyle="1" w:styleId="Overskrift1Tegn">
    <w:name w:val="Overskrift 1 Tegn"/>
    <w:basedOn w:val="Standardskrifttypeiafsnit"/>
    <w:link w:val="Overskrift1"/>
    <w:rsid w:val="00CD49EA"/>
    <w:rPr>
      <w:rFonts w:ascii="Times New Roman" w:eastAsia="Times New Roman" w:hAnsi="Times New Roman" w:cs="Times New Roman"/>
      <w:b/>
      <w:bCs/>
      <w:kern w:val="28"/>
      <w:sz w:val="28"/>
      <w:szCs w:val="28"/>
    </w:rPr>
  </w:style>
  <w:style w:type="character" w:customStyle="1" w:styleId="Overskrift2Tegn">
    <w:name w:val="Overskrift 2 Tegn"/>
    <w:basedOn w:val="Standardskrifttypeiafsnit"/>
    <w:link w:val="Overskrift2"/>
    <w:rsid w:val="00CD49EA"/>
    <w:rPr>
      <w:rFonts w:ascii="Times New Roman" w:eastAsia="Times New Roman" w:hAnsi="Times New Roman" w:cs="Times New Roman"/>
      <w:b/>
      <w:bCs/>
      <w:i/>
      <w:iCs/>
    </w:rPr>
  </w:style>
  <w:style w:type="character" w:customStyle="1" w:styleId="Overskrift3Tegn">
    <w:name w:val="Overskrift 3 Tegn"/>
    <w:basedOn w:val="Standardskrifttypeiafsnit"/>
    <w:link w:val="Overskrift3"/>
    <w:rsid w:val="00CD49EA"/>
    <w:rPr>
      <w:rFonts w:ascii="Times New Roman" w:eastAsia="Times New Roman" w:hAnsi="Times New Roman" w:cs="Times New Roman"/>
    </w:rPr>
  </w:style>
  <w:style w:type="character" w:customStyle="1" w:styleId="Overskrift4Tegn">
    <w:name w:val="Overskrift 4 Tegn"/>
    <w:basedOn w:val="Standardskrifttypeiafsnit"/>
    <w:link w:val="Overskrift4"/>
    <w:rsid w:val="00CD49EA"/>
    <w:rPr>
      <w:rFonts w:ascii="Times New Roman" w:eastAsia="Times New Roman" w:hAnsi="Times New Roman" w:cs="Times New Roman"/>
      <w:b/>
      <w:bCs/>
    </w:rPr>
  </w:style>
  <w:style w:type="character" w:customStyle="1" w:styleId="Overskrift5Tegn">
    <w:name w:val="Overskrift 5 Tegn"/>
    <w:basedOn w:val="Standardskrifttypeiafsnit"/>
    <w:link w:val="Overskrift5"/>
    <w:rsid w:val="00CD49EA"/>
    <w:rPr>
      <w:rFonts w:ascii="Times New Roman" w:eastAsia="Times New Roman" w:hAnsi="Times New Roman" w:cs="Times New Roman"/>
      <w:b/>
      <w:lang w:eastAsia="da-DK"/>
    </w:rPr>
  </w:style>
  <w:style w:type="character" w:customStyle="1" w:styleId="Overskrift6Tegn">
    <w:name w:val="Overskrift 6 Tegn"/>
    <w:basedOn w:val="Standardskrifttypeiafsnit"/>
    <w:link w:val="Overskrift6"/>
    <w:rsid w:val="00CD49EA"/>
    <w:rPr>
      <w:rFonts w:ascii="Times New Roman" w:eastAsia="Times New Roman" w:hAnsi="Times New Roman" w:cs="Times New Roman"/>
      <w:lang w:eastAsia="da-DK"/>
    </w:rPr>
  </w:style>
  <w:style w:type="character" w:customStyle="1" w:styleId="Overskrift7Tegn">
    <w:name w:val="Overskrift 7 Tegn"/>
    <w:basedOn w:val="Standardskrifttypeiafsnit"/>
    <w:link w:val="Overskrift7"/>
    <w:rsid w:val="00CD49EA"/>
    <w:rPr>
      <w:rFonts w:ascii="Times New Roman" w:eastAsia="Times New Roman" w:hAnsi="Times New Roman" w:cs="Times New Roman"/>
      <w:lang w:eastAsia="da-DK"/>
    </w:rPr>
  </w:style>
  <w:style w:type="character" w:customStyle="1" w:styleId="Overskrift8Tegn">
    <w:name w:val="Overskrift 8 Tegn"/>
    <w:basedOn w:val="Standardskrifttypeiafsnit"/>
    <w:link w:val="Overskrift8"/>
    <w:rsid w:val="00CD49EA"/>
    <w:rPr>
      <w:rFonts w:ascii="Times New Roman" w:eastAsia="Times New Roman" w:hAnsi="Times New Roman" w:cs="Times New Roman"/>
      <w:lang w:eastAsia="da-DK"/>
    </w:rPr>
  </w:style>
  <w:style w:type="character" w:customStyle="1" w:styleId="Overskrift9Tegn">
    <w:name w:val="Overskrift 9 Tegn"/>
    <w:basedOn w:val="Standardskrifttypeiafsnit"/>
    <w:link w:val="Overskrift9"/>
    <w:rsid w:val="00CD49EA"/>
    <w:rPr>
      <w:rFonts w:ascii="Times New Roman" w:eastAsia="Times New Roman" w:hAnsi="Times New Roman" w:cs="Times New Roman"/>
      <w:lang w:eastAsia="da-DK"/>
    </w:rPr>
  </w:style>
  <w:style w:type="paragraph" w:styleId="Kommentaremne">
    <w:name w:val="annotation subject"/>
    <w:basedOn w:val="Kommentartekst"/>
    <w:next w:val="Kommentartekst"/>
    <w:link w:val="KommentaremneTegn"/>
    <w:uiPriority w:val="99"/>
    <w:semiHidden/>
    <w:unhideWhenUsed/>
    <w:rsid w:val="005644C4"/>
    <w:rPr>
      <w:b/>
      <w:bCs/>
    </w:rPr>
  </w:style>
  <w:style w:type="character" w:customStyle="1" w:styleId="KommentaremneTegn">
    <w:name w:val="Kommentaremne Tegn"/>
    <w:basedOn w:val="KommentartekstTegn"/>
    <w:link w:val="Kommentaremne"/>
    <w:uiPriority w:val="99"/>
    <w:semiHidden/>
    <w:rsid w:val="005644C4"/>
    <w:rPr>
      <w:rFonts w:ascii="Times New Roman" w:eastAsia="Times New Roman" w:hAnsi="Times New Roman" w:cs="Times New Roman"/>
      <w:b/>
      <w:bCs/>
      <w:sz w:val="20"/>
      <w:szCs w:val="20"/>
      <w:lang w:eastAsia="da-DK"/>
    </w:rPr>
  </w:style>
  <w:style w:type="paragraph" w:styleId="Korrektur">
    <w:name w:val="Revision"/>
    <w:hidden/>
    <w:uiPriority w:val="99"/>
    <w:semiHidden/>
    <w:rsid w:val="0031066B"/>
    <w:pPr>
      <w:spacing w:after="0"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6E4F32"/>
    <w:rPr>
      <w:sz w:val="20"/>
      <w:szCs w:val="20"/>
    </w:rPr>
  </w:style>
  <w:style w:type="character" w:customStyle="1" w:styleId="FodnotetekstTegn">
    <w:name w:val="Fodnotetekst Tegn"/>
    <w:basedOn w:val="Standardskrifttypeiafsnit"/>
    <w:link w:val="Fodnotetekst"/>
    <w:uiPriority w:val="99"/>
    <w:semiHidden/>
    <w:rsid w:val="006E4F32"/>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6E4F32"/>
    <w:rPr>
      <w:vertAlign w:val="superscript"/>
    </w:rPr>
  </w:style>
  <w:style w:type="character" w:customStyle="1" w:styleId="ListeafsnitTegn">
    <w:name w:val="Listeafsnit Tegn"/>
    <w:basedOn w:val="Standardskrifttypeiafsnit"/>
    <w:link w:val="Listeafsnit"/>
    <w:uiPriority w:val="34"/>
    <w:locked/>
    <w:rsid w:val="000412A1"/>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6A38C4"/>
    <w:rPr>
      <w:color w:val="605E5C"/>
      <w:shd w:val="clear" w:color="auto" w:fill="E1DFDD"/>
    </w:rPr>
  </w:style>
  <w:style w:type="table" w:styleId="Tabel-Gitter">
    <w:name w:val="Table Grid"/>
    <w:basedOn w:val="Tabel-Normal"/>
    <w:uiPriority w:val="59"/>
    <w:rsid w:val="0018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tabel1-lys1">
    <w:name w:val="Gittertabel 1 - lys1"/>
    <w:basedOn w:val="Tabel-Normal"/>
    <w:uiPriority w:val="46"/>
    <w:rsid w:val="005C01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2119">
      <w:bodyDiv w:val="1"/>
      <w:marLeft w:val="0"/>
      <w:marRight w:val="0"/>
      <w:marTop w:val="0"/>
      <w:marBottom w:val="0"/>
      <w:divBdr>
        <w:top w:val="none" w:sz="0" w:space="0" w:color="auto"/>
        <w:left w:val="none" w:sz="0" w:space="0" w:color="auto"/>
        <w:bottom w:val="none" w:sz="0" w:space="0" w:color="auto"/>
        <w:right w:val="none" w:sz="0" w:space="0" w:color="auto"/>
      </w:divBdr>
    </w:div>
    <w:div w:id="1084180380">
      <w:bodyDiv w:val="1"/>
      <w:marLeft w:val="0"/>
      <w:marRight w:val="0"/>
      <w:marTop w:val="0"/>
      <w:marBottom w:val="0"/>
      <w:divBdr>
        <w:top w:val="none" w:sz="0" w:space="0" w:color="auto"/>
        <w:left w:val="none" w:sz="0" w:space="0" w:color="auto"/>
        <w:bottom w:val="none" w:sz="0" w:space="0" w:color="auto"/>
        <w:right w:val="none" w:sz="0" w:space="0" w:color="auto"/>
      </w:divBdr>
    </w:div>
    <w:div w:id="1874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AppData\Local\cBrain\F2\.tmp\70781bdf728b4ced9c32b8ceb217d1f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Root xmlns="Captia">
  <record>
    <Content id="letter_date">
      <Value>2014-01-01T00:00:00</Value>
    </Content>
    <officer/>
  </record>
  <case>
    <Content id="file_no">
      <Value>2013-091918</Value>
    </Content>
    <officer/>
  </case>
  <address/>
</Root>
</file>

<file path=customXml/itemProps1.xml><?xml version="1.0" encoding="utf-8"?>
<ds:datastoreItem xmlns:ds="http://schemas.openxmlformats.org/officeDocument/2006/customXml" ds:itemID="{998FA96C-14EE-4D58-B274-E90C6C0923B6}">
  <ds:schemaRefs>
    <ds:schemaRef ds:uri="http://schemas.openxmlformats.org/officeDocument/2006/bibliography"/>
  </ds:schemaRefs>
</ds:datastoreItem>
</file>

<file path=customXml/itemProps2.xml><?xml version="1.0" encoding="utf-8"?>
<ds:datastoreItem xmlns:ds="http://schemas.openxmlformats.org/officeDocument/2006/customXml" ds:itemID="{57D813B3-17C0-45DD-AA8D-5F74A8DB2856}">
  <ds:schemaRefs>
    <ds:schemaRef ds:uri="Captia"/>
  </ds:schemaRefs>
</ds:datastoreItem>
</file>

<file path=docProps/app.xml><?xml version="1.0" encoding="utf-8"?>
<Properties xmlns="http://schemas.openxmlformats.org/officeDocument/2006/extended-properties" xmlns:vt="http://schemas.openxmlformats.org/officeDocument/2006/docPropsVTypes">
  <Template>70781bdf728b4ced9c32b8ceb217d1f5</Template>
  <TotalTime>457</TotalTime>
  <Pages>4</Pages>
  <Words>1159</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Forfatter</dc:creator>
  <cp:lastModifiedBy>Jens Hesseldahl</cp:lastModifiedBy>
  <cp:revision>39</cp:revision>
  <cp:lastPrinted>2022-03-24T13:56:00Z</cp:lastPrinted>
  <dcterms:created xsi:type="dcterms:W3CDTF">2022-03-23T13:00:00Z</dcterms:created>
  <dcterms:modified xsi:type="dcterms:W3CDTF">2022-07-18T16:01:00Z</dcterms:modified>
</cp:coreProperties>
</file>