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3C875" w14:textId="75AE216B" w:rsidR="00D02D6D" w:rsidRPr="00952E7F" w:rsidRDefault="00D02D6D" w:rsidP="0018149C">
      <w:pPr>
        <w:spacing w:after="0"/>
        <w:rPr>
          <w:rFonts w:cs="Times New Roman"/>
          <w:szCs w:val="24"/>
        </w:rPr>
      </w:pPr>
    </w:p>
    <w:p w14:paraId="504816CE" w14:textId="38676F49" w:rsidR="0014150A" w:rsidRDefault="0014150A" w:rsidP="0018149C">
      <w:pPr>
        <w:spacing w:after="0"/>
        <w:jc w:val="center"/>
        <w:rPr>
          <w:rFonts w:cs="Times New Roman"/>
          <w:szCs w:val="24"/>
        </w:rPr>
      </w:pPr>
      <w:r w:rsidRPr="00952E7F">
        <w:rPr>
          <w:rFonts w:cs="Times New Roman"/>
          <w:szCs w:val="24"/>
        </w:rPr>
        <w:t>Bemærkninger til forslaget</w:t>
      </w:r>
    </w:p>
    <w:p w14:paraId="73250288" w14:textId="77777777" w:rsidR="00DE661A" w:rsidRPr="00952E7F" w:rsidRDefault="00DE661A" w:rsidP="0018149C">
      <w:pPr>
        <w:spacing w:after="0"/>
        <w:jc w:val="center"/>
        <w:rPr>
          <w:rFonts w:cs="Times New Roman"/>
          <w:szCs w:val="24"/>
        </w:rPr>
      </w:pPr>
    </w:p>
    <w:p w14:paraId="43C52B6C" w14:textId="0873747A" w:rsidR="00C02230" w:rsidRPr="00952E7F" w:rsidRDefault="0014150A" w:rsidP="0018149C">
      <w:pPr>
        <w:spacing w:after="0"/>
        <w:jc w:val="center"/>
        <w:rPr>
          <w:rFonts w:cs="Times New Roman"/>
          <w:b/>
          <w:bCs/>
          <w:szCs w:val="24"/>
        </w:rPr>
      </w:pPr>
      <w:r w:rsidRPr="00952E7F">
        <w:rPr>
          <w:rFonts w:cs="Times New Roman"/>
          <w:b/>
          <w:bCs/>
          <w:szCs w:val="24"/>
        </w:rPr>
        <w:t>Almindelige bemærkninger</w:t>
      </w:r>
    </w:p>
    <w:p w14:paraId="53CB29A4" w14:textId="77777777" w:rsidR="00952E7F" w:rsidRPr="00952E7F" w:rsidRDefault="00952E7F" w:rsidP="0018149C">
      <w:pPr>
        <w:spacing w:after="0"/>
        <w:jc w:val="center"/>
        <w:rPr>
          <w:rFonts w:cs="Times New Roman"/>
          <w:b/>
          <w:bCs/>
          <w:szCs w:val="24"/>
        </w:rPr>
      </w:pPr>
    </w:p>
    <w:p w14:paraId="3444FBCF" w14:textId="7FA81725" w:rsidR="00D02D6D" w:rsidRPr="00952E7F" w:rsidRDefault="00540053" w:rsidP="0018149C">
      <w:pPr>
        <w:spacing w:after="0"/>
        <w:rPr>
          <w:rFonts w:cs="Times New Roman"/>
          <w:b/>
          <w:bCs/>
          <w:szCs w:val="24"/>
        </w:rPr>
      </w:pPr>
      <w:r w:rsidRPr="00952E7F">
        <w:rPr>
          <w:rFonts w:cs="Times New Roman"/>
          <w:b/>
          <w:bCs/>
          <w:szCs w:val="24"/>
        </w:rPr>
        <w:t xml:space="preserve">1. </w:t>
      </w:r>
      <w:r w:rsidR="00EA09C0" w:rsidRPr="00952E7F">
        <w:rPr>
          <w:rFonts w:cs="Times New Roman"/>
          <w:b/>
          <w:bCs/>
          <w:szCs w:val="24"/>
        </w:rPr>
        <w:t>Indledning</w:t>
      </w:r>
    </w:p>
    <w:p w14:paraId="537B9BBA" w14:textId="26105E07" w:rsidR="00D77A2D" w:rsidRDefault="0034393B" w:rsidP="00642097">
      <w:pPr>
        <w:spacing w:after="0"/>
        <w:rPr>
          <w:rFonts w:cs="Times New Roman"/>
          <w:szCs w:val="24"/>
        </w:rPr>
      </w:pPr>
      <w:r>
        <w:rPr>
          <w:rFonts w:cs="Times New Roman"/>
          <w:szCs w:val="24"/>
        </w:rPr>
        <w:t xml:space="preserve">Den 23. oktober </w:t>
      </w:r>
      <w:r w:rsidR="00D77A2D">
        <w:rPr>
          <w:rFonts w:cs="Times New Roman"/>
          <w:szCs w:val="24"/>
        </w:rPr>
        <w:t xml:space="preserve">2013 vedtog Inatsisartut ”Forslag til </w:t>
      </w:r>
      <w:proofErr w:type="spellStart"/>
      <w:r w:rsidR="00D77A2D">
        <w:rPr>
          <w:rFonts w:cs="Times New Roman"/>
          <w:szCs w:val="24"/>
        </w:rPr>
        <w:t>Inatsisartutbeslutning</w:t>
      </w:r>
      <w:proofErr w:type="spellEnd"/>
      <w:r w:rsidR="00D77A2D">
        <w:rPr>
          <w:rFonts w:cs="Times New Roman"/>
          <w:szCs w:val="24"/>
        </w:rPr>
        <w:t xml:space="preserve"> om, at Inatsisartut med virkning fra EM13 tiltræder, at ’Nul-tolerancen’ over for brydning af uran og andre radioaktive grundstoffer ophører” (</w:t>
      </w:r>
      <w:r w:rsidR="00D77A2D" w:rsidRPr="00D77A2D">
        <w:rPr>
          <w:rFonts w:cs="Times New Roman"/>
          <w:szCs w:val="24"/>
        </w:rPr>
        <w:t>EM 2013/106</w:t>
      </w:r>
      <w:r w:rsidR="00D77A2D">
        <w:rPr>
          <w:rFonts w:cs="Times New Roman"/>
          <w:szCs w:val="24"/>
        </w:rPr>
        <w:t>). Forslaget blev vedtaget med et meget snævert flertal</w:t>
      </w:r>
      <w:r w:rsidR="00D67417">
        <w:rPr>
          <w:rFonts w:cs="Times New Roman"/>
          <w:szCs w:val="24"/>
        </w:rPr>
        <w:t xml:space="preserve">, og bl.a. Inuit </w:t>
      </w:r>
      <w:proofErr w:type="spellStart"/>
      <w:r w:rsidR="00D67417">
        <w:rPr>
          <w:rFonts w:cs="Times New Roman"/>
          <w:szCs w:val="24"/>
        </w:rPr>
        <w:t>Ataqatigiit</w:t>
      </w:r>
      <w:proofErr w:type="spellEnd"/>
      <w:r w:rsidR="00D67417">
        <w:rPr>
          <w:rFonts w:cs="Times New Roman"/>
          <w:szCs w:val="24"/>
        </w:rPr>
        <w:t xml:space="preserve"> argumenterede i sit ordførerindlæg til førstebehandlingen for, at spørgsmålet burde undergives en folkeafstemning.</w:t>
      </w:r>
    </w:p>
    <w:p w14:paraId="757505DA" w14:textId="4B2CC4CD" w:rsidR="00D77A2D" w:rsidRDefault="00D77A2D" w:rsidP="00642097">
      <w:pPr>
        <w:spacing w:after="0"/>
        <w:rPr>
          <w:rFonts w:cs="Times New Roman"/>
          <w:szCs w:val="24"/>
        </w:rPr>
      </w:pPr>
    </w:p>
    <w:p w14:paraId="0F86BE86" w14:textId="49CE64C9" w:rsidR="00D77A2D" w:rsidRDefault="00D77A2D" w:rsidP="00642097">
      <w:pPr>
        <w:spacing w:after="0"/>
        <w:rPr>
          <w:rFonts w:cs="Times New Roman"/>
          <w:szCs w:val="24"/>
        </w:rPr>
      </w:pPr>
      <w:r>
        <w:rPr>
          <w:rFonts w:cs="Times New Roman"/>
          <w:szCs w:val="24"/>
        </w:rPr>
        <w:t>Med et næsten lige så snævert flertal vedtog Inatsisartut otte år senere ”</w:t>
      </w:r>
      <w:bookmarkStart w:id="0" w:name="_Hlk108174358"/>
      <w:r>
        <w:rPr>
          <w:rFonts w:cs="Times New Roman"/>
          <w:szCs w:val="24"/>
        </w:rPr>
        <w:t xml:space="preserve">Forslag til </w:t>
      </w:r>
      <w:proofErr w:type="spellStart"/>
      <w:r w:rsidRPr="00D77A2D">
        <w:rPr>
          <w:rFonts w:cs="Times New Roman"/>
          <w:szCs w:val="24"/>
        </w:rPr>
        <w:t>Inatsisartutlov</w:t>
      </w:r>
      <w:proofErr w:type="spellEnd"/>
      <w:r w:rsidRPr="00D77A2D">
        <w:rPr>
          <w:rFonts w:cs="Times New Roman"/>
          <w:szCs w:val="24"/>
        </w:rPr>
        <w:t xml:space="preserve"> om forbud mod </w:t>
      </w:r>
      <w:bookmarkStart w:id="1" w:name="_Hlk108175898"/>
      <w:r w:rsidRPr="00D77A2D">
        <w:rPr>
          <w:rFonts w:cs="Times New Roman"/>
          <w:szCs w:val="24"/>
        </w:rPr>
        <w:t>forundersøgelse, efterforskning og udnyttelse af uran mv.</w:t>
      </w:r>
      <w:r>
        <w:rPr>
          <w:rFonts w:cs="Times New Roman"/>
          <w:szCs w:val="24"/>
        </w:rPr>
        <w:t xml:space="preserve">” </w:t>
      </w:r>
      <w:bookmarkEnd w:id="1"/>
      <w:r>
        <w:rPr>
          <w:rFonts w:cs="Times New Roman"/>
          <w:szCs w:val="24"/>
        </w:rPr>
        <w:t>(EM</w:t>
      </w:r>
      <w:r w:rsidR="00F47C48">
        <w:rPr>
          <w:rFonts w:cs="Times New Roman"/>
          <w:szCs w:val="24"/>
        </w:rPr>
        <w:t xml:space="preserve"> </w:t>
      </w:r>
      <w:r>
        <w:rPr>
          <w:rFonts w:cs="Times New Roman"/>
          <w:szCs w:val="24"/>
        </w:rPr>
        <w:t>2021/23).</w:t>
      </w:r>
      <w:bookmarkEnd w:id="0"/>
    </w:p>
    <w:p w14:paraId="30C8208E" w14:textId="77777777" w:rsidR="00952E7F" w:rsidRDefault="00952E7F" w:rsidP="0018149C">
      <w:pPr>
        <w:spacing w:after="0"/>
        <w:rPr>
          <w:rFonts w:cs="Times New Roman"/>
          <w:szCs w:val="24"/>
        </w:rPr>
      </w:pPr>
    </w:p>
    <w:p w14:paraId="6F6AF72C" w14:textId="4927CC0A" w:rsidR="00F24B92" w:rsidRDefault="00F24B92" w:rsidP="0018149C">
      <w:pPr>
        <w:spacing w:after="0"/>
        <w:rPr>
          <w:rFonts w:cs="Times New Roman"/>
          <w:szCs w:val="24"/>
        </w:rPr>
      </w:pPr>
      <w:r>
        <w:rPr>
          <w:rFonts w:cs="Times New Roman"/>
          <w:szCs w:val="24"/>
        </w:rPr>
        <w:t>Til 3.behandlingen</w:t>
      </w:r>
      <w:r w:rsidR="00EB1756" w:rsidRPr="00952E7F">
        <w:rPr>
          <w:rFonts w:cs="Times New Roman"/>
          <w:szCs w:val="24"/>
        </w:rPr>
        <w:t xml:space="preserve"> af lovforslaget, </w:t>
      </w:r>
      <w:r w:rsidR="00377CEB" w:rsidRPr="00952E7F">
        <w:rPr>
          <w:rFonts w:cs="Times New Roman"/>
          <w:szCs w:val="24"/>
        </w:rPr>
        <w:t>afgav</w:t>
      </w:r>
      <w:r w:rsidR="00EB1756" w:rsidRPr="00952E7F">
        <w:rPr>
          <w:rFonts w:cs="Times New Roman"/>
          <w:szCs w:val="24"/>
        </w:rPr>
        <w:t xml:space="preserve"> Erhvervs- og Råstof</w:t>
      </w:r>
      <w:r w:rsidR="00377CEB" w:rsidRPr="00952E7F">
        <w:rPr>
          <w:rFonts w:cs="Times New Roman"/>
          <w:szCs w:val="24"/>
        </w:rPr>
        <w:t>udvalget tillægsbetænkning</w:t>
      </w:r>
      <w:r w:rsidR="002A1C0D" w:rsidRPr="00952E7F">
        <w:rPr>
          <w:rFonts w:cs="Times New Roman"/>
          <w:szCs w:val="24"/>
        </w:rPr>
        <w:t xml:space="preserve">. </w:t>
      </w:r>
      <w:proofErr w:type="spellStart"/>
      <w:r>
        <w:rPr>
          <w:rFonts w:cs="Times New Roman"/>
          <w:szCs w:val="24"/>
        </w:rPr>
        <w:t>Atassut</w:t>
      </w:r>
      <w:proofErr w:type="spellEnd"/>
      <w:r>
        <w:rPr>
          <w:rFonts w:cs="Times New Roman"/>
          <w:szCs w:val="24"/>
        </w:rPr>
        <w:t xml:space="preserve"> </w:t>
      </w:r>
      <w:r w:rsidR="00F37B2C">
        <w:rPr>
          <w:rFonts w:cs="Times New Roman"/>
          <w:szCs w:val="24"/>
        </w:rPr>
        <w:t>frems</w:t>
      </w:r>
      <w:r>
        <w:rPr>
          <w:rFonts w:cs="Times New Roman"/>
          <w:szCs w:val="24"/>
        </w:rPr>
        <w:t>a</w:t>
      </w:r>
      <w:r w:rsidR="00F37B2C">
        <w:rPr>
          <w:rFonts w:cs="Times New Roman"/>
          <w:szCs w:val="24"/>
        </w:rPr>
        <w:t>tte</w:t>
      </w:r>
      <w:r>
        <w:rPr>
          <w:rFonts w:cs="Times New Roman"/>
          <w:szCs w:val="24"/>
        </w:rPr>
        <w:t xml:space="preserve"> i tillægsbetænkningen ændringsforslag til lovforslaget. </w:t>
      </w:r>
      <w:r w:rsidR="00F37B2C">
        <w:rPr>
          <w:rFonts w:cs="Times New Roman"/>
          <w:szCs w:val="24"/>
        </w:rPr>
        <w:t xml:space="preserve"> </w:t>
      </w:r>
      <w:r>
        <w:rPr>
          <w:rFonts w:cs="Times New Roman"/>
          <w:szCs w:val="24"/>
        </w:rPr>
        <w:t xml:space="preserve">Ændringsforslaget bemyndigede </w:t>
      </w:r>
      <w:proofErr w:type="spellStart"/>
      <w:r>
        <w:rPr>
          <w:rFonts w:cs="Times New Roman"/>
          <w:szCs w:val="24"/>
        </w:rPr>
        <w:t>Naalakkersuisut</w:t>
      </w:r>
      <w:proofErr w:type="spellEnd"/>
      <w:r>
        <w:rPr>
          <w:rFonts w:cs="Times New Roman"/>
          <w:szCs w:val="24"/>
        </w:rPr>
        <w:t xml:space="preserve"> til at fastsætte tidspunktet for </w:t>
      </w:r>
      <w:proofErr w:type="spellStart"/>
      <w:r>
        <w:rPr>
          <w:rFonts w:cs="Times New Roman"/>
          <w:szCs w:val="24"/>
        </w:rPr>
        <w:t>Inatsisartutlovens</w:t>
      </w:r>
      <w:proofErr w:type="spellEnd"/>
      <w:r>
        <w:rPr>
          <w:rFonts w:cs="Times New Roman"/>
          <w:szCs w:val="24"/>
        </w:rPr>
        <w:t xml:space="preserve"> ikraftsættelse, dog tidligst 4 uger efter afholdelse af en vejledende folkeafstemning om ikraftsættelsen. Et udvalgsflertal bestående af </w:t>
      </w:r>
      <w:proofErr w:type="spellStart"/>
      <w:r>
        <w:rPr>
          <w:rFonts w:cs="Times New Roman"/>
          <w:szCs w:val="24"/>
        </w:rPr>
        <w:t>Siumut</w:t>
      </w:r>
      <w:proofErr w:type="spellEnd"/>
      <w:r>
        <w:rPr>
          <w:rFonts w:cs="Times New Roman"/>
          <w:szCs w:val="24"/>
        </w:rPr>
        <w:t xml:space="preserve"> og </w:t>
      </w:r>
      <w:proofErr w:type="spellStart"/>
      <w:r>
        <w:rPr>
          <w:rFonts w:cs="Times New Roman"/>
          <w:szCs w:val="24"/>
        </w:rPr>
        <w:t>Atassut</w:t>
      </w:r>
      <w:proofErr w:type="spellEnd"/>
      <w:r>
        <w:rPr>
          <w:rFonts w:cs="Times New Roman"/>
          <w:szCs w:val="24"/>
        </w:rPr>
        <w:t xml:space="preserve"> indstillede i tillægsbetænkningen dette ændringsforslag til vedtagelse. Ved 3. behandlingen blev ændringsforslaget imidlertid forkastet af et flertal i Inatsisartut</w:t>
      </w:r>
      <w:r w:rsidR="00642097">
        <w:rPr>
          <w:rFonts w:cs="Times New Roman"/>
          <w:szCs w:val="24"/>
        </w:rPr>
        <w:t>, og lovforslaget blev vedtaget i den foreliggende form</w:t>
      </w:r>
      <w:r w:rsidR="009C3AF3">
        <w:rPr>
          <w:rFonts w:cs="Times New Roman"/>
          <w:szCs w:val="24"/>
        </w:rPr>
        <w:t xml:space="preserve"> (</w:t>
      </w:r>
      <w:proofErr w:type="spellStart"/>
      <w:r w:rsidR="009C3AF3" w:rsidRPr="00952E7F">
        <w:rPr>
          <w:rFonts w:cs="Times New Roman"/>
          <w:szCs w:val="24"/>
        </w:rPr>
        <w:t>Inatsisartutlov</w:t>
      </w:r>
      <w:proofErr w:type="spellEnd"/>
      <w:r w:rsidR="009C3AF3" w:rsidRPr="00952E7F">
        <w:rPr>
          <w:rFonts w:cs="Times New Roman"/>
          <w:szCs w:val="24"/>
        </w:rPr>
        <w:t xml:space="preserve"> nr. 20 af 1. december 2021 om forbud mod forundersøgelse, efterforskning og udnyttelse af uran mv.</w:t>
      </w:r>
      <w:r w:rsidR="009C3AF3">
        <w:rPr>
          <w:rFonts w:cs="Times New Roman"/>
          <w:szCs w:val="24"/>
        </w:rPr>
        <w:t>).</w:t>
      </w:r>
    </w:p>
    <w:p w14:paraId="4ACF6DAE" w14:textId="2655BD9A" w:rsidR="00952E7F" w:rsidRDefault="002A1C0D" w:rsidP="0018149C">
      <w:pPr>
        <w:spacing w:after="0"/>
        <w:rPr>
          <w:rFonts w:cs="Times New Roman"/>
          <w:szCs w:val="24"/>
        </w:rPr>
      </w:pPr>
      <w:r w:rsidRPr="00952E7F">
        <w:rPr>
          <w:rFonts w:cs="Times New Roman"/>
          <w:szCs w:val="24"/>
        </w:rPr>
        <w:br/>
      </w:r>
      <w:r w:rsidR="00642097">
        <w:rPr>
          <w:rFonts w:cs="Times New Roman"/>
          <w:szCs w:val="24"/>
        </w:rPr>
        <w:t xml:space="preserve">Efterfølgende har Inuit </w:t>
      </w:r>
      <w:proofErr w:type="spellStart"/>
      <w:r w:rsidR="00642097">
        <w:rPr>
          <w:rFonts w:cs="Times New Roman"/>
          <w:szCs w:val="24"/>
        </w:rPr>
        <w:t>Ataqatigiit</w:t>
      </w:r>
      <w:proofErr w:type="spellEnd"/>
      <w:r w:rsidR="00642097">
        <w:rPr>
          <w:rFonts w:cs="Times New Roman"/>
          <w:szCs w:val="24"/>
        </w:rPr>
        <w:t xml:space="preserve"> og </w:t>
      </w:r>
      <w:proofErr w:type="spellStart"/>
      <w:r w:rsidR="00642097">
        <w:rPr>
          <w:rFonts w:cs="Times New Roman"/>
          <w:szCs w:val="24"/>
        </w:rPr>
        <w:t>Siumut</w:t>
      </w:r>
      <w:proofErr w:type="spellEnd"/>
      <w:r w:rsidR="00642097">
        <w:rPr>
          <w:rFonts w:cs="Times New Roman"/>
          <w:szCs w:val="24"/>
        </w:rPr>
        <w:t xml:space="preserve"> </w:t>
      </w:r>
      <w:r w:rsidR="00AB6F73">
        <w:rPr>
          <w:rFonts w:cs="Times New Roman"/>
          <w:szCs w:val="24"/>
        </w:rPr>
        <w:t xml:space="preserve">imidlertid </w:t>
      </w:r>
      <w:r w:rsidR="00642097">
        <w:rPr>
          <w:rFonts w:cs="Times New Roman"/>
          <w:szCs w:val="24"/>
        </w:rPr>
        <w:t xml:space="preserve">i </w:t>
      </w:r>
      <w:r w:rsidR="0013482D">
        <w:rPr>
          <w:rFonts w:cs="Times New Roman"/>
          <w:szCs w:val="24"/>
        </w:rPr>
        <w:t>april 2022</w:t>
      </w:r>
      <w:r w:rsidR="00642097">
        <w:rPr>
          <w:rFonts w:cs="Times New Roman"/>
          <w:szCs w:val="24"/>
        </w:rPr>
        <w:t xml:space="preserve"> indgået koalition, og i den tilgrundliggende koalitionsaftale tilkendegives </w:t>
      </w:r>
      <w:proofErr w:type="spellStart"/>
      <w:r w:rsidR="00642097">
        <w:rPr>
          <w:rFonts w:cs="Times New Roman"/>
          <w:szCs w:val="24"/>
        </w:rPr>
        <w:t>følgede</w:t>
      </w:r>
      <w:proofErr w:type="spellEnd"/>
      <w:r w:rsidR="00642097">
        <w:rPr>
          <w:rFonts w:cs="Times New Roman"/>
          <w:szCs w:val="24"/>
        </w:rPr>
        <w:t xml:space="preserve"> om uran-spørgsmålet og en eventuel folkeafstemning herom:</w:t>
      </w:r>
    </w:p>
    <w:p w14:paraId="25BF5EF4" w14:textId="39AA6CAA" w:rsidR="00642097" w:rsidRDefault="00642097" w:rsidP="0018149C">
      <w:pPr>
        <w:spacing w:after="0"/>
        <w:rPr>
          <w:rFonts w:cs="Times New Roman"/>
          <w:szCs w:val="24"/>
        </w:rPr>
      </w:pPr>
    </w:p>
    <w:p w14:paraId="6AAA3923" w14:textId="503F1B2E" w:rsidR="00642097" w:rsidRPr="00952E7F" w:rsidRDefault="00642097" w:rsidP="00642097">
      <w:pPr>
        <w:spacing w:after="0"/>
        <w:rPr>
          <w:rFonts w:cs="Times New Roman"/>
          <w:szCs w:val="24"/>
        </w:rPr>
      </w:pPr>
      <w:r w:rsidRPr="00952E7F">
        <w:rPr>
          <w:rFonts w:cs="Times New Roman"/>
          <w:i/>
          <w:iCs/>
          <w:szCs w:val="24"/>
        </w:rPr>
        <w:t>” Uranspørgsmålet skal fortsætte på det grundlag som eksisterer i dag, og hvis der skal ske ændringer i den henseende, skal det ske på grundlag af en folkeafstemning.</w:t>
      </w:r>
      <w:r w:rsidRPr="00642097">
        <w:t xml:space="preserve"> </w:t>
      </w:r>
      <w:r w:rsidRPr="00642097">
        <w:rPr>
          <w:rFonts w:cs="Times New Roman"/>
          <w:i/>
          <w:iCs/>
          <w:szCs w:val="24"/>
        </w:rPr>
        <w:t>Såfremt der skal ske en folkeafstemning, skal dette ske på grundlag af fyldestgørende, gensidigt og oplyst grundlag.</w:t>
      </w:r>
      <w:r w:rsidRPr="00952E7F">
        <w:rPr>
          <w:rFonts w:cs="Times New Roman"/>
          <w:i/>
          <w:iCs/>
          <w:szCs w:val="24"/>
        </w:rPr>
        <w:t>”</w:t>
      </w:r>
    </w:p>
    <w:p w14:paraId="5A178E2C" w14:textId="77777777" w:rsidR="00642097" w:rsidRDefault="00642097" w:rsidP="0018149C">
      <w:pPr>
        <w:spacing w:after="0"/>
        <w:rPr>
          <w:rFonts w:cs="Times New Roman"/>
          <w:szCs w:val="24"/>
        </w:rPr>
      </w:pPr>
    </w:p>
    <w:p w14:paraId="316A5CF5" w14:textId="4831B736" w:rsidR="00202A7C" w:rsidRDefault="00202A7C" w:rsidP="00202A7C">
      <w:pPr>
        <w:spacing w:after="0"/>
        <w:rPr>
          <w:rFonts w:cs="Times New Roman"/>
          <w:szCs w:val="24"/>
        </w:rPr>
      </w:pPr>
      <w:proofErr w:type="spellStart"/>
      <w:r>
        <w:rPr>
          <w:rFonts w:cs="Times New Roman"/>
          <w:szCs w:val="24"/>
        </w:rPr>
        <w:t>Naleraq</w:t>
      </w:r>
      <w:proofErr w:type="spellEnd"/>
      <w:r>
        <w:rPr>
          <w:rFonts w:cs="Times New Roman"/>
          <w:szCs w:val="24"/>
        </w:rPr>
        <w:t xml:space="preserve"> ser dette som udtryk for, at et bredt flertal i Inatsisartut nu anerkender en folkeafstemning som et relevant og hensigtsmæssigt grundlag for </w:t>
      </w:r>
      <w:r w:rsidR="00F70404">
        <w:rPr>
          <w:rFonts w:cs="Times New Roman"/>
          <w:szCs w:val="24"/>
        </w:rPr>
        <w:t xml:space="preserve">en eventuel ændring af forbuddet mod </w:t>
      </w:r>
      <w:r w:rsidR="00F70404" w:rsidRPr="00952E7F">
        <w:rPr>
          <w:rFonts w:cs="Times New Roman"/>
          <w:szCs w:val="24"/>
        </w:rPr>
        <w:t>forundersøgelse, efterforskning og udnyttelse af uran</w:t>
      </w:r>
      <w:r w:rsidR="00F70404">
        <w:rPr>
          <w:rFonts w:cs="Times New Roman"/>
          <w:szCs w:val="24"/>
        </w:rPr>
        <w:t xml:space="preserve"> m.v.</w:t>
      </w:r>
    </w:p>
    <w:p w14:paraId="364E76B9" w14:textId="4368EB49" w:rsidR="00F70404" w:rsidRDefault="00F70404" w:rsidP="00202A7C">
      <w:pPr>
        <w:spacing w:after="0"/>
        <w:rPr>
          <w:rFonts w:cs="Times New Roman"/>
          <w:szCs w:val="24"/>
        </w:rPr>
      </w:pPr>
    </w:p>
    <w:p w14:paraId="2B17253D" w14:textId="441C2832" w:rsidR="00B65136" w:rsidRDefault="00B65136" w:rsidP="00202A7C">
      <w:pPr>
        <w:spacing w:after="0"/>
        <w:rPr>
          <w:rFonts w:cs="Times New Roman"/>
          <w:szCs w:val="24"/>
        </w:rPr>
      </w:pPr>
      <w:r>
        <w:rPr>
          <w:rFonts w:cs="Times New Roman"/>
          <w:szCs w:val="24"/>
        </w:rPr>
        <w:t>Det foreliggende lovforslag fremsættes på denne baggrund.</w:t>
      </w:r>
    </w:p>
    <w:p w14:paraId="073ED31F" w14:textId="1D0EC095" w:rsidR="00B65136" w:rsidRDefault="00B65136" w:rsidP="00202A7C">
      <w:pPr>
        <w:spacing w:after="0"/>
        <w:rPr>
          <w:rFonts w:cs="Times New Roman"/>
          <w:szCs w:val="24"/>
        </w:rPr>
      </w:pPr>
    </w:p>
    <w:p w14:paraId="59FED996" w14:textId="0DD54BAE" w:rsidR="000F134D" w:rsidRDefault="00F47C48" w:rsidP="00202A7C">
      <w:pPr>
        <w:spacing w:after="0"/>
        <w:rPr>
          <w:rFonts w:cs="Times New Roman"/>
          <w:szCs w:val="24"/>
        </w:rPr>
      </w:pPr>
      <w:r>
        <w:rPr>
          <w:rFonts w:cs="Times New Roman"/>
          <w:szCs w:val="24"/>
        </w:rPr>
        <w:t>Flere b</w:t>
      </w:r>
      <w:r w:rsidR="00FB4AFB">
        <w:rPr>
          <w:rFonts w:cs="Times New Roman"/>
          <w:szCs w:val="24"/>
        </w:rPr>
        <w:t>eslutningsforslag om at træffe afgørelse om uran-spørgsmålet på grundlag af en folkeafstemning har i perioden mel</w:t>
      </w:r>
      <w:r>
        <w:rPr>
          <w:rFonts w:cs="Times New Roman"/>
          <w:szCs w:val="24"/>
        </w:rPr>
        <w:t xml:space="preserve">lem nul-tolerancens indførelse og indførelsen af forbuddet </w:t>
      </w:r>
      <w:r w:rsidRPr="00F47C48">
        <w:rPr>
          <w:rFonts w:cs="Times New Roman"/>
          <w:szCs w:val="24"/>
        </w:rPr>
        <w:t>forundersøgelse, efterforskning og udnyttelse af uran mv.</w:t>
      </w:r>
      <w:r>
        <w:rPr>
          <w:rFonts w:cs="Times New Roman"/>
          <w:szCs w:val="24"/>
        </w:rPr>
        <w:t xml:space="preserve"> været fremsat: I 2016 af henholdsvis </w:t>
      </w:r>
      <w:proofErr w:type="spellStart"/>
      <w:r>
        <w:rPr>
          <w:rFonts w:cs="Times New Roman"/>
          <w:szCs w:val="24"/>
        </w:rPr>
        <w:lastRenderedPageBreak/>
        <w:t>Partii</w:t>
      </w:r>
      <w:proofErr w:type="spellEnd"/>
      <w:r>
        <w:rPr>
          <w:rFonts w:cs="Times New Roman"/>
          <w:szCs w:val="24"/>
        </w:rPr>
        <w:t xml:space="preserve"> </w:t>
      </w:r>
      <w:proofErr w:type="spellStart"/>
      <w:r>
        <w:rPr>
          <w:rFonts w:cs="Times New Roman"/>
          <w:szCs w:val="24"/>
        </w:rPr>
        <w:t>Naleraq</w:t>
      </w:r>
      <w:proofErr w:type="spellEnd"/>
      <w:r>
        <w:rPr>
          <w:rFonts w:cs="Times New Roman"/>
          <w:szCs w:val="24"/>
        </w:rPr>
        <w:t xml:space="preserve"> (FM 2016/84) og Inuit </w:t>
      </w:r>
      <w:proofErr w:type="spellStart"/>
      <w:r>
        <w:rPr>
          <w:rFonts w:cs="Times New Roman"/>
          <w:szCs w:val="24"/>
        </w:rPr>
        <w:t>Ataqatigiit</w:t>
      </w:r>
      <w:proofErr w:type="spellEnd"/>
      <w:r>
        <w:rPr>
          <w:rFonts w:cs="Times New Roman"/>
          <w:szCs w:val="24"/>
        </w:rPr>
        <w:t xml:space="preserve"> (FM 2016/97), og igen i 2018 af Inuit </w:t>
      </w:r>
      <w:proofErr w:type="spellStart"/>
      <w:r>
        <w:rPr>
          <w:rFonts w:cs="Times New Roman"/>
          <w:szCs w:val="24"/>
        </w:rPr>
        <w:t>Ataqatigiit</w:t>
      </w:r>
      <w:proofErr w:type="spellEnd"/>
      <w:r>
        <w:rPr>
          <w:rFonts w:cs="Times New Roman"/>
          <w:szCs w:val="24"/>
        </w:rPr>
        <w:t xml:space="preserve"> (EM 2018/41).</w:t>
      </w:r>
    </w:p>
    <w:p w14:paraId="4AC50D7B" w14:textId="77777777" w:rsidR="00F47C48" w:rsidRPr="00952E7F" w:rsidRDefault="00F47C48" w:rsidP="00202A7C">
      <w:pPr>
        <w:spacing w:after="0"/>
        <w:rPr>
          <w:rFonts w:cs="Times New Roman"/>
          <w:szCs w:val="24"/>
        </w:rPr>
      </w:pPr>
    </w:p>
    <w:p w14:paraId="148C29F8" w14:textId="16A8159A" w:rsidR="00D67417" w:rsidRDefault="00A434A5" w:rsidP="0018149C">
      <w:pPr>
        <w:spacing w:after="0"/>
        <w:rPr>
          <w:rFonts w:cs="Times New Roman"/>
          <w:szCs w:val="24"/>
        </w:rPr>
      </w:pPr>
      <w:r w:rsidRPr="00952E7F">
        <w:rPr>
          <w:rFonts w:cs="Times New Roman"/>
          <w:szCs w:val="24"/>
        </w:rPr>
        <w:t xml:space="preserve">Samtidig har </w:t>
      </w:r>
      <w:r w:rsidR="00C617F0" w:rsidRPr="00952E7F">
        <w:rPr>
          <w:rFonts w:cs="Times New Roman"/>
          <w:szCs w:val="24"/>
        </w:rPr>
        <w:t>flere partier</w:t>
      </w:r>
      <w:r w:rsidRPr="00952E7F">
        <w:rPr>
          <w:rFonts w:cs="Times New Roman"/>
          <w:szCs w:val="24"/>
        </w:rPr>
        <w:t xml:space="preserve"> igennem flere år debatteret</w:t>
      </w:r>
      <w:r w:rsidR="00681D03">
        <w:rPr>
          <w:rFonts w:cs="Times New Roman"/>
          <w:szCs w:val="24"/>
        </w:rPr>
        <w:t>,</w:t>
      </w:r>
      <w:r w:rsidRPr="00952E7F">
        <w:rPr>
          <w:rFonts w:cs="Times New Roman"/>
          <w:szCs w:val="24"/>
        </w:rPr>
        <w:t xml:space="preserve"> hvorvidt befolkningen ved et valg til Inatsisartut, </w:t>
      </w:r>
      <w:r w:rsidR="00420305" w:rsidRPr="00952E7F">
        <w:rPr>
          <w:rFonts w:cs="Times New Roman"/>
          <w:szCs w:val="24"/>
        </w:rPr>
        <w:t xml:space="preserve">også </w:t>
      </w:r>
      <w:r w:rsidR="00681D03">
        <w:rPr>
          <w:rFonts w:cs="Times New Roman"/>
          <w:szCs w:val="24"/>
        </w:rPr>
        <w:t>tilkendegiver sin</w:t>
      </w:r>
      <w:r w:rsidR="00420305" w:rsidRPr="00952E7F">
        <w:rPr>
          <w:rFonts w:cs="Times New Roman"/>
          <w:szCs w:val="24"/>
        </w:rPr>
        <w:t xml:space="preserve"> holdning til Uran.</w:t>
      </w:r>
      <w:r w:rsidR="00237398" w:rsidRPr="00952E7F">
        <w:rPr>
          <w:rFonts w:cs="Times New Roman"/>
          <w:szCs w:val="24"/>
        </w:rPr>
        <w:t xml:space="preserve"> </w:t>
      </w:r>
    </w:p>
    <w:p w14:paraId="49517276" w14:textId="54A0F793" w:rsidR="00D67417" w:rsidRDefault="00D67417" w:rsidP="0018149C">
      <w:pPr>
        <w:spacing w:after="0"/>
        <w:rPr>
          <w:rFonts w:cs="Times New Roman"/>
          <w:szCs w:val="24"/>
        </w:rPr>
      </w:pPr>
    </w:p>
    <w:p w14:paraId="3E46B305" w14:textId="2059ED55" w:rsidR="00D67417" w:rsidRDefault="00D67417" w:rsidP="0018149C">
      <w:pPr>
        <w:spacing w:after="0"/>
        <w:rPr>
          <w:rFonts w:cs="Times New Roman"/>
          <w:szCs w:val="24"/>
        </w:rPr>
      </w:pPr>
      <w:r>
        <w:rPr>
          <w:rFonts w:cs="Times New Roman"/>
          <w:iCs/>
          <w:szCs w:val="24"/>
        </w:rPr>
        <w:t xml:space="preserve">Senest gav </w:t>
      </w:r>
      <w:r w:rsidRPr="00030825">
        <w:rPr>
          <w:rFonts w:cs="Times New Roman"/>
          <w:iCs/>
          <w:szCs w:val="24"/>
        </w:rPr>
        <w:t xml:space="preserve">Inuit </w:t>
      </w:r>
      <w:proofErr w:type="spellStart"/>
      <w:r w:rsidRPr="00030825">
        <w:rPr>
          <w:rFonts w:cs="Times New Roman"/>
          <w:iCs/>
          <w:szCs w:val="24"/>
        </w:rPr>
        <w:t>Ataqatigiit</w:t>
      </w:r>
      <w:proofErr w:type="spellEnd"/>
      <w:r w:rsidRPr="00030825">
        <w:rPr>
          <w:rFonts w:cs="Times New Roman"/>
          <w:iCs/>
          <w:szCs w:val="24"/>
        </w:rPr>
        <w:t xml:space="preserve"> </w:t>
      </w:r>
      <w:r>
        <w:rPr>
          <w:rFonts w:cs="Times New Roman"/>
          <w:iCs/>
          <w:szCs w:val="24"/>
        </w:rPr>
        <w:t>u</w:t>
      </w:r>
      <w:r w:rsidRPr="00030825">
        <w:rPr>
          <w:rFonts w:cs="Times New Roman"/>
          <w:iCs/>
          <w:szCs w:val="24"/>
        </w:rPr>
        <w:t>nder førstebehandlingen af</w:t>
      </w:r>
      <w:r w:rsidRPr="00D67417">
        <w:t xml:space="preserve"> </w:t>
      </w:r>
      <w:r>
        <w:t>”</w:t>
      </w:r>
      <w:r w:rsidRPr="00D67417">
        <w:rPr>
          <w:rFonts w:cs="Times New Roman"/>
          <w:iCs/>
          <w:szCs w:val="24"/>
        </w:rPr>
        <w:t xml:space="preserve">Forslag til </w:t>
      </w:r>
      <w:proofErr w:type="spellStart"/>
      <w:r w:rsidRPr="00D67417">
        <w:rPr>
          <w:rFonts w:cs="Times New Roman"/>
          <w:iCs/>
          <w:szCs w:val="24"/>
        </w:rPr>
        <w:t>Inatsisartutlov</w:t>
      </w:r>
      <w:proofErr w:type="spellEnd"/>
      <w:r w:rsidRPr="00D67417">
        <w:rPr>
          <w:rFonts w:cs="Times New Roman"/>
          <w:iCs/>
          <w:szCs w:val="24"/>
        </w:rPr>
        <w:t xml:space="preserve"> om forbud mod forundersøgelse, efterforskning og udnyttelse af uran mv.” (EM2021/23)</w:t>
      </w:r>
      <w:r w:rsidRPr="00030825">
        <w:rPr>
          <w:rFonts w:cs="Times New Roman"/>
          <w:iCs/>
          <w:szCs w:val="24"/>
        </w:rPr>
        <w:t xml:space="preserve"> udtryk for,</w:t>
      </w:r>
      <w:r>
        <w:rPr>
          <w:rFonts w:cs="Times New Roman"/>
          <w:i/>
          <w:iCs/>
          <w:szCs w:val="24"/>
        </w:rPr>
        <w:t xml:space="preserve"> </w:t>
      </w:r>
      <w:r w:rsidRPr="00952E7F">
        <w:rPr>
          <w:rFonts w:cs="Times New Roman"/>
          <w:i/>
          <w:iCs/>
          <w:szCs w:val="24"/>
        </w:rPr>
        <w:t xml:space="preserve">”at det netop gennemførte </w:t>
      </w:r>
      <w:proofErr w:type="spellStart"/>
      <w:r w:rsidRPr="00952E7F">
        <w:rPr>
          <w:rFonts w:cs="Times New Roman"/>
          <w:i/>
          <w:iCs/>
          <w:szCs w:val="24"/>
        </w:rPr>
        <w:t>Inatsisartutvalg</w:t>
      </w:r>
      <w:proofErr w:type="spellEnd"/>
      <w:r w:rsidRPr="00952E7F">
        <w:rPr>
          <w:rFonts w:cs="Times New Roman"/>
          <w:i/>
          <w:iCs/>
          <w:szCs w:val="24"/>
        </w:rPr>
        <w:t xml:space="preserve"> ikke direkte kan siges at have været et valg for eller imod udvinding af uran,</w:t>
      </w:r>
      <w:r>
        <w:rPr>
          <w:rFonts w:cs="Times New Roman"/>
          <w:i/>
          <w:iCs/>
          <w:szCs w:val="24"/>
        </w:rPr>
        <w:t xml:space="preserve"> men at uran-debatten fyldte så meget i valgkampen, ikke mindst på grund af valgløfter fra koalitionspartierne om at standse efterforskning og udvinding af uran, at nærværende forslag må ses som indfrielse af dette løfte.” </w:t>
      </w:r>
      <w:r>
        <w:rPr>
          <w:rFonts w:cs="Times New Roman"/>
          <w:iCs/>
          <w:szCs w:val="24"/>
        </w:rPr>
        <w:t xml:space="preserve">(Her citeret fra </w:t>
      </w:r>
      <w:r w:rsidRPr="00952E7F">
        <w:rPr>
          <w:rFonts w:cs="Times New Roman"/>
          <w:szCs w:val="24"/>
        </w:rPr>
        <w:t xml:space="preserve">Erhvervs- og Råstofudvalgets betænkning </w:t>
      </w:r>
      <w:r>
        <w:rPr>
          <w:rFonts w:cs="Times New Roman"/>
          <w:szCs w:val="24"/>
        </w:rPr>
        <w:t>til 2. behandlingen).</w:t>
      </w:r>
    </w:p>
    <w:p w14:paraId="1DFC2459" w14:textId="479703E3" w:rsidR="0081299C" w:rsidRDefault="00420305" w:rsidP="0018149C">
      <w:pPr>
        <w:spacing w:after="0"/>
        <w:rPr>
          <w:rFonts w:cs="Times New Roman"/>
          <w:szCs w:val="24"/>
        </w:rPr>
      </w:pPr>
      <w:r w:rsidRPr="00952E7F">
        <w:rPr>
          <w:rFonts w:cs="Times New Roman"/>
          <w:szCs w:val="24"/>
        </w:rPr>
        <w:br/>
      </w:r>
      <w:r w:rsidR="009E28D3" w:rsidRPr="00952E7F">
        <w:rPr>
          <w:rFonts w:cs="Times New Roman"/>
          <w:szCs w:val="24"/>
        </w:rPr>
        <w:t>Disse forhold gør</w:t>
      </w:r>
      <w:r w:rsidR="00681D03">
        <w:rPr>
          <w:rFonts w:cs="Times New Roman"/>
          <w:szCs w:val="24"/>
        </w:rPr>
        <w:t>,</w:t>
      </w:r>
      <w:r w:rsidR="009E28D3" w:rsidRPr="00952E7F">
        <w:rPr>
          <w:rFonts w:cs="Times New Roman"/>
          <w:szCs w:val="24"/>
        </w:rPr>
        <w:t xml:space="preserve"> at befolkningen måske vælger politikere til Inatsisartut, som udelukkende tager stilling for eller imod </w:t>
      </w:r>
      <w:r w:rsidR="00681D03">
        <w:rPr>
          <w:rFonts w:cs="Times New Roman"/>
          <w:szCs w:val="24"/>
        </w:rPr>
        <w:t>u</w:t>
      </w:r>
      <w:r w:rsidR="00681D03" w:rsidRPr="00952E7F">
        <w:rPr>
          <w:rFonts w:cs="Times New Roman"/>
          <w:szCs w:val="24"/>
        </w:rPr>
        <w:t>ran</w:t>
      </w:r>
      <w:r w:rsidR="00350B14">
        <w:rPr>
          <w:rFonts w:cs="Times New Roman"/>
          <w:szCs w:val="24"/>
        </w:rPr>
        <w:t>-</w:t>
      </w:r>
      <w:r w:rsidR="009E28D3" w:rsidRPr="00952E7F">
        <w:rPr>
          <w:rFonts w:cs="Times New Roman"/>
          <w:szCs w:val="24"/>
        </w:rPr>
        <w:t xml:space="preserve">spørgsmålet. Dette mener </w:t>
      </w:r>
      <w:proofErr w:type="spellStart"/>
      <w:r w:rsidR="009E28D3" w:rsidRPr="00952E7F">
        <w:rPr>
          <w:rFonts w:cs="Times New Roman"/>
          <w:szCs w:val="24"/>
        </w:rPr>
        <w:t>Naleraq</w:t>
      </w:r>
      <w:proofErr w:type="spellEnd"/>
      <w:r w:rsidR="009E28D3" w:rsidRPr="00952E7F">
        <w:rPr>
          <w:rFonts w:cs="Times New Roman"/>
          <w:szCs w:val="24"/>
        </w:rPr>
        <w:t xml:space="preserve"> ikke er gavnligt for hverken demokratiet eller </w:t>
      </w:r>
      <w:r w:rsidR="0081299C" w:rsidRPr="00952E7F">
        <w:rPr>
          <w:rFonts w:cs="Times New Roman"/>
          <w:szCs w:val="24"/>
        </w:rPr>
        <w:t>landets udvikling generelt.</w:t>
      </w:r>
    </w:p>
    <w:p w14:paraId="077CFB4D" w14:textId="60C178A9" w:rsidR="00E678AF" w:rsidRDefault="00E678AF" w:rsidP="0018149C">
      <w:pPr>
        <w:spacing w:after="0"/>
        <w:rPr>
          <w:rFonts w:cs="Times New Roman"/>
          <w:szCs w:val="24"/>
        </w:rPr>
      </w:pPr>
    </w:p>
    <w:p w14:paraId="39293ECE" w14:textId="77777777" w:rsidR="00E678AF" w:rsidRDefault="00E678AF" w:rsidP="00E678AF">
      <w:pPr>
        <w:spacing w:after="0"/>
        <w:rPr>
          <w:rFonts w:cs="Times New Roman"/>
          <w:szCs w:val="24"/>
        </w:rPr>
      </w:pPr>
      <w:r>
        <w:rPr>
          <w:rFonts w:cs="Times New Roman"/>
          <w:szCs w:val="24"/>
        </w:rPr>
        <w:t>Med nærværende forslag vil Inatsisartut gennem en vejledende folkeafstemning blive forelagt</w:t>
      </w:r>
      <w:r w:rsidRPr="00696851">
        <w:rPr>
          <w:rFonts w:cs="Times New Roman"/>
          <w:szCs w:val="24"/>
        </w:rPr>
        <w:t xml:space="preserve"> en klar meningstilkendegivelse fra landets borgere om spørgsmålet om udvinding</w:t>
      </w:r>
      <w:r>
        <w:rPr>
          <w:rFonts w:cs="Times New Roman"/>
          <w:szCs w:val="24"/>
        </w:rPr>
        <w:t xml:space="preserve"> </w:t>
      </w:r>
      <w:r w:rsidRPr="00696851">
        <w:rPr>
          <w:rFonts w:cs="Times New Roman"/>
          <w:szCs w:val="24"/>
        </w:rPr>
        <w:t>af uran.</w:t>
      </w:r>
    </w:p>
    <w:p w14:paraId="7E5B4916" w14:textId="77777777" w:rsidR="00E678AF" w:rsidRDefault="00E678AF" w:rsidP="00E678AF">
      <w:pPr>
        <w:spacing w:after="0"/>
        <w:rPr>
          <w:rFonts w:cs="Times New Roman"/>
          <w:szCs w:val="24"/>
        </w:rPr>
      </w:pPr>
    </w:p>
    <w:p w14:paraId="0F0FD28C" w14:textId="77777777" w:rsidR="00E678AF" w:rsidRDefault="00E678AF" w:rsidP="00E678AF">
      <w:pPr>
        <w:spacing w:after="0"/>
        <w:rPr>
          <w:rFonts w:cs="Times New Roman"/>
          <w:szCs w:val="24"/>
        </w:rPr>
      </w:pPr>
      <w:r>
        <w:rPr>
          <w:rFonts w:cs="Times New Roman"/>
          <w:szCs w:val="24"/>
        </w:rPr>
        <w:t xml:space="preserve">Forslaget pålægger </w:t>
      </w:r>
      <w:proofErr w:type="spellStart"/>
      <w:r>
        <w:rPr>
          <w:rFonts w:cs="Times New Roman"/>
          <w:szCs w:val="24"/>
        </w:rPr>
        <w:t>Naalakkersuisut</w:t>
      </w:r>
      <w:proofErr w:type="spellEnd"/>
      <w:r>
        <w:rPr>
          <w:rFonts w:cs="Times New Roman"/>
          <w:szCs w:val="24"/>
        </w:rPr>
        <w:t xml:space="preserve"> at fremsætte et forslag til </w:t>
      </w:r>
      <w:proofErr w:type="spellStart"/>
      <w:r>
        <w:rPr>
          <w:rFonts w:cs="Times New Roman"/>
          <w:szCs w:val="24"/>
        </w:rPr>
        <w:t>Inatsisartutlov</w:t>
      </w:r>
      <w:proofErr w:type="spellEnd"/>
      <w:r>
        <w:rPr>
          <w:rFonts w:cs="Times New Roman"/>
          <w:szCs w:val="24"/>
        </w:rPr>
        <w:t xml:space="preserve"> om </w:t>
      </w:r>
      <w:r w:rsidRPr="00952E7F">
        <w:rPr>
          <w:rFonts w:cs="Times New Roman"/>
          <w:szCs w:val="24"/>
        </w:rPr>
        <w:t xml:space="preserve">ophævelse </w:t>
      </w:r>
      <w:r w:rsidRPr="00113B39">
        <w:rPr>
          <w:rFonts w:cs="Times New Roman"/>
          <w:szCs w:val="24"/>
        </w:rPr>
        <w:t xml:space="preserve">af </w:t>
      </w:r>
      <w:proofErr w:type="spellStart"/>
      <w:r w:rsidRPr="00113B39">
        <w:rPr>
          <w:rFonts w:cs="Times New Roman"/>
          <w:szCs w:val="24"/>
        </w:rPr>
        <w:t>Inatsisartutlov</w:t>
      </w:r>
      <w:proofErr w:type="spellEnd"/>
      <w:r w:rsidRPr="00113B39">
        <w:rPr>
          <w:rFonts w:cs="Times New Roman"/>
          <w:szCs w:val="24"/>
        </w:rPr>
        <w:t xml:space="preserve"> om forbud mod forundersøgelse, efterforskning og udnyttelse af uran mv</w:t>
      </w:r>
      <w:r>
        <w:rPr>
          <w:rFonts w:cs="Times New Roman"/>
          <w:szCs w:val="24"/>
        </w:rPr>
        <w:t xml:space="preserve">. Ved den vejledende folkeafstemning svarer borgerne ”Ja” eller ”Nej” til, at de ønsker dette lovforslag vedtaget.  </w:t>
      </w:r>
    </w:p>
    <w:p w14:paraId="6D0CFA95" w14:textId="77777777" w:rsidR="00E678AF" w:rsidRDefault="00E678AF" w:rsidP="00E678AF">
      <w:pPr>
        <w:spacing w:after="0"/>
        <w:rPr>
          <w:rFonts w:cs="Times New Roman"/>
          <w:szCs w:val="24"/>
        </w:rPr>
      </w:pPr>
    </w:p>
    <w:p w14:paraId="25F60909" w14:textId="77777777" w:rsidR="00E678AF" w:rsidRDefault="00E678AF" w:rsidP="00E678AF">
      <w:pPr>
        <w:spacing w:after="0"/>
        <w:rPr>
          <w:rFonts w:cs="Times New Roman"/>
          <w:szCs w:val="24"/>
        </w:rPr>
      </w:pPr>
      <w:r>
        <w:rPr>
          <w:rFonts w:cs="Times New Roman"/>
          <w:szCs w:val="24"/>
        </w:rPr>
        <w:t xml:space="preserve">Vælgernes stillingtagen ved den vejledende folkeafstemning danner grundlag for </w:t>
      </w:r>
      <w:proofErr w:type="spellStart"/>
      <w:r>
        <w:rPr>
          <w:rFonts w:cs="Times New Roman"/>
          <w:szCs w:val="24"/>
        </w:rPr>
        <w:t>Inatsisartuts</w:t>
      </w:r>
      <w:proofErr w:type="spellEnd"/>
      <w:r>
        <w:rPr>
          <w:rFonts w:cs="Times New Roman"/>
          <w:szCs w:val="24"/>
        </w:rPr>
        <w:t xml:space="preserve"> efterfølgende stillingtagen til lovforslaget.</w:t>
      </w:r>
    </w:p>
    <w:p w14:paraId="308D2F25" w14:textId="51A97ECA" w:rsidR="004346B3" w:rsidRPr="00952E7F" w:rsidRDefault="004346B3" w:rsidP="0018149C">
      <w:pPr>
        <w:spacing w:after="0"/>
        <w:rPr>
          <w:rFonts w:cs="Times New Roman"/>
          <w:szCs w:val="24"/>
        </w:rPr>
      </w:pPr>
    </w:p>
    <w:p w14:paraId="390B8682" w14:textId="7A8ABF85" w:rsidR="00132419" w:rsidRPr="00952E7F" w:rsidRDefault="00540053" w:rsidP="0018149C">
      <w:pPr>
        <w:spacing w:after="0"/>
        <w:rPr>
          <w:rFonts w:cs="Times New Roman"/>
          <w:b/>
          <w:bCs/>
          <w:szCs w:val="24"/>
        </w:rPr>
      </w:pPr>
      <w:r w:rsidRPr="00952E7F">
        <w:rPr>
          <w:rFonts w:cs="Times New Roman"/>
          <w:b/>
          <w:bCs/>
          <w:szCs w:val="24"/>
        </w:rPr>
        <w:t xml:space="preserve">2. </w:t>
      </w:r>
      <w:r w:rsidR="00132419" w:rsidRPr="00952E7F">
        <w:rPr>
          <w:rFonts w:cs="Times New Roman"/>
          <w:b/>
          <w:bCs/>
          <w:szCs w:val="24"/>
        </w:rPr>
        <w:t>Hovedpunkter i forslaget</w:t>
      </w:r>
    </w:p>
    <w:p w14:paraId="078F87FB" w14:textId="15C685D1" w:rsidR="00D176CC" w:rsidRPr="0018149C" w:rsidRDefault="00D176CC" w:rsidP="0018149C">
      <w:pPr>
        <w:spacing w:after="0"/>
        <w:rPr>
          <w:rFonts w:cs="Times New Roman"/>
          <w:szCs w:val="24"/>
        </w:rPr>
      </w:pPr>
      <w:r w:rsidRPr="0018149C">
        <w:rPr>
          <w:rFonts w:cs="Times New Roman"/>
          <w:szCs w:val="24"/>
        </w:rPr>
        <w:t>2.1. Gældende ret</w:t>
      </w:r>
    </w:p>
    <w:p w14:paraId="3ACCE4AD" w14:textId="47505B87" w:rsidR="00C82F06" w:rsidRDefault="00D176CC" w:rsidP="0018149C">
      <w:pPr>
        <w:spacing w:after="0"/>
        <w:rPr>
          <w:rFonts w:cs="Times New Roman"/>
          <w:szCs w:val="24"/>
        </w:rPr>
      </w:pPr>
      <w:bookmarkStart w:id="2" w:name="_Hlk108073241"/>
      <w:proofErr w:type="spellStart"/>
      <w:r w:rsidRPr="00952E7F">
        <w:rPr>
          <w:rFonts w:cs="Times New Roman"/>
          <w:szCs w:val="24"/>
        </w:rPr>
        <w:t>Inatsisartutlov</w:t>
      </w:r>
      <w:proofErr w:type="spellEnd"/>
      <w:r w:rsidRPr="00952E7F">
        <w:rPr>
          <w:rFonts w:cs="Times New Roman"/>
          <w:szCs w:val="24"/>
        </w:rPr>
        <w:t xml:space="preserve"> nr. 20 af 1. december 2021 om </w:t>
      </w:r>
      <w:r w:rsidR="00A63439" w:rsidRPr="00952E7F">
        <w:rPr>
          <w:rFonts w:cs="Times New Roman"/>
          <w:szCs w:val="24"/>
        </w:rPr>
        <w:t xml:space="preserve">forbud mod forundersøgelse, efterforskning og udnyttelse af uran mv. </w:t>
      </w:r>
      <w:bookmarkEnd w:id="2"/>
      <w:r w:rsidR="00C82F06">
        <w:rPr>
          <w:rFonts w:cs="Times New Roman"/>
          <w:szCs w:val="24"/>
        </w:rPr>
        <w:t>fastsætter i § 1, stk. 1, at</w:t>
      </w:r>
      <w:r w:rsidR="00C82F06" w:rsidRPr="00C82F06">
        <w:rPr>
          <w:rFonts w:cs="Times New Roman"/>
          <w:szCs w:val="24"/>
        </w:rPr>
        <w:t xml:space="preserve"> </w:t>
      </w:r>
      <w:r w:rsidR="00C82F06" w:rsidRPr="00952E7F">
        <w:rPr>
          <w:rFonts w:cs="Times New Roman"/>
          <w:szCs w:val="24"/>
        </w:rPr>
        <w:t>forundersøgelse, efterforskning og udnyttelse af uran</w:t>
      </w:r>
      <w:r w:rsidR="00C82F06">
        <w:rPr>
          <w:rFonts w:cs="Times New Roman"/>
          <w:szCs w:val="24"/>
        </w:rPr>
        <w:t xml:space="preserve"> ikke er tilladt.</w:t>
      </w:r>
    </w:p>
    <w:p w14:paraId="4083DD1D" w14:textId="1DC668CB" w:rsidR="00C82F06" w:rsidRDefault="00C82F06" w:rsidP="0018149C">
      <w:pPr>
        <w:spacing w:after="0"/>
        <w:rPr>
          <w:rFonts w:cs="Times New Roman"/>
          <w:szCs w:val="24"/>
        </w:rPr>
      </w:pPr>
    </w:p>
    <w:p w14:paraId="5FAF039E" w14:textId="23B1E2F1" w:rsidR="00C82F06" w:rsidRDefault="00C82F06" w:rsidP="0018149C">
      <w:pPr>
        <w:spacing w:after="0"/>
        <w:rPr>
          <w:rFonts w:cs="Times New Roman"/>
          <w:szCs w:val="24"/>
        </w:rPr>
      </w:pPr>
      <w:r>
        <w:rPr>
          <w:rFonts w:cs="Times New Roman"/>
          <w:szCs w:val="24"/>
        </w:rPr>
        <w:t>For så vidt angår uran som biprodukt gælder forbuddet dog ikke, hvis det gennemsnitlige indhold af uran i den samlede ressource er under 100 ppm vægt.</w:t>
      </w:r>
      <w:r w:rsidR="004E7329">
        <w:rPr>
          <w:rFonts w:cs="Times New Roman"/>
          <w:szCs w:val="24"/>
        </w:rPr>
        <w:t xml:space="preserve"> Dette følger af </w:t>
      </w:r>
      <w:proofErr w:type="spellStart"/>
      <w:r w:rsidR="004E7329">
        <w:rPr>
          <w:rFonts w:cs="Times New Roman"/>
          <w:szCs w:val="24"/>
        </w:rPr>
        <w:t>Inatsisartutlovens</w:t>
      </w:r>
      <w:proofErr w:type="spellEnd"/>
      <w:r w:rsidR="004E7329">
        <w:rPr>
          <w:rFonts w:cs="Times New Roman"/>
          <w:szCs w:val="24"/>
        </w:rPr>
        <w:t xml:space="preserve"> § 1, stk. 2.</w:t>
      </w:r>
    </w:p>
    <w:p w14:paraId="40463D57" w14:textId="61AC09F8" w:rsidR="00C82F06" w:rsidRDefault="00C82F06" w:rsidP="0018149C">
      <w:pPr>
        <w:spacing w:after="0"/>
        <w:rPr>
          <w:rFonts w:cs="Times New Roman"/>
          <w:szCs w:val="24"/>
        </w:rPr>
      </w:pPr>
    </w:p>
    <w:p w14:paraId="2007675B" w14:textId="22BB55AE" w:rsidR="00C82F06" w:rsidRDefault="00A92BAD" w:rsidP="0018149C">
      <w:pPr>
        <w:spacing w:after="0"/>
        <w:rPr>
          <w:rFonts w:cs="Times New Roman"/>
          <w:szCs w:val="24"/>
        </w:rPr>
      </w:pPr>
      <w:proofErr w:type="spellStart"/>
      <w:r>
        <w:rPr>
          <w:rFonts w:cs="Times New Roman"/>
          <w:szCs w:val="24"/>
        </w:rPr>
        <w:t>Inatsisartutlovens</w:t>
      </w:r>
      <w:proofErr w:type="spellEnd"/>
      <w:r>
        <w:rPr>
          <w:rFonts w:cs="Times New Roman"/>
          <w:szCs w:val="24"/>
        </w:rPr>
        <w:t xml:space="preserve"> § 2 bemyndiger </w:t>
      </w:r>
      <w:proofErr w:type="spellStart"/>
      <w:r>
        <w:rPr>
          <w:rFonts w:cs="Times New Roman"/>
          <w:szCs w:val="24"/>
        </w:rPr>
        <w:t>Naalakkersuisut</w:t>
      </w:r>
      <w:proofErr w:type="spellEnd"/>
      <w:r>
        <w:rPr>
          <w:rFonts w:cs="Times New Roman"/>
          <w:szCs w:val="24"/>
        </w:rPr>
        <w:t xml:space="preserve"> til at fastsætte regler om, at forbuddet tillige skal gælde for andre radioaktive grundstoffer end uran, herunder regler om grænseværdier herfor, samt om indskrænkning og tilbagekaldelse af tilladelser til forundersøgelse, efterforskning og udnyttelse af de pågældende </w:t>
      </w:r>
      <w:proofErr w:type="spellStart"/>
      <w:r>
        <w:rPr>
          <w:rFonts w:cs="Times New Roman"/>
          <w:szCs w:val="24"/>
        </w:rPr>
        <w:t>radioaktve</w:t>
      </w:r>
      <w:proofErr w:type="spellEnd"/>
      <w:r>
        <w:rPr>
          <w:rFonts w:cs="Times New Roman"/>
          <w:szCs w:val="24"/>
        </w:rPr>
        <w:t xml:space="preserve"> stoffer.</w:t>
      </w:r>
    </w:p>
    <w:p w14:paraId="1BD1B7D9" w14:textId="5786C9EF" w:rsidR="00A92BAD" w:rsidRDefault="00A92BAD" w:rsidP="0018149C">
      <w:pPr>
        <w:spacing w:after="0"/>
        <w:rPr>
          <w:rFonts w:cs="Times New Roman"/>
          <w:szCs w:val="24"/>
        </w:rPr>
      </w:pPr>
    </w:p>
    <w:p w14:paraId="68FDC850" w14:textId="4700458E" w:rsidR="00A92BAD" w:rsidRDefault="00A92BAD" w:rsidP="0018149C">
      <w:pPr>
        <w:spacing w:after="0"/>
        <w:rPr>
          <w:rFonts w:cs="Times New Roman"/>
          <w:szCs w:val="24"/>
        </w:rPr>
      </w:pPr>
      <w:bookmarkStart w:id="3" w:name="_Hlk108169455"/>
      <w:proofErr w:type="spellStart"/>
      <w:r>
        <w:rPr>
          <w:rFonts w:cs="Times New Roman"/>
          <w:szCs w:val="24"/>
        </w:rPr>
        <w:t>Inatsisartutlovens</w:t>
      </w:r>
      <w:proofErr w:type="spellEnd"/>
      <w:r>
        <w:rPr>
          <w:rFonts w:cs="Times New Roman"/>
          <w:szCs w:val="24"/>
        </w:rPr>
        <w:t xml:space="preserve"> § 3 </w:t>
      </w:r>
      <w:bookmarkEnd w:id="3"/>
      <w:r>
        <w:rPr>
          <w:rFonts w:cs="Times New Roman"/>
          <w:szCs w:val="24"/>
        </w:rPr>
        <w:t xml:space="preserve">bemyndiger </w:t>
      </w:r>
      <w:proofErr w:type="spellStart"/>
      <w:r>
        <w:rPr>
          <w:rFonts w:cs="Times New Roman"/>
          <w:szCs w:val="24"/>
        </w:rPr>
        <w:t>Naalakkersuisut</w:t>
      </w:r>
      <w:proofErr w:type="spellEnd"/>
      <w:r>
        <w:rPr>
          <w:rFonts w:cs="Times New Roman"/>
          <w:szCs w:val="24"/>
        </w:rPr>
        <w:t xml:space="preserve"> til at indskrænke eller tilbagekalde tilladelser t</w:t>
      </w:r>
      <w:r w:rsidR="00655710">
        <w:rPr>
          <w:rFonts w:cs="Times New Roman"/>
          <w:szCs w:val="24"/>
        </w:rPr>
        <w:t>il forundersøgelser, efterforskning eller udnyttelse af mineralske råstoffer, hvis udnyttelse ikke kan ske i overensstemmelse med forbuddet.</w:t>
      </w:r>
    </w:p>
    <w:p w14:paraId="70792BD4" w14:textId="73935CA6" w:rsidR="00655710" w:rsidRDefault="00655710" w:rsidP="0018149C">
      <w:pPr>
        <w:spacing w:after="0"/>
        <w:rPr>
          <w:rFonts w:cs="Times New Roman"/>
          <w:szCs w:val="24"/>
        </w:rPr>
      </w:pPr>
    </w:p>
    <w:p w14:paraId="77563739" w14:textId="7538AA09" w:rsidR="00655710" w:rsidRDefault="00655710" w:rsidP="0018149C">
      <w:pPr>
        <w:spacing w:after="0"/>
        <w:rPr>
          <w:rFonts w:cs="Times New Roman"/>
          <w:szCs w:val="24"/>
        </w:rPr>
      </w:pPr>
      <w:proofErr w:type="spellStart"/>
      <w:r>
        <w:rPr>
          <w:rFonts w:cs="Times New Roman"/>
          <w:szCs w:val="24"/>
        </w:rPr>
        <w:t>Inatsisartutlovens</w:t>
      </w:r>
      <w:proofErr w:type="spellEnd"/>
      <w:r>
        <w:rPr>
          <w:rFonts w:cs="Times New Roman"/>
          <w:szCs w:val="24"/>
        </w:rPr>
        <w:t xml:space="preserve"> § 4 fastsætter, at overtrædelse af forbuddet kan medføre idømmelse af bøde, også for så vidt angår overtrædelser, som begås af selskaber m.v. (juridiske personer). </w:t>
      </w:r>
      <w:proofErr w:type="spellStart"/>
      <w:r w:rsidR="00AA015E">
        <w:rPr>
          <w:rFonts w:cs="Times New Roman"/>
          <w:szCs w:val="24"/>
        </w:rPr>
        <w:t>Naalakkersuisut</w:t>
      </w:r>
      <w:proofErr w:type="spellEnd"/>
      <w:r w:rsidR="00AA015E">
        <w:rPr>
          <w:rFonts w:cs="Times New Roman"/>
          <w:szCs w:val="24"/>
        </w:rPr>
        <w:t xml:space="preserve"> kan i bekendtgørelser, som udstedes med hjemmel i </w:t>
      </w:r>
      <w:proofErr w:type="spellStart"/>
      <w:r w:rsidR="00AA015E">
        <w:rPr>
          <w:rFonts w:cs="Times New Roman"/>
          <w:szCs w:val="24"/>
        </w:rPr>
        <w:t>Inatsisartutloven</w:t>
      </w:r>
      <w:proofErr w:type="spellEnd"/>
      <w:r w:rsidR="00AA015E">
        <w:rPr>
          <w:rFonts w:cs="Times New Roman"/>
          <w:szCs w:val="24"/>
        </w:rPr>
        <w:t xml:space="preserve"> fastsætte, at overtrædelse af bestemmelser i bekendtgørelsen</w:t>
      </w:r>
      <w:r w:rsidR="00AA015E" w:rsidRPr="00AA015E">
        <w:rPr>
          <w:rFonts w:cs="Times New Roman"/>
          <w:szCs w:val="24"/>
        </w:rPr>
        <w:t xml:space="preserve"> </w:t>
      </w:r>
      <w:r w:rsidR="00AA015E">
        <w:rPr>
          <w:rFonts w:cs="Times New Roman"/>
          <w:szCs w:val="24"/>
        </w:rPr>
        <w:t>kan medføre idømmelse af bøde.</w:t>
      </w:r>
    </w:p>
    <w:p w14:paraId="19E019AD" w14:textId="4545C5CF" w:rsidR="00AA015E" w:rsidRDefault="00AA015E" w:rsidP="0018149C">
      <w:pPr>
        <w:spacing w:after="0"/>
        <w:rPr>
          <w:rFonts w:cs="Times New Roman"/>
          <w:szCs w:val="24"/>
        </w:rPr>
      </w:pPr>
    </w:p>
    <w:p w14:paraId="3C7D3528" w14:textId="1858420B" w:rsidR="00A63439" w:rsidRPr="00952E7F" w:rsidRDefault="00AA015E" w:rsidP="0018149C">
      <w:pPr>
        <w:spacing w:after="0"/>
        <w:rPr>
          <w:rFonts w:cs="Times New Roman"/>
          <w:szCs w:val="24"/>
        </w:rPr>
      </w:pPr>
      <w:r>
        <w:rPr>
          <w:rFonts w:cs="Times New Roman"/>
          <w:szCs w:val="24"/>
        </w:rPr>
        <w:t xml:space="preserve">I </w:t>
      </w:r>
      <w:proofErr w:type="spellStart"/>
      <w:r>
        <w:rPr>
          <w:rFonts w:cs="Times New Roman"/>
          <w:szCs w:val="24"/>
        </w:rPr>
        <w:t>Inatsisartutlovens</w:t>
      </w:r>
      <w:proofErr w:type="spellEnd"/>
      <w:r>
        <w:rPr>
          <w:rFonts w:cs="Times New Roman"/>
          <w:szCs w:val="24"/>
        </w:rPr>
        <w:t xml:space="preserve"> § 5, stk. 2, er fastsat, at </w:t>
      </w:r>
      <w:proofErr w:type="spellStart"/>
      <w:r>
        <w:rPr>
          <w:rFonts w:cs="Times New Roman"/>
          <w:szCs w:val="24"/>
        </w:rPr>
        <w:t>Inatsisartutloven</w:t>
      </w:r>
      <w:proofErr w:type="spellEnd"/>
      <w:r>
        <w:rPr>
          <w:rFonts w:cs="Times New Roman"/>
          <w:szCs w:val="24"/>
        </w:rPr>
        <w:t xml:space="preserve"> finder anvendelse for tilladelser, som udstedes af efter </w:t>
      </w:r>
      <w:proofErr w:type="spellStart"/>
      <w:r>
        <w:rPr>
          <w:rFonts w:cs="Times New Roman"/>
          <w:szCs w:val="24"/>
        </w:rPr>
        <w:t>Inatsiartutloven</w:t>
      </w:r>
      <w:proofErr w:type="spellEnd"/>
      <w:r>
        <w:rPr>
          <w:rFonts w:cs="Times New Roman"/>
          <w:szCs w:val="24"/>
        </w:rPr>
        <w:t xml:space="preserve"> ikrafttræden. Det følger af § 5, stk. 1, at </w:t>
      </w:r>
      <w:proofErr w:type="spellStart"/>
      <w:r w:rsidR="00A63439" w:rsidRPr="00952E7F">
        <w:rPr>
          <w:rFonts w:cs="Times New Roman"/>
          <w:szCs w:val="24"/>
        </w:rPr>
        <w:t>Inatsisartutloven</w:t>
      </w:r>
      <w:proofErr w:type="spellEnd"/>
      <w:r w:rsidR="00A63439" w:rsidRPr="00952E7F">
        <w:rPr>
          <w:rFonts w:cs="Times New Roman"/>
          <w:szCs w:val="24"/>
        </w:rPr>
        <w:t xml:space="preserve"> trådte i kraft d</w:t>
      </w:r>
      <w:r w:rsidR="00EF1BBE">
        <w:rPr>
          <w:rFonts w:cs="Times New Roman"/>
          <w:szCs w:val="24"/>
        </w:rPr>
        <w:t>en</w:t>
      </w:r>
      <w:r w:rsidR="00A63439" w:rsidRPr="00952E7F">
        <w:rPr>
          <w:rFonts w:cs="Times New Roman"/>
          <w:szCs w:val="24"/>
        </w:rPr>
        <w:t xml:space="preserve"> 2. december 2021.</w:t>
      </w:r>
      <w:r w:rsidR="004A4B70">
        <w:rPr>
          <w:rFonts w:cs="Times New Roman"/>
          <w:szCs w:val="24"/>
        </w:rPr>
        <w:t xml:space="preserve"> </w:t>
      </w:r>
    </w:p>
    <w:p w14:paraId="2C5F9998" w14:textId="44ACBF48" w:rsidR="00A63439" w:rsidRPr="00952E7F" w:rsidRDefault="00A63439" w:rsidP="0018149C">
      <w:pPr>
        <w:spacing w:after="0"/>
        <w:rPr>
          <w:rFonts w:cs="Times New Roman"/>
          <w:szCs w:val="24"/>
        </w:rPr>
      </w:pPr>
    </w:p>
    <w:p w14:paraId="3232FC0F" w14:textId="545695F1" w:rsidR="00490344" w:rsidRPr="00952E7F" w:rsidRDefault="00490344" w:rsidP="0018149C">
      <w:pPr>
        <w:spacing w:after="0"/>
        <w:rPr>
          <w:rFonts w:cs="Times New Roman"/>
          <w:szCs w:val="24"/>
        </w:rPr>
      </w:pPr>
      <w:r w:rsidRPr="0018149C">
        <w:rPr>
          <w:rFonts w:cs="Times New Roman"/>
          <w:szCs w:val="24"/>
        </w:rPr>
        <w:t xml:space="preserve">2.2. </w:t>
      </w:r>
      <w:r w:rsidR="00A832D6" w:rsidRPr="00952E7F">
        <w:rPr>
          <w:rFonts w:cs="Times New Roman"/>
          <w:szCs w:val="24"/>
        </w:rPr>
        <w:t>Forslaget</w:t>
      </w:r>
    </w:p>
    <w:p w14:paraId="139F1B2D" w14:textId="3EA9FD44" w:rsidR="00044A64" w:rsidRDefault="00A832D6" w:rsidP="0018149C">
      <w:pPr>
        <w:spacing w:after="0"/>
        <w:rPr>
          <w:rFonts w:cs="Times New Roman"/>
          <w:szCs w:val="24"/>
        </w:rPr>
      </w:pPr>
      <w:r w:rsidRPr="00952E7F">
        <w:rPr>
          <w:rFonts w:cs="Times New Roman"/>
          <w:szCs w:val="24"/>
        </w:rPr>
        <w:t xml:space="preserve">Forslaget vil medføre, at der </w:t>
      </w:r>
      <w:r w:rsidR="00F24CAA">
        <w:rPr>
          <w:rFonts w:cs="Times New Roman"/>
          <w:szCs w:val="24"/>
        </w:rPr>
        <w:t xml:space="preserve">den 4.april 2023 </w:t>
      </w:r>
      <w:r w:rsidRPr="00952E7F">
        <w:rPr>
          <w:rFonts w:cs="Times New Roman"/>
          <w:szCs w:val="24"/>
        </w:rPr>
        <w:t xml:space="preserve">afholdes en vejledende folkeafstemning om ophævelse </w:t>
      </w:r>
      <w:r w:rsidR="00113B39" w:rsidRPr="00113B39">
        <w:rPr>
          <w:rFonts w:cs="Times New Roman"/>
          <w:szCs w:val="24"/>
        </w:rPr>
        <w:t xml:space="preserve">af </w:t>
      </w:r>
      <w:proofErr w:type="spellStart"/>
      <w:r w:rsidR="00113B39" w:rsidRPr="00113B39">
        <w:rPr>
          <w:rFonts w:cs="Times New Roman"/>
          <w:szCs w:val="24"/>
        </w:rPr>
        <w:t>Inatsisartutlov</w:t>
      </w:r>
      <w:proofErr w:type="spellEnd"/>
      <w:r w:rsidR="00113B39" w:rsidRPr="00113B39">
        <w:rPr>
          <w:rFonts w:cs="Times New Roman"/>
          <w:szCs w:val="24"/>
        </w:rPr>
        <w:t xml:space="preserve"> nr. 20 af 1. december 2021 om forbud mod forundersøgelse, efterforskning og udnyttelse af uran mv.</w:t>
      </w:r>
    </w:p>
    <w:p w14:paraId="1A65FB7D" w14:textId="77777777" w:rsidR="00243EFD" w:rsidRDefault="00243EFD" w:rsidP="0018149C">
      <w:pPr>
        <w:spacing w:after="0"/>
        <w:rPr>
          <w:rFonts w:cs="Times New Roman"/>
          <w:szCs w:val="24"/>
        </w:rPr>
      </w:pPr>
    </w:p>
    <w:p w14:paraId="657C5E96" w14:textId="77C5211D" w:rsidR="00044A64" w:rsidRDefault="00044A64" w:rsidP="0018149C">
      <w:pPr>
        <w:spacing w:after="0"/>
        <w:rPr>
          <w:rFonts w:cs="Times New Roman"/>
          <w:szCs w:val="24"/>
        </w:rPr>
      </w:pPr>
      <w:r>
        <w:rPr>
          <w:rFonts w:cs="Times New Roman"/>
          <w:szCs w:val="24"/>
        </w:rPr>
        <w:t xml:space="preserve">Et forslag til </w:t>
      </w:r>
      <w:proofErr w:type="spellStart"/>
      <w:r>
        <w:rPr>
          <w:rFonts w:cs="Times New Roman"/>
          <w:szCs w:val="24"/>
        </w:rPr>
        <w:t>Inatsisartutlov</w:t>
      </w:r>
      <w:proofErr w:type="spellEnd"/>
      <w:r>
        <w:rPr>
          <w:rFonts w:cs="Times New Roman"/>
          <w:szCs w:val="24"/>
        </w:rPr>
        <w:t xml:space="preserve"> om </w:t>
      </w:r>
      <w:r w:rsidRPr="00952E7F">
        <w:rPr>
          <w:rFonts w:cs="Times New Roman"/>
          <w:szCs w:val="24"/>
        </w:rPr>
        <w:t xml:space="preserve">ophævelse </w:t>
      </w:r>
      <w:r w:rsidRPr="00113B39">
        <w:rPr>
          <w:rFonts w:cs="Times New Roman"/>
          <w:szCs w:val="24"/>
        </w:rPr>
        <w:t xml:space="preserve">af </w:t>
      </w:r>
      <w:proofErr w:type="spellStart"/>
      <w:r w:rsidRPr="00113B39">
        <w:rPr>
          <w:rFonts w:cs="Times New Roman"/>
          <w:szCs w:val="24"/>
        </w:rPr>
        <w:t>Inatsisartutlov</w:t>
      </w:r>
      <w:proofErr w:type="spellEnd"/>
      <w:r w:rsidRPr="00113B39">
        <w:rPr>
          <w:rFonts w:cs="Times New Roman"/>
          <w:szCs w:val="24"/>
        </w:rPr>
        <w:t xml:space="preserve"> om forbud mod forundersøgelse, efterforskning og udnyttelse af uran mv</w:t>
      </w:r>
      <w:r>
        <w:rPr>
          <w:rFonts w:cs="Times New Roman"/>
          <w:szCs w:val="24"/>
        </w:rPr>
        <w:t xml:space="preserve">. fremsættes af </w:t>
      </w:r>
      <w:proofErr w:type="spellStart"/>
      <w:r>
        <w:rPr>
          <w:rFonts w:cs="Times New Roman"/>
          <w:szCs w:val="24"/>
        </w:rPr>
        <w:t>Naaakkersuisut</w:t>
      </w:r>
      <w:proofErr w:type="spellEnd"/>
      <w:r>
        <w:rPr>
          <w:rFonts w:cs="Times New Roman"/>
          <w:szCs w:val="24"/>
        </w:rPr>
        <w:t xml:space="preserve"> senest 3 uger forud herfor.</w:t>
      </w:r>
    </w:p>
    <w:p w14:paraId="58EE4F7B" w14:textId="4C325A48" w:rsidR="00044A64" w:rsidRDefault="00044A64" w:rsidP="0018149C">
      <w:pPr>
        <w:spacing w:after="0"/>
        <w:rPr>
          <w:rFonts w:cs="Times New Roman"/>
          <w:szCs w:val="24"/>
        </w:rPr>
      </w:pPr>
      <w:r>
        <w:rPr>
          <w:rFonts w:cs="Times New Roman"/>
          <w:szCs w:val="24"/>
        </w:rPr>
        <w:t xml:space="preserve">Dette lovforslag danner grundlag for vælgernes stillingtagen ved </w:t>
      </w:r>
      <w:r w:rsidR="00E678AF">
        <w:rPr>
          <w:rFonts w:cs="Times New Roman"/>
          <w:szCs w:val="24"/>
        </w:rPr>
        <w:t xml:space="preserve">den vejledende </w:t>
      </w:r>
      <w:r>
        <w:rPr>
          <w:rFonts w:cs="Times New Roman"/>
          <w:szCs w:val="24"/>
        </w:rPr>
        <w:t xml:space="preserve">folkeafstemning – og vælgernes stillingtagen ved </w:t>
      </w:r>
      <w:r w:rsidR="00E678AF">
        <w:rPr>
          <w:rFonts w:cs="Times New Roman"/>
          <w:szCs w:val="24"/>
        </w:rPr>
        <w:t xml:space="preserve">den vejledende </w:t>
      </w:r>
      <w:r>
        <w:rPr>
          <w:rFonts w:cs="Times New Roman"/>
          <w:szCs w:val="24"/>
        </w:rPr>
        <w:t xml:space="preserve">folkeafstemning </w:t>
      </w:r>
      <w:r w:rsidR="002F200D">
        <w:rPr>
          <w:rFonts w:cs="Times New Roman"/>
          <w:szCs w:val="24"/>
        </w:rPr>
        <w:t>danner grundlag for</w:t>
      </w:r>
      <w:r>
        <w:rPr>
          <w:rFonts w:cs="Times New Roman"/>
          <w:szCs w:val="24"/>
        </w:rPr>
        <w:t xml:space="preserve"> </w:t>
      </w:r>
      <w:proofErr w:type="spellStart"/>
      <w:r>
        <w:rPr>
          <w:rFonts w:cs="Times New Roman"/>
          <w:szCs w:val="24"/>
        </w:rPr>
        <w:t>Inatsisartuts</w:t>
      </w:r>
      <w:proofErr w:type="spellEnd"/>
      <w:r>
        <w:rPr>
          <w:rFonts w:cs="Times New Roman"/>
          <w:szCs w:val="24"/>
        </w:rPr>
        <w:t xml:space="preserve"> efterfølgende stillingtagen til lovforslaget.</w:t>
      </w:r>
    </w:p>
    <w:p w14:paraId="28E6494C" w14:textId="2596AD78" w:rsidR="004A4B70" w:rsidRDefault="004A4B70" w:rsidP="0018149C">
      <w:pPr>
        <w:spacing w:after="0"/>
        <w:rPr>
          <w:rFonts w:cs="Times New Roman"/>
          <w:szCs w:val="24"/>
        </w:rPr>
      </w:pPr>
    </w:p>
    <w:p w14:paraId="45BA1C47" w14:textId="301C37AD" w:rsidR="004A4B70" w:rsidRDefault="004A4B70" w:rsidP="0018149C">
      <w:pPr>
        <w:spacing w:after="0"/>
        <w:rPr>
          <w:rFonts w:cs="Times New Roman"/>
          <w:szCs w:val="24"/>
        </w:rPr>
      </w:pPr>
      <w:r>
        <w:rPr>
          <w:rFonts w:cs="Times New Roman"/>
          <w:szCs w:val="24"/>
        </w:rPr>
        <w:t>D</w:t>
      </w:r>
      <w:r w:rsidRPr="004A4B70">
        <w:rPr>
          <w:rFonts w:cs="Times New Roman"/>
          <w:szCs w:val="24"/>
        </w:rPr>
        <w:t>en vejledende folkeafstemning forberedes og gennemføres efter samme retningslinjer, som gælder for valg til Inatsisartut</w:t>
      </w:r>
      <w:r>
        <w:rPr>
          <w:rFonts w:cs="Times New Roman"/>
          <w:szCs w:val="24"/>
        </w:rPr>
        <w:t>.</w:t>
      </w:r>
      <w:r w:rsidRPr="004A4B70">
        <w:rPr>
          <w:rFonts w:cs="Times New Roman"/>
          <w:szCs w:val="24"/>
        </w:rPr>
        <w:t xml:space="preserve"> Selve valghandlingen </w:t>
      </w:r>
      <w:r>
        <w:rPr>
          <w:rFonts w:cs="Times New Roman"/>
          <w:szCs w:val="24"/>
        </w:rPr>
        <w:t xml:space="preserve">forventes </w:t>
      </w:r>
      <w:r w:rsidRPr="004A4B70">
        <w:rPr>
          <w:rFonts w:cs="Times New Roman"/>
          <w:szCs w:val="24"/>
        </w:rPr>
        <w:t xml:space="preserve">derfor </w:t>
      </w:r>
      <w:r>
        <w:rPr>
          <w:rFonts w:cs="Times New Roman"/>
          <w:szCs w:val="24"/>
        </w:rPr>
        <w:t xml:space="preserve">at </w:t>
      </w:r>
      <w:r w:rsidRPr="004A4B70">
        <w:rPr>
          <w:rFonts w:cs="Times New Roman"/>
          <w:szCs w:val="24"/>
        </w:rPr>
        <w:t xml:space="preserve">blive koordineret af </w:t>
      </w:r>
      <w:r w:rsidR="006F6065" w:rsidRPr="00C51B0F">
        <w:rPr>
          <w:rFonts w:cs="Times New Roman"/>
          <w:szCs w:val="24"/>
        </w:rPr>
        <w:t>Indenrigsafdelingen</w:t>
      </w:r>
      <w:r w:rsidR="006F6065">
        <w:rPr>
          <w:rFonts w:cs="Times New Roman"/>
          <w:szCs w:val="24"/>
        </w:rPr>
        <w:t xml:space="preserve"> </w:t>
      </w:r>
      <w:r w:rsidRPr="004A4B70">
        <w:rPr>
          <w:rFonts w:cs="Times New Roman"/>
          <w:szCs w:val="24"/>
        </w:rPr>
        <w:t xml:space="preserve">på samme måde, som det kendes fra valg til </w:t>
      </w:r>
      <w:r>
        <w:rPr>
          <w:rFonts w:cs="Times New Roman"/>
          <w:szCs w:val="24"/>
        </w:rPr>
        <w:t>Inatsisartut</w:t>
      </w:r>
      <w:r w:rsidRPr="004A4B70">
        <w:rPr>
          <w:rFonts w:cs="Times New Roman"/>
          <w:szCs w:val="24"/>
        </w:rPr>
        <w:t>.</w:t>
      </w:r>
    </w:p>
    <w:p w14:paraId="7B7A2154" w14:textId="46FC9179" w:rsidR="004A4B70" w:rsidRDefault="004A4B70" w:rsidP="0018149C">
      <w:pPr>
        <w:spacing w:after="0"/>
        <w:rPr>
          <w:rFonts w:cs="Times New Roman"/>
          <w:szCs w:val="24"/>
        </w:rPr>
      </w:pPr>
    </w:p>
    <w:p w14:paraId="6265B768" w14:textId="70967176" w:rsidR="004A4B70" w:rsidRDefault="004A4B70" w:rsidP="0018149C">
      <w:pPr>
        <w:spacing w:after="0"/>
        <w:rPr>
          <w:rFonts w:cs="Times New Roman"/>
          <w:szCs w:val="24"/>
        </w:rPr>
      </w:pPr>
      <w:r w:rsidRPr="004A4B70">
        <w:rPr>
          <w:rFonts w:cs="Times New Roman"/>
          <w:szCs w:val="24"/>
        </w:rPr>
        <w:t xml:space="preserve">Stemmeberettiget </w:t>
      </w:r>
      <w:r>
        <w:rPr>
          <w:rFonts w:cs="Times New Roman"/>
          <w:szCs w:val="24"/>
        </w:rPr>
        <w:t xml:space="preserve">ved den vejledende folkeafstemning </w:t>
      </w:r>
      <w:r w:rsidRPr="004A4B70">
        <w:rPr>
          <w:rFonts w:cs="Times New Roman"/>
          <w:szCs w:val="24"/>
        </w:rPr>
        <w:t>er enhver, som på afstemningsdagen ville kunne stemme til et valg til Inatsisartut.</w:t>
      </w:r>
    </w:p>
    <w:p w14:paraId="111B59BA" w14:textId="77777777" w:rsidR="004A4B70" w:rsidRDefault="004A4B70" w:rsidP="0018149C">
      <w:pPr>
        <w:spacing w:after="0"/>
        <w:rPr>
          <w:rFonts w:cs="Times New Roman"/>
          <w:szCs w:val="24"/>
        </w:rPr>
      </w:pPr>
    </w:p>
    <w:p w14:paraId="2089ABAA" w14:textId="0FDBB9F8" w:rsidR="004A4B70" w:rsidRDefault="004A4B70" w:rsidP="0018149C">
      <w:pPr>
        <w:spacing w:after="0"/>
        <w:rPr>
          <w:rFonts w:cs="Times New Roman"/>
          <w:szCs w:val="24"/>
        </w:rPr>
      </w:pPr>
      <w:r w:rsidRPr="004A4B70">
        <w:rPr>
          <w:rFonts w:cs="Times New Roman"/>
          <w:szCs w:val="24"/>
        </w:rPr>
        <w:t xml:space="preserve">At den vejledende folkeafstemning forberedes og gennemføres efter samme retningslinjer, som gælder for valg til Inatsisartut, indebærer endvidere, at midler, der er afsat på finanslovens </w:t>
      </w:r>
      <w:proofErr w:type="spellStart"/>
      <w:r w:rsidRPr="004A4B70">
        <w:rPr>
          <w:rFonts w:cs="Times New Roman"/>
          <w:szCs w:val="24"/>
        </w:rPr>
        <w:t>hovedkonto</w:t>
      </w:r>
      <w:proofErr w:type="spellEnd"/>
      <w:r w:rsidRPr="004A4B70">
        <w:rPr>
          <w:rFonts w:cs="Times New Roman"/>
          <w:szCs w:val="24"/>
        </w:rPr>
        <w:t xml:space="preserve"> 20.05.34 Tilskud til partiernes valgkamp, kan søges og udbetales efter vedtagelse af nærværende forslag til </w:t>
      </w:r>
      <w:proofErr w:type="spellStart"/>
      <w:r w:rsidRPr="004A4B70">
        <w:rPr>
          <w:rFonts w:cs="Times New Roman"/>
          <w:szCs w:val="24"/>
        </w:rPr>
        <w:t>Inatsisartutlov</w:t>
      </w:r>
      <w:proofErr w:type="spellEnd"/>
      <w:r w:rsidRPr="004A4B70">
        <w:rPr>
          <w:rFonts w:cs="Times New Roman"/>
          <w:szCs w:val="24"/>
        </w:rPr>
        <w:t>.</w:t>
      </w:r>
    </w:p>
    <w:p w14:paraId="0A33ED44" w14:textId="0B8EBB00" w:rsidR="00132419" w:rsidRPr="0018149C" w:rsidRDefault="00132419" w:rsidP="0018149C">
      <w:pPr>
        <w:spacing w:after="0"/>
        <w:rPr>
          <w:rFonts w:cs="Times New Roman"/>
          <w:b/>
          <w:bCs/>
          <w:szCs w:val="24"/>
        </w:rPr>
      </w:pPr>
    </w:p>
    <w:p w14:paraId="5337D974" w14:textId="67103A34" w:rsidR="00721483" w:rsidRPr="0018149C" w:rsidRDefault="00721483" w:rsidP="0018149C">
      <w:pPr>
        <w:spacing w:after="0"/>
        <w:rPr>
          <w:rFonts w:cs="Times New Roman"/>
          <w:b/>
          <w:szCs w:val="24"/>
        </w:rPr>
      </w:pPr>
      <w:r w:rsidRPr="00952E7F">
        <w:rPr>
          <w:rFonts w:cs="Times New Roman"/>
          <w:b/>
          <w:szCs w:val="24"/>
        </w:rPr>
        <w:t xml:space="preserve">3. </w:t>
      </w:r>
      <w:r w:rsidRPr="00952E7F">
        <w:rPr>
          <w:rFonts w:cs="Times New Roman"/>
          <w:b/>
          <w:bCs/>
          <w:szCs w:val="24"/>
        </w:rPr>
        <w:t>Økonomiske og administrative konsekvenser for det offentlige</w:t>
      </w:r>
    </w:p>
    <w:p w14:paraId="5F438518" w14:textId="2B5E4E35" w:rsidR="00154833" w:rsidRDefault="00154833" w:rsidP="0018149C">
      <w:pPr>
        <w:spacing w:after="0"/>
      </w:pPr>
      <w:r>
        <w:t xml:space="preserve">Et skøn over udgifterne ved en folkeafstemning vil i sagens natur være forbundet med nogen usikkerhed. Blandt andet ville udgifterne afhænge af i hvilket omfang, der skal gennemføres </w:t>
      </w:r>
      <w:bookmarkStart w:id="4" w:name="_Hlk108073518"/>
      <w:r>
        <w:t xml:space="preserve">oplysende og debatskabende aktiviteter forud for folkeafstemningen. </w:t>
      </w:r>
      <w:bookmarkEnd w:id="4"/>
    </w:p>
    <w:p w14:paraId="5BEB1DCB" w14:textId="77777777" w:rsidR="002D65E6" w:rsidRDefault="002D65E6" w:rsidP="0018149C">
      <w:pPr>
        <w:spacing w:after="0"/>
      </w:pPr>
    </w:p>
    <w:p w14:paraId="39634EBB" w14:textId="2EB075B5" w:rsidR="00154833" w:rsidRDefault="00154833" w:rsidP="0018149C">
      <w:pPr>
        <w:spacing w:after="0"/>
      </w:pPr>
      <w:proofErr w:type="spellStart"/>
      <w:r>
        <w:lastRenderedPageBreak/>
        <w:t>Naalakkersuisut</w:t>
      </w:r>
      <w:proofErr w:type="spellEnd"/>
      <w:r>
        <w:t xml:space="preserve"> har i sin besvarelse af § </w:t>
      </w:r>
      <w:r w:rsidRPr="00952E7F">
        <w:rPr>
          <w:rFonts w:cs="Times New Roman"/>
          <w:szCs w:val="24"/>
        </w:rPr>
        <w:t xml:space="preserve">37 spørgsmål </w:t>
      </w:r>
      <w:proofErr w:type="spellStart"/>
      <w:r w:rsidRPr="00952E7F">
        <w:rPr>
          <w:rFonts w:cs="Times New Roman"/>
          <w:szCs w:val="24"/>
        </w:rPr>
        <w:t>nr</w:t>
      </w:r>
      <w:proofErr w:type="spellEnd"/>
      <w:r w:rsidRPr="00952E7F">
        <w:rPr>
          <w:rFonts w:cs="Times New Roman"/>
          <w:szCs w:val="24"/>
        </w:rPr>
        <w:t xml:space="preserve"> 43/2016</w:t>
      </w:r>
      <w:r>
        <w:rPr>
          <w:rFonts w:cs="Times New Roman"/>
          <w:szCs w:val="24"/>
        </w:rPr>
        <w:t xml:space="preserve"> oplyst, at u</w:t>
      </w:r>
      <w:r>
        <w:t xml:space="preserve">dgifterne til den seneste nationale folkeafstemning </w:t>
      </w:r>
      <w:r w:rsidR="00CB531F">
        <w:t>(folkeafst</w:t>
      </w:r>
      <w:r w:rsidR="002D65E6">
        <w:t>e</w:t>
      </w:r>
      <w:r w:rsidR="00CB531F">
        <w:t>mningen om selvstyreloven i 2008) udgjorde</w:t>
      </w:r>
      <w:r>
        <w:t xml:space="preserve"> ca. 2 mio.kr. </w:t>
      </w:r>
      <w:r w:rsidR="00CB531F">
        <w:t>Heraf udgjorde u</w:t>
      </w:r>
      <w:r>
        <w:t xml:space="preserve">dgifterne til udvikling af valgsystem, udarbejdelse og trykning af afstemningsmateriale, forsendelse, </w:t>
      </w:r>
      <w:r w:rsidR="00CB531F">
        <w:t>ann</w:t>
      </w:r>
      <w:r>
        <w:t>oncering og konsulentydelse</w:t>
      </w:r>
      <w:r w:rsidR="00CB531F" w:rsidRPr="00CB531F">
        <w:t xml:space="preserve"> </w:t>
      </w:r>
      <w:r w:rsidR="00CB531F">
        <w:t>ca. 500.000 kr. C</w:t>
      </w:r>
      <w:r>
        <w:t xml:space="preserve">a. 1.500.000 kr. </w:t>
      </w:r>
      <w:r w:rsidR="00CB531F">
        <w:t>blev ydet i</w:t>
      </w:r>
      <w:r>
        <w:t xml:space="preserve"> tilskud til aktiviteter af oplysende og debatskabende karakter</w:t>
      </w:r>
      <w:r w:rsidR="000725BA">
        <w:t>, herunder som tilskud til partiernes valgkamp</w:t>
      </w:r>
      <w:r>
        <w:t>.</w:t>
      </w:r>
    </w:p>
    <w:p w14:paraId="0B13DF40" w14:textId="1468427D" w:rsidR="002D65E6" w:rsidRDefault="002D65E6" w:rsidP="0018149C">
      <w:pPr>
        <w:spacing w:after="0"/>
        <w:rPr>
          <w:rFonts w:cs="Times New Roman"/>
          <w:szCs w:val="24"/>
        </w:rPr>
      </w:pPr>
    </w:p>
    <w:p w14:paraId="0A43AF27" w14:textId="6B13CC72" w:rsidR="00912DCD" w:rsidRDefault="00912DCD" w:rsidP="0018149C">
      <w:pPr>
        <w:spacing w:after="0"/>
        <w:rPr>
          <w:rFonts w:cs="Times New Roman"/>
          <w:szCs w:val="24"/>
        </w:rPr>
      </w:pPr>
      <w:r>
        <w:rPr>
          <w:rFonts w:cs="Times New Roman"/>
          <w:szCs w:val="24"/>
        </w:rPr>
        <w:t xml:space="preserve">Også det administrative ressourceforbrug ved gennemførelse af en folkeafstemning vil afhænge af, i hvilket omfang </w:t>
      </w:r>
      <w:proofErr w:type="spellStart"/>
      <w:r>
        <w:rPr>
          <w:rFonts w:cs="Times New Roman"/>
          <w:szCs w:val="24"/>
        </w:rPr>
        <w:t>Naalakkersuisut</w:t>
      </w:r>
      <w:proofErr w:type="spellEnd"/>
      <w:r>
        <w:rPr>
          <w:rFonts w:cs="Times New Roman"/>
          <w:szCs w:val="24"/>
        </w:rPr>
        <w:t xml:space="preserve"> gennemfører </w:t>
      </w:r>
      <w:r>
        <w:t xml:space="preserve">oplysende og debatskabende aktiviteter forud for folkeafstemningen. Umiddelbart forventes et administrativt ressourceforbrug </w:t>
      </w:r>
      <w:r w:rsidR="00593D8D">
        <w:t>svarende til</w:t>
      </w:r>
      <w:r>
        <w:t xml:space="preserve"> </w:t>
      </w:r>
      <w:r w:rsidR="00593D8D">
        <w:t xml:space="preserve">2-6 </w:t>
      </w:r>
      <w:r>
        <w:t>årsværk</w:t>
      </w:r>
      <w:r w:rsidR="00593D8D">
        <w:t>. Dette skøn er dog forbundet med betydelig usikkerhed.</w:t>
      </w:r>
    </w:p>
    <w:p w14:paraId="49C75285" w14:textId="77777777" w:rsidR="00912DCD" w:rsidRDefault="00912DCD" w:rsidP="0018149C">
      <w:pPr>
        <w:spacing w:after="0"/>
        <w:rPr>
          <w:rFonts w:cs="Times New Roman"/>
          <w:szCs w:val="24"/>
        </w:rPr>
      </w:pPr>
    </w:p>
    <w:p w14:paraId="7ECB7DA3" w14:textId="4930FF6C" w:rsidR="002D65E6" w:rsidRDefault="00912DCD" w:rsidP="0018149C">
      <w:pPr>
        <w:spacing w:after="0"/>
        <w:rPr>
          <w:rFonts w:cs="Times New Roman"/>
          <w:szCs w:val="24"/>
        </w:rPr>
      </w:pPr>
      <w:r>
        <w:rPr>
          <w:rFonts w:cs="Times New Roman"/>
          <w:szCs w:val="24"/>
        </w:rPr>
        <w:t>U</w:t>
      </w:r>
      <w:r w:rsidR="002D65E6">
        <w:rPr>
          <w:rFonts w:cs="Times New Roman"/>
          <w:szCs w:val="24"/>
        </w:rPr>
        <w:t xml:space="preserve">darbejdelse af et forslag til </w:t>
      </w:r>
      <w:proofErr w:type="spellStart"/>
      <w:r w:rsidR="002D65E6">
        <w:rPr>
          <w:rFonts w:cs="Times New Roman"/>
          <w:szCs w:val="24"/>
        </w:rPr>
        <w:t>inatsisartutlov</w:t>
      </w:r>
      <w:proofErr w:type="spellEnd"/>
      <w:r>
        <w:rPr>
          <w:rFonts w:cs="Times New Roman"/>
          <w:szCs w:val="24"/>
        </w:rPr>
        <w:t xml:space="preserve"> om ophævelse af </w:t>
      </w:r>
      <w:proofErr w:type="spellStart"/>
      <w:r w:rsidRPr="00912DCD">
        <w:rPr>
          <w:rFonts w:cs="Times New Roman"/>
          <w:szCs w:val="24"/>
        </w:rPr>
        <w:t>Inatsisartutlov</w:t>
      </w:r>
      <w:proofErr w:type="spellEnd"/>
      <w:r w:rsidRPr="00912DCD">
        <w:rPr>
          <w:rFonts w:cs="Times New Roman"/>
          <w:szCs w:val="24"/>
        </w:rPr>
        <w:t xml:space="preserve"> om forbud mod forundersøgelse, efterforskning og udnyttelse af uran mv.</w:t>
      </w:r>
      <w:r>
        <w:rPr>
          <w:rFonts w:cs="Times New Roman"/>
          <w:szCs w:val="24"/>
        </w:rPr>
        <w:t xml:space="preserve"> forventes at indebære et administrativt </w:t>
      </w:r>
      <w:proofErr w:type="spellStart"/>
      <w:r>
        <w:rPr>
          <w:rFonts w:cs="Times New Roman"/>
          <w:szCs w:val="24"/>
        </w:rPr>
        <w:t>ressourcefobrug</w:t>
      </w:r>
      <w:proofErr w:type="spellEnd"/>
      <w:r>
        <w:rPr>
          <w:rFonts w:cs="Times New Roman"/>
          <w:szCs w:val="24"/>
        </w:rPr>
        <w:t xml:space="preserve"> svarende til ikke over 1 årsværk.</w:t>
      </w:r>
    </w:p>
    <w:p w14:paraId="77C3ACE5" w14:textId="01D5C78D" w:rsidR="0066152C" w:rsidRDefault="0066152C" w:rsidP="0018149C">
      <w:pPr>
        <w:spacing w:after="0"/>
        <w:rPr>
          <w:rFonts w:cs="Times New Roman"/>
          <w:szCs w:val="24"/>
        </w:rPr>
      </w:pPr>
    </w:p>
    <w:p w14:paraId="01552699" w14:textId="5795A754" w:rsidR="00300A83" w:rsidRDefault="00300A83" w:rsidP="0018149C">
      <w:pPr>
        <w:spacing w:after="0"/>
        <w:rPr>
          <w:rFonts w:cs="Times New Roman"/>
          <w:szCs w:val="24"/>
        </w:rPr>
      </w:pPr>
      <w:r w:rsidRPr="00300A83">
        <w:rPr>
          <w:rFonts w:cs="Times New Roman"/>
          <w:szCs w:val="24"/>
        </w:rPr>
        <w:t xml:space="preserve">Endelig får kommunerne udgifter til </w:t>
      </w:r>
      <w:r>
        <w:rPr>
          <w:rFonts w:cs="Times New Roman"/>
          <w:szCs w:val="24"/>
        </w:rPr>
        <w:t>afvikling a</w:t>
      </w:r>
      <w:r w:rsidRPr="00300A83">
        <w:rPr>
          <w:rFonts w:cs="Times New Roman"/>
          <w:szCs w:val="24"/>
        </w:rPr>
        <w:t xml:space="preserve">f afstemningen og optælling af stemmerne. De hermed forbundne udgifter forudsættes afholdt af kommunerne, som det er tilfældet ved valg til </w:t>
      </w:r>
      <w:r>
        <w:rPr>
          <w:rFonts w:cs="Times New Roman"/>
          <w:szCs w:val="24"/>
        </w:rPr>
        <w:t>Inatsisartut</w:t>
      </w:r>
      <w:r w:rsidRPr="00300A83">
        <w:rPr>
          <w:rFonts w:cs="Times New Roman"/>
          <w:szCs w:val="24"/>
        </w:rPr>
        <w:t xml:space="preserve">, </w:t>
      </w:r>
      <w:r>
        <w:rPr>
          <w:rFonts w:cs="Times New Roman"/>
          <w:szCs w:val="24"/>
        </w:rPr>
        <w:t xml:space="preserve">og til </w:t>
      </w:r>
      <w:r w:rsidRPr="00300A83">
        <w:rPr>
          <w:rFonts w:cs="Times New Roman"/>
          <w:szCs w:val="24"/>
        </w:rPr>
        <w:t>kommunalbestyrelser m.m.</w:t>
      </w:r>
    </w:p>
    <w:p w14:paraId="3AC32D40" w14:textId="77777777" w:rsidR="00300A83" w:rsidRDefault="00300A83" w:rsidP="0018149C">
      <w:pPr>
        <w:spacing w:after="0"/>
        <w:rPr>
          <w:rFonts w:cs="Times New Roman"/>
          <w:szCs w:val="24"/>
        </w:rPr>
      </w:pPr>
    </w:p>
    <w:p w14:paraId="4014A0A5" w14:textId="58B7E16F" w:rsidR="0066152C" w:rsidRDefault="0066152C" w:rsidP="0018149C">
      <w:pPr>
        <w:spacing w:after="0"/>
        <w:rPr>
          <w:rFonts w:cs="Times New Roman"/>
          <w:szCs w:val="24"/>
        </w:rPr>
      </w:pPr>
      <w:r w:rsidRPr="00952E7F">
        <w:rPr>
          <w:rFonts w:cs="Times New Roman"/>
          <w:szCs w:val="24"/>
        </w:rPr>
        <w:t xml:space="preserve">De økonomiske og administrative konsekvenser </w:t>
      </w:r>
      <w:r>
        <w:rPr>
          <w:rFonts w:cs="Times New Roman"/>
          <w:szCs w:val="24"/>
        </w:rPr>
        <w:t>for det offentlige ved en eventuel ophævelse af</w:t>
      </w:r>
      <w:r w:rsidRPr="00952E7F">
        <w:rPr>
          <w:rFonts w:cs="Times New Roman"/>
          <w:szCs w:val="24"/>
        </w:rPr>
        <w:t xml:space="preserve"> </w:t>
      </w:r>
      <w:proofErr w:type="spellStart"/>
      <w:r w:rsidRPr="00952E7F">
        <w:rPr>
          <w:rFonts w:cs="Times New Roman"/>
          <w:szCs w:val="24"/>
        </w:rPr>
        <w:t>Inatsisartutlov</w:t>
      </w:r>
      <w:proofErr w:type="spellEnd"/>
      <w:r w:rsidRPr="00952E7F">
        <w:rPr>
          <w:rFonts w:cs="Times New Roman"/>
          <w:szCs w:val="24"/>
        </w:rPr>
        <w:t xml:space="preserve"> om forbud mod forundersøgelse, efterforskning og udnyttelse af uran mv. </w:t>
      </w:r>
      <w:r>
        <w:rPr>
          <w:rFonts w:cs="Times New Roman"/>
          <w:szCs w:val="24"/>
        </w:rPr>
        <w:t xml:space="preserve">vil blive særskilt belyst i lovbemærkningerne til det lovforslag, som fremsættes af </w:t>
      </w:r>
      <w:proofErr w:type="spellStart"/>
      <w:r>
        <w:rPr>
          <w:rFonts w:cs="Times New Roman"/>
          <w:szCs w:val="24"/>
        </w:rPr>
        <w:t>Naalakkersuisut</w:t>
      </w:r>
      <w:proofErr w:type="spellEnd"/>
      <w:r>
        <w:rPr>
          <w:rFonts w:cs="Times New Roman"/>
          <w:szCs w:val="24"/>
        </w:rPr>
        <w:t>.</w:t>
      </w:r>
    </w:p>
    <w:p w14:paraId="3AC98371" w14:textId="77777777" w:rsidR="00912DCD" w:rsidRPr="00952E7F" w:rsidRDefault="00912DCD" w:rsidP="0018149C">
      <w:pPr>
        <w:spacing w:after="0"/>
        <w:rPr>
          <w:rFonts w:cs="Times New Roman"/>
          <w:szCs w:val="24"/>
        </w:rPr>
      </w:pPr>
    </w:p>
    <w:p w14:paraId="7FFC1343" w14:textId="60B6A999" w:rsidR="00721483" w:rsidRPr="0018149C" w:rsidRDefault="00721483" w:rsidP="0018149C">
      <w:pPr>
        <w:spacing w:after="0"/>
        <w:rPr>
          <w:rFonts w:cs="Times New Roman"/>
          <w:b/>
          <w:szCs w:val="24"/>
        </w:rPr>
      </w:pPr>
      <w:r w:rsidRPr="00952E7F">
        <w:rPr>
          <w:rFonts w:cs="Times New Roman"/>
          <w:b/>
          <w:szCs w:val="24"/>
        </w:rPr>
        <w:t>4. Økonomiske og administrative konsekvenser for erhvervslivet</w:t>
      </w:r>
    </w:p>
    <w:p w14:paraId="718BE284" w14:textId="46A850C9" w:rsidR="00A8737D" w:rsidRPr="00952E7F" w:rsidRDefault="00C156A9" w:rsidP="0018149C">
      <w:pPr>
        <w:spacing w:after="0"/>
        <w:rPr>
          <w:rFonts w:cs="Times New Roman"/>
          <w:szCs w:val="24"/>
        </w:rPr>
      </w:pPr>
      <w:r w:rsidRPr="00952E7F">
        <w:rPr>
          <w:rFonts w:cs="Times New Roman"/>
          <w:szCs w:val="24"/>
        </w:rPr>
        <w:t>Forslaget forventes ikke at have administrative konsekvenser for erhvervslivet.</w:t>
      </w:r>
    </w:p>
    <w:p w14:paraId="714BDCC2" w14:textId="36FA48AB" w:rsidR="00C156A9" w:rsidRDefault="00C156A9" w:rsidP="0018149C">
      <w:pPr>
        <w:spacing w:after="0"/>
        <w:rPr>
          <w:rFonts w:cs="Times New Roman"/>
          <w:szCs w:val="24"/>
        </w:rPr>
      </w:pPr>
      <w:r w:rsidRPr="00952E7F">
        <w:rPr>
          <w:rFonts w:cs="Times New Roman"/>
          <w:szCs w:val="24"/>
        </w:rPr>
        <w:t xml:space="preserve">De økonomiske og administrative konsekvenser </w:t>
      </w:r>
      <w:r w:rsidR="0066152C">
        <w:rPr>
          <w:rFonts w:cs="Times New Roman"/>
          <w:szCs w:val="24"/>
        </w:rPr>
        <w:t xml:space="preserve">for erhvervslivet </w:t>
      </w:r>
      <w:r w:rsidR="00E9311D">
        <w:rPr>
          <w:rFonts w:cs="Times New Roman"/>
          <w:szCs w:val="24"/>
        </w:rPr>
        <w:t xml:space="preserve">ved en eventuel ophævelse af </w:t>
      </w:r>
      <w:proofErr w:type="spellStart"/>
      <w:r w:rsidRPr="00952E7F">
        <w:rPr>
          <w:rFonts w:cs="Times New Roman"/>
          <w:szCs w:val="24"/>
        </w:rPr>
        <w:t>Inatsisartutlov</w:t>
      </w:r>
      <w:proofErr w:type="spellEnd"/>
      <w:r w:rsidRPr="00952E7F">
        <w:rPr>
          <w:rFonts w:cs="Times New Roman"/>
          <w:szCs w:val="24"/>
        </w:rPr>
        <w:t xml:space="preserve"> om forbud mod forundersøgelse, efterforskning og udnyttelse af uran mv. </w:t>
      </w:r>
      <w:r w:rsidR="00E9311D">
        <w:rPr>
          <w:rFonts w:cs="Times New Roman"/>
          <w:szCs w:val="24"/>
        </w:rPr>
        <w:t xml:space="preserve">vil blive særskilt belyst i lovbemærkningerne til det lovforslag, som fremsættes af </w:t>
      </w:r>
      <w:proofErr w:type="spellStart"/>
      <w:r w:rsidR="00E9311D">
        <w:rPr>
          <w:rFonts w:cs="Times New Roman"/>
          <w:szCs w:val="24"/>
        </w:rPr>
        <w:t>Naalakkersuisut</w:t>
      </w:r>
      <w:proofErr w:type="spellEnd"/>
      <w:r w:rsidR="00E9311D">
        <w:rPr>
          <w:rFonts w:cs="Times New Roman"/>
          <w:szCs w:val="24"/>
        </w:rPr>
        <w:t>.</w:t>
      </w:r>
    </w:p>
    <w:p w14:paraId="0E872CCA" w14:textId="77777777" w:rsidR="00044A64" w:rsidRPr="00952E7F" w:rsidRDefault="00044A64" w:rsidP="0018149C">
      <w:pPr>
        <w:spacing w:after="0"/>
        <w:rPr>
          <w:rFonts w:cs="Times New Roman"/>
          <w:szCs w:val="24"/>
        </w:rPr>
      </w:pPr>
    </w:p>
    <w:p w14:paraId="0393240B" w14:textId="1D252151" w:rsidR="00132419" w:rsidRPr="0018149C" w:rsidRDefault="00C156A9" w:rsidP="0018149C">
      <w:pPr>
        <w:spacing w:after="0"/>
        <w:rPr>
          <w:rFonts w:cs="Times New Roman"/>
          <w:b/>
          <w:bCs/>
          <w:szCs w:val="24"/>
        </w:rPr>
      </w:pPr>
      <w:r w:rsidRPr="0018149C">
        <w:rPr>
          <w:rFonts w:cs="Times New Roman"/>
          <w:b/>
          <w:bCs/>
          <w:szCs w:val="24"/>
        </w:rPr>
        <w:t xml:space="preserve">5. </w:t>
      </w:r>
      <w:r w:rsidR="00132419" w:rsidRPr="0018149C">
        <w:rPr>
          <w:rFonts w:cs="Times New Roman"/>
          <w:b/>
          <w:bCs/>
          <w:szCs w:val="24"/>
        </w:rPr>
        <w:t xml:space="preserve">Konsekvenser </w:t>
      </w:r>
      <w:bookmarkStart w:id="5" w:name="_Hlk108008251"/>
      <w:r w:rsidR="00132419" w:rsidRPr="0018149C">
        <w:rPr>
          <w:rFonts w:cs="Times New Roman"/>
          <w:b/>
          <w:bCs/>
          <w:szCs w:val="24"/>
        </w:rPr>
        <w:t>for miljø, natur og folkesundhed</w:t>
      </w:r>
      <w:bookmarkEnd w:id="5"/>
    </w:p>
    <w:p w14:paraId="3C6217D7" w14:textId="4702A875" w:rsidR="00A8737D" w:rsidRDefault="00F03C48" w:rsidP="0018149C">
      <w:pPr>
        <w:spacing w:after="0"/>
        <w:rPr>
          <w:rFonts w:cs="Times New Roman"/>
          <w:szCs w:val="24"/>
        </w:rPr>
      </w:pPr>
      <w:r w:rsidRPr="00952E7F">
        <w:rPr>
          <w:rFonts w:cs="Times New Roman"/>
          <w:szCs w:val="24"/>
        </w:rPr>
        <w:t>Forslaget forventes ikke at have konsekvenser for miljø, natur eller folkesundheden.</w:t>
      </w:r>
    </w:p>
    <w:p w14:paraId="189FC91C" w14:textId="77777777" w:rsidR="0066152C" w:rsidRPr="00952E7F" w:rsidRDefault="0066152C" w:rsidP="0018149C">
      <w:pPr>
        <w:spacing w:after="0"/>
        <w:rPr>
          <w:rFonts w:cs="Times New Roman"/>
          <w:szCs w:val="24"/>
        </w:rPr>
      </w:pPr>
    </w:p>
    <w:p w14:paraId="0F5F9885" w14:textId="4C057223" w:rsidR="00F03C48" w:rsidRDefault="00F03C48" w:rsidP="0018149C">
      <w:pPr>
        <w:spacing w:after="0"/>
        <w:rPr>
          <w:rFonts w:cs="Times New Roman"/>
          <w:szCs w:val="24"/>
        </w:rPr>
      </w:pPr>
      <w:bookmarkStart w:id="6" w:name="_Hlk108074796"/>
      <w:r w:rsidRPr="00952E7F">
        <w:rPr>
          <w:rFonts w:cs="Times New Roman"/>
          <w:szCs w:val="24"/>
        </w:rPr>
        <w:t xml:space="preserve">Konsekvenser for miljøet, naturen og folkesundheden som følge af </w:t>
      </w:r>
      <w:r w:rsidR="0066152C">
        <w:rPr>
          <w:rFonts w:cs="Times New Roman"/>
          <w:szCs w:val="24"/>
        </w:rPr>
        <w:t xml:space="preserve">en eventuel </w:t>
      </w:r>
      <w:r w:rsidRPr="00952E7F">
        <w:rPr>
          <w:rFonts w:cs="Times New Roman"/>
          <w:szCs w:val="24"/>
        </w:rPr>
        <w:t>ophævelse af</w:t>
      </w:r>
      <w:r w:rsidR="0066152C" w:rsidRPr="0066152C">
        <w:rPr>
          <w:rFonts w:cs="Times New Roman"/>
          <w:szCs w:val="24"/>
        </w:rPr>
        <w:t xml:space="preserve"> </w:t>
      </w:r>
      <w:proofErr w:type="spellStart"/>
      <w:r w:rsidR="0066152C" w:rsidRPr="00952E7F">
        <w:rPr>
          <w:rFonts w:cs="Times New Roman"/>
          <w:szCs w:val="24"/>
        </w:rPr>
        <w:t>Inatsisartutlov</w:t>
      </w:r>
      <w:proofErr w:type="spellEnd"/>
      <w:r w:rsidR="0066152C" w:rsidRPr="00952E7F">
        <w:rPr>
          <w:rFonts w:cs="Times New Roman"/>
          <w:szCs w:val="24"/>
        </w:rPr>
        <w:t xml:space="preserve"> om forbud mod forundersøgelse, efterforskning og udnyttelse af uran mv.</w:t>
      </w:r>
      <w:r w:rsidR="0066152C">
        <w:rPr>
          <w:rFonts w:cs="Times New Roman"/>
          <w:szCs w:val="24"/>
        </w:rPr>
        <w:t xml:space="preserve"> vil blive særskilt belyst i lovbemærkningerne til det lovforslag, som fremsættes af </w:t>
      </w:r>
      <w:proofErr w:type="spellStart"/>
      <w:r w:rsidR="0066152C">
        <w:rPr>
          <w:rFonts w:cs="Times New Roman"/>
          <w:szCs w:val="24"/>
        </w:rPr>
        <w:t>Naalakkersuisut</w:t>
      </w:r>
      <w:proofErr w:type="spellEnd"/>
      <w:r w:rsidRPr="00952E7F">
        <w:rPr>
          <w:rFonts w:cs="Times New Roman"/>
          <w:szCs w:val="24"/>
        </w:rPr>
        <w:t>.</w:t>
      </w:r>
    </w:p>
    <w:bookmarkEnd w:id="6"/>
    <w:p w14:paraId="636AFFC1" w14:textId="77777777" w:rsidR="00044A64" w:rsidRPr="00952E7F" w:rsidRDefault="00044A64" w:rsidP="0018149C">
      <w:pPr>
        <w:spacing w:after="0"/>
        <w:rPr>
          <w:rFonts w:cs="Times New Roman"/>
          <w:szCs w:val="24"/>
        </w:rPr>
      </w:pPr>
    </w:p>
    <w:p w14:paraId="3EDA67ED" w14:textId="6BF85441" w:rsidR="00132419" w:rsidRPr="0018149C" w:rsidRDefault="00F03C48" w:rsidP="0018149C">
      <w:pPr>
        <w:spacing w:after="0"/>
        <w:rPr>
          <w:rFonts w:cs="Times New Roman"/>
          <w:b/>
          <w:bCs/>
          <w:szCs w:val="24"/>
        </w:rPr>
      </w:pPr>
      <w:r w:rsidRPr="0018149C">
        <w:rPr>
          <w:rFonts w:cs="Times New Roman"/>
          <w:b/>
          <w:bCs/>
          <w:szCs w:val="24"/>
        </w:rPr>
        <w:t xml:space="preserve">6. </w:t>
      </w:r>
      <w:r w:rsidR="00132419" w:rsidRPr="0018149C">
        <w:rPr>
          <w:rFonts w:cs="Times New Roman"/>
          <w:b/>
          <w:bCs/>
          <w:szCs w:val="24"/>
        </w:rPr>
        <w:t>Konsekvenser for borgerne</w:t>
      </w:r>
    </w:p>
    <w:p w14:paraId="3F288F41" w14:textId="27BCDD69" w:rsidR="004346B3" w:rsidRDefault="00F03C48" w:rsidP="0018149C">
      <w:pPr>
        <w:spacing w:after="0"/>
        <w:rPr>
          <w:rFonts w:cs="Times New Roman"/>
          <w:szCs w:val="24"/>
        </w:rPr>
      </w:pPr>
      <w:r w:rsidRPr="00952E7F">
        <w:rPr>
          <w:rFonts w:cs="Times New Roman"/>
          <w:szCs w:val="24"/>
        </w:rPr>
        <w:t xml:space="preserve">Borgere </w:t>
      </w:r>
      <w:r w:rsidR="00113B39">
        <w:rPr>
          <w:rFonts w:cs="Times New Roman"/>
          <w:szCs w:val="24"/>
        </w:rPr>
        <w:t xml:space="preserve">med valgret til Inatsisartut </w:t>
      </w:r>
      <w:r w:rsidRPr="00952E7F">
        <w:rPr>
          <w:rFonts w:cs="Times New Roman"/>
          <w:szCs w:val="24"/>
        </w:rPr>
        <w:t xml:space="preserve">gives </w:t>
      </w:r>
      <w:r w:rsidR="00FF4691" w:rsidRPr="00952E7F">
        <w:rPr>
          <w:rFonts w:cs="Times New Roman"/>
          <w:szCs w:val="24"/>
        </w:rPr>
        <w:t xml:space="preserve">mulighed for at deltage i en </w:t>
      </w:r>
      <w:r w:rsidR="00113B39">
        <w:rPr>
          <w:rFonts w:cs="Times New Roman"/>
          <w:szCs w:val="24"/>
        </w:rPr>
        <w:t xml:space="preserve">vejledende </w:t>
      </w:r>
      <w:r w:rsidR="00FF4691" w:rsidRPr="00952E7F">
        <w:rPr>
          <w:rFonts w:cs="Times New Roman"/>
          <w:szCs w:val="24"/>
        </w:rPr>
        <w:t xml:space="preserve">folkeafstemning </w:t>
      </w:r>
      <w:r w:rsidR="008807B5">
        <w:rPr>
          <w:rFonts w:cs="Times New Roman"/>
          <w:szCs w:val="24"/>
        </w:rPr>
        <w:t xml:space="preserve">om </w:t>
      </w:r>
      <w:r w:rsidR="00FF4691" w:rsidRPr="00952E7F">
        <w:rPr>
          <w:rFonts w:cs="Times New Roman"/>
          <w:szCs w:val="24"/>
        </w:rPr>
        <w:t xml:space="preserve">ophævelse af </w:t>
      </w:r>
      <w:proofErr w:type="spellStart"/>
      <w:r w:rsidR="00113B39" w:rsidRPr="00113B39">
        <w:rPr>
          <w:rFonts w:cs="Times New Roman"/>
          <w:szCs w:val="24"/>
        </w:rPr>
        <w:t>Inatsisartutlov</w:t>
      </w:r>
      <w:proofErr w:type="spellEnd"/>
      <w:r w:rsidR="00113B39" w:rsidRPr="00113B39">
        <w:rPr>
          <w:rFonts w:cs="Times New Roman"/>
          <w:szCs w:val="24"/>
        </w:rPr>
        <w:t xml:space="preserve"> om forbud mod forundersøgelse, efterforskning og udnyttelse af uran mv.</w:t>
      </w:r>
    </w:p>
    <w:p w14:paraId="6459AC9A" w14:textId="59245B6A" w:rsidR="0066152C" w:rsidRDefault="0066152C" w:rsidP="0018149C">
      <w:pPr>
        <w:spacing w:after="0"/>
        <w:rPr>
          <w:rFonts w:cs="Times New Roman"/>
          <w:szCs w:val="24"/>
        </w:rPr>
      </w:pPr>
    </w:p>
    <w:p w14:paraId="62D3D490" w14:textId="77986157" w:rsidR="0066152C" w:rsidRDefault="0066152C" w:rsidP="0018149C">
      <w:pPr>
        <w:spacing w:after="0"/>
        <w:rPr>
          <w:rFonts w:cs="Times New Roman"/>
          <w:szCs w:val="24"/>
        </w:rPr>
      </w:pPr>
      <w:r>
        <w:rPr>
          <w:rFonts w:cs="Times New Roman"/>
          <w:szCs w:val="24"/>
        </w:rPr>
        <w:lastRenderedPageBreak/>
        <w:t>Forslaget forventes ikke i øvrigt at indebære væsentlige konsekvenser for borgerne.</w:t>
      </w:r>
    </w:p>
    <w:p w14:paraId="086F51E4" w14:textId="77777777" w:rsidR="0066152C" w:rsidRDefault="0066152C" w:rsidP="0018149C">
      <w:pPr>
        <w:spacing w:after="0"/>
        <w:rPr>
          <w:rFonts w:cs="Times New Roman"/>
          <w:szCs w:val="24"/>
        </w:rPr>
      </w:pPr>
    </w:p>
    <w:p w14:paraId="776B1909" w14:textId="34844E25" w:rsidR="0066152C" w:rsidRDefault="0066152C" w:rsidP="0018149C">
      <w:pPr>
        <w:spacing w:after="0"/>
        <w:rPr>
          <w:rFonts w:cs="Times New Roman"/>
          <w:szCs w:val="24"/>
        </w:rPr>
      </w:pPr>
      <w:bookmarkStart w:id="7" w:name="_Hlk108075028"/>
      <w:r w:rsidRPr="00952E7F">
        <w:rPr>
          <w:rFonts w:cs="Times New Roman"/>
          <w:szCs w:val="24"/>
        </w:rPr>
        <w:t xml:space="preserve">Konsekvenser for </w:t>
      </w:r>
      <w:r>
        <w:rPr>
          <w:rFonts w:cs="Times New Roman"/>
          <w:szCs w:val="24"/>
        </w:rPr>
        <w:t>borgerne</w:t>
      </w:r>
      <w:r w:rsidRPr="00952E7F">
        <w:rPr>
          <w:rFonts w:cs="Times New Roman"/>
          <w:szCs w:val="24"/>
        </w:rPr>
        <w:t xml:space="preserve"> som følge af </w:t>
      </w:r>
      <w:r>
        <w:rPr>
          <w:rFonts w:cs="Times New Roman"/>
          <w:szCs w:val="24"/>
        </w:rPr>
        <w:t xml:space="preserve">en eventuel </w:t>
      </w:r>
      <w:r w:rsidRPr="00952E7F">
        <w:rPr>
          <w:rFonts w:cs="Times New Roman"/>
          <w:szCs w:val="24"/>
        </w:rPr>
        <w:t>ophævelse af</w:t>
      </w:r>
      <w:r w:rsidRPr="0066152C">
        <w:rPr>
          <w:rFonts w:cs="Times New Roman"/>
          <w:szCs w:val="24"/>
        </w:rPr>
        <w:t xml:space="preserve"> </w:t>
      </w:r>
      <w:proofErr w:type="spellStart"/>
      <w:r w:rsidRPr="00952E7F">
        <w:rPr>
          <w:rFonts w:cs="Times New Roman"/>
          <w:szCs w:val="24"/>
        </w:rPr>
        <w:t>Inatsisartutlov</w:t>
      </w:r>
      <w:proofErr w:type="spellEnd"/>
      <w:r w:rsidRPr="00952E7F">
        <w:rPr>
          <w:rFonts w:cs="Times New Roman"/>
          <w:szCs w:val="24"/>
        </w:rPr>
        <w:t xml:space="preserve"> om forbud mod forundersøgelse, efterforskning og udnyttelse af uran mv.</w:t>
      </w:r>
      <w:r>
        <w:rPr>
          <w:rFonts w:cs="Times New Roman"/>
          <w:szCs w:val="24"/>
        </w:rPr>
        <w:t xml:space="preserve"> vil blive særskilt belyst i lovbemærkningerne til det lovforslag, som fremsættes af </w:t>
      </w:r>
      <w:proofErr w:type="spellStart"/>
      <w:r>
        <w:rPr>
          <w:rFonts w:cs="Times New Roman"/>
          <w:szCs w:val="24"/>
        </w:rPr>
        <w:t>Naalakkersuisut</w:t>
      </w:r>
      <w:proofErr w:type="spellEnd"/>
      <w:r w:rsidRPr="00952E7F">
        <w:rPr>
          <w:rFonts w:cs="Times New Roman"/>
          <w:szCs w:val="24"/>
        </w:rPr>
        <w:t>.</w:t>
      </w:r>
    </w:p>
    <w:bookmarkEnd w:id="7"/>
    <w:p w14:paraId="134000C0" w14:textId="77777777" w:rsidR="0066152C" w:rsidRPr="00952E7F" w:rsidRDefault="0066152C" w:rsidP="0018149C">
      <w:pPr>
        <w:spacing w:after="0"/>
        <w:rPr>
          <w:rFonts w:cs="Times New Roman"/>
          <w:szCs w:val="24"/>
        </w:rPr>
      </w:pPr>
    </w:p>
    <w:p w14:paraId="23265915" w14:textId="6C4CADB9" w:rsidR="00125023" w:rsidRPr="0018149C" w:rsidRDefault="00FF4691" w:rsidP="0018149C">
      <w:pPr>
        <w:spacing w:after="0"/>
        <w:rPr>
          <w:rFonts w:cs="Times New Roman"/>
          <w:b/>
          <w:bCs/>
          <w:szCs w:val="24"/>
        </w:rPr>
      </w:pPr>
      <w:r w:rsidRPr="00952E7F">
        <w:rPr>
          <w:rFonts w:cs="Times New Roman"/>
          <w:b/>
          <w:bCs/>
          <w:szCs w:val="24"/>
        </w:rPr>
        <w:t xml:space="preserve">7. </w:t>
      </w:r>
      <w:r w:rsidR="00125023" w:rsidRPr="0018149C">
        <w:rPr>
          <w:rFonts w:cs="Times New Roman"/>
          <w:b/>
          <w:bCs/>
          <w:szCs w:val="24"/>
        </w:rPr>
        <w:t>Andre væsentlige konsekvenser</w:t>
      </w:r>
    </w:p>
    <w:p w14:paraId="7EE114B5" w14:textId="67F5C192" w:rsidR="00125023" w:rsidRPr="00952E7F" w:rsidRDefault="00322BC5" w:rsidP="0018149C">
      <w:pPr>
        <w:spacing w:after="0"/>
        <w:rPr>
          <w:rFonts w:cs="Times New Roman"/>
          <w:szCs w:val="24"/>
        </w:rPr>
      </w:pPr>
      <w:r w:rsidRPr="00952E7F">
        <w:rPr>
          <w:rFonts w:cs="Times New Roman"/>
          <w:szCs w:val="24"/>
        </w:rPr>
        <w:t>Folkeafstemningen vil medføre</w:t>
      </w:r>
      <w:r w:rsidR="00113B39">
        <w:rPr>
          <w:rFonts w:cs="Times New Roman"/>
          <w:szCs w:val="24"/>
        </w:rPr>
        <w:t>,</w:t>
      </w:r>
      <w:r w:rsidRPr="00952E7F">
        <w:rPr>
          <w:rFonts w:cs="Times New Roman"/>
          <w:szCs w:val="24"/>
        </w:rPr>
        <w:t xml:space="preserve"> at </w:t>
      </w:r>
      <w:r w:rsidR="008C4B4A">
        <w:rPr>
          <w:rFonts w:cs="Times New Roman"/>
          <w:szCs w:val="24"/>
        </w:rPr>
        <w:t xml:space="preserve">Inatsisartut </w:t>
      </w:r>
      <w:r w:rsidRPr="00952E7F">
        <w:rPr>
          <w:rFonts w:cs="Times New Roman"/>
          <w:szCs w:val="24"/>
        </w:rPr>
        <w:t xml:space="preserve">gives en klar meningstilkendegivelse </w:t>
      </w:r>
      <w:r w:rsidR="008C4B4A">
        <w:rPr>
          <w:rFonts w:cs="Times New Roman"/>
          <w:szCs w:val="24"/>
        </w:rPr>
        <w:t xml:space="preserve">fra landets borgere </w:t>
      </w:r>
      <w:r w:rsidRPr="00952E7F">
        <w:rPr>
          <w:rFonts w:cs="Times New Roman"/>
          <w:szCs w:val="24"/>
        </w:rPr>
        <w:t>om spø</w:t>
      </w:r>
      <w:r w:rsidR="00F24CAA">
        <w:rPr>
          <w:rFonts w:cs="Times New Roman"/>
          <w:szCs w:val="24"/>
        </w:rPr>
        <w:t>r</w:t>
      </w:r>
      <w:r w:rsidRPr="00952E7F">
        <w:rPr>
          <w:rFonts w:cs="Times New Roman"/>
          <w:szCs w:val="24"/>
        </w:rPr>
        <w:t>gsmålet om udvinding</w:t>
      </w:r>
      <w:r w:rsidR="0034723A">
        <w:rPr>
          <w:rFonts w:cs="Times New Roman"/>
          <w:szCs w:val="24"/>
        </w:rPr>
        <w:t xml:space="preserve"> </w:t>
      </w:r>
      <w:r w:rsidRPr="00952E7F">
        <w:rPr>
          <w:rFonts w:cs="Times New Roman"/>
          <w:szCs w:val="24"/>
        </w:rPr>
        <w:t>af uran.</w:t>
      </w:r>
    </w:p>
    <w:p w14:paraId="481CFA34" w14:textId="1AB769EB" w:rsidR="0066152C" w:rsidRDefault="0066152C" w:rsidP="0018149C">
      <w:pPr>
        <w:spacing w:after="0"/>
        <w:rPr>
          <w:rFonts w:cs="Times New Roman"/>
          <w:szCs w:val="24"/>
        </w:rPr>
      </w:pPr>
    </w:p>
    <w:p w14:paraId="09672BB9" w14:textId="4FA97E86" w:rsidR="0066152C" w:rsidRDefault="0066152C" w:rsidP="0018149C">
      <w:pPr>
        <w:spacing w:after="0"/>
        <w:rPr>
          <w:rFonts w:cs="Times New Roman"/>
          <w:szCs w:val="24"/>
        </w:rPr>
      </w:pPr>
      <w:r>
        <w:rPr>
          <w:rFonts w:cs="Times New Roman"/>
          <w:szCs w:val="24"/>
        </w:rPr>
        <w:t>Forslaget forventes ikke at indebære andre væsentlige konsekvenser.</w:t>
      </w:r>
    </w:p>
    <w:p w14:paraId="3467C7B4" w14:textId="0C6502E2" w:rsidR="0066152C" w:rsidRDefault="0066152C" w:rsidP="0018149C">
      <w:pPr>
        <w:spacing w:after="0"/>
        <w:rPr>
          <w:rFonts w:cs="Times New Roman"/>
          <w:szCs w:val="24"/>
        </w:rPr>
      </w:pPr>
    </w:p>
    <w:p w14:paraId="5D2D0162" w14:textId="2DB3C174" w:rsidR="00DA540C" w:rsidRDefault="00DA540C" w:rsidP="0018149C">
      <w:pPr>
        <w:spacing w:after="0"/>
        <w:rPr>
          <w:rFonts w:cs="Times New Roman"/>
          <w:szCs w:val="24"/>
        </w:rPr>
      </w:pPr>
      <w:r>
        <w:rPr>
          <w:rFonts w:cs="Times New Roman"/>
          <w:szCs w:val="24"/>
        </w:rPr>
        <w:t>Andre væsentlige k</w:t>
      </w:r>
      <w:r w:rsidRPr="00952E7F">
        <w:rPr>
          <w:rFonts w:cs="Times New Roman"/>
          <w:szCs w:val="24"/>
        </w:rPr>
        <w:t xml:space="preserve">onsekvenser som følge af </w:t>
      </w:r>
      <w:r>
        <w:rPr>
          <w:rFonts w:cs="Times New Roman"/>
          <w:szCs w:val="24"/>
        </w:rPr>
        <w:t xml:space="preserve">en eventuel </w:t>
      </w:r>
      <w:r w:rsidRPr="00952E7F">
        <w:rPr>
          <w:rFonts w:cs="Times New Roman"/>
          <w:szCs w:val="24"/>
        </w:rPr>
        <w:t>ophævelse af</w:t>
      </w:r>
      <w:r w:rsidRPr="0066152C">
        <w:rPr>
          <w:rFonts w:cs="Times New Roman"/>
          <w:szCs w:val="24"/>
        </w:rPr>
        <w:t xml:space="preserve"> </w:t>
      </w:r>
      <w:proofErr w:type="spellStart"/>
      <w:r w:rsidRPr="00952E7F">
        <w:rPr>
          <w:rFonts w:cs="Times New Roman"/>
          <w:szCs w:val="24"/>
        </w:rPr>
        <w:t>Inatsisartutlov</w:t>
      </w:r>
      <w:proofErr w:type="spellEnd"/>
      <w:r w:rsidRPr="00952E7F">
        <w:rPr>
          <w:rFonts w:cs="Times New Roman"/>
          <w:szCs w:val="24"/>
        </w:rPr>
        <w:t xml:space="preserve"> om forbud mod forundersøgelse, efterforskning og udnyttelse af uran mv.</w:t>
      </w:r>
      <w:r>
        <w:rPr>
          <w:rFonts w:cs="Times New Roman"/>
          <w:szCs w:val="24"/>
        </w:rPr>
        <w:t xml:space="preserve"> vil blive særskilt belyst i lovbemærkningerne til det lovforslag, som fremsættes af </w:t>
      </w:r>
      <w:proofErr w:type="spellStart"/>
      <w:r>
        <w:rPr>
          <w:rFonts w:cs="Times New Roman"/>
          <w:szCs w:val="24"/>
        </w:rPr>
        <w:t>Naalakkersuisut</w:t>
      </w:r>
      <w:proofErr w:type="spellEnd"/>
      <w:r w:rsidRPr="00952E7F">
        <w:rPr>
          <w:rFonts w:cs="Times New Roman"/>
          <w:szCs w:val="24"/>
        </w:rPr>
        <w:t>.</w:t>
      </w:r>
    </w:p>
    <w:p w14:paraId="1A2C5E50" w14:textId="77777777" w:rsidR="0066152C" w:rsidRDefault="0066152C" w:rsidP="0018149C">
      <w:pPr>
        <w:spacing w:after="0"/>
        <w:rPr>
          <w:rFonts w:cs="Times New Roman"/>
          <w:szCs w:val="24"/>
        </w:rPr>
      </w:pPr>
    </w:p>
    <w:p w14:paraId="11344842" w14:textId="33E3409F" w:rsidR="00125023" w:rsidRPr="00F82CC9" w:rsidRDefault="00F82CC9" w:rsidP="00F82CC9">
      <w:pPr>
        <w:spacing w:after="0"/>
        <w:rPr>
          <w:rFonts w:cs="Times New Roman"/>
          <w:b/>
          <w:bCs/>
          <w:szCs w:val="24"/>
        </w:rPr>
      </w:pPr>
      <w:r>
        <w:rPr>
          <w:rFonts w:cs="Times New Roman"/>
          <w:b/>
          <w:bCs/>
          <w:szCs w:val="24"/>
        </w:rPr>
        <w:t xml:space="preserve">8. </w:t>
      </w:r>
      <w:r w:rsidR="00125023" w:rsidRPr="00F82CC9">
        <w:rPr>
          <w:rFonts w:cs="Times New Roman"/>
          <w:b/>
          <w:bCs/>
          <w:szCs w:val="24"/>
        </w:rPr>
        <w:t>Høring af myndigheder og organisationer m.v.</w:t>
      </w:r>
    </w:p>
    <w:p w14:paraId="4F2B7CC0" w14:textId="22532B88" w:rsidR="002716F7" w:rsidRDefault="00531B43" w:rsidP="0018149C">
      <w:pPr>
        <w:spacing w:after="0"/>
        <w:rPr>
          <w:rFonts w:cs="Times New Roman"/>
          <w:szCs w:val="24"/>
        </w:rPr>
      </w:pPr>
      <w:r w:rsidRPr="00952E7F">
        <w:rPr>
          <w:rFonts w:cs="Times New Roman"/>
          <w:szCs w:val="24"/>
        </w:rPr>
        <w:t xml:space="preserve">Forslaget </w:t>
      </w:r>
      <w:r w:rsidR="00322BC5" w:rsidRPr="00952E7F">
        <w:rPr>
          <w:rFonts w:cs="Times New Roman"/>
          <w:szCs w:val="24"/>
        </w:rPr>
        <w:t>har</w:t>
      </w:r>
      <w:r w:rsidRPr="00952E7F">
        <w:rPr>
          <w:rFonts w:cs="Times New Roman"/>
          <w:szCs w:val="24"/>
        </w:rPr>
        <w:t xml:space="preserve"> i periode</w:t>
      </w:r>
      <w:r w:rsidR="00322BC5" w:rsidRPr="00952E7F">
        <w:rPr>
          <w:rFonts w:cs="Times New Roman"/>
          <w:szCs w:val="24"/>
        </w:rPr>
        <w:t>n den</w:t>
      </w:r>
      <w:r w:rsidRPr="00952E7F">
        <w:rPr>
          <w:rFonts w:cs="Times New Roman"/>
          <w:szCs w:val="24"/>
        </w:rPr>
        <w:t xml:space="preserve"> xxx </w:t>
      </w:r>
      <w:r w:rsidR="00322BC5" w:rsidRPr="00952E7F">
        <w:rPr>
          <w:rFonts w:cs="Times New Roman"/>
          <w:szCs w:val="24"/>
        </w:rPr>
        <w:t xml:space="preserve">2022 </w:t>
      </w:r>
      <w:r w:rsidRPr="00952E7F">
        <w:rPr>
          <w:rFonts w:cs="Times New Roman"/>
          <w:szCs w:val="24"/>
        </w:rPr>
        <w:t xml:space="preserve">til </w:t>
      </w:r>
      <w:r w:rsidR="00322BC5" w:rsidRPr="00952E7F">
        <w:rPr>
          <w:rFonts w:cs="Times New Roman"/>
          <w:szCs w:val="24"/>
        </w:rPr>
        <w:t xml:space="preserve">den </w:t>
      </w:r>
      <w:r w:rsidRPr="00952E7F">
        <w:rPr>
          <w:rFonts w:cs="Times New Roman"/>
          <w:szCs w:val="24"/>
        </w:rPr>
        <w:t>xxx</w:t>
      </w:r>
      <w:r w:rsidR="007707BD" w:rsidRPr="00952E7F">
        <w:rPr>
          <w:rFonts w:cs="Times New Roman"/>
          <w:szCs w:val="24"/>
        </w:rPr>
        <w:t xml:space="preserve"> </w:t>
      </w:r>
      <w:r w:rsidR="00322BC5" w:rsidRPr="00952E7F">
        <w:rPr>
          <w:rFonts w:cs="Times New Roman"/>
          <w:szCs w:val="24"/>
        </w:rPr>
        <w:t>2022 været offent</w:t>
      </w:r>
      <w:r w:rsidR="003F385E" w:rsidRPr="00952E7F">
        <w:rPr>
          <w:rFonts w:cs="Times New Roman"/>
          <w:szCs w:val="24"/>
        </w:rPr>
        <w:t>liggjort på</w:t>
      </w:r>
      <w:r w:rsidR="00E626E2">
        <w:rPr>
          <w:rFonts w:cs="Times New Roman"/>
          <w:szCs w:val="24"/>
        </w:rPr>
        <w:t xml:space="preserve"> </w:t>
      </w:r>
      <w:proofErr w:type="spellStart"/>
      <w:r w:rsidR="00265D3A">
        <w:rPr>
          <w:rFonts w:cs="Times New Roman"/>
          <w:szCs w:val="24"/>
        </w:rPr>
        <w:t>Naalakkersuisuts</w:t>
      </w:r>
      <w:proofErr w:type="spellEnd"/>
      <w:r w:rsidR="00265D3A">
        <w:rPr>
          <w:rFonts w:cs="Times New Roman"/>
          <w:szCs w:val="24"/>
        </w:rPr>
        <w:t xml:space="preserve"> høringsportal</w:t>
      </w:r>
      <w:r w:rsidR="003F385E" w:rsidRPr="00952E7F">
        <w:rPr>
          <w:rFonts w:cs="Times New Roman"/>
          <w:szCs w:val="24"/>
        </w:rPr>
        <w:t xml:space="preserve">, </w:t>
      </w:r>
      <w:proofErr w:type="gramStart"/>
      <w:r w:rsidR="00E626E2">
        <w:rPr>
          <w:szCs w:val="24"/>
        </w:rPr>
        <w:t>www.naalakkersuisut.gl</w:t>
      </w:r>
      <w:r w:rsidR="003F385E" w:rsidRPr="00952E7F">
        <w:rPr>
          <w:rFonts w:cs="Times New Roman"/>
          <w:szCs w:val="24"/>
        </w:rPr>
        <w:t xml:space="preserve"> .</w:t>
      </w:r>
      <w:proofErr w:type="gramEnd"/>
    </w:p>
    <w:p w14:paraId="460F6E31" w14:textId="77777777" w:rsidR="00265D3A" w:rsidRDefault="00265D3A" w:rsidP="0018149C">
      <w:pPr>
        <w:spacing w:after="0"/>
        <w:rPr>
          <w:rFonts w:cs="Times New Roman"/>
          <w:szCs w:val="24"/>
        </w:rPr>
      </w:pPr>
    </w:p>
    <w:p w14:paraId="5D289A6D" w14:textId="0E1A5A8D" w:rsidR="003F385E" w:rsidRPr="00952E7F" w:rsidRDefault="003F385E" w:rsidP="0018149C">
      <w:pPr>
        <w:spacing w:after="0"/>
        <w:rPr>
          <w:rFonts w:cs="Times New Roman"/>
          <w:szCs w:val="24"/>
        </w:rPr>
      </w:pPr>
      <w:r w:rsidRPr="00952E7F">
        <w:rPr>
          <w:rFonts w:cs="Times New Roman"/>
          <w:szCs w:val="24"/>
        </w:rPr>
        <w:t>Forslaget har en</w:t>
      </w:r>
      <w:r w:rsidR="00F20F48">
        <w:rPr>
          <w:rFonts w:cs="Times New Roman"/>
          <w:szCs w:val="24"/>
        </w:rPr>
        <w:t>d</w:t>
      </w:r>
      <w:r w:rsidRPr="00952E7F">
        <w:rPr>
          <w:rFonts w:cs="Times New Roman"/>
          <w:szCs w:val="24"/>
        </w:rPr>
        <w:t>videre været til høring hos følgende myndigheder, organisationer og virksomheder:</w:t>
      </w:r>
    </w:p>
    <w:p w14:paraId="214154C5" w14:textId="7A297479" w:rsidR="00265D3A" w:rsidRDefault="005E5EB7" w:rsidP="000A6D2A">
      <w:pPr>
        <w:spacing w:after="0"/>
        <w:rPr>
          <w:rFonts w:cs="Times New Roman"/>
          <w:szCs w:val="24"/>
        </w:rPr>
      </w:pPr>
      <w:proofErr w:type="spellStart"/>
      <w:r w:rsidRPr="00952E7F">
        <w:rPr>
          <w:rFonts w:cs="Times New Roman"/>
          <w:szCs w:val="24"/>
        </w:rPr>
        <w:t>Avannaata</w:t>
      </w:r>
      <w:proofErr w:type="spellEnd"/>
      <w:r w:rsidRPr="00952E7F">
        <w:rPr>
          <w:rFonts w:cs="Times New Roman"/>
          <w:szCs w:val="24"/>
        </w:rPr>
        <w:t xml:space="preserve"> </w:t>
      </w:r>
      <w:proofErr w:type="spellStart"/>
      <w:r w:rsidRPr="00952E7F">
        <w:rPr>
          <w:rFonts w:cs="Times New Roman"/>
          <w:szCs w:val="24"/>
        </w:rPr>
        <w:t>Kommunia</w:t>
      </w:r>
      <w:proofErr w:type="spellEnd"/>
      <w:r w:rsidR="003F385E" w:rsidRPr="00952E7F">
        <w:rPr>
          <w:rFonts w:cs="Times New Roman"/>
          <w:szCs w:val="24"/>
        </w:rPr>
        <w:t xml:space="preserve">, </w:t>
      </w:r>
      <w:r w:rsidRPr="00952E7F">
        <w:rPr>
          <w:rFonts w:cs="Times New Roman"/>
          <w:szCs w:val="24"/>
        </w:rPr>
        <w:t xml:space="preserve">Kommune </w:t>
      </w:r>
      <w:proofErr w:type="spellStart"/>
      <w:r w:rsidRPr="00952E7F">
        <w:rPr>
          <w:rFonts w:cs="Times New Roman"/>
          <w:szCs w:val="24"/>
        </w:rPr>
        <w:t>Qeqertalik</w:t>
      </w:r>
      <w:proofErr w:type="spellEnd"/>
      <w:r w:rsidR="003F385E" w:rsidRPr="00952E7F">
        <w:rPr>
          <w:rFonts w:cs="Times New Roman"/>
          <w:szCs w:val="24"/>
        </w:rPr>
        <w:t xml:space="preserve">, </w:t>
      </w:r>
      <w:proofErr w:type="spellStart"/>
      <w:r w:rsidRPr="00952E7F">
        <w:rPr>
          <w:rFonts w:cs="Times New Roman"/>
          <w:szCs w:val="24"/>
        </w:rPr>
        <w:t>Qeqqata</w:t>
      </w:r>
      <w:proofErr w:type="spellEnd"/>
      <w:r w:rsidRPr="00952E7F">
        <w:rPr>
          <w:rFonts w:cs="Times New Roman"/>
          <w:szCs w:val="24"/>
        </w:rPr>
        <w:t xml:space="preserve"> </w:t>
      </w:r>
      <w:proofErr w:type="spellStart"/>
      <w:r w:rsidRPr="00952E7F">
        <w:rPr>
          <w:rFonts w:cs="Times New Roman"/>
          <w:szCs w:val="24"/>
        </w:rPr>
        <w:t>Kommunia</w:t>
      </w:r>
      <w:proofErr w:type="spellEnd"/>
      <w:r w:rsidR="003F385E" w:rsidRPr="00952E7F">
        <w:rPr>
          <w:rFonts w:cs="Times New Roman"/>
          <w:szCs w:val="24"/>
        </w:rPr>
        <w:t xml:space="preserve">, </w:t>
      </w:r>
      <w:proofErr w:type="spellStart"/>
      <w:r w:rsidRPr="00952E7F">
        <w:rPr>
          <w:rFonts w:cs="Times New Roman"/>
          <w:szCs w:val="24"/>
        </w:rPr>
        <w:t>Kommuneqarfik</w:t>
      </w:r>
      <w:proofErr w:type="spellEnd"/>
      <w:r w:rsidRPr="00952E7F">
        <w:rPr>
          <w:rFonts w:cs="Times New Roman"/>
          <w:szCs w:val="24"/>
        </w:rPr>
        <w:t xml:space="preserve"> </w:t>
      </w:r>
      <w:proofErr w:type="spellStart"/>
      <w:r w:rsidRPr="00952E7F">
        <w:rPr>
          <w:rFonts w:cs="Times New Roman"/>
          <w:szCs w:val="24"/>
        </w:rPr>
        <w:t>Sermersooq</w:t>
      </w:r>
      <w:proofErr w:type="spellEnd"/>
      <w:r w:rsidR="003F385E" w:rsidRPr="00952E7F">
        <w:rPr>
          <w:rFonts w:cs="Times New Roman"/>
          <w:szCs w:val="24"/>
        </w:rPr>
        <w:t xml:space="preserve">, </w:t>
      </w:r>
      <w:r w:rsidRPr="00952E7F">
        <w:rPr>
          <w:rFonts w:cs="Times New Roman"/>
          <w:szCs w:val="24"/>
        </w:rPr>
        <w:t xml:space="preserve">Kommune </w:t>
      </w:r>
      <w:proofErr w:type="spellStart"/>
      <w:r w:rsidRPr="00952E7F">
        <w:rPr>
          <w:rFonts w:cs="Times New Roman"/>
          <w:szCs w:val="24"/>
        </w:rPr>
        <w:t>Kujalleq</w:t>
      </w:r>
      <w:proofErr w:type="spellEnd"/>
      <w:r w:rsidR="003F385E" w:rsidRPr="00952E7F">
        <w:rPr>
          <w:rFonts w:cs="Times New Roman"/>
          <w:szCs w:val="24"/>
        </w:rPr>
        <w:t xml:space="preserve">, </w:t>
      </w:r>
      <w:bookmarkStart w:id="8" w:name="_GoBack"/>
      <w:bookmarkEnd w:id="8"/>
      <w:r w:rsidR="000A6D2A" w:rsidRPr="00C51B0F">
        <w:rPr>
          <w:rFonts w:cs="Times New Roman"/>
          <w:szCs w:val="24"/>
        </w:rPr>
        <w:t>Departementet for Sociale Anliggender, Arbejdsmarked og Indre Anliggender, Departementet for Råstoffer og Justitsområdet, Departement for Finanser og Ligestilling, Formandens Departement</w:t>
      </w:r>
      <w:r w:rsidR="000A6D2A">
        <w:rPr>
          <w:rFonts w:cs="Times New Roman"/>
          <w:szCs w:val="24"/>
        </w:rPr>
        <w:t xml:space="preserve">, </w:t>
      </w:r>
      <w:proofErr w:type="spellStart"/>
      <w:r w:rsidRPr="00952E7F">
        <w:rPr>
          <w:rFonts w:cs="Times New Roman"/>
          <w:szCs w:val="24"/>
        </w:rPr>
        <w:t>Transparency</w:t>
      </w:r>
      <w:proofErr w:type="spellEnd"/>
      <w:r w:rsidRPr="00952E7F">
        <w:rPr>
          <w:rFonts w:cs="Times New Roman"/>
          <w:szCs w:val="24"/>
        </w:rPr>
        <w:t xml:space="preserve"> International Greenland</w:t>
      </w:r>
      <w:r w:rsidR="003F385E" w:rsidRPr="00952E7F">
        <w:rPr>
          <w:rFonts w:cs="Times New Roman"/>
          <w:szCs w:val="24"/>
        </w:rPr>
        <w:t xml:space="preserve">, </w:t>
      </w:r>
      <w:proofErr w:type="spellStart"/>
      <w:r w:rsidRPr="00952E7F">
        <w:rPr>
          <w:rFonts w:cs="Times New Roman"/>
          <w:szCs w:val="24"/>
        </w:rPr>
        <w:t>Sulisitsisut</w:t>
      </w:r>
      <w:proofErr w:type="spellEnd"/>
      <w:r w:rsidRPr="00952E7F">
        <w:rPr>
          <w:rFonts w:cs="Times New Roman"/>
          <w:szCs w:val="24"/>
        </w:rPr>
        <w:t xml:space="preserve"> / Grønlands Erhverv</w:t>
      </w:r>
      <w:r w:rsidR="003F385E" w:rsidRPr="00952E7F">
        <w:rPr>
          <w:rFonts w:cs="Times New Roman"/>
          <w:szCs w:val="24"/>
        </w:rPr>
        <w:t xml:space="preserve">, </w:t>
      </w:r>
      <w:r w:rsidRPr="00952E7F">
        <w:rPr>
          <w:rFonts w:cs="Times New Roman"/>
          <w:szCs w:val="24"/>
        </w:rPr>
        <w:t>KNAPK</w:t>
      </w:r>
      <w:r w:rsidR="003F385E" w:rsidRPr="00952E7F">
        <w:rPr>
          <w:rFonts w:cs="Times New Roman"/>
          <w:szCs w:val="24"/>
        </w:rPr>
        <w:t xml:space="preserve">, </w:t>
      </w:r>
      <w:proofErr w:type="spellStart"/>
      <w:r w:rsidRPr="00952E7F">
        <w:rPr>
          <w:rFonts w:cs="Times New Roman"/>
          <w:szCs w:val="24"/>
        </w:rPr>
        <w:t>Atorfillit</w:t>
      </w:r>
      <w:proofErr w:type="spellEnd"/>
      <w:r w:rsidRPr="00952E7F">
        <w:rPr>
          <w:rFonts w:cs="Times New Roman"/>
          <w:szCs w:val="24"/>
        </w:rPr>
        <w:t xml:space="preserve"> </w:t>
      </w:r>
      <w:proofErr w:type="spellStart"/>
      <w:r w:rsidRPr="00952E7F">
        <w:rPr>
          <w:rFonts w:cs="Times New Roman"/>
          <w:szCs w:val="24"/>
        </w:rPr>
        <w:t>Kattuffiat</w:t>
      </w:r>
      <w:proofErr w:type="spellEnd"/>
      <w:r w:rsidR="003F385E" w:rsidRPr="00952E7F">
        <w:rPr>
          <w:rFonts w:cs="Times New Roman"/>
          <w:szCs w:val="24"/>
        </w:rPr>
        <w:t xml:space="preserve">, </w:t>
      </w:r>
      <w:r w:rsidR="00265D3A">
        <w:rPr>
          <w:rFonts w:cs="Times New Roman"/>
          <w:szCs w:val="24"/>
        </w:rPr>
        <w:t xml:space="preserve">og </w:t>
      </w:r>
      <w:proofErr w:type="spellStart"/>
      <w:r w:rsidRPr="00952E7F">
        <w:rPr>
          <w:rFonts w:cs="Times New Roman"/>
          <w:szCs w:val="24"/>
        </w:rPr>
        <w:t>Sulinermik</w:t>
      </w:r>
      <w:proofErr w:type="spellEnd"/>
      <w:r w:rsidRPr="00952E7F">
        <w:rPr>
          <w:rFonts w:cs="Times New Roman"/>
          <w:szCs w:val="24"/>
        </w:rPr>
        <w:t xml:space="preserve"> </w:t>
      </w:r>
      <w:proofErr w:type="spellStart"/>
      <w:r w:rsidRPr="00952E7F">
        <w:rPr>
          <w:rFonts w:cs="Times New Roman"/>
          <w:szCs w:val="24"/>
        </w:rPr>
        <w:t>Inuussutissarsiuteqartut</w:t>
      </w:r>
      <w:proofErr w:type="spellEnd"/>
      <w:r w:rsidRPr="00952E7F">
        <w:rPr>
          <w:rFonts w:cs="Times New Roman"/>
          <w:szCs w:val="24"/>
        </w:rPr>
        <w:t xml:space="preserve"> </w:t>
      </w:r>
      <w:proofErr w:type="spellStart"/>
      <w:r w:rsidRPr="00952E7F">
        <w:rPr>
          <w:rFonts w:cs="Times New Roman"/>
          <w:szCs w:val="24"/>
        </w:rPr>
        <w:t>Kattuffiat</w:t>
      </w:r>
      <w:proofErr w:type="spellEnd"/>
      <w:r w:rsidRPr="00952E7F">
        <w:rPr>
          <w:rFonts w:cs="Times New Roman"/>
          <w:szCs w:val="24"/>
        </w:rPr>
        <w:t xml:space="preserve"> (SIK)</w:t>
      </w:r>
      <w:r w:rsidR="00265D3A">
        <w:rPr>
          <w:rFonts w:cs="Times New Roman"/>
          <w:szCs w:val="24"/>
        </w:rPr>
        <w:t>.</w:t>
      </w:r>
    </w:p>
    <w:p w14:paraId="45013470" w14:textId="77777777" w:rsidR="00265D3A" w:rsidRDefault="00265D3A" w:rsidP="0018149C">
      <w:pPr>
        <w:spacing w:after="0"/>
        <w:rPr>
          <w:rFonts w:cs="Times New Roman"/>
          <w:szCs w:val="24"/>
        </w:rPr>
      </w:pPr>
    </w:p>
    <w:p w14:paraId="59EAC697" w14:textId="625DD6AA" w:rsidR="003F385E" w:rsidRPr="00952E7F" w:rsidRDefault="003F385E" w:rsidP="0018149C">
      <w:pPr>
        <w:spacing w:after="0"/>
        <w:rPr>
          <w:rFonts w:cs="Times New Roman"/>
          <w:szCs w:val="24"/>
        </w:rPr>
      </w:pPr>
      <w:r w:rsidRPr="00952E7F">
        <w:rPr>
          <w:rFonts w:cs="Times New Roman"/>
          <w:szCs w:val="24"/>
        </w:rPr>
        <w:t xml:space="preserve">Der henvises til </w:t>
      </w:r>
      <w:r w:rsidR="002F2DA4">
        <w:rPr>
          <w:rFonts w:cs="Times New Roman"/>
          <w:szCs w:val="24"/>
        </w:rPr>
        <w:t>bilag 1 om høringen.</w:t>
      </w:r>
    </w:p>
    <w:p w14:paraId="4D1D62C4" w14:textId="56F1A5A2" w:rsidR="00721483" w:rsidRPr="00952E7F" w:rsidRDefault="00721483" w:rsidP="0018149C">
      <w:pPr>
        <w:spacing w:after="0"/>
        <w:rPr>
          <w:rFonts w:cs="Times New Roman"/>
          <w:szCs w:val="24"/>
        </w:rPr>
      </w:pPr>
      <w:r w:rsidRPr="00952E7F">
        <w:rPr>
          <w:rFonts w:cs="Times New Roman"/>
          <w:szCs w:val="24"/>
        </w:rPr>
        <w:br w:type="page"/>
      </w:r>
    </w:p>
    <w:p w14:paraId="1C689EBD" w14:textId="0D31A8E7" w:rsidR="008F4A38" w:rsidRPr="00952E7F" w:rsidRDefault="003F385E" w:rsidP="0018149C">
      <w:pPr>
        <w:spacing w:after="0"/>
        <w:jc w:val="center"/>
        <w:rPr>
          <w:rFonts w:cs="Times New Roman"/>
          <w:b/>
          <w:szCs w:val="24"/>
        </w:rPr>
      </w:pPr>
      <w:r w:rsidRPr="00952E7F">
        <w:rPr>
          <w:rFonts w:cs="Times New Roman"/>
          <w:b/>
          <w:szCs w:val="24"/>
        </w:rPr>
        <w:lastRenderedPageBreak/>
        <w:t>Bemærkninger til forslagets enkelte bestemmelser</w:t>
      </w:r>
    </w:p>
    <w:p w14:paraId="5299DD95" w14:textId="77777777" w:rsidR="003F385E" w:rsidRPr="00952E7F" w:rsidRDefault="003F385E" w:rsidP="0018149C">
      <w:pPr>
        <w:spacing w:after="0"/>
        <w:jc w:val="center"/>
        <w:rPr>
          <w:rFonts w:cs="Times New Roman"/>
          <w:i/>
          <w:szCs w:val="24"/>
        </w:rPr>
      </w:pPr>
    </w:p>
    <w:p w14:paraId="45294F81" w14:textId="09737D09" w:rsidR="003F385E" w:rsidRDefault="003F385E" w:rsidP="00F14506">
      <w:pPr>
        <w:spacing w:after="0"/>
        <w:jc w:val="center"/>
        <w:rPr>
          <w:rFonts w:cs="Times New Roman"/>
          <w:i/>
          <w:szCs w:val="24"/>
        </w:rPr>
      </w:pPr>
      <w:r w:rsidRPr="00952E7F">
        <w:rPr>
          <w:rFonts w:cs="Times New Roman"/>
          <w:i/>
          <w:szCs w:val="24"/>
        </w:rPr>
        <w:t>Til § 1</w:t>
      </w:r>
    </w:p>
    <w:p w14:paraId="2E908123" w14:textId="77777777" w:rsidR="00F14506" w:rsidRPr="00952E7F" w:rsidRDefault="00F14506" w:rsidP="00F14506">
      <w:pPr>
        <w:spacing w:after="0"/>
        <w:jc w:val="center"/>
        <w:rPr>
          <w:rFonts w:cs="Times New Roman"/>
          <w:i/>
          <w:szCs w:val="24"/>
        </w:rPr>
      </w:pPr>
    </w:p>
    <w:p w14:paraId="6CBCE824" w14:textId="70C24092" w:rsidR="003F385E" w:rsidRPr="00952E7F" w:rsidRDefault="003F385E" w:rsidP="0018149C">
      <w:pPr>
        <w:spacing w:after="0"/>
        <w:rPr>
          <w:rFonts w:cs="Times New Roman"/>
          <w:szCs w:val="24"/>
        </w:rPr>
      </w:pPr>
      <w:r w:rsidRPr="00952E7F">
        <w:rPr>
          <w:rFonts w:cs="Times New Roman"/>
          <w:szCs w:val="24"/>
        </w:rPr>
        <w:t xml:space="preserve">Bestemmelsen fastsætter </w:t>
      </w:r>
      <w:r w:rsidR="00F24CAA">
        <w:rPr>
          <w:rFonts w:cs="Times New Roman"/>
          <w:szCs w:val="24"/>
        </w:rPr>
        <w:t xml:space="preserve">i stk. 1, </w:t>
      </w:r>
      <w:r w:rsidRPr="00952E7F">
        <w:rPr>
          <w:rFonts w:cs="Times New Roman"/>
          <w:szCs w:val="24"/>
        </w:rPr>
        <w:t xml:space="preserve">at der afholdes vejledende folkeafstemning d. </w:t>
      </w:r>
      <w:r w:rsidR="00F24CAA">
        <w:rPr>
          <w:rFonts w:cs="Times New Roman"/>
          <w:szCs w:val="24"/>
        </w:rPr>
        <w:t>4</w:t>
      </w:r>
      <w:r w:rsidRPr="00952E7F">
        <w:rPr>
          <w:rFonts w:cs="Times New Roman"/>
          <w:szCs w:val="24"/>
        </w:rPr>
        <w:t xml:space="preserve">. </w:t>
      </w:r>
      <w:r w:rsidR="00F24CAA">
        <w:rPr>
          <w:rFonts w:cs="Times New Roman"/>
          <w:szCs w:val="24"/>
        </w:rPr>
        <w:t>april</w:t>
      </w:r>
      <w:r w:rsidRPr="00952E7F">
        <w:rPr>
          <w:rFonts w:cs="Times New Roman"/>
          <w:szCs w:val="24"/>
        </w:rPr>
        <w:t xml:space="preserve"> 2023.</w:t>
      </w:r>
    </w:p>
    <w:p w14:paraId="2504E087" w14:textId="79835591" w:rsidR="003F385E" w:rsidRDefault="003F385E" w:rsidP="0018149C">
      <w:pPr>
        <w:spacing w:after="0"/>
        <w:rPr>
          <w:rFonts w:cs="Times New Roman"/>
          <w:szCs w:val="24"/>
        </w:rPr>
      </w:pPr>
    </w:p>
    <w:p w14:paraId="3E768387" w14:textId="1DA8F8F7" w:rsidR="00F24CAA" w:rsidRDefault="00F24CAA" w:rsidP="0018149C">
      <w:pPr>
        <w:spacing w:after="0"/>
        <w:rPr>
          <w:rFonts w:cs="Times New Roman"/>
          <w:szCs w:val="24"/>
        </w:rPr>
      </w:pPr>
      <w:r>
        <w:rPr>
          <w:rFonts w:cs="Times New Roman"/>
          <w:szCs w:val="24"/>
        </w:rPr>
        <w:t xml:space="preserve">Bestemmelsen fastsætter i stk. 2, at </w:t>
      </w:r>
      <w:proofErr w:type="spellStart"/>
      <w:r>
        <w:rPr>
          <w:rFonts w:cs="Times New Roman"/>
          <w:szCs w:val="24"/>
        </w:rPr>
        <w:t>Naalakkersuisut</w:t>
      </w:r>
      <w:proofErr w:type="spellEnd"/>
      <w:r>
        <w:rPr>
          <w:rFonts w:cs="Times New Roman"/>
          <w:szCs w:val="24"/>
        </w:rPr>
        <w:t xml:space="preserve"> senest 3 uger forud for den vejledende folkeafstemning fremsætter forslag til </w:t>
      </w:r>
      <w:proofErr w:type="spellStart"/>
      <w:r w:rsidRPr="00F24CAA">
        <w:rPr>
          <w:rFonts w:cs="Times New Roman"/>
          <w:szCs w:val="24"/>
        </w:rPr>
        <w:t>Inatsisartutlov</w:t>
      </w:r>
      <w:proofErr w:type="spellEnd"/>
      <w:r w:rsidRPr="00F24CAA">
        <w:rPr>
          <w:rFonts w:cs="Times New Roman"/>
          <w:szCs w:val="24"/>
        </w:rPr>
        <w:t xml:space="preserve"> om ophævelse af </w:t>
      </w:r>
      <w:proofErr w:type="spellStart"/>
      <w:r w:rsidRPr="00F24CAA">
        <w:rPr>
          <w:rFonts w:cs="Times New Roman"/>
          <w:szCs w:val="24"/>
        </w:rPr>
        <w:t>Inatsisartutlov</w:t>
      </w:r>
      <w:proofErr w:type="spellEnd"/>
      <w:r w:rsidRPr="00F24CAA">
        <w:rPr>
          <w:rFonts w:cs="Times New Roman"/>
          <w:szCs w:val="24"/>
        </w:rPr>
        <w:t xml:space="preserve"> om forbud mod forundersøgelse, efterforskning og udnyttelse af uran mv.</w:t>
      </w:r>
    </w:p>
    <w:p w14:paraId="7663DC8A" w14:textId="07ED1B37" w:rsidR="00F24CAA" w:rsidRDefault="00F24CAA" w:rsidP="0018149C">
      <w:pPr>
        <w:spacing w:after="0"/>
        <w:rPr>
          <w:rFonts w:cs="Times New Roman"/>
          <w:szCs w:val="24"/>
        </w:rPr>
      </w:pPr>
    </w:p>
    <w:p w14:paraId="2E39BB36" w14:textId="303909E6" w:rsidR="00D37D0D" w:rsidRDefault="00D37D0D" w:rsidP="0018149C">
      <w:pPr>
        <w:spacing w:after="0"/>
        <w:rPr>
          <w:rFonts w:cs="Times New Roman"/>
          <w:szCs w:val="24"/>
        </w:rPr>
      </w:pPr>
      <w:r>
        <w:rPr>
          <w:rFonts w:cs="Times New Roman"/>
          <w:szCs w:val="24"/>
        </w:rPr>
        <w:t>Der er ikke med bestemmelsen tilsigtet en fravigelse af gældende afleveringsfrister i Forretningsorden for Inatsisartut.  Fremsættelse senere end 5 uger før forårssamlingens start vil således kræve dispensation fra Formandskabet for Inatsisartut, jf. §</w:t>
      </w:r>
      <w:r w:rsidR="00B96A57">
        <w:rPr>
          <w:rFonts w:cs="Times New Roman"/>
          <w:szCs w:val="24"/>
        </w:rPr>
        <w:t>§</w:t>
      </w:r>
      <w:r>
        <w:rPr>
          <w:rFonts w:cs="Times New Roman"/>
          <w:szCs w:val="24"/>
        </w:rPr>
        <w:t xml:space="preserve"> 40</w:t>
      </w:r>
      <w:r w:rsidR="00B96A57">
        <w:rPr>
          <w:rFonts w:cs="Times New Roman"/>
          <w:szCs w:val="24"/>
        </w:rPr>
        <w:t xml:space="preserve">-41 i </w:t>
      </w:r>
      <w:proofErr w:type="spellStart"/>
      <w:r w:rsidR="00B96A57">
        <w:rPr>
          <w:rFonts w:cs="Times New Roman"/>
          <w:szCs w:val="24"/>
        </w:rPr>
        <w:t>Forretningsorde</w:t>
      </w:r>
      <w:proofErr w:type="spellEnd"/>
      <w:r w:rsidR="00B96A57">
        <w:rPr>
          <w:rFonts w:cs="Times New Roman"/>
          <w:szCs w:val="24"/>
        </w:rPr>
        <w:t xml:space="preserve"> </w:t>
      </w:r>
      <w:proofErr w:type="spellStart"/>
      <w:r w:rsidR="00B96A57">
        <w:rPr>
          <w:rFonts w:cs="Times New Roman"/>
          <w:szCs w:val="24"/>
        </w:rPr>
        <w:t>fo</w:t>
      </w:r>
      <w:proofErr w:type="spellEnd"/>
      <w:r w:rsidR="00B96A57">
        <w:rPr>
          <w:rFonts w:cs="Times New Roman"/>
          <w:szCs w:val="24"/>
        </w:rPr>
        <w:t xml:space="preserve"> Inatsisartut.</w:t>
      </w:r>
    </w:p>
    <w:p w14:paraId="7D4D1563" w14:textId="77777777" w:rsidR="00D37D0D" w:rsidRDefault="00D37D0D" w:rsidP="0018149C">
      <w:pPr>
        <w:spacing w:after="0"/>
        <w:rPr>
          <w:rFonts w:cs="Times New Roman"/>
          <w:szCs w:val="24"/>
        </w:rPr>
      </w:pPr>
    </w:p>
    <w:p w14:paraId="05276B86" w14:textId="3D65DB4C" w:rsidR="00F24CAA" w:rsidRDefault="00F24CAA" w:rsidP="0018149C">
      <w:pPr>
        <w:spacing w:after="0"/>
        <w:rPr>
          <w:rFonts w:cs="Times New Roman"/>
          <w:szCs w:val="24"/>
        </w:rPr>
      </w:pPr>
      <w:r>
        <w:rPr>
          <w:rFonts w:cs="Times New Roman"/>
          <w:szCs w:val="24"/>
        </w:rPr>
        <w:t>Lovforslaget</w:t>
      </w:r>
      <w:r w:rsidR="00F82CC9">
        <w:rPr>
          <w:rFonts w:cs="Times New Roman"/>
          <w:szCs w:val="24"/>
        </w:rPr>
        <w:t xml:space="preserve"> vil</w:t>
      </w:r>
      <w:r>
        <w:rPr>
          <w:rFonts w:cs="Times New Roman"/>
          <w:szCs w:val="24"/>
        </w:rPr>
        <w:t xml:space="preserve"> </w:t>
      </w:r>
      <w:r w:rsidR="00B96A57">
        <w:rPr>
          <w:rFonts w:cs="Times New Roman"/>
          <w:szCs w:val="24"/>
        </w:rPr>
        <w:t>i overensstemmelse med gældende formkrav</w:t>
      </w:r>
      <w:r>
        <w:rPr>
          <w:rFonts w:cs="Times New Roman"/>
          <w:szCs w:val="24"/>
        </w:rPr>
        <w:t xml:space="preserve"> være ledsaget af lovbemærkninger, herunder en redegørelse for lovforslagets </w:t>
      </w:r>
      <w:r w:rsidR="00501EB7">
        <w:rPr>
          <w:rFonts w:cs="Times New Roman"/>
          <w:szCs w:val="24"/>
        </w:rPr>
        <w:t xml:space="preserve">forventede konsekvenser for bl.a. </w:t>
      </w:r>
      <w:r w:rsidR="00501EB7" w:rsidRPr="00501EB7">
        <w:rPr>
          <w:rFonts w:cs="Times New Roman"/>
          <w:szCs w:val="24"/>
        </w:rPr>
        <w:t>miljø, natur og folkesundhed</w:t>
      </w:r>
      <w:r w:rsidR="00501EB7">
        <w:rPr>
          <w:rFonts w:cs="Times New Roman"/>
          <w:szCs w:val="24"/>
        </w:rPr>
        <w:t xml:space="preserve">, samt for de </w:t>
      </w:r>
      <w:r w:rsidR="00DF1A93">
        <w:rPr>
          <w:rFonts w:cs="Times New Roman"/>
          <w:szCs w:val="24"/>
        </w:rPr>
        <w:t>ø</w:t>
      </w:r>
      <w:r w:rsidR="00DF1A93" w:rsidRPr="00DF1A93">
        <w:rPr>
          <w:rFonts w:cs="Times New Roman"/>
          <w:szCs w:val="24"/>
        </w:rPr>
        <w:t xml:space="preserve">konomiske og administrative konsekvenser for </w:t>
      </w:r>
      <w:proofErr w:type="spellStart"/>
      <w:r w:rsidR="00501EB7">
        <w:rPr>
          <w:rFonts w:cs="Times New Roman"/>
          <w:szCs w:val="24"/>
        </w:rPr>
        <w:t>hhv.</w:t>
      </w:r>
      <w:r w:rsidR="00DF1A93" w:rsidRPr="00DF1A93">
        <w:rPr>
          <w:rFonts w:cs="Times New Roman"/>
          <w:szCs w:val="24"/>
        </w:rPr>
        <w:t>det</w:t>
      </w:r>
      <w:proofErr w:type="spellEnd"/>
      <w:r w:rsidR="00DF1A93" w:rsidRPr="00DF1A93">
        <w:rPr>
          <w:rFonts w:cs="Times New Roman"/>
          <w:szCs w:val="24"/>
        </w:rPr>
        <w:t xml:space="preserve"> offentlige</w:t>
      </w:r>
      <w:r w:rsidR="00501EB7">
        <w:rPr>
          <w:rFonts w:cs="Times New Roman"/>
          <w:szCs w:val="24"/>
        </w:rPr>
        <w:t xml:space="preserve"> og erhvervslivet.</w:t>
      </w:r>
      <w:r w:rsidR="002F2DA4">
        <w:rPr>
          <w:rFonts w:cs="Times New Roman"/>
          <w:szCs w:val="24"/>
        </w:rPr>
        <w:t xml:space="preserve"> Yderligere vil lovbemærkningerne skulle redegøre for eventuelle høringssvar, som </w:t>
      </w:r>
      <w:proofErr w:type="spellStart"/>
      <w:r w:rsidR="002F2DA4">
        <w:rPr>
          <w:rFonts w:cs="Times New Roman"/>
          <w:szCs w:val="24"/>
        </w:rPr>
        <w:t>Naalakkersuisut</w:t>
      </w:r>
      <w:proofErr w:type="spellEnd"/>
      <w:r w:rsidR="002F2DA4">
        <w:rPr>
          <w:rFonts w:cs="Times New Roman"/>
          <w:szCs w:val="24"/>
        </w:rPr>
        <w:t xml:space="preserve"> har modtaget fra myndigheder, organisationer, </w:t>
      </w:r>
      <w:r w:rsidR="00456812">
        <w:rPr>
          <w:rFonts w:cs="Times New Roman"/>
          <w:szCs w:val="24"/>
        </w:rPr>
        <w:t xml:space="preserve">og </w:t>
      </w:r>
      <w:r w:rsidR="002F2DA4">
        <w:rPr>
          <w:rFonts w:cs="Times New Roman"/>
          <w:szCs w:val="24"/>
        </w:rPr>
        <w:t xml:space="preserve">foreninger </w:t>
      </w:r>
      <w:r w:rsidR="00456812">
        <w:rPr>
          <w:rFonts w:cs="Times New Roman"/>
          <w:szCs w:val="24"/>
        </w:rPr>
        <w:t>m.v.</w:t>
      </w:r>
    </w:p>
    <w:p w14:paraId="51D46829" w14:textId="7A5891A4" w:rsidR="00F24CAA" w:rsidRDefault="00F24CAA" w:rsidP="0018149C">
      <w:pPr>
        <w:spacing w:after="0"/>
        <w:rPr>
          <w:rFonts w:cs="Times New Roman"/>
          <w:szCs w:val="24"/>
        </w:rPr>
      </w:pPr>
    </w:p>
    <w:p w14:paraId="32D8335F" w14:textId="72BEBCBB" w:rsidR="00F24CAA" w:rsidRDefault="00DD7B6E" w:rsidP="0018149C">
      <w:pPr>
        <w:spacing w:after="0"/>
        <w:rPr>
          <w:rFonts w:cs="Times New Roman"/>
          <w:szCs w:val="24"/>
        </w:rPr>
      </w:pPr>
      <w:r>
        <w:rPr>
          <w:rFonts w:cs="Times New Roman"/>
          <w:szCs w:val="24"/>
        </w:rPr>
        <w:t>S</w:t>
      </w:r>
      <w:r w:rsidR="00F24CAA">
        <w:rPr>
          <w:rFonts w:cs="Times New Roman"/>
          <w:szCs w:val="24"/>
        </w:rPr>
        <w:t xml:space="preserve">tk. 2 har til formål at bidrage til, at den vejledende folkeafstemning sker på et oplyst grundlag.  </w:t>
      </w:r>
    </w:p>
    <w:p w14:paraId="48ACFF06" w14:textId="77777777" w:rsidR="00F24CAA" w:rsidRPr="00952E7F" w:rsidRDefault="00F24CAA" w:rsidP="0018149C">
      <w:pPr>
        <w:spacing w:after="0"/>
        <w:rPr>
          <w:rFonts w:cs="Times New Roman"/>
          <w:szCs w:val="24"/>
        </w:rPr>
      </w:pPr>
    </w:p>
    <w:p w14:paraId="690ED4A3" w14:textId="78B6DE66" w:rsidR="003F385E" w:rsidRDefault="003F385E" w:rsidP="00F14506">
      <w:pPr>
        <w:spacing w:after="0"/>
        <w:jc w:val="center"/>
        <w:rPr>
          <w:rFonts w:cs="Times New Roman"/>
          <w:i/>
          <w:szCs w:val="24"/>
        </w:rPr>
      </w:pPr>
      <w:r w:rsidRPr="00952E7F">
        <w:rPr>
          <w:rFonts w:cs="Times New Roman"/>
          <w:i/>
          <w:szCs w:val="24"/>
        </w:rPr>
        <w:t>Til § 2</w:t>
      </w:r>
    </w:p>
    <w:p w14:paraId="1A7EE239" w14:textId="77777777" w:rsidR="00F14506" w:rsidRPr="00952E7F" w:rsidRDefault="00F14506" w:rsidP="00F14506">
      <w:pPr>
        <w:spacing w:after="0"/>
        <w:jc w:val="center"/>
        <w:rPr>
          <w:rFonts w:cs="Times New Roman"/>
          <w:szCs w:val="24"/>
        </w:rPr>
      </w:pPr>
    </w:p>
    <w:p w14:paraId="38FB43EB" w14:textId="5657F85F" w:rsidR="00B75B6A" w:rsidRPr="00952E7F" w:rsidRDefault="003F385E" w:rsidP="0018149C">
      <w:pPr>
        <w:spacing w:after="0"/>
        <w:rPr>
          <w:rFonts w:cs="Times New Roman"/>
          <w:szCs w:val="24"/>
        </w:rPr>
      </w:pPr>
      <w:r w:rsidRPr="00952E7F">
        <w:rPr>
          <w:rFonts w:cs="Times New Roman"/>
          <w:szCs w:val="24"/>
        </w:rPr>
        <w:t xml:space="preserve">Bestemmelsen fastsætter afstemningstemaet for </w:t>
      </w:r>
      <w:r w:rsidR="007E08C6">
        <w:rPr>
          <w:rFonts w:cs="Times New Roman"/>
          <w:szCs w:val="24"/>
        </w:rPr>
        <w:t xml:space="preserve">den vejledende </w:t>
      </w:r>
      <w:r w:rsidRPr="00952E7F">
        <w:rPr>
          <w:rFonts w:cs="Times New Roman"/>
          <w:szCs w:val="24"/>
        </w:rPr>
        <w:t>folkeafstemning</w:t>
      </w:r>
      <w:r w:rsidR="000D0565">
        <w:rPr>
          <w:rFonts w:cs="Times New Roman"/>
          <w:szCs w:val="24"/>
        </w:rPr>
        <w:t>.</w:t>
      </w:r>
      <w:r w:rsidRPr="00952E7F">
        <w:rPr>
          <w:rFonts w:cs="Times New Roman"/>
          <w:szCs w:val="24"/>
        </w:rPr>
        <w:t xml:space="preserve"> </w:t>
      </w:r>
    </w:p>
    <w:p w14:paraId="4063371E" w14:textId="5387DEE6" w:rsidR="00EB280A" w:rsidRPr="00952E7F" w:rsidRDefault="00EB280A" w:rsidP="0018149C">
      <w:pPr>
        <w:spacing w:after="0"/>
        <w:rPr>
          <w:rFonts w:cs="Times New Roman"/>
          <w:szCs w:val="24"/>
        </w:rPr>
      </w:pPr>
    </w:p>
    <w:p w14:paraId="1E7F119F" w14:textId="10B95F3B" w:rsidR="00EB280A" w:rsidRDefault="00EB280A" w:rsidP="00F14506">
      <w:pPr>
        <w:spacing w:after="0"/>
        <w:jc w:val="center"/>
        <w:rPr>
          <w:rFonts w:cs="Times New Roman"/>
          <w:i/>
          <w:szCs w:val="24"/>
        </w:rPr>
      </w:pPr>
      <w:r w:rsidRPr="00952E7F">
        <w:rPr>
          <w:rFonts w:cs="Times New Roman"/>
          <w:i/>
          <w:szCs w:val="24"/>
        </w:rPr>
        <w:t>Til § 3</w:t>
      </w:r>
    </w:p>
    <w:p w14:paraId="32870897" w14:textId="77777777" w:rsidR="00F14506" w:rsidRPr="00952E7F" w:rsidRDefault="00F14506" w:rsidP="00F14506">
      <w:pPr>
        <w:spacing w:after="0"/>
        <w:jc w:val="center"/>
        <w:rPr>
          <w:rFonts w:cs="Times New Roman"/>
          <w:szCs w:val="24"/>
        </w:rPr>
      </w:pPr>
    </w:p>
    <w:p w14:paraId="17C602A2" w14:textId="280FF96A" w:rsidR="00EB280A" w:rsidRPr="00952E7F" w:rsidRDefault="007E08C6" w:rsidP="0018149C">
      <w:pPr>
        <w:spacing w:after="0"/>
        <w:rPr>
          <w:rFonts w:cs="Times New Roman"/>
          <w:szCs w:val="24"/>
        </w:rPr>
      </w:pPr>
      <w:r>
        <w:rPr>
          <w:rFonts w:cs="Times New Roman"/>
          <w:szCs w:val="24"/>
        </w:rPr>
        <w:t xml:space="preserve">Bestemmelsen fastsætter, hvem der kan deltage i den vejledende folkeafstemning. </w:t>
      </w:r>
      <w:r w:rsidR="00A5436F" w:rsidRPr="00952E7F">
        <w:rPr>
          <w:rFonts w:cs="Times New Roman"/>
          <w:szCs w:val="24"/>
        </w:rPr>
        <w:t xml:space="preserve"> </w:t>
      </w:r>
      <w:bookmarkStart w:id="9" w:name="_Hlk108120037"/>
      <w:r>
        <w:rPr>
          <w:rFonts w:cs="Times New Roman"/>
          <w:szCs w:val="24"/>
        </w:rPr>
        <w:t>S</w:t>
      </w:r>
      <w:r w:rsidR="00A5436F" w:rsidRPr="00952E7F">
        <w:rPr>
          <w:rFonts w:cs="Times New Roman"/>
          <w:szCs w:val="24"/>
        </w:rPr>
        <w:t>temmeberettige</w:t>
      </w:r>
      <w:r>
        <w:rPr>
          <w:rFonts w:cs="Times New Roman"/>
          <w:szCs w:val="24"/>
        </w:rPr>
        <w:t xml:space="preserve">t </w:t>
      </w:r>
      <w:r w:rsidR="00A5436F" w:rsidRPr="00952E7F">
        <w:rPr>
          <w:rFonts w:cs="Times New Roman"/>
          <w:szCs w:val="24"/>
        </w:rPr>
        <w:t xml:space="preserve">er </w:t>
      </w:r>
      <w:r>
        <w:rPr>
          <w:rFonts w:cs="Times New Roman"/>
          <w:szCs w:val="24"/>
        </w:rPr>
        <w:t>enhver</w:t>
      </w:r>
      <w:r w:rsidR="00A5436F" w:rsidRPr="00952E7F">
        <w:rPr>
          <w:rFonts w:cs="Times New Roman"/>
          <w:szCs w:val="24"/>
        </w:rPr>
        <w:t xml:space="preserve">, som </w:t>
      </w:r>
      <w:r w:rsidR="000D0565">
        <w:rPr>
          <w:rFonts w:cs="Times New Roman"/>
          <w:szCs w:val="24"/>
        </w:rPr>
        <w:t xml:space="preserve">på afstemningsdagen </w:t>
      </w:r>
      <w:r w:rsidR="00A5436F" w:rsidRPr="00952E7F">
        <w:rPr>
          <w:rFonts w:cs="Times New Roman"/>
          <w:szCs w:val="24"/>
        </w:rPr>
        <w:t>ville kunne stemme til et valg til Inatsisartut.</w:t>
      </w:r>
      <w:bookmarkEnd w:id="9"/>
    </w:p>
    <w:p w14:paraId="763226BE" w14:textId="0DD6AC5F" w:rsidR="00A5436F" w:rsidRPr="00952E7F" w:rsidRDefault="00A5436F" w:rsidP="0018149C">
      <w:pPr>
        <w:spacing w:after="0"/>
        <w:rPr>
          <w:rFonts w:cs="Times New Roman"/>
          <w:szCs w:val="24"/>
        </w:rPr>
      </w:pPr>
    </w:p>
    <w:p w14:paraId="7F9F77D3" w14:textId="01615E81" w:rsidR="00A5436F" w:rsidRDefault="00A5436F" w:rsidP="00F14506">
      <w:pPr>
        <w:spacing w:after="0"/>
        <w:jc w:val="center"/>
        <w:rPr>
          <w:rFonts w:cs="Times New Roman"/>
          <w:i/>
          <w:szCs w:val="24"/>
        </w:rPr>
      </w:pPr>
      <w:r w:rsidRPr="00952E7F">
        <w:rPr>
          <w:rFonts w:cs="Times New Roman"/>
          <w:i/>
          <w:szCs w:val="24"/>
        </w:rPr>
        <w:t>Til § 4</w:t>
      </w:r>
    </w:p>
    <w:p w14:paraId="0F731F95" w14:textId="77777777" w:rsidR="00F14506" w:rsidRPr="00952E7F" w:rsidRDefault="00F14506" w:rsidP="00F14506">
      <w:pPr>
        <w:spacing w:after="0"/>
        <w:jc w:val="center"/>
        <w:rPr>
          <w:rFonts w:cs="Times New Roman"/>
          <w:i/>
          <w:szCs w:val="24"/>
        </w:rPr>
      </w:pPr>
    </w:p>
    <w:p w14:paraId="25ACB368" w14:textId="32A69FBD" w:rsidR="0000322D" w:rsidRPr="0000322D" w:rsidRDefault="0000322D" w:rsidP="0000322D">
      <w:pPr>
        <w:spacing w:after="0"/>
        <w:rPr>
          <w:rFonts w:cs="Times New Roman"/>
          <w:szCs w:val="24"/>
        </w:rPr>
      </w:pPr>
      <w:r w:rsidRPr="0000322D">
        <w:rPr>
          <w:rFonts w:cs="Times New Roman"/>
          <w:szCs w:val="24"/>
        </w:rPr>
        <w:t xml:space="preserve">Afstemningens forberedelse og gennemførelse, opgørelse af afstemningens resultat og indberetning herom samt indgivelse af klager over afstemningen m.v. skal ske efter reglerne i </w:t>
      </w:r>
      <w:proofErr w:type="spellStart"/>
      <w:r>
        <w:rPr>
          <w:rFonts w:cs="Times New Roman"/>
          <w:szCs w:val="24"/>
        </w:rPr>
        <w:t>Inatsisartut</w:t>
      </w:r>
      <w:r w:rsidRPr="0000322D">
        <w:rPr>
          <w:rFonts w:cs="Times New Roman"/>
          <w:szCs w:val="24"/>
        </w:rPr>
        <w:t>lov</w:t>
      </w:r>
      <w:proofErr w:type="spellEnd"/>
      <w:r w:rsidRPr="0000322D">
        <w:rPr>
          <w:rFonts w:cs="Times New Roman"/>
          <w:szCs w:val="24"/>
        </w:rPr>
        <w:t xml:space="preserve"> om valg til </w:t>
      </w:r>
      <w:r>
        <w:rPr>
          <w:rFonts w:cs="Times New Roman"/>
          <w:szCs w:val="24"/>
        </w:rPr>
        <w:t>Inatsisartut</w:t>
      </w:r>
      <w:r w:rsidRPr="0000322D">
        <w:rPr>
          <w:rFonts w:cs="Times New Roman"/>
          <w:szCs w:val="24"/>
        </w:rPr>
        <w:t>, dog med de ændringer, som Valgnævnet finder nødvendige.</w:t>
      </w:r>
      <w:r>
        <w:rPr>
          <w:rFonts w:cs="Times New Roman"/>
          <w:szCs w:val="24"/>
        </w:rPr>
        <w:t xml:space="preserve"> </w:t>
      </w:r>
    </w:p>
    <w:p w14:paraId="6D6B5460" w14:textId="77777777" w:rsidR="0000322D" w:rsidRPr="0000322D" w:rsidRDefault="0000322D" w:rsidP="0000322D">
      <w:pPr>
        <w:spacing w:after="0"/>
        <w:rPr>
          <w:rFonts w:cs="Times New Roman"/>
          <w:szCs w:val="24"/>
        </w:rPr>
      </w:pPr>
    </w:p>
    <w:p w14:paraId="02A2CA5F" w14:textId="66267EED" w:rsidR="0000322D" w:rsidRDefault="0000322D" w:rsidP="0000322D">
      <w:pPr>
        <w:spacing w:after="0"/>
      </w:pPr>
      <w:proofErr w:type="spellStart"/>
      <w:r>
        <w:rPr>
          <w:rFonts w:cs="Times New Roman"/>
          <w:szCs w:val="24"/>
        </w:rPr>
        <w:t>Inatsisartut</w:t>
      </w:r>
      <w:r w:rsidRPr="0000322D">
        <w:rPr>
          <w:rFonts w:cs="Times New Roman"/>
          <w:szCs w:val="24"/>
        </w:rPr>
        <w:t>lov</w:t>
      </w:r>
      <w:proofErr w:type="spellEnd"/>
      <w:r w:rsidRPr="0000322D">
        <w:rPr>
          <w:rFonts w:cs="Times New Roman"/>
          <w:szCs w:val="24"/>
        </w:rPr>
        <w:t xml:space="preserve"> om valg til </w:t>
      </w:r>
      <w:r>
        <w:rPr>
          <w:rFonts w:cs="Times New Roman"/>
          <w:szCs w:val="24"/>
        </w:rPr>
        <w:t>Inatsisartut</w:t>
      </w:r>
      <w:r w:rsidRPr="0000322D">
        <w:rPr>
          <w:rFonts w:cs="Times New Roman"/>
          <w:szCs w:val="24"/>
        </w:rPr>
        <w:t xml:space="preserve"> </w:t>
      </w:r>
      <w:r>
        <w:rPr>
          <w:rFonts w:cs="Times New Roman"/>
          <w:szCs w:val="24"/>
        </w:rPr>
        <w:t xml:space="preserve">kan således </w:t>
      </w:r>
      <w:r w:rsidRPr="0000322D">
        <w:rPr>
          <w:rFonts w:cs="Times New Roman"/>
          <w:szCs w:val="24"/>
        </w:rPr>
        <w:t>af Valgnævnet fraviges i det omfang</w:t>
      </w:r>
      <w:r w:rsidR="002E32E3">
        <w:rPr>
          <w:rFonts w:cs="Times New Roman"/>
          <w:szCs w:val="24"/>
        </w:rPr>
        <w:t>,</w:t>
      </w:r>
      <w:r w:rsidRPr="0000322D">
        <w:rPr>
          <w:rFonts w:cs="Times New Roman"/>
          <w:szCs w:val="24"/>
        </w:rPr>
        <w:t xml:space="preserve"> </w:t>
      </w:r>
      <w:r>
        <w:rPr>
          <w:rFonts w:cs="Times New Roman"/>
          <w:szCs w:val="24"/>
        </w:rPr>
        <w:t xml:space="preserve">dens </w:t>
      </w:r>
      <w:r w:rsidRPr="0000322D">
        <w:rPr>
          <w:rFonts w:cs="Times New Roman"/>
          <w:szCs w:val="24"/>
        </w:rPr>
        <w:t>bestemmelser omhandler partier, kandidater og stedfortrædere, da der ved den</w:t>
      </w:r>
      <w:r w:rsidR="002E32E3">
        <w:rPr>
          <w:rFonts w:cs="Times New Roman"/>
          <w:szCs w:val="24"/>
        </w:rPr>
        <w:t xml:space="preserve"> vejledende</w:t>
      </w:r>
      <w:r w:rsidRPr="0000322D">
        <w:rPr>
          <w:rFonts w:cs="Times New Roman"/>
          <w:szCs w:val="24"/>
        </w:rPr>
        <w:t xml:space="preserve"> folkeafstemning alene skal tages stilling til spørgsmålet " </w:t>
      </w:r>
      <w:r>
        <w:t xml:space="preserve">Ønsker du, at Grønlands Selvstyre </w:t>
      </w:r>
      <w:r>
        <w:lastRenderedPageBreak/>
        <w:t xml:space="preserve">ophæver </w:t>
      </w:r>
      <w:proofErr w:type="spellStart"/>
      <w:r>
        <w:t>Inatsisartutlov</w:t>
      </w:r>
      <w:proofErr w:type="spellEnd"/>
      <w:r>
        <w:t xml:space="preserve"> nr. 20 af 1. december 2021 om forbud mod forundersøgelse, efterforskning og udnyttelse af uran mv.?”</w:t>
      </w:r>
    </w:p>
    <w:p w14:paraId="21478326" w14:textId="17FC3F0D" w:rsidR="0000322D" w:rsidRDefault="0000322D" w:rsidP="0000322D">
      <w:pPr>
        <w:spacing w:after="0"/>
        <w:rPr>
          <w:rFonts w:cs="Times New Roman"/>
          <w:szCs w:val="24"/>
        </w:rPr>
      </w:pPr>
    </w:p>
    <w:p w14:paraId="57111746" w14:textId="77777777" w:rsidR="0000322D" w:rsidRDefault="0000322D" w:rsidP="0000322D">
      <w:pPr>
        <w:spacing w:after="0"/>
        <w:rPr>
          <w:rFonts w:cs="Times New Roman"/>
          <w:szCs w:val="24"/>
        </w:rPr>
      </w:pPr>
    </w:p>
    <w:p w14:paraId="6A91E6E2" w14:textId="4F7F05DF" w:rsidR="00021281" w:rsidRDefault="0000322D" w:rsidP="0000322D">
      <w:pPr>
        <w:spacing w:after="0"/>
        <w:rPr>
          <w:rFonts w:cs="Times New Roman"/>
          <w:szCs w:val="24"/>
        </w:rPr>
      </w:pPr>
      <w:r w:rsidRPr="0000322D">
        <w:rPr>
          <w:rFonts w:cs="Times New Roman"/>
          <w:szCs w:val="24"/>
        </w:rPr>
        <w:t xml:space="preserve">Valgnævnets beføjelser i øvrigt fremgår af </w:t>
      </w:r>
      <w:proofErr w:type="spellStart"/>
      <w:r>
        <w:rPr>
          <w:rFonts w:cs="Times New Roman"/>
          <w:szCs w:val="24"/>
        </w:rPr>
        <w:t>Inatsisartut</w:t>
      </w:r>
      <w:r w:rsidRPr="0000322D">
        <w:rPr>
          <w:rFonts w:cs="Times New Roman"/>
          <w:szCs w:val="24"/>
        </w:rPr>
        <w:t>lov</w:t>
      </w:r>
      <w:proofErr w:type="spellEnd"/>
      <w:r w:rsidRPr="0000322D">
        <w:rPr>
          <w:rFonts w:cs="Times New Roman"/>
          <w:szCs w:val="24"/>
        </w:rPr>
        <w:t xml:space="preserve"> om valg til </w:t>
      </w:r>
      <w:r>
        <w:rPr>
          <w:rFonts w:cs="Times New Roman"/>
          <w:szCs w:val="24"/>
        </w:rPr>
        <w:t>Inatsisartut</w:t>
      </w:r>
      <w:r w:rsidRPr="0000322D">
        <w:rPr>
          <w:rFonts w:cs="Times New Roman"/>
          <w:szCs w:val="24"/>
        </w:rPr>
        <w:t>.</w:t>
      </w:r>
    </w:p>
    <w:p w14:paraId="71F42C3A" w14:textId="77777777" w:rsidR="0000322D" w:rsidRDefault="0000322D" w:rsidP="0000322D">
      <w:pPr>
        <w:spacing w:after="0"/>
        <w:rPr>
          <w:rFonts w:cs="Times New Roman"/>
          <w:szCs w:val="24"/>
        </w:rPr>
      </w:pPr>
    </w:p>
    <w:p w14:paraId="6B5DD5CD" w14:textId="54D93CD8" w:rsidR="00021281" w:rsidRPr="00952E7F" w:rsidRDefault="002E32E3" w:rsidP="0018149C">
      <w:pPr>
        <w:spacing w:after="0"/>
        <w:rPr>
          <w:rFonts w:cs="Times New Roman"/>
          <w:szCs w:val="24"/>
        </w:rPr>
      </w:pPr>
      <w:bookmarkStart w:id="10" w:name="_Hlk108119568"/>
      <w:r>
        <w:rPr>
          <w:rFonts w:cs="Times New Roman"/>
          <w:szCs w:val="24"/>
        </w:rPr>
        <w:t xml:space="preserve">At </w:t>
      </w:r>
      <w:r w:rsidR="00C67E1E">
        <w:rPr>
          <w:rFonts w:cs="Times New Roman"/>
          <w:szCs w:val="24"/>
        </w:rPr>
        <w:t>den vejledende folkeafstemning forberedes og gennemføres efter samme retningslinjer, som gælder for valg til Inatsisartut,</w:t>
      </w:r>
      <w:r w:rsidR="00021281" w:rsidRPr="00021281">
        <w:rPr>
          <w:rFonts w:cs="Times New Roman"/>
          <w:szCs w:val="24"/>
        </w:rPr>
        <w:t xml:space="preserve"> indebærer endvidere, at midler, der er afsat på finanslovens </w:t>
      </w:r>
      <w:proofErr w:type="spellStart"/>
      <w:r w:rsidR="00021281" w:rsidRPr="00021281">
        <w:rPr>
          <w:rFonts w:cs="Times New Roman"/>
          <w:szCs w:val="24"/>
        </w:rPr>
        <w:t>hovedkonto</w:t>
      </w:r>
      <w:proofErr w:type="spellEnd"/>
      <w:r w:rsidR="00021281" w:rsidRPr="00021281">
        <w:rPr>
          <w:rFonts w:cs="Times New Roman"/>
          <w:szCs w:val="24"/>
        </w:rPr>
        <w:t xml:space="preserve"> </w:t>
      </w:r>
      <w:r w:rsidR="00C67E1E">
        <w:rPr>
          <w:rFonts w:cs="Times New Roman"/>
          <w:szCs w:val="24"/>
        </w:rPr>
        <w:t>20</w:t>
      </w:r>
      <w:r w:rsidR="00021281" w:rsidRPr="00021281">
        <w:rPr>
          <w:rFonts w:cs="Times New Roman"/>
          <w:szCs w:val="24"/>
        </w:rPr>
        <w:t>.0</w:t>
      </w:r>
      <w:r w:rsidR="00C67E1E">
        <w:rPr>
          <w:rFonts w:cs="Times New Roman"/>
          <w:szCs w:val="24"/>
        </w:rPr>
        <w:t>5</w:t>
      </w:r>
      <w:r w:rsidR="00021281" w:rsidRPr="00021281">
        <w:rPr>
          <w:rFonts w:cs="Times New Roman"/>
          <w:szCs w:val="24"/>
        </w:rPr>
        <w:t>.</w:t>
      </w:r>
      <w:r w:rsidR="00C67E1E">
        <w:rPr>
          <w:rFonts w:cs="Times New Roman"/>
          <w:szCs w:val="24"/>
        </w:rPr>
        <w:t>34</w:t>
      </w:r>
      <w:r w:rsidR="00021281" w:rsidRPr="00021281">
        <w:rPr>
          <w:rFonts w:cs="Times New Roman"/>
          <w:szCs w:val="24"/>
        </w:rPr>
        <w:t xml:space="preserve"> Tilskud til partiernes valgkamp, kan søges og udbetales efter vedtagelse af nærværende forslag til </w:t>
      </w:r>
      <w:proofErr w:type="spellStart"/>
      <w:r w:rsidR="001747FE">
        <w:rPr>
          <w:rFonts w:cs="Times New Roman"/>
          <w:szCs w:val="24"/>
        </w:rPr>
        <w:t>Inatsisartut</w:t>
      </w:r>
      <w:r w:rsidR="00021281" w:rsidRPr="00021281">
        <w:rPr>
          <w:rFonts w:cs="Times New Roman"/>
          <w:szCs w:val="24"/>
        </w:rPr>
        <w:t>lov</w:t>
      </w:r>
      <w:proofErr w:type="spellEnd"/>
      <w:r w:rsidR="005744F8">
        <w:rPr>
          <w:rFonts w:cs="Times New Roman"/>
          <w:szCs w:val="24"/>
        </w:rPr>
        <w:t>, jf. §§ 6-7 i Landstingslov om økonomisk tilskud til politisk arbejde.</w:t>
      </w:r>
    </w:p>
    <w:bookmarkEnd w:id="10"/>
    <w:p w14:paraId="2E5F7B51" w14:textId="43BCAC02" w:rsidR="00676159" w:rsidRPr="00952E7F" w:rsidRDefault="00676159" w:rsidP="0018149C">
      <w:pPr>
        <w:spacing w:after="0"/>
        <w:rPr>
          <w:rFonts w:cs="Times New Roman"/>
          <w:szCs w:val="24"/>
        </w:rPr>
      </w:pPr>
    </w:p>
    <w:p w14:paraId="381F98AD" w14:textId="4E8F4AC1" w:rsidR="00676159" w:rsidRDefault="00676159" w:rsidP="00F14506">
      <w:pPr>
        <w:spacing w:after="0"/>
        <w:jc w:val="center"/>
        <w:rPr>
          <w:rFonts w:cs="Times New Roman"/>
          <w:i/>
          <w:szCs w:val="24"/>
        </w:rPr>
      </w:pPr>
      <w:r w:rsidRPr="00952E7F">
        <w:rPr>
          <w:rFonts w:cs="Times New Roman"/>
          <w:i/>
          <w:szCs w:val="24"/>
        </w:rPr>
        <w:t>Til § 5</w:t>
      </w:r>
    </w:p>
    <w:p w14:paraId="6A33B939" w14:textId="77777777" w:rsidR="00F14506" w:rsidRPr="00952E7F" w:rsidRDefault="00F14506" w:rsidP="00F14506">
      <w:pPr>
        <w:spacing w:after="0"/>
        <w:jc w:val="center"/>
        <w:rPr>
          <w:rFonts w:cs="Times New Roman"/>
          <w:szCs w:val="24"/>
        </w:rPr>
      </w:pPr>
    </w:p>
    <w:p w14:paraId="6ABC8D33" w14:textId="07E01015" w:rsidR="00676159" w:rsidRPr="00952E7F" w:rsidRDefault="00676159" w:rsidP="0018149C">
      <w:pPr>
        <w:spacing w:after="0"/>
        <w:rPr>
          <w:rFonts w:cs="Times New Roman"/>
          <w:szCs w:val="24"/>
        </w:rPr>
      </w:pPr>
      <w:r w:rsidRPr="00952E7F">
        <w:rPr>
          <w:rFonts w:cs="Times New Roman"/>
          <w:szCs w:val="24"/>
        </w:rPr>
        <w:t xml:space="preserve">Bestemmelsen </w:t>
      </w:r>
      <w:r w:rsidR="00971D8D">
        <w:rPr>
          <w:rFonts w:cs="Times New Roman"/>
          <w:szCs w:val="24"/>
        </w:rPr>
        <w:t xml:space="preserve">pålægger </w:t>
      </w:r>
      <w:proofErr w:type="spellStart"/>
      <w:r w:rsidR="00971D8D">
        <w:rPr>
          <w:rFonts w:cs="Times New Roman"/>
          <w:szCs w:val="24"/>
        </w:rPr>
        <w:t>Naalakkersuisut</w:t>
      </w:r>
      <w:proofErr w:type="spellEnd"/>
      <w:r w:rsidR="00971D8D">
        <w:rPr>
          <w:rFonts w:cs="Times New Roman"/>
          <w:szCs w:val="24"/>
        </w:rPr>
        <w:t xml:space="preserve"> ansvaret for udformning, mangfoldiggørelse og distribution af stemmesedler til brug for den vejledende folkeafstemning. Bestemmelsen fastsætter endvidere krav til</w:t>
      </w:r>
      <w:r w:rsidR="000D0565">
        <w:rPr>
          <w:rFonts w:cs="Times New Roman"/>
          <w:szCs w:val="24"/>
        </w:rPr>
        <w:t>,</w:t>
      </w:r>
      <w:r w:rsidRPr="00952E7F">
        <w:rPr>
          <w:rFonts w:cs="Times New Roman"/>
          <w:szCs w:val="24"/>
        </w:rPr>
        <w:t xml:space="preserve"> hvordan stemmesedlen skal udformes.</w:t>
      </w:r>
    </w:p>
    <w:p w14:paraId="489561C1" w14:textId="527E0D28" w:rsidR="005308CE" w:rsidRPr="00952E7F" w:rsidRDefault="005308CE" w:rsidP="0018149C">
      <w:pPr>
        <w:spacing w:after="0"/>
        <w:rPr>
          <w:rFonts w:cs="Times New Roman"/>
          <w:szCs w:val="24"/>
        </w:rPr>
      </w:pPr>
    </w:p>
    <w:p w14:paraId="48CBA5E7" w14:textId="5D559F77" w:rsidR="005308CE" w:rsidRDefault="005308CE" w:rsidP="00F14506">
      <w:pPr>
        <w:spacing w:after="0"/>
        <w:jc w:val="center"/>
        <w:rPr>
          <w:rFonts w:cs="Times New Roman"/>
          <w:i/>
          <w:szCs w:val="24"/>
        </w:rPr>
      </w:pPr>
      <w:r w:rsidRPr="00952E7F">
        <w:rPr>
          <w:rFonts w:cs="Times New Roman"/>
          <w:i/>
          <w:szCs w:val="24"/>
        </w:rPr>
        <w:t>Til § 6</w:t>
      </w:r>
    </w:p>
    <w:p w14:paraId="38D37751" w14:textId="77777777" w:rsidR="00F14506" w:rsidRPr="00952E7F" w:rsidRDefault="00F14506" w:rsidP="00F14506">
      <w:pPr>
        <w:spacing w:after="0"/>
        <w:jc w:val="center"/>
        <w:rPr>
          <w:rFonts w:cs="Times New Roman"/>
          <w:szCs w:val="24"/>
        </w:rPr>
      </w:pPr>
    </w:p>
    <w:p w14:paraId="17C34B5E" w14:textId="69CB8B4E" w:rsidR="005308CE" w:rsidRDefault="005308CE" w:rsidP="0018149C">
      <w:pPr>
        <w:spacing w:after="0"/>
        <w:rPr>
          <w:rFonts w:cs="Times New Roman"/>
          <w:szCs w:val="24"/>
        </w:rPr>
      </w:pPr>
      <w:r w:rsidRPr="00952E7F">
        <w:rPr>
          <w:rFonts w:cs="Times New Roman"/>
          <w:szCs w:val="24"/>
        </w:rPr>
        <w:t xml:space="preserve">Det </w:t>
      </w:r>
      <w:r w:rsidR="00A13EE9">
        <w:rPr>
          <w:rFonts w:cs="Times New Roman"/>
          <w:szCs w:val="24"/>
        </w:rPr>
        <w:t>må forventes</w:t>
      </w:r>
      <w:r w:rsidRPr="00952E7F">
        <w:rPr>
          <w:rFonts w:cs="Times New Roman"/>
          <w:szCs w:val="24"/>
        </w:rPr>
        <w:t xml:space="preserve">, at Inatsisartut vil respektere den vejledende </w:t>
      </w:r>
      <w:r w:rsidR="00A13EE9">
        <w:rPr>
          <w:rFonts w:cs="Times New Roman"/>
          <w:szCs w:val="24"/>
        </w:rPr>
        <w:t>folke</w:t>
      </w:r>
      <w:r w:rsidRPr="00952E7F">
        <w:rPr>
          <w:rFonts w:cs="Times New Roman"/>
          <w:szCs w:val="24"/>
        </w:rPr>
        <w:t xml:space="preserve">afstemning. </w:t>
      </w:r>
      <w:r w:rsidR="00A13EE9">
        <w:rPr>
          <w:rFonts w:cs="Times New Roman"/>
          <w:szCs w:val="24"/>
        </w:rPr>
        <w:t>E</w:t>
      </w:r>
      <w:r w:rsidRPr="00952E7F">
        <w:rPr>
          <w:rFonts w:cs="Times New Roman"/>
          <w:szCs w:val="24"/>
        </w:rPr>
        <w:t xml:space="preserve">t medlem af Inatsisartut </w:t>
      </w:r>
      <w:r w:rsidR="00A13EE9">
        <w:rPr>
          <w:rFonts w:cs="Times New Roman"/>
          <w:szCs w:val="24"/>
        </w:rPr>
        <w:t xml:space="preserve">er imidlertid </w:t>
      </w:r>
      <w:r w:rsidRPr="00952E7F">
        <w:rPr>
          <w:rFonts w:cs="Times New Roman"/>
          <w:szCs w:val="24"/>
        </w:rPr>
        <w:t xml:space="preserve">alene bundet af sin egen overbevisning, </w:t>
      </w:r>
      <w:r w:rsidR="00A13EE9">
        <w:rPr>
          <w:rFonts w:cs="Times New Roman"/>
          <w:szCs w:val="24"/>
        </w:rPr>
        <w:t xml:space="preserve">og vil uanset udfaldet af den vejledende folkeafstemning ikke være retligt forpligtet til at stemme hverken for eller imod et </w:t>
      </w:r>
      <w:bookmarkStart w:id="11" w:name="_Hlk107997898"/>
      <w:r w:rsidR="00A13EE9">
        <w:rPr>
          <w:rFonts w:cs="Times New Roman"/>
          <w:szCs w:val="24"/>
        </w:rPr>
        <w:t xml:space="preserve">forslag til </w:t>
      </w:r>
      <w:proofErr w:type="spellStart"/>
      <w:r w:rsidR="00A13EE9">
        <w:rPr>
          <w:rFonts w:cs="Times New Roman"/>
          <w:szCs w:val="24"/>
        </w:rPr>
        <w:t>Inatsisartutlov</w:t>
      </w:r>
      <w:proofErr w:type="spellEnd"/>
      <w:r w:rsidR="00A13EE9">
        <w:rPr>
          <w:rFonts w:cs="Times New Roman"/>
          <w:szCs w:val="24"/>
        </w:rPr>
        <w:t xml:space="preserve"> om </w:t>
      </w:r>
      <w:bookmarkEnd w:id="11"/>
      <w:r w:rsidR="00A13EE9" w:rsidRPr="00F24CAA">
        <w:rPr>
          <w:rFonts w:cs="Times New Roman"/>
          <w:szCs w:val="24"/>
        </w:rPr>
        <w:t xml:space="preserve">ophævelse af </w:t>
      </w:r>
      <w:proofErr w:type="spellStart"/>
      <w:r w:rsidR="00A13EE9" w:rsidRPr="00F24CAA">
        <w:rPr>
          <w:rFonts w:cs="Times New Roman"/>
          <w:szCs w:val="24"/>
        </w:rPr>
        <w:t>Inatsisartutlov</w:t>
      </w:r>
      <w:proofErr w:type="spellEnd"/>
      <w:r w:rsidR="00A13EE9" w:rsidRPr="00F24CAA">
        <w:rPr>
          <w:rFonts w:cs="Times New Roman"/>
          <w:szCs w:val="24"/>
        </w:rPr>
        <w:t xml:space="preserve"> om forbud mod forundersøgelse, efterforskning og udnyttelse af uran mv</w:t>
      </w:r>
      <w:r w:rsidRPr="00952E7F">
        <w:rPr>
          <w:rFonts w:cs="Times New Roman"/>
          <w:szCs w:val="24"/>
        </w:rPr>
        <w:t>.</w:t>
      </w:r>
    </w:p>
    <w:p w14:paraId="54A1C7F0" w14:textId="76739FD9" w:rsidR="000D0565" w:rsidRDefault="000D0565" w:rsidP="0018149C">
      <w:pPr>
        <w:spacing w:after="0"/>
        <w:rPr>
          <w:rFonts w:cs="Times New Roman"/>
          <w:szCs w:val="24"/>
        </w:rPr>
      </w:pPr>
    </w:p>
    <w:p w14:paraId="1F55DFC7" w14:textId="49793469" w:rsidR="00DD7B6E" w:rsidRDefault="00DD7B6E" w:rsidP="0018149C">
      <w:pPr>
        <w:spacing w:after="0"/>
        <w:rPr>
          <w:rFonts w:cs="Times New Roman"/>
          <w:szCs w:val="24"/>
        </w:rPr>
      </w:pPr>
      <w:r>
        <w:rPr>
          <w:rFonts w:cs="Times New Roman"/>
          <w:szCs w:val="24"/>
        </w:rPr>
        <w:t xml:space="preserve">Uanset udfaldet af den vejledende folkeafstemning vil </w:t>
      </w:r>
      <w:proofErr w:type="spellStart"/>
      <w:r>
        <w:rPr>
          <w:rFonts w:cs="Times New Roman"/>
          <w:szCs w:val="24"/>
        </w:rPr>
        <w:t>Naalakkersuisut</w:t>
      </w:r>
      <w:proofErr w:type="spellEnd"/>
      <w:r>
        <w:rPr>
          <w:rFonts w:cs="Times New Roman"/>
          <w:szCs w:val="24"/>
        </w:rPr>
        <w:t xml:space="preserve"> ej heller være retligt afskåret fra at trække det fremsatte </w:t>
      </w:r>
      <w:r w:rsidRPr="00DD7B6E">
        <w:rPr>
          <w:rFonts w:cs="Times New Roman"/>
          <w:szCs w:val="24"/>
        </w:rPr>
        <w:t xml:space="preserve">forslag til </w:t>
      </w:r>
      <w:proofErr w:type="spellStart"/>
      <w:r w:rsidRPr="00DD7B6E">
        <w:rPr>
          <w:rFonts w:cs="Times New Roman"/>
          <w:szCs w:val="24"/>
        </w:rPr>
        <w:t>Inatsisartutlov</w:t>
      </w:r>
      <w:proofErr w:type="spellEnd"/>
      <w:r w:rsidRPr="00DD7B6E">
        <w:rPr>
          <w:rFonts w:cs="Times New Roman"/>
          <w:szCs w:val="24"/>
        </w:rPr>
        <w:t xml:space="preserve"> om</w:t>
      </w:r>
      <w:r>
        <w:rPr>
          <w:rFonts w:cs="Times New Roman"/>
          <w:szCs w:val="24"/>
        </w:rPr>
        <w:t xml:space="preserve"> </w:t>
      </w:r>
      <w:r w:rsidRPr="00F24CAA">
        <w:rPr>
          <w:rFonts w:cs="Times New Roman"/>
          <w:szCs w:val="24"/>
        </w:rPr>
        <w:t xml:space="preserve">ophævelse af </w:t>
      </w:r>
      <w:proofErr w:type="spellStart"/>
      <w:r w:rsidRPr="00F24CAA">
        <w:rPr>
          <w:rFonts w:cs="Times New Roman"/>
          <w:szCs w:val="24"/>
        </w:rPr>
        <w:t>Inatsisartutlov</w:t>
      </w:r>
      <w:proofErr w:type="spellEnd"/>
      <w:r w:rsidRPr="00F24CAA">
        <w:rPr>
          <w:rFonts w:cs="Times New Roman"/>
          <w:szCs w:val="24"/>
        </w:rPr>
        <w:t xml:space="preserve"> om forbud mod forundersøgelse, efterforskning og udnyttelse af uran mv</w:t>
      </w:r>
      <w:r w:rsidRPr="00952E7F">
        <w:rPr>
          <w:rFonts w:cs="Times New Roman"/>
          <w:szCs w:val="24"/>
        </w:rPr>
        <w:t>.</w:t>
      </w:r>
      <w:r>
        <w:rPr>
          <w:rFonts w:cs="Times New Roman"/>
          <w:szCs w:val="24"/>
        </w:rPr>
        <w:t xml:space="preserve"> tilbage. Trækker </w:t>
      </w:r>
      <w:proofErr w:type="spellStart"/>
      <w:r>
        <w:rPr>
          <w:rFonts w:cs="Times New Roman"/>
          <w:szCs w:val="24"/>
        </w:rPr>
        <w:t>Naalakkersuisut</w:t>
      </w:r>
      <w:proofErr w:type="spellEnd"/>
      <w:r>
        <w:rPr>
          <w:rFonts w:cs="Times New Roman"/>
          <w:szCs w:val="24"/>
        </w:rPr>
        <w:t xml:space="preserve"> lovforslaget tilbage, vil medlemmer af Inatsisartut kunne overtage lovforslaget efter § 34, stk. 7, i Forretningsorden for Inatsisartut.</w:t>
      </w:r>
    </w:p>
    <w:p w14:paraId="28FFBFF3" w14:textId="49DC7650" w:rsidR="00DD7B6E" w:rsidRDefault="00DD7B6E" w:rsidP="0018149C">
      <w:pPr>
        <w:spacing w:after="0"/>
        <w:rPr>
          <w:rFonts w:cs="Times New Roman"/>
          <w:szCs w:val="24"/>
        </w:rPr>
      </w:pPr>
    </w:p>
    <w:p w14:paraId="29B3B08F" w14:textId="6FCEB010" w:rsidR="00DD7B6E" w:rsidRDefault="007E08C6" w:rsidP="0018149C">
      <w:pPr>
        <w:spacing w:after="0"/>
        <w:rPr>
          <w:rFonts w:cs="Times New Roman"/>
          <w:szCs w:val="24"/>
        </w:rPr>
      </w:pPr>
      <w:r>
        <w:rPr>
          <w:rFonts w:cs="Times New Roman"/>
          <w:szCs w:val="24"/>
        </w:rPr>
        <w:t xml:space="preserve">Ej heller vil </w:t>
      </w:r>
      <w:proofErr w:type="spellStart"/>
      <w:r>
        <w:rPr>
          <w:rFonts w:cs="Times New Roman"/>
          <w:szCs w:val="24"/>
        </w:rPr>
        <w:t>Naalakkersuisut</w:t>
      </w:r>
      <w:proofErr w:type="spellEnd"/>
      <w:r>
        <w:rPr>
          <w:rFonts w:cs="Times New Roman"/>
          <w:szCs w:val="24"/>
        </w:rPr>
        <w:t xml:space="preserve"> – uanset udfaldet af den vejledende folkeafstemning – være retligt afskåret fra i medfør af § 30, stk. 2, i </w:t>
      </w:r>
      <w:proofErr w:type="spellStart"/>
      <w:r>
        <w:rPr>
          <w:rFonts w:cs="Times New Roman"/>
          <w:szCs w:val="24"/>
        </w:rPr>
        <w:t>Inatsisartutlven</w:t>
      </w:r>
      <w:proofErr w:type="spellEnd"/>
      <w:r>
        <w:rPr>
          <w:rFonts w:cs="Times New Roman"/>
          <w:szCs w:val="24"/>
        </w:rPr>
        <w:t xml:space="preserve"> om Inatsisartut og </w:t>
      </w:r>
      <w:proofErr w:type="spellStart"/>
      <w:r>
        <w:rPr>
          <w:rFonts w:cs="Times New Roman"/>
          <w:szCs w:val="24"/>
        </w:rPr>
        <w:t>Naalakkersisut</w:t>
      </w:r>
      <w:proofErr w:type="spellEnd"/>
      <w:r>
        <w:rPr>
          <w:rFonts w:cs="Times New Roman"/>
          <w:szCs w:val="24"/>
        </w:rPr>
        <w:t xml:space="preserve"> at udskyde stadfæstelsen af et af Inatsisartut vedtaget forslag til</w:t>
      </w:r>
      <w:r w:rsidRPr="007E08C6">
        <w:rPr>
          <w:rFonts w:cs="Times New Roman"/>
          <w:szCs w:val="24"/>
        </w:rPr>
        <w:t xml:space="preserve"> </w:t>
      </w:r>
      <w:proofErr w:type="spellStart"/>
      <w:r w:rsidRPr="00DD7B6E">
        <w:rPr>
          <w:rFonts w:cs="Times New Roman"/>
          <w:szCs w:val="24"/>
        </w:rPr>
        <w:t>Inatsisartutlov</w:t>
      </w:r>
      <w:proofErr w:type="spellEnd"/>
      <w:r w:rsidRPr="00DD7B6E">
        <w:rPr>
          <w:rFonts w:cs="Times New Roman"/>
          <w:szCs w:val="24"/>
        </w:rPr>
        <w:t xml:space="preserve"> om</w:t>
      </w:r>
      <w:r>
        <w:rPr>
          <w:rFonts w:cs="Times New Roman"/>
          <w:szCs w:val="24"/>
        </w:rPr>
        <w:t xml:space="preserve"> </w:t>
      </w:r>
      <w:r w:rsidRPr="00F24CAA">
        <w:rPr>
          <w:rFonts w:cs="Times New Roman"/>
          <w:szCs w:val="24"/>
        </w:rPr>
        <w:t xml:space="preserve">ophævelse af </w:t>
      </w:r>
      <w:proofErr w:type="spellStart"/>
      <w:r w:rsidRPr="00F24CAA">
        <w:rPr>
          <w:rFonts w:cs="Times New Roman"/>
          <w:szCs w:val="24"/>
        </w:rPr>
        <w:t>Inatsisartutlov</w:t>
      </w:r>
      <w:proofErr w:type="spellEnd"/>
      <w:r w:rsidRPr="00F24CAA">
        <w:rPr>
          <w:rFonts w:cs="Times New Roman"/>
          <w:szCs w:val="24"/>
        </w:rPr>
        <w:t xml:space="preserve"> om forbud mod forundersøgelse, efterforskning og udnyttelse af uran mv</w:t>
      </w:r>
      <w:r>
        <w:rPr>
          <w:rFonts w:cs="Times New Roman"/>
          <w:szCs w:val="24"/>
        </w:rPr>
        <w:t>.</w:t>
      </w:r>
    </w:p>
    <w:p w14:paraId="6745405C" w14:textId="77777777" w:rsidR="00971D8D" w:rsidRDefault="00971D8D" w:rsidP="0018149C">
      <w:pPr>
        <w:spacing w:after="0"/>
        <w:rPr>
          <w:rFonts w:cs="Times New Roman"/>
          <w:szCs w:val="24"/>
        </w:rPr>
      </w:pPr>
    </w:p>
    <w:p w14:paraId="4BE8907C" w14:textId="23952529" w:rsidR="000D0565" w:rsidRDefault="000D0565" w:rsidP="00F14506">
      <w:pPr>
        <w:spacing w:after="0"/>
        <w:jc w:val="center"/>
        <w:rPr>
          <w:rFonts w:cs="Times New Roman"/>
          <w:i/>
          <w:szCs w:val="24"/>
        </w:rPr>
      </w:pPr>
      <w:r w:rsidRPr="00952E7F">
        <w:rPr>
          <w:rFonts w:cs="Times New Roman"/>
          <w:i/>
          <w:szCs w:val="24"/>
        </w:rPr>
        <w:t xml:space="preserve">Til § </w:t>
      </w:r>
      <w:r>
        <w:rPr>
          <w:rFonts w:cs="Times New Roman"/>
          <w:i/>
          <w:szCs w:val="24"/>
        </w:rPr>
        <w:t>7</w:t>
      </w:r>
    </w:p>
    <w:p w14:paraId="2BBF5B5B" w14:textId="77777777" w:rsidR="00F14506" w:rsidRPr="00952E7F" w:rsidRDefault="00F14506" w:rsidP="00F14506">
      <w:pPr>
        <w:spacing w:after="0"/>
        <w:jc w:val="center"/>
        <w:rPr>
          <w:rFonts w:cs="Times New Roman"/>
          <w:szCs w:val="24"/>
        </w:rPr>
      </w:pPr>
    </w:p>
    <w:p w14:paraId="192FCE27" w14:textId="08C290B5" w:rsidR="000D0565" w:rsidRPr="00952E7F" w:rsidRDefault="000D0565" w:rsidP="0018149C">
      <w:pPr>
        <w:spacing w:after="0"/>
        <w:rPr>
          <w:rFonts w:cs="Times New Roman"/>
          <w:szCs w:val="24"/>
        </w:rPr>
      </w:pPr>
      <w:r>
        <w:rPr>
          <w:rFonts w:cs="Times New Roman"/>
          <w:szCs w:val="24"/>
        </w:rPr>
        <w:t xml:space="preserve">Bestemmelsen fastsætter, at </w:t>
      </w:r>
      <w:proofErr w:type="spellStart"/>
      <w:r>
        <w:rPr>
          <w:rFonts w:cs="Times New Roman"/>
          <w:szCs w:val="24"/>
        </w:rPr>
        <w:t>Inatsisartutloven</w:t>
      </w:r>
      <w:proofErr w:type="spellEnd"/>
      <w:r>
        <w:rPr>
          <w:rFonts w:cs="Times New Roman"/>
          <w:szCs w:val="24"/>
        </w:rPr>
        <w:t xml:space="preserve"> træder i kraft dagen efter kundgørelse.</w:t>
      </w:r>
    </w:p>
    <w:p w14:paraId="43A35A97" w14:textId="06397199" w:rsidR="002E2EF0" w:rsidRPr="00952E7F" w:rsidRDefault="002E2EF0" w:rsidP="0018149C">
      <w:pPr>
        <w:spacing w:after="0"/>
        <w:rPr>
          <w:rFonts w:cs="Times New Roman"/>
          <w:szCs w:val="24"/>
        </w:rPr>
      </w:pPr>
    </w:p>
    <w:sectPr w:rsidR="002E2EF0" w:rsidRPr="00952E7F">
      <w:headerReference w:type="default" r:id="rId10"/>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34384" w14:textId="77777777" w:rsidR="00F83FD6" w:rsidRDefault="00F83FD6" w:rsidP="00952E7F">
      <w:pPr>
        <w:spacing w:after="0" w:line="240" w:lineRule="auto"/>
      </w:pPr>
      <w:r>
        <w:separator/>
      </w:r>
    </w:p>
  </w:endnote>
  <w:endnote w:type="continuationSeparator" w:id="0">
    <w:p w14:paraId="64D5DF5E" w14:textId="77777777" w:rsidR="00F83FD6" w:rsidRDefault="00F83FD6" w:rsidP="00952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2879471"/>
      <w:docPartObj>
        <w:docPartGallery w:val="Page Numbers (Bottom of Page)"/>
        <w:docPartUnique/>
      </w:docPartObj>
    </w:sdtPr>
    <w:sdtEndPr/>
    <w:sdtContent>
      <w:p w14:paraId="7306FAC8" w14:textId="0190239B" w:rsidR="002D2D95" w:rsidRDefault="002D2D95" w:rsidP="0018149C">
        <w:pPr>
          <w:pStyle w:val="Sidefod"/>
        </w:pPr>
        <w:r>
          <w:t>-------------------------</w:t>
        </w:r>
      </w:p>
      <w:p w14:paraId="06F7F483" w14:textId="765D4402" w:rsidR="00952E7F" w:rsidRDefault="00952E7F" w:rsidP="0018149C">
        <w:pPr>
          <w:pStyle w:val="Sidefod"/>
        </w:pPr>
        <w:r>
          <w:t>EM 2022/</w:t>
        </w:r>
        <w:r w:rsidR="002D2D95">
          <w:t>XX</w:t>
        </w:r>
      </w:p>
      <w:p w14:paraId="13950E87" w14:textId="7362D996" w:rsidR="002D2D95" w:rsidRPr="004A343C" w:rsidRDefault="002D2D95" w:rsidP="002D2D95">
        <w:pPr>
          <w:pStyle w:val="Sidefod"/>
          <w:rPr>
            <w:lang w:val="en-US"/>
          </w:rPr>
        </w:pPr>
        <w:r w:rsidRPr="004A343C">
          <w:rPr>
            <w:lang w:val="en-US"/>
          </w:rPr>
          <w:t>LABU j.nr. 01.25.01/</w:t>
        </w:r>
        <w:r>
          <w:rPr>
            <w:lang w:val="en-US"/>
          </w:rPr>
          <w:t>22E</w:t>
        </w:r>
        <w:r w:rsidRPr="004A343C">
          <w:rPr>
            <w:lang w:val="en-US"/>
          </w:rPr>
          <w:t>M-LABU-00</w:t>
        </w:r>
        <w:r>
          <w:rPr>
            <w:lang w:val="en-US"/>
          </w:rPr>
          <w:t>0XX</w:t>
        </w:r>
      </w:p>
      <w:p w14:paraId="1ED0D38F" w14:textId="77777777" w:rsidR="002D2D95" w:rsidRPr="002D2D95" w:rsidRDefault="002D2D95" w:rsidP="0018149C">
        <w:pPr>
          <w:pStyle w:val="Sidefod"/>
          <w:rPr>
            <w:lang w:val="en-US"/>
          </w:rPr>
        </w:pPr>
      </w:p>
      <w:p w14:paraId="27DBA883" w14:textId="1C265E2F" w:rsidR="00952E7F" w:rsidRDefault="00952E7F">
        <w:pPr>
          <w:pStyle w:val="Sidefod"/>
          <w:jc w:val="center"/>
        </w:pPr>
        <w:r>
          <w:fldChar w:fldCharType="begin"/>
        </w:r>
        <w:r>
          <w:instrText>PAGE   \* MERGEFORMAT</w:instrText>
        </w:r>
        <w:r>
          <w:fldChar w:fldCharType="separate"/>
        </w:r>
        <w:r>
          <w:t>2</w:t>
        </w:r>
        <w:r>
          <w:fldChar w:fldCharType="end"/>
        </w:r>
      </w:p>
    </w:sdtContent>
  </w:sdt>
  <w:p w14:paraId="42A3A8CE" w14:textId="77777777" w:rsidR="00952E7F" w:rsidRDefault="00952E7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C225C" w14:textId="77777777" w:rsidR="00F83FD6" w:rsidRDefault="00F83FD6" w:rsidP="00952E7F">
      <w:pPr>
        <w:spacing w:after="0" w:line="240" w:lineRule="auto"/>
      </w:pPr>
      <w:r>
        <w:separator/>
      </w:r>
    </w:p>
  </w:footnote>
  <w:footnote w:type="continuationSeparator" w:id="0">
    <w:p w14:paraId="667A7221" w14:textId="77777777" w:rsidR="00F83FD6" w:rsidRDefault="00F83FD6" w:rsidP="00952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CF97A" w14:textId="00ADAD75" w:rsidR="00952E7F" w:rsidRDefault="00952E7F">
    <w:pPr>
      <w:pStyle w:val="Sidehoved"/>
    </w:pPr>
    <w:r>
      <w:t>17. august 2022</w:t>
    </w:r>
    <w:r>
      <w:tab/>
    </w:r>
    <w:r>
      <w:tab/>
      <w:t>EM 2022/</w:t>
    </w:r>
    <w:r w:rsidR="002D2D95">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E4A7A"/>
    <w:multiLevelType w:val="hybridMultilevel"/>
    <w:tmpl w:val="AE881F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B995365"/>
    <w:multiLevelType w:val="hybridMultilevel"/>
    <w:tmpl w:val="50AA1FF4"/>
    <w:lvl w:ilvl="0" w:tplc="746A9194">
      <w:start w:val="1"/>
      <w:numFmt w:val="decimal"/>
      <w:suff w:val="nothing"/>
      <w:lvlText w:val="%1."/>
      <w:lvlJc w:val="left"/>
      <w:pPr>
        <w:ind w:left="0" w:firstLine="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B376A3A"/>
    <w:multiLevelType w:val="hybridMultilevel"/>
    <w:tmpl w:val="050CEE2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C634211"/>
    <w:multiLevelType w:val="hybridMultilevel"/>
    <w:tmpl w:val="0FE2C4A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1964B9E"/>
    <w:multiLevelType w:val="hybridMultilevel"/>
    <w:tmpl w:val="AE881F60"/>
    <w:lvl w:ilvl="0" w:tplc="0406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23400B1"/>
    <w:multiLevelType w:val="hybridMultilevel"/>
    <w:tmpl w:val="38BCE2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3E61C77"/>
    <w:multiLevelType w:val="hybridMultilevel"/>
    <w:tmpl w:val="41EC8E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7F331F3A"/>
    <w:multiLevelType w:val="hybridMultilevel"/>
    <w:tmpl w:val="7346A2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7"/>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D6D"/>
    <w:rsid w:val="0000082D"/>
    <w:rsid w:val="0000322D"/>
    <w:rsid w:val="00021281"/>
    <w:rsid w:val="00030825"/>
    <w:rsid w:val="00044A64"/>
    <w:rsid w:val="00044C4A"/>
    <w:rsid w:val="00055050"/>
    <w:rsid w:val="00060775"/>
    <w:rsid w:val="000653F8"/>
    <w:rsid w:val="000725BA"/>
    <w:rsid w:val="000748CA"/>
    <w:rsid w:val="000845A9"/>
    <w:rsid w:val="000A62E6"/>
    <w:rsid w:val="000A6D2A"/>
    <w:rsid w:val="000A722D"/>
    <w:rsid w:val="000D0565"/>
    <w:rsid w:val="000D1965"/>
    <w:rsid w:val="000F134D"/>
    <w:rsid w:val="000F2FD4"/>
    <w:rsid w:val="0010111F"/>
    <w:rsid w:val="00104B71"/>
    <w:rsid w:val="0011338B"/>
    <w:rsid w:val="00113B39"/>
    <w:rsid w:val="00120DEB"/>
    <w:rsid w:val="00125023"/>
    <w:rsid w:val="00132419"/>
    <w:rsid w:val="0013482D"/>
    <w:rsid w:val="00137BA8"/>
    <w:rsid w:val="0014150A"/>
    <w:rsid w:val="00146371"/>
    <w:rsid w:val="00154833"/>
    <w:rsid w:val="001747FE"/>
    <w:rsid w:val="001813FB"/>
    <w:rsid w:val="0018149C"/>
    <w:rsid w:val="0019048B"/>
    <w:rsid w:val="001A02BD"/>
    <w:rsid w:val="001C1214"/>
    <w:rsid w:val="00202A7C"/>
    <w:rsid w:val="0021038A"/>
    <w:rsid w:val="00237398"/>
    <w:rsid w:val="00243EFD"/>
    <w:rsid w:val="00265A6E"/>
    <w:rsid w:val="00265D3A"/>
    <w:rsid w:val="002716F7"/>
    <w:rsid w:val="00280307"/>
    <w:rsid w:val="002A1C0D"/>
    <w:rsid w:val="002A21E4"/>
    <w:rsid w:val="002B1926"/>
    <w:rsid w:val="002B771C"/>
    <w:rsid w:val="002C3E27"/>
    <w:rsid w:val="002C5BE2"/>
    <w:rsid w:val="002D2D95"/>
    <w:rsid w:val="002D65E6"/>
    <w:rsid w:val="002E2EF0"/>
    <w:rsid w:val="002E32E3"/>
    <w:rsid w:val="002E5A56"/>
    <w:rsid w:val="002F200D"/>
    <w:rsid w:val="002F2DA4"/>
    <w:rsid w:val="00300A83"/>
    <w:rsid w:val="00322BC5"/>
    <w:rsid w:val="0034393B"/>
    <w:rsid w:val="0034723A"/>
    <w:rsid w:val="00350B14"/>
    <w:rsid w:val="00356F5C"/>
    <w:rsid w:val="00377CEB"/>
    <w:rsid w:val="003A0DD3"/>
    <w:rsid w:val="003A5CCC"/>
    <w:rsid w:val="003B72D0"/>
    <w:rsid w:val="003C1A4B"/>
    <w:rsid w:val="003E4B2D"/>
    <w:rsid w:val="003F385E"/>
    <w:rsid w:val="003F672B"/>
    <w:rsid w:val="0040286A"/>
    <w:rsid w:val="00404FE7"/>
    <w:rsid w:val="00420305"/>
    <w:rsid w:val="004346B3"/>
    <w:rsid w:val="00442974"/>
    <w:rsid w:val="00446AEC"/>
    <w:rsid w:val="00454B7B"/>
    <w:rsid w:val="00456812"/>
    <w:rsid w:val="00484473"/>
    <w:rsid w:val="00490344"/>
    <w:rsid w:val="00495A1B"/>
    <w:rsid w:val="004A4B70"/>
    <w:rsid w:val="004A60D8"/>
    <w:rsid w:val="004C382E"/>
    <w:rsid w:val="004C3E04"/>
    <w:rsid w:val="004C6B52"/>
    <w:rsid w:val="004D652A"/>
    <w:rsid w:val="004E7329"/>
    <w:rsid w:val="004F6123"/>
    <w:rsid w:val="0050149D"/>
    <w:rsid w:val="00501EB7"/>
    <w:rsid w:val="005308CE"/>
    <w:rsid w:val="00531B43"/>
    <w:rsid w:val="00531CD8"/>
    <w:rsid w:val="00535D45"/>
    <w:rsid w:val="00540053"/>
    <w:rsid w:val="00556D87"/>
    <w:rsid w:val="0056316A"/>
    <w:rsid w:val="005744F8"/>
    <w:rsid w:val="005776DC"/>
    <w:rsid w:val="00583A7F"/>
    <w:rsid w:val="00593D8D"/>
    <w:rsid w:val="005D73AE"/>
    <w:rsid w:val="005E5EB7"/>
    <w:rsid w:val="00615D45"/>
    <w:rsid w:val="00634E2E"/>
    <w:rsid w:val="00642097"/>
    <w:rsid w:val="00645D45"/>
    <w:rsid w:val="00650B55"/>
    <w:rsid w:val="00654FDF"/>
    <w:rsid w:val="00655710"/>
    <w:rsid w:val="0066152C"/>
    <w:rsid w:val="00661682"/>
    <w:rsid w:val="00664781"/>
    <w:rsid w:val="0066696A"/>
    <w:rsid w:val="00676159"/>
    <w:rsid w:val="00681D03"/>
    <w:rsid w:val="00690172"/>
    <w:rsid w:val="006B485F"/>
    <w:rsid w:val="006C16B8"/>
    <w:rsid w:val="006E24D7"/>
    <w:rsid w:val="006F319C"/>
    <w:rsid w:val="006F6065"/>
    <w:rsid w:val="00701CB4"/>
    <w:rsid w:val="00714C02"/>
    <w:rsid w:val="00721483"/>
    <w:rsid w:val="00747D67"/>
    <w:rsid w:val="007707BD"/>
    <w:rsid w:val="007A21AD"/>
    <w:rsid w:val="007B60D0"/>
    <w:rsid w:val="007C3C95"/>
    <w:rsid w:val="007D08D7"/>
    <w:rsid w:val="007D1E78"/>
    <w:rsid w:val="007E08C6"/>
    <w:rsid w:val="007E122B"/>
    <w:rsid w:val="00800ABB"/>
    <w:rsid w:val="0080315F"/>
    <w:rsid w:val="0081299C"/>
    <w:rsid w:val="00822A1C"/>
    <w:rsid w:val="008359FD"/>
    <w:rsid w:val="008807B5"/>
    <w:rsid w:val="008B1877"/>
    <w:rsid w:val="008C4B4A"/>
    <w:rsid w:val="008D6AF1"/>
    <w:rsid w:val="008E4DBF"/>
    <w:rsid w:val="008F4A38"/>
    <w:rsid w:val="008F665C"/>
    <w:rsid w:val="008F6B14"/>
    <w:rsid w:val="008F789B"/>
    <w:rsid w:val="00912C58"/>
    <w:rsid w:val="00912DCD"/>
    <w:rsid w:val="00946101"/>
    <w:rsid w:val="00952E7F"/>
    <w:rsid w:val="00962779"/>
    <w:rsid w:val="00971D8D"/>
    <w:rsid w:val="0097242A"/>
    <w:rsid w:val="009914E1"/>
    <w:rsid w:val="009943FD"/>
    <w:rsid w:val="009A667C"/>
    <w:rsid w:val="009C3AF3"/>
    <w:rsid w:val="009D4999"/>
    <w:rsid w:val="009E28D3"/>
    <w:rsid w:val="009F38C1"/>
    <w:rsid w:val="00A13EE9"/>
    <w:rsid w:val="00A27B0A"/>
    <w:rsid w:val="00A33A1A"/>
    <w:rsid w:val="00A434A5"/>
    <w:rsid w:val="00A52F7D"/>
    <w:rsid w:val="00A5436F"/>
    <w:rsid w:val="00A57087"/>
    <w:rsid w:val="00A60DB2"/>
    <w:rsid w:val="00A63439"/>
    <w:rsid w:val="00A832D6"/>
    <w:rsid w:val="00A8737D"/>
    <w:rsid w:val="00A87A0F"/>
    <w:rsid w:val="00A92BAD"/>
    <w:rsid w:val="00AA015E"/>
    <w:rsid w:val="00AB4B08"/>
    <w:rsid w:val="00AB6F73"/>
    <w:rsid w:val="00AE423B"/>
    <w:rsid w:val="00B65136"/>
    <w:rsid w:val="00B74B9B"/>
    <w:rsid w:val="00B75B6A"/>
    <w:rsid w:val="00B81636"/>
    <w:rsid w:val="00B96A57"/>
    <w:rsid w:val="00B9731A"/>
    <w:rsid w:val="00BA4C85"/>
    <w:rsid w:val="00BD222F"/>
    <w:rsid w:val="00C02230"/>
    <w:rsid w:val="00C156A9"/>
    <w:rsid w:val="00C37C31"/>
    <w:rsid w:val="00C51B0F"/>
    <w:rsid w:val="00C57BE8"/>
    <w:rsid w:val="00C6038B"/>
    <w:rsid w:val="00C617F0"/>
    <w:rsid w:val="00C67E1E"/>
    <w:rsid w:val="00C82F06"/>
    <w:rsid w:val="00C922C3"/>
    <w:rsid w:val="00C96F6A"/>
    <w:rsid w:val="00CB19C0"/>
    <w:rsid w:val="00CB531F"/>
    <w:rsid w:val="00CC5596"/>
    <w:rsid w:val="00CD59C6"/>
    <w:rsid w:val="00CE4D5D"/>
    <w:rsid w:val="00D02D6D"/>
    <w:rsid w:val="00D176CC"/>
    <w:rsid w:val="00D238B0"/>
    <w:rsid w:val="00D37D0D"/>
    <w:rsid w:val="00D503FB"/>
    <w:rsid w:val="00D67417"/>
    <w:rsid w:val="00D74A74"/>
    <w:rsid w:val="00D77A2D"/>
    <w:rsid w:val="00DA540C"/>
    <w:rsid w:val="00DB0CB2"/>
    <w:rsid w:val="00DD7B6E"/>
    <w:rsid w:val="00DE0E9B"/>
    <w:rsid w:val="00DE111A"/>
    <w:rsid w:val="00DE661A"/>
    <w:rsid w:val="00DF0834"/>
    <w:rsid w:val="00DF1A93"/>
    <w:rsid w:val="00E04B15"/>
    <w:rsid w:val="00E116B0"/>
    <w:rsid w:val="00E6097F"/>
    <w:rsid w:val="00E626E2"/>
    <w:rsid w:val="00E678AF"/>
    <w:rsid w:val="00E70164"/>
    <w:rsid w:val="00E732FA"/>
    <w:rsid w:val="00E84CBB"/>
    <w:rsid w:val="00E9311D"/>
    <w:rsid w:val="00EA09C0"/>
    <w:rsid w:val="00EB1756"/>
    <w:rsid w:val="00EB280A"/>
    <w:rsid w:val="00ED0DD4"/>
    <w:rsid w:val="00EE670D"/>
    <w:rsid w:val="00EF1BBE"/>
    <w:rsid w:val="00EF5396"/>
    <w:rsid w:val="00F00CA2"/>
    <w:rsid w:val="00F0209A"/>
    <w:rsid w:val="00F03044"/>
    <w:rsid w:val="00F03C48"/>
    <w:rsid w:val="00F07F81"/>
    <w:rsid w:val="00F14506"/>
    <w:rsid w:val="00F20F48"/>
    <w:rsid w:val="00F2164B"/>
    <w:rsid w:val="00F24B92"/>
    <w:rsid w:val="00F24CAA"/>
    <w:rsid w:val="00F37B2C"/>
    <w:rsid w:val="00F46DBB"/>
    <w:rsid w:val="00F47C48"/>
    <w:rsid w:val="00F510F8"/>
    <w:rsid w:val="00F51430"/>
    <w:rsid w:val="00F67844"/>
    <w:rsid w:val="00F70404"/>
    <w:rsid w:val="00F82CC9"/>
    <w:rsid w:val="00F83FD6"/>
    <w:rsid w:val="00FB4AFB"/>
    <w:rsid w:val="00FE3221"/>
    <w:rsid w:val="00FE529A"/>
    <w:rsid w:val="00FF46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BB0CD"/>
  <w15:chartTrackingRefBased/>
  <w15:docId w15:val="{F9746E43-5B42-4FF3-B13A-67826AFE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529A"/>
    <w:rPr>
      <w:rFonts w:ascii="Times New Roman" w:hAnsi="Times New Roman"/>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A09C0"/>
    <w:pPr>
      <w:ind w:left="720"/>
      <w:contextualSpacing/>
    </w:pPr>
  </w:style>
  <w:style w:type="character" w:styleId="Kommentarhenvisning">
    <w:name w:val="annotation reference"/>
    <w:basedOn w:val="Standardskrifttypeiafsnit"/>
    <w:uiPriority w:val="99"/>
    <w:semiHidden/>
    <w:unhideWhenUsed/>
    <w:rsid w:val="00490344"/>
    <w:rPr>
      <w:sz w:val="16"/>
      <w:szCs w:val="16"/>
    </w:rPr>
  </w:style>
  <w:style w:type="paragraph" w:styleId="Kommentartekst">
    <w:name w:val="annotation text"/>
    <w:basedOn w:val="Normal"/>
    <w:link w:val="KommentartekstTegn"/>
    <w:uiPriority w:val="99"/>
    <w:semiHidden/>
    <w:unhideWhenUsed/>
    <w:rsid w:val="0049034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490344"/>
    <w:rPr>
      <w:rFonts w:ascii="Times New Roman" w:hAnsi="Times New Roman"/>
      <w:sz w:val="20"/>
      <w:szCs w:val="20"/>
    </w:rPr>
  </w:style>
  <w:style w:type="paragraph" w:styleId="Kommentaremne">
    <w:name w:val="annotation subject"/>
    <w:basedOn w:val="Kommentartekst"/>
    <w:next w:val="Kommentartekst"/>
    <w:link w:val="KommentaremneTegn"/>
    <w:uiPriority w:val="99"/>
    <w:semiHidden/>
    <w:unhideWhenUsed/>
    <w:rsid w:val="00490344"/>
    <w:rPr>
      <w:b/>
      <w:bCs/>
    </w:rPr>
  </w:style>
  <w:style w:type="character" w:customStyle="1" w:styleId="KommentaremneTegn">
    <w:name w:val="Kommentaremne Tegn"/>
    <w:basedOn w:val="KommentartekstTegn"/>
    <w:link w:val="Kommentaremne"/>
    <w:uiPriority w:val="99"/>
    <w:semiHidden/>
    <w:rsid w:val="00490344"/>
    <w:rPr>
      <w:rFonts w:ascii="Times New Roman" w:hAnsi="Times New Roman"/>
      <w:b/>
      <w:bCs/>
      <w:sz w:val="20"/>
      <w:szCs w:val="20"/>
    </w:rPr>
  </w:style>
  <w:style w:type="paragraph" w:styleId="Korrektur">
    <w:name w:val="Revision"/>
    <w:hidden/>
    <w:uiPriority w:val="99"/>
    <w:semiHidden/>
    <w:rsid w:val="00490344"/>
    <w:pPr>
      <w:spacing w:after="0" w:line="240" w:lineRule="auto"/>
    </w:pPr>
    <w:rPr>
      <w:rFonts w:ascii="Times New Roman" w:hAnsi="Times New Roman"/>
      <w:sz w:val="24"/>
    </w:rPr>
  </w:style>
  <w:style w:type="paragraph" w:styleId="Markeringsbobletekst">
    <w:name w:val="Balloon Text"/>
    <w:basedOn w:val="Normal"/>
    <w:link w:val="MarkeringsbobletekstTegn"/>
    <w:uiPriority w:val="99"/>
    <w:semiHidden/>
    <w:unhideWhenUsed/>
    <w:rsid w:val="0049034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90344"/>
    <w:rPr>
      <w:rFonts w:ascii="Segoe UI" w:hAnsi="Segoe UI" w:cs="Segoe UI"/>
      <w:sz w:val="18"/>
      <w:szCs w:val="18"/>
    </w:rPr>
  </w:style>
  <w:style w:type="character" w:styleId="Hyperlink">
    <w:name w:val="Hyperlink"/>
    <w:basedOn w:val="Standardskrifttypeiafsnit"/>
    <w:uiPriority w:val="99"/>
    <w:unhideWhenUsed/>
    <w:rsid w:val="003F385E"/>
    <w:rPr>
      <w:color w:val="0563C1" w:themeColor="hyperlink"/>
      <w:u w:val="single"/>
    </w:rPr>
  </w:style>
  <w:style w:type="character" w:styleId="Ulstomtale">
    <w:name w:val="Unresolved Mention"/>
    <w:basedOn w:val="Standardskrifttypeiafsnit"/>
    <w:uiPriority w:val="99"/>
    <w:semiHidden/>
    <w:unhideWhenUsed/>
    <w:rsid w:val="003F385E"/>
    <w:rPr>
      <w:color w:val="605E5C"/>
      <w:shd w:val="clear" w:color="auto" w:fill="E1DFDD"/>
    </w:rPr>
  </w:style>
  <w:style w:type="paragraph" w:styleId="Sidehoved">
    <w:name w:val="header"/>
    <w:basedOn w:val="Normal"/>
    <w:link w:val="SidehovedTegn"/>
    <w:uiPriority w:val="99"/>
    <w:unhideWhenUsed/>
    <w:rsid w:val="00952E7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52E7F"/>
    <w:rPr>
      <w:rFonts w:ascii="Times New Roman" w:hAnsi="Times New Roman"/>
      <w:sz w:val="24"/>
    </w:rPr>
  </w:style>
  <w:style w:type="paragraph" w:styleId="Sidefod">
    <w:name w:val="footer"/>
    <w:basedOn w:val="Normal"/>
    <w:link w:val="SidefodTegn"/>
    <w:uiPriority w:val="99"/>
    <w:unhideWhenUsed/>
    <w:rsid w:val="00952E7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52E7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bb9f23-a6cb-4bac-b6dd-2164686b63c3">
      <Terms xmlns="http://schemas.microsoft.com/office/infopath/2007/PartnerControls"/>
    </lcf76f155ced4ddcb4097134ff3c332f>
    <TaxCatchAll xmlns="6454d3fc-0e5d-4033-87df-b68e3c07093b"/>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ED8F06738CFFA4DA2A4E41C8B96011D" ma:contentTypeVersion="15" ma:contentTypeDescription="Opret et nyt dokument." ma:contentTypeScope="" ma:versionID="38c486c940727a95a787938d43041cde">
  <xsd:schema xmlns:xsd="http://www.w3.org/2001/XMLSchema" xmlns:xs="http://www.w3.org/2001/XMLSchema" xmlns:p="http://schemas.microsoft.com/office/2006/metadata/properties" xmlns:ns2="6ebb9f23-a6cb-4bac-b6dd-2164686b63c3" xmlns:ns3="6454d3fc-0e5d-4033-87df-b68e3c07093b" targetNamespace="http://schemas.microsoft.com/office/2006/metadata/properties" ma:root="true" ma:fieldsID="7caa6d79fc7c598abfb1d82ef32eae7e" ns2:_="" ns3:_="">
    <xsd:import namespace="6ebb9f23-a6cb-4bac-b6dd-2164686b63c3"/>
    <xsd:import namespace="6454d3fc-0e5d-4033-87df-b68e3c0709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b9f23-a6cb-4bac-b6dd-2164686b6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da4e975d-c162-4cfa-b379-18fa8a53dc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54d3fc-0e5d-4033-87df-b68e3c07093b"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8c3ba984-8eed-4aa0-96ee-4321fa02bea3}" ma:internalName="TaxCatchAll" ma:showField="CatchAllData" ma:web="6454d3fc-0e5d-4033-87df-b68e3c070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8A0C84-F76E-46DC-BD41-299B7192C05B}">
  <ds:schemaRefs>
    <ds:schemaRef ds:uri="http://schemas.microsoft.com/sharepoint/v3/contenttype/forms"/>
  </ds:schemaRefs>
</ds:datastoreItem>
</file>

<file path=customXml/itemProps2.xml><?xml version="1.0" encoding="utf-8"?>
<ds:datastoreItem xmlns:ds="http://schemas.openxmlformats.org/officeDocument/2006/customXml" ds:itemID="{20FD7A15-2DBB-41B9-AC6B-CC57F5F06721}">
  <ds:schemaRefs>
    <ds:schemaRef ds:uri="6ebb9f23-a6cb-4bac-b6dd-2164686b63c3"/>
    <ds:schemaRef ds:uri="http://www.w3.org/XML/1998/namespace"/>
    <ds:schemaRef ds:uri="http://purl.org/dc/dcmitype/"/>
    <ds:schemaRef ds:uri="6454d3fc-0e5d-4033-87df-b68e3c07093b"/>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E9F147E9-F846-4EEE-8B67-F0A252056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b9f23-a6cb-4bac-b6dd-2164686b63c3"/>
    <ds:schemaRef ds:uri="6454d3fc-0e5d-4033-87df-b68e3c070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7</Pages>
  <Words>2282</Words>
  <Characters>13923</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Pele Broberg</dc:creator>
  <cp:keywords/>
  <dc:description/>
  <cp:lastModifiedBy>Kent Fridberg</cp:lastModifiedBy>
  <cp:revision>62</cp:revision>
  <cp:lastPrinted>2022-07-18T13:59:00Z</cp:lastPrinted>
  <dcterms:created xsi:type="dcterms:W3CDTF">2022-07-06T11:36:00Z</dcterms:created>
  <dcterms:modified xsi:type="dcterms:W3CDTF">2022-07-18T14:42:00Z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0x0101006ED8F06738CFFA4DA2A4E41C8B96011D</vt:lpwstr>
  </property>
</Properties>
</file>