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3E9F" w14:textId="12C4D7EC" w:rsidR="009E2C16" w:rsidRDefault="00563916" w:rsidP="009D734C">
      <w:pPr>
        <w:spacing w:line="288" w:lineRule="auto"/>
        <w:jc w:val="center"/>
      </w:pPr>
      <w:r>
        <w:t>Bemærkninger til forslaget</w:t>
      </w:r>
    </w:p>
    <w:p w14:paraId="249C41B7" w14:textId="77777777" w:rsidR="00563916" w:rsidRPr="00563916" w:rsidRDefault="00563916" w:rsidP="0078129A">
      <w:pPr>
        <w:spacing w:line="288" w:lineRule="auto"/>
      </w:pPr>
    </w:p>
    <w:p w14:paraId="610B2D9B" w14:textId="77777777" w:rsidR="00B3288C" w:rsidRPr="00F61C06" w:rsidRDefault="00B3288C" w:rsidP="0078129A">
      <w:pPr>
        <w:spacing w:line="288" w:lineRule="auto"/>
        <w:jc w:val="center"/>
        <w:rPr>
          <w:b/>
          <w:bCs/>
        </w:rPr>
      </w:pPr>
      <w:r w:rsidRPr="00F61C06">
        <w:rPr>
          <w:b/>
          <w:bCs/>
        </w:rPr>
        <w:t>Almindelige bemærkninger</w:t>
      </w:r>
    </w:p>
    <w:p w14:paraId="04E176F8" w14:textId="77777777" w:rsidR="00B3288C" w:rsidRPr="00F61C06" w:rsidRDefault="00B3288C" w:rsidP="0078129A">
      <w:pPr>
        <w:spacing w:line="288" w:lineRule="auto"/>
        <w:rPr>
          <w:b/>
          <w:bCs/>
        </w:rPr>
      </w:pPr>
    </w:p>
    <w:p w14:paraId="589DAB89" w14:textId="77777777" w:rsidR="00B3288C" w:rsidRPr="00F61C06" w:rsidRDefault="00B3288C" w:rsidP="0078129A">
      <w:pPr>
        <w:spacing w:line="288" w:lineRule="auto"/>
        <w:rPr>
          <w:b/>
          <w:bCs/>
        </w:rPr>
      </w:pPr>
      <w:r w:rsidRPr="00F61C06">
        <w:rPr>
          <w:b/>
          <w:bCs/>
        </w:rPr>
        <w:t>1. Indledning</w:t>
      </w:r>
    </w:p>
    <w:p w14:paraId="33CA7D63" w14:textId="77777777" w:rsidR="006336AB" w:rsidRPr="00F61C06" w:rsidRDefault="006336AB" w:rsidP="0078129A">
      <w:pPr>
        <w:spacing w:line="288" w:lineRule="auto"/>
      </w:pPr>
      <w:r w:rsidRPr="00F61C06">
        <w:t xml:space="preserve">Forslaget indeholder en række forskellige ændringer til landstingslov om indkomstskat. </w:t>
      </w:r>
    </w:p>
    <w:p w14:paraId="7A3917E7" w14:textId="77777777" w:rsidR="006336AB" w:rsidRPr="00F61C06" w:rsidRDefault="006336AB" w:rsidP="0078129A">
      <w:pPr>
        <w:spacing w:line="288" w:lineRule="auto"/>
      </w:pPr>
    </w:p>
    <w:p w14:paraId="7B56EA0E" w14:textId="52ADE5E3" w:rsidR="001E1DDF" w:rsidRPr="00F61C06" w:rsidRDefault="00395787" w:rsidP="0078129A">
      <w:pPr>
        <w:spacing w:line="288" w:lineRule="auto"/>
      </w:pPr>
      <w:r w:rsidRPr="00F61C06">
        <w:t xml:space="preserve">Forslaget indgår </w:t>
      </w:r>
      <w:r w:rsidR="001E1DDF" w:rsidRPr="00F61C06">
        <w:t>som først</w:t>
      </w:r>
      <w:r w:rsidR="00680D16" w:rsidRPr="00F61C06">
        <w:t>e</w:t>
      </w:r>
      <w:r w:rsidR="001E1DDF" w:rsidRPr="00F61C06">
        <w:t xml:space="preserve"> skridt i en </w:t>
      </w:r>
      <w:r w:rsidRPr="00F61C06">
        <w:t>skattereform.</w:t>
      </w:r>
      <w:r w:rsidR="001E1DDF" w:rsidRPr="00F61C06">
        <w:t xml:space="preserve"> </w:t>
      </w:r>
      <w:r w:rsidR="006336AB" w:rsidRPr="00F61C06">
        <w:t xml:space="preserve">Det er Naalakkersuisuts ønske med en skattereform at mindske uligheden og </w:t>
      </w:r>
      <w:r w:rsidR="00A4738B" w:rsidRPr="00F61C06">
        <w:t xml:space="preserve">øge den enkeltes </w:t>
      </w:r>
      <w:r w:rsidR="006336AB" w:rsidRPr="00F61C06">
        <w:t xml:space="preserve">tilskyndelse til </w:t>
      </w:r>
      <w:r w:rsidR="006F4AFA" w:rsidRPr="00F61C06">
        <w:t xml:space="preserve">at være i </w:t>
      </w:r>
      <w:r w:rsidR="006336AB" w:rsidRPr="00F61C06">
        <w:t xml:space="preserve">beskæftigelse. </w:t>
      </w:r>
      <w:r w:rsidR="0041139E" w:rsidRPr="00F61C06">
        <w:t xml:space="preserve">Et led heri er forhøjelse af </w:t>
      </w:r>
      <w:r w:rsidR="006336AB" w:rsidRPr="00F61C06">
        <w:t>beskæftigelsesfradrage</w:t>
      </w:r>
      <w:r w:rsidR="004E328E" w:rsidRPr="00F61C06">
        <w:t>t</w:t>
      </w:r>
      <w:r w:rsidR="006336AB" w:rsidRPr="00F61C06">
        <w:t>.</w:t>
      </w:r>
    </w:p>
    <w:p w14:paraId="7287FBDC" w14:textId="65D61178" w:rsidR="00084920" w:rsidRDefault="00084920" w:rsidP="0078129A">
      <w:pPr>
        <w:spacing w:line="288" w:lineRule="auto"/>
      </w:pPr>
    </w:p>
    <w:p w14:paraId="03B596BD" w14:textId="7CACE3D5" w:rsidR="00084920" w:rsidRDefault="00084920" w:rsidP="0078129A">
      <w:pPr>
        <w:spacing w:line="288" w:lineRule="auto"/>
      </w:pPr>
      <w:r>
        <w:t xml:space="preserve">Forhøjelsen finansieres primært ved en omlægning af motorafgifterne og ved en gradvis udfasning af </w:t>
      </w:r>
      <w:r w:rsidR="006F4AFA" w:rsidRPr="00F61C06">
        <w:t>fradraget for private renteudgifter</w:t>
      </w:r>
      <w:r w:rsidR="001E1DDF" w:rsidRPr="00F61C06">
        <w:t xml:space="preserve">. Fradraget </w:t>
      </w:r>
      <w:r w:rsidR="006F4AFA" w:rsidRPr="00F61C06">
        <w:t>erstatte</w:t>
      </w:r>
      <w:r w:rsidR="001E1DDF" w:rsidRPr="00F61C06">
        <w:t>s</w:t>
      </w:r>
      <w:r w:rsidR="006F4AFA" w:rsidRPr="00F61C06">
        <w:t xml:space="preserve"> </w:t>
      </w:r>
      <w:r w:rsidR="00CA3A85" w:rsidRPr="00F61C06">
        <w:t xml:space="preserve">delvist </w:t>
      </w:r>
      <w:r w:rsidR="006F4AFA" w:rsidRPr="00F61C06">
        <w:t xml:space="preserve">af et tilskud til renteudgifter </w:t>
      </w:r>
      <w:r w:rsidR="002C4AC4" w:rsidRPr="00F61C06">
        <w:t xml:space="preserve">fra </w:t>
      </w:r>
      <w:r w:rsidR="004472C6">
        <w:t xml:space="preserve">lån anvendt til </w:t>
      </w:r>
      <w:r w:rsidR="006F4AFA" w:rsidRPr="00F61C06">
        <w:t>erhvervelse</w:t>
      </w:r>
      <w:r w:rsidR="002C4AC4" w:rsidRPr="00F61C06">
        <w:t xml:space="preserve">, istandsættelse og opførelse af bolig i </w:t>
      </w:r>
      <w:r w:rsidR="006F4AFA" w:rsidRPr="00F61C06">
        <w:t>Grønland</w:t>
      </w:r>
      <w:r w:rsidR="004472C6">
        <w:t>,</w:t>
      </w:r>
      <w:r w:rsidR="002C4AC4" w:rsidRPr="00F61C06">
        <w:t xml:space="preserve"> </w:t>
      </w:r>
      <w:r w:rsidR="0041139E" w:rsidRPr="00F61C06">
        <w:t>samt</w:t>
      </w:r>
      <w:r w:rsidR="002C4AC4" w:rsidRPr="00F61C06">
        <w:t xml:space="preserve"> rente</w:t>
      </w:r>
      <w:r w:rsidR="0041139E" w:rsidRPr="00F61C06">
        <w:t>udgifter</w:t>
      </w:r>
      <w:r w:rsidR="002C4AC4" w:rsidRPr="00F61C06">
        <w:t xml:space="preserve"> fra studielån</w:t>
      </w:r>
      <w:r w:rsidR="006F4AFA" w:rsidRPr="00F61C06">
        <w:t>.</w:t>
      </w:r>
      <w:r w:rsidR="008240A6">
        <w:t xml:space="preserve"> </w:t>
      </w:r>
    </w:p>
    <w:p w14:paraId="70932263" w14:textId="77777777" w:rsidR="00084920" w:rsidRDefault="00084920" w:rsidP="009D734C">
      <w:pPr>
        <w:spacing w:line="288" w:lineRule="auto"/>
      </w:pPr>
    </w:p>
    <w:p w14:paraId="14C9E47D" w14:textId="65F44BB3" w:rsidR="00084920" w:rsidRDefault="00084920" w:rsidP="009D734C">
      <w:pPr>
        <w:spacing w:line="288" w:lineRule="auto"/>
      </w:pPr>
      <w:r>
        <w:t xml:space="preserve">En omlægning af indførsels- og motorafgifterne for især plug-in-hybrid biler </w:t>
      </w:r>
      <w:r w:rsidR="00862DAA">
        <w:t xml:space="preserve">giver </w:t>
      </w:r>
      <w:r>
        <w:t>et væsentlig</w:t>
      </w:r>
      <w:r w:rsidR="00862DAA">
        <w:t>t</w:t>
      </w:r>
      <w:r>
        <w:t xml:space="preserve"> finansieringsbidrag til forhøjelse</w:t>
      </w:r>
      <w:r w:rsidR="00862DAA">
        <w:t>n</w:t>
      </w:r>
      <w:r>
        <w:t xml:space="preserve"> af beskæftigelsesfradraget. Ved omlægningen fjernes et væsentligt skattetilskud til erhvervelsen og ejerskabet af især plug-in-hybrid biler, der hovedsageligt har været til gavn for de relativt </w:t>
      </w:r>
      <w:r w:rsidR="00201E4F">
        <w:t>højtlønnede</w:t>
      </w:r>
      <w:r>
        <w:t>.</w:t>
      </w:r>
      <w:r w:rsidR="00BB3DC1">
        <w:t xml:space="preserve"> Finansieringen af reformen er </w:t>
      </w:r>
      <w:r w:rsidR="00862DAA">
        <w:t xml:space="preserve">derved </w:t>
      </w:r>
      <w:r w:rsidR="00BB3DC1">
        <w:t xml:space="preserve">i overensstemmelse med ønsket om, at </w:t>
      </w:r>
      <w:r w:rsidR="00862DAA">
        <w:t xml:space="preserve">reformen </w:t>
      </w:r>
      <w:r w:rsidR="00BB3DC1">
        <w:t xml:space="preserve">skal bidrage til mere økonomisk lighed. </w:t>
      </w:r>
    </w:p>
    <w:p w14:paraId="1F6B0C8B" w14:textId="77777777" w:rsidR="00BB3DC1" w:rsidRPr="00F61C06" w:rsidRDefault="00BB3DC1" w:rsidP="0078129A">
      <w:pPr>
        <w:spacing w:line="288" w:lineRule="auto"/>
      </w:pPr>
    </w:p>
    <w:p w14:paraId="2C871B23" w14:textId="7A35BA61" w:rsidR="00A4738B" w:rsidRPr="00F61C06" w:rsidRDefault="00A4738B" w:rsidP="0078129A">
      <w:pPr>
        <w:spacing w:line="288" w:lineRule="auto"/>
      </w:pPr>
      <w:r w:rsidRPr="00F61C06">
        <w:t xml:space="preserve">Som led </w:t>
      </w:r>
      <w:r w:rsidR="001E1DDF" w:rsidRPr="00F61C06">
        <w:t xml:space="preserve">i </w:t>
      </w:r>
      <w:r w:rsidR="003F0173" w:rsidRPr="00F61C06">
        <w:t xml:space="preserve">den </w:t>
      </w:r>
      <w:r w:rsidR="006336AB" w:rsidRPr="00F61C06">
        <w:t>øge</w:t>
      </w:r>
      <w:r w:rsidRPr="00F61C06">
        <w:t>de</w:t>
      </w:r>
      <w:r w:rsidR="006336AB" w:rsidRPr="00F61C06">
        <w:t xml:space="preserve"> indsats mod transfer </w:t>
      </w:r>
      <w:r w:rsidRPr="00F61C06">
        <w:t xml:space="preserve">pricing foreslås det, at </w:t>
      </w:r>
      <w:r w:rsidR="004D2E36" w:rsidRPr="00F61C06">
        <w:t xml:space="preserve">Naalakkersuisut bemyndiges til at fastsætte regler, hvorefter </w:t>
      </w:r>
      <w:r w:rsidRPr="00F61C06">
        <w:t xml:space="preserve">de skattepligtige forpligtes til løbende at </w:t>
      </w:r>
      <w:r w:rsidR="00680D16" w:rsidRPr="00F61C06">
        <w:t xml:space="preserve">indsende </w:t>
      </w:r>
      <w:r w:rsidR="00B56A9B" w:rsidRPr="00F61C06">
        <w:t xml:space="preserve">transfer pricing </w:t>
      </w:r>
      <w:r w:rsidRPr="00F61C06">
        <w:t>dokumentation</w:t>
      </w:r>
      <w:r w:rsidR="00DD4AA0" w:rsidRPr="00F61C06">
        <w:t xml:space="preserve">, </w:t>
      </w:r>
      <w:r w:rsidR="0041139E" w:rsidRPr="00F61C06">
        <w:t>når</w:t>
      </w:r>
      <w:r w:rsidR="00DD4AA0" w:rsidRPr="00F61C06">
        <w:t xml:space="preserve"> de </w:t>
      </w:r>
      <w:r w:rsidR="004D2E36" w:rsidRPr="00F61C06">
        <w:t xml:space="preserve">overstiger de i reglerne fastsatte grænseværdier. </w:t>
      </w:r>
      <w:r w:rsidR="001E1DDF" w:rsidRPr="00F61C06">
        <w:t>Endvidere</w:t>
      </w:r>
      <w:r w:rsidR="00C77F07" w:rsidRPr="00F61C06">
        <w:t xml:space="preserve"> foreslås </w:t>
      </w:r>
      <w:r w:rsidR="001E1DDF" w:rsidRPr="00F61C06">
        <w:t>det, at frist</w:t>
      </w:r>
      <w:r w:rsidR="00A24CF2" w:rsidRPr="00F61C06">
        <w:t>en</w:t>
      </w:r>
      <w:r w:rsidR="001E1DDF" w:rsidRPr="00F61C06">
        <w:t xml:space="preserve"> for indsendelse af </w:t>
      </w:r>
      <w:r w:rsidR="00A24CF2" w:rsidRPr="00F61C06">
        <w:t>oplysninger om kontrolle</w:t>
      </w:r>
      <w:r w:rsidR="00680D16" w:rsidRPr="00F61C06">
        <w:t>re</w:t>
      </w:r>
      <w:r w:rsidR="00A24CF2" w:rsidRPr="00F61C06">
        <w:t>de transaktioner præciseres</w:t>
      </w:r>
      <w:r w:rsidR="002E7367" w:rsidRPr="00F61C06">
        <w:t>,</w:t>
      </w:r>
      <w:r w:rsidR="00A24CF2" w:rsidRPr="00F61C06">
        <w:t xml:space="preserve"> og det fastsættes</w:t>
      </w:r>
      <w:r w:rsidR="003F0173" w:rsidRPr="00F61C06">
        <w:t xml:space="preserve">, </w:t>
      </w:r>
      <w:r w:rsidR="001E1DDF" w:rsidRPr="00F61C06">
        <w:t xml:space="preserve">at oplysningerne </w:t>
      </w:r>
      <w:r w:rsidR="00A24CF2" w:rsidRPr="00F61C06">
        <w:t xml:space="preserve">skal </w:t>
      </w:r>
      <w:r w:rsidR="00DD4AA0" w:rsidRPr="00F61C06">
        <w:t xml:space="preserve">indgives </w:t>
      </w:r>
      <w:r w:rsidR="001E1DDF" w:rsidRPr="00F61C06">
        <w:t>elektronisk.</w:t>
      </w:r>
    </w:p>
    <w:p w14:paraId="5628D173" w14:textId="77777777" w:rsidR="005E3B7B" w:rsidRPr="00F61C06" w:rsidRDefault="005E3B7B" w:rsidP="0078129A">
      <w:pPr>
        <w:spacing w:line="288" w:lineRule="auto"/>
      </w:pPr>
    </w:p>
    <w:p w14:paraId="76F80A68" w14:textId="0FAD7012" w:rsidR="005E3B7B" w:rsidRPr="00F61C06" w:rsidRDefault="005E3B7B" w:rsidP="0078129A">
      <w:pPr>
        <w:spacing w:line="288" w:lineRule="auto"/>
      </w:pPr>
      <w:r w:rsidRPr="00F61C06">
        <w:t xml:space="preserve">Forslaget indeholder desuden konsekvensrettelser som følge af forslag til Inatsisartutlov om offentlig hjælp, der medfører, at offentlig hjælp ydelsen overgår til at være en takstbestemt ydelse, der niveaumæssigt er fastsat baseret på, at ydelsen er </w:t>
      </w:r>
      <w:r w:rsidR="002C4AC4" w:rsidRPr="00F61C06">
        <w:t xml:space="preserve">en </w:t>
      </w:r>
      <w:r w:rsidRPr="00F61C06">
        <w:t>skattepligtig indkomst. Dernæst har forslaget til formål at ajourføre bestemmelserne om visse skattefrie offentlig hjælp ydelser.</w:t>
      </w:r>
    </w:p>
    <w:p w14:paraId="24B42B9F" w14:textId="77777777" w:rsidR="003F0173" w:rsidRPr="00F61C06" w:rsidRDefault="003F0173" w:rsidP="0078129A">
      <w:pPr>
        <w:spacing w:line="288" w:lineRule="auto"/>
      </w:pPr>
    </w:p>
    <w:p w14:paraId="2EFA45B5" w14:textId="77777777" w:rsidR="00B3288C" w:rsidRPr="00F61C06" w:rsidRDefault="00B3288C" w:rsidP="0078129A">
      <w:pPr>
        <w:spacing w:line="288" w:lineRule="auto"/>
        <w:rPr>
          <w:b/>
          <w:bCs/>
        </w:rPr>
      </w:pPr>
      <w:r w:rsidRPr="00F61C06">
        <w:rPr>
          <w:b/>
          <w:bCs/>
        </w:rPr>
        <w:t>2. Hovedpunkter i forslaget</w:t>
      </w:r>
    </w:p>
    <w:p w14:paraId="52510D84" w14:textId="6724BA44" w:rsidR="003D420F" w:rsidRPr="00F61C06" w:rsidRDefault="002725CA" w:rsidP="0078129A">
      <w:pPr>
        <w:spacing w:line="288" w:lineRule="auto"/>
        <w:rPr>
          <w:bCs/>
          <w:i/>
        </w:rPr>
      </w:pPr>
      <w:bookmarkStart w:id="0" w:name="_Hlk102651866"/>
      <w:r>
        <w:rPr>
          <w:bCs/>
          <w:i/>
        </w:rPr>
        <w:t xml:space="preserve">2.1. </w:t>
      </w:r>
      <w:r w:rsidR="003D420F" w:rsidRPr="00F61C06">
        <w:rPr>
          <w:bCs/>
          <w:i/>
        </w:rPr>
        <w:t>Beskæftigelsesfradrag</w:t>
      </w:r>
    </w:p>
    <w:bookmarkEnd w:id="0"/>
    <w:p w14:paraId="7BD59F6F" w14:textId="672E4BC7" w:rsidR="00992D81" w:rsidRPr="00BC0A6F" w:rsidRDefault="00992D81" w:rsidP="009D734C">
      <w:pPr>
        <w:spacing w:line="288" w:lineRule="auto"/>
        <w:rPr>
          <w:bCs/>
        </w:rPr>
      </w:pPr>
      <w:r w:rsidRPr="00BC0A6F">
        <w:rPr>
          <w:bCs/>
        </w:rPr>
        <w:t xml:space="preserve">Beskæftigelsesfradraget blev indført med virkning for 2020 og </w:t>
      </w:r>
      <w:r w:rsidR="00A46396" w:rsidRPr="00BC0A6F">
        <w:rPr>
          <w:bCs/>
        </w:rPr>
        <w:t xml:space="preserve">udgør 7 pct. af den beskæftigelsesindkomst, der overstiger person- og standardfradraget, dog maksimalt </w:t>
      </w:r>
      <w:r w:rsidRPr="00BC0A6F">
        <w:rPr>
          <w:bCs/>
        </w:rPr>
        <w:t xml:space="preserve">9.800 kr. </w:t>
      </w:r>
      <w:r w:rsidR="00A46396" w:rsidRPr="00BC0A6F">
        <w:rPr>
          <w:bCs/>
        </w:rPr>
        <w:t>Med satsregulering</w:t>
      </w:r>
      <w:r w:rsidR="003E1456">
        <w:rPr>
          <w:bCs/>
        </w:rPr>
        <w:t>en</w:t>
      </w:r>
      <w:r w:rsidR="00A46396" w:rsidRPr="00BC0A6F">
        <w:rPr>
          <w:bCs/>
        </w:rPr>
        <w:t xml:space="preserve"> udgør </w:t>
      </w:r>
      <w:r w:rsidRPr="00BC0A6F">
        <w:rPr>
          <w:bCs/>
        </w:rPr>
        <w:t xml:space="preserve">beskæftigelsesfradraget i 2022 </w:t>
      </w:r>
      <w:r w:rsidR="00A46396" w:rsidRPr="00BC0A6F">
        <w:rPr>
          <w:bCs/>
        </w:rPr>
        <w:t xml:space="preserve">maksimalt </w:t>
      </w:r>
      <w:r w:rsidRPr="00BC0A6F">
        <w:rPr>
          <w:bCs/>
        </w:rPr>
        <w:t>10.356 kr.</w:t>
      </w:r>
    </w:p>
    <w:p w14:paraId="35EF24BE" w14:textId="32615448" w:rsidR="00992D81" w:rsidRPr="00BC0A6F" w:rsidRDefault="00992D81" w:rsidP="009D734C">
      <w:pPr>
        <w:spacing w:line="288" w:lineRule="auto"/>
        <w:rPr>
          <w:bCs/>
        </w:rPr>
      </w:pPr>
    </w:p>
    <w:p w14:paraId="5AEB1E07" w14:textId="21DFA999" w:rsidR="00992D81" w:rsidRDefault="00992D81" w:rsidP="009D734C">
      <w:pPr>
        <w:spacing w:line="288" w:lineRule="auto"/>
        <w:rPr>
          <w:bCs/>
        </w:rPr>
      </w:pPr>
      <w:r w:rsidRPr="00BC0A6F">
        <w:rPr>
          <w:bCs/>
        </w:rPr>
        <w:lastRenderedPageBreak/>
        <w:t xml:space="preserve">Det foreslås at beskæftigelsesfradraget i 2023 hæves, således at </w:t>
      </w:r>
      <w:r w:rsidR="00515A21" w:rsidRPr="00BC0A6F">
        <w:rPr>
          <w:bCs/>
        </w:rPr>
        <w:t>beskæftigelsesfradraget udgør 14,3 pct. af beskæftigelsesindkomst</w:t>
      </w:r>
      <w:r w:rsidR="003E1456">
        <w:rPr>
          <w:bCs/>
        </w:rPr>
        <w:t>en</w:t>
      </w:r>
      <w:r w:rsidR="00515A21" w:rsidRPr="00BC0A6F">
        <w:rPr>
          <w:bCs/>
        </w:rPr>
        <w:t>. Desuden foreslås loftet for beskæftigelsesfradraget hævet således</w:t>
      </w:r>
      <w:r w:rsidR="00BC0A6F" w:rsidRPr="00BC0A6F">
        <w:rPr>
          <w:bCs/>
        </w:rPr>
        <w:t>,</w:t>
      </w:r>
      <w:r w:rsidR="00515A21" w:rsidRPr="00BC0A6F">
        <w:rPr>
          <w:bCs/>
        </w:rPr>
        <w:t xml:space="preserve"> at </w:t>
      </w:r>
      <w:r w:rsidR="00485866">
        <w:rPr>
          <w:bCs/>
        </w:rPr>
        <w:t xml:space="preserve">fradraget </w:t>
      </w:r>
      <w:r w:rsidR="00515A21" w:rsidRPr="00BC0A6F">
        <w:rPr>
          <w:bCs/>
        </w:rPr>
        <w:t xml:space="preserve">maksimalt kan </w:t>
      </w:r>
      <w:r w:rsidR="00BC0A6F" w:rsidRPr="00BC0A6F">
        <w:rPr>
          <w:bCs/>
        </w:rPr>
        <w:t>udgøre</w:t>
      </w:r>
      <w:r w:rsidR="00515A21" w:rsidRPr="00BC0A6F">
        <w:rPr>
          <w:bCs/>
        </w:rPr>
        <w:t xml:space="preserve"> 20.000 kr. i 2023. </w:t>
      </w:r>
      <w:r w:rsidR="00991213">
        <w:rPr>
          <w:bCs/>
        </w:rPr>
        <w:t xml:space="preserve">Ved fuld udnyttelse af fradraget, giver forslaget en indkomstfremgang på </w:t>
      </w:r>
      <w:r w:rsidR="003E1456">
        <w:rPr>
          <w:bCs/>
        </w:rPr>
        <w:t xml:space="preserve">omkring 4.050 kr. og 4.243 kr. </w:t>
      </w:r>
      <w:r w:rsidR="00363097" w:rsidRPr="00BC0A6F">
        <w:rPr>
          <w:bCs/>
        </w:rPr>
        <w:t>ved henholdsvis 42 og 44 pct</w:t>
      </w:r>
      <w:r w:rsidR="00363097">
        <w:rPr>
          <w:bCs/>
        </w:rPr>
        <w:t>. i skattesats.</w:t>
      </w:r>
    </w:p>
    <w:p w14:paraId="078CF997" w14:textId="77777777" w:rsidR="00201E4F" w:rsidRPr="00BC0A6F" w:rsidRDefault="00201E4F" w:rsidP="009D734C">
      <w:pPr>
        <w:spacing w:line="288" w:lineRule="auto"/>
        <w:rPr>
          <w:bCs/>
        </w:rPr>
      </w:pPr>
    </w:p>
    <w:p w14:paraId="0A8055DA" w14:textId="16525EE7" w:rsidR="00584512" w:rsidRPr="00F61C06" w:rsidRDefault="00891BFF" w:rsidP="0078129A">
      <w:pPr>
        <w:spacing w:line="288" w:lineRule="auto"/>
        <w:rPr>
          <w:bCs/>
        </w:rPr>
      </w:pPr>
      <w:r w:rsidRPr="00BC0A6F">
        <w:rPr>
          <w:bCs/>
        </w:rPr>
        <w:t>Beskæftigelsesfradragets formål er for det første at øge beskæftigelsen og for det andet at øge indkomsten for</w:t>
      </w:r>
      <w:r w:rsidR="00584512" w:rsidRPr="00BC0A6F">
        <w:rPr>
          <w:bCs/>
        </w:rPr>
        <w:t xml:space="preserve"> personer</w:t>
      </w:r>
      <w:r w:rsidR="0041139E" w:rsidRPr="00BC0A6F">
        <w:rPr>
          <w:bCs/>
        </w:rPr>
        <w:t>,</w:t>
      </w:r>
      <w:r w:rsidRPr="00BC0A6F">
        <w:rPr>
          <w:bCs/>
        </w:rPr>
        <w:t xml:space="preserve"> der </w:t>
      </w:r>
      <w:r w:rsidR="00E77808" w:rsidRPr="00BC0A6F">
        <w:rPr>
          <w:bCs/>
        </w:rPr>
        <w:t xml:space="preserve">er </w:t>
      </w:r>
      <w:r w:rsidRPr="00BC0A6F">
        <w:rPr>
          <w:bCs/>
        </w:rPr>
        <w:t xml:space="preserve">i beskæftigelse </w:t>
      </w:r>
      <w:r w:rsidR="0041139E" w:rsidRPr="00BC0A6F">
        <w:rPr>
          <w:bCs/>
        </w:rPr>
        <w:t>og</w:t>
      </w:r>
      <w:r w:rsidRPr="00BC0A6F">
        <w:rPr>
          <w:bCs/>
        </w:rPr>
        <w:t xml:space="preserve"> </w:t>
      </w:r>
      <w:r w:rsidR="00584512" w:rsidRPr="00BC0A6F">
        <w:rPr>
          <w:bCs/>
        </w:rPr>
        <w:t>befinder sig i lavindkomstgruppen</w:t>
      </w:r>
      <w:r w:rsidR="002B5A33" w:rsidRPr="00BC0A6F">
        <w:rPr>
          <w:bCs/>
        </w:rPr>
        <w:t xml:space="preserve"> (</w:t>
      </w:r>
      <w:r w:rsidR="00584512" w:rsidRPr="00BC0A6F">
        <w:rPr>
          <w:bCs/>
        </w:rPr>
        <w:t>”</w:t>
      </w:r>
      <w:proofErr w:type="spellStart"/>
      <w:r w:rsidR="00584512" w:rsidRPr="00BC0A6F">
        <w:rPr>
          <w:bCs/>
        </w:rPr>
        <w:t>working-poor</w:t>
      </w:r>
      <w:proofErr w:type="spellEnd"/>
      <w:r w:rsidR="00584512" w:rsidRPr="00BC0A6F">
        <w:rPr>
          <w:bCs/>
        </w:rPr>
        <w:t>”</w:t>
      </w:r>
      <w:r w:rsidR="002B5A33" w:rsidRPr="00BC0A6F">
        <w:rPr>
          <w:bCs/>
        </w:rPr>
        <w:t>)</w:t>
      </w:r>
      <w:r w:rsidR="00584512" w:rsidRPr="00BC0A6F">
        <w:rPr>
          <w:bCs/>
        </w:rPr>
        <w:t>.</w:t>
      </w:r>
    </w:p>
    <w:p w14:paraId="786A37F3" w14:textId="1075D27A" w:rsidR="00891BFF" w:rsidRPr="00F61C06" w:rsidRDefault="00584512" w:rsidP="0078129A">
      <w:pPr>
        <w:spacing w:line="288" w:lineRule="auto"/>
        <w:rPr>
          <w:bCs/>
        </w:rPr>
      </w:pPr>
      <w:r w:rsidRPr="00F61C06">
        <w:rPr>
          <w:bCs/>
        </w:rPr>
        <w:t xml:space="preserve"> </w:t>
      </w:r>
    </w:p>
    <w:p w14:paraId="44CA8849" w14:textId="710F7BF6" w:rsidR="00BC0A6F" w:rsidRDefault="0041139E" w:rsidP="0078129A">
      <w:pPr>
        <w:spacing w:line="288" w:lineRule="auto"/>
        <w:rPr>
          <w:bCs/>
        </w:rPr>
      </w:pPr>
      <w:r w:rsidRPr="00F61C06">
        <w:rPr>
          <w:bCs/>
        </w:rPr>
        <w:t>E</w:t>
      </w:r>
      <w:r w:rsidR="00891BFF" w:rsidRPr="00F61C06">
        <w:rPr>
          <w:bCs/>
        </w:rPr>
        <w:t>n forhøjelse af beskæftigelsesfradraget skal finansieres</w:t>
      </w:r>
      <w:r w:rsidRPr="00F61C06">
        <w:rPr>
          <w:bCs/>
        </w:rPr>
        <w:t xml:space="preserve">. Det medfører </w:t>
      </w:r>
      <w:r w:rsidR="00891BFF" w:rsidRPr="00F61C06">
        <w:rPr>
          <w:bCs/>
        </w:rPr>
        <w:t>en afvejning mellem</w:t>
      </w:r>
      <w:r w:rsidR="0002729D" w:rsidRPr="00F61C06">
        <w:rPr>
          <w:bCs/>
        </w:rPr>
        <w:t>,</w:t>
      </w:r>
      <w:r w:rsidR="00891BFF" w:rsidRPr="00F61C06">
        <w:rPr>
          <w:bCs/>
        </w:rPr>
        <w:t xml:space="preserve"> hvor stort et beskæftigelsesfradrag skal være, og hvor mange</w:t>
      </w:r>
      <w:r w:rsidR="0002729D" w:rsidRPr="00F61C06">
        <w:rPr>
          <w:bCs/>
        </w:rPr>
        <w:t>,</w:t>
      </w:r>
      <w:r w:rsidR="00891BFF" w:rsidRPr="00F61C06">
        <w:rPr>
          <w:bCs/>
        </w:rPr>
        <w:t xml:space="preserve"> der skal have det.</w:t>
      </w:r>
      <w:r w:rsidR="00584512" w:rsidRPr="00F61C06">
        <w:rPr>
          <w:bCs/>
        </w:rPr>
        <w:t xml:space="preserve"> </w:t>
      </w:r>
      <w:r w:rsidR="00891BFF" w:rsidRPr="00F61C06">
        <w:rPr>
          <w:bCs/>
        </w:rPr>
        <w:t>Jo flere</w:t>
      </w:r>
      <w:r w:rsidR="0002729D" w:rsidRPr="00F61C06">
        <w:rPr>
          <w:bCs/>
        </w:rPr>
        <w:t>,</w:t>
      </w:r>
      <w:r w:rsidR="00891BFF" w:rsidRPr="00F61C06">
        <w:rPr>
          <w:bCs/>
        </w:rPr>
        <w:t xml:space="preserve"> der får det, desto mindre bliver der til den enkelte. Generelt vurderes beskæftigelses-effekterne </w:t>
      </w:r>
      <w:r w:rsidRPr="00F61C06">
        <w:rPr>
          <w:bCs/>
        </w:rPr>
        <w:t xml:space="preserve">at være </w:t>
      </w:r>
      <w:r w:rsidR="00891BFF" w:rsidRPr="00F61C06">
        <w:rPr>
          <w:bCs/>
        </w:rPr>
        <w:t xml:space="preserve">højest, hvis </w:t>
      </w:r>
      <w:r w:rsidR="002B5A33" w:rsidRPr="00F61C06">
        <w:rPr>
          <w:bCs/>
        </w:rPr>
        <w:t xml:space="preserve">fradraget </w:t>
      </w:r>
      <w:r w:rsidR="00891BFF" w:rsidRPr="00F61C06">
        <w:rPr>
          <w:bCs/>
        </w:rPr>
        <w:t xml:space="preserve">målrettes de laveste indkomster. Det skyldes, at der skal relativt mindre til at påvirke </w:t>
      </w:r>
      <w:r w:rsidR="00D75DF9" w:rsidRPr="00F61C06">
        <w:rPr>
          <w:bCs/>
        </w:rPr>
        <w:t>personer</w:t>
      </w:r>
      <w:r w:rsidR="00891BFF" w:rsidRPr="00F61C06">
        <w:rPr>
          <w:bCs/>
        </w:rPr>
        <w:t xml:space="preserve"> med de laveste indkomster end </w:t>
      </w:r>
      <w:r w:rsidR="00D75DF9" w:rsidRPr="00F61C06">
        <w:rPr>
          <w:bCs/>
        </w:rPr>
        <w:t>personer</w:t>
      </w:r>
      <w:r w:rsidR="00891BFF" w:rsidRPr="00F61C06">
        <w:rPr>
          <w:bCs/>
        </w:rPr>
        <w:t xml:space="preserve"> med de højeste indkomster. </w:t>
      </w:r>
      <w:r w:rsidR="00BC0A6F">
        <w:rPr>
          <w:bCs/>
        </w:rPr>
        <w:t xml:space="preserve">Der er desuden her, at udfordringerne med den sammensatte marginalskat er størst. Dvs. </w:t>
      </w:r>
      <w:r w:rsidR="003E1456">
        <w:rPr>
          <w:bCs/>
        </w:rPr>
        <w:t xml:space="preserve">en </w:t>
      </w:r>
      <w:r w:rsidR="00BC0A6F">
        <w:rPr>
          <w:bCs/>
        </w:rPr>
        <w:t xml:space="preserve">indkomstfremgang foruden skat, </w:t>
      </w:r>
      <w:r w:rsidR="009F160C">
        <w:rPr>
          <w:bCs/>
        </w:rPr>
        <w:t>medføre</w:t>
      </w:r>
      <w:r w:rsidR="003E1456">
        <w:rPr>
          <w:bCs/>
        </w:rPr>
        <w:t>r</w:t>
      </w:r>
      <w:r w:rsidR="009F160C">
        <w:rPr>
          <w:bCs/>
        </w:rPr>
        <w:t xml:space="preserve"> </w:t>
      </w:r>
      <w:r w:rsidR="00BC0A6F">
        <w:rPr>
          <w:bCs/>
        </w:rPr>
        <w:t>at sociale ydelser aftrappes.</w:t>
      </w:r>
      <w:r w:rsidR="009F160C">
        <w:rPr>
          <w:bCs/>
        </w:rPr>
        <w:t xml:space="preserve"> Den økonomiske fremgang ved at tage et arbejde, kan derfor være lav. </w:t>
      </w:r>
      <w:r w:rsidR="00BC0A6F">
        <w:rPr>
          <w:bCs/>
        </w:rPr>
        <w:t>Forslaget bidrager til at sænke</w:t>
      </w:r>
      <w:r w:rsidR="009F160C">
        <w:rPr>
          <w:bCs/>
        </w:rPr>
        <w:t xml:space="preserve"> </w:t>
      </w:r>
      <w:r w:rsidR="00BC0A6F">
        <w:rPr>
          <w:bCs/>
        </w:rPr>
        <w:t xml:space="preserve">marginalskatten, og gør det derved mere attraktivt, at </w:t>
      </w:r>
      <w:r w:rsidR="009F160C">
        <w:rPr>
          <w:bCs/>
        </w:rPr>
        <w:t>tage et arbejde</w:t>
      </w:r>
      <w:r w:rsidR="00BC0A6F">
        <w:rPr>
          <w:bCs/>
        </w:rPr>
        <w:t>.</w:t>
      </w:r>
    </w:p>
    <w:p w14:paraId="5DC04101" w14:textId="117CFDED" w:rsidR="00E77808" w:rsidRPr="00F61C06" w:rsidRDefault="00BC0A6F" w:rsidP="009D734C">
      <w:pPr>
        <w:spacing w:line="288" w:lineRule="auto"/>
        <w:rPr>
          <w:bCs/>
        </w:rPr>
      </w:pPr>
      <w:r>
        <w:rPr>
          <w:bCs/>
        </w:rPr>
        <w:t xml:space="preserve"> </w:t>
      </w:r>
    </w:p>
    <w:p w14:paraId="338A9C14" w14:textId="3EDDFED1" w:rsidR="003D420F" w:rsidRPr="00F61C06" w:rsidRDefault="00954FF5" w:rsidP="0078129A">
      <w:pPr>
        <w:spacing w:line="288" w:lineRule="auto"/>
        <w:rPr>
          <w:bCs/>
          <w:i/>
        </w:rPr>
      </w:pPr>
      <w:bookmarkStart w:id="1" w:name="_Hlk102651883"/>
      <w:r>
        <w:rPr>
          <w:bCs/>
          <w:i/>
        </w:rPr>
        <w:t xml:space="preserve">2.2. </w:t>
      </w:r>
      <w:r w:rsidR="003D420F" w:rsidRPr="00F61C06">
        <w:rPr>
          <w:bCs/>
          <w:i/>
        </w:rPr>
        <w:t xml:space="preserve">Beskæring af fradragsretten for private renteudgifter </w:t>
      </w:r>
    </w:p>
    <w:bookmarkEnd w:id="1"/>
    <w:p w14:paraId="67928780" w14:textId="23C8B1FE" w:rsidR="00CA3A85" w:rsidRPr="00F61C06" w:rsidRDefault="00CA3A85" w:rsidP="0078129A">
      <w:pPr>
        <w:spacing w:line="288" w:lineRule="auto"/>
      </w:pPr>
      <w:r w:rsidRPr="00F61C06">
        <w:t>Denne del af f</w:t>
      </w:r>
      <w:r w:rsidR="008B5FA3" w:rsidRPr="00F61C06">
        <w:t>orslaget er en del af en samlet pakke bestående af 2 lovforslag</w:t>
      </w:r>
      <w:r w:rsidR="002C4AC4" w:rsidRPr="00F61C06">
        <w:t>.</w:t>
      </w:r>
      <w:r w:rsidRPr="00F61C06">
        <w:t xml:space="preserve"> I nærværende forslag om ændring af landstingslov om indkomstskat beskrives alene de forhold og høringssvar, der knytter sig til ændringerne i skattelovgivning</w:t>
      </w:r>
      <w:r w:rsidR="00687147" w:rsidRPr="00F61C06">
        <w:t>en</w:t>
      </w:r>
      <w:r w:rsidRPr="00F61C06">
        <w:t>. Der henvises til bemærkningerne i forslag til Inatsisartutlov om rentetilskud for en generel gennemgang af baggrunden, den foreslåede rentetilskudsordning og konsekvenserne af ændringen.</w:t>
      </w:r>
    </w:p>
    <w:p w14:paraId="7B652A57" w14:textId="77777777" w:rsidR="002C4AC4" w:rsidRPr="00F61C06" w:rsidRDefault="002C4AC4" w:rsidP="0078129A">
      <w:pPr>
        <w:spacing w:line="288" w:lineRule="auto"/>
      </w:pPr>
    </w:p>
    <w:p w14:paraId="73163A92" w14:textId="40BB066D" w:rsidR="002C4AC4" w:rsidRPr="00F61C06" w:rsidRDefault="002C4AC4" w:rsidP="0078129A">
      <w:pPr>
        <w:spacing w:line="288" w:lineRule="auto"/>
      </w:pPr>
      <w:r w:rsidRPr="00F61C06">
        <w:t>Efter den gældende § 15 i landstingslov om indkomstskat er der fradrag for renteudgifter. Renteudgifter dækker både over de direkte renteudgifter og bidrag til realkreditinstitutter. Der er fradrag for renteudgifter fra lån i banker, realkreditinstitutioner og til private, uanset om lånet vedr</w:t>
      </w:r>
      <w:r w:rsidR="00D75DF9" w:rsidRPr="00F61C06">
        <w:t>ører erhvervelse af bolig</w:t>
      </w:r>
      <w:r w:rsidRPr="00F61C06">
        <w:t xml:space="preserve">, erhvervelse af båd, bil eller </w:t>
      </w:r>
      <w:r w:rsidR="00D75DF9" w:rsidRPr="00F61C06">
        <w:t>for</w:t>
      </w:r>
      <w:r w:rsidRPr="00F61C06">
        <w:t>brugslån. Der er dog ikke fradrag for renter for manglende betaling af skatter og afgifter.</w:t>
      </w:r>
    </w:p>
    <w:p w14:paraId="36D1F3B1" w14:textId="77777777" w:rsidR="002C4AC4" w:rsidRPr="00F61C06" w:rsidRDefault="002C4AC4" w:rsidP="0078129A">
      <w:pPr>
        <w:spacing w:line="288" w:lineRule="auto"/>
      </w:pPr>
    </w:p>
    <w:p w14:paraId="2F7EA27F" w14:textId="243E73FE" w:rsidR="002C4AC4" w:rsidRPr="00F61C06" w:rsidRDefault="002C4AC4" w:rsidP="0078129A">
      <w:pPr>
        <w:spacing w:line="288" w:lineRule="auto"/>
      </w:pPr>
      <w:r w:rsidRPr="00F61C06">
        <w:t>Det foreslås</w:t>
      </w:r>
      <w:r w:rsidR="00D75DF9" w:rsidRPr="00F61C06">
        <w:t>,</w:t>
      </w:r>
      <w:r w:rsidRPr="00F61C06">
        <w:t xml:space="preserve"> at fradragsretten for ikke</w:t>
      </w:r>
      <w:r w:rsidR="00E77808" w:rsidRPr="00F61C06">
        <w:t>-</w:t>
      </w:r>
      <w:r w:rsidRPr="00F61C06">
        <w:t>erhvervsmæssige renteudgifter reduceres gradvist</w:t>
      </w:r>
      <w:r w:rsidR="00132029" w:rsidRPr="00F61C06">
        <w:t>,</w:t>
      </w:r>
      <w:r w:rsidRPr="00F61C06">
        <w:t xml:space="preserve"> indtil der i 2028 og frem ikke længere er fradrag for ikke-erhvervsmæssige renteudgifter. Der indføres i stedet med Inatsisartutlov om rentetilskud et tilskud til personer med renteudgifter</w:t>
      </w:r>
      <w:r w:rsidR="00132029" w:rsidRPr="00F61C06">
        <w:t>,</w:t>
      </w:r>
      <w:r w:rsidRPr="00F61C06">
        <w:t xml:space="preserve"> der er anvendt til erhvervelse af ejer- eller andelsbolig og studielån. </w:t>
      </w:r>
    </w:p>
    <w:p w14:paraId="282CA9C5" w14:textId="77777777" w:rsidR="002C4AC4" w:rsidRPr="00F61C06" w:rsidRDefault="002C4AC4" w:rsidP="0078129A">
      <w:pPr>
        <w:spacing w:line="288" w:lineRule="auto"/>
      </w:pPr>
    </w:p>
    <w:p w14:paraId="5479B6EB" w14:textId="781FF5CD" w:rsidR="002C4AC4" w:rsidRPr="00F61C06" w:rsidRDefault="002C4AC4" w:rsidP="0078129A">
      <w:pPr>
        <w:spacing w:line="288" w:lineRule="auto"/>
      </w:pPr>
      <w:r w:rsidRPr="00F61C06">
        <w:t xml:space="preserve">Det foreslås, at </w:t>
      </w:r>
      <w:r w:rsidR="00D75DF9" w:rsidRPr="00F61C06">
        <w:t>reduceringen</w:t>
      </w:r>
      <w:r w:rsidRPr="00F61C06">
        <w:t xml:space="preserve"> sker som følger:</w:t>
      </w:r>
    </w:p>
    <w:tbl>
      <w:tblPr>
        <w:tblStyle w:val="Tabel-Gitter"/>
        <w:tblW w:w="0" w:type="auto"/>
        <w:tblLook w:val="04A0" w:firstRow="1" w:lastRow="0" w:firstColumn="1" w:lastColumn="0" w:noHBand="0" w:noVBand="1"/>
      </w:tblPr>
      <w:tblGrid>
        <w:gridCol w:w="1791"/>
        <w:gridCol w:w="1589"/>
        <w:gridCol w:w="1590"/>
        <w:gridCol w:w="1590"/>
        <w:gridCol w:w="1590"/>
        <w:gridCol w:w="1478"/>
      </w:tblGrid>
      <w:tr w:rsidR="002C4AC4" w:rsidRPr="00F61C06" w14:paraId="70898B98" w14:textId="77777777" w:rsidTr="006D2A42">
        <w:tc>
          <w:tcPr>
            <w:tcW w:w="1791" w:type="dxa"/>
          </w:tcPr>
          <w:p w14:paraId="5C6B32BB" w14:textId="77777777" w:rsidR="002C4AC4" w:rsidRPr="00F61C06" w:rsidRDefault="002C4AC4" w:rsidP="0078129A">
            <w:pPr>
              <w:spacing w:line="288" w:lineRule="auto"/>
              <w:rPr>
                <w:b/>
              </w:rPr>
            </w:pPr>
            <w:r w:rsidRPr="00F61C06">
              <w:rPr>
                <w:b/>
              </w:rPr>
              <w:lastRenderedPageBreak/>
              <w:t>Indkomstår</w:t>
            </w:r>
          </w:p>
        </w:tc>
        <w:tc>
          <w:tcPr>
            <w:tcW w:w="1635" w:type="dxa"/>
          </w:tcPr>
          <w:p w14:paraId="17861637" w14:textId="77777777" w:rsidR="002C4AC4" w:rsidRPr="00F61C06" w:rsidRDefault="002C4AC4" w:rsidP="0078129A">
            <w:pPr>
              <w:spacing w:line="288" w:lineRule="auto"/>
            </w:pPr>
            <w:r w:rsidRPr="00F61C06">
              <w:t>2024</w:t>
            </w:r>
          </w:p>
        </w:tc>
        <w:tc>
          <w:tcPr>
            <w:tcW w:w="1637" w:type="dxa"/>
          </w:tcPr>
          <w:p w14:paraId="0E0EED23" w14:textId="77777777" w:rsidR="002C4AC4" w:rsidRPr="00F61C06" w:rsidRDefault="002C4AC4" w:rsidP="0078129A">
            <w:pPr>
              <w:spacing w:line="288" w:lineRule="auto"/>
            </w:pPr>
            <w:r w:rsidRPr="00F61C06">
              <w:t>2025</w:t>
            </w:r>
          </w:p>
        </w:tc>
        <w:tc>
          <w:tcPr>
            <w:tcW w:w="1637" w:type="dxa"/>
          </w:tcPr>
          <w:p w14:paraId="6DAC112F" w14:textId="77777777" w:rsidR="002C4AC4" w:rsidRPr="00F61C06" w:rsidRDefault="002C4AC4" w:rsidP="0078129A">
            <w:pPr>
              <w:spacing w:line="288" w:lineRule="auto"/>
            </w:pPr>
            <w:r w:rsidRPr="00F61C06">
              <w:t>2026</w:t>
            </w:r>
          </w:p>
        </w:tc>
        <w:tc>
          <w:tcPr>
            <w:tcW w:w="1637" w:type="dxa"/>
          </w:tcPr>
          <w:p w14:paraId="7D1C1E20" w14:textId="77777777" w:rsidR="002C4AC4" w:rsidRPr="00F61C06" w:rsidRDefault="002C4AC4" w:rsidP="0078129A">
            <w:pPr>
              <w:spacing w:line="288" w:lineRule="auto"/>
            </w:pPr>
            <w:r w:rsidRPr="00F61C06">
              <w:t>2027</w:t>
            </w:r>
          </w:p>
        </w:tc>
        <w:tc>
          <w:tcPr>
            <w:tcW w:w="1517" w:type="dxa"/>
          </w:tcPr>
          <w:p w14:paraId="3ABC9AC0" w14:textId="77777777" w:rsidR="002C4AC4" w:rsidRPr="00F61C06" w:rsidRDefault="002C4AC4" w:rsidP="0078129A">
            <w:pPr>
              <w:spacing w:line="288" w:lineRule="auto"/>
            </w:pPr>
            <w:r w:rsidRPr="00F61C06">
              <w:t>2028 og frem</w:t>
            </w:r>
          </w:p>
        </w:tc>
      </w:tr>
      <w:tr w:rsidR="002C4AC4" w:rsidRPr="00F61C06" w14:paraId="1F8D33C2" w14:textId="77777777" w:rsidTr="006D2A42">
        <w:tc>
          <w:tcPr>
            <w:tcW w:w="1791" w:type="dxa"/>
          </w:tcPr>
          <w:p w14:paraId="67BD29DF" w14:textId="77777777" w:rsidR="002C4AC4" w:rsidRPr="00F61C06" w:rsidRDefault="002C4AC4" w:rsidP="0078129A">
            <w:pPr>
              <w:spacing w:line="288" w:lineRule="auto"/>
              <w:rPr>
                <w:b/>
              </w:rPr>
            </w:pPr>
            <w:r w:rsidRPr="00F61C06">
              <w:rPr>
                <w:b/>
              </w:rPr>
              <w:t>Fradragsretten</w:t>
            </w:r>
          </w:p>
        </w:tc>
        <w:tc>
          <w:tcPr>
            <w:tcW w:w="1635" w:type="dxa"/>
          </w:tcPr>
          <w:p w14:paraId="5EFC4054" w14:textId="77777777" w:rsidR="002C4AC4" w:rsidRPr="00F61C06" w:rsidRDefault="002C4AC4" w:rsidP="0078129A">
            <w:pPr>
              <w:spacing w:line="288" w:lineRule="auto"/>
            </w:pPr>
            <w:r w:rsidRPr="00F61C06">
              <w:t>80 procent</w:t>
            </w:r>
          </w:p>
        </w:tc>
        <w:tc>
          <w:tcPr>
            <w:tcW w:w="1637" w:type="dxa"/>
          </w:tcPr>
          <w:p w14:paraId="0E3CBB13" w14:textId="77777777" w:rsidR="002C4AC4" w:rsidRPr="00F61C06" w:rsidRDefault="002C4AC4" w:rsidP="0078129A">
            <w:pPr>
              <w:spacing w:line="288" w:lineRule="auto"/>
            </w:pPr>
            <w:r w:rsidRPr="00F61C06">
              <w:t xml:space="preserve"> 60 procent</w:t>
            </w:r>
          </w:p>
        </w:tc>
        <w:tc>
          <w:tcPr>
            <w:tcW w:w="1637" w:type="dxa"/>
          </w:tcPr>
          <w:p w14:paraId="4AE1723D" w14:textId="77777777" w:rsidR="002C4AC4" w:rsidRPr="00F61C06" w:rsidRDefault="002C4AC4" w:rsidP="0078129A">
            <w:pPr>
              <w:spacing w:line="288" w:lineRule="auto"/>
            </w:pPr>
            <w:r w:rsidRPr="00F61C06">
              <w:t>40 procent</w:t>
            </w:r>
          </w:p>
        </w:tc>
        <w:tc>
          <w:tcPr>
            <w:tcW w:w="1637" w:type="dxa"/>
          </w:tcPr>
          <w:p w14:paraId="45E859B0" w14:textId="77777777" w:rsidR="002C4AC4" w:rsidRPr="00F61C06" w:rsidRDefault="002C4AC4" w:rsidP="0078129A">
            <w:pPr>
              <w:spacing w:line="288" w:lineRule="auto"/>
            </w:pPr>
            <w:r w:rsidRPr="00F61C06">
              <w:t>20 procent</w:t>
            </w:r>
          </w:p>
        </w:tc>
        <w:tc>
          <w:tcPr>
            <w:tcW w:w="1517" w:type="dxa"/>
          </w:tcPr>
          <w:p w14:paraId="7DC5925F" w14:textId="77777777" w:rsidR="002C4AC4" w:rsidRPr="00F61C06" w:rsidRDefault="002C4AC4" w:rsidP="0078129A">
            <w:pPr>
              <w:spacing w:line="288" w:lineRule="auto"/>
            </w:pPr>
            <w:r w:rsidRPr="00F61C06">
              <w:t>0 procent</w:t>
            </w:r>
          </w:p>
        </w:tc>
      </w:tr>
    </w:tbl>
    <w:p w14:paraId="07076D07" w14:textId="77777777" w:rsidR="002C4AC4" w:rsidRPr="00F61C06" w:rsidRDefault="002C4AC4" w:rsidP="0078129A">
      <w:pPr>
        <w:spacing w:line="288" w:lineRule="auto"/>
      </w:pPr>
    </w:p>
    <w:p w14:paraId="42EE46F6" w14:textId="2C92E51D" w:rsidR="006315D2" w:rsidRPr="00F61C06" w:rsidRDefault="008B5FA3" w:rsidP="0078129A">
      <w:pPr>
        <w:spacing w:line="288" w:lineRule="auto"/>
      </w:pPr>
      <w:r w:rsidRPr="00F61C06">
        <w:t>Der sker ingen ændringer i forhold til fradrag for erhvervsmæssige renteudgifter, hvor der fortsat er fuld fradragsret. Erhvervsmæssige renteudgifter dækker over de renteudgifter, der er medgået til erhvervelsen</w:t>
      </w:r>
      <w:r w:rsidR="00680D16" w:rsidRPr="00F61C06">
        <w:t>,</w:t>
      </w:r>
      <w:r w:rsidRPr="00F61C06">
        <w:t xml:space="preserve"> sikringen </w:t>
      </w:r>
      <w:r w:rsidR="00680D16" w:rsidRPr="00F61C06">
        <w:t xml:space="preserve">og vedligeholdelsen </w:t>
      </w:r>
      <w:r w:rsidRPr="00F61C06">
        <w:t xml:space="preserve">af en erhvervsmæssig indkomst. </w:t>
      </w:r>
      <w:r w:rsidR="006315D2" w:rsidRPr="00F61C06">
        <w:t>Det er den skattepligtige</w:t>
      </w:r>
      <w:r w:rsidR="00680D16" w:rsidRPr="00F61C06">
        <w:t>,</w:t>
      </w:r>
      <w:r w:rsidR="006315D2" w:rsidRPr="00F61C06">
        <w:t xml:space="preserve"> der skal dokumentere, at betingelserne for fradrag er opfyldt.  </w:t>
      </w:r>
      <w:r w:rsidR="00D75DF9" w:rsidRPr="00F61C06">
        <w:t xml:space="preserve">Ofte </w:t>
      </w:r>
      <w:r w:rsidR="006315D2" w:rsidRPr="00F61C06">
        <w:t>vil det ikke give anledning til vanskeligheder at afgøre, om renteudgifter er medgået til private eller erhvervsmæssige formål.</w:t>
      </w:r>
    </w:p>
    <w:p w14:paraId="4A2525A8" w14:textId="77777777" w:rsidR="008B5FA3" w:rsidRPr="00F61C06" w:rsidRDefault="008B5FA3" w:rsidP="0078129A">
      <w:pPr>
        <w:spacing w:line="288" w:lineRule="auto"/>
      </w:pPr>
    </w:p>
    <w:p w14:paraId="0E227327" w14:textId="61F254E5" w:rsidR="00D14D18" w:rsidRPr="00F61C06" w:rsidRDefault="008B5FA3" w:rsidP="0078129A">
      <w:pPr>
        <w:spacing w:line="288" w:lineRule="auto"/>
        <w:rPr>
          <w:bCs/>
        </w:rPr>
      </w:pPr>
      <w:r w:rsidRPr="00F61C06">
        <w:t>Der sker ingen ændring af standardfradrag</w:t>
      </w:r>
      <w:r w:rsidR="00CA1FEC" w:rsidRPr="00F61C06">
        <w:t>et</w:t>
      </w:r>
      <w:r w:rsidR="001B206C" w:rsidRPr="00F61C06">
        <w:t xml:space="preserve"> fastsat</w:t>
      </w:r>
      <w:r w:rsidRPr="00F61C06">
        <w:t xml:space="preserve"> </w:t>
      </w:r>
      <w:r w:rsidR="006315D2" w:rsidRPr="00F61C06">
        <w:t xml:space="preserve">i </w:t>
      </w:r>
      <w:r w:rsidRPr="00F61C06">
        <w:t>lovens § 21. Standardfradraget er på 10.000 kr. i 20</w:t>
      </w:r>
      <w:r w:rsidR="00D14D18" w:rsidRPr="00F61C06">
        <w:t>23</w:t>
      </w:r>
      <w:r w:rsidRPr="00F61C06">
        <w:t xml:space="preserve">. I det omfang summen af fagforeningskontingenter, erhvervsmæssige renteudgifter og </w:t>
      </w:r>
      <w:r w:rsidR="001B206C" w:rsidRPr="00F61C06">
        <w:t>andre</w:t>
      </w:r>
      <w:r w:rsidRPr="00F61C06">
        <w:t xml:space="preserve"> ligningsmæssige fradrag ikke overstiger størrelsen af standardfradraget, vil skatteyderne som hidtil kunne fradrage standardfradraget.</w:t>
      </w:r>
    </w:p>
    <w:p w14:paraId="5AA85FD4" w14:textId="77777777" w:rsidR="008B5FA3" w:rsidRPr="00F61C06" w:rsidRDefault="008B5FA3" w:rsidP="0078129A">
      <w:pPr>
        <w:spacing w:line="288" w:lineRule="auto"/>
        <w:rPr>
          <w:bCs/>
          <w:i/>
        </w:rPr>
      </w:pPr>
    </w:p>
    <w:p w14:paraId="08713EDB" w14:textId="4D43D8CF" w:rsidR="003D420F" w:rsidRPr="00F61C06" w:rsidRDefault="00954FF5" w:rsidP="0078129A">
      <w:pPr>
        <w:spacing w:line="288" w:lineRule="auto"/>
        <w:rPr>
          <w:bCs/>
          <w:i/>
        </w:rPr>
      </w:pPr>
      <w:bookmarkStart w:id="2" w:name="_Hlk102651889"/>
      <w:r>
        <w:rPr>
          <w:bCs/>
          <w:i/>
        </w:rPr>
        <w:t xml:space="preserve">2.3. </w:t>
      </w:r>
      <w:r w:rsidR="003D420F" w:rsidRPr="00F61C06">
        <w:rPr>
          <w:bCs/>
          <w:i/>
        </w:rPr>
        <w:t>Beskatning af likvidationsprovenu</w:t>
      </w:r>
    </w:p>
    <w:bookmarkEnd w:id="2"/>
    <w:p w14:paraId="7B850E2E" w14:textId="3BA1FFBC" w:rsidR="00DD3532" w:rsidRPr="00F61C06" w:rsidRDefault="00A24CF2" w:rsidP="0078129A">
      <w:pPr>
        <w:spacing w:line="288" w:lineRule="auto"/>
        <w:rPr>
          <w:bCs/>
        </w:rPr>
      </w:pPr>
      <w:r w:rsidRPr="00F61C06">
        <w:rPr>
          <w:bCs/>
        </w:rPr>
        <w:t>Det foreslås, at likvidations</w:t>
      </w:r>
      <w:r w:rsidR="00850348" w:rsidRPr="00F61C06">
        <w:rPr>
          <w:bCs/>
        </w:rPr>
        <w:t>provenu</w:t>
      </w:r>
      <w:r w:rsidRPr="00F61C06">
        <w:rPr>
          <w:bCs/>
        </w:rPr>
        <w:t>, der udbetales til fysiske personer, gøres skattepligtig.</w:t>
      </w:r>
    </w:p>
    <w:p w14:paraId="3A7DE483" w14:textId="77777777" w:rsidR="00DD3532" w:rsidRPr="00F61C06" w:rsidRDefault="00DD3532" w:rsidP="0078129A">
      <w:pPr>
        <w:spacing w:line="288" w:lineRule="auto"/>
        <w:rPr>
          <w:bCs/>
        </w:rPr>
      </w:pPr>
    </w:p>
    <w:p w14:paraId="0AB43B5A" w14:textId="48A3E1C2" w:rsidR="00640CCE" w:rsidRPr="00F61C06" w:rsidRDefault="00F54530" w:rsidP="0078129A">
      <w:pPr>
        <w:spacing w:line="288" w:lineRule="auto"/>
        <w:rPr>
          <w:bCs/>
        </w:rPr>
      </w:pPr>
      <w:r w:rsidRPr="00F61C06">
        <w:rPr>
          <w:bCs/>
        </w:rPr>
        <w:t xml:space="preserve">Forslaget er en ny </w:t>
      </w:r>
      <w:proofErr w:type="spellStart"/>
      <w:r w:rsidRPr="00F61C06">
        <w:rPr>
          <w:bCs/>
        </w:rPr>
        <w:t>værnsregel</w:t>
      </w:r>
      <w:proofErr w:type="spellEnd"/>
      <w:r w:rsidRPr="00F61C06">
        <w:rPr>
          <w:bCs/>
        </w:rPr>
        <w:t xml:space="preserve">. </w:t>
      </w:r>
      <w:r w:rsidR="0090525B" w:rsidRPr="00F61C06">
        <w:rPr>
          <w:bCs/>
        </w:rPr>
        <w:t xml:space="preserve">Bestemmelsen har til formål at </w:t>
      </w:r>
      <w:r w:rsidR="00DD3532" w:rsidRPr="00F61C06">
        <w:rPr>
          <w:bCs/>
        </w:rPr>
        <w:t>forhindre</w:t>
      </w:r>
      <w:r w:rsidR="001B206C" w:rsidRPr="00F61C06">
        <w:rPr>
          <w:bCs/>
        </w:rPr>
        <w:t>,</w:t>
      </w:r>
      <w:r w:rsidR="0090525B" w:rsidRPr="00F61C06">
        <w:rPr>
          <w:bCs/>
        </w:rPr>
        <w:t xml:space="preserve"> at projektselskaber </w:t>
      </w:r>
      <w:r w:rsidRPr="00F61C06">
        <w:rPr>
          <w:bCs/>
        </w:rPr>
        <w:t xml:space="preserve">i visse situationer </w:t>
      </w:r>
      <w:r w:rsidR="0090525B" w:rsidRPr="00F61C06">
        <w:rPr>
          <w:bCs/>
        </w:rPr>
        <w:t xml:space="preserve">kan anvendes til </w:t>
      </w:r>
      <w:r w:rsidR="00640CCE" w:rsidRPr="00F61C06">
        <w:rPr>
          <w:bCs/>
        </w:rPr>
        <w:t xml:space="preserve">opnå en </w:t>
      </w:r>
      <w:r w:rsidR="006E49DA" w:rsidRPr="00F61C06">
        <w:rPr>
          <w:bCs/>
        </w:rPr>
        <w:t xml:space="preserve">utilsigtet </w:t>
      </w:r>
      <w:r w:rsidR="00640CCE" w:rsidRPr="00F61C06">
        <w:rPr>
          <w:bCs/>
        </w:rPr>
        <w:t>skattebegunstigelse</w:t>
      </w:r>
      <w:r w:rsidR="006315D2" w:rsidRPr="00F61C06">
        <w:rPr>
          <w:bCs/>
        </w:rPr>
        <w:t xml:space="preserve"> ved </w:t>
      </w:r>
      <w:r w:rsidR="00DF1B9F" w:rsidRPr="00F61C06">
        <w:rPr>
          <w:bCs/>
        </w:rPr>
        <w:t xml:space="preserve">en </w:t>
      </w:r>
      <w:r w:rsidR="00DD3532" w:rsidRPr="00F61C06">
        <w:rPr>
          <w:bCs/>
        </w:rPr>
        <w:t xml:space="preserve">frivillig </w:t>
      </w:r>
      <w:r w:rsidR="006E49DA" w:rsidRPr="00F61C06">
        <w:rPr>
          <w:bCs/>
        </w:rPr>
        <w:t>solvent likvidation</w:t>
      </w:r>
      <w:r w:rsidR="00640CCE" w:rsidRPr="00F61C06">
        <w:rPr>
          <w:bCs/>
        </w:rPr>
        <w:t xml:space="preserve">. </w:t>
      </w:r>
    </w:p>
    <w:p w14:paraId="3F55A34B" w14:textId="77777777" w:rsidR="003F0173" w:rsidRPr="00F61C06" w:rsidRDefault="003F0173" w:rsidP="0078129A">
      <w:pPr>
        <w:spacing w:line="288" w:lineRule="auto"/>
        <w:rPr>
          <w:bCs/>
        </w:rPr>
      </w:pPr>
    </w:p>
    <w:p w14:paraId="5366458B" w14:textId="3187DC4F" w:rsidR="00226B8E" w:rsidRPr="00763A99" w:rsidRDefault="00226B8E" w:rsidP="0078129A">
      <w:pPr>
        <w:spacing w:line="288" w:lineRule="auto"/>
        <w:rPr>
          <w:bCs/>
          <w:iCs/>
        </w:rPr>
      </w:pPr>
      <w:r w:rsidRPr="006316C9">
        <w:rPr>
          <w:bCs/>
          <w:iCs/>
        </w:rPr>
        <w:t>Gældende r</w:t>
      </w:r>
      <w:r w:rsidRPr="00763A99">
        <w:rPr>
          <w:bCs/>
          <w:iCs/>
        </w:rPr>
        <w:t>et</w:t>
      </w:r>
    </w:p>
    <w:p w14:paraId="1586C269" w14:textId="0D6A7FB0" w:rsidR="00DD3532" w:rsidRPr="00F61C06" w:rsidRDefault="003F0173" w:rsidP="0078129A">
      <w:pPr>
        <w:spacing w:line="288" w:lineRule="auto"/>
        <w:rPr>
          <w:bCs/>
        </w:rPr>
      </w:pPr>
      <w:r w:rsidRPr="00F61C06">
        <w:rPr>
          <w:bCs/>
        </w:rPr>
        <w:t>Efter § 8</w:t>
      </w:r>
      <w:r w:rsidR="00D15DC5" w:rsidRPr="00F61C06">
        <w:rPr>
          <w:bCs/>
        </w:rPr>
        <w:t>6, stk. 2</w:t>
      </w:r>
      <w:r w:rsidR="00245827" w:rsidRPr="00F61C06">
        <w:rPr>
          <w:bCs/>
        </w:rPr>
        <w:t>,</w:t>
      </w:r>
      <w:r w:rsidR="00D15DC5" w:rsidRPr="00F61C06">
        <w:rPr>
          <w:bCs/>
        </w:rPr>
        <w:t xml:space="preserve"> </w:t>
      </w:r>
      <w:r w:rsidRPr="00F61C06">
        <w:rPr>
          <w:bCs/>
        </w:rPr>
        <w:t xml:space="preserve">anses alle udlodninger </w:t>
      </w:r>
      <w:r w:rsidR="00A24CF2" w:rsidRPr="00F61C06">
        <w:rPr>
          <w:bCs/>
        </w:rPr>
        <w:t xml:space="preserve">fra </w:t>
      </w:r>
      <w:r w:rsidR="00D15DC5" w:rsidRPr="00F61C06">
        <w:rPr>
          <w:bCs/>
        </w:rPr>
        <w:t xml:space="preserve">et </w:t>
      </w:r>
      <w:r w:rsidR="00A24CF2" w:rsidRPr="00F61C06">
        <w:rPr>
          <w:bCs/>
        </w:rPr>
        <w:t xml:space="preserve">selskab til dets </w:t>
      </w:r>
      <w:r w:rsidRPr="00F61C06">
        <w:rPr>
          <w:bCs/>
        </w:rPr>
        <w:t xml:space="preserve">ejere </w:t>
      </w:r>
      <w:r w:rsidR="00A24CF2" w:rsidRPr="00F61C06">
        <w:rPr>
          <w:bCs/>
        </w:rPr>
        <w:t>for udbytteudbetalinger</w:t>
      </w:r>
      <w:r w:rsidRPr="00F61C06">
        <w:rPr>
          <w:bCs/>
        </w:rPr>
        <w:t xml:space="preserve"> bortset </w:t>
      </w:r>
      <w:r w:rsidR="00FD3E81" w:rsidRPr="00F61C06">
        <w:rPr>
          <w:bCs/>
        </w:rPr>
        <w:t>fra friakt</w:t>
      </w:r>
      <w:r w:rsidR="00870B10" w:rsidRPr="00F61C06">
        <w:rPr>
          <w:bCs/>
        </w:rPr>
        <w:t>i</w:t>
      </w:r>
      <w:r w:rsidR="00FD3E81" w:rsidRPr="00F61C06">
        <w:rPr>
          <w:bCs/>
        </w:rPr>
        <w:t xml:space="preserve">er og </w:t>
      </w:r>
      <w:r w:rsidRPr="00F61C06">
        <w:rPr>
          <w:bCs/>
        </w:rPr>
        <w:t>en udlodning af likvidationsprovenu i forbindelse med selskabets endelige opløsning.</w:t>
      </w:r>
    </w:p>
    <w:p w14:paraId="6DDCF29C" w14:textId="77777777" w:rsidR="00DD3532" w:rsidRPr="00F61C06" w:rsidRDefault="00DD3532" w:rsidP="0078129A">
      <w:pPr>
        <w:spacing w:line="288" w:lineRule="auto"/>
        <w:rPr>
          <w:bCs/>
        </w:rPr>
      </w:pPr>
    </w:p>
    <w:p w14:paraId="50543AEA" w14:textId="6F12D2ED" w:rsidR="00E77808" w:rsidRPr="00F61C06" w:rsidRDefault="00226B8E" w:rsidP="0078129A">
      <w:pPr>
        <w:spacing w:line="288" w:lineRule="auto"/>
        <w:rPr>
          <w:bCs/>
        </w:rPr>
      </w:pPr>
      <w:r w:rsidRPr="00F61C06">
        <w:rPr>
          <w:bCs/>
        </w:rPr>
        <w:t>Det medføre</w:t>
      </w:r>
      <w:r w:rsidR="00D15DC5" w:rsidRPr="00F61C06">
        <w:rPr>
          <w:bCs/>
        </w:rPr>
        <w:t>r</w:t>
      </w:r>
      <w:r w:rsidR="001B206C" w:rsidRPr="00F61C06">
        <w:rPr>
          <w:bCs/>
        </w:rPr>
        <w:t>,</w:t>
      </w:r>
      <w:r w:rsidRPr="00F61C06">
        <w:rPr>
          <w:bCs/>
        </w:rPr>
        <w:t xml:space="preserve"> at </w:t>
      </w:r>
      <w:r w:rsidR="000F164C" w:rsidRPr="00F61C06">
        <w:rPr>
          <w:bCs/>
        </w:rPr>
        <w:t xml:space="preserve">udlodninger </w:t>
      </w:r>
      <w:r w:rsidRPr="00F61C06">
        <w:rPr>
          <w:bCs/>
        </w:rPr>
        <w:t xml:space="preserve">fra selskabet til dets ejere som udgangspunkt beskattes med udbytteskatten. Det omfatter </w:t>
      </w:r>
      <w:r w:rsidR="00D15DC5" w:rsidRPr="00F61C06">
        <w:rPr>
          <w:bCs/>
        </w:rPr>
        <w:t xml:space="preserve">dog </w:t>
      </w:r>
      <w:r w:rsidRPr="00F61C06">
        <w:rPr>
          <w:bCs/>
        </w:rPr>
        <w:t xml:space="preserve">ikke </w:t>
      </w:r>
      <w:r w:rsidR="00974EFF" w:rsidRPr="00F61C06">
        <w:rPr>
          <w:bCs/>
        </w:rPr>
        <w:t xml:space="preserve">likvidationsprovenu, dvs. </w:t>
      </w:r>
      <w:r w:rsidRPr="00F61C06">
        <w:rPr>
          <w:bCs/>
        </w:rPr>
        <w:t xml:space="preserve"> udlodning</w:t>
      </w:r>
      <w:r w:rsidR="001B206C" w:rsidRPr="00F61C06">
        <w:rPr>
          <w:bCs/>
        </w:rPr>
        <w:t>,</w:t>
      </w:r>
      <w:r w:rsidRPr="00F61C06">
        <w:rPr>
          <w:bCs/>
        </w:rPr>
        <w:t xml:space="preserve"> </w:t>
      </w:r>
      <w:r w:rsidR="00DF1B9F" w:rsidRPr="00F61C06">
        <w:rPr>
          <w:bCs/>
        </w:rPr>
        <w:t xml:space="preserve">der finder sted </w:t>
      </w:r>
      <w:r w:rsidRPr="00F61C06">
        <w:rPr>
          <w:bCs/>
        </w:rPr>
        <w:t xml:space="preserve">ved endelig opløsning af </w:t>
      </w:r>
      <w:r w:rsidR="001B206C" w:rsidRPr="00F61C06">
        <w:rPr>
          <w:bCs/>
        </w:rPr>
        <w:t xml:space="preserve">et </w:t>
      </w:r>
      <w:r w:rsidRPr="00F61C06">
        <w:rPr>
          <w:bCs/>
        </w:rPr>
        <w:t>selskab.</w:t>
      </w:r>
      <w:r w:rsidR="00DD3532" w:rsidRPr="00F61C06">
        <w:rPr>
          <w:bCs/>
        </w:rPr>
        <w:t xml:space="preserve"> </w:t>
      </w:r>
    </w:p>
    <w:p w14:paraId="4A6500BE" w14:textId="7C8849AA" w:rsidR="00E77808" w:rsidRPr="00F61C06" w:rsidRDefault="00E77808" w:rsidP="0078129A">
      <w:pPr>
        <w:spacing w:line="288" w:lineRule="auto"/>
        <w:rPr>
          <w:bCs/>
        </w:rPr>
      </w:pPr>
    </w:p>
    <w:p w14:paraId="137EEAE2" w14:textId="643CD7AC" w:rsidR="00B95398" w:rsidRPr="00F61C06" w:rsidRDefault="00B95398" w:rsidP="0078129A">
      <w:pPr>
        <w:spacing w:line="288" w:lineRule="auto"/>
        <w:rPr>
          <w:bCs/>
        </w:rPr>
      </w:pPr>
      <w:r w:rsidRPr="00F61C06">
        <w:rPr>
          <w:bCs/>
        </w:rPr>
        <w:t xml:space="preserve">Fraværet af beskatning af likvidationsprovenu ved opløsning af et selskab muliggør, at projektselskaber i nogle tilfælde kan anvendes til at nedbringe skatten af et overskud i selskabet til selskabsskatten på 25 pct. Det kan opnås ved, at de skattepligtige udskyder realiseringen af overskuddet/gevinsten til selskabet endeligt opløses ved frivillig likvidation. Selskabsformen kan derved anvendes til at opnå en utilsigtet skattebesparelse. Hvis overskuddet i stedet blev udbetalt som udbytter fra en igangværende virksomhed, ville </w:t>
      </w:r>
      <w:r w:rsidR="00DA39DE" w:rsidRPr="00F61C06">
        <w:rPr>
          <w:bCs/>
        </w:rPr>
        <w:t>skatten udgøre</w:t>
      </w:r>
      <w:r w:rsidRPr="00F61C06">
        <w:rPr>
          <w:bCs/>
        </w:rPr>
        <w:t xml:space="preserve"> udbytteskat</w:t>
      </w:r>
      <w:r w:rsidR="00DA39DE" w:rsidRPr="00F61C06">
        <w:rPr>
          <w:bCs/>
        </w:rPr>
        <w:t xml:space="preserve">ten på </w:t>
      </w:r>
      <w:r w:rsidRPr="00F61C06">
        <w:rPr>
          <w:bCs/>
        </w:rPr>
        <w:t>42 - 44 pct., eller 36 pct. for selskaber</w:t>
      </w:r>
      <w:r w:rsidR="00DA39DE" w:rsidRPr="00F61C06">
        <w:rPr>
          <w:bCs/>
        </w:rPr>
        <w:t>,</w:t>
      </w:r>
      <w:r w:rsidRPr="00F61C06">
        <w:rPr>
          <w:bCs/>
        </w:rPr>
        <w:t xml:space="preserve"> der har skatte</w:t>
      </w:r>
      <w:r w:rsidR="00870B10" w:rsidRPr="00F61C06">
        <w:rPr>
          <w:bCs/>
        </w:rPr>
        <w:t>styrelsen</w:t>
      </w:r>
      <w:r w:rsidRPr="00F61C06">
        <w:rPr>
          <w:bCs/>
        </w:rPr>
        <w:t xml:space="preserve"> som skattekommune. </w:t>
      </w:r>
    </w:p>
    <w:p w14:paraId="7C9C5F31" w14:textId="77777777" w:rsidR="00B95398" w:rsidRPr="00F61C06" w:rsidRDefault="00B95398" w:rsidP="0078129A">
      <w:pPr>
        <w:spacing w:line="288" w:lineRule="auto"/>
        <w:rPr>
          <w:bCs/>
        </w:rPr>
      </w:pPr>
    </w:p>
    <w:p w14:paraId="1FDA5BC8" w14:textId="546EB335" w:rsidR="00322402" w:rsidRPr="00F61C06" w:rsidRDefault="00323406" w:rsidP="0078129A">
      <w:pPr>
        <w:spacing w:line="288" w:lineRule="auto"/>
        <w:rPr>
          <w:bCs/>
        </w:rPr>
      </w:pPr>
      <w:r w:rsidRPr="00F61C06">
        <w:rPr>
          <w:bCs/>
        </w:rPr>
        <w:lastRenderedPageBreak/>
        <w:t xml:space="preserve">Hvis </w:t>
      </w:r>
      <w:r w:rsidR="00F63053" w:rsidRPr="00F61C06">
        <w:rPr>
          <w:bCs/>
        </w:rPr>
        <w:t>udlodnings</w:t>
      </w:r>
      <w:r w:rsidRPr="00F61C06">
        <w:rPr>
          <w:bCs/>
        </w:rPr>
        <w:t>modtager er et andet</w:t>
      </w:r>
      <w:r w:rsidR="00DF3FE8" w:rsidRPr="00F61C06">
        <w:rPr>
          <w:bCs/>
        </w:rPr>
        <w:t xml:space="preserve"> grønlandsk</w:t>
      </w:r>
      <w:r w:rsidRPr="00F61C06">
        <w:rPr>
          <w:bCs/>
        </w:rPr>
        <w:t xml:space="preserve"> s</w:t>
      </w:r>
      <w:r w:rsidR="00D15DC5" w:rsidRPr="00F61C06">
        <w:rPr>
          <w:bCs/>
        </w:rPr>
        <w:t>elskab</w:t>
      </w:r>
      <w:r w:rsidR="00F63053" w:rsidRPr="00F61C06">
        <w:rPr>
          <w:bCs/>
        </w:rPr>
        <w:t>,</w:t>
      </w:r>
      <w:r w:rsidR="00D15DC5" w:rsidRPr="00F61C06">
        <w:rPr>
          <w:bCs/>
        </w:rPr>
        <w:t xml:space="preserve"> vil </w:t>
      </w:r>
      <w:r w:rsidR="00640CCE" w:rsidRPr="00F61C06">
        <w:rPr>
          <w:bCs/>
        </w:rPr>
        <w:t>selskab</w:t>
      </w:r>
      <w:r w:rsidR="00C70DC5" w:rsidRPr="00F61C06">
        <w:rPr>
          <w:bCs/>
        </w:rPr>
        <w:t>et</w:t>
      </w:r>
      <w:r w:rsidRPr="00F61C06">
        <w:rPr>
          <w:bCs/>
        </w:rPr>
        <w:t xml:space="preserve"> </w:t>
      </w:r>
      <w:r w:rsidR="001B206C" w:rsidRPr="00F61C06">
        <w:rPr>
          <w:bCs/>
        </w:rPr>
        <w:t xml:space="preserve">blive </w:t>
      </w:r>
      <w:r w:rsidR="00D15DC5" w:rsidRPr="00F61C06">
        <w:rPr>
          <w:bCs/>
        </w:rPr>
        <w:t>beskatte</w:t>
      </w:r>
      <w:r w:rsidR="001B206C" w:rsidRPr="00F61C06">
        <w:rPr>
          <w:bCs/>
        </w:rPr>
        <w:t>t</w:t>
      </w:r>
      <w:r w:rsidR="00D15DC5" w:rsidRPr="00F61C06">
        <w:rPr>
          <w:bCs/>
        </w:rPr>
        <w:t xml:space="preserve"> af et likvidationsprovenu efter </w:t>
      </w:r>
      <w:r w:rsidR="001B206C" w:rsidRPr="00F61C06">
        <w:rPr>
          <w:bCs/>
        </w:rPr>
        <w:t xml:space="preserve">lovens </w:t>
      </w:r>
      <w:r w:rsidR="00D15DC5" w:rsidRPr="00F61C06">
        <w:rPr>
          <w:bCs/>
        </w:rPr>
        <w:t>§ 16, stk. 2.</w:t>
      </w:r>
      <w:r w:rsidRPr="00F61C06">
        <w:rPr>
          <w:bCs/>
        </w:rPr>
        <w:t xml:space="preserve"> I </w:t>
      </w:r>
      <w:r w:rsidR="001B206C" w:rsidRPr="00F61C06">
        <w:rPr>
          <w:bCs/>
        </w:rPr>
        <w:t>sådanne situationer</w:t>
      </w:r>
      <w:r w:rsidRPr="00F61C06">
        <w:rPr>
          <w:bCs/>
        </w:rPr>
        <w:t xml:space="preserve"> beskattes selskabet af en </w:t>
      </w:r>
      <w:r w:rsidR="00F63053" w:rsidRPr="00F61C06">
        <w:rPr>
          <w:bCs/>
        </w:rPr>
        <w:t xml:space="preserve">eventuel </w:t>
      </w:r>
      <w:r w:rsidRPr="00F61C06">
        <w:rPr>
          <w:bCs/>
        </w:rPr>
        <w:t>gevinst, idet li</w:t>
      </w:r>
      <w:r w:rsidR="00F63053" w:rsidRPr="00F61C06">
        <w:rPr>
          <w:bCs/>
        </w:rPr>
        <w:t>kvidations</w:t>
      </w:r>
      <w:r w:rsidR="00974EFF" w:rsidRPr="00F61C06">
        <w:rPr>
          <w:bCs/>
        </w:rPr>
        <w:t>provenu</w:t>
      </w:r>
      <w:r w:rsidRPr="00F61C06">
        <w:rPr>
          <w:bCs/>
        </w:rPr>
        <w:t xml:space="preserve"> sidestilles med en afståelsessum</w:t>
      </w:r>
      <w:r w:rsidR="00F63053" w:rsidRPr="00F61C06">
        <w:rPr>
          <w:bCs/>
        </w:rPr>
        <w:t xml:space="preserve"> for de pågældende aktier eller anparter</w:t>
      </w:r>
      <w:r w:rsidR="00322402" w:rsidRPr="00F61C06">
        <w:rPr>
          <w:bCs/>
        </w:rPr>
        <w:t xml:space="preserve"> (kapitalandele)</w:t>
      </w:r>
      <w:r w:rsidRPr="00F61C06">
        <w:rPr>
          <w:bCs/>
        </w:rPr>
        <w:t>.</w:t>
      </w:r>
    </w:p>
    <w:p w14:paraId="16FFCA92" w14:textId="77777777" w:rsidR="00322402" w:rsidRPr="00F61C06" w:rsidRDefault="00322402" w:rsidP="0078129A">
      <w:pPr>
        <w:spacing w:line="288" w:lineRule="auto"/>
        <w:rPr>
          <w:bCs/>
        </w:rPr>
      </w:pPr>
    </w:p>
    <w:p w14:paraId="6E0AFE61" w14:textId="14E3A3D9" w:rsidR="00123BF1" w:rsidRPr="00F61C06" w:rsidRDefault="00123BF1" w:rsidP="0078129A">
      <w:pPr>
        <w:spacing w:line="288" w:lineRule="auto"/>
        <w:rPr>
          <w:bCs/>
        </w:rPr>
      </w:pPr>
      <w:r w:rsidRPr="00F61C06">
        <w:rPr>
          <w:bCs/>
        </w:rPr>
        <w:t>Kapitalejere, der er fysiske personer, er som udgangspunkt ikke skattepligtige af likvidations</w:t>
      </w:r>
      <w:r w:rsidR="00974EFF" w:rsidRPr="00F61C06">
        <w:rPr>
          <w:bCs/>
        </w:rPr>
        <w:t>provenu, fordi fysiske personer</w:t>
      </w:r>
      <w:r w:rsidRPr="00F61C06">
        <w:rPr>
          <w:bCs/>
        </w:rPr>
        <w:t xml:space="preserve"> </w:t>
      </w:r>
      <w:r w:rsidR="00A73A11" w:rsidRPr="00F61C06">
        <w:rPr>
          <w:bCs/>
        </w:rPr>
        <w:t xml:space="preserve">generelt </w:t>
      </w:r>
      <w:r w:rsidR="00152E1E" w:rsidRPr="00F61C06">
        <w:rPr>
          <w:bCs/>
        </w:rPr>
        <w:t xml:space="preserve">ikke </w:t>
      </w:r>
      <w:r w:rsidRPr="00F61C06">
        <w:rPr>
          <w:bCs/>
        </w:rPr>
        <w:t>beskat</w:t>
      </w:r>
      <w:r w:rsidR="00974EFF" w:rsidRPr="00F61C06">
        <w:rPr>
          <w:bCs/>
        </w:rPr>
        <w:t>tes</w:t>
      </w:r>
      <w:r w:rsidRPr="00F61C06">
        <w:rPr>
          <w:bCs/>
        </w:rPr>
        <w:t xml:space="preserve"> af gevinster fra salg af kapitalandele i selskaber (aktieavancebeskatning).</w:t>
      </w:r>
    </w:p>
    <w:p w14:paraId="36CDCA0C" w14:textId="77777777" w:rsidR="00123BF1" w:rsidRPr="00F61C06" w:rsidRDefault="00123BF1" w:rsidP="0078129A">
      <w:pPr>
        <w:spacing w:line="288" w:lineRule="auto"/>
        <w:rPr>
          <w:bCs/>
        </w:rPr>
      </w:pPr>
    </w:p>
    <w:p w14:paraId="0FCCFD1D" w14:textId="7C118123" w:rsidR="000C368C" w:rsidRPr="00F61C06" w:rsidRDefault="00123BF1" w:rsidP="0078129A">
      <w:pPr>
        <w:spacing w:line="288" w:lineRule="auto"/>
        <w:rPr>
          <w:bCs/>
        </w:rPr>
      </w:pPr>
      <w:r w:rsidRPr="00F61C06">
        <w:rPr>
          <w:bCs/>
        </w:rPr>
        <w:t>Fra dette udgangspunkt gælder nogle undtagelser</w:t>
      </w:r>
      <w:r w:rsidR="00A73A11" w:rsidRPr="00F61C06">
        <w:rPr>
          <w:bCs/>
        </w:rPr>
        <w:t>.</w:t>
      </w:r>
      <w:r w:rsidRPr="00F61C06">
        <w:rPr>
          <w:bCs/>
        </w:rPr>
        <w:t xml:space="preserve"> </w:t>
      </w:r>
      <w:r w:rsidR="00323406" w:rsidRPr="00F61C06">
        <w:rPr>
          <w:bCs/>
        </w:rPr>
        <w:t xml:space="preserve">Hvis </w:t>
      </w:r>
      <w:r w:rsidRPr="00F61C06">
        <w:rPr>
          <w:bCs/>
        </w:rPr>
        <w:t xml:space="preserve">kapitalejeren har </w:t>
      </w:r>
      <w:r w:rsidR="00D15DC5" w:rsidRPr="00F61C06">
        <w:rPr>
          <w:bCs/>
        </w:rPr>
        <w:t>erhvervet aktierne som led i næring eller spekulation</w:t>
      </w:r>
      <w:r w:rsidR="00A73A11" w:rsidRPr="00F61C06">
        <w:rPr>
          <w:bCs/>
        </w:rPr>
        <w:t>,</w:t>
      </w:r>
      <w:r w:rsidR="000D3C98" w:rsidRPr="00F61C06">
        <w:rPr>
          <w:bCs/>
        </w:rPr>
        <w:t xml:space="preserve"> </w:t>
      </w:r>
      <w:r w:rsidR="00323406" w:rsidRPr="00F61C06">
        <w:rPr>
          <w:bCs/>
        </w:rPr>
        <w:t xml:space="preserve">vil vedkommende </w:t>
      </w:r>
      <w:r w:rsidR="00152E1E" w:rsidRPr="00F61C06">
        <w:rPr>
          <w:bCs/>
        </w:rPr>
        <w:t xml:space="preserve">dog </w:t>
      </w:r>
      <w:r w:rsidR="00D15DC5" w:rsidRPr="00F61C06">
        <w:rPr>
          <w:bCs/>
        </w:rPr>
        <w:t>være skattepligtig af en gevinst</w:t>
      </w:r>
      <w:r w:rsidR="007C1D17" w:rsidRPr="00F61C06">
        <w:rPr>
          <w:bCs/>
        </w:rPr>
        <w:t xml:space="preserve"> </w:t>
      </w:r>
      <w:r w:rsidRPr="00F61C06">
        <w:rPr>
          <w:bCs/>
        </w:rPr>
        <w:t xml:space="preserve">og have fradrag for </w:t>
      </w:r>
      <w:r w:rsidR="000C368C" w:rsidRPr="00F61C06">
        <w:rPr>
          <w:bCs/>
        </w:rPr>
        <w:t xml:space="preserve">et eventuelt </w:t>
      </w:r>
      <w:r w:rsidRPr="00F61C06">
        <w:rPr>
          <w:bCs/>
        </w:rPr>
        <w:t xml:space="preserve">tab, </w:t>
      </w:r>
      <w:r w:rsidR="007C1D17" w:rsidRPr="00F61C06">
        <w:rPr>
          <w:bCs/>
        </w:rPr>
        <w:t>jf. § 34, stk. 1, nr. 2</w:t>
      </w:r>
      <w:r w:rsidR="000C368C" w:rsidRPr="00F61C06">
        <w:rPr>
          <w:bCs/>
        </w:rPr>
        <w:t xml:space="preserve">. </w:t>
      </w:r>
    </w:p>
    <w:p w14:paraId="4616F157" w14:textId="77777777" w:rsidR="00A73A11" w:rsidRPr="00F61C06" w:rsidRDefault="00A73A11" w:rsidP="0078129A">
      <w:pPr>
        <w:spacing w:line="288" w:lineRule="auto"/>
        <w:rPr>
          <w:bCs/>
        </w:rPr>
      </w:pPr>
    </w:p>
    <w:p w14:paraId="79356C18" w14:textId="15D9A50A" w:rsidR="00F63053" w:rsidRPr="00F61C06" w:rsidRDefault="00322402" w:rsidP="0078129A">
      <w:pPr>
        <w:spacing w:line="288" w:lineRule="auto"/>
        <w:rPr>
          <w:bCs/>
        </w:rPr>
      </w:pPr>
      <w:r w:rsidRPr="00F61C06">
        <w:rPr>
          <w:bCs/>
        </w:rPr>
        <w:t xml:space="preserve">Desuden </w:t>
      </w:r>
      <w:r w:rsidR="00152E1E" w:rsidRPr="00F61C06">
        <w:rPr>
          <w:bCs/>
        </w:rPr>
        <w:t xml:space="preserve">udbyttebeskattes </w:t>
      </w:r>
      <w:r w:rsidR="00F63053" w:rsidRPr="00F61C06">
        <w:rPr>
          <w:bCs/>
        </w:rPr>
        <w:t>likvidations</w:t>
      </w:r>
      <w:r w:rsidR="006418E5" w:rsidRPr="00F61C06">
        <w:rPr>
          <w:bCs/>
        </w:rPr>
        <w:t>provenu</w:t>
      </w:r>
      <w:r w:rsidR="00F63053" w:rsidRPr="00F61C06">
        <w:rPr>
          <w:bCs/>
        </w:rPr>
        <w:t xml:space="preserve">, såfremt </w:t>
      </w:r>
      <w:r w:rsidR="00DD3532" w:rsidRPr="00F61C06">
        <w:rPr>
          <w:bCs/>
        </w:rPr>
        <w:t xml:space="preserve">udlodningen sker til </w:t>
      </w:r>
      <w:r w:rsidR="00F63053" w:rsidRPr="00F61C06">
        <w:rPr>
          <w:bCs/>
        </w:rPr>
        <w:t xml:space="preserve">en hovedaktionær, der før likvidationen har solgt aktiver </w:t>
      </w:r>
      <w:r w:rsidR="00C70DC5" w:rsidRPr="00F61C06">
        <w:rPr>
          <w:bCs/>
        </w:rPr>
        <w:t xml:space="preserve">fra selskabet </w:t>
      </w:r>
      <w:r w:rsidR="00F63053" w:rsidRPr="00F61C06">
        <w:rPr>
          <w:bCs/>
        </w:rPr>
        <w:t>over i et andet selskab</w:t>
      </w:r>
      <w:r w:rsidR="000D3C98" w:rsidRPr="00F61C06">
        <w:rPr>
          <w:bCs/>
        </w:rPr>
        <w:t>, som vedkommende også ejer</w:t>
      </w:r>
      <w:r w:rsidR="00F63053" w:rsidRPr="00F61C06">
        <w:rPr>
          <w:bCs/>
        </w:rPr>
        <w:t xml:space="preserve">, jf. § 86, stk. 2. Der er tale om en </w:t>
      </w:r>
      <w:proofErr w:type="spellStart"/>
      <w:r w:rsidR="00F63053" w:rsidRPr="00F61C06">
        <w:rPr>
          <w:bCs/>
        </w:rPr>
        <w:t>værnsregel</w:t>
      </w:r>
      <w:proofErr w:type="spellEnd"/>
      <w:r w:rsidR="00152E1E" w:rsidRPr="00F61C06">
        <w:rPr>
          <w:bCs/>
        </w:rPr>
        <w:t xml:space="preserve"> for at </w:t>
      </w:r>
      <w:r w:rsidR="00F63053" w:rsidRPr="00F61C06">
        <w:rPr>
          <w:bCs/>
        </w:rPr>
        <w:t>imødegå spekulation</w:t>
      </w:r>
      <w:r w:rsidR="00DD3532" w:rsidRPr="00F61C06">
        <w:rPr>
          <w:bCs/>
        </w:rPr>
        <w:t xml:space="preserve"> i </w:t>
      </w:r>
      <w:r w:rsidR="000D3C98" w:rsidRPr="00F61C06">
        <w:rPr>
          <w:bCs/>
        </w:rPr>
        <w:t xml:space="preserve">overførsel af aktiver </w:t>
      </w:r>
      <w:r w:rsidR="00F63053" w:rsidRPr="00F61C06">
        <w:rPr>
          <w:bCs/>
        </w:rPr>
        <w:t>mellem selskaber, der kontrollere</w:t>
      </w:r>
      <w:r w:rsidR="00152E1E" w:rsidRPr="00F61C06">
        <w:rPr>
          <w:bCs/>
        </w:rPr>
        <w:t>s</w:t>
      </w:r>
      <w:r w:rsidR="00F63053" w:rsidRPr="00F61C06">
        <w:rPr>
          <w:bCs/>
        </w:rPr>
        <w:t xml:space="preserve"> af </w:t>
      </w:r>
      <w:r w:rsidR="00DF1B9F" w:rsidRPr="00F61C06">
        <w:rPr>
          <w:bCs/>
        </w:rPr>
        <w:t xml:space="preserve">samme </w:t>
      </w:r>
      <w:r w:rsidR="00F63053" w:rsidRPr="00F61C06">
        <w:rPr>
          <w:bCs/>
        </w:rPr>
        <w:t>hovedaktionær.</w:t>
      </w:r>
    </w:p>
    <w:p w14:paraId="3ABD5211" w14:textId="77777777" w:rsidR="00361B1D" w:rsidRPr="00F61C06" w:rsidRDefault="00361B1D" w:rsidP="0078129A">
      <w:pPr>
        <w:spacing w:line="288" w:lineRule="auto"/>
        <w:rPr>
          <w:bCs/>
        </w:rPr>
      </w:pPr>
    </w:p>
    <w:p w14:paraId="0C022E5F" w14:textId="2D9FE797" w:rsidR="00D15DC5" w:rsidRPr="00763A99" w:rsidRDefault="00D15DC5" w:rsidP="0078129A">
      <w:pPr>
        <w:spacing w:line="288" w:lineRule="auto"/>
        <w:rPr>
          <w:bCs/>
          <w:iCs/>
        </w:rPr>
      </w:pPr>
      <w:r w:rsidRPr="00763A99">
        <w:rPr>
          <w:bCs/>
          <w:iCs/>
        </w:rPr>
        <w:t>Forslaget</w:t>
      </w:r>
    </w:p>
    <w:p w14:paraId="4AB99DF8" w14:textId="25B442AC" w:rsidR="004602C5" w:rsidRPr="00F61C06" w:rsidRDefault="00323406" w:rsidP="0078129A">
      <w:pPr>
        <w:spacing w:line="288" w:lineRule="auto"/>
        <w:rPr>
          <w:bCs/>
        </w:rPr>
      </w:pPr>
      <w:r w:rsidRPr="00F61C06">
        <w:rPr>
          <w:bCs/>
        </w:rPr>
        <w:t>Det foreslås</w:t>
      </w:r>
      <w:r w:rsidR="00DA39DE" w:rsidRPr="00F61C06">
        <w:rPr>
          <w:bCs/>
        </w:rPr>
        <w:t>,</w:t>
      </w:r>
      <w:r w:rsidRPr="00F61C06">
        <w:rPr>
          <w:bCs/>
        </w:rPr>
        <w:t xml:space="preserve"> at </w:t>
      </w:r>
      <w:r w:rsidR="00027BD0" w:rsidRPr="00F61C06">
        <w:rPr>
          <w:bCs/>
        </w:rPr>
        <w:t xml:space="preserve">fysiske personer </w:t>
      </w:r>
      <w:r w:rsidR="006418E5" w:rsidRPr="00F61C06">
        <w:rPr>
          <w:bCs/>
        </w:rPr>
        <w:t xml:space="preserve">generelt </w:t>
      </w:r>
      <w:r w:rsidR="00027BD0" w:rsidRPr="00F61C06">
        <w:rPr>
          <w:bCs/>
        </w:rPr>
        <w:t xml:space="preserve">gøres skattepligtige af </w:t>
      </w:r>
      <w:r w:rsidR="00DD3532" w:rsidRPr="00F61C06">
        <w:rPr>
          <w:bCs/>
        </w:rPr>
        <w:t>likvidations</w:t>
      </w:r>
      <w:r w:rsidR="006418E5" w:rsidRPr="00F61C06">
        <w:rPr>
          <w:bCs/>
        </w:rPr>
        <w:t>provenu</w:t>
      </w:r>
      <w:r w:rsidR="00027BD0" w:rsidRPr="00F61C06">
        <w:rPr>
          <w:bCs/>
        </w:rPr>
        <w:t>.</w:t>
      </w:r>
      <w:r w:rsidR="00D67905" w:rsidRPr="00F61C06">
        <w:rPr>
          <w:bCs/>
        </w:rPr>
        <w:t xml:space="preserve"> </w:t>
      </w:r>
      <w:r w:rsidR="004602C5" w:rsidRPr="00F61C06">
        <w:rPr>
          <w:bCs/>
        </w:rPr>
        <w:t xml:space="preserve">Bestemmelsen omfatter </w:t>
      </w:r>
      <w:r w:rsidR="006418E5" w:rsidRPr="00F61C06">
        <w:rPr>
          <w:bCs/>
        </w:rPr>
        <w:t>fysiske</w:t>
      </w:r>
      <w:r w:rsidR="007C1D17" w:rsidRPr="00F61C06">
        <w:rPr>
          <w:bCs/>
        </w:rPr>
        <w:t xml:space="preserve"> </w:t>
      </w:r>
      <w:r w:rsidR="004602C5" w:rsidRPr="00F61C06">
        <w:rPr>
          <w:bCs/>
        </w:rPr>
        <w:t xml:space="preserve">personer, der har erhvervet kapitalandele </w:t>
      </w:r>
      <w:r w:rsidR="007C1D17" w:rsidRPr="00F61C06">
        <w:rPr>
          <w:bCs/>
        </w:rPr>
        <w:t xml:space="preserve">som led i </w:t>
      </w:r>
      <w:r w:rsidR="004602C5" w:rsidRPr="00F61C06">
        <w:rPr>
          <w:bCs/>
        </w:rPr>
        <w:t>næring eller spekulation</w:t>
      </w:r>
      <w:r w:rsidR="00FB6798" w:rsidRPr="00F61C06">
        <w:rPr>
          <w:bCs/>
        </w:rPr>
        <w:t xml:space="preserve">. Bestemmelsen </w:t>
      </w:r>
      <w:r w:rsidR="004602C5" w:rsidRPr="00F61C06">
        <w:rPr>
          <w:bCs/>
        </w:rPr>
        <w:t xml:space="preserve">omfatter </w:t>
      </w:r>
      <w:r w:rsidR="00FB6798" w:rsidRPr="00F61C06">
        <w:rPr>
          <w:bCs/>
        </w:rPr>
        <w:t xml:space="preserve">dog </w:t>
      </w:r>
      <w:r w:rsidR="0044063F" w:rsidRPr="00F61C06">
        <w:rPr>
          <w:bCs/>
        </w:rPr>
        <w:t xml:space="preserve">ikke </w:t>
      </w:r>
      <w:r w:rsidR="00C4295C" w:rsidRPr="00F61C06">
        <w:rPr>
          <w:bCs/>
        </w:rPr>
        <w:t>de hovedaktionærer</w:t>
      </w:r>
      <w:r w:rsidR="00C70DC5" w:rsidRPr="00F61C06">
        <w:rPr>
          <w:bCs/>
        </w:rPr>
        <w:t>,</w:t>
      </w:r>
      <w:r w:rsidR="0044063F" w:rsidRPr="00F61C06">
        <w:rPr>
          <w:bCs/>
        </w:rPr>
        <w:t xml:space="preserve"> der </w:t>
      </w:r>
      <w:r w:rsidR="006418E5" w:rsidRPr="00F61C06">
        <w:rPr>
          <w:bCs/>
        </w:rPr>
        <w:t xml:space="preserve">allerede </w:t>
      </w:r>
      <w:r w:rsidR="0044063F" w:rsidRPr="00F61C06">
        <w:rPr>
          <w:bCs/>
        </w:rPr>
        <w:t xml:space="preserve">omfattes af </w:t>
      </w:r>
      <w:r w:rsidR="004602C5" w:rsidRPr="00F61C06">
        <w:rPr>
          <w:bCs/>
        </w:rPr>
        <w:t>§ 86, stk. 2</w:t>
      </w:r>
      <w:r w:rsidR="00D67905" w:rsidRPr="00F61C06">
        <w:rPr>
          <w:bCs/>
        </w:rPr>
        <w:t>, som omtalt ovenfor</w:t>
      </w:r>
      <w:r w:rsidR="004602C5" w:rsidRPr="00F61C06">
        <w:rPr>
          <w:bCs/>
        </w:rPr>
        <w:t xml:space="preserve">. </w:t>
      </w:r>
    </w:p>
    <w:p w14:paraId="4DEE1A6B" w14:textId="77777777" w:rsidR="00BE3072" w:rsidRPr="00F61C06" w:rsidRDefault="00BE3072" w:rsidP="0078129A">
      <w:pPr>
        <w:spacing w:line="288" w:lineRule="auto"/>
        <w:rPr>
          <w:bCs/>
        </w:rPr>
      </w:pPr>
    </w:p>
    <w:p w14:paraId="42786738" w14:textId="54C6A891" w:rsidR="00C4295C" w:rsidRPr="00F61C06" w:rsidRDefault="001E2D44" w:rsidP="0078129A">
      <w:pPr>
        <w:spacing w:line="288" w:lineRule="auto"/>
        <w:rPr>
          <w:bCs/>
        </w:rPr>
      </w:pPr>
      <w:r w:rsidRPr="00F61C06">
        <w:rPr>
          <w:bCs/>
        </w:rPr>
        <w:t>Det foreslås</w:t>
      </w:r>
      <w:r w:rsidR="00850348" w:rsidRPr="00F61C06">
        <w:rPr>
          <w:bCs/>
        </w:rPr>
        <w:t>,</w:t>
      </w:r>
      <w:r w:rsidRPr="00F61C06">
        <w:rPr>
          <w:bCs/>
        </w:rPr>
        <w:t xml:space="preserve"> a</w:t>
      </w:r>
      <w:r w:rsidR="00A73A11" w:rsidRPr="00F61C06">
        <w:rPr>
          <w:bCs/>
        </w:rPr>
        <w:t>t</w:t>
      </w:r>
      <w:r w:rsidRPr="00F61C06">
        <w:rPr>
          <w:bCs/>
        </w:rPr>
        <w:t xml:space="preserve"> b</w:t>
      </w:r>
      <w:r w:rsidR="0044063F" w:rsidRPr="00F61C06">
        <w:rPr>
          <w:bCs/>
        </w:rPr>
        <w:t xml:space="preserve">eskatningen </w:t>
      </w:r>
      <w:r w:rsidR="007C1D17" w:rsidRPr="00F61C06">
        <w:rPr>
          <w:bCs/>
        </w:rPr>
        <w:t>af likvidations</w:t>
      </w:r>
      <w:r w:rsidR="006418E5" w:rsidRPr="00F61C06">
        <w:rPr>
          <w:bCs/>
        </w:rPr>
        <w:t>provenu</w:t>
      </w:r>
      <w:r w:rsidR="007C1D17" w:rsidRPr="00F61C06">
        <w:rPr>
          <w:bCs/>
        </w:rPr>
        <w:t xml:space="preserve"> </w:t>
      </w:r>
      <w:r w:rsidR="00E77808" w:rsidRPr="00F61C06">
        <w:rPr>
          <w:bCs/>
        </w:rPr>
        <w:t xml:space="preserve">skal </w:t>
      </w:r>
      <w:r w:rsidR="00DF3FE8" w:rsidRPr="00F61C06">
        <w:rPr>
          <w:bCs/>
        </w:rPr>
        <w:t xml:space="preserve">ske </w:t>
      </w:r>
      <w:r w:rsidR="00F54530" w:rsidRPr="00F61C06">
        <w:rPr>
          <w:bCs/>
        </w:rPr>
        <w:t>af</w:t>
      </w:r>
      <w:r w:rsidR="00DF3FE8" w:rsidRPr="00F61C06">
        <w:rPr>
          <w:bCs/>
        </w:rPr>
        <w:t xml:space="preserve"> den gevinst</w:t>
      </w:r>
      <w:r w:rsidR="009956EF" w:rsidRPr="00F61C06">
        <w:rPr>
          <w:bCs/>
        </w:rPr>
        <w:t>,</w:t>
      </w:r>
      <w:r w:rsidR="00DF3FE8" w:rsidRPr="00F61C06">
        <w:rPr>
          <w:bCs/>
        </w:rPr>
        <w:t xml:space="preserve"> den </w:t>
      </w:r>
      <w:r w:rsidR="0044063F" w:rsidRPr="00F61C06">
        <w:rPr>
          <w:bCs/>
        </w:rPr>
        <w:t>skattepligtig</w:t>
      </w:r>
      <w:r w:rsidR="00745EC0" w:rsidRPr="00F61C06">
        <w:rPr>
          <w:bCs/>
        </w:rPr>
        <w:t>e</w:t>
      </w:r>
      <w:r w:rsidR="0044063F" w:rsidRPr="00F61C06">
        <w:rPr>
          <w:bCs/>
        </w:rPr>
        <w:t xml:space="preserve"> opnår</w:t>
      </w:r>
      <w:r w:rsidR="00E77808" w:rsidRPr="00F61C06">
        <w:rPr>
          <w:bCs/>
        </w:rPr>
        <w:t xml:space="preserve"> </w:t>
      </w:r>
      <w:r w:rsidR="00DF3FE8" w:rsidRPr="00F61C06">
        <w:rPr>
          <w:bCs/>
        </w:rPr>
        <w:t xml:space="preserve">ved </w:t>
      </w:r>
      <w:r w:rsidR="00E77808" w:rsidRPr="00F61C06">
        <w:rPr>
          <w:bCs/>
        </w:rPr>
        <w:t>udlodningen</w:t>
      </w:r>
      <w:r w:rsidR="0044063F" w:rsidRPr="00F61C06">
        <w:rPr>
          <w:bCs/>
        </w:rPr>
        <w:t xml:space="preserve">. </w:t>
      </w:r>
      <w:r w:rsidR="00D67905" w:rsidRPr="00F61C06">
        <w:rPr>
          <w:bCs/>
        </w:rPr>
        <w:t>Hvis den skattepligtige ikke har en gevinst</w:t>
      </w:r>
      <w:r w:rsidRPr="00F61C06">
        <w:rPr>
          <w:bCs/>
        </w:rPr>
        <w:t>,</w:t>
      </w:r>
      <w:r w:rsidR="00DF3FE8" w:rsidRPr="00F61C06">
        <w:rPr>
          <w:bCs/>
        </w:rPr>
        <w:t xml:space="preserve"> </w:t>
      </w:r>
      <w:r w:rsidRPr="00F61C06">
        <w:rPr>
          <w:bCs/>
        </w:rPr>
        <w:t>eksempelvis fordi kapitalandelene i selskabet er erhvervet for mere end udbytteudlodningen</w:t>
      </w:r>
      <w:r w:rsidR="00745EC0" w:rsidRPr="00F61C06">
        <w:rPr>
          <w:bCs/>
        </w:rPr>
        <w:t xml:space="preserve"> ved likvidationen</w:t>
      </w:r>
      <w:r w:rsidRPr="00F61C06">
        <w:rPr>
          <w:bCs/>
        </w:rPr>
        <w:t xml:space="preserve">, </w:t>
      </w:r>
      <w:r w:rsidR="00D67905" w:rsidRPr="00F61C06">
        <w:rPr>
          <w:bCs/>
        </w:rPr>
        <w:t>skal der således ikke ske en beskatning.</w:t>
      </w:r>
    </w:p>
    <w:p w14:paraId="201C9BD9" w14:textId="77777777" w:rsidR="00DF3FE8" w:rsidRPr="00F61C06" w:rsidRDefault="00DF3FE8" w:rsidP="0078129A">
      <w:pPr>
        <w:spacing w:line="288" w:lineRule="auto"/>
        <w:rPr>
          <w:bCs/>
        </w:rPr>
      </w:pPr>
    </w:p>
    <w:p w14:paraId="2626F7A8" w14:textId="0D2ABF39" w:rsidR="008B6153" w:rsidRPr="00F61C06" w:rsidRDefault="007C1D17" w:rsidP="0078129A">
      <w:pPr>
        <w:spacing w:line="288" w:lineRule="auto"/>
        <w:rPr>
          <w:bCs/>
        </w:rPr>
      </w:pPr>
      <w:r w:rsidRPr="00F61C06">
        <w:rPr>
          <w:bCs/>
        </w:rPr>
        <w:t xml:space="preserve">Niveaumæssigt skal </w:t>
      </w:r>
      <w:r w:rsidR="00F54530" w:rsidRPr="00F61C06">
        <w:rPr>
          <w:bCs/>
        </w:rPr>
        <w:t xml:space="preserve">et </w:t>
      </w:r>
      <w:r w:rsidR="001E4159" w:rsidRPr="00F61C06">
        <w:rPr>
          <w:bCs/>
        </w:rPr>
        <w:t>likvidations</w:t>
      </w:r>
      <w:r w:rsidR="00F54530" w:rsidRPr="00F61C06">
        <w:rPr>
          <w:bCs/>
        </w:rPr>
        <w:t>provenu</w:t>
      </w:r>
      <w:r w:rsidR="001E4159" w:rsidRPr="00F61C06">
        <w:rPr>
          <w:bCs/>
        </w:rPr>
        <w:t xml:space="preserve"> </w:t>
      </w:r>
      <w:r w:rsidR="00E9292C" w:rsidRPr="00F61C06">
        <w:rPr>
          <w:bCs/>
        </w:rPr>
        <w:t xml:space="preserve">så vidt muligt </w:t>
      </w:r>
      <w:r w:rsidR="001E4159" w:rsidRPr="00F61C06">
        <w:rPr>
          <w:bCs/>
        </w:rPr>
        <w:t>svare til udbytte</w:t>
      </w:r>
      <w:r w:rsidR="00F54530" w:rsidRPr="00F61C06">
        <w:rPr>
          <w:bCs/>
        </w:rPr>
        <w:t>skatten</w:t>
      </w:r>
      <w:r w:rsidR="00CA1FEC" w:rsidRPr="00F61C06">
        <w:rPr>
          <w:bCs/>
        </w:rPr>
        <w:t>,</w:t>
      </w:r>
      <w:r w:rsidR="009956EF" w:rsidRPr="00F61C06">
        <w:rPr>
          <w:bCs/>
        </w:rPr>
        <w:t xml:space="preserve"> </w:t>
      </w:r>
      <w:r w:rsidR="00361B1D" w:rsidRPr="00F61C06">
        <w:rPr>
          <w:bCs/>
        </w:rPr>
        <w:t xml:space="preserve">og </w:t>
      </w:r>
      <w:r w:rsidR="00C4295C" w:rsidRPr="00F61C06">
        <w:rPr>
          <w:bCs/>
        </w:rPr>
        <w:t xml:space="preserve">den skal </w:t>
      </w:r>
      <w:r w:rsidR="001E2D44" w:rsidRPr="00F61C06">
        <w:rPr>
          <w:bCs/>
        </w:rPr>
        <w:t xml:space="preserve">derfor også </w:t>
      </w:r>
      <w:r w:rsidR="00984280" w:rsidRPr="00F61C06">
        <w:rPr>
          <w:bCs/>
        </w:rPr>
        <w:t xml:space="preserve">så vidt muligt ikke overstige denne. </w:t>
      </w:r>
      <w:r w:rsidR="00E9292C" w:rsidRPr="00F61C06">
        <w:rPr>
          <w:bCs/>
        </w:rPr>
        <w:t>For at opnå dette skal der tages hensyn til selskabsbeskatning</w:t>
      </w:r>
      <w:r w:rsidR="008B6153" w:rsidRPr="00F61C06">
        <w:rPr>
          <w:bCs/>
        </w:rPr>
        <w:t>en</w:t>
      </w:r>
      <w:r w:rsidR="00E9292C" w:rsidRPr="00F61C06">
        <w:rPr>
          <w:bCs/>
        </w:rPr>
        <w:t xml:space="preserve">. </w:t>
      </w:r>
      <w:r w:rsidR="003F71F1" w:rsidRPr="00F61C06">
        <w:rPr>
          <w:bCs/>
        </w:rPr>
        <w:t>Det</w:t>
      </w:r>
      <w:r w:rsidR="008B6153" w:rsidRPr="00F61C06">
        <w:rPr>
          <w:bCs/>
        </w:rPr>
        <w:t xml:space="preserve"> skyldes,</w:t>
      </w:r>
      <w:r w:rsidR="003F71F1" w:rsidRPr="00F61C06">
        <w:rPr>
          <w:bCs/>
        </w:rPr>
        <w:t xml:space="preserve"> at </w:t>
      </w:r>
      <w:r w:rsidR="001A5A89" w:rsidRPr="00F61C06">
        <w:rPr>
          <w:bCs/>
        </w:rPr>
        <w:t xml:space="preserve">størrelsen af </w:t>
      </w:r>
      <w:r w:rsidR="003F71F1" w:rsidRPr="00F61C06">
        <w:rPr>
          <w:bCs/>
        </w:rPr>
        <w:t>likvidations</w:t>
      </w:r>
      <w:r w:rsidR="008B6153" w:rsidRPr="00F61C06">
        <w:rPr>
          <w:bCs/>
        </w:rPr>
        <w:t>provenuet</w:t>
      </w:r>
      <w:r w:rsidR="00984280" w:rsidRPr="00F61C06">
        <w:rPr>
          <w:bCs/>
        </w:rPr>
        <w:t xml:space="preserve"> </w:t>
      </w:r>
      <w:r w:rsidR="008B6153" w:rsidRPr="00F61C06">
        <w:rPr>
          <w:bCs/>
        </w:rPr>
        <w:t>hænger samme</w:t>
      </w:r>
      <w:r w:rsidR="009956EF" w:rsidRPr="00F61C06">
        <w:rPr>
          <w:bCs/>
        </w:rPr>
        <w:t>n</w:t>
      </w:r>
      <w:r w:rsidR="008B6153" w:rsidRPr="00F61C06">
        <w:rPr>
          <w:bCs/>
        </w:rPr>
        <w:t xml:space="preserve"> med</w:t>
      </w:r>
      <w:r w:rsidR="001E4159" w:rsidRPr="00F61C06">
        <w:rPr>
          <w:bCs/>
        </w:rPr>
        <w:t xml:space="preserve"> selskabets evne til at genere</w:t>
      </w:r>
      <w:r w:rsidR="00E9292C" w:rsidRPr="00F61C06">
        <w:rPr>
          <w:bCs/>
        </w:rPr>
        <w:t>re</w:t>
      </w:r>
      <w:r w:rsidR="001E4159" w:rsidRPr="00F61C06">
        <w:rPr>
          <w:bCs/>
        </w:rPr>
        <w:t xml:space="preserve"> overskud</w:t>
      </w:r>
      <w:r w:rsidR="00984280" w:rsidRPr="00F61C06">
        <w:rPr>
          <w:bCs/>
        </w:rPr>
        <w:t>,</w:t>
      </w:r>
      <w:r w:rsidR="00E9292C" w:rsidRPr="00F61C06">
        <w:rPr>
          <w:bCs/>
        </w:rPr>
        <w:t xml:space="preserve"> eller </w:t>
      </w:r>
      <w:r w:rsidR="00D80857" w:rsidRPr="00F61C06">
        <w:rPr>
          <w:bCs/>
        </w:rPr>
        <w:t>fri likviditet</w:t>
      </w:r>
      <w:r w:rsidR="00664991" w:rsidRPr="00F61C06">
        <w:rPr>
          <w:bCs/>
        </w:rPr>
        <w:t>,</w:t>
      </w:r>
      <w:r w:rsidR="00D80857" w:rsidRPr="00F61C06">
        <w:rPr>
          <w:bCs/>
        </w:rPr>
        <w:t xml:space="preserve"> og d</w:t>
      </w:r>
      <w:r w:rsidR="00E9292C" w:rsidRPr="00F61C06">
        <w:rPr>
          <w:bCs/>
        </w:rPr>
        <w:t>e</w:t>
      </w:r>
      <w:r w:rsidR="00745EC0" w:rsidRPr="00F61C06">
        <w:rPr>
          <w:bCs/>
        </w:rPr>
        <w:t>t</w:t>
      </w:r>
      <w:r w:rsidR="001E4159" w:rsidRPr="00F61C06">
        <w:rPr>
          <w:bCs/>
        </w:rPr>
        <w:t xml:space="preserve"> akkumulere</w:t>
      </w:r>
      <w:r w:rsidR="00E9292C" w:rsidRPr="00F61C06">
        <w:rPr>
          <w:bCs/>
        </w:rPr>
        <w:t>de</w:t>
      </w:r>
      <w:r w:rsidR="001E4159" w:rsidRPr="00F61C06">
        <w:rPr>
          <w:bCs/>
        </w:rPr>
        <w:t xml:space="preserve"> overskud</w:t>
      </w:r>
      <w:r w:rsidR="00984280" w:rsidRPr="00F61C06">
        <w:rPr>
          <w:bCs/>
        </w:rPr>
        <w:t xml:space="preserve"> </w:t>
      </w:r>
      <w:r w:rsidR="008B6153" w:rsidRPr="00F61C06">
        <w:rPr>
          <w:bCs/>
        </w:rPr>
        <w:t xml:space="preserve">er allerede </w:t>
      </w:r>
      <w:r w:rsidR="001E4159" w:rsidRPr="00F61C06">
        <w:rPr>
          <w:bCs/>
        </w:rPr>
        <w:t>beskattet i selskabet</w:t>
      </w:r>
      <w:r w:rsidR="00984280" w:rsidRPr="00F61C06">
        <w:rPr>
          <w:bCs/>
        </w:rPr>
        <w:t xml:space="preserve"> med selskabsskatten</w:t>
      </w:r>
      <w:r w:rsidR="0044063F" w:rsidRPr="00F61C06">
        <w:rPr>
          <w:bCs/>
        </w:rPr>
        <w:t>.</w:t>
      </w:r>
      <w:r w:rsidR="00E9292C" w:rsidRPr="00F61C06">
        <w:rPr>
          <w:bCs/>
        </w:rPr>
        <w:t xml:space="preserve"> </w:t>
      </w:r>
    </w:p>
    <w:p w14:paraId="2D58753D" w14:textId="77777777" w:rsidR="00BE3072" w:rsidRPr="00F61C06" w:rsidRDefault="00BE3072" w:rsidP="0078129A">
      <w:pPr>
        <w:spacing w:line="288" w:lineRule="auto"/>
        <w:rPr>
          <w:bCs/>
        </w:rPr>
      </w:pPr>
    </w:p>
    <w:p w14:paraId="35967D6D" w14:textId="082096EF" w:rsidR="0044063F" w:rsidRPr="00F61C06" w:rsidRDefault="00FC70EB" w:rsidP="0078129A">
      <w:pPr>
        <w:spacing w:line="288" w:lineRule="auto"/>
        <w:rPr>
          <w:bCs/>
        </w:rPr>
      </w:pPr>
      <w:r w:rsidRPr="00F61C06">
        <w:rPr>
          <w:bCs/>
        </w:rPr>
        <w:t xml:space="preserve">Modellen </w:t>
      </w:r>
      <w:r w:rsidR="0088632C" w:rsidRPr="00F61C06">
        <w:rPr>
          <w:bCs/>
        </w:rPr>
        <w:t>for</w:t>
      </w:r>
      <w:r w:rsidR="00DF3FE8" w:rsidRPr="00F61C06">
        <w:rPr>
          <w:bCs/>
        </w:rPr>
        <w:t>,</w:t>
      </w:r>
      <w:r w:rsidR="0088632C" w:rsidRPr="00F61C06">
        <w:rPr>
          <w:bCs/>
        </w:rPr>
        <w:t xml:space="preserve"> hvordan skatten </w:t>
      </w:r>
      <w:r w:rsidR="00F128A0" w:rsidRPr="00F61C06">
        <w:rPr>
          <w:bCs/>
        </w:rPr>
        <w:t xml:space="preserve">af likvidationsprovenu </w:t>
      </w:r>
      <w:r w:rsidR="00A73A11" w:rsidRPr="00F61C06">
        <w:rPr>
          <w:bCs/>
        </w:rPr>
        <w:t xml:space="preserve">foreslås </w:t>
      </w:r>
      <w:r w:rsidR="0088632C" w:rsidRPr="00F61C06">
        <w:rPr>
          <w:bCs/>
        </w:rPr>
        <w:t>opkræve</w:t>
      </w:r>
      <w:r w:rsidR="00A73A11" w:rsidRPr="00F61C06">
        <w:rPr>
          <w:bCs/>
        </w:rPr>
        <w:t>t</w:t>
      </w:r>
      <w:r w:rsidR="0088632C" w:rsidRPr="00F61C06">
        <w:rPr>
          <w:bCs/>
        </w:rPr>
        <w:t xml:space="preserve"> </w:t>
      </w:r>
      <w:r w:rsidR="004602C5" w:rsidRPr="00F61C06">
        <w:rPr>
          <w:bCs/>
        </w:rPr>
        <w:t>afhænger af, hvorvidt likvidationsprovenuet udloddes af et selskab med hjemsted i Grønland</w:t>
      </w:r>
      <w:r w:rsidR="00D56461" w:rsidRPr="00F61C06">
        <w:rPr>
          <w:bCs/>
        </w:rPr>
        <w:t xml:space="preserve"> eller ej</w:t>
      </w:r>
      <w:r w:rsidR="004602C5" w:rsidRPr="00F61C06">
        <w:rPr>
          <w:bCs/>
        </w:rPr>
        <w:t>.</w:t>
      </w:r>
      <w:r w:rsidR="0044063F" w:rsidRPr="00F61C06">
        <w:rPr>
          <w:bCs/>
        </w:rPr>
        <w:t xml:space="preserve"> </w:t>
      </w:r>
    </w:p>
    <w:p w14:paraId="69569763" w14:textId="77777777" w:rsidR="004602C5" w:rsidRPr="00F61C06" w:rsidRDefault="004602C5" w:rsidP="0078129A">
      <w:pPr>
        <w:spacing w:line="288" w:lineRule="auto"/>
        <w:rPr>
          <w:bCs/>
        </w:rPr>
      </w:pPr>
    </w:p>
    <w:p w14:paraId="39FA942C" w14:textId="720C92F0" w:rsidR="00984280" w:rsidRPr="00F61C06" w:rsidRDefault="0044063F" w:rsidP="0078129A">
      <w:pPr>
        <w:spacing w:line="288" w:lineRule="auto"/>
        <w:rPr>
          <w:bCs/>
        </w:rPr>
      </w:pPr>
      <w:r w:rsidRPr="00F61C06">
        <w:rPr>
          <w:bCs/>
        </w:rPr>
        <w:lastRenderedPageBreak/>
        <w:t xml:space="preserve">Hvis der er tale om et selskab med hjemsted i Grønland, pålægges selskabet indeholdelsespligt. </w:t>
      </w:r>
      <w:r w:rsidR="00F128A0" w:rsidRPr="00F61C06">
        <w:rPr>
          <w:bCs/>
        </w:rPr>
        <w:t>Selskabet</w:t>
      </w:r>
      <w:r w:rsidR="00BE3072" w:rsidRPr="00F61C06">
        <w:rPr>
          <w:bCs/>
        </w:rPr>
        <w:t xml:space="preserve"> skal indeholde </w:t>
      </w:r>
      <w:r w:rsidR="00984280" w:rsidRPr="00F61C06">
        <w:rPr>
          <w:bCs/>
        </w:rPr>
        <w:t xml:space="preserve">skat af </w:t>
      </w:r>
      <w:r w:rsidR="00F128A0" w:rsidRPr="00F61C06">
        <w:rPr>
          <w:bCs/>
        </w:rPr>
        <w:t>likvidationsprovenuet</w:t>
      </w:r>
      <w:r w:rsidR="00984280" w:rsidRPr="00F61C06">
        <w:rPr>
          <w:bCs/>
        </w:rPr>
        <w:t xml:space="preserve"> </w:t>
      </w:r>
      <w:r w:rsidR="00BE3072" w:rsidRPr="00F61C06">
        <w:rPr>
          <w:bCs/>
        </w:rPr>
        <w:t xml:space="preserve">med en skattesats, der udgør forskellen </w:t>
      </w:r>
      <w:r w:rsidR="00984280" w:rsidRPr="00F61C06">
        <w:rPr>
          <w:bCs/>
        </w:rPr>
        <w:t xml:space="preserve">mellem </w:t>
      </w:r>
      <w:r w:rsidR="00BE3072" w:rsidRPr="00F61C06">
        <w:rPr>
          <w:bCs/>
        </w:rPr>
        <w:t>den samlede udskrivningsprocent</w:t>
      </w:r>
      <w:r w:rsidR="00984280" w:rsidRPr="00F61C06">
        <w:rPr>
          <w:bCs/>
        </w:rPr>
        <w:t xml:space="preserve"> </w:t>
      </w:r>
      <w:r w:rsidR="005125EA" w:rsidRPr="00F61C06">
        <w:rPr>
          <w:bCs/>
        </w:rPr>
        <w:t xml:space="preserve">for personer </w:t>
      </w:r>
      <w:r w:rsidR="00984280" w:rsidRPr="00F61C06">
        <w:rPr>
          <w:bCs/>
        </w:rPr>
        <w:t xml:space="preserve">og </w:t>
      </w:r>
      <w:r w:rsidR="00F128A0" w:rsidRPr="00F61C06">
        <w:rPr>
          <w:bCs/>
        </w:rPr>
        <w:t xml:space="preserve">selskabets </w:t>
      </w:r>
      <w:r w:rsidR="00984280" w:rsidRPr="00F61C06">
        <w:rPr>
          <w:bCs/>
        </w:rPr>
        <w:t>selskabsskatte</w:t>
      </w:r>
      <w:r w:rsidR="00F128A0" w:rsidRPr="00F61C06">
        <w:rPr>
          <w:bCs/>
        </w:rPr>
        <w:t>procent</w:t>
      </w:r>
      <w:r w:rsidR="00BE3072" w:rsidRPr="00F61C06">
        <w:rPr>
          <w:bCs/>
        </w:rPr>
        <w:t xml:space="preserve">. </w:t>
      </w:r>
    </w:p>
    <w:p w14:paraId="5D132257" w14:textId="77777777" w:rsidR="00EA227E" w:rsidRPr="00F61C06" w:rsidRDefault="00EA227E" w:rsidP="0078129A">
      <w:pPr>
        <w:spacing w:line="288" w:lineRule="auto"/>
        <w:rPr>
          <w:bCs/>
        </w:rPr>
      </w:pPr>
    </w:p>
    <w:p w14:paraId="421952F3" w14:textId="01A5919A" w:rsidR="00CE36C8" w:rsidRPr="00F61C06" w:rsidRDefault="00D80857" w:rsidP="0078129A">
      <w:pPr>
        <w:spacing w:line="288" w:lineRule="auto"/>
        <w:rPr>
          <w:bCs/>
        </w:rPr>
      </w:pPr>
      <w:r w:rsidRPr="00F61C06">
        <w:rPr>
          <w:bCs/>
        </w:rPr>
        <w:t xml:space="preserve">Den skattepligtige kan ved ansøgning til skatteforvaltningen få refunderet den del af </w:t>
      </w:r>
      <w:r w:rsidR="005C435B" w:rsidRPr="00F61C06">
        <w:rPr>
          <w:bCs/>
        </w:rPr>
        <w:t>skatten</w:t>
      </w:r>
      <w:r w:rsidRPr="00F61C06">
        <w:rPr>
          <w:bCs/>
        </w:rPr>
        <w:t xml:space="preserve">, der forholdsmæssigt </w:t>
      </w:r>
      <w:r w:rsidR="006F6308" w:rsidRPr="00F61C06">
        <w:rPr>
          <w:bCs/>
        </w:rPr>
        <w:t xml:space="preserve">svarer til </w:t>
      </w:r>
      <w:r w:rsidR="00C4295C" w:rsidRPr="00F61C06">
        <w:rPr>
          <w:bCs/>
        </w:rPr>
        <w:t>d</w:t>
      </w:r>
      <w:r w:rsidRPr="00F61C06">
        <w:rPr>
          <w:bCs/>
        </w:rPr>
        <w:t>en dokumentere</w:t>
      </w:r>
      <w:r w:rsidR="00C4295C" w:rsidRPr="00F61C06">
        <w:rPr>
          <w:bCs/>
        </w:rPr>
        <w:t>de</w:t>
      </w:r>
      <w:r w:rsidRPr="00F61C06">
        <w:rPr>
          <w:bCs/>
        </w:rPr>
        <w:t xml:space="preserve"> anskaffelsessum</w:t>
      </w:r>
      <w:r w:rsidR="00A73A11" w:rsidRPr="00F61C06">
        <w:rPr>
          <w:bCs/>
        </w:rPr>
        <w:t xml:space="preserve"> for kapitalandele</w:t>
      </w:r>
      <w:r w:rsidRPr="00F61C06">
        <w:rPr>
          <w:bCs/>
        </w:rPr>
        <w:t>.</w:t>
      </w:r>
      <w:r w:rsidR="001E2D44" w:rsidRPr="00F61C06">
        <w:rPr>
          <w:bCs/>
        </w:rPr>
        <w:t xml:space="preserve"> </w:t>
      </w:r>
      <w:r w:rsidR="00664991" w:rsidRPr="00F61C06">
        <w:rPr>
          <w:bCs/>
        </w:rPr>
        <w:t xml:space="preserve">Såfremt </w:t>
      </w:r>
      <w:r w:rsidR="00CE36C8" w:rsidRPr="00F61C06">
        <w:rPr>
          <w:bCs/>
        </w:rPr>
        <w:t>de</w:t>
      </w:r>
      <w:r w:rsidR="00B776D2" w:rsidRPr="00F61C06">
        <w:rPr>
          <w:bCs/>
        </w:rPr>
        <w:t>n</w:t>
      </w:r>
      <w:r w:rsidR="00CE36C8" w:rsidRPr="00F61C06">
        <w:rPr>
          <w:bCs/>
        </w:rPr>
        <w:t xml:space="preserve"> skattepligtige </w:t>
      </w:r>
      <w:r w:rsidR="00B776D2" w:rsidRPr="00F61C06">
        <w:rPr>
          <w:bCs/>
        </w:rPr>
        <w:t>godtgør</w:t>
      </w:r>
      <w:r w:rsidR="00984280" w:rsidRPr="00F61C06">
        <w:rPr>
          <w:bCs/>
        </w:rPr>
        <w:t>,</w:t>
      </w:r>
      <w:r w:rsidR="00B776D2" w:rsidRPr="00F61C06">
        <w:rPr>
          <w:bCs/>
        </w:rPr>
        <w:t xml:space="preserve"> at der ikke </w:t>
      </w:r>
      <w:r w:rsidR="00FC70EB" w:rsidRPr="00F61C06">
        <w:rPr>
          <w:bCs/>
        </w:rPr>
        <w:t>forel</w:t>
      </w:r>
      <w:r w:rsidR="00F128A0" w:rsidRPr="00F61C06">
        <w:rPr>
          <w:bCs/>
        </w:rPr>
        <w:t>igger</w:t>
      </w:r>
      <w:r w:rsidR="00FC70EB" w:rsidRPr="00F61C06">
        <w:rPr>
          <w:bCs/>
        </w:rPr>
        <w:t xml:space="preserve"> </w:t>
      </w:r>
      <w:r w:rsidR="00B776D2" w:rsidRPr="00F61C06">
        <w:rPr>
          <w:bCs/>
        </w:rPr>
        <w:t xml:space="preserve">en </w:t>
      </w:r>
      <w:r w:rsidR="00CE36C8" w:rsidRPr="00F61C06">
        <w:rPr>
          <w:bCs/>
        </w:rPr>
        <w:t>gevinst</w:t>
      </w:r>
      <w:r w:rsidR="00C4295C" w:rsidRPr="00F61C06">
        <w:rPr>
          <w:bCs/>
        </w:rPr>
        <w:t xml:space="preserve"> ved udlodningen</w:t>
      </w:r>
      <w:r w:rsidR="00F128A0" w:rsidRPr="00F61C06">
        <w:rPr>
          <w:bCs/>
        </w:rPr>
        <w:t xml:space="preserve"> af likvidationsprovenuet</w:t>
      </w:r>
      <w:r w:rsidR="00CE36C8" w:rsidRPr="00F61C06">
        <w:rPr>
          <w:bCs/>
        </w:rPr>
        <w:t xml:space="preserve">, </w:t>
      </w:r>
      <w:r w:rsidR="001A5A89" w:rsidRPr="00F61C06">
        <w:rPr>
          <w:bCs/>
        </w:rPr>
        <w:t xml:space="preserve">udbetales </w:t>
      </w:r>
      <w:r w:rsidR="00664991" w:rsidRPr="00F61C06">
        <w:rPr>
          <w:bCs/>
        </w:rPr>
        <w:t>hele de</w:t>
      </w:r>
      <w:r w:rsidR="00984280" w:rsidRPr="00F61C06">
        <w:rPr>
          <w:bCs/>
        </w:rPr>
        <w:t>n</w:t>
      </w:r>
      <w:r w:rsidR="00664991" w:rsidRPr="00F61C06">
        <w:rPr>
          <w:bCs/>
        </w:rPr>
        <w:t xml:space="preserve"> </w:t>
      </w:r>
      <w:r w:rsidR="00B83BEF" w:rsidRPr="00F61C06">
        <w:rPr>
          <w:bCs/>
        </w:rPr>
        <w:t xml:space="preserve">af selskabet </w:t>
      </w:r>
      <w:r w:rsidR="00F128A0" w:rsidRPr="00F61C06">
        <w:rPr>
          <w:bCs/>
        </w:rPr>
        <w:t xml:space="preserve">indeholdte og </w:t>
      </w:r>
      <w:r w:rsidR="00D56461" w:rsidRPr="00F61C06">
        <w:rPr>
          <w:bCs/>
        </w:rPr>
        <w:t xml:space="preserve">indbetalte </w:t>
      </w:r>
      <w:r w:rsidR="00664991" w:rsidRPr="00F61C06">
        <w:rPr>
          <w:bCs/>
        </w:rPr>
        <w:t>skat.</w:t>
      </w:r>
      <w:r w:rsidR="00B776D2" w:rsidRPr="00F61C06">
        <w:rPr>
          <w:bCs/>
        </w:rPr>
        <w:t xml:space="preserve"> </w:t>
      </w:r>
    </w:p>
    <w:p w14:paraId="60900AF8" w14:textId="77777777" w:rsidR="00FC70EB" w:rsidRPr="00F61C06" w:rsidRDefault="00FC70EB" w:rsidP="0078129A">
      <w:pPr>
        <w:spacing w:line="288" w:lineRule="auto"/>
        <w:rPr>
          <w:bCs/>
        </w:rPr>
      </w:pPr>
    </w:p>
    <w:p w14:paraId="1101AC01" w14:textId="3BF6AA1A" w:rsidR="00BE3072" w:rsidRPr="00F61C06" w:rsidRDefault="00B83BEF" w:rsidP="0078129A">
      <w:pPr>
        <w:spacing w:line="288" w:lineRule="auto"/>
        <w:rPr>
          <w:bCs/>
        </w:rPr>
      </w:pPr>
      <w:r w:rsidRPr="00F61C06">
        <w:rPr>
          <w:bCs/>
        </w:rPr>
        <w:t xml:space="preserve">Hvis der er tale om </w:t>
      </w:r>
      <w:r w:rsidR="00FC70EB" w:rsidRPr="00F61C06">
        <w:rPr>
          <w:bCs/>
        </w:rPr>
        <w:t>likvidations</w:t>
      </w:r>
      <w:r w:rsidR="00F128A0" w:rsidRPr="00F61C06">
        <w:rPr>
          <w:bCs/>
        </w:rPr>
        <w:t>provenu</w:t>
      </w:r>
      <w:r w:rsidRPr="00F61C06">
        <w:rPr>
          <w:bCs/>
        </w:rPr>
        <w:t xml:space="preserve"> fra selskab</w:t>
      </w:r>
      <w:r w:rsidR="006F6308" w:rsidRPr="00F61C06">
        <w:rPr>
          <w:bCs/>
        </w:rPr>
        <w:t>er</w:t>
      </w:r>
      <w:r w:rsidRPr="00F61C06">
        <w:rPr>
          <w:bCs/>
        </w:rPr>
        <w:t xml:space="preserve"> med hjemsted i udlandet, der udbetales til kapitalejer</w:t>
      </w:r>
      <w:r w:rsidR="003E3916" w:rsidRPr="00F61C06">
        <w:rPr>
          <w:bCs/>
        </w:rPr>
        <w:t>,</w:t>
      </w:r>
      <w:r w:rsidRPr="00F61C06">
        <w:rPr>
          <w:bCs/>
        </w:rPr>
        <w:t xml:space="preserve"> </w:t>
      </w:r>
      <w:r w:rsidR="00FC70EB" w:rsidRPr="00F61C06">
        <w:rPr>
          <w:bCs/>
        </w:rPr>
        <w:t>der er fuldt skattepligtig til Grønland</w:t>
      </w:r>
      <w:r w:rsidR="006F6308" w:rsidRPr="00F61C06">
        <w:rPr>
          <w:bCs/>
        </w:rPr>
        <w:t>, foreslås det</w:t>
      </w:r>
      <w:r w:rsidR="002A04CA" w:rsidRPr="00F61C06">
        <w:rPr>
          <w:bCs/>
        </w:rPr>
        <w:t>,</w:t>
      </w:r>
      <w:r w:rsidR="006F6308" w:rsidRPr="00F61C06">
        <w:rPr>
          <w:bCs/>
        </w:rPr>
        <w:t xml:space="preserve"> at </w:t>
      </w:r>
      <w:r w:rsidR="003E3916" w:rsidRPr="00F61C06">
        <w:rPr>
          <w:bCs/>
        </w:rPr>
        <w:t xml:space="preserve">gevinst ved udlodning af </w:t>
      </w:r>
      <w:r w:rsidR="00FC70EB" w:rsidRPr="00F61C06">
        <w:rPr>
          <w:bCs/>
        </w:rPr>
        <w:t>likvidations</w:t>
      </w:r>
      <w:r w:rsidR="003E3916" w:rsidRPr="00F61C06">
        <w:rPr>
          <w:bCs/>
        </w:rPr>
        <w:t>provenuet</w:t>
      </w:r>
      <w:r w:rsidR="00FC70EB" w:rsidRPr="00F61C06">
        <w:rPr>
          <w:bCs/>
        </w:rPr>
        <w:t xml:space="preserve"> </w:t>
      </w:r>
      <w:r w:rsidR="006F6308" w:rsidRPr="00F61C06">
        <w:rPr>
          <w:bCs/>
        </w:rPr>
        <w:t xml:space="preserve">gøres </w:t>
      </w:r>
      <w:r w:rsidR="00FC70EB" w:rsidRPr="00F61C06">
        <w:rPr>
          <w:bCs/>
        </w:rPr>
        <w:t xml:space="preserve">til en skattepligtig indkomst for </w:t>
      </w:r>
      <w:r w:rsidR="006F6308" w:rsidRPr="00F61C06">
        <w:rPr>
          <w:bCs/>
        </w:rPr>
        <w:t>kapitalejeren</w:t>
      </w:r>
      <w:r w:rsidR="00FC70EB" w:rsidRPr="00F61C06">
        <w:rPr>
          <w:bCs/>
        </w:rPr>
        <w:t>.</w:t>
      </w:r>
      <w:r w:rsidR="006F6308" w:rsidRPr="00F61C06">
        <w:rPr>
          <w:bCs/>
        </w:rPr>
        <w:t xml:space="preserve"> </w:t>
      </w:r>
      <w:r w:rsidR="00FC70EB" w:rsidRPr="00F61C06">
        <w:rPr>
          <w:bCs/>
        </w:rPr>
        <w:t>D</w:t>
      </w:r>
      <w:r w:rsidR="00CE36C8" w:rsidRPr="00F61C06">
        <w:rPr>
          <w:bCs/>
        </w:rPr>
        <w:t xml:space="preserve">en skattepligtige </w:t>
      </w:r>
      <w:r w:rsidR="00FC70EB" w:rsidRPr="00F61C06">
        <w:rPr>
          <w:bCs/>
        </w:rPr>
        <w:t xml:space="preserve">skal </w:t>
      </w:r>
      <w:r w:rsidR="00CE36C8" w:rsidRPr="00F61C06">
        <w:rPr>
          <w:bCs/>
        </w:rPr>
        <w:t>medregne gevinst</w:t>
      </w:r>
      <w:r w:rsidR="00C4295C" w:rsidRPr="00F61C06">
        <w:rPr>
          <w:bCs/>
        </w:rPr>
        <w:t>en</w:t>
      </w:r>
      <w:r w:rsidR="00CE36C8" w:rsidRPr="00F61C06">
        <w:rPr>
          <w:bCs/>
        </w:rPr>
        <w:t xml:space="preserve"> ved opgørelsen af den skattepligtige indkomst</w:t>
      </w:r>
      <w:r w:rsidR="00B776D2" w:rsidRPr="00F61C06">
        <w:rPr>
          <w:bCs/>
        </w:rPr>
        <w:t xml:space="preserve"> i Grønland</w:t>
      </w:r>
      <w:r w:rsidR="00CE36C8" w:rsidRPr="00F61C06">
        <w:rPr>
          <w:bCs/>
        </w:rPr>
        <w:t xml:space="preserve">. </w:t>
      </w:r>
      <w:r w:rsidR="00EA227E" w:rsidRPr="00F61C06">
        <w:rPr>
          <w:bCs/>
        </w:rPr>
        <w:t>Gevinsten opgøres som forskellen mellem likvidations</w:t>
      </w:r>
      <w:r w:rsidR="003E3916" w:rsidRPr="00F61C06">
        <w:rPr>
          <w:bCs/>
        </w:rPr>
        <w:t>provenu</w:t>
      </w:r>
      <w:r w:rsidR="00EA227E" w:rsidRPr="00F61C06">
        <w:rPr>
          <w:bCs/>
        </w:rPr>
        <w:t xml:space="preserve"> og anskaffelsessummen for kapitalandelene. </w:t>
      </w:r>
      <w:r w:rsidR="00123BF1" w:rsidRPr="00F61C06">
        <w:rPr>
          <w:bCs/>
        </w:rPr>
        <w:t xml:space="preserve">Anskaffelsessummen </w:t>
      </w:r>
      <w:r w:rsidR="003E3916" w:rsidRPr="00F61C06">
        <w:rPr>
          <w:bCs/>
        </w:rPr>
        <w:t>er</w:t>
      </w:r>
      <w:r w:rsidR="00123BF1" w:rsidRPr="00F61C06">
        <w:rPr>
          <w:bCs/>
        </w:rPr>
        <w:t xml:space="preserve"> det beløb, som kapitalandelene er erhvervet til eller den oprindelige indskudte kapital (selskabskapitalen).</w:t>
      </w:r>
      <w:r w:rsidR="00DF3FE8" w:rsidRPr="00F61C06">
        <w:rPr>
          <w:bCs/>
        </w:rPr>
        <w:t xml:space="preserve"> </w:t>
      </w:r>
      <w:r w:rsidR="00CE36C8" w:rsidRPr="00F61C06">
        <w:rPr>
          <w:bCs/>
        </w:rPr>
        <w:t>For</w:t>
      </w:r>
      <w:r w:rsidR="00C4295C" w:rsidRPr="00F61C06">
        <w:rPr>
          <w:bCs/>
        </w:rPr>
        <w:t xml:space="preserve"> </w:t>
      </w:r>
      <w:r w:rsidR="00CE36C8" w:rsidRPr="00F61C06">
        <w:rPr>
          <w:bCs/>
        </w:rPr>
        <w:t>at tage hensyn til selskabsbeskatning</w:t>
      </w:r>
      <w:r w:rsidR="00B776D2" w:rsidRPr="00F61C06">
        <w:rPr>
          <w:bCs/>
        </w:rPr>
        <w:t xml:space="preserve"> i udlandet</w:t>
      </w:r>
      <w:r w:rsidR="00CE36C8" w:rsidRPr="00F61C06">
        <w:rPr>
          <w:bCs/>
        </w:rPr>
        <w:t xml:space="preserve"> skal kun </w:t>
      </w:r>
      <w:r w:rsidR="00BE3072" w:rsidRPr="00F61C06">
        <w:rPr>
          <w:bCs/>
        </w:rPr>
        <w:t>65</w:t>
      </w:r>
      <w:r w:rsidR="00CE36C8" w:rsidRPr="00F61C06">
        <w:rPr>
          <w:bCs/>
        </w:rPr>
        <w:t xml:space="preserve"> procent af en gevinst medregnes til den skattepligtige indkomst. </w:t>
      </w:r>
    </w:p>
    <w:p w14:paraId="62B414B5" w14:textId="77777777" w:rsidR="00CE36C8" w:rsidRPr="00F61C06" w:rsidRDefault="00CE36C8" w:rsidP="0078129A">
      <w:pPr>
        <w:spacing w:line="288" w:lineRule="auto"/>
        <w:rPr>
          <w:bCs/>
        </w:rPr>
      </w:pPr>
    </w:p>
    <w:tbl>
      <w:tblPr>
        <w:tblW w:w="10279" w:type="dxa"/>
        <w:tblLayout w:type="fixed"/>
        <w:tblCellMar>
          <w:left w:w="30" w:type="dxa"/>
          <w:right w:w="30" w:type="dxa"/>
        </w:tblCellMar>
        <w:tblLook w:val="0000" w:firstRow="0" w:lastRow="0" w:firstColumn="0" w:lastColumn="0" w:noHBand="0" w:noVBand="0"/>
      </w:tblPr>
      <w:tblGrid>
        <w:gridCol w:w="1783"/>
        <w:gridCol w:w="722"/>
        <w:gridCol w:w="156"/>
        <w:gridCol w:w="3114"/>
        <w:gridCol w:w="907"/>
        <w:gridCol w:w="170"/>
        <w:gridCol w:w="2520"/>
        <w:gridCol w:w="907"/>
      </w:tblGrid>
      <w:tr w:rsidR="00585720" w:rsidRPr="00F61C06" w14:paraId="3FBD41C8" w14:textId="77777777" w:rsidTr="001A5A89">
        <w:trPr>
          <w:trHeight w:val="490"/>
        </w:trPr>
        <w:tc>
          <w:tcPr>
            <w:tcW w:w="9372" w:type="dxa"/>
            <w:gridSpan w:val="7"/>
            <w:tcBorders>
              <w:top w:val="single" w:sz="6" w:space="0" w:color="auto"/>
              <w:left w:val="single" w:sz="6" w:space="0" w:color="auto"/>
              <w:bottom w:val="single" w:sz="6" w:space="0" w:color="auto"/>
              <w:right w:val="nil"/>
            </w:tcBorders>
          </w:tcPr>
          <w:p w14:paraId="318B42B0" w14:textId="020C2A5F" w:rsidR="00585720" w:rsidRPr="00F61C06" w:rsidRDefault="00585720" w:rsidP="0078129A">
            <w:pPr>
              <w:autoSpaceDE w:val="0"/>
              <w:autoSpaceDN w:val="0"/>
              <w:adjustRightInd w:val="0"/>
              <w:spacing w:line="288" w:lineRule="auto"/>
              <w:jc w:val="center"/>
              <w:rPr>
                <w:b/>
                <w:bCs/>
                <w:color w:val="000000"/>
              </w:rPr>
            </w:pPr>
            <w:r w:rsidRPr="00F61C06">
              <w:rPr>
                <w:b/>
                <w:bCs/>
                <w:color w:val="000000"/>
              </w:rPr>
              <w:t>Sammenligning af beskatningen ved udbytte</w:t>
            </w:r>
            <w:r w:rsidR="00F54530" w:rsidRPr="00F61C06">
              <w:rPr>
                <w:b/>
                <w:bCs/>
                <w:color w:val="000000"/>
              </w:rPr>
              <w:t>r</w:t>
            </w:r>
            <w:r w:rsidRPr="00F61C06">
              <w:rPr>
                <w:b/>
                <w:bCs/>
                <w:color w:val="000000"/>
              </w:rPr>
              <w:t xml:space="preserve"> </w:t>
            </w:r>
            <w:r w:rsidR="00F54530" w:rsidRPr="00F61C06">
              <w:rPr>
                <w:b/>
                <w:bCs/>
                <w:color w:val="000000"/>
              </w:rPr>
              <w:t>og</w:t>
            </w:r>
            <w:r w:rsidRPr="00F61C06">
              <w:rPr>
                <w:b/>
                <w:bCs/>
                <w:color w:val="000000"/>
              </w:rPr>
              <w:t xml:space="preserve"> likvidation</w:t>
            </w:r>
            <w:r w:rsidR="00F54530" w:rsidRPr="00F61C06">
              <w:rPr>
                <w:b/>
                <w:bCs/>
                <w:color w:val="000000"/>
              </w:rPr>
              <w:t>sprovenu</w:t>
            </w:r>
          </w:p>
        </w:tc>
        <w:tc>
          <w:tcPr>
            <w:tcW w:w="907" w:type="dxa"/>
            <w:tcBorders>
              <w:top w:val="single" w:sz="6" w:space="0" w:color="auto"/>
              <w:left w:val="nil"/>
              <w:bottom w:val="single" w:sz="6" w:space="0" w:color="auto"/>
              <w:right w:val="single" w:sz="6" w:space="0" w:color="auto"/>
            </w:tcBorders>
          </w:tcPr>
          <w:p w14:paraId="468A3919" w14:textId="77777777" w:rsidR="00585720" w:rsidRPr="00F61C06" w:rsidRDefault="00585720" w:rsidP="0078129A">
            <w:pPr>
              <w:autoSpaceDE w:val="0"/>
              <w:autoSpaceDN w:val="0"/>
              <w:adjustRightInd w:val="0"/>
              <w:spacing w:line="288" w:lineRule="auto"/>
              <w:jc w:val="center"/>
              <w:rPr>
                <w:b/>
                <w:bCs/>
                <w:color w:val="000000"/>
              </w:rPr>
            </w:pPr>
          </w:p>
        </w:tc>
      </w:tr>
      <w:tr w:rsidR="00585720" w:rsidRPr="00F61C06" w14:paraId="768811A5" w14:textId="77777777" w:rsidTr="001A5A89">
        <w:trPr>
          <w:trHeight w:val="504"/>
        </w:trPr>
        <w:tc>
          <w:tcPr>
            <w:tcW w:w="2505" w:type="dxa"/>
            <w:gridSpan w:val="2"/>
            <w:tcBorders>
              <w:top w:val="single" w:sz="6" w:space="0" w:color="auto"/>
              <w:left w:val="single" w:sz="6" w:space="0" w:color="auto"/>
              <w:bottom w:val="single" w:sz="6" w:space="0" w:color="auto"/>
              <w:right w:val="single" w:sz="6" w:space="0" w:color="auto"/>
            </w:tcBorders>
          </w:tcPr>
          <w:p w14:paraId="5A917D5B" w14:textId="77777777" w:rsidR="00585720" w:rsidRPr="0078129A" w:rsidRDefault="00585720" w:rsidP="0078129A">
            <w:pPr>
              <w:autoSpaceDE w:val="0"/>
              <w:autoSpaceDN w:val="0"/>
              <w:adjustRightInd w:val="0"/>
              <w:spacing w:line="288" w:lineRule="auto"/>
              <w:jc w:val="center"/>
              <w:rPr>
                <w:b/>
                <w:color w:val="000000"/>
              </w:rPr>
            </w:pPr>
            <w:r w:rsidRPr="0078129A">
              <w:rPr>
                <w:b/>
                <w:color w:val="000000"/>
              </w:rPr>
              <w:t>Ved udbetaling som udbytter</w:t>
            </w:r>
          </w:p>
        </w:tc>
        <w:tc>
          <w:tcPr>
            <w:tcW w:w="156" w:type="dxa"/>
            <w:tcBorders>
              <w:top w:val="single" w:sz="6" w:space="0" w:color="auto"/>
              <w:left w:val="nil"/>
              <w:bottom w:val="nil"/>
              <w:right w:val="nil"/>
            </w:tcBorders>
          </w:tcPr>
          <w:p w14:paraId="1A82F4E3" w14:textId="77777777" w:rsidR="00585720" w:rsidRPr="0078129A" w:rsidRDefault="00585720" w:rsidP="0078129A">
            <w:pPr>
              <w:autoSpaceDE w:val="0"/>
              <w:autoSpaceDN w:val="0"/>
              <w:adjustRightInd w:val="0"/>
              <w:spacing w:line="288" w:lineRule="auto"/>
              <w:jc w:val="center"/>
              <w:rPr>
                <w:b/>
                <w:color w:val="000000"/>
              </w:rPr>
            </w:pPr>
          </w:p>
        </w:tc>
        <w:tc>
          <w:tcPr>
            <w:tcW w:w="4191" w:type="dxa"/>
            <w:gridSpan w:val="3"/>
            <w:tcBorders>
              <w:top w:val="single" w:sz="6" w:space="0" w:color="auto"/>
              <w:left w:val="single" w:sz="6" w:space="0" w:color="auto"/>
              <w:bottom w:val="single" w:sz="6" w:space="0" w:color="auto"/>
              <w:right w:val="nil"/>
            </w:tcBorders>
          </w:tcPr>
          <w:p w14:paraId="2CF9605D" w14:textId="77777777" w:rsidR="00585720" w:rsidRPr="0078129A" w:rsidRDefault="00585720" w:rsidP="0078129A">
            <w:pPr>
              <w:autoSpaceDE w:val="0"/>
              <w:autoSpaceDN w:val="0"/>
              <w:adjustRightInd w:val="0"/>
              <w:spacing w:line="288" w:lineRule="auto"/>
              <w:jc w:val="center"/>
              <w:rPr>
                <w:b/>
                <w:color w:val="000000"/>
              </w:rPr>
            </w:pPr>
            <w:r w:rsidRPr="0078129A">
              <w:rPr>
                <w:b/>
                <w:color w:val="000000"/>
              </w:rPr>
              <w:t>Realisering som likvidationsprovenu (selskab uden for Grønland)</w:t>
            </w:r>
          </w:p>
        </w:tc>
        <w:tc>
          <w:tcPr>
            <w:tcW w:w="3426" w:type="dxa"/>
            <w:gridSpan w:val="2"/>
            <w:tcBorders>
              <w:top w:val="single" w:sz="6" w:space="0" w:color="auto"/>
              <w:left w:val="single" w:sz="6" w:space="0" w:color="auto"/>
              <w:bottom w:val="single" w:sz="6" w:space="0" w:color="auto"/>
              <w:right w:val="single" w:sz="6" w:space="0" w:color="auto"/>
            </w:tcBorders>
          </w:tcPr>
          <w:p w14:paraId="75F29697" w14:textId="2D5406CA" w:rsidR="00585720" w:rsidRPr="0078129A" w:rsidRDefault="00585720" w:rsidP="0078129A">
            <w:pPr>
              <w:autoSpaceDE w:val="0"/>
              <w:autoSpaceDN w:val="0"/>
              <w:adjustRightInd w:val="0"/>
              <w:spacing w:line="288" w:lineRule="auto"/>
              <w:jc w:val="center"/>
              <w:rPr>
                <w:b/>
                <w:color w:val="000000"/>
              </w:rPr>
            </w:pPr>
            <w:r w:rsidRPr="0078129A">
              <w:rPr>
                <w:b/>
                <w:color w:val="000000"/>
              </w:rPr>
              <w:t>Kildebeskatning af likvidationsprovenu (grønlandsk selskab)</w:t>
            </w:r>
          </w:p>
        </w:tc>
      </w:tr>
      <w:tr w:rsidR="00585720" w:rsidRPr="00F61C06" w14:paraId="17EBF232" w14:textId="77777777" w:rsidTr="001A5A89">
        <w:trPr>
          <w:trHeight w:val="432"/>
        </w:trPr>
        <w:tc>
          <w:tcPr>
            <w:tcW w:w="1783" w:type="dxa"/>
            <w:tcBorders>
              <w:top w:val="single" w:sz="6" w:space="0" w:color="auto"/>
              <w:left w:val="single" w:sz="6" w:space="0" w:color="auto"/>
              <w:bottom w:val="single" w:sz="6" w:space="0" w:color="auto"/>
              <w:right w:val="single" w:sz="6" w:space="0" w:color="auto"/>
            </w:tcBorders>
          </w:tcPr>
          <w:p w14:paraId="5D19CB45" w14:textId="77777777" w:rsidR="00585720" w:rsidRPr="0078129A" w:rsidRDefault="00585720" w:rsidP="0078129A">
            <w:pPr>
              <w:autoSpaceDE w:val="0"/>
              <w:autoSpaceDN w:val="0"/>
              <w:adjustRightInd w:val="0"/>
              <w:spacing w:line="288" w:lineRule="auto"/>
              <w:rPr>
                <w:color w:val="000000"/>
              </w:rPr>
            </w:pPr>
            <w:r w:rsidRPr="0078129A">
              <w:rPr>
                <w:color w:val="000000"/>
              </w:rPr>
              <w:t>Overskud</w:t>
            </w:r>
          </w:p>
        </w:tc>
        <w:tc>
          <w:tcPr>
            <w:tcW w:w="721" w:type="dxa"/>
            <w:tcBorders>
              <w:top w:val="single" w:sz="6" w:space="0" w:color="auto"/>
              <w:left w:val="single" w:sz="6" w:space="0" w:color="auto"/>
              <w:bottom w:val="single" w:sz="6" w:space="0" w:color="auto"/>
              <w:right w:val="single" w:sz="6" w:space="0" w:color="auto"/>
            </w:tcBorders>
          </w:tcPr>
          <w:p w14:paraId="4197F84C" w14:textId="77777777" w:rsidR="00585720" w:rsidRPr="0078129A" w:rsidRDefault="00585720" w:rsidP="0078129A">
            <w:pPr>
              <w:autoSpaceDE w:val="0"/>
              <w:autoSpaceDN w:val="0"/>
              <w:adjustRightInd w:val="0"/>
              <w:spacing w:line="288" w:lineRule="auto"/>
              <w:rPr>
                <w:color w:val="000000"/>
              </w:rPr>
            </w:pPr>
            <w:r w:rsidRPr="0078129A">
              <w:rPr>
                <w:color w:val="000000"/>
              </w:rPr>
              <w:t>100</w:t>
            </w:r>
          </w:p>
        </w:tc>
        <w:tc>
          <w:tcPr>
            <w:tcW w:w="156" w:type="dxa"/>
            <w:tcBorders>
              <w:top w:val="nil"/>
              <w:left w:val="nil"/>
              <w:bottom w:val="nil"/>
              <w:right w:val="nil"/>
            </w:tcBorders>
          </w:tcPr>
          <w:p w14:paraId="7E1D5A77" w14:textId="77777777" w:rsidR="00585720" w:rsidRPr="0078129A" w:rsidRDefault="00585720" w:rsidP="0078129A">
            <w:pPr>
              <w:autoSpaceDE w:val="0"/>
              <w:autoSpaceDN w:val="0"/>
              <w:adjustRightInd w:val="0"/>
              <w:spacing w:line="288" w:lineRule="auto"/>
              <w:rPr>
                <w:color w:val="000000"/>
              </w:rPr>
            </w:pPr>
          </w:p>
        </w:tc>
        <w:tc>
          <w:tcPr>
            <w:tcW w:w="3114" w:type="dxa"/>
            <w:tcBorders>
              <w:top w:val="single" w:sz="6" w:space="0" w:color="auto"/>
              <w:left w:val="single" w:sz="6" w:space="0" w:color="auto"/>
              <w:bottom w:val="single" w:sz="6" w:space="0" w:color="auto"/>
              <w:right w:val="single" w:sz="6" w:space="0" w:color="auto"/>
            </w:tcBorders>
          </w:tcPr>
          <w:p w14:paraId="472485C9" w14:textId="77777777" w:rsidR="00585720" w:rsidRPr="0078129A" w:rsidRDefault="00585720" w:rsidP="0078129A">
            <w:pPr>
              <w:autoSpaceDE w:val="0"/>
              <w:autoSpaceDN w:val="0"/>
              <w:adjustRightInd w:val="0"/>
              <w:spacing w:line="288" w:lineRule="auto"/>
              <w:rPr>
                <w:color w:val="000000"/>
              </w:rPr>
            </w:pPr>
            <w:r w:rsidRPr="0078129A">
              <w:rPr>
                <w:color w:val="000000"/>
              </w:rPr>
              <w:t>Overskud</w:t>
            </w:r>
          </w:p>
        </w:tc>
        <w:tc>
          <w:tcPr>
            <w:tcW w:w="907" w:type="dxa"/>
            <w:tcBorders>
              <w:top w:val="single" w:sz="6" w:space="0" w:color="auto"/>
              <w:left w:val="single" w:sz="6" w:space="0" w:color="auto"/>
              <w:bottom w:val="single" w:sz="6" w:space="0" w:color="auto"/>
              <w:right w:val="single" w:sz="6" w:space="0" w:color="auto"/>
            </w:tcBorders>
          </w:tcPr>
          <w:p w14:paraId="5F2D41EA"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100 </w:t>
            </w:r>
          </w:p>
        </w:tc>
        <w:tc>
          <w:tcPr>
            <w:tcW w:w="170" w:type="dxa"/>
            <w:tcBorders>
              <w:top w:val="nil"/>
              <w:left w:val="nil"/>
              <w:bottom w:val="nil"/>
              <w:right w:val="nil"/>
            </w:tcBorders>
          </w:tcPr>
          <w:p w14:paraId="66469C4D" w14:textId="77777777" w:rsidR="00585720" w:rsidRPr="0078129A" w:rsidRDefault="00585720" w:rsidP="0078129A">
            <w:pPr>
              <w:autoSpaceDE w:val="0"/>
              <w:autoSpaceDN w:val="0"/>
              <w:adjustRightInd w:val="0"/>
              <w:spacing w:line="288" w:lineRule="auto"/>
              <w:rPr>
                <w:color w:val="000000"/>
              </w:rPr>
            </w:pPr>
          </w:p>
        </w:tc>
        <w:tc>
          <w:tcPr>
            <w:tcW w:w="2520" w:type="dxa"/>
            <w:tcBorders>
              <w:top w:val="single" w:sz="6" w:space="0" w:color="auto"/>
              <w:left w:val="single" w:sz="6" w:space="0" w:color="auto"/>
              <w:bottom w:val="single" w:sz="6" w:space="0" w:color="auto"/>
              <w:right w:val="single" w:sz="6" w:space="0" w:color="auto"/>
            </w:tcBorders>
          </w:tcPr>
          <w:p w14:paraId="3DE71E33" w14:textId="77777777" w:rsidR="00585720" w:rsidRPr="0078129A" w:rsidRDefault="00585720" w:rsidP="0078129A">
            <w:pPr>
              <w:autoSpaceDE w:val="0"/>
              <w:autoSpaceDN w:val="0"/>
              <w:adjustRightInd w:val="0"/>
              <w:spacing w:line="288" w:lineRule="auto"/>
              <w:rPr>
                <w:color w:val="000000"/>
              </w:rPr>
            </w:pPr>
            <w:r w:rsidRPr="0078129A">
              <w:rPr>
                <w:color w:val="000000"/>
              </w:rPr>
              <w:t>Overskud</w:t>
            </w:r>
          </w:p>
        </w:tc>
        <w:tc>
          <w:tcPr>
            <w:tcW w:w="907" w:type="dxa"/>
            <w:tcBorders>
              <w:top w:val="single" w:sz="6" w:space="0" w:color="auto"/>
              <w:left w:val="single" w:sz="6" w:space="0" w:color="auto"/>
              <w:bottom w:val="single" w:sz="6" w:space="0" w:color="auto"/>
              <w:right w:val="single" w:sz="6" w:space="0" w:color="auto"/>
            </w:tcBorders>
          </w:tcPr>
          <w:p w14:paraId="667E5767"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100 </w:t>
            </w:r>
          </w:p>
        </w:tc>
      </w:tr>
      <w:tr w:rsidR="00585720" w:rsidRPr="00F61C06" w14:paraId="3CA90F24" w14:textId="77777777" w:rsidTr="001A5A89">
        <w:trPr>
          <w:trHeight w:val="461"/>
        </w:trPr>
        <w:tc>
          <w:tcPr>
            <w:tcW w:w="1783" w:type="dxa"/>
            <w:tcBorders>
              <w:top w:val="single" w:sz="6" w:space="0" w:color="auto"/>
              <w:left w:val="single" w:sz="6" w:space="0" w:color="auto"/>
              <w:bottom w:val="single" w:sz="6" w:space="0" w:color="auto"/>
              <w:right w:val="single" w:sz="6" w:space="0" w:color="auto"/>
            </w:tcBorders>
          </w:tcPr>
          <w:p w14:paraId="51B73198" w14:textId="77777777" w:rsidR="00585720" w:rsidRPr="0078129A" w:rsidRDefault="00585720" w:rsidP="0078129A">
            <w:pPr>
              <w:autoSpaceDE w:val="0"/>
              <w:autoSpaceDN w:val="0"/>
              <w:adjustRightInd w:val="0"/>
              <w:spacing w:line="288" w:lineRule="auto"/>
              <w:rPr>
                <w:color w:val="000000"/>
              </w:rPr>
            </w:pPr>
            <w:r w:rsidRPr="0078129A">
              <w:rPr>
                <w:color w:val="000000"/>
              </w:rPr>
              <w:t>Udbytteskat</w:t>
            </w:r>
          </w:p>
        </w:tc>
        <w:tc>
          <w:tcPr>
            <w:tcW w:w="721" w:type="dxa"/>
            <w:tcBorders>
              <w:top w:val="single" w:sz="6" w:space="0" w:color="auto"/>
              <w:left w:val="single" w:sz="6" w:space="0" w:color="auto"/>
              <w:bottom w:val="single" w:sz="6" w:space="0" w:color="auto"/>
              <w:right w:val="single" w:sz="6" w:space="0" w:color="auto"/>
            </w:tcBorders>
          </w:tcPr>
          <w:p w14:paraId="7BF66E5B" w14:textId="77777777" w:rsidR="00585720" w:rsidRPr="0078129A" w:rsidRDefault="00585720" w:rsidP="0078129A">
            <w:pPr>
              <w:autoSpaceDE w:val="0"/>
              <w:autoSpaceDN w:val="0"/>
              <w:adjustRightInd w:val="0"/>
              <w:spacing w:line="288" w:lineRule="auto"/>
              <w:rPr>
                <w:color w:val="000000"/>
              </w:rPr>
            </w:pPr>
            <w:r w:rsidRPr="0078129A">
              <w:rPr>
                <w:color w:val="000000"/>
              </w:rPr>
              <w:t>42</w:t>
            </w:r>
          </w:p>
        </w:tc>
        <w:tc>
          <w:tcPr>
            <w:tcW w:w="156" w:type="dxa"/>
            <w:tcBorders>
              <w:top w:val="nil"/>
              <w:left w:val="nil"/>
              <w:bottom w:val="nil"/>
              <w:right w:val="nil"/>
            </w:tcBorders>
          </w:tcPr>
          <w:p w14:paraId="37F4869B" w14:textId="77777777" w:rsidR="00585720" w:rsidRPr="0078129A" w:rsidRDefault="00585720" w:rsidP="0078129A">
            <w:pPr>
              <w:autoSpaceDE w:val="0"/>
              <w:autoSpaceDN w:val="0"/>
              <w:adjustRightInd w:val="0"/>
              <w:spacing w:line="288" w:lineRule="auto"/>
              <w:rPr>
                <w:color w:val="000000"/>
              </w:rPr>
            </w:pPr>
          </w:p>
        </w:tc>
        <w:tc>
          <w:tcPr>
            <w:tcW w:w="3114" w:type="dxa"/>
            <w:tcBorders>
              <w:top w:val="single" w:sz="6" w:space="0" w:color="auto"/>
              <w:left w:val="single" w:sz="6" w:space="0" w:color="auto"/>
              <w:bottom w:val="single" w:sz="6" w:space="0" w:color="auto"/>
              <w:right w:val="single" w:sz="6" w:space="0" w:color="auto"/>
            </w:tcBorders>
          </w:tcPr>
          <w:p w14:paraId="3ADCB15D" w14:textId="77777777" w:rsidR="00585720" w:rsidRPr="0078129A" w:rsidRDefault="00585720" w:rsidP="0078129A">
            <w:pPr>
              <w:autoSpaceDE w:val="0"/>
              <w:autoSpaceDN w:val="0"/>
              <w:adjustRightInd w:val="0"/>
              <w:spacing w:line="288" w:lineRule="auto"/>
              <w:rPr>
                <w:color w:val="000000"/>
              </w:rPr>
            </w:pPr>
            <w:r w:rsidRPr="0078129A">
              <w:rPr>
                <w:color w:val="000000"/>
              </w:rPr>
              <w:t>Selskabsskat (antaget)</w:t>
            </w:r>
          </w:p>
        </w:tc>
        <w:tc>
          <w:tcPr>
            <w:tcW w:w="907" w:type="dxa"/>
            <w:tcBorders>
              <w:top w:val="single" w:sz="6" w:space="0" w:color="auto"/>
              <w:left w:val="single" w:sz="6" w:space="0" w:color="auto"/>
              <w:bottom w:val="single" w:sz="6" w:space="0" w:color="auto"/>
              <w:right w:val="single" w:sz="6" w:space="0" w:color="auto"/>
            </w:tcBorders>
          </w:tcPr>
          <w:p w14:paraId="3F8D1A72"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20 </w:t>
            </w:r>
          </w:p>
        </w:tc>
        <w:tc>
          <w:tcPr>
            <w:tcW w:w="170" w:type="dxa"/>
            <w:tcBorders>
              <w:top w:val="nil"/>
              <w:left w:val="nil"/>
              <w:bottom w:val="nil"/>
              <w:right w:val="nil"/>
            </w:tcBorders>
          </w:tcPr>
          <w:p w14:paraId="233C6334" w14:textId="77777777" w:rsidR="00585720" w:rsidRPr="0078129A" w:rsidRDefault="00585720" w:rsidP="0078129A">
            <w:pPr>
              <w:autoSpaceDE w:val="0"/>
              <w:autoSpaceDN w:val="0"/>
              <w:adjustRightInd w:val="0"/>
              <w:spacing w:line="288" w:lineRule="auto"/>
              <w:rPr>
                <w:color w:val="000000"/>
              </w:rPr>
            </w:pPr>
          </w:p>
        </w:tc>
        <w:tc>
          <w:tcPr>
            <w:tcW w:w="2520" w:type="dxa"/>
            <w:tcBorders>
              <w:top w:val="single" w:sz="6" w:space="0" w:color="auto"/>
              <w:left w:val="single" w:sz="6" w:space="0" w:color="auto"/>
              <w:bottom w:val="single" w:sz="6" w:space="0" w:color="auto"/>
              <w:right w:val="single" w:sz="6" w:space="0" w:color="auto"/>
            </w:tcBorders>
          </w:tcPr>
          <w:p w14:paraId="5EB688EC" w14:textId="77777777" w:rsidR="00585720" w:rsidRPr="0078129A" w:rsidRDefault="00585720" w:rsidP="0078129A">
            <w:pPr>
              <w:autoSpaceDE w:val="0"/>
              <w:autoSpaceDN w:val="0"/>
              <w:adjustRightInd w:val="0"/>
              <w:spacing w:line="288" w:lineRule="auto"/>
              <w:rPr>
                <w:color w:val="000000"/>
              </w:rPr>
            </w:pPr>
            <w:r w:rsidRPr="0078129A">
              <w:rPr>
                <w:color w:val="000000"/>
              </w:rPr>
              <w:t>Selskabsskat</w:t>
            </w:r>
          </w:p>
        </w:tc>
        <w:tc>
          <w:tcPr>
            <w:tcW w:w="907" w:type="dxa"/>
            <w:tcBorders>
              <w:top w:val="single" w:sz="6" w:space="0" w:color="auto"/>
              <w:left w:val="single" w:sz="6" w:space="0" w:color="auto"/>
              <w:bottom w:val="single" w:sz="6" w:space="0" w:color="auto"/>
              <w:right w:val="single" w:sz="6" w:space="0" w:color="auto"/>
            </w:tcBorders>
          </w:tcPr>
          <w:p w14:paraId="1BAFA712"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25 </w:t>
            </w:r>
          </w:p>
        </w:tc>
      </w:tr>
      <w:tr w:rsidR="00585720" w:rsidRPr="00F61C06" w14:paraId="1DBF9A5B" w14:textId="77777777" w:rsidTr="001A5A89">
        <w:trPr>
          <w:trHeight w:val="476"/>
        </w:trPr>
        <w:tc>
          <w:tcPr>
            <w:tcW w:w="1783" w:type="dxa"/>
            <w:tcBorders>
              <w:top w:val="nil"/>
              <w:left w:val="single" w:sz="6" w:space="0" w:color="auto"/>
              <w:bottom w:val="nil"/>
              <w:right w:val="nil"/>
            </w:tcBorders>
          </w:tcPr>
          <w:p w14:paraId="3CB6BB5C" w14:textId="77777777" w:rsidR="00585720" w:rsidRPr="0078129A" w:rsidRDefault="00585720" w:rsidP="0078129A">
            <w:pPr>
              <w:autoSpaceDE w:val="0"/>
              <w:autoSpaceDN w:val="0"/>
              <w:adjustRightInd w:val="0"/>
              <w:spacing w:line="288" w:lineRule="auto"/>
              <w:rPr>
                <w:color w:val="000000"/>
              </w:rPr>
            </w:pPr>
          </w:p>
        </w:tc>
        <w:tc>
          <w:tcPr>
            <w:tcW w:w="721" w:type="dxa"/>
            <w:tcBorders>
              <w:top w:val="nil"/>
              <w:left w:val="nil"/>
              <w:bottom w:val="nil"/>
              <w:right w:val="single" w:sz="6" w:space="0" w:color="auto"/>
            </w:tcBorders>
          </w:tcPr>
          <w:p w14:paraId="493E85BF" w14:textId="77777777" w:rsidR="00585720" w:rsidRPr="0078129A" w:rsidRDefault="00585720" w:rsidP="0078129A">
            <w:pPr>
              <w:autoSpaceDE w:val="0"/>
              <w:autoSpaceDN w:val="0"/>
              <w:adjustRightInd w:val="0"/>
              <w:spacing w:line="288" w:lineRule="auto"/>
              <w:rPr>
                <w:color w:val="000000"/>
              </w:rPr>
            </w:pPr>
          </w:p>
        </w:tc>
        <w:tc>
          <w:tcPr>
            <w:tcW w:w="156" w:type="dxa"/>
            <w:tcBorders>
              <w:top w:val="nil"/>
              <w:left w:val="nil"/>
              <w:bottom w:val="nil"/>
              <w:right w:val="nil"/>
            </w:tcBorders>
          </w:tcPr>
          <w:p w14:paraId="7E9DDB9B" w14:textId="77777777" w:rsidR="00585720" w:rsidRPr="0078129A" w:rsidRDefault="00585720" w:rsidP="0078129A">
            <w:pPr>
              <w:autoSpaceDE w:val="0"/>
              <w:autoSpaceDN w:val="0"/>
              <w:adjustRightInd w:val="0"/>
              <w:spacing w:line="288" w:lineRule="auto"/>
              <w:rPr>
                <w:color w:val="000000"/>
              </w:rPr>
            </w:pPr>
          </w:p>
        </w:tc>
        <w:tc>
          <w:tcPr>
            <w:tcW w:w="3114" w:type="dxa"/>
            <w:tcBorders>
              <w:top w:val="single" w:sz="6" w:space="0" w:color="auto"/>
              <w:left w:val="single" w:sz="6" w:space="0" w:color="auto"/>
              <w:bottom w:val="single" w:sz="6" w:space="0" w:color="auto"/>
              <w:right w:val="single" w:sz="6" w:space="0" w:color="auto"/>
            </w:tcBorders>
          </w:tcPr>
          <w:p w14:paraId="08FEC6BE" w14:textId="77777777" w:rsidR="00585720" w:rsidRPr="0078129A" w:rsidRDefault="00585720" w:rsidP="0078129A">
            <w:pPr>
              <w:autoSpaceDE w:val="0"/>
              <w:autoSpaceDN w:val="0"/>
              <w:adjustRightInd w:val="0"/>
              <w:spacing w:line="288" w:lineRule="auto"/>
              <w:rPr>
                <w:color w:val="000000"/>
              </w:rPr>
            </w:pPr>
            <w:r w:rsidRPr="0078129A">
              <w:rPr>
                <w:color w:val="000000"/>
              </w:rPr>
              <w:t>Likvidationsprovenu</w:t>
            </w:r>
          </w:p>
        </w:tc>
        <w:tc>
          <w:tcPr>
            <w:tcW w:w="907" w:type="dxa"/>
            <w:tcBorders>
              <w:top w:val="single" w:sz="6" w:space="0" w:color="auto"/>
              <w:left w:val="single" w:sz="6" w:space="0" w:color="auto"/>
              <w:bottom w:val="single" w:sz="6" w:space="0" w:color="auto"/>
              <w:right w:val="single" w:sz="6" w:space="0" w:color="auto"/>
            </w:tcBorders>
          </w:tcPr>
          <w:p w14:paraId="311B1D33"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80 </w:t>
            </w:r>
          </w:p>
        </w:tc>
        <w:tc>
          <w:tcPr>
            <w:tcW w:w="170" w:type="dxa"/>
            <w:tcBorders>
              <w:top w:val="nil"/>
              <w:left w:val="nil"/>
              <w:bottom w:val="nil"/>
              <w:right w:val="nil"/>
            </w:tcBorders>
          </w:tcPr>
          <w:p w14:paraId="783BED83" w14:textId="77777777" w:rsidR="00585720" w:rsidRPr="0078129A" w:rsidRDefault="00585720" w:rsidP="0078129A">
            <w:pPr>
              <w:autoSpaceDE w:val="0"/>
              <w:autoSpaceDN w:val="0"/>
              <w:adjustRightInd w:val="0"/>
              <w:spacing w:line="288" w:lineRule="auto"/>
              <w:rPr>
                <w:color w:val="000000"/>
              </w:rPr>
            </w:pPr>
          </w:p>
        </w:tc>
        <w:tc>
          <w:tcPr>
            <w:tcW w:w="2520" w:type="dxa"/>
            <w:tcBorders>
              <w:top w:val="single" w:sz="6" w:space="0" w:color="auto"/>
              <w:left w:val="single" w:sz="6" w:space="0" w:color="auto"/>
              <w:bottom w:val="single" w:sz="6" w:space="0" w:color="auto"/>
              <w:right w:val="single" w:sz="6" w:space="0" w:color="auto"/>
            </w:tcBorders>
          </w:tcPr>
          <w:p w14:paraId="2E13BF70" w14:textId="77777777" w:rsidR="00585720" w:rsidRPr="0078129A" w:rsidRDefault="00585720" w:rsidP="0078129A">
            <w:pPr>
              <w:autoSpaceDE w:val="0"/>
              <w:autoSpaceDN w:val="0"/>
              <w:adjustRightInd w:val="0"/>
              <w:spacing w:line="288" w:lineRule="auto"/>
              <w:rPr>
                <w:color w:val="000000"/>
              </w:rPr>
            </w:pPr>
            <w:r w:rsidRPr="0078129A">
              <w:rPr>
                <w:color w:val="000000"/>
              </w:rPr>
              <w:t>Overskud efter skat</w:t>
            </w:r>
          </w:p>
        </w:tc>
        <w:tc>
          <w:tcPr>
            <w:tcW w:w="907" w:type="dxa"/>
            <w:tcBorders>
              <w:top w:val="single" w:sz="6" w:space="0" w:color="auto"/>
              <w:left w:val="single" w:sz="6" w:space="0" w:color="auto"/>
              <w:bottom w:val="single" w:sz="6" w:space="0" w:color="auto"/>
              <w:right w:val="single" w:sz="6" w:space="0" w:color="auto"/>
            </w:tcBorders>
          </w:tcPr>
          <w:p w14:paraId="46A40779"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75 </w:t>
            </w:r>
          </w:p>
        </w:tc>
      </w:tr>
      <w:tr w:rsidR="00585720" w:rsidRPr="00F61C06" w14:paraId="4B87BE5E" w14:textId="77777777" w:rsidTr="001A5A89">
        <w:trPr>
          <w:trHeight w:val="736"/>
        </w:trPr>
        <w:tc>
          <w:tcPr>
            <w:tcW w:w="1783" w:type="dxa"/>
            <w:tcBorders>
              <w:top w:val="nil"/>
              <w:left w:val="single" w:sz="6" w:space="0" w:color="auto"/>
              <w:bottom w:val="nil"/>
              <w:right w:val="nil"/>
            </w:tcBorders>
          </w:tcPr>
          <w:p w14:paraId="5A915007" w14:textId="77777777" w:rsidR="00585720" w:rsidRPr="0078129A" w:rsidRDefault="00585720" w:rsidP="0078129A">
            <w:pPr>
              <w:autoSpaceDE w:val="0"/>
              <w:autoSpaceDN w:val="0"/>
              <w:adjustRightInd w:val="0"/>
              <w:spacing w:line="288" w:lineRule="auto"/>
              <w:rPr>
                <w:color w:val="000000"/>
              </w:rPr>
            </w:pPr>
          </w:p>
        </w:tc>
        <w:tc>
          <w:tcPr>
            <w:tcW w:w="721" w:type="dxa"/>
            <w:tcBorders>
              <w:top w:val="nil"/>
              <w:left w:val="nil"/>
              <w:bottom w:val="nil"/>
              <w:right w:val="single" w:sz="6" w:space="0" w:color="auto"/>
            </w:tcBorders>
          </w:tcPr>
          <w:p w14:paraId="13B7F483" w14:textId="77777777" w:rsidR="00585720" w:rsidRPr="0078129A" w:rsidRDefault="00585720" w:rsidP="0078129A">
            <w:pPr>
              <w:autoSpaceDE w:val="0"/>
              <w:autoSpaceDN w:val="0"/>
              <w:adjustRightInd w:val="0"/>
              <w:spacing w:line="288" w:lineRule="auto"/>
              <w:rPr>
                <w:color w:val="000000"/>
              </w:rPr>
            </w:pPr>
          </w:p>
        </w:tc>
        <w:tc>
          <w:tcPr>
            <w:tcW w:w="156" w:type="dxa"/>
            <w:tcBorders>
              <w:top w:val="nil"/>
              <w:left w:val="nil"/>
              <w:bottom w:val="nil"/>
              <w:right w:val="nil"/>
            </w:tcBorders>
          </w:tcPr>
          <w:p w14:paraId="132C0282" w14:textId="77777777" w:rsidR="00585720" w:rsidRPr="0078129A" w:rsidRDefault="00585720" w:rsidP="0078129A">
            <w:pPr>
              <w:autoSpaceDE w:val="0"/>
              <w:autoSpaceDN w:val="0"/>
              <w:adjustRightInd w:val="0"/>
              <w:spacing w:line="288" w:lineRule="auto"/>
              <w:rPr>
                <w:color w:val="000000"/>
              </w:rPr>
            </w:pPr>
          </w:p>
        </w:tc>
        <w:tc>
          <w:tcPr>
            <w:tcW w:w="3114" w:type="dxa"/>
            <w:tcBorders>
              <w:top w:val="single" w:sz="6" w:space="0" w:color="auto"/>
              <w:left w:val="single" w:sz="6" w:space="0" w:color="auto"/>
              <w:bottom w:val="single" w:sz="6" w:space="0" w:color="auto"/>
              <w:right w:val="single" w:sz="6" w:space="0" w:color="auto"/>
            </w:tcBorders>
          </w:tcPr>
          <w:p w14:paraId="1A69028E" w14:textId="77777777" w:rsidR="00585720" w:rsidRPr="0078129A" w:rsidRDefault="00585720" w:rsidP="0078129A">
            <w:pPr>
              <w:autoSpaceDE w:val="0"/>
              <w:autoSpaceDN w:val="0"/>
              <w:adjustRightInd w:val="0"/>
              <w:spacing w:line="288" w:lineRule="auto"/>
              <w:rPr>
                <w:color w:val="000000"/>
              </w:rPr>
            </w:pPr>
            <w:r w:rsidRPr="0078129A">
              <w:rPr>
                <w:color w:val="000000"/>
              </w:rPr>
              <w:t>Medregnes til skattepligtig indkomst (65 procent af 80)</w:t>
            </w:r>
          </w:p>
        </w:tc>
        <w:tc>
          <w:tcPr>
            <w:tcW w:w="907" w:type="dxa"/>
            <w:tcBorders>
              <w:top w:val="single" w:sz="6" w:space="0" w:color="auto"/>
              <w:left w:val="single" w:sz="6" w:space="0" w:color="auto"/>
              <w:bottom w:val="single" w:sz="6" w:space="0" w:color="auto"/>
              <w:right w:val="single" w:sz="6" w:space="0" w:color="auto"/>
            </w:tcBorders>
          </w:tcPr>
          <w:p w14:paraId="4993C672"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52 </w:t>
            </w:r>
          </w:p>
        </w:tc>
        <w:tc>
          <w:tcPr>
            <w:tcW w:w="170" w:type="dxa"/>
            <w:tcBorders>
              <w:top w:val="nil"/>
              <w:left w:val="nil"/>
              <w:bottom w:val="nil"/>
              <w:right w:val="nil"/>
            </w:tcBorders>
          </w:tcPr>
          <w:p w14:paraId="4530DA7B" w14:textId="77777777" w:rsidR="00585720" w:rsidRPr="0078129A" w:rsidRDefault="00585720" w:rsidP="0078129A">
            <w:pPr>
              <w:autoSpaceDE w:val="0"/>
              <w:autoSpaceDN w:val="0"/>
              <w:adjustRightInd w:val="0"/>
              <w:spacing w:line="288" w:lineRule="auto"/>
              <w:rPr>
                <w:color w:val="000000"/>
              </w:rPr>
            </w:pPr>
          </w:p>
        </w:tc>
        <w:tc>
          <w:tcPr>
            <w:tcW w:w="2520" w:type="dxa"/>
            <w:tcBorders>
              <w:top w:val="single" w:sz="6" w:space="0" w:color="auto"/>
              <w:left w:val="single" w:sz="6" w:space="0" w:color="auto"/>
              <w:bottom w:val="single" w:sz="6" w:space="0" w:color="auto"/>
              <w:right w:val="single" w:sz="6" w:space="0" w:color="auto"/>
            </w:tcBorders>
          </w:tcPr>
          <w:p w14:paraId="7E3A7D11" w14:textId="77777777" w:rsidR="00585720" w:rsidRPr="0078129A" w:rsidRDefault="00585720" w:rsidP="0078129A">
            <w:pPr>
              <w:autoSpaceDE w:val="0"/>
              <w:autoSpaceDN w:val="0"/>
              <w:adjustRightInd w:val="0"/>
              <w:spacing w:line="288" w:lineRule="auto"/>
              <w:rPr>
                <w:color w:val="000000"/>
              </w:rPr>
            </w:pPr>
            <w:r w:rsidRPr="0078129A">
              <w:rPr>
                <w:color w:val="000000"/>
              </w:rPr>
              <w:t>Kildebeskatning af likvidationsprovenu (17 pct. af 75 kr.)</w:t>
            </w:r>
          </w:p>
        </w:tc>
        <w:tc>
          <w:tcPr>
            <w:tcW w:w="907" w:type="dxa"/>
            <w:tcBorders>
              <w:top w:val="single" w:sz="6" w:space="0" w:color="auto"/>
              <w:left w:val="single" w:sz="6" w:space="0" w:color="auto"/>
              <w:bottom w:val="single" w:sz="6" w:space="0" w:color="auto"/>
              <w:right w:val="single" w:sz="6" w:space="0" w:color="auto"/>
            </w:tcBorders>
          </w:tcPr>
          <w:p w14:paraId="24DCF3F5"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17 </w:t>
            </w:r>
          </w:p>
        </w:tc>
      </w:tr>
      <w:tr w:rsidR="00585720" w:rsidRPr="00F61C06" w14:paraId="463DD165" w14:textId="77777777" w:rsidTr="001A5A89">
        <w:trPr>
          <w:trHeight w:val="968"/>
        </w:trPr>
        <w:tc>
          <w:tcPr>
            <w:tcW w:w="1783" w:type="dxa"/>
            <w:tcBorders>
              <w:top w:val="nil"/>
              <w:left w:val="single" w:sz="6" w:space="0" w:color="auto"/>
              <w:bottom w:val="nil"/>
              <w:right w:val="nil"/>
            </w:tcBorders>
          </w:tcPr>
          <w:p w14:paraId="319EF71D" w14:textId="77777777" w:rsidR="00585720" w:rsidRPr="0078129A" w:rsidRDefault="00585720" w:rsidP="0078129A">
            <w:pPr>
              <w:autoSpaceDE w:val="0"/>
              <w:autoSpaceDN w:val="0"/>
              <w:adjustRightInd w:val="0"/>
              <w:spacing w:line="288" w:lineRule="auto"/>
              <w:rPr>
                <w:color w:val="000000"/>
              </w:rPr>
            </w:pPr>
          </w:p>
        </w:tc>
        <w:tc>
          <w:tcPr>
            <w:tcW w:w="721" w:type="dxa"/>
            <w:tcBorders>
              <w:top w:val="nil"/>
              <w:left w:val="nil"/>
              <w:bottom w:val="nil"/>
              <w:right w:val="single" w:sz="6" w:space="0" w:color="auto"/>
            </w:tcBorders>
          </w:tcPr>
          <w:p w14:paraId="3A7ADAA5" w14:textId="77777777" w:rsidR="00585720" w:rsidRPr="0078129A" w:rsidRDefault="00585720" w:rsidP="0078129A">
            <w:pPr>
              <w:autoSpaceDE w:val="0"/>
              <w:autoSpaceDN w:val="0"/>
              <w:adjustRightInd w:val="0"/>
              <w:spacing w:line="288" w:lineRule="auto"/>
              <w:rPr>
                <w:color w:val="000000"/>
              </w:rPr>
            </w:pPr>
          </w:p>
        </w:tc>
        <w:tc>
          <w:tcPr>
            <w:tcW w:w="156" w:type="dxa"/>
            <w:tcBorders>
              <w:top w:val="nil"/>
              <w:left w:val="nil"/>
              <w:bottom w:val="nil"/>
              <w:right w:val="nil"/>
            </w:tcBorders>
          </w:tcPr>
          <w:p w14:paraId="1622ADE2" w14:textId="77777777" w:rsidR="00585720" w:rsidRPr="0078129A" w:rsidRDefault="00585720" w:rsidP="0078129A">
            <w:pPr>
              <w:autoSpaceDE w:val="0"/>
              <w:autoSpaceDN w:val="0"/>
              <w:adjustRightInd w:val="0"/>
              <w:spacing w:line="288" w:lineRule="auto"/>
              <w:rPr>
                <w:color w:val="000000"/>
              </w:rPr>
            </w:pPr>
          </w:p>
        </w:tc>
        <w:tc>
          <w:tcPr>
            <w:tcW w:w="3114" w:type="dxa"/>
            <w:tcBorders>
              <w:top w:val="single" w:sz="6" w:space="0" w:color="auto"/>
              <w:left w:val="single" w:sz="6" w:space="0" w:color="auto"/>
              <w:bottom w:val="single" w:sz="6" w:space="0" w:color="auto"/>
              <w:right w:val="single" w:sz="6" w:space="0" w:color="auto"/>
            </w:tcBorders>
          </w:tcPr>
          <w:p w14:paraId="4B756495" w14:textId="77777777" w:rsidR="00585720" w:rsidRPr="0078129A" w:rsidRDefault="00585720" w:rsidP="0078129A">
            <w:pPr>
              <w:autoSpaceDE w:val="0"/>
              <w:autoSpaceDN w:val="0"/>
              <w:adjustRightInd w:val="0"/>
              <w:spacing w:line="288" w:lineRule="auto"/>
              <w:rPr>
                <w:color w:val="000000"/>
              </w:rPr>
            </w:pPr>
            <w:r w:rsidRPr="0078129A">
              <w:rPr>
                <w:color w:val="000000"/>
              </w:rPr>
              <w:t>Skat af andel, der medregnes til skattepligtig indkomst (Ved 42 pct.)</w:t>
            </w:r>
          </w:p>
        </w:tc>
        <w:tc>
          <w:tcPr>
            <w:tcW w:w="907" w:type="dxa"/>
            <w:tcBorders>
              <w:top w:val="single" w:sz="6" w:space="0" w:color="auto"/>
              <w:left w:val="single" w:sz="6" w:space="0" w:color="auto"/>
              <w:bottom w:val="single" w:sz="6" w:space="0" w:color="auto"/>
              <w:right w:val="single" w:sz="6" w:space="0" w:color="auto"/>
            </w:tcBorders>
          </w:tcPr>
          <w:p w14:paraId="71A08BC8" w14:textId="77777777" w:rsidR="00585720" w:rsidRPr="0078129A" w:rsidRDefault="00585720" w:rsidP="0078129A">
            <w:pPr>
              <w:autoSpaceDE w:val="0"/>
              <w:autoSpaceDN w:val="0"/>
              <w:adjustRightInd w:val="0"/>
              <w:spacing w:line="288" w:lineRule="auto"/>
              <w:rPr>
                <w:color w:val="000000"/>
              </w:rPr>
            </w:pPr>
            <w:r w:rsidRPr="0078129A">
              <w:rPr>
                <w:color w:val="000000"/>
              </w:rPr>
              <w:t xml:space="preserve">              22 </w:t>
            </w:r>
          </w:p>
        </w:tc>
        <w:tc>
          <w:tcPr>
            <w:tcW w:w="170" w:type="dxa"/>
            <w:tcBorders>
              <w:top w:val="nil"/>
              <w:left w:val="nil"/>
              <w:bottom w:val="nil"/>
              <w:right w:val="nil"/>
            </w:tcBorders>
          </w:tcPr>
          <w:p w14:paraId="371F67D3" w14:textId="77777777" w:rsidR="00585720" w:rsidRPr="0078129A" w:rsidRDefault="00585720" w:rsidP="0078129A">
            <w:pPr>
              <w:autoSpaceDE w:val="0"/>
              <w:autoSpaceDN w:val="0"/>
              <w:adjustRightInd w:val="0"/>
              <w:spacing w:line="288" w:lineRule="auto"/>
              <w:rPr>
                <w:color w:val="000000"/>
              </w:rPr>
            </w:pPr>
          </w:p>
        </w:tc>
        <w:tc>
          <w:tcPr>
            <w:tcW w:w="2520" w:type="dxa"/>
            <w:tcBorders>
              <w:top w:val="single" w:sz="6" w:space="0" w:color="auto"/>
              <w:left w:val="single" w:sz="6" w:space="0" w:color="auto"/>
              <w:bottom w:val="single" w:sz="6" w:space="0" w:color="auto"/>
              <w:right w:val="single" w:sz="6" w:space="0" w:color="auto"/>
            </w:tcBorders>
          </w:tcPr>
          <w:p w14:paraId="4ADEE058" w14:textId="77777777" w:rsidR="00585720" w:rsidRPr="0078129A" w:rsidRDefault="00585720" w:rsidP="0078129A">
            <w:pPr>
              <w:autoSpaceDE w:val="0"/>
              <w:autoSpaceDN w:val="0"/>
              <w:adjustRightInd w:val="0"/>
              <w:spacing w:line="288" w:lineRule="auto"/>
              <w:rPr>
                <w:color w:val="000000"/>
              </w:rPr>
            </w:pPr>
          </w:p>
        </w:tc>
        <w:tc>
          <w:tcPr>
            <w:tcW w:w="907" w:type="dxa"/>
            <w:tcBorders>
              <w:top w:val="single" w:sz="6" w:space="0" w:color="auto"/>
              <w:left w:val="single" w:sz="6" w:space="0" w:color="auto"/>
              <w:bottom w:val="single" w:sz="6" w:space="0" w:color="auto"/>
              <w:right w:val="single" w:sz="6" w:space="0" w:color="auto"/>
            </w:tcBorders>
          </w:tcPr>
          <w:p w14:paraId="63516FE0" w14:textId="77777777" w:rsidR="00585720" w:rsidRPr="0078129A" w:rsidRDefault="00585720" w:rsidP="0078129A">
            <w:pPr>
              <w:autoSpaceDE w:val="0"/>
              <w:autoSpaceDN w:val="0"/>
              <w:adjustRightInd w:val="0"/>
              <w:spacing w:line="288" w:lineRule="auto"/>
              <w:rPr>
                <w:color w:val="000000"/>
              </w:rPr>
            </w:pPr>
          </w:p>
        </w:tc>
      </w:tr>
      <w:tr w:rsidR="00585720" w:rsidRPr="00F61C06" w14:paraId="1A3CB763" w14:textId="77777777" w:rsidTr="001A5A89">
        <w:trPr>
          <w:trHeight w:val="722"/>
        </w:trPr>
        <w:tc>
          <w:tcPr>
            <w:tcW w:w="1783" w:type="dxa"/>
            <w:tcBorders>
              <w:top w:val="single" w:sz="6" w:space="0" w:color="auto"/>
              <w:left w:val="single" w:sz="6" w:space="0" w:color="auto"/>
              <w:bottom w:val="single" w:sz="6" w:space="0" w:color="auto"/>
              <w:right w:val="single" w:sz="6" w:space="0" w:color="auto"/>
            </w:tcBorders>
          </w:tcPr>
          <w:p w14:paraId="4C96F48B" w14:textId="77777777" w:rsidR="00585720" w:rsidRPr="0078129A" w:rsidRDefault="00585720" w:rsidP="0078129A">
            <w:pPr>
              <w:autoSpaceDE w:val="0"/>
              <w:autoSpaceDN w:val="0"/>
              <w:adjustRightInd w:val="0"/>
              <w:spacing w:line="288" w:lineRule="auto"/>
              <w:rPr>
                <w:b/>
                <w:color w:val="000000"/>
              </w:rPr>
            </w:pPr>
            <w:r w:rsidRPr="0078129A">
              <w:rPr>
                <w:b/>
                <w:color w:val="000000"/>
              </w:rPr>
              <w:t>Udbytte efter skat</w:t>
            </w:r>
          </w:p>
        </w:tc>
        <w:tc>
          <w:tcPr>
            <w:tcW w:w="721" w:type="dxa"/>
            <w:tcBorders>
              <w:top w:val="single" w:sz="6" w:space="0" w:color="auto"/>
              <w:left w:val="single" w:sz="6" w:space="0" w:color="auto"/>
              <w:bottom w:val="single" w:sz="6" w:space="0" w:color="auto"/>
              <w:right w:val="single" w:sz="6" w:space="0" w:color="auto"/>
            </w:tcBorders>
          </w:tcPr>
          <w:p w14:paraId="56306511" w14:textId="77777777" w:rsidR="00585720" w:rsidRPr="0078129A" w:rsidRDefault="00585720" w:rsidP="0078129A">
            <w:pPr>
              <w:autoSpaceDE w:val="0"/>
              <w:autoSpaceDN w:val="0"/>
              <w:adjustRightInd w:val="0"/>
              <w:spacing w:line="288" w:lineRule="auto"/>
              <w:jc w:val="right"/>
              <w:rPr>
                <w:b/>
                <w:color w:val="000000"/>
              </w:rPr>
            </w:pPr>
            <w:r w:rsidRPr="0078129A">
              <w:rPr>
                <w:b/>
                <w:color w:val="000000"/>
              </w:rPr>
              <w:t>58</w:t>
            </w:r>
          </w:p>
        </w:tc>
        <w:tc>
          <w:tcPr>
            <w:tcW w:w="156" w:type="dxa"/>
            <w:tcBorders>
              <w:top w:val="nil"/>
              <w:left w:val="nil"/>
              <w:bottom w:val="single" w:sz="6" w:space="0" w:color="auto"/>
              <w:right w:val="nil"/>
            </w:tcBorders>
          </w:tcPr>
          <w:p w14:paraId="19A21E96" w14:textId="77777777" w:rsidR="00585720" w:rsidRPr="0078129A" w:rsidRDefault="00585720" w:rsidP="0078129A">
            <w:pPr>
              <w:autoSpaceDE w:val="0"/>
              <w:autoSpaceDN w:val="0"/>
              <w:adjustRightInd w:val="0"/>
              <w:spacing w:line="288" w:lineRule="auto"/>
              <w:jc w:val="right"/>
              <w:rPr>
                <w:color w:val="000000"/>
              </w:rPr>
            </w:pPr>
          </w:p>
        </w:tc>
        <w:tc>
          <w:tcPr>
            <w:tcW w:w="3114" w:type="dxa"/>
            <w:tcBorders>
              <w:top w:val="single" w:sz="6" w:space="0" w:color="auto"/>
              <w:left w:val="single" w:sz="6" w:space="0" w:color="auto"/>
              <w:bottom w:val="single" w:sz="6" w:space="0" w:color="auto"/>
              <w:right w:val="single" w:sz="6" w:space="0" w:color="auto"/>
            </w:tcBorders>
          </w:tcPr>
          <w:p w14:paraId="7B7C190F" w14:textId="77777777" w:rsidR="00585720" w:rsidRPr="0078129A" w:rsidRDefault="00585720" w:rsidP="0078129A">
            <w:pPr>
              <w:autoSpaceDE w:val="0"/>
              <w:autoSpaceDN w:val="0"/>
              <w:adjustRightInd w:val="0"/>
              <w:spacing w:line="288" w:lineRule="auto"/>
              <w:rPr>
                <w:b/>
                <w:color w:val="000000"/>
              </w:rPr>
            </w:pPr>
            <w:r w:rsidRPr="0078129A">
              <w:rPr>
                <w:b/>
                <w:color w:val="000000"/>
              </w:rPr>
              <w:t>Likvidationsprovenu efter skat</w:t>
            </w:r>
          </w:p>
        </w:tc>
        <w:tc>
          <w:tcPr>
            <w:tcW w:w="907" w:type="dxa"/>
            <w:tcBorders>
              <w:top w:val="single" w:sz="6" w:space="0" w:color="auto"/>
              <w:left w:val="single" w:sz="6" w:space="0" w:color="auto"/>
              <w:bottom w:val="single" w:sz="6" w:space="0" w:color="auto"/>
              <w:right w:val="single" w:sz="6" w:space="0" w:color="auto"/>
            </w:tcBorders>
          </w:tcPr>
          <w:p w14:paraId="62DA59F8" w14:textId="77777777" w:rsidR="00585720" w:rsidRPr="0078129A" w:rsidRDefault="00585720" w:rsidP="0078129A">
            <w:pPr>
              <w:autoSpaceDE w:val="0"/>
              <w:autoSpaceDN w:val="0"/>
              <w:adjustRightInd w:val="0"/>
              <w:spacing w:line="288" w:lineRule="auto"/>
              <w:jc w:val="right"/>
              <w:rPr>
                <w:b/>
                <w:color w:val="000000"/>
              </w:rPr>
            </w:pPr>
            <w:r w:rsidRPr="0078129A">
              <w:rPr>
                <w:b/>
                <w:color w:val="000000"/>
              </w:rPr>
              <w:t xml:space="preserve">        58 </w:t>
            </w:r>
          </w:p>
        </w:tc>
        <w:tc>
          <w:tcPr>
            <w:tcW w:w="170" w:type="dxa"/>
            <w:tcBorders>
              <w:top w:val="nil"/>
              <w:left w:val="nil"/>
              <w:bottom w:val="single" w:sz="6" w:space="0" w:color="auto"/>
              <w:right w:val="nil"/>
            </w:tcBorders>
          </w:tcPr>
          <w:p w14:paraId="6DBA734E" w14:textId="77777777" w:rsidR="00585720" w:rsidRPr="0078129A" w:rsidRDefault="00585720" w:rsidP="0078129A">
            <w:pPr>
              <w:autoSpaceDE w:val="0"/>
              <w:autoSpaceDN w:val="0"/>
              <w:adjustRightInd w:val="0"/>
              <w:spacing w:line="288" w:lineRule="auto"/>
              <w:jc w:val="right"/>
              <w:rPr>
                <w:color w:val="000000"/>
              </w:rPr>
            </w:pPr>
          </w:p>
        </w:tc>
        <w:tc>
          <w:tcPr>
            <w:tcW w:w="2520" w:type="dxa"/>
            <w:tcBorders>
              <w:top w:val="single" w:sz="6" w:space="0" w:color="auto"/>
              <w:left w:val="single" w:sz="6" w:space="0" w:color="auto"/>
              <w:bottom w:val="single" w:sz="6" w:space="0" w:color="auto"/>
              <w:right w:val="single" w:sz="6" w:space="0" w:color="auto"/>
            </w:tcBorders>
          </w:tcPr>
          <w:p w14:paraId="24E66CFA" w14:textId="77777777" w:rsidR="00585720" w:rsidRPr="0078129A" w:rsidRDefault="00585720" w:rsidP="0078129A">
            <w:pPr>
              <w:autoSpaceDE w:val="0"/>
              <w:autoSpaceDN w:val="0"/>
              <w:adjustRightInd w:val="0"/>
              <w:spacing w:line="288" w:lineRule="auto"/>
              <w:rPr>
                <w:b/>
                <w:color w:val="000000"/>
              </w:rPr>
            </w:pPr>
            <w:r w:rsidRPr="0078129A">
              <w:rPr>
                <w:b/>
                <w:color w:val="000000"/>
              </w:rPr>
              <w:t>Likvidationsprovenu efter skat</w:t>
            </w:r>
          </w:p>
        </w:tc>
        <w:tc>
          <w:tcPr>
            <w:tcW w:w="907" w:type="dxa"/>
            <w:tcBorders>
              <w:top w:val="single" w:sz="6" w:space="0" w:color="auto"/>
              <w:left w:val="single" w:sz="6" w:space="0" w:color="auto"/>
              <w:bottom w:val="single" w:sz="6" w:space="0" w:color="auto"/>
              <w:right w:val="single" w:sz="6" w:space="0" w:color="auto"/>
            </w:tcBorders>
          </w:tcPr>
          <w:p w14:paraId="36EF6D31" w14:textId="77777777" w:rsidR="00585720" w:rsidRPr="0078129A" w:rsidRDefault="00585720" w:rsidP="0078129A">
            <w:pPr>
              <w:autoSpaceDE w:val="0"/>
              <w:autoSpaceDN w:val="0"/>
              <w:adjustRightInd w:val="0"/>
              <w:spacing w:line="288" w:lineRule="auto"/>
              <w:jc w:val="right"/>
              <w:rPr>
                <w:b/>
                <w:color w:val="000000"/>
              </w:rPr>
            </w:pPr>
            <w:r w:rsidRPr="0078129A">
              <w:rPr>
                <w:b/>
                <w:color w:val="000000"/>
              </w:rPr>
              <w:t xml:space="preserve">        59 </w:t>
            </w:r>
          </w:p>
        </w:tc>
      </w:tr>
    </w:tbl>
    <w:p w14:paraId="2654087D" w14:textId="77777777" w:rsidR="00585720" w:rsidRPr="00F61C06" w:rsidRDefault="00585720" w:rsidP="0078129A">
      <w:pPr>
        <w:spacing w:line="288" w:lineRule="auto"/>
        <w:rPr>
          <w:bCs/>
        </w:rPr>
      </w:pPr>
    </w:p>
    <w:p w14:paraId="7CD75A2A" w14:textId="0B6F698D" w:rsidR="007B323E" w:rsidRPr="00F61C06" w:rsidRDefault="007B323E" w:rsidP="0078129A">
      <w:pPr>
        <w:spacing w:line="288" w:lineRule="auto"/>
        <w:rPr>
          <w:bCs/>
        </w:rPr>
      </w:pPr>
      <w:r w:rsidRPr="00F61C06">
        <w:rPr>
          <w:bCs/>
        </w:rPr>
        <w:t>Udbytteskat</w:t>
      </w:r>
      <w:r w:rsidR="00DE2EFB" w:rsidRPr="00F61C06">
        <w:rPr>
          <w:bCs/>
        </w:rPr>
        <w:t>ten svarer til den samlede udskrivningsprocent</w:t>
      </w:r>
      <w:r w:rsidR="005125EA" w:rsidRPr="00F61C06">
        <w:rPr>
          <w:bCs/>
        </w:rPr>
        <w:t xml:space="preserve"> for personer</w:t>
      </w:r>
      <w:r w:rsidR="00DE2EFB" w:rsidRPr="00F61C06">
        <w:rPr>
          <w:bCs/>
        </w:rPr>
        <w:t xml:space="preserve">, dvs. </w:t>
      </w:r>
      <w:r w:rsidRPr="00F61C06">
        <w:rPr>
          <w:bCs/>
        </w:rPr>
        <w:t xml:space="preserve">42 - 44 pct. for fysiske personer. </w:t>
      </w:r>
    </w:p>
    <w:p w14:paraId="52901736" w14:textId="77777777" w:rsidR="007B323E" w:rsidRPr="00F61C06" w:rsidRDefault="007B323E" w:rsidP="0078129A">
      <w:pPr>
        <w:spacing w:line="288" w:lineRule="auto"/>
        <w:rPr>
          <w:bCs/>
        </w:rPr>
      </w:pPr>
    </w:p>
    <w:p w14:paraId="00D66DBE" w14:textId="5879DBD2" w:rsidR="003F71F1" w:rsidRPr="00F61C06" w:rsidRDefault="00BE3072" w:rsidP="0078129A">
      <w:pPr>
        <w:spacing w:line="288" w:lineRule="auto"/>
        <w:rPr>
          <w:bCs/>
        </w:rPr>
      </w:pPr>
      <w:r w:rsidRPr="00F61C06">
        <w:rPr>
          <w:bCs/>
        </w:rPr>
        <w:t xml:space="preserve">Af oversigten fremgår den endelige beskatning </w:t>
      </w:r>
      <w:r w:rsidR="007B323E" w:rsidRPr="00F61C06">
        <w:rPr>
          <w:bCs/>
        </w:rPr>
        <w:t xml:space="preserve">hos skatteyder </w:t>
      </w:r>
      <w:r w:rsidR="005C435B" w:rsidRPr="00F61C06">
        <w:rPr>
          <w:bCs/>
        </w:rPr>
        <w:t xml:space="preserve">af udbytter </w:t>
      </w:r>
      <w:r w:rsidR="000048F5" w:rsidRPr="00F61C06">
        <w:rPr>
          <w:bCs/>
        </w:rPr>
        <w:t xml:space="preserve">og </w:t>
      </w:r>
      <w:r w:rsidRPr="00F61C06">
        <w:rPr>
          <w:bCs/>
        </w:rPr>
        <w:t xml:space="preserve">af </w:t>
      </w:r>
      <w:r w:rsidR="00DF1B9F" w:rsidRPr="00F61C06">
        <w:rPr>
          <w:bCs/>
        </w:rPr>
        <w:t>likvidations</w:t>
      </w:r>
      <w:r w:rsidR="007B323E" w:rsidRPr="00F61C06">
        <w:rPr>
          <w:bCs/>
        </w:rPr>
        <w:t>provenu</w:t>
      </w:r>
      <w:r w:rsidR="00DF1B9F" w:rsidRPr="00F61C06">
        <w:rPr>
          <w:bCs/>
        </w:rPr>
        <w:t xml:space="preserve"> </w:t>
      </w:r>
      <w:r w:rsidR="005C435B" w:rsidRPr="00F61C06">
        <w:rPr>
          <w:bCs/>
        </w:rPr>
        <w:t>afhængigt af</w:t>
      </w:r>
      <w:r w:rsidR="002A04CA" w:rsidRPr="00F61C06">
        <w:rPr>
          <w:bCs/>
        </w:rPr>
        <w:t>,</w:t>
      </w:r>
      <w:r w:rsidR="005C435B" w:rsidRPr="00F61C06">
        <w:rPr>
          <w:bCs/>
        </w:rPr>
        <w:t xml:space="preserve"> </w:t>
      </w:r>
      <w:r w:rsidR="000048F5" w:rsidRPr="00F61C06">
        <w:rPr>
          <w:bCs/>
        </w:rPr>
        <w:t xml:space="preserve">om </w:t>
      </w:r>
      <w:r w:rsidRPr="00F61C06">
        <w:rPr>
          <w:bCs/>
        </w:rPr>
        <w:t xml:space="preserve">der </w:t>
      </w:r>
      <w:r w:rsidR="000048F5" w:rsidRPr="00F61C06">
        <w:rPr>
          <w:bCs/>
        </w:rPr>
        <w:t xml:space="preserve">er </w:t>
      </w:r>
      <w:r w:rsidR="005C435B" w:rsidRPr="00F61C06">
        <w:rPr>
          <w:bCs/>
        </w:rPr>
        <w:t xml:space="preserve">tale om </w:t>
      </w:r>
      <w:r w:rsidRPr="00F61C06">
        <w:rPr>
          <w:bCs/>
        </w:rPr>
        <w:t>et grønlandsk eller et udenlandsk selskab.</w:t>
      </w:r>
      <w:r w:rsidR="00B776D2" w:rsidRPr="00F61C06">
        <w:rPr>
          <w:bCs/>
        </w:rPr>
        <w:t xml:space="preserve"> </w:t>
      </w:r>
      <w:r w:rsidR="005D69B1" w:rsidRPr="00F61C06">
        <w:rPr>
          <w:bCs/>
        </w:rPr>
        <w:t>D</w:t>
      </w:r>
      <w:r w:rsidR="00B776D2" w:rsidRPr="00F61C06">
        <w:rPr>
          <w:bCs/>
        </w:rPr>
        <w:t xml:space="preserve">en </w:t>
      </w:r>
      <w:r w:rsidR="00D56461" w:rsidRPr="00F61C06">
        <w:rPr>
          <w:bCs/>
        </w:rPr>
        <w:t xml:space="preserve">samlede </w:t>
      </w:r>
      <w:r w:rsidR="00B776D2" w:rsidRPr="00F61C06">
        <w:rPr>
          <w:bCs/>
        </w:rPr>
        <w:t>beskatning, når der er tale om udenlandske selskaber</w:t>
      </w:r>
      <w:r w:rsidR="00D56461" w:rsidRPr="00F61C06">
        <w:rPr>
          <w:bCs/>
        </w:rPr>
        <w:t>,</w:t>
      </w:r>
      <w:r w:rsidR="00B776D2" w:rsidRPr="00F61C06">
        <w:rPr>
          <w:bCs/>
        </w:rPr>
        <w:t xml:space="preserve"> vil afhænge af selskabsbeskatning</w:t>
      </w:r>
      <w:r w:rsidR="00D56461" w:rsidRPr="00F61C06">
        <w:rPr>
          <w:bCs/>
        </w:rPr>
        <w:t>en i det land</w:t>
      </w:r>
      <w:r w:rsidR="007B323E" w:rsidRPr="00F61C06">
        <w:rPr>
          <w:bCs/>
        </w:rPr>
        <w:t>,</w:t>
      </w:r>
      <w:r w:rsidR="00D56461" w:rsidRPr="00F61C06">
        <w:rPr>
          <w:bCs/>
        </w:rPr>
        <w:t xml:space="preserve"> </w:t>
      </w:r>
      <w:r w:rsidR="00B776D2" w:rsidRPr="00F61C06">
        <w:rPr>
          <w:bCs/>
        </w:rPr>
        <w:t>selskabet har hjemsted</w:t>
      </w:r>
      <w:r w:rsidR="003F71F1" w:rsidRPr="00F61C06">
        <w:rPr>
          <w:bCs/>
        </w:rPr>
        <w:t xml:space="preserve"> i</w:t>
      </w:r>
      <w:r w:rsidR="00B776D2" w:rsidRPr="00F61C06">
        <w:rPr>
          <w:bCs/>
        </w:rPr>
        <w:t xml:space="preserve">. </w:t>
      </w:r>
      <w:r w:rsidR="00585720" w:rsidRPr="00F61C06">
        <w:rPr>
          <w:bCs/>
        </w:rPr>
        <w:t xml:space="preserve">Der er taget udgangspunkt i en </w:t>
      </w:r>
      <w:r w:rsidR="00DF1B9F" w:rsidRPr="00F61C06">
        <w:rPr>
          <w:bCs/>
        </w:rPr>
        <w:t xml:space="preserve">udenlandsk </w:t>
      </w:r>
      <w:r w:rsidR="00585720" w:rsidRPr="00F61C06">
        <w:rPr>
          <w:bCs/>
        </w:rPr>
        <w:t>selskabsbeskatning på 20 procent</w:t>
      </w:r>
      <w:r w:rsidR="00DF3FE8" w:rsidRPr="00F61C06">
        <w:rPr>
          <w:bCs/>
        </w:rPr>
        <w:t>, idet selskabsskattesatserne i udlandet generelt er lavere end i Grønland.</w:t>
      </w:r>
      <w:r w:rsidR="003F71F1" w:rsidRPr="00F61C06">
        <w:rPr>
          <w:bCs/>
        </w:rPr>
        <w:t xml:space="preserve"> </w:t>
      </w:r>
    </w:p>
    <w:p w14:paraId="33F3EA3A" w14:textId="2F6D9395" w:rsidR="008B6153" w:rsidRPr="00F61C06" w:rsidRDefault="008B6153" w:rsidP="0078129A">
      <w:pPr>
        <w:spacing w:line="288" w:lineRule="auto"/>
        <w:rPr>
          <w:bCs/>
        </w:rPr>
      </w:pPr>
    </w:p>
    <w:p w14:paraId="3D3CCCB1" w14:textId="00E86A5C" w:rsidR="00226B8E" w:rsidRPr="00F61C06" w:rsidRDefault="008B6153" w:rsidP="0078129A">
      <w:pPr>
        <w:spacing w:line="288" w:lineRule="auto"/>
        <w:rPr>
          <w:bCs/>
        </w:rPr>
      </w:pPr>
      <w:r w:rsidRPr="00F61C06">
        <w:rPr>
          <w:bCs/>
        </w:rPr>
        <w:t xml:space="preserve">Beskatningen </w:t>
      </w:r>
      <w:r w:rsidR="007B323E" w:rsidRPr="00F61C06">
        <w:rPr>
          <w:bCs/>
        </w:rPr>
        <w:t xml:space="preserve">af likvidationsprovenuet </w:t>
      </w:r>
      <w:r w:rsidRPr="00F61C06">
        <w:rPr>
          <w:bCs/>
        </w:rPr>
        <w:t>kan dog ende med at blive højere eller lavere end udbytte</w:t>
      </w:r>
      <w:r w:rsidR="007B323E" w:rsidRPr="00F61C06">
        <w:rPr>
          <w:bCs/>
        </w:rPr>
        <w:t>skatten</w:t>
      </w:r>
      <w:r w:rsidRPr="00F61C06">
        <w:rPr>
          <w:bCs/>
        </w:rPr>
        <w:t xml:space="preserve"> blandet andet på grund af, at det ikke er muligt at tage hensyn til</w:t>
      </w:r>
      <w:r w:rsidR="001E7619" w:rsidRPr="00F61C06">
        <w:rPr>
          <w:bCs/>
        </w:rPr>
        <w:t>, at</w:t>
      </w:r>
      <w:r w:rsidRPr="00F61C06">
        <w:rPr>
          <w:bCs/>
        </w:rPr>
        <w:t xml:space="preserve"> selskabsbeskatningen i udlandet</w:t>
      </w:r>
      <w:r w:rsidR="005125EA" w:rsidRPr="00F61C06">
        <w:rPr>
          <w:bCs/>
        </w:rPr>
        <w:t xml:space="preserve"> kan være højere eller lavere end det forudsatte</w:t>
      </w:r>
      <w:r w:rsidRPr="00F61C06">
        <w:rPr>
          <w:bCs/>
        </w:rPr>
        <w:t xml:space="preserve">. </w:t>
      </w:r>
    </w:p>
    <w:p w14:paraId="0A01A5B9" w14:textId="77777777" w:rsidR="008B6153" w:rsidRPr="00F61C06" w:rsidRDefault="008B6153" w:rsidP="0078129A">
      <w:pPr>
        <w:spacing w:line="288" w:lineRule="auto"/>
        <w:rPr>
          <w:bCs/>
        </w:rPr>
      </w:pPr>
    </w:p>
    <w:p w14:paraId="608584C2" w14:textId="59B64658" w:rsidR="00A4738B" w:rsidRPr="00F61C06" w:rsidRDefault="000F2F02" w:rsidP="0078129A">
      <w:pPr>
        <w:spacing w:line="288" w:lineRule="auto"/>
        <w:rPr>
          <w:i/>
        </w:rPr>
      </w:pPr>
      <w:bookmarkStart w:id="3" w:name="_Hlk102651898"/>
      <w:r>
        <w:rPr>
          <w:i/>
        </w:rPr>
        <w:t>2.</w:t>
      </w:r>
      <w:r w:rsidR="00C14C5B">
        <w:rPr>
          <w:i/>
        </w:rPr>
        <w:t>4</w:t>
      </w:r>
      <w:r>
        <w:rPr>
          <w:i/>
        </w:rPr>
        <w:t xml:space="preserve">. </w:t>
      </w:r>
      <w:r w:rsidR="00C77F07" w:rsidRPr="00F61C06">
        <w:rPr>
          <w:i/>
        </w:rPr>
        <w:t>Ændring af reglerne om oplysnings- og dokumentationspligt ved kontrolle</w:t>
      </w:r>
      <w:r w:rsidR="005A1206" w:rsidRPr="00F61C06">
        <w:rPr>
          <w:i/>
        </w:rPr>
        <w:t>re</w:t>
      </w:r>
      <w:r w:rsidR="00C77F07" w:rsidRPr="00F61C06">
        <w:rPr>
          <w:i/>
        </w:rPr>
        <w:t xml:space="preserve">de transaktioner </w:t>
      </w:r>
    </w:p>
    <w:bookmarkEnd w:id="3"/>
    <w:p w14:paraId="7D42DF57" w14:textId="4642E33E" w:rsidR="00101C1B" w:rsidRPr="00F61C06" w:rsidRDefault="00101C1B" w:rsidP="0078129A">
      <w:pPr>
        <w:spacing w:line="288" w:lineRule="auto"/>
      </w:pPr>
      <w:r w:rsidRPr="00F61C06">
        <w:t xml:space="preserve">Det foreslås, at </w:t>
      </w:r>
      <w:r w:rsidR="00474C21" w:rsidRPr="00F61C06">
        <w:t xml:space="preserve">reglerne om </w:t>
      </w:r>
      <w:r w:rsidRPr="00F61C06">
        <w:t>oplysnings- og dokumentationspligten</w:t>
      </w:r>
      <w:r w:rsidR="00474C21" w:rsidRPr="00F61C06">
        <w:t xml:space="preserve"> skærpes</w:t>
      </w:r>
      <w:r w:rsidRPr="00F61C06">
        <w:t>. Det foreslås desuden</w:t>
      </w:r>
      <w:r w:rsidR="005A1206" w:rsidRPr="00F61C06">
        <w:t>,</w:t>
      </w:r>
      <w:r w:rsidRPr="00F61C06">
        <w:t xml:space="preserve"> at </w:t>
      </w:r>
      <w:r w:rsidR="002363AD" w:rsidRPr="00F61C06">
        <w:t>Naalakkersuisut</w:t>
      </w:r>
      <w:r w:rsidRPr="00F61C06">
        <w:t xml:space="preserve"> bemyndiges til at fastsætte regler, der </w:t>
      </w:r>
      <w:r w:rsidR="00EA227E" w:rsidRPr="00F61C06">
        <w:t xml:space="preserve">kan </w:t>
      </w:r>
      <w:r w:rsidRPr="00F61C06">
        <w:t xml:space="preserve">lempe dokumentationspligten i </w:t>
      </w:r>
      <w:r w:rsidR="003F71F1" w:rsidRPr="00F61C06">
        <w:t xml:space="preserve">visse </w:t>
      </w:r>
      <w:r w:rsidRPr="00F61C06">
        <w:t xml:space="preserve">tilfælde. </w:t>
      </w:r>
    </w:p>
    <w:p w14:paraId="097EF6C8" w14:textId="77777777" w:rsidR="00101C1B" w:rsidRPr="00F61C06" w:rsidRDefault="00101C1B" w:rsidP="0078129A">
      <w:pPr>
        <w:spacing w:line="288" w:lineRule="auto"/>
      </w:pPr>
    </w:p>
    <w:p w14:paraId="66CE18F7" w14:textId="16916545" w:rsidR="00EA2D4E" w:rsidRPr="00F61C06" w:rsidRDefault="008C5C4E" w:rsidP="0078129A">
      <w:pPr>
        <w:spacing w:line="288" w:lineRule="auto"/>
      </w:pPr>
      <w:r w:rsidRPr="00F61C06">
        <w:t>Kontrolle</w:t>
      </w:r>
      <w:r w:rsidR="005A1206" w:rsidRPr="00F61C06">
        <w:t>re</w:t>
      </w:r>
      <w:r w:rsidRPr="00F61C06">
        <w:t xml:space="preserve">de parter er i </w:t>
      </w:r>
      <w:r w:rsidR="006316C9">
        <w:t xml:space="preserve">§ 36 a </w:t>
      </w:r>
      <w:r w:rsidRPr="00F61C06">
        <w:t>pålagt at benytte armslængde</w:t>
      </w:r>
      <w:r w:rsidR="00474C21" w:rsidRPr="00F61C06">
        <w:t>princippet</w:t>
      </w:r>
      <w:r w:rsidRPr="00F61C06">
        <w:t>, når de handler med hinanden. Det indebærer</w:t>
      </w:r>
      <w:r w:rsidR="003F71F1" w:rsidRPr="00F61C06">
        <w:t>,</w:t>
      </w:r>
      <w:r w:rsidRPr="00F61C06">
        <w:t xml:space="preserve"> at parterne skal bruge priser og vilkår, der svarer til, hvad uafhængige parter ville benytte i samme situation. Armslængdeprincippet hviler på den betragtning</w:t>
      </w:r>
      <w:r w:rsidR="005A1206" w:rsidRPr="00F61C06">
        <w:t>,</w:t>
      </w:r>
      <w:r w:rsidRPr="00F61C06">
        <w:t xml:space="preserve"> at uafhængige parter har modsatrettede interesser, der gør</w:t>
      </w:r>
      <w:r w:rsidR="00D97B57" w:rsidRPr="00F61C06">
        <w:t>,</w:t>
      </w:r>
      <w:r w:rsidRPr="00F61C06">
        <w:t xml:space="preserve"> at hver part i en </w:t>
      </w:r>
      <w:r w:rsidR="00474C21" w:rsidRPr="00F61C06">
        <w:t xml:space="preserve">aftale </w:t>
      </w:r>
      <w:r w:rsidRPr="00F61C06">
        <w:t>vil søge at opnå de bedst mulige priser og vilkår fra den anden part</w:t>
      </w:r>
      <w:r w:rsidR="003B0994" w:rsidRPr="00F61C06">
        <w:t>.</w:t>
      </w:r>
      <w:r w:rsidRPr="00F61C06">
        <w:t xml:space="preserve"> Sælger ønske</w:t>
      </w:r>
      <w:r w:rsidR="002B245F" w:rsidRPr="00F61C06">
        <w:t>r</w:t>
      </w:r>
      <w:r w:rsidRPr="00F61C06">
        <w:t xml:space="preserve"> at opnå den højest mulige salgspris, og køber har omvendt interesse i at købe billigst muligt. </w:t>
      </w:r>
    </w:p>
    <w:p w14:paraId="0BA0B26C" w14:textId="77777777" w:rsidR="008C5C4E" w:rsidRPr="00F61C06" w:rsidRDefault="008C5C4E" w:rsidP="0078129A">
      <w:pPr>
        <w:spacing w:line="288" w:lineRule="auto"/>
      </w:pPr>
    </w:p>
    <w:p w14:paraId="2EE981EC" w14:textId="41850421" w:rsidR="008C5C4E" w:rsidRPr="00F61C06" w:rsidRDefault="008C5C4E" w:rsidP="0078129A">
      <w:pPr>
        <w:spacing w:line="288" w:lineRule="auto"/>
      </w:pPr>
      <w:r w:rsidRPr="00F61C06">
        <w:t xml:space="preserve">Skatteforvaltningens transfer pricing indsats består i at sikre, at virksomhedernes skattepligtige indkomst er opgjort i overensstemmelse med armslængdeprincippet. Indsatsen på transfer pricing området er således central for at sikre beskatningsgrundlaget og dermed </w:t>
      </w:r>
      <w:r w:rsidR="005A1206" w:rsidRPr="00F61C06">
        <w:t>værne</w:t>
      </w:r>
      <w:r w:rsidRPr="00F61C06">
        <w:t xml:space="preserve"> om Grønlands beskatningsret til aktiviteter i Grønland.</w:t>
      </w:r>
    </w:p>
    <w:p w14:paraId="4F2A0669" w14:textId="77777777" w:rsidR="00F14965" w:rsidRPr="00F61C06" w:rsidRDefault="00F14965" w:rsidP="0078129A">
      <w:pPr>
        <w:spacing w:line="288" w:lineRule="auto"/>
      </w:pPr>
    </w:p>
    <w:p w14:paraId="1A44D585" w14:textId="28B50EEF" w:rsidR="006260F8" w:rsidRPr="00F61C06" w:rsidRDefault="00B56A9B" w:rsidP="0078129A">
      <w:pPr>
        <w:spacing w:line="288" w:lineRule="auto"/>
      </w:pPr>
      <w:r w:rsidRPr="00F61C06">
        <w:t xml:space="preserve">Med henblik på at </w:t>
      </w:r>
      <w:r w:rsidR="003F71F1" w:rsidRPr="00F61C06">
        <w:t xml:space="preserve">sikre </w:t>
      </w:r>
      <w:r w:rsidR="00EA2D4E" w:rsidRPr="00F61C06">
        <w:t xml:space="preserve">dette </w:t>
      </w:r>
      <w:r w:rsidRPr="00F61C06">
        <w:t xml:space="preserve">er </w:t>
      </w:r>
      <w:r w:rsidR="002363AD" w:rsidRPr="00F61C06">
        <w:t xml:space="preserve">skattepligtige </w:t>
      </w:r>
      <w:r w:rsidRPr="00F61C06">
        <w:t xml:space="preserve">pålagt </w:t>
      </w:r>
      <w:r w:rsidR="00685F3E" w:rsidRPr="00F61C06">
        <w:t>at oplyse om omfanget af handler med kontrolle</w:t>
      </w:r>
      <w:r w:rsidR="005A1206" w:rsidRPr="00F61C06">
        <w:t>re</w:t>
      </w:r>
      <w:r w:rsidR="00685F3E" w:rsidRPr="00F61C06">
        <w:t xml:space="preserve">de parter </w:t>
      </w:r>
      <w:r w:rsidR="00D8131E" w:rsidRPr="00F61C06">
        <w:t>(oplysningspligten).</w:t>
      </w:r>
      <w:r w:rsidR="006260F8" w:rsidRPr="00F61C06">
        <w:t xml:space="preserve"> </w:t>
      </w:r>
      <w:r w:rsidR="002B245F" w:rsidRPr="00F61C06">
        <w:t>Oplysningspligten består i</w:t>
      </w:r>
      <w:r w:rsidR="005A1206" w:rsidRPr="00F61C06">
        <w:t>,</w:t>
      </w:r>
      <w:r w:rsidR="002B245F" w:rsidRPr="00F61C06">
        <w:t xml:space="preserve"> at </w:t>
      </w:r>
      <w:r w:rsidR="00DE2A50" w:rsidRPr="00F61C06">
        <w:t xml:space="preserve">de skattepligtige </w:t>
      </w:r>
      <w:r w:rsidR="00EA227E" w:rsidRPr="00F61C06">
        <w:t xml:space="preserve">skal </w:t>
      </w:r>
      <w:r w:rsidR="00DE2A50" w:rsidRPr="00F61C06">
        <w:t xml:space="preserve">udfylde </w:t>
      </w:r>
      <w:r w:rsidR="006260F8" w:rsidRPr="00F61C06">
        <w:t>et skema</w:t>
      </w:r>
      <w:r w:rsidR="002B245F" w:rsidRPr="00F61C06">
        <w:t xml:space="preserve"> om </w:t>
      </w:r>
      <w:r w:rsidR="006260F8" w:rsidRPr="00F61C06">
        <w:t>typer og omfanget af kontrolle</w:t>
      </w:r>
      <w:r w:rsidR="005A1206" w:rsidRPr="00F61C06">
        <w:t>re</w:t>
      </w:r>
      <w:r w:rsidR="006260F8" w:rsidRPr="00F61C06">
        <w:t>de transaktioner</w:t>
      </w:r>
      <w:r w:rsidR="002B245F" w:rsidRPr="00F61C06">
        <w:t xml:space="preserve"> m.v. </w:t>
      </w:r>
      <w:r w:rsidR="006260F8" w:rsidRPr="00F61C06">
        <w:t>Dette skema skal indgives senest samtidigt med selvangivelsen</w:t>
      </w:r>
      <w:r w:rsidR="00DE2A50" w:rsidRPr="00F61C06">
        <w:t>, jf. § 36 b, stk. 1</w:t>
      </w:r>
      <w:r w:rsidR="006260F8" w:rsidRPr="00F61C06">
        <w:t>.</w:t>
      </w:r>
    </w:p>
    <w:p w14:paraId="5DC00DF4" w14:textId="77777777" w:rsidR="00F14965" w:rsidRPr="00F61C06" w:rsidRDefault="00F14965" w:rsidP="0078129A">
      <w:pPr>
        <w:spacing w:line="288" w:lineRule="auto"/>
      </w:pPr>
    </w:p>
    <w:p w14:paraId="2BE44426" w14:textId="450AA1F1" w:rsidR="00EF2AC6" w:rsidRPr="00F61C06" w:rsidRDefault="00F14965" w:rsidP="0078129A">
      <w:pPr>
        <w:spacing w:line="288" w:lineRule="auto"/>
      </w:pPr>
      <w:r w:rsidRPr="00F61C06">
        <w:t>Det er konstateret af skatteforvaltningen</w:t>
      </w:r>
      <w:r w:rsidR="005A1206" w:rsidRPr="00F61C06">
        <w:t>,</w:t>
      </w:r>
      <w:r w:rsidRPr="00F61C06">
        <w:t xml:space="preserve"> at disse oplysningsskemaer i flere tilfælde indsendes for sent</w:t>
      </w:r>
      <w:r w:rsidR="002B245F" w:rsidRPr="00F61C06">
        <w:t>,</w:t>
      </w:r>
      <w:r w:rsidR="00EF2AC6" w:rsidRPr="00F61C06">
        <w:t xml:space="preserve"> </w:t>
      </w:r>
      <w:r w:rsidRPr="00F61C06">
        <w:t>indsendes</w:t>
      </w:r>
      <w:r w:rsidR="00EA2D4E" w:rsidRPr="00F61C06">
        <w:t xml:space="preserve"> i forskellige formater eller indsendes som </w:t>
      </w:r>
      <w:r w:rsidRPr="00F61C06">
        <w:t>indscanne</w:t>
      </w:r>
      <w:r w:rsidR="00EA2D4E" w:rsidRPr="00F61C06">
        <w:t>de</w:t>
      </w:r>
      <w:r w:rsidRPr="00F61C06">
        <w:t xml:space="preserve"> </w:t>
      </w:r>
      <w:r w:rsidR="00EA2D4E" w:rsidRPr="00F61C06">
        <w:t>dokumenter</w:t>
      </w:r>
      <w:r w:rsidRPr="00F61C06">
        <w:t>. Det</w:t>
      </w:r>
      <w:r w:rsidR="001E783A" w:rsidRPr="00F61C06">
        <w:t>te</w:t>
      </w:r>
      <w:r w:rsidRPr="00F61C06">
        <w:t xml:space="preserve"> lægger en belastning på skatteforvaltningen</w:t>
      </w:r>
      <w:r w:rsidR="00EF2AC6" w:rsidRPr="00F61C06">
        <w:t>,</w:t>
      </w:r>
      <w:r w:rsidRPr="00F61C06">
        <w:t xml:space="preserve"> der skal håndtere </w:t>
      </w:r>
      <w:r w:rsidR="00EA2D4E" w:rsidRPr="00F61C06">
        <w:t xml:space="preserve">oplysningerne, </w:t>
      </w:r>
      <w:r w:rsidR="00EF2AC6" w:rsidRPr="00F61C06">
        <w:t>og gør oplysningerne mindre anvendelige</w:t>
      </w:r>
      <w:r w:rsidR="001E783A" w:rsidRPr="00F61C06">
        <w:t xml:space="preserve"> i kontrolarbejdet</w:t>
      </w:r>
      <w:r w:rsidR="00EF2AC6" w:rsidRPr="00F61C06">
        <w:t>.</w:t>
      </w:r>
    </w:p>
    <w:p w14:paraId="6F173EF8" w14:textId="77777777" w:rsidR="00EF2AC6" w:rsidRPr="00F61C06" w:rsidRDefault="00EF2AC6" w:rsidP="0078129A">
      <w:pPr>
        <w:spacing w:line="288" w:lineRule="auto"/>
      </w:pPr>
    </w:p>
    <w:p w14:paraId="69D78FC6" w14:textId="62E6D88A" w:rsidR="00C945BD" w:rsidRPr="00F61C06" w:rsidRDefault="006260F8" w:rsidP="0078129A">
      <w:pPr>
        <w:spacing w:line="288" w:lineRule="auto"/>
      </w:pPr>
      <w:r w:rsidRPr="00F61C06">
        <w:t>Det foreslås</w:t>
      </w:r>
      <w:r w:rsidR="002B245F" w:rsidRPr="00F61C06">
        <w:t xml:space="preserve"> derfor</w:t>
      </w:r>
      <w:r w:rsidR="005A1206" w:rsidRPr="00F61C06">
        <w:t>,</w:t>
      </w:r>
      <w:r w:rsidR="002B245F" w:rsidRPr="00F61C06">
        <w:t xml:space="preserve"> at </w:t>
      </w:r>
      <w:r w:rsidRPr="00F61C06">
        <w:t xml:space="preserve">disse oplysninger </w:t>
      </w:r>
      <w:r w:rsidR="002B245F" w:rsidRPr="00F61C06">
        <w:t xml:space="preserve">senest </w:t>
      </w:r>
      <w:r w:rsidR="00447E1E" w:rsidRPr="00F61C06">
        <w:t>skal indgives d</w:t>
      </w:r>
      <w:r w:rsidR="00D97B57" w:rsidRPr="00F61C06">
        <w:t>en</w:t>
      </w:r>
      <w:r w:rsidR="00447E1E" w:rsidRPr="00F61C06">
        <w:t xml:space="preserve"> 15. juni i året efter indkomståret. </w:t>
      </w:r>
      <w:r w:rsidR="00EF2AC6" w:rsidRPr="00F61C06">
        <w:t xml:space="preserve"> </w:t>
      </w:r>
      <w:r w:rsidR="002363AD" w:rsidRPr="00F61C06">
        <w:t>D</w:t>
      </w:r>
      <w:r w:rsidR="002B245F" w:rsidRPr="00F61C06">
        <w:t>er fastsættes derfor én</w:t>
      </w:r>
      <w:r w:rsidR="00EF2AC6" w:rsidRPr="00F61C06">
        <w:t xml:space="preserve"> frist for indgivelsen af </w:t>
      </w:r>
      <w:r w:rsidR="00DE2A50" w:rsidRPr="00F61C06">
        <w:t>oplysningsskemaet</w:t>
      </w:r>
      <w:r w:rsidR="00D2497F" w:rsidRPr="00F61C06">
        <w:t>, som gælder for alle</w:t>
      </w:r>
      <w:r w:rsidR="00474C21" w:rsidRPr="00F61C06">
        <w:t xml:space="preserve"> </w:t>
      </w:r>
      <w:r w:rsidR="00474C21" w:rsidRPr="00F61C06">
        <w:lastRenderedPageBreak/>
        <w:t>skattepligtige, der har kontrolle</w:t>
      </w:r>
      <w:r w:rsidR="005A1206" w:rsidRPr="00F61C06">
        <w:t>re</w:t>
      </w:r>
      <w:r w:rsidR="00474C21" w:rsidRPr="00F61C06">
        <w:t>de transaktioner</w:t>
      </w:r>
      <w:r w:rsidR="002363AD" w:rsidRPr="00F61C06">
        <w:t>, herunder fysiske personer</w:t>
      </w:r>
      <w:r w:rsidR="00B86E1F" w:rsidRPr="00F61C06">
        <w:t>,</w:t>
      </w:r>
      <w:r w:rsidR="002363AD" w:rsidRPr="00F61C06">
        <w:t xml:space="preserve"> selvstændigt erhvervsdrivende og selskaber</w:t>
      </w:r>
      <w:r w:rsidR="00D2497F" w:rsidRPr="00F61C06">
        <w:t xml:space="preserve">. </w:t>
      </w:r>
      <w:r w:rsidR="00EF2AC6" w:rsidRPr="00F61C06">
        <w:t>Det præcis</w:t>
      </w:r>
      <w:r w:rsidR="00B86E1F" w:rsidRPr="00F61C06">
        <w:t>e</w:t>
      </w:r>
      <w:r w:rsidR="00EF2AC6" w:rsidRPr="00F61C06">
        <w:t>res desuden, at oplysningsskemaet skal indgives elektronisk på den måde</w:t>
      </w:r>
      <w:r w:rsidR="005A1206" w:rsidRPr="00F61C06">
        <w:t>, som</w:t>
      </w:r>
      <w:r w:rsidR="00EF2AC6" w:rsidRPr="00F61C06">
        <w:t xml:space="preserve"> skatteforvaltningen anviser.</w:t>
      </w:r>
      <w:r w:rsidR="00DE2A50" w:rsidRPr="00F61C06">
        <w:t xml:space="preserve"> </w:t>
      </w:r>
    </w:p>
    <w:p w14:paraId="0DB39D7D" w14:textId="77777777" w:rsidR="00C945BD" w:rsidRPr="00F61C06" w:rsidRDefault="00C945BD" w:rsidP="0078129A">
      <w:pPr>
        <w:spacing w:line="288" w:lineRule="auto"/>
      </w:pPr>
    </w:p>
    <w:p w14:paraId="3EAD6FDE" w14:textId="793EFB32" w:rsidR="00DE2A50" w:rsidRPr="00F61C06" w:rsidRDefault="00DE2A50" w:rsidP="0078129A">
      <w:pPr>
        <w:spacing w:line="288" w:lineRule="auto"/>
      </w:pPr>
      <w:r w:rsidRPr="00F61C06">
        <w:t>Det forventes</w:t>
      </w:r>
      <w:r w:rsidR="005A1206" w:rsidRPr="00F61C06">
        <w:t>,</w:t>
      </w:r>
      <w:r w:rsidRPr="00F61C06">
        <w:t xml:space="preserve"> at skatteforvaltningen på sigt vil fastsætte et fast filformat for </w:t>
      </w:r>
      <w:r w:rsidR="007B4C69" w:rsidRPr="00F61C06">
        <w:t>indgivelse af oplysningerne</w:t>
      </w:r>
      <w:r w:rsidR="002B245F" w:rsidRPr="00F61C06">
        <w:t>,</w:t>
      </w:r>
      <w:r w:rsidR="007B4C69" w:rsidRPr="00F61C06">
        <w:t xml:space="preserve"> </w:t>
      </w:r>
      <w:r w:rsidR="00EA227E" w:rsidRPr="00F61C06">
        <w:t xml:space="preserve">samt </w:t>
      </w:r>
      <w:r w:rsidR="002363AD" w:rsidRPr="00F61C06">
        <w:t xml:space="preserve">etablere </w:t>
      </w:r>
      <w:r w:rsidRPr="00F61C06">
        <w:t xml:space="preserve">et elektronisk </w:t>
      </w:r>
      <w:r w:rsidR="00FC4A29" w:rsidRPr="00F61C06">
        <w:t xml:space="preserve">oplysningsskema </w:t>
      </w:r>
      <w:r w:rsidRPr="00F61C06">
        <w:t>på skatteforvaltningens hjemmeside.</w:t>
      </w:r>
      <w:r w:rsidR="00C945BD" w:rsidRPr="00F61C06">
        <w:t xml:space="preserve"> </w:t>
      </w:r>
      <w:r w:rsidR="007B4C69" w:rsidRPr="00F61C06">
        <w:t xml:space="preserve">Forslaget </w:t>
      </w:r>
      <w:r w:rsidRPr="00F61C06">
        <w:t xml:space="preserve">forventes at </w:t>
      </w:r>
      <w:r w:rsidR="00C945BD" w:rsidRPr="00F61C06">
        <w:t xml:space="preserve">øge </w:t>
      </w:r>
      <w:r w:rsidRPr="00F61C06">
        <w:t xml:space="preserve">anvendeligheden af oplysningerne i skatteforvaltningens arbejde. </w:t>
      </w:r>
      <w:r w:rsidR="00EA2D4E" w:rsidRPr="00F61C06">
        <w:t xml:space="preserve">Forslaget </w:t>
      </w:r>
      <w:r w:rsidR="002B245F" w:rsidRPr="00F61C06">
        <w:t xml:space="preserve">forventes </w:t>
      </w:r>
      <w:r w:rsidR="00A831D2" w:rsidRPr="00F61C06">
        <w:t xml:space="preserve">derfor </w:t>
      </w:r>
      <w:r w:rsidR="002B245F" w:rsidRPr="00F61C06">
        <w:t>kun at pålægge de skattepligtige e</w:t>
      </w:r>
      <w:r w:rsidR="00EF4CF9" w:rsidRPr="00F61C06">
        <w:t>n</w:t>
      </w:r>
      <w:r w:rsidR="002B245F" w:rsidRPr="00F61C06">
        <w:t xml:space="preserve"> begrænset meropgave sammenlignet med i dag. </w:t>
      </w:r>
    </w:p>
    <w:p w14:paraId="1EA97EFA" w14:textId="77777777" w:rsidR="002363AD" w:rsidRPr="00F61C06" w:rsidRDefault="002363AD" w:rsidP="0078129A">
      <w:pPr>
        <w:spacing w:line="288" w:lineRule="auto"/>
      </w:pPr>
    </w:p>
    <w:p w14:paraId="1CFDBAC8" w14:textId="1B21BBCA" w:rsidR="00826B45" w:rsidRPr="00F61C06" w:rsidRDefault="00DE2A50" w:rsidP="0078129A">
      <w:pPr>
        <w:spacing w:line="288" w:lineRule="auto"/>
      </w:pPr>
      <w:r w:rsidRPr="00F61C06">
        <w:t xml:space="preserve">Dernæst foreslås </w:t>
      </w:r>
      <w:r w:rsidR="00474C21" w:rsidRPr="00F61C06">
        <w:t>det</w:t>
      </w:r>
      <w:r w:rsidR="00EF4CF9" w:rsidRPr="00F61C06">
        <w:t>,</w:t>
      </w:r>
      <w:r w:rsidR="00474C21" w:rsidRPr="00F61C06">
        <w:t xml:space="preserve"> at </w:t>
      </w:r>
      <w:r w:rsidR="00020B5A" w:rsidRPr="00F61C06">
        <w:t xml:space="preserve">Naalakkersuisut bemyndiges til at fastsætte regler, hvorefter </w:t>
      </w:r>
      <w:r w:rsidR="00474C21" w:rsidRPr="00F61C06">
        <w:t>de skattepligtige pålægges løbende at indgive transfer pricing dokumentationen</w:t>
      </w:r>
      <w:r w:rsidR="00020B5A" w:rsidRPr="00F61C06">
        <w:t xml:space="preserve">, såfremt beløbsstørrelsen af de kontrollede transaktioner overstiger </w:t>
      </w:r>
      <w:r w:rsidR="009D734C">
        <w:t xml:space="preserve">de grænseværdier, som Naalakkersuisut bemyndiges til at fastsætte i </w:t>
      </w:r>
      <w:r w:rsidR="00020B5A" w:rsidRPr="00F61C06">
        <w:t xml:space="preserve">bekendtgørelsen. </w:t>
      </w:r>
    </w:p>
    <w:p w14:paraId="2E4F65BC" w14:textId="738D387F" w:rsidR="00826B45" w:rsidRPr="00F61C06" w:rsidRDefault="00826B45" w:rsidP="0078129A">
      <w:pPr>
        <w:spacing w:line="288" w:lineRule="auto"/>
      </w:pPr>
    </w:p>
    <w:p w14:paraId="55185D7B" w14:textId="7C6605D0" w:rsidR="00AC4FDE" w:rsidRPr="00F61C06" w:rsidRDefault="007B4C69" w:rsidP="0078129A">
      <w:pPr>
        <w:spacing w:line="288" w:lineRule="auto"/>
      </w:pPr>
      <w:r w:rsidRPr="00F61C06">
        <w:t>Dokumentationspligten består i</w:t>
      </w:r>
      <w:r w:rsidR="00EF4CF9" w:rsidRPr="00F61C06">
        <w:t>,</w:t>
      </w:r>
      <w:r w:rsidRPr="00F61C06">
        <w:t xml:space="preserve"> at visse skattepligtige skal udarbejde et skriftligt materiale, der dokumenterer</w:t>
      </w:r>
      <w:r w:rsidR="00D1541A" w:rsidRPr="00F61C06">
        <w:t>,</w:t>
      </w:r>
      <w:r w:rsidRPr="00F61C06">
        <w:t xml:space="preserve"> at de kontrolle</w:t>
      </w:r>
      <w:r w:rsidR="00EF4CF9" w:rsidRPr="00F61C06">
        <w:t>re</w:t>
      </w:r>
      <w:r w:rsidRPr="00F61C06">
        <w:t xml:space="preserve">de </w:t>
      </w:r>
      <w:r w:rsidR="002363AD" w:rsidRPr="00F61C06">
        <w:t>transaktioner</w:t>
      </w:r>
      <w:r w:rsidRPr="00F61C06">
        <w:t xml:space="preserve"> er i overensstemmelse med armslængdeprincippet. </w:t>
      </w:r>
      <w:r w:rsidR="002363AD" w:rsidRPr="00F61C06">
        <w:t>De nærmere k</w:t>
      </w:r>
      <w:r w:rsidRPr="00F61C06">
        <w:t>rav til dokumentation</w:t>
      </w:r>
      <w:r w:rsidR="00054733" w:rsidRPr="00F61C06">
        <w:t xml:space="preserve">en </w:t>
      </w:r>
      <w:r w:rsidRPr="00F61C06">
        <w:t xml:space="preserve">er fastsat i </w:t>
      </w:r>
      <w:r w:rsidR="00474C21" w:rsidRPr="00F61C06">
        <w:t>S</w:t>
      </w:r>
      <w:r w:rsidRPr="00F61C06">
        <w:t xml:space="preserve">elvstyrets bekendtgørelse </w:t>
      </w:r>
      <w:r w:rsidR="00D2497F" w:rsidRPr="00F61C06">
        <w:t>nr. 43 af 25. november 2020 om dokumentation af prisfastsættelsen af kontrollerede transaktioner.</w:t>
      </w:r>
      <w:r w:rsidR="00B86E1F" w:rsidRPr="00F61C06">
        <w:t xml:space="preserve"> </w:t>
      </w:r>
    </w:p>
    <w:p w14:paraId="286D6557" w14:textId="77777777" w:rsidR="001E783A" w:rsidRPr="00F61C06" w:rsidRDefault="001E783A" w:rsidP="0078129A">
      <w:pPr>
        <w:spacing w:line="288" w:lineRule="auto"/>
      </w:pPr>
    </w:p>
    <w:p w14:paraId="07D57F8B" w14:textId="6B8A75A7" w:rsidR="00D2497F" w:rsidRPr="00F61C06" w:rsidRDefault="00417B36" w:rsidP="0078129A">
      <w:pPr>
        <w:spacing w:line="288" w:lineRule="auto"/>
      </w:pPr>
      <w:r w:rsidRPr="00F61C06">
        <w:t>De</w:t>
      </w:r>
      <w:r w:rsidR="008C5C4E" w:rsidRPr="00F61C06">
        <w:t>t</w:t>
      </w:r>
      <w:r w:rsidRPr="00F61C06">
        <w:t xml:space="preserve"> fulde dokumentationskrav gælder dog kun for </w:t>
      </w:r>
      <w:r w:rsidR="007B4C69" w:rsidRPr="00F61C06">
        <w:t>virksomheder og koncerner</w:t>
      </w:r>
      <w:r w:rsidRPr="00F61C06">
        <w:t xml:space="preserve">, der </w:t>
      </w:r>
      <w:r w:rsidR="004009D3" w:rsidRPr="00F61C06">
        <w:t xml:space="preserve">har mindst 250 beskæftigede og har enten en samlet </w:t>
      </w:r>
      <w:r w:rsidR="002363AD" w:rsidRPr="00F61C06">
        <w:t>balancesum</w:t>
      </w:r>
      <w:r w:rsidR="004009D3" w:rsidRPr="00F61C06">
        <w:t xml:space="preserve"> på mindst 125 mio. kr</w:t>
      </w:r>
      <w:r w:rsidR="002363AD" w:rsidRPr="00F61C06">
        <w:t>.,</w:t>
      </w:r>
      <w:r w:rsidR="004009D3" w:rsidRPr="00F61C06">
        <w:t xml:space="preserve"> eller en årlig omsætning på mindst 250 mio. kr.</w:t>
      </w:r>
      <w:r w:rsidR="00D1541A" w:rsidRPr="00F61C06">
        <w:t>,</w:t>
      </w:r>
      <w:r w:rsidR="004009D3" w:rsidRPr="00F61C06">
        <w:t xml:space="preserve"> jf. </w:t>
      </w:r>
      <w:r w:rsidR="007B4C69" w:rsidRPr="00F61C06">
        <w:t>§ 36 b</w:t>
      </w:r>
      <w:r w:rsidR="00D1541A" w:rsidRPr="00F61C06">
        <w:t>,</w:t>
      </w:r>
      <w:r w:rsidR="007B4C69" w:rsidRPr="00F61C06">
        <w:t xml:space="preserve"> stk. 4.</w:t>
      </w:r>
      <w:r w:rsidRPr="00F61C06">
        <w:t xml:space="preserve"> </w:t>
      </w:r>
      <w:r w:rsidR="009F5DB2" w:rsidRPr="00F61C06">
        <w:t>Større virksomheder skal udarbejde dokumentationen for alle kontrolle</w:t>
      </w:r>
      <w:r w:rsidR="00EF4CF9" w:rsidRPr="00F61C06">
        <w:t>re</w:t>
      </w:r>
      <w:r w:rsidR="009F5DB2" w:rsidRPr="00F61C06">
        <w:t>de transaktioner, herunder transaktioner med kontrolle</w:t>
      </w:r>
      <w:r w:rsidR="00EF4CF9" w:rsidRPr="00F61C06">
        <w:t>re</w:t>
      </w:r>
      <w:r w:rsidR="009F5DB2" w:rsidRPr="00F61C06">
        <w:t>de parter i Grønland. Dog skal der ikke udarbejdes dokumentation for transaktioner, der i omfang er ubetydelig</w:t>
      </w:r>
      <w:r w:rsidR="002363AD" w:rsidRPr="00F61C06">
        <w:t>t</w:t>
      </w:r>
      <w:r w:rsidR="009F5DB2" w:rsidRPr="00F61C06">
        <w:t xml:space="preserve">. </w:t>
      </w:r>
      <w:r w:rsidR="00800287" w:rsidRPr="00F61C06">
        <w:t>Mindre</w:t>
      </w:r>
      <w:r w:rsidR="007B4C69" w:rsidRPr="00F61C06">
        <w:t xml:space="preserve"> virksomheder </w:t>
      </w:r>
      <w:r w:rsidRPr="00F61C06">
        <w:t xml:space="preserve">skal kun udarbejde </w:t>
      </w:r>
      <w:r w:rsidR="008C5C4E" w:rsidRPr="00F61C06">
        <w:t>dokumentation</w:t>
      </w:r>
      <w:r w:rsidR="00D2497F" w:rsidRPr="00F61C06">
        <w:t xml:space="preserve"> for kontrolle</w:t>
      </w:r>
      <w:r w:rsidR="00EF4CF9" w:rsidRPr="00F61C06">
        <w:t>re</w:t>
      </w:r>
      <w:r w:rsidR="00D2497F" w:rsidRPr="00F61C06">
        <w:t xml:space="preserve">de transaktioner med parter i lande, hvormed Grønland ikke har indgået en </w:t>
      </w:r>
      <w:r w:rsidR="00020B5A" w:rsidRPr="00F61C06">
        <w:t xml:space="preserve">transfer pricing relevant </w:t>
      </w:r>
      <w:r w:rsidR="00D2497F" w:rsidRPr="00F61C06">
        <w:t>dobbeltbeskatningsoverenskomst</w:t>
      </w:r>
      <w:r w:rsidR="004009D3" w:rsidRPr="00F61C06">
        <w:t>, jf. § 36 b, stk. 4, nr. 1-3</w:t>
      </w:r>
      <w:r w:rsidR="00D2497F" w:rsidRPr="00F61C06">
        <w:t xml:space="preserve">. </w:t>
      </w:r>
    </w:p>
    <w:p w14:paraId="3B7962A7" w14:textId="3ACA750A" w:rsidR="00AC4FDE" w:rsidRPr="00F61C06" w:rsidRDefault="00AC4FDE" w:rsidP="0078129A">
      <w:pPr>
        <w:spacing w:line="288" w:lineRule="auto"/>
      </w:pPr>
    </w:p>
    <w:p w14:paraId="7A2A84EC" w14:textId="14C2CD7C" w:rsidR="00AC4FDE" w:rsidRDefault="00AC4FDE" w:rsidP="009D734C">
      <w:pPr>
        <w:spacing w:line="288" w:lineRule="auto"/>
      </w:pPr>
      <w:r w:rsidRPr="00F61C06">
        <w:t xml:space="preserve">Det er – uden det fornødne grundlag – vanskeligt for </w:t>
      </w:r>
      <w:r w:rsidR="00D1541A" w:rsidRPr="00F61C06">
        <w:t>s</w:t>
      </w:r>
      <w:r w:rsidRPr="00F61C06">
        <w:t xml:space="preserve">katteforvaltningen at stille </w:t>
      </w:r>
      <w:r w:rsidR="004B0DAF" w:rsidRPr="00F61C06">
        <w:t>spørgsmålstegn</w:t>
      </w:r>
      <w:r w:rsidRPr="00F61C06">
        <w:t xml:space="preserve"> ved den oplyste indkomst. Det er derfor vigtigt, at der udarbejdes en transfer pricing-dokumentation. Dokumentation</w:t>
      </w:r>
      <w:r w:rsidR="007F76EE" w:rsidRPr="00F61C06">
        <w:t>en</w:t>
      </w:r>
      <w:r w:rsidRPr="00F61C06">
        <w:t xml:space="preserve"> skal efter reglerne i loven udarbejdes løbende, idet der f.eks. løbende skal tages stilling til, hvem af parterne, der bærer risikoen for transaktionen og derfor skal honoreres for dette. </w:t>
      </w:r>
    </w:p>
    <w:p w14:paraId="2118F867" w14:textId="77777777" w:rsidR="001E36EF" w:rsidRPr="00F61C06" w:rsidRDefault="001E36EF" w:rsidP="0078129A">
      <w:pPr>
        <w:spacing w:line="288" w:lineRule="auto"/>
      </w:pPr>
    </w:p>
    <w:p w14:paraId="776EDCE2" w14:textId="12C005FF" w:rsidR="00054733" w:rsidRPr="00F61C06" w:rsidRDefault="00417B36" w:rsidP="0078129A">
      <w:pPr>
        <w:spacing w:line="288" w:lineRule="auto"/>
      </w:pPr>
      <w:r w:rsidRPr="00F61C06">
        <w:t xml:space="preserve">Efter gældende ret skal </w:t>
      </w:r>
      <w:r w:rsidR="00807C79" w:rsidRPr="00F61C06">
        <w:t>de skattepligtige udarbejde dokumentation</w:t>
      </w:r>
      <w:r w:rsidR="00EF4CF9" w:rsidRPr="00F61C06">
        <w:t>en</w:t>
      </w:r>
      <w:r w:rsidR="00807C79" w:rsidRPr="00F61C06">
        <w:t xml:space="preserve"> og opbevare den, således at den kan indgives til skatteforvaltningen senest 60 dage</w:t>
      </w:r>
      <w:r w:rsidR="00B86E1F" w:rsidRPr="00F61C06">
        <w:t xml:space="preserve"> efter en anmodning</w:t>
      </w:r>
      <w:r w:rsidR="00807C79" w:rsidRPr="00F61C06">
        <w:t xml:space="preserve">. </w:t>
      </w:r>
      <w:r w:rsidR="00054733" w:rsidRPr="00F61C06">
        <w:t xml:space="preserve">60 dages fristen blev indskærpet </w:t>
      </w:r>
      <w:r w:rsidR="009F5DB2" w:rsidRPr="00F61C06">
        <w:t xml:space="preserve">ved </w:t>
      </w:r>
      <w:r w:rsidR="00E3280C" w:rsidRPr="00F61C06">
        <w:t xml:space="preserve">en </w:t>
      </w:r>
      <w:r w:rsidR="009F5DB2" w:rsidRPr="00F61C06">
        <w:t xml:space="preserve">lovændring i </w:t>
      </w:r>
      <w:r w:rsidR="00054733" w:rsidRPr="00F61C06">
        <w:t>2021</w:t>
      </w:r>
      <w:r w:rsidR="00EF4CF9" w:rsidRPr="00F61C06">
        <w:t>,</w:t>
      </w:r>
      <w:r w:rsidR="00054733" w:rsidRPr="00F61C06">
        <w:t xml:space="preserve"> og der blev i samme forbindelse indført </w:t>
      </w:r>
      <w:r w:rsidR="00E3280C" w:rsidRPr="00F61C06">
        <w:t xml:space="preserve">foranstaltninger </w:t>
      </w:r>
      <w:r w:rsidR="00054733" w:rsidRPr="00F61C06">
        <w:t xml:space="preserve">i form af bøder for manglende </w:t>
      </w:r>
      <w:r w:rsidR="00B86E1F" w:rsidRPr="00F61C06">
        <w:t xml:space="preserve">overholdelse af dokumentationspligten. </w:t>
      </w:r>
    </w:p>
    <w:p w14:paraId="731CC941" w14:textId="77777777" w:rsidR="00C945BD" w:rsidRPr="00F61C06" w:rsidRDefault="00C945BD" w:rsidP="0078129A">
      <w:pPr>
        <w:spacing w:line="288" w:lineRule="auto"/>
      </w:pPr>
    </w:p>
    <w:p w14:paraId="4982EA81" w14:textId="77777777" w:rsidR="00F316BD" w:rsidRPr="00F61C06" w:rsidRDefault="00474C21" w:rsidP="0078129A">
      <w:pPr>
        <w:spacing w:line="288" w:lineRule="auto"/>
      </w:pPr>
      <w:r w:rsidRPr="00F61C06">
        <w:lastRenderedPageBreak/>
        <w:t xml:space="preserve">Folketinget </w:t>
      </w:r>
      <w:r w:rsidR="00C945BD" w:rsidRPr="00F61C06">
        <w:t xml:space="preserve">har i 2021 ændret </w:t>
      </w:r>
      <w:r w:rsidRPr="00F61C06">
        <w:t>reglerne i Danmark</w:t>
      </w:r>
      <w:r w:rsidR="00EA227E" w:rsidRPr="00F61C06">
        <w:t xml:space="preserve"> for indgivelse af den skriftlige dokumentation. De </w:t>
      </w:r>
      <w:r w:rsidR="005F032F" w:rsidRPr="00F61C06">
        <w:t xml:space="preserve">skattepligtige </w:t>
      </w:r>
      <w:r w:rsidR="00EA227E" w:rsidRPr="00F61C06">
        <w:t xml:space="preserve">skal </w:t>
      </w:r>
      <w:r w:rsidR="00C945BD" w:rsidRPr="00F61C06">
        <w:t xml:space="preserve">fremover indsende </w:t>
      </w:r>
      <w:r w:rsidR="005F032F" w:rsidRPr="00F61C06">
        <w:t>dokumentation</w:t>
      </w:r>
      <w:r w:rsidR="001E783A" w:rsidRPr="00F61C06">
        <w:t>en</w:t>
      </w:r>
      <w:r w:rsidR="005F032F" w:rsidRPr="00F61C06">
        <w:t xml:space="preserve"> </w:t>
      </w:r>
      <w:r w:rsidR="00EA2D4E" w:rsidRPr="00F61C06">
        <w:t xml:space="preserve">60 dage efter selvangivelsesfristen. Dokumentationen skal således ikke kun indsendes </w:t>
      </w:r>
      <w:r w:rsidR="001E783A" w:rsidRPr="00F61C06">
        <w:t xml:space="preserve">efter </w:t>
      </w:r>
      <w:r w:rsidR="00EA2D4E" w:rsidRPr="00F61C06">
        <w:t>anmodning.</w:t>
      </w:r>
      <w:r w:rsidR="00C93016" w:rsidRPr="00F61C06">
        <w:t xml:space="preserve"> </w:t>
      </w:r>
    </w:p>
    <w:p w14:paraId="61C3ED3E" w14:textId="77777777" w:rsidR="004B0DAF" w:rsidRPr="00F61C06" w:rsidRDefault="004B0DAF" w:rsidP="0078129A">
      <w:pPr>
        <w:spacing w:line="288" w:lineRule="auto"/>
      </w:pPr>
    </w:p>
    <w:p w14:paraId="6F1DC8C0" w14:textId="2BF2BDEC" w:rsidR="009A2986" w:rsidRPr="00F61C06" w:rsidRDefault="009A2986" w:rsidP="0078129A">
      <w:pPr>
        <w:spacing w:line="288" w:lineRule="auto"/>
      </w:pPr>
      <w:r w:rsidRPr="00F61C06">
        <w:t xml:space="preserve">Der kan </w:t>
      </w:r>
      <w:r w:rsidR="004D2E36" w:rsidRPr="00F61C06">
        <w:t xml:space="preserve">være </w:t>
      </w:r>
      <w:r w:rsidRPr="00F61C06">
        <w:t xml:space="preserve">flere fordele forbundet med </w:t>
      </w:r>
      <w:r w:rsidR="004D2E36" w:rsidRPr="00F61C06">
        <w:t xml:space="preserve">en </w:t>
      </w:r>
      <w:r w:rsidRPr="00F61C06">
        <w:t>pligt til løbende indgivelse. Det vil sikre</w:t>
      </w:r>
      <w:r w:rsidR="00D1541A" w:rsidRPr="00F61C06">
        <w:t>,</w:t>
      </w:r>
      <w:r w:rsidRPr="00F61C06">
        <w:t xml:space="preserve"> at </w:t>
      </w:r>
      <w:r w:rsidR="00DE551D" w:rsidRPr="00F61C06">
        <w:t xml:space="preserve">de skattepligtige </w:t>
      </w:r>
      <w:r w:rsidRPr="00F61C06">
        <w:t xml:space="preserve">løbende tager stilling til, hvorvidt deres kontrollede transaktioner er i overensstemmelse med armslængdeprincippet. </w:t>
      </w:r>
      <w:r w:rsidR="00100827" w:rsidRPr="00F61C06">
        <w:t>En transfer pricing-dokumentation, der er løbende udarbejdet og gennemarbejdet, øger sandsynligheden for, at selskaberne har analyseret de kontrollerede transaktioner, og sikrer, at der ikke udarbejdes efterrationaliseringer, jf.</w:t>
      </w:r>
      <w:r w:rsidR="00C276A2" w:rsidRPr="00F61C06">
        <w:t xml:space="preserve"> </w:t>
      </w:r>
      <w:r w:rsidR="00C276A2" w:rsidRPr="009D734C">
        <w:t>punkt 5.7</w:t>
      </w:r>
      <w:r w:rsidR="00100827" w:rsidRPr="00F61C06">
        <w:t xml:space="preserve"> </w:t>
      </w:r>
      <w:r w:rsidR="00C276A2" w:rsidRPr="00F61C06">
        <w:t xml:space="preserve">i </w:t>
      </w:r>
      <w:r w:rsidR="00100827" w:rsidRPr="0078129A">
        <w:t xml:space="preserve">OECD’s Transfer Pricing Guidelines for Multinational Enterprises and </w:t>
      </w:r>
      <w:proofErr w:type="spellStart"/>
      <w:r w:rsidR="00100827" w:rsidRPr="0078129A">
        <w:t>Tax</w:t>
      </w:r>
      <w:proofErr w:type="spellEnd"/>
      <w:r w:rsidR="00100827" w:rsidRPr="0078129A">
        <w:t xml:space="preserve"> Administrations.</w:t>
      </w:r>
      <w:r w:rsidR="007F76EE" w:rsidRPr="0078129A">
        <w:t xml:space="preserve"> </w:t>
      </w:r>
      <w:r w:rsidRPr="00F61C06">
        <w:t>Når først den skriftlige dokumentation er udarbejdet, er det væsentligt mindre ressourcekrævende at holde dokumentationen opdateret.</w:t>
      </w:r>
      <w:r w:rsidR="00DE551D" w:rsidRPr="00F61C06">
        <w:t xml:space="preserve"> </w:t>
      </w:r>
      <w:r w:rsidRPr="00F61C06">
        <w:t xml:space="preserve">Det kan </w:t>
      </w:r>
      <w:r w:rsidR="004D2E36" w:rsidRPr="00F61C06">
        <w:t xml:space="preserve">fremme overholdelsen af de allerede gældende regler. </w:t>
      </w:r>
      <w:r w:rsidR="004B0DAF" w:rsidRPr="00F61C06">
        <w:t xml:space="preserve">Efter </w:t>
      </w:r>
      <w:r w:rsidR="00100827" w:rsidRPr="00F61C06">
        <w:t>lovændringen</w:t>
      </w:r>
      <w:r w:rsidR="004B0DAF" w:rsidRPr="00F61C06">
        <w:t xml:space="preserve"> </w:t>
      </w:r>
      <w:r w:rsidR="00FC4A29" w:rsidRPr="00F61C06">
        <w:t xml:space="preserve">i 2018 </w:t>
      </w:r>
      <w:r w:rsidR="004B0DAF" w:rsidRPr="00F61C06">
        <w:t xml:space="preserve">har der været pligt til at udarbejde den </w:t>
      </w:r>
      <w:r w:rsidR="00FC4A29" w:rsidRPr="00F61C06">
        <w:t>skriftlige dokumentation, således at den efter anmodning kan indgives til skatteforvaltningen.</w:t>
      </w:r>
    </w:p>
    <w:p w14:paraId="56088B42" w14:textId="559FB1A2" w:rsidR="007D044C" w:rsidRPr="00F61C06" w:rsidRDefault="007D044C" w:rsidP="0078129A">
      <w:pPr>
        <w:spacing w:line="288" w:lineRule="auto"/>
      </w:pPr>
    </w:p>
    <w:p w14:paraId="3D56E5A0" w14:textId="1A6CCC7F" w:rsidR="004B0DAF" w:rsidRPr="00F61C06" w:rsidRDefault="004B0DAF" w:rsidP="0078129A">
      <w:pPr>
        <w:spacing w:line="288" w:lineRule="auto"/>
      </w:pPr>
      <w:r w:rsidRPr="00F61C06">
        <w:t xml:space="preserve">Det vurderes dog på nuværende tidspunkt at være uhensigtsmæssigt byrdefuldt for de skattepligtige at indføre tilsvarende krav for alle skattepligtige, der er omfattet af pligten til at udarbejde skriftlig dokumentation. Det vurderes i stedet mere hensigtsmæssigt at indfase kravet om løbende indgivelse af den skriftlige dokumentation over en årrække ved at begynde med de skattepligtige, der har flest kontrollede transaktioner, og dernæst gradvist sænke grænserne. Naalakkersuisut foreslås på den baggrund bemyndiget til at fastsætte regler om dette. </w:t>
      </w:r>
    </w:p>
    <w:p w14:paraId="49B3FAC6" w14:textId="77777777" w:rsidR="004B0DAF" w:rsidRPr="00F61C06" w:rsidRDefault="004B0DAF" w:rsidP="0078129A">
      <w:pPr>
        <w:spacing w:line="288" w:lineRule="auto"/>
      </w:pPr>
    </w:p>
    <w:p w14:paraId="18A85AFE" w14:textId="73058021" w:rsidR="004B0DAF" w:rsidRPr="00F61C06" w:rsidRDefault="004B0DAF" w:rsidP="0078129A">
      <w:pPr>
        <w:spacing w:line="288" w:lineRule="auto"/>
      </w:pPr>
      <w:r w:rsidRPr="00F61C06">
        <w:t>Ved at indføre kravet om løbende indgivelse over en længere årrække forventes det at give de skattepligtige og revisionsbranchen bedre tid til at opbygge erfaringer med udarbejdelse af den skriftlige dokumentation. En gradvis indfasning af pligten til løbende indgivelse af den skriftlige dokumentation forventes desuden bedre at matche skatteforvaltningens kapacitet for at gennemføre kontroller af dokumentationen.</w:t>
      </w:r>
    </w:p>
    <w:p w14:paraId="0E466329" w14:textId="77777777" w:rsidR="004B0DAF" w:rsidRPr="00F61C06" w:rsidRDefault="004B0DAF" w:rsidP="0078129A">
      <w:pPr>
        <w:spacing w:line="288" w:lineRule="auto"/>
      </w:pPr>
    </w:p>
    <w:p w14:paraId="20D33AB8" w14:textId="5F992A5D" w:rsidR="007D044C" w:rsidRPr="00F61C06" w:rsidRDefault="007D044C" w:rsidP="0078129A">
      <w:pPr>
        <w:spacing w:line="288" w:lineRule="auto"/>
      </w:pPr>
      <w:r w:rsidRPr="00F61C06">
        <w:t xml:space="preserve">Skatteforvaltningen kan </w:t>
      </w:r>
      <w:r w:rsidR="001E783A" w:rsidRPr="00F61C06">
        <w:t xml:space="preserve">uden for disse tilfælde </w:t>
      </w:r>
      <w:r w:rsidRPr="00F61C06">
        <w:t>fortsat anmode om transfer pricing dokumentation</w:t>
      </w:r>
      <w:r w:rsidR="00474C21" w:rsidRPr="00F61C06">
        <w:t xml:space="preserve">, som </w:t>
      </w:r>
      <w:r w:rsidRPr="00F61C06">
        <w:t xml:space="preserve">senest </w:t>
      </w:r>
      <w:r w:rsidR="00474C21" w:rsidRPr="00F61C06">
        <w:t xml:space="preserve">skal indgives </w:t>
      </w:r>
      <w:r w:rsidRPr="00F61C06">
        <w:t>60 dage efter anmodningen.</w:t>
      </w:r>
    </w:p>
    <w:p w14:paraId="11BAEE02" w14:textId="77777777" w:rsidR="00E3280C" w:rsidRPr="00F61C06" w:rsidRDefault="00E3280C" w:rsidP="0078129A">
      <w:pPr>
        <w:spacing w:line="288" w:lineRule="auto"/>
      </w:pPr>
    </w:p>
    <w:p w14:paraId="4B497DFF" w14:textId="4C89591D" w:rsidR="00BA0D9B" w:rsidRPr="00F61C06" w:rsidRDefault="00847144" w:rsidP="0078129A">
      <w:pPr>
        <w:spacing w:line="288" w:lineRule="auto"/>
      </w:pPr>
      <w:r w:rsidRPr="00F61C06">
        <w:t>Dernæst foreslås Naalakkersuisu</w:t>
      </w:r>
      <w:r w:rsidR="00EB12DA" w:rsidRPr="00F61C06">
        <w:t>t</w:t>
      </w:r>
      <w:r w:rsidRPr="00F61C06">
        <w:t xml:space="preserve"> bemyndiget til at </w:t>
      </w:r>
      <w:r w:rsidR="006F4AFA" w:rsidRPr="00F61C06">
        <w:t xml:space="preserve">fastsætte regler, der kan fritage skattepligtige fra </w:t>
      </w:r>
      <w:r w:rsidR="00E813DA" w:rsidRPr="00F61C06">
        <w:t xml:space="preserve">dokumentationskravet </w:t>
      </w:r>
      <w:r w:rsidRPr="00F61C06">
        <w:t xml:space="preserve">for </w:t>
      </w:r>
      <w:r w:rsidR="00F10E7A" w:rsidRPr="00F61C06">
        <w:t xml:space="preserve">nærmere </w:t>
      </w:r>
      <w:r w:rsidRPr="00F61C06">
        <w:t>angiv</w:t>
      </w:r>
      <w:r w:rsidR="00E813DA" w:rsidRPr="00F61C06">
        <w:t>n</w:t>
      </w:r>
      <w:r w:rsidRPr="00F61C06">
        <w:t xml:space="preserve">e </w:t>
      </w:r>
      <w:r w:rsidR="002B1BB4" w:rsidRPr="00F61C06">
        <w:t xml:space="preserve">typer af </w:t>
      </w:r>
      <w:r w:rsidRPr="00F61C06">
        <w:t>transaktioner.</w:t>
      </w:r>
      <w:r w:rsidR="002B1BB4" w:rsidRPr="00F61C06">
        <w:t xml:space="preserve"> </w:t>
      </w:r>
      <w:r w:rsidR="0063052E" w:rsidRPr="00F61C06">
        <w:t>Det vurderes</w:t>
      </w:r>
      <w:r w:rsidR="005A54DF" w:rsidRPr="00F61C06">
        <w:t>,</w:t>
      </w:r>
      <w:r w:rsidR="0063052E" w:rsidRPr="00F61C06">
        <w:t xml:space="preserve"> at d</w:t>
      </w:r>
      <w:r w:rsidRPr="00F61C06">
        <w:t>okumentationskravet kan lempes, når der er tale om kontrolle</w:t>
      </w:r>
      <w:r w:rsidR="007B01FC" w:rsidRPr="00F61C06">
        <w:t>re</w:t>
      </w:r>
      <w:r w:rsidRPr="00F61C06">
        <w:t xml:space="preserve">de transaktioner mellem to parter, der begge er fuldt skattepligtige </w:t>
      </w:r>
      <w:r w:rsidR="002B1BB4" w:rsidRPr="00F61C06">
        <w:t>til</w:t>
      </w:r>
      <w:r w:rsidRPr="00F61C06">
        <w:t xml:space="preserve"> Grønland.</w:t>
      </w:r>
      <w:r w:rsidR="009F5DB2" w:rsidRPr="00F61C06">
        <w:t xml:space="preserve"> </w:t>
      </w:r>
      <w:r w:rsidRPr="00F61C06">
        <w:t xml:space="preserve">I </w:t>
      </w:r>
      <w:r w:rsidR="007B01FC" w:rsidRPr="00F61C06">
        <w:t>sådanne</w:t>
      </w:r>
      <w:r w:rsidRPr="00F61C06">
        <w:t xml:space="preserve"> tilfælde kan transaktioner</w:t>
      </w:r>
      <w:r w:rsidR="002B1BB4" w:rsidRPr="00F61C06">
        <w:t>ne</w:t>
      </w:r>
      <w:r w:rsidRPr="00F61C06">
        <w:t xml:space="preserve"> </w:t>
      </w:r>
      <w:r w:rsidR="002B1BB4" w:rsidRPr="00F61C06">
        <w:t>ikke anvendes t</w:t>
      </w:r>
      <w:r w:rsidRPr="00F61C06">
        <w:t>il at føre overskud ud af landet</w:t>
      </w:r>
      <w:r w:rsidR="00E813DA" w:rsidRPr="00F61C06">
        <w:t xml:space="preserve">, da </w:t>
      </w:r>
      <w:r w:rsidR="00BA0D9B" w:rsidRPr="00F61C06">
        <w:t>begge selskaber omfattes af grønlandsk beskatning</w:t>
      </w:r>
      <w:r w:rsidR="00F10E7A" w:rsidRPr="00F61C06">
        <w:t>.</w:t>
      </w:r>
      <w:r w:rsidR="00E813DA" w:rsidRPr="00F61C06">
        <w:t xml:space="preserve"> </w:t>
      </w:r>
      <w:r w:rsidRPr="00F61C06">
        <w:t>Der kan dog være tilfælde, hvor det fortsat er relevant at bi</w:t>
      </w:r>
      <w:r w:rsidR="00EB12DA" w:rsidRPr="00F61C06">
        <w:t>be</w:t>
      </w:r>
      <w:r w:rsidRPr="00F61C06">
        <w:t xml:space="preserve">holde </w:t>
      </w:r>
      <w:r w:rsidR="00F50C42" w:rsidRPr="00F61C06">
        <w:t>dokumentationskravet</w:t>
      </w:r>
      <w:r w:rsidR="007B01FC" w:rsidRPr="00F61C06">
        <w:t>,</w:t>
      </w:r>
      <w:r w:rsidR="00BA0D9B" w:rsidRPr="00F61C06">
        <w:t xml:space="preserve"> selvom </w:t>
      </w:r>
      <w:r w:rsidR="00E813DA" w:rsidRPr="00F61C06">
        <w:t xml:space="preserve">begge </w:t>
      </w:r>
      <w:r w:rsidR="0063052E" w:rsidRPr="00F61C06">
        <w:t xml:space="preserve">parter </w:t>
      </w:r>
      <w:r w:rsidR="00E813DA" w:rsidRPr="00F61C06">
        <w:t>er fuldt skattepligtige til Grønland</w:t>
      </w:r>
      <w:r w:rsidRPr="00F61C06">
        <w:t xml:space="preserve">. </w:t>
      </w:r>
      <w:r w:rsidR="007B01FC" w:rsidRPr="00F61C06">
        <w:t>E</w:t>
      </w:r>
      <w:r w:rsidR="00BA0D9B" w:rsidRPr="00F61C06">
        <w:t xml:space="preserve">ksempelvis hvis </w:t>
      </w:r>
      <w:r w:rsidR="00F10E7A" w:rsidRPr="00F61C06">
        <w:t xml:space="preserve">den ene part </w:t>
      </w:r>
      <w:r w:rsidR="00E813DA" w:rsidRPr="00F61C06">
        <w:t xml:space="preserve">er </w:t>
      </w:r>
      <w:r w:rsidR="00F10E7A" w:rsidRPr="00F61C06">
        <w:t>omfattet af særlige skattemæssig</w:t>
      </w:r>
      <w:r w:rsidR="009F5DB2" w:rsidRPr="00F61C06">
        <w:t>e</w:t>
      </w:r>
      <w:r w:rsidR="00F10E7A" w:rsidRPr="00F61C06">
        <w:t xml:space="preserve"> </w:t>
      </w:r>
      <w:r w:rsidR="00807C79" w:rsidRPr="00F61C06">
        <w:t>vilkår</w:t>
      </w:r>
      <w:r w:rsidR="00912BA6" w:rsidRPr="00F61C06">
        <w:t xml:space="preserve"> i</w:t>
      </w:r>
      <w:r w:rsidR="00E813DA" w:rsidRPr="00F61C06">
        <w:t xml:space="preserve"> </w:t>
      </w:r>
      <w:r w:rsidR="002B1BB4" w:rsidRPr="00F61C06">
        <w:t>tilladelse</w:t>
      </w:r>
      <w:r w:rsidR="00912BA6" w:rsidRPr="00F61C06">
        <w:t>r</w:t>
      </w:r>
      <w:r w:rsidR="002B1BB4" w:rsidRPr="00F61C06">
        <w:t xml:space="preserve"> efter </w:t>
      </w:r>
      <w:r w:rsidR="00735D77" w:rsidRPr="00F61C06">
        <w:t>r</w:t>
      </w:r>
      <w:r w:rsidR="002B1BB4" w:rsidRPr="00F61C06">
        <w:t xml:space="preserve">åstofloven, Inatsisartutlov om kommerciel udnyttelse af is og vand </w:t>
      </w:r>
      <w:r w:rsidR="00BA0D9B" w:rsidRPr="00F61C06">
        <w:t xml:space="preserve">eller </w:t>
      </w:r>
      <w:r w:rsidR="002B1BB4" w:rsidRPr="00F61C06">
        <w:t>Inatsisartutlov om udnyttelse af vandkraftressourcer til produktion af energi</w:t>
      </w:r>
      <w:r w:rsidR="00BA0D9B" w:rsidRPr="00F61C06">
        <w:t xml:space="preserve">. </w:t>
      </w:r>
      <w:r w:rsidR="00BA0D9B" w:rsidRPr="00F61C06">
        <w:lastRenderedPageBreak/>
        <w:t>Kontrolle</w:t>
      </w:r>
      <w:r w:rsidR="00262DAC" w:rsidRPr="00F61C06">
        <w:t>re</w:t>
      </w:r>
      <w:r w:rsidR="00BA0D9B" w:rsidRPr="00F61C06">
        <w:t>de t</w:t>
      </w:r>
      <w:r w:rsidR="00172D26" w:rsidRPr="00F61C06">
        <w:t xml:space="preserve">ransaktioner vil i </w:t>
      </w:r>
      <w:r w:rsidR="00262DAC" w:rsidRPr="00F61C06">
        <w:t>sådanne</w:t>
      </w:r>
      <w:r w:rsidR="00172D26" w:rsidRPr="00F61C06">
        <w:t xml:space="preserve"> tilfælde </w:t>
      </w:r>
      <w:r w:rsidR="00BA0D9B" w:rsidRPr="00F61C06">
        <w:t xml:space="preserve">kunne </w:t>
      </w:r>
      <w:r w:rsidR="00172D26" w:rsidRPr="00F61C06">
        <w:t>anvendes til skatteoptimering ved at samle overskud i e</w:t>
      </w:r>
      <w:r w:rsidR="0063052E" w:rsidRPr="00F61C06">
        <w:t>t</w:t>
      </w:r>
      <w:r w:rsidR="00172D26" w:rsidRPr="00F61C06">
        <w:t xml:space="preserve"> selskab, der er omfattet af lempeligere </w:t>
      </w:r>
      <w:r w:rsidR="00BA0D9B" w:rsidRPr="00F61C06">
        <w:t>eller særlige skattemæssige vilkår</w:t>
      </w:r>
      <w:r w:rsidR="00262DAC" w:rsidRPr="00F61C06">
        <w:t>, herunder</w:t>
      </w:r>
      <w:r w:rsidR="00BA0D9B" w:rsidRPr="00F61C06">
        <w:t xml:space="preserve"> helt eller delvist fritaget for beskatning.</w:t>
      </w:r>
      <w:r w:rsidR="008A2AC9" w:rsidRPr="00F61C06">
        <w:t xml:space="preserve"> </w:t>
      </w:r>
      <w:r w:rsidR="004B0DAF" w:rsidRPr="00F61C06">
        <w:t xml:space="preserve">Eksempelvis </w:t>
      </w:r>
      <w:r w:rsidR="00262DAC" w:rsidRPr="00F61C06">
        <w:t>kan</w:t>
      </w:r>
      <w:r w:rsidR="008A2AC9" w:rsidRPr="00F61C06">
        <w:t xml:space="preserve"> den royaltybeskatning, der </w:t>
      </w:r>
      <w:r w:rsidR="00262DAC" w:rsidRPr="00F61C06">
        <w:t>er</w:t>
      </w:r>
      <w:r w:rsidR="008A2AC9" w:rsidRPr="00F61C06">
        <w:t xml:space="preserve"> fastsat i udnyttelsestilladelsen</w:t>
      </w:r>
      <w:r w:rsidR="004B0DAF" w:rsidRPr="00F61C06">
        <w:t xml:space="preserve"> efter Inatsisartutlov om udnyttelse af vandkraftressourcer til produktion af energi</w:t>
      </w:r>
      <w:r w:rsidR="008A2AC9" w:rsidRPr="00F61C06">
        <w:t>, være lempeligere eller mere byrdefuld end selskabsbeskatningen.</w:t>
      </w:r>
    </w:p>
    <w:p w14:paraId="5D736D1C" w14:textId="77777777" w:rsidR="008A2AC9" w:rsidRPr="00F61C06" w:rsidRDefault="008A2AC9" w:rsidP="0078129A">
      <w:pPr>
        <w:spacing w:line="288" w:lineRule="auto"/>
      </w:pPr>
    </w:p>
    <w:p w14:paraId="302DC455" w14:textId="77777777" w:rsidR="00E64A87" w:rsidRPr="00F61C06" w:rsidRDefault="00E64A87" w:rsidP="0078129A">
      <w:pPr>
        <w:spacing w:line="288" w:lineRule="auto"/>
      </w:pPr>
      <w:r w:rsidRPr="00F61C06">
        <w:t xml:space="preserve">Derudover foretages der andre mindre </w:t>
      </w:r>
      <w:r w:rsidR="0063052E" w:rsidRPr="00F61C06">
        <w:t xml:space="preserve">tekniske </w:t>
      </w:r>
      <w:r w:rsidRPr="00F61C06">
        <w:t>ændringer i § 36 b.</w:t>
      </w:r>
      <w:r w:rsidR="00126D92" w:rsidRPr="00F61C06">
        <w:t xml:space="preserve"> Endeligt fortages der rettelser af </w:t>
      </w:r>
      <w:r w:rsidR="001E2BD2" w:rsidRPr="00F61C06">
        <w:t xml:space="preserve">henvisningsfejl </w:t>
      </w:r>
      <w:r w:rsidR="006D2A42" w:rsidRPr="00F61C06">
        <w:t xml:space="preserve">og andre tekniske </w:t>
      </w:r>
      <w:r w:rsidR="001E2BD2" w:rsidRPr="00F61C06">
        <w:t xml:space="preserve">ændringer i </w:t>
      </w:r>
      <w:r w:rsidR="00126D92" w:rsidRPr="00F61C06">
        <w:t>sanktionsbestemmelserne</w:t>
      </w:r>
      <w:r w:rsidR="006D2A42" w:rsidRPr="00F61C06">
        <w:t xml:space="preserve">, der </w:t>
      </w:r>
      <w:r w:rsidR="001E2BD2" w:rsidRPr="00F61C06">
        <w:t>vedrør</w:t>
      </w:r>
      <w:r w:rsidR="006D2A42" w:rsidRPr="00F61C06">
        <w:t xml:space="preserve">er </w:t>
      </w:r>
      <w:r w:rsidR="001E2BD2" w:rsidRPr="00F61C06">
        <w:t>transfer pricing dokumentation</w:t>
      </w:r>
      <w:r w:rsidR="006D2A42" w:rsidRPr="00F61C06">
        <w:t>en</w:t>
      </w:r>
      <w:r w:rsidR="001E2BD2" w:rsidRPr="00F61C06">
        <w:t xml:space="preserve"> og </w:t>
      </w:r>
      <w:r w:rsidR="00126D92" w:rsidRPr="00F61C06">
        <w:t xml:space="preserve">land-for-land </w:t>
      </w:r>
      <w:r w:rsidR="001E2BD2" w:rsidRPr="00F61C06">
        <w:t>rapport</w:t>
      </w:r>
      <w:r w:rsidR="006D2A42" w:rsidRPr="00F61C06">
        <w:t>er</w:t>
      </w:r>
      <w:r w:rsidR="00126D92" w:rsidRPr="00F61C06">
        <w:t>.</w:t>
      </w:r>
    </w:p>
    <w:p w14:paraId="66D1BFB4" w14:textId="77777777" w:rsidR="005E3B7B" w:rsidRPr="00F61C06" w:rsidRDefault="005E3B7B" w:rsidP="0078129A">
      <w:pPr>
        <w:spacing w:line="288" w:lineRule="auto"/>
      </w:pPr>
    </w:p>
    <w:p w14:paraId="17B43987" w14:textId="23ADF461" w:rsidR="005E3B7B" w:rsidRPr="00F61C06" w:rsidRDefault="002A022D" w:rsidP="0078129A">
      <w:pPr>
        <w:spacing w:line="288" w:lineRule="auto"/>
        <w:rPr>
          <w:i/>
        </w:rPr>
      </w:pPr>
      <w:bookmarkStart w:id="4" w:name="_Hlk102651911"/>
      <w:r>
        <w:rPr>
          <w:i/>
        </w:rPr>
        <w:t>2.</w:t>
      </w:r>
      <w:r w:rsidR="00C14C5B">
        <w:rPr>
          <w:i/>
        </w:rPr>
        <w:t>5</w:t>
      </w:r>
      <w:r>
        <w:rPr>
          <w:i/>
        </w:rPr>
        <w:t xml:space="preserve">. </w:t>
      </w:r>
      <w:r w:rsidR="005E3B7B" w:rsidRPr="00F61C06">
        <w:rPr>
          <w:i/>
        </w:rPr>
        <w:t>Konsekvensrettelser og ajourføring af regler som en følge af ændringer i offentlig hjælp regler</w:t>
      </w:r>
    </w:p>
    <w:bookmarkEnd w:id="4"/>
    <w:p w14:paraId="780FC169" w14:textId="3DFCA5CC" w:rsidR="005E3B7B" w:rsidRPr="00F61C06" w:rsidRDefault="005E3B7B" w:rsidP="0078129A">
      <w:pPr>
        <w:spacing w:line="288" w:lineRule="auto"/>
      </w:pPr>
      <w:r w:rsidRPr="00F61C06">
        <w:t xml:space="preserve">Med </w:t>
      </w:r>
      <w:r w:rsidR="0063052E" w:rsidRPr="00F61C06">
        <w:t>I</w:t>
      </w:r>
      <w:r w:rsidRPr="00F61C06">
        <w:t>natsisartutlov om offentlig hjælp sker der en reform af offentlig hjælp systemet. Ændringen af offentlig hjælp reglerne indebærer</w:t>
      </w:r>
      <w:r w:rsidR="00262DAC" w:rsidRPr="00F61C06">
        <w:t>,</w:t>
      </w:r>
      <w:r w:rsidRPr="00F61C06">
        <w:t xml:space="preserve"> at offentlig hjælp ydelsen som udgangspunkt overgår til at være en </w:t>
      </w:r>
      <w:r w:rsidRPr="00F61C06">
        <w:rPr>
          <w:i/>
          <w:iCs/>
        </w:rPr>
        <w:t>takstbestemt hjælp</w:t>
      </w:r>
      <w:r w:rsidR="00735D77" w:rsidRPr="00F61C06">
        <w:rPr>
          <w:i/>
          <w:iCs/>
        </w:rPr>
        <w:t>,</w:t>
      </w:r>
      <w:r w:rsidRPr="00F61C06">
        <w:t xml:space="preserve"> og at denne ydelse niveaumæssigt fastsættes med udgangspunkt i, at der er tale om en skattepligtig indkomst for modtageren. </w:t>
      </w:r>
    </w:p>
    <w:p w14:paraId="0F7BE364" w14:textId="77777777" w:rsidR="005E3B7B" w:rsidRPr="00F61C06" w:rsidRDefault="005E3B7B" w:rsidP="0078129A">
      <w:pPr>
        <w:spacing w:line="288" w:lineRule="auto"/>
      </w:pPr>
    </w:p>
    <w:p w14:paraId="1ECF2BC0" w14:textId="3F140563" w:rsidR="005E3B7B" w:rsidRPr="00F61C06" w:rsidRDefault="005E3B7B" w:rsidP="0078129A">
      <w:pPr>
        <w:spacing w:line="288" w:lineRule="auto"/>
      </w:pPr>
      <w:r w:rsidRPr="00F61C06">
        <w:t xml:space="preserve">Den nuværende offentlig hjælp ydelse er en trangsvurderet ydelse, der skal dække modtagerens faste udgifter samt et beløb til fornødenheder. Ydelsen er niveaumæssigt fastsat med udgangspunkt i, at ydelsen er skattefri efter § 72 i landstingslov om indkomstskat. Efter denne bestemmelse nedsættes den samlede skat med det beløb, der forholdsmæssigt falder på </w:t>
      </w:r>
      <w:r w:rsidRPr="00F61C06">
        <w:rPr>
          <w:i/>
          <w:iCs/>
        </w:rPr>
        <w:t>den trangsvurderede hjælp</w:t>
      </w:r>
      <w:r w:rsidRPr="00F61C06">
        <w:t>. Der gives dermed et skattemæssigt fradrag, der svarer til den udbetalte offentlige hjælp, hvorfor ydelsen reelt er skattefri.</w:t>
      </w:r>
    </w:p>
    <w:p w14:paraId="0CCE35FA" w14:textId="77777777" w:rsidR="005E3B7B" w:rsidRPr="00F61C06" w:rsidRDefault="005E3B7B" w:rsidP="0078129A">
      <w:pPr>
        <w:spacing w:line="288" w:lineRule="auto"/>
      </w:pPr>
    </w:p>
    <w:p w14:paraId="5DF96766" w14:textId="20714F77" w:rsidR="005E3B7B" w:rsidRPr="00F61C06" w:rsidRDefault="005E3B7B" w:rsidP="0078129A">
      <w:pPr>
        <w:spacing w:line="288" w:lineRule="auto"/>
      </w:pPr>
      <w:r w:rsidRPr="00F61C06">
        <w:t>Det foreslås</w:t>
      </w:r>
      <w:r w:rsidR="00262DAC" w:rsidRPr="00F61C06">
        <w:t>,</w:t>
      </w:r>
      <w:r w:rsidRPr="00F61C06">
        <w:t xml:space="preserve"> at § 72 ophæves</w:t>
      </w:r>
      <w:r w:rsidR="000F0AC7" w:rsidRPr="00F61C06">
        <w:t>,</w:t>
      </w:r>
      <w:r w:rsidRPr="00F61C06">
        <w:t xml:space="preserve"> således at den takst</w:t>
      </w:r>
      <w:r w:rsidR="00262DAC" w:rsidRPr="00F61C06">
        <w:t>bestemte</w:t>
      </w:r>
      <w:r w:rsidRPr="00F61C06">
        <w:t xml:space="preserve"> offentlig hjælp ydelse skattemæssigt behandles på sammen måde som anden A-indkomst. </w:t>
      </w:r>
    </w:p>
    <w:p w14:paraId="44009B02" w14:textId="77777777" w:rsidR="005E3B7B" w:rsidRPr="00F61C06" w:rsidRDefault="005E3B7B" w:rsidP="0078129A">
      <w:pPr>
        <w:spacing w:line="288" w:lineRule="auto"/>
      </w:pPr>
    </w:p>
    <w:p w14:paraId="6647653B" w14:textId="36023F3B" w:rsidR="005E3B7B" w:rsidRPr="00F61C06" w:rsidRDefault="005E3B7B" w:rsidP="0078129A">
      <w:pPr>
        <w:spacing w:line="288" w:lineRule="auto"/>
      </w:pPr>
      <w:r w:rsidRPr="00F61C06">
        <w:t xml:space="preserve">Efter </w:t>
      </w:r>
      <w:r w:rsidR="00262DAC" w:rsidRPr="00F61C06">
        <w:t>I</w:t>
      </w:r>
      <w:r w:rsidRPr="00F61C06">
        <w:t xml:space="preserve">natsisartutlov om offentlig hjælp kan kommunerne fortsat yde </w:t>
      </w:r>
      <w:r w:rsidRPr="00F61C06">
        <w:rPr>
          <w:i/>
          <w:iCs/>
        </w:rPr>
        <w:t>trangs</w:t>
      </w:r>
      <w:r w:rsidR="00EB6CD1" w:rsidRPr="00F61C06">
        <w:rPr>
          <w:i/>
          <w:iCs/>
        </w:rPr>
        <w:t>vurdere</w:t>
      </w:r>
      <w:r w:rsidR="002C3772" w:rsidRPr="00F61C06">
        <w:rPr>
          <w:i/>
          <w:iCs/>
        </w:rPr>
        <w:t>t</w:t>
      </w:r>
      <w:r w:rsidRPr="00F61C06">
        <w:t xml:space="preserve"> hjælp til en række enkeltudgifter, f.eks. akut engangshjælp og hjælp til dækning af engangsudgifter. Sådanne ydelser er </w:t>
      </w:r>
      <w:r w:rsidR="000F0AC7" w:rsidRPr="00F61C06">
        <w:t xml:space="preserve">- </w:t>
      </w:r>
      <w:r w:rsidRPr="00F61C06">
        <w:t xml:space="preserve">i lighed med i dag </w:t>
      </w:r>
      <w:r w:rsidR="000F0AC7" w:rsidRPr="00F61C06">
        <w:t xml:space="preserve">- </w:t>
      </w:r>
      <w:r w:rsidRPr="00F61C06">
        <w:t>skattefrie for modtageren efter lovens § 34</w:t>
      </w:r>
      <w:r w:rsidR="00EB6CD1" w:rsidRPr="00F61C06">
        <w:t>,</w:t>
      </w:r>
      <w:r w:rsidRPr="00F61C06">
        <w:t xml:space="preserve"> nr. 10, hvilket er begrundet i, at der er tale om ydelser, der går til dækning af en konkret udgift. Forslaget har derudover til formål at ajourføre reglerne i § 34, nr. 10</w:t>
      </w:r>
      <w:r w:rsidR="000F0AC7" w:rsidRPr="00F61C06">
        <w:t>,</w:t>
      </w:r>
      <w:r w:rsidR="006D2A42" w:rsidRPr="00F61C06">
        <w:t xml:space="preserve"> om skattefri</w:t>
      </w:r>
      <w:r w:rsidR="000F0AC7" w:rsidRPr="00F61C06">
        <w:t>e</w:t>
      </w:r>
      <w:r w:rsidR="006D2A42" w:rsidRPr="00F61C06">
        <w:t xml:space="preserve"> ydelser</w:t>
      </w:r>
      <w:r w:rsidRPr="00F61C06">
        <w:t xml:space="preserve">. </w:t>
      </w:r>
    </w:p>
    <w:p w14:paraId="5C03698A" w14:textId="77777777" w:rsidR="00417B36" w:rsidRPr="00F61C06" w:rsidRDefault="00417B36" w:rsidP="0078129A">
      <w:pPr>
        <w:spacing w:line="288" w:lineRule="auto"/>
      </w:pPr>
    </w:p>
    <w:p w14:paraId="09F4BC8F" w14:textId="77777777" w:rsidR="00B3288C" w:rsidRPr="00F61C06" w:rsidRDefault="00B3288C" w:rsidP="0078129A">
      <w:pPr>
        <w:spacing w:line="288" w:lineRule="auto"/>
        <w:rPr>
          <w:b/>
          <w:bCs/>
        </w:rPr>
      </w:pPr>
      <w:r w:rsidRPr="00F61C06">
        <w:rPr>
          <w:b/>
          <w:bCs/>
        </w:rPr>
        <w:t>3. Økonomiske og administrative konsekvenser for det offentlige</w:t>
      </w:r>
    </w:p>
    <w:p w14:paraId="0CF2833C" w14:textId="44D6814E" w:rsidR="001E783A" w:rsidRPr="00F61C06" w:rsidRDefault="00C14C5B" w:rsidP="0078129A">
      <w:pPr>
        <w:widowControl w:val="0"/>
        <w:spacing w:line="288" w:lineRule="auto"/>
        <w:rPr>
          <w:i/>
        </w:rPr>
      </w:pPr>
      <w:r>
        <w:rPr>
          <w:i/>
        </w:rPr>
        <w:t xml:space="preserve">3.1 </w:t>
      </w:r>
      <w:r w:rsidR="001E783A" w:rsidRPr="00F61C06">
        <w:rPr>
          <w:i/>
        </w:rPr>
        <w:t>Forhøjelsen af beskæftigelsesfradraget</w:t>
      </w:r>
    </w:p>
    <w:p w14:paraId="0039D527" w14:textId="7C317D3D" w:rsidR="00260291" w:rsidRDefault="002A533E" w:rsidP="003E1456">
      <w:pPr>
        <w:widowControl w:val="0"/>
        <w:spacing w:line="288" w:lineRule="auto"/>
      </w:pPr>
      <w:r>
        <w:t xml:space="preserve">Den med forslaget foreslåede forhøjelse af beskæftigelsesfradraget </w:t>
      </w:r>
      <w:r w:rsidR="00406196">
        <w:t>baserer</w:t>
      </w:r>
      <w:r>
        <w:t xml:space="preserve"> sig på, at de </w:t>
      </w:r>
      <w:r w:rsidR="006334B2">
        <w:t>mer</w:t>
      </w:r>
      <w:r>
        <w:t>indtægter</w:t>
      </w:r>
      <w:r w:rsidR="006334B2">
        <w:t>,</w:t>
      </w:r>
      <w:r>
        <w:t xml:space="preserve"> der opstår ved </w:t>
      </w:r>
      <w:r w:rsidR="00FA7FD1" w:rsidRPr="00FA7FD1">
        <w:t xml:space="preserve">udfasningen af </w:t>
      </w:r>
      <w:r w:rsidR="00260291">
        <w:t>fradraget for private renteudgifter</w:t>
      </w:r>
      <w:r w:rsidR="00FA7FD1" w:rsidRPr="00FA7FD1">
        <w:t>, fratrukket udgifterne til rentetilskudsordningen, sammen med provenuet fr</w:t>
      </w:r>
      <w:r w:rsidR="00B04289">
        <w:t>a</w:t>
      </w:r>
      <w:r w:rsidR="00FA7FD1" w:rsidRPr="00FA7FD1">
        <w:t xml:space="preserve"> reformen af bilafgifterne</w:t>
      </w:r>
      <w:r>
        <w:t>,</w:t>
      </w:r>
      <w:r w:rsidR="00FA7FD1">
        <w:t xml:space="preserve"> </w:t>
      </w:r>
      <w:r>
        <w:t xml:space="preserve">samt </w:t>
      </w:r>
      <w:r w:rsidR="00406196">
        <w:t xml:space="preserve">allerede afsatte </w:t>
      </w:r>
      <w:r w:rsidR="00FA7FD1">
        <w:t>midler på finansloven</w:t>
      </w:r>
      <w:r>
        <w:t>,</w:t>
      </w:r>
      <w:r w:rsidR="00FA7FD1">
        <w:t xml:space="preserve"> </w:t>
      </w:r>
      <w:r>
        <w:t xml:space="preserve">anvendes </w:t>
      </w:r>
      <w:r w:rsidR="00FA7FD1" w:rsidRPr="00FA7FD1">
        <w:t>til at hæve beskæftigelsesfradraget</w:t>
      </w:r>
      <w:r w:rsidR="00260291">
        <w:t xml:space="preserve">. </w:t>
      </w:r>
      <w:r w:rsidR="006334B2">
        <w:t>Dette giver følgende provenu til forhøjelse af beskæftigelsesfradraget:</w:t>
      </w:r>
    </w:p>
    <w:p w14:paraId="165A0075" w14:textId="005C864F" w:rsidR="00FA7FD1" w:rsidRDefault="00FA7FD1" w:rsidP="003E1456">
      <w:pPr>
        <w:widowControl w:val="0"/>
        <w:spacing w:line="288" w:lineRule="auto"/>
      </w:pPr>
    </w:p>
    <w:p w14:paraId="3C0A074E" w14:textId="3279A931" w:rsidR="00406196" w:rsidRDefault="00406196" w:rsidP="003E1456">
      <w:pPr>
        <w:widowControl w:val="0"/>
        <w:spacing w:line="288" w:lineRule="auto"/>
      </w:pPr>
    </w:p>
    <w:tbl>
      <w:tblPr>
        <w:tblW w:w="9311" w:type="dxa"/>
        <w:tblInd w:w="80" w:type="dxa"/>
        <w:tblCellMar>
          <w:left w:w="70" w:type="dxa"/>
          <w:right w:w="70" w:type="dxa"/>
        </w:tblCellMar>
        <w:tblLook w:val="04A0" w:firstRow="1" w:lastRow="0" w:firstColumn="1" w:lastColumn="0" w:noHBand="0" w:noVBand="1"/>
      </w:tblPr>
      <w:tblGrid>
        <w:gridCol w:w="3551"/>
        <w:gridCol w:w="960"/>
        <w:gridCol w:w="960"/>
        <w:gridCol w:w="960"/>
        <w:gridCol w:w="960"/>
        <w:gridCol w:w="960"/>
        <w:gridCol w:w="960"/>
      </w:tblGrid>
      <w:tr w:rsidR="00E20382" w:rsidRPr="005B4038" w14:paraId="179B3452" w14:textId="77777777" w:rsidTr="00E20382">
        <w:trPr>
          <w:trHeight w:val="330"/>
        </w:trPr>
        <w:tc>
          <w:tcPr>
            <w:tcW w:w="35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3EF03" w14:textId="77777777" w:rsidR="00E20382" w:rsidRPr="0078129A" w:rsidRDefault="00E20382" w:rsidP="00E20382">
            <w:pPr>
              <w:rPr>
                <w:rFonts w:eastAsia="Times New Roman"/>
                <w:color w:val="000000"/>
                <w:lang w:eastAsia="da-DK"/>
              </w:rPr>
            </w:pPr>
            <w:bookmarkStart w:id="5" w:name="_Hlk104787869" w:colFirst="1" w:colLast="6"/>
            <w:r w:rsidRPr="0078129A">
              <w:rPr>
                <w:rFonts w:eastAsia="Times New Roman"/>
                <w:color w:val="000000"/>
                <w:lang w:eastAsia="da-DK"/>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254F812"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2023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0BD83EF"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2024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17B46E8"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2025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15C1F60"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62C91B2"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2027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6DE421E"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2028</w:t>
            </w:r>
          </w:p>
        </w:tc>
      </w:tr>
      <w:tr w:rsidR="00E20382" w:rsidRPr="005B4038" w14:paraId="5B362392" w14:textId="77777777" w:rsidTr="00E20382">
        <w:trPr>
          <w:trHeight w:val="315"/>
        </w:trPr>
        <w:tc>
          <w:tcPr>
            <w:tcW w:w="3551" w:type="dxa"/>
            <w:tcBorders>
              <w:top w:val="nil"/>
              <w:left w:val="single" w:sz="8" w:space="0" w:color="auto"/>
              <w:bottom w:val="single" w:sz="8" w:space="0" w:color="auto"/>
              <w:right w:val="single" w:sz="8" w:space="0" w:color="auto"/>
            </w:tcBorders>
            <w:shd w:val="clear" w:color="auto" w:fill="auto"/>
            <w:noWrap/>
            <w:vAlign w:val="center"/>
            <w:hideMark/>
          </w:tcPr>
          <w:p w14:paraId="3832E2D7" w14:textId="77777777" w:rsidR="00E20382" w:rsidRPr="0078129A" w:rsidRDefault="00E20382" w:rsidP="00E20382">
            <w:pPr>
              <w:rPr>
                <w:rFonts w:eastAsia="Times New Roman"/>
                <w:b/>
                <w:bCs/>
                <w:color w:val="000000"/>
                <w:lang w:eastAsia="da-DK"/>
              </w:rPr>
            </w:pPr>
            <w:r w:rsidRPr="0078129A">
              <w:rPr>
                <w:rFonts w:eastAsia="Times New Roman"/>
                <w:b/>
                <w:bCs/>
                <w:color w:val="000000"/>
                <w:lang w:eastAsia="da-DK"/>
              </w:rPr>
              <w:t>Nettoprovenu - Motorafgiftspakke</w:t>
            </w:r>
          </w:p>
        </w:tc>
        <w:tc>
          <w:tcPr>
            <w:tcW w:w="960" w:type="dxa"/>
            <w:tcBorders>
              <w:top w:val="nil"/>
              <w:left w:val="nil"/>
              <w:bottom w:val="single" w:sz="8" w:space="0" w:color="auto"/>
              <w:right w:val="single" w:sz="8" w:space="0" w:color="auto"/>
            </w:tcBorders>
            <w:shd w:val="clear" w:color="auto" w:fill="auto"/>
            <w:noWrap/>
            <w:vAlign w:val="center"/>
            <w:hideMark/>
          </w:tcPr>
          <w:p w14:paraId="13351CAA"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16</w:t>
            </w:r>
          </w:p>
        </w:tc>
        <w:tc>
          <w:tcPr>
            <w:tcW w:w="960" w:type="dxa"/>
            <w:tcBorders>
              <w:top w:val="nil"/>
              <w:left w:val="nil"/>
              <w:bottom w:val="single" w:sz="8" w:space="0" w:color="auto"/>
              <w:right w:val="single" w:sz="8" w:space="0" w:color="auto"/>
            </w:tcBorders>
            <w:shd w:val="clear" w:color="auto" w:fill="auto"/>
            <w:noWrap/>
            <w:vAlign w:val="center"/>
            <w:hideMark/>
          </w:tcPr>
          <w:p w14:paraId="77994EF7"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29,9</w:t>
            </w:r>
          </w:p>
        </w:tc>
        <w:tc>
          <w:tcPr>
            <w:tcW w:w="960" w:type="dxa"/>
            <w:tcBorders>
              <w:top w:val="nil"/>
              <w:left w:val="nil"/>
              <w:bottom w:val="single" w:sz="8" w:space="0" w:color="auto"/>
              <w:right w:val="single" w:sz="8" w:space="0" w:color="auto"/>
            </w:tcBorders>
            <w:shd w:val="clear" w:color="auto" w:fill="auto"/>
            <w:noWrap/>
            <w:vAlign w:val="center"/>
            <w:hideMark/>
          </w:tcPr>
          <w:p w14:paraId="4F775630"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31,9</w:t>
            </w:r>
          </w:p>
        </w:tc>
        <w:tc>
          <w:tcPr>
            <w:tcW w:w="960" w:type="dxa"/>
            <w:tcBorders>
              <w:top w:val="nil"/>
              <w:left w:val="nil"/>
              <w:bottom w:val="single" w:sz="8" w:space="0" w:color="auto"/>
              <w:right w:val="single" w:sz="8" w:space="0" w:color="auto"/>
            </w:tcBorders>
            <w:shd w:val="clear" w:color="auto" w:fill="auto"/>
            <w:noWrap/>
            <w:vAlign w:val="center"/>
            <w:hideMark/>
          </w:tcPr>
          <w:p w14:paraId="30323E0A"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34,8</w:t>
            </w:r>
          </w:p>
        </w:tc>
        <w:tc>
          <w:tcPr>
            <w:tcW w:w="960" w:type="dxa"/>
            <w:tcBorders>
              <w:top w:val="nil"/>
              <w:left w:val="nil"/>
              <w:bottom w:val="single" w:sz="8" w:space="0" w:color="auto"/>
              <w:right w:val="single" w:sz="8" w:space="0" w:color="auto"/>
            </w:tcBorders>
            <w:shd w:val="clear" w:color="auto" w:fill="auto"/>
            <w:noWrap/>
            <w:vAlign w:val="center"/>
            <w:hideMark/>
          </w:tcPr>
          <w:p w14:paraId="1282CDDE"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34,8</w:t>
            </w:r>
          </w:p>
        </w:tc>
        <w:tc>
          <w:tcPr>
            <w:tcW w:w="960" w:type="dxa"/>
            <w:tcBorders>
              <w:top w:val="nil"/>
              <w:left w:val="nil"/>
              <w:bottom w:val="single" w:sz="8" w:space="0" w:color="auto"/>
              <w:right w:val="single" w:sz="8" w:space="0" w:color="auto"/>
            </w:tcBorders>
            <w:shd w:val="clear" w:color="auto" w:fill="auto"/>
            <w:noWrap/>
            <w:vAlign w:val="center"/>
            <w:hideMark/>
          </w:tcPr>
          <w:p w14:paraId="3F207505"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34,8</w:t>
            </w:r>
          </w:p>
        </w:tc>
      </w:tr>
      <w:tr w:rsidR="00E20382" w:rsidRPr="005B4038" w14:paraId="61261A18" w14:textId="77777777" w:rsidTr="00E20382">
        <w:trPr>
          <w:trHeight w:val="1089"/>
        </w:trPr>
        <w:tc>
          <w:tcPr>
            <w:tcW w:w="3551" w:type="dxa"/>
            <w:tcBorders>
              <w:top w:val="nil"/>
              <w:left w:val="single" w:sz="8" w:space="0" w:color="auto"/>
              <w:bottom w:val="single" w:sz="8" w:space="0" w:color="auto"/>
              <w:right w:val="single" w:sz="8" w:space="0" w:color="auto"/>
            </w:tcBorders>
            <w:shd w:val="clear" w:color="auto" w:fill="auto"/>
            <w:vAlign w:val="center"/>
            <w:hideMark/>
          </w:tcPr>
          <w:p w14:paraId="46FF8150" w14:textId="77777777" w:rsidR="00E20382" w:rsidRPr="0078129A" w:rsidRDefault="00E20382" w:rsidP="00E20382">
            <w:pPr>
              <w:rPr>
                <w:rFonts w:eastAsia="Times New Roman"/>
                <w:b/>
                <w:bCs/>
                <w:color w:val="000000"/>
                <w:lang w:eastAsia="da-DK"/>
              </w:rPr>
            </w:pPr>
            <w:r w:rsidRPr="0078129A">
              <w:rPr>
                <w:rFonts w:eastAsia="Times New Roman"/>
                <w:b/>
                <w:bCs/>
                <w:color w:val="000000"/>
                <w:lang w:eastAsia="da-DK"/>
              </w:rPr>
              <w:t>Nettoprovenu - Udfasning af fradrag for private renteudgifter og indførsel af rentetilskud</w:t>
            </w:r>
          </w:p>
        </w:tc>
        <w:tc>
          <w:tcPr>
            <w:tcW w:w="960" w:type="dxa"/>
            <w:tcBorders>
              <w:top w:val="nil"/>
              <w:left w:val="nil"/>
              <w:bottom w:val="single" w:sz="8" w:space="0" w:color="auto"/>
              <w:right w:val="single" w:sz="8" w:space="0" w:color="auto"/>
            </w:tcBorders>
            <w:shd w:val="clear" w:color="auto" w:fill="auto"/>
            <w:noWrap/>
            <w:vAlign w:val="center"/>
            <w:hideMark/>
          </w:tcPr>
          <w:p w14:paraId="5310BBC5"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-4,5</w:t>
            </w:r>
          </w:p>
        </w:tc>
        <w:tc>
          <w:tcPr>
            <w:tcW w:w="960" w:type="dxa"/>
            <w:tcBorders>
              <w:top w:val="nil"/>
              <w:left w:val="nil"/>
              <w:bottom w:val="single" w:sz="8" w:space="0" w:color="auto"/>
              <w:right w:val="single" w:sz="8" w:space="0" w:color="auto"/>
            </w:tcBorders>
            <w:shd w:val="clear" w:color="auto" w:fill="auto"/>
            <w:noWrap/>
            <w:vAlign w:val="center"/>
            <w:hideMark/>
          </w:tcPr>
          <w:p w14:paraId="44004903"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-6,7</w:t>
            </w:r>
          </w:p>
        </w:tc>
        <w:tc>
          <w:tcPr>
            <w:tcW w:w="960" w:type="dxa"/>
            <w:tcBorders>
              <w:top w:val="nil"/>
              <w:left w:val="nil"/>
              <w:bottom w:val="single" w:sz="8" w:space="0" w:color="auto"/>
              <w:right w:val="single" w:sz="8" w:space="0" w:color="auto"/>
            </w:tcBorders>
            <w:shd w:val="clear" w:color="auto" w:fill="auto"/>
            <w:noWrap/>
            <w:vAlign w:val="center"/>
            <w:hideMark/>
          </w:tcPr>
          <w:p w14:paraId="59FDC6C3"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-2,2</w:t>
            </w:r>
          </w:p>
        </w:tc>
        <w:tc>
          <w:tcPr>
            <w:tcW w:w="960" w:type="dxa"/>
            <w:tcBorders>
              <w:top w:val="nil"/>
              <w:left w:val="nil"/>
              <w:bottom w:val="single" w:sz="8" w:space="0" w:color="auto"/>
              <w:right w:val="single" w:sz="8" w:space="0" w:color="auto"/>
            </w:tcBorders>
            <w:shd w:val="clear" w:color="auto" w:fill="auto"/>
            <w:noWrap/>
            <w:vAlign w:val="center"/>
            <w:hideMark/>
          </w:tcPr>
          <w:p w14:paraId="77BF1C66"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2,3</w:t>
            </w:r>
          </w:p>
        </w:tc>
        <w:tc>
          <w:tcPr>
            <w:tcW w:w="960" w:type="dxa"/>
            <w:tcBorders>
              <w:top w:val="nil"/>
              <w:left w:val="nil"/>
              <w:bottom w:val="single" w:sz="8" w:space="0" w:color="auto"/>
              <w:right w:val="single" w:sz="8" w:space="0" w:color="auto"/>
            </w:tcBorders>
            <w:shd w:val="clear" w:color="auto" w:fill="auto"/>
            <w:noWrap/>
            <w:vAlign w:val="center"/>
            <w:hideMark/>
          </w:tcPr>
          <w:p w14:paraId="79B17507"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6,8</w:t>
            </w:r>
          </w:p>
        </w:tc>
        <w:tc>
          <w:tcPr>
            <w:tcW w:w="960" w:type="dxa"/>
            <w:tcBorders>
              <w:top w:val="nil"/>
              <w:left w:val="nil"/>
              <w:bottom w:val="single" w:sz="8" w:space="0" w:color="auto"/>
              <w:right w:val="single" w:sz="8" w:space="0" w:color="auto"/>
            </w:tcBorders>
            <w:shd w:val="clear" w:color="auto" w:fill="auto"/>
            <w:noWrap/>
            <w:vAlign w:val="center"/>
            <w:hideMark/>
          </w:tcPr>
          <w:p w14:paraId="27E3970A"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11,3</w:t>
            </w:r>
          </w:p>
        </w:tc>
      </w:tr>
      <w:tr w:rsidR="00E20382" w:rsidRPr="005B4038" w14:paraId="2BF933E4" w14:textId="77777777" w:rsidTr="00E20382">
        <w:trPr>
          <w:trHeight w:val="315"/>
        </w:trPr>
        <w:tc>
          <w:tcPr>
            <w:tcW w:w="3551" w:type="dxa"/>
            <w:tcBorders>
              <w:top w:val="nil"/>
              <w:left w:val="single" w:sz="8" w:space="0" w:color="auto"/>
              <w:bottom w:val="single" w:sz="8" w:space="0" w:color="auto"/>
              <w:right w:val="single" w:sz="8" w:space="0" w:color="auto"/>
            </w:tcBorders>
            <w:shd w:val="clear" w:color="auto" w:fill="auto"/>
            <w:noWrap/>
            <w:vAlign w:val="center"/>
            <w:hideMark/>
          </w:tcPr>
          <w:p w14:paraId="0DC40528" w14:textId="77777777" w:rsidR="00E20382" w:rsidRPr="0078129A" w:rsidRDefault="00E20382" w:rsidP="00E20382">
            <w:pPr>
              <w:rPr>
                <w:rFonts w:eastAsia="Times New Roman"/>
                <w:b/>
                <w:bCs/>
                <w:color w:val="000000"/>
                <w:lang w:eastAsia="da-DK"/>
              </w:rPr>
            </w:pPr>
            <w:r w:rsidRPr="0078129A">
              <w:rPr>
                <w:rFonts w:eastAsia="Times New Roman"/>
                <w:b/>
                <w:bCs/>
                <w:color w:val="000000"/>
                <w:lang w:eastAsia="da-DK"/>
              </w:rPr>
              <w:t>Midler afsat på FL2022</w:t>
            </w:r>
          </w:p>
        </w:tc>
        <w:tc>
          <w:tcPr>
            <w:tcW w:w="960" w:type="dxa"/>
            <w:tcBorders>
              <w:top w:val="nil"/>
              <w:left w:val="nil"/>
              <w:bottom w:val="single" w:sz="8" w:space="0" w:color="auto"/>
              <w:right w:val="single" w:sz="8" w:space="0" w:color="auto"/>
            </w:tcBorders>
            <w:shd w:val="clear" w:color="auto" w:fill="auto"/>
            <w:noWrap/>
            <w:vAlign w:val="center"/>
            <w:hideMark/>
          </w:tcPr>
          <w:p w14:paraId="34067B5E"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77B78296"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5619B298"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32E56608"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25882191"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727C774A" w14:textId="77777777" w:rsidR="00E20382" w:rsidRPr="0078129A" w:rsidRDefault="00E20382" w:rsidP="00E20382">
            <w:pPr>
              <w:jc w:val="right"/>
              <w:rPr>
                <w:rFonts w:eastAsia="Times New Roman"/>
                <w:color w:val="000000"/>
                <w:lang w:eastAsia="da-DK"/>
              </w:rPr>
            </w:pPr>
            <w:r w:rsidRPr="0078129A">
              <w:rPr>
                <w:rFonts w:eastAsia="Times New Roman"/>
                <w:color w:val="000000"/>
                <w:lang w:eastAsia="da-DK"/>
              </w:rPr>
              <w:t>35</w:t>
            </w:r>
          </w:p>
        </w:tc>
      </w:tr>
      <w:tr w:rsidR="00E20382" w:rsidRPr="005B4038" w14:paraId="4452B243" w14:textId="77777777" w:rsidTr="00E20382">
        <w:trPr>
          <w:trHeight w:val="641"/>
        </w:trPr>
        <w:tc>
          <w:tcPr>
            <w:tcW w:w="3551" w:type="dxa"/>
            <w:tcBorders>
              <w:top w:val="nil"/>
              <w:left w:val="single" w:sz="8" w:space="0" w:color="auto"/>
              <w:bottom w:val="single" w:sz="8" w:space="0" w:color="auto"/>
              <w:right w:val="single" w:sz="8" w:space="0" w:color="auto"/>
            </w:tcBorders>
            <w:shd w:val="clear" w:color="auto" w:fill="auto"/>
            <w:vAlign w:val="center"/>
            <w:hideMark/>
          </w:tcPr>
          <w:p w14:paraId="12487BC9" w14:textId="77777777" w:rsidR="00E20382" w:rsidRPr="0078129A" w:rsidRDefault="00E20382" w:rsidP="00E20382">
            <w:pPr>
              <w:rPr>
                <w:rFonts w:eastAsia="Times New Roman"/>
                <w:b/>
                <w:bCs/>
                <w:color w:val="000000"/>
                <w:lang w:eastAsia="da-DK"/>
              </w:rPr>
            </w:pPr>
            <w:r w:rsidRPr="0078129A">
              <w:rPr>
                <w:rFonts w:eastAsia="Times New Roman"/>
                <w:b/>
                <w:bCs/>
                <w:color w:val="000000"/>
                <w:lang w:eastAsia="da-DK"/>
              </w:rPr>
              <w:t>I alt provenu til skattelempelser</w:t>
            </w:r>
          </w:p>
        </w:tc>
        <w:tc>
          <w:tcPr>
            <w:tcW w:w="960" w:type="dxa"/>
            <w:tcBorders>
              <w:top w:val="nil"/>
              <w:left w:val="nil"/>
              <w:bottom w:val="single" w:sz="8" w:space="0" w:color="auto"/>
              <w:right w:val="single" w:sz="8" w:space="0" w:color="auto"/>
            </w:tcBorders>
            <w:shd w:val="clear" w:color="auto" w:fill="auto"/>
            <w:noWrap/>
            <w:vAlign w:val="center"/>
            <w:hideMark/>
          </w:tcPr>
          <w:p w14:paraId="01C18C37"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46,5</w:t>
            </w:r>
          </w:p>
        </w:tc>
        <w:tc>
          <w:tcPr>
            <w:tcW w:w="960" w:type="dxa"/>
            <w:tcBorders>
              <w:top w:val="nil"/>
              <w:left w:val="nil"/>
              <w:bottom w:val="single" w:sz="8" w:space="0" w:color="auto"/>
              <w:right w:val="single" w:sz="8" w:space="0" w:color="auto"/>
            </w:tcBorders>
            <w:shd w:val="clear" w:color="auto" w:fill="auto"/>
            <w:noWrap/>
            <w:vAlign w:val="center"/>
            <w:hideMark/>
          </w:tcPr>
          <w:p w14:paraId="792CC450"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58,2</w:t>
            </w:r>
          </w:p>
        </w:tc>
        <w:tc>
          <w:tcPr>
            <w:tcW w:w="960" w:type="dxa"/>
            <w:tcBorders>
              <w:top w:val="nil"/>
              <w:left w:val="nil"/>
              <w:bottom w:val="single" w:sz="8" w:space="0" w:color="auto"/>
              <w:right w:val="single" w:sz="8" w:space="0" w:color="auto"/>
            </w:tcBorders>
            <w:shd w:val="clear" w:color="auto" w:fill="auto"/>
            <w:noWrap/>
            <w:vAlign w:val="center"/>
            <w:hideMark/>
          </w:tcPr>
          <w:p w14:paraId="457422F5"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64,7</w:t>
            </w:r>
          </w:p>
        </w:tc>
        <w:tc>
          <w:tcPr>
            <w:tcW w:w="960" w:type="dxa"/>
            <w:tcBorders>
              <w:top w:val="nil"/>
              <w:left w:val="nil"/>
              <w:bottom w:val="single" w:sz="8" w:space="0" w:color="auto"/>
              <w:right w:val="single" w:sz="8" w:space="0" w:color="auto"/>
            </w:tcBorders>
            <w:shd w:val="clear" w:color="auto" w:fill="auto"/>
            <w:noWrap/>
            <w:vAlign w:val="center"/>
            <w:hideMark/>
          </w:tcPr>
          <w:p w14:paraId="136DDF28"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72,1</w:t>
            </w:r>
          </w:p>
        </w:tc>
        <w:tc>
          <w:tcPr>
            <w:tcW w:w="960" w:type="dxa"/>
            <w:tcBorders>
              <w:top w:val="nil"/>
              <w:left w:val="nil"/>
              <w:bottom w:val="single" w:sz="8" w:space="0" w:color="auto"/>
              <w:right w:val="single" w:sz="8" w:space="0" w:color="auto"/>
            </w:tcBorders>
            <w:shd w:val="clear" w:color="auto" w:fill="auto"/>
            <w:noWrap/>
            <w:vAlign w:val="center"/>
            <w:hideMark/>
          </w:tcPr>
          <w:p w14:paraId="7916C650"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76,6</w:t>
            </w:r>
          </w:p>
        </w:tc>
        <w:tc>
          <w:tcPr>
            <w:tcW w:w="960" w:type="dxa"/>
            <w:tcBorders>
              <w:top w:val="nil"/>
              <w:left w:val="nil"/>
              <w:bottom w:val="single" w:sz="8" w:space="0" w:color="auto"/>
              <w:right w:val="single" w:sz="8" w:space="0" w:color="auto"/>
            </w:tcBorders>
            <w:shd w:val="clear" w:color="auto" w:fill="auto"/>
            <w:noWrap/>
            <w:vAlign w:val="center"/>
            <w:hideMark/>
          </w:tcPr>
          <w:p w14:paraId="79C2E185" w14:textId="77777777" w:rsidR="00E20382" w:rsidRPr="0078129A" w:rsidRDefault="00E20382" w:rsidP="00E20382">
            <w:pPr>
              <w:jc w:val="right"/>
              <w:rPr>
                <w:rFonts w:eastAsia="Times New Roman"/>
                <w:b/>
                <w:bCs/>
                <w:color w:val="000000"/>
                <w:lang w:eastAsia="da-DK"/>
              </w:rPr>
            </w:pPr>
            <w:r w:rsidRPr="0078129A">
              <w:rPr>
                <w:rFonts w:eastAsia="Times New Roman"/>
                <w:b/>
                <w:bCs/>
                <w:color w:val="000000"/>
                <w:lang w:eastAsia="da-DK"/>
              </w:rPr>
              <w:t>81,1</w:t>
            </w:r>
          </w:p>
        </w:tc>
      </w:tr>
      <w:bookmarkEnd w:id="5"/>
    </w:tbl>
    <w:p w14:paraId="34225AA8" w14:textId="2A88F469" w:rsidR="00FA7FD1" w:rsidRDefault="00FA7FD1" w:rsidP="003E1456">
      <w:pPr>
        <w:widowControl w:val="0"/>
        <w:spacing w:line="288" w:lineRule="auto"/>
      </w:pPr>
    </w:p>
    <w:p w14:paraId="7A6E0404" w14:textId="1C6BF3ED" w:rsidR="006334B2" w:rsidRDefault="002A533E" w:rsidP="005B4038">
      <w:pPr>
        <w:widowControl w:val="0"/>
        <w:spacing w:line="288" w:lineRule="auto"/>
      </w:pPr>
      <w:r>
        <w:t xml:space="preserve">I de første 4 år </w:t>
      </w:r>
      <w:r w:rsidR="00260291">
        <w:t xml:space="preserve">er der </w:t>
      </w:r>
      <w:r w:rsidR="00363097">
        <w:t xml:space="preserve">dermed </w:t>
      </w:r>
      <w:r w:rsidR="00260291">
        <w:t xml:space="preserve">i gennemsnit </w:t>
      </w:r>
      <w:r>
        <w:t>60,4 mio. kr., som er anvendt til at forhøje beskæftigelsesfradraget.</w:t>
      </w:r>
      <w:r w:rsidR="00406196">
        <w:t xml:space="preserve"> </w:t>
      </w:r>
      <w:r w:rsidR="006334B2">
        <w:t xml:space="preserve">Ændringen </w:t>
      </w:r>
      <w:r w:rsidR="00260291">
        <w:t xml:space="preserve">hviler derfor i sig selv set over en 4-årige periode. </w:t>
      </w:r>
      <w:r w:rsidR="00B04289">
        <w:t>I fremtiden vurderes det samlede provenu fr</w:t>
      </w:r>
      <w:r w:rsidR="00E20382">
        <w:t>a</w:t>
      </w:r>
      <w:r w:rsidR="00B04289">
        <w:t xml:space="preserve"> reformtiltagene at være stigende</w:t>
      </w:r>
      <w:r w:rsidR="00260291">
        <w:t>,</w:t>
      </w:r>
      <w:r w:rsidR="00B04289">
        <w:t xml:space="preserve"> </w:t>
      </w:r>
      <w:r w:rsidR="00E20382">
        <w:t xml:space="preserve">især </w:t>
      </w:r>
      <w:r w:rsidR="00B04289">
        <w:t>grundet</w:t>
      </w:r>
      <w:r w:rsidR="00E20382">
        <w:t xml:space="preserve"> </w:t>
      </w:r>
      <w:r w:rsidR="00B04289">
        <w:t xml:space="preserve">udfasningen af </w:t>
      </w:r>
      <w:r w:rsidR="00E20382">
        <w:t>rente</w:t>
      </w:r>
      <w:r w:rsidR="00B04289">
        <w:t>fradragsretten.</w:t>
      </w:r>
      <w:r w:rsidR="00E20382">
        <w:t xml:space="preserve"> </w:t>
      </w:r>
      <w:r w:rsidR="00260291">
        <w:t xml:space="preserve">Der skønnes således </w:t>
      </w:r>
      <w:r w:rsidR="006334B2">
        <w:t>for</w:t>
      </w:r>
      <w:r w:rsidR="00260291">
        <w:t xml:space="preserve"> 2028 at være et yderligere provenu på omkring 20,8 mio. kr. fra reformen. </w:t>
      </w:r>
      <w:r w:rsidR="00E20382">
        <w:t xml:space="preserve">Der </w:t>
      </w:r>
      <w:r w:rsidR="00260291">
        <w:t xml:space="preserve">kan derfor i fremtiden være grundlag for at hæve beskæftigelsesfradraget yderligere. </w:t>
      </w:r>
      <w:r w:rsidR="006334B2">
        <w:t>Provenus</w:t>
      </w:r>
      <w:r w:rsidR="00260291">
        <w:t xml:space="preserve">køn så relativt langt ude i fremtiden er dog behæftet med </w:t>
      </w:r>
      <w:r w:rsidR="00991213">
        <w:t xml:space="preserve">væsentlig </w:t>
      </w:r>
      <w:r w:rsidR="00260291">
        <w:t>usikkerhed,</w:t>
      </w:r>
      <w:r w:rsidR="006334B2">
        <w:t xml:space="preserve"> hvorfor eventuelle fremtidige forhøjelse af beskæftigelsesfradraget </w:t>
      </w:r>
      <w:r w:rsidR="00991213">
        <w:t xml:space="preserve">må </w:t>
      </w:r>
      <w:r w:rsidR="006334B2">
        <w:t xml:space="preserve">bero på en vurdering af de </w:t>
      </w:r>
      <w:r w:rsidR="00991213">
        <w:t xml:space="preserve">af </w:t>
      </w:r>
      <w:r w:rsidR="006334B2">
        <w:t>realiserede provenuvirkninger.</w:t>
      </w:r>
    </w:p>
    <w:p w14:paraId="3B5505AB" w14:textId="77777777" w:rsidR="00260291" w:rsidRPr="00260291" w:rsidRDefault="00260291" w:rsidP="009D734C">
      <w:pPr>
        <w:widowControl w:val="0"/>
        <w:spacing w:line="288" w:lineRule="auto"/>
      </w:pPr>
    </w:p>
    <w:p w14:paraId="613B5010" w14:textId="29E3A025" w:rsidR="00D14D18" w:rsidRPr="00F61C06" w:rsidRDefault="00C14C5B" w:rsidP="0078129A">
      <w:pPr>
        <w:widowControl w:val="0"/>
        <w:spacing w:line="288" w:lineRule="auto"/>
        <w:rPr>
          <w:i/>
        </w:rPr>
      </w:pPr>
      <w:r>
        <w:rPr>
          <w:i/>
        </w:rPr>
        <w:t xml:space="preserve">3.2 </w:t>
      </w:r>
      <w:r w:rsidR="00D14D18" w:rsidRPr="00F61C06">
        <w:rPr>
          <w:i/>
        </w:rPr>
        <w:t>Fradrag for renteudgifter</w:t>
      </w:r>
    </w:p>
    <w:p w14:paraId="7EA7DC1B" w14:textId="77777777" w:rsidR="007A1E26" w:rsidRDefault="00D14D18" w:rsidP="0078129A">
      <w:pPr>
        <w:widowControl w:val="0"/>
        <w:spacing w:line="288" w:lineRule="auto"/>
      </w:pPr>
      <w:r w:rsidRPr="00F61C06">
        <w:t>Forslaget medfører et højere provenu for landskassen fra indkomstbeskatningen.</w:t>
      </w:r>
      <w:r w:rsidR="007A1E26">
        <w:t xml:space="preserve"> </w:t>
      </w:r>
      <w:r w:rsidR="007A1E26" w:rsidRPr="00F61C06">
        <w:t>Der henvises til bemærkningerne til forslag til Inatsisartutlov om rentetilskud for en beskrivelse af ændringens økonomiske konsekvenser.</w:t>
      </w:r>
    </w:p>
    <w:p w14:paraId="44757BED" w14:textId="77777777" w:rsidR="007A1E26" w:rsidRPr="0078129A" w:rsidRDefault="007A1E26" w:rsidP="0078129A">
      <w:pPr>
        <w:widowControl w:val="0"/>
        <w:spacing w:line="288" w:lineRule="auto"/>
      </w:pPr>
    </w:p>
    <w:p w14:paraId="65CCE73E" w14:textId="34F66C7E" w:rsidR="00314090" w:rsidRDefault="00314090" w:rsidP="009D734C">
      <w:pPr>
        <w:widowControl w:val="0"/>
        <w:spacing w:line="288" w:lineRule="auto"/>
      </w:pPr>
      <w:r>
        <w:t xml:space="preserve">Isoleret set vil en </w:t>
      </w:r>
      <w:r w:rsidR="007A1E26">
        <w:t xml:space="preserve">udfasning af fradraget for ikke erhvervsmæssige renteudgifter have </w:t>
      </w:r>
      <w:r>
        <w:t xml:space="preserve">følgende økonomiske konsekvenser. Der er tale om en rent mekanisk beregning, der ikke tager hensyn til afledte </w:t>
      </w:r>
      <w:r w:rsidR="0012686D">
        <w:t>virkninger</w:t>
      </w:r>
      <w:r>
        <w:t xml:space="preserve">. </w:t>
      </w:r>
    </w:p>
    <w:p w14:paraId="3056894D" w14:textId="77777777" w:rsidR="00314090" w:rsidRDefault="00314090" w:rsidP="009D734C">
      <w:pPr>
        <w:widowControl w:val="0"/>
        <w:spacing w:line="288" w:lineRule="auto"/>
      </w:pPr>
    </w:p>
    <w:tbl>
      <w:tblPr>
        <w:tblW w:w="4940" w:type="dxa"/>
        <w:tblInd w:w="75" w:type="dxa"/>
        <w:tblCellMar>
          <w:left w:w="70" w:type="dxa"/>
          <w:right w:w="70" w:type="dxa"/>
        </w:tblCellMar>
        <w:tblLook w:val="04A0" w:firstRow="1" w:lastRow="0" w:firstColumn="1" w:lastColumn="0" w:noHBand="0" w:noVBand="1"/>
      </w:tblPr>
      <w:tblGrid>
        <w:gridCol w:w="2720"/>
        <w:gridCol w:w="2220"/>
      </w:tblGrid>
      <w:tr w:rsidR="00314090" w:rsidRPr="005B4038" w14:paraId="0D5B1358" w14:textId="77777777" w:rsidTr="00314090">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6766CF" w14:textId="61A1C3D1" w:rsidR="00314090" w:rsidRPr="0078129A" w:rsidRDefault="0012686D" w:rsidP="00314090">
            <w:pPr>
              <w:rPr>
                <w:rFonts w:eastAsia="Times New Roman"/>
                <w:b/>
                <w:bCs/>
                <w:color w:val="000000"/>
                <w:lang w:eastAsia="da-DK"/>
              </w:rPr>
            </w:pPr>
            <w:r w:rsidRPr="0078129A">
              <w:rPr>
                <w:rFonts w:eastAsia="Times New Roman"/>
                <w:b/>
                <w:bCs/>
                <w:color w:val="000000"/>
                <w:lang w:eastAsia="da-DK"/>
              </w:rPr>
              <w:t xml:space="preserve">Provenu ved ændring af </w:t>
            </w:r>
            <w:r w:rsidR="00314090" w:rsidRPr="0078129A">
              <w:rPr>
                <w:rFonts w:eastAsia="Times New Roman"/>
                <w:b/>
                <w:bCs/>
                <w:color w:val="000000"/>
                <w:lang w:eastAsia="da-DK"/>
              </w:rPr>
              <w:t>rentefradrag årligt</w:t>
            </w:r>
          </w:p>
        </w:tc>
        <w:tc>
          <w:tcPr>
            <w:tcW w:w="2220" w:type="dxa"/>
            <w:tcBorders>
              <w:top w:val="single" w:sz="4" w:space="0" w:color="auto"/>
              <w:left w:val="nil"/>
              <w:bottom w:val="single" w:sz="4" w:space="0" w:color="auto"/>
              <w:right w:val="single" w:sz="4" w:space="0" w:color="auto"/>
            </w:tcBorders>
            <w:shd w:val="clear" w:color="000000" w:fill="DCE6F1"/>
            <w:noWrap/>
            <w:vAlign w:val="center"/>
            <w:hideMark/>
          </w:tcPr>
          <w:p w14:paraId="6BE00CE1" w14:textId="77777777" w:rsidR="00314090" w:rsidRPr="0078129A" w:rsidRDefault="00314090" w:rsidP="00314090">
            <w:pPr>
              <w:rPr>
                <w:rFonts w:eastAsia="Times New Roman"/>
                <w:color w:val="000000"/>
                <w:lang w:eastAsia="da-DK"/>
              </w:rPr>
            </w:pPr>
            <w:r w:rsidRPr="0078129A">
              <w:rPr>
                <w:rFonts w:eastAsia="Times New Roman"/>
                <w:color w:val="000000"/>
                <w:lang w:eastAsia="da-DK"/>
              </w:rPr>
              <w:t> </w:t>
            </w:r>
          </w:p>
        </w:tc>
      </w:tr>
      <w:tr w:rsidR="00314090" w:rsidRPr="005B4038" w14:paraId="500FCFBA" w14:textId="77777777" w:rsidTr="00314090">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A01D754" w14:textId="77777777" w:rsidR="00314090" w:rsidRPr="0078129A" w:rsidRDefault="00314090" w:rsidP="00314090">
            <w:pPr>
              <w:rPr>
                <w:rFonts w:eastAsia="Times New Roman"/>
                <w:color w:val="000000"/>
                <w:lang w:eastAsia="da-DK"/>
              </w:rPr>
            </w:pPr>
            <w:r w:rsidRPr="0078129A">
              <w:rPr>
                <w:rFonts w:eastAsia="Times New Roman"/>
                <w:color w:val="000000"/>
                <w:lang w:eastAsia="da-DK"/>
              </w:rPr>
              <w:t>80 % rentefradrag</w:t>
            </w:r>
          </w:p>
        </w:tc>
        <w:tc>
          <w:tcPr>
            <w:tcW w:w="2220" w:type="dxa"/>
            <w:tcBorders>
              <w:top w:val="nil"/>
              <w:left w:val="nil"/>
              <w:bottom w:val="single" w:sz="4" w:space="0" w:color="auto"/>
              <w:right w:val="single" w:sz="4" w:space="0" w:color="auto"/>
            </w:tcBorders>
            <w:shd w:val="clear" w:color="auto" w:fill="auto"/>
            <w:noWrap/>
            <w:vAlign w:val="center"/>
            <w:hideMark/>
          </w:tcPr>
          <w:p w14:paraId="33AEB2D8" w14:textId="77777777" w:rsidR="00314090" w:rsidRPr="0078129A" w:rsidRDefault="00314090" w:rsidP="00314090">
            <w:pPr>
              <w:jc w:val="right"/>
              <w:rPr>
                <w:rFonts w:eastAsia="Times New Roman"/>
                <w:color w:val="000000"/>
                <w:lang w:eastAsia="da-DK"/>
              </w:rPr>
            </w:pPr>
            <w:r w:rsidRPr="0078129A">
              <w:rPr>
                <w:rFonts w:eastAsia="Times New Roman"/>
                <w:color w:val="000000"/>
                <w:lang w:eastAsia="da-DK"/>
              </w:rPr>
              <w:t>-12.289.872</w:t>
            </w:r>
          </w:p>
        </w:tc>
      </w:tr>
      <w:tr w:rsidR="00314090" w:rsidRPr="005B4038" w14:paraId="5879ACDB" w14:textId="77777777" w:rsidTr="00314090">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9A0E273" w14:textId="77777777" w:rsidR="00314090" w:rsidRPr="0078129A" w:rsidRDefault="00314090" w:rsidP="00314090">
            <w:pPr>
              <w:rPr>
                <w:rFonts w:eastAsia="Times New Roman"/>
                <w:color w:val="000000"/>
                <w:lang w:eastAsia="da-DK"/>
              </w:rPr>
            </w:pPr>
            <w:r w:rsidRPr="0078129A">
              <w:rPr>
                <w:rFonts w:eastAsia="Times New Roman"/>
                <w:color w:val="000000"/>
                <w:lang w:eastAsia="da-DK"/>
              </w:rPr>
              <w:t>60 % rentefradrag</w:t>
            </w:r>
          </w:p>
        </w:tc>
        <w:tc>
          <w:tcPr>
            <w:tcW w:w="2220" w:type="dxa"/>
            <w:tcBorders>
              <w:top w:val="nil"/>
              <w:left w:val="nil"/>
              <w:bottom w:val="single" w:sz="4" w:space="0" w:color="auto"/>
              <w:right w:val="single" w:sz="4" w:space="0" w:color="auto"/>
            </w:tcBorders>
            <w:shd w:val="clear" w:color="auto" w:fill="auto"/>
            <w:noWrap/>
            <w:vAlign w:val="center"/>
            <w:hideMark/>
          </w:tcPr>
          <w:p w14:paraId="7C1BFB03" w14:textId="77777777" w:rsidR="00314090" w:rsidRPr="0078129A" w:rsidRDefault="00314090" w:rsidP="00314090">
            <w:pPr>
              <w:jc w:val="right"/>
              <w:rPr>
                <w:rFonts w:eastAsia="Times New Roman"/>
                <w:color w:val="000000"/>
                <w:lang w:eastAsia="da-DK"/>
              </w:rPr>
            </w:pPr>
            <w:r w:rsidRPr="0078129A">
              <w:rPr>
                <w:rFonts w:eastAsia="Times New Roman"/>
                <w:color w:val="000000"/>
                <w:lang w:eastAsia="da-DK"/>
              </w:rPr>
              <w:t>-24.579.744</w:t>
            </w:r>
          </w:p>
        </w:tc>
      </w:tr>
      <w:tr w:rsidR="00314090" w:rsidRPr="005B4038" w14:paraId="30312BA8" w14:textId="77777777" w:rsidTr="00314090">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EE936AF" w14:textId="77777777" w:rsidR="00314090" w:rsidRPr="0078129A" w:rsidRDefault="00314090" w:rsidP="00314090">
            <w:pPr>
              <w:rPr>
                <w:rFonts w:eastAsia="Times New Roman"/>
                <w:color w:val="000000"/>
                <w:lang w:eastAsia="da-DK"/>
              </w:rPr>
            </w:pPr>
            <w:r w:rsidRPr="0078129A">
              <w:rPr>
                <w:rFonts w:eastAsia="Times New Roman"/>
                <w:color w:val="000000"/>
                <w:lang w:eastAsia="da-DK"/>
              </w:rPr>
              <w:t>40 % rentefradrag</w:t>
            </w:r>
          </w:p>
        </w:tc>
        <w:tc>
          <w:tcPr>
            <w:tcW w:w="2220" w:type="dxa"/>
            <w:tcBorders>
              <w:top w:val="nil"/>
              <w:left w:val="nil"/>
              <w:bottom w:val="single" w:sz="4" w:space="0" w:color="auto"/>
              <w:right w:val="single" w:sz="4" w:space="0" w:color="auto"/>
            </w:tcBorders>
            <w:shd w:val="clear" w:color="auto" w:fill="auto"/>
            <w:noWrap/>
            <w:vAlign w:val="center"/>
            <w:hideMark/>
          </w:tcPr>
          <w:p w14:paraId="63E3AB58" w14:textId="77777777" w:rsidR="00314090" w:rsidRPr="0078129A" w:rsidRDefault="00314090" w:rsidP="00314090">
            <w:pPr>
              <w:jc w:val="right"/>
              <w:rPr>
                <w:rFonts w:eastAsia="Times New Roman"/>
                <w:color w:val="000000"/>
                <w:lang w:eastAsia="da-DK"/>
              </w:rPr>
            </w:pPr>
            <w:r w:rsidRPr="0078129A">
              <w:rPr>
                <w:rFonts w:eastAsia="Times New Roman"/>
                <w:color w:val="000000"/>
                <w:lang w:eastAsia="da-DK"/>
              </w:rPr>
              <w:t>-36.869.616</w:t>
            </w:r>
          </w:p>
        </w:tc>
      </w:tr>
      <w:tr w:rsidR="00314090" w:rsidRPr="005B4038" w14:paraId="02F5A75A" w14:textId="77777777" w:rsidTr="00314090">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696499F4" w14:textId="77777777" w:rsidR="00314090" w:rsidRPr="0078129A" w:rsidRDefault="00314090" w:rsidP="00314090">
            <w:pPr>
              <w:rPr>
                <w:rFonts w:eastAsia="Times New Roman"/>
                <w:color w:val="000000"/>
                <w:lang w:eastAsia="da-DK"/>
              </w:rPr>
            </w:pPr>
            <w:r w:rsidRPr="0078129A">
              <w:rPr>
                <w:rFonts w:eastAsia="Times New Roman"/>
                <w:color w:val="000000"/>
                <w:lang w:eastAsia="da-DK"/>
              </w:rPr>
              <w:t>20 % rentefradrag</w:t>
            </w:r>
          </w:p>
        </w:tc>
        <w:tc>
          <w:tcPr>
            <w:tcW w:w="2220" w:type="dxa"/>
            <w:tcBorders>
              <w:top w:val="nil"/>
              <w:left w:val="nil"/>
              <w:bottom w:val="single" w:sz="4" w:space="0" w:color="auto"/>
              <w:right w:val="single" w:sz="4" w:space="0" w:color="auto"/>
            </w:tcBorders>
            <w:shd w:val="clear" w:color="auto" w:fill="auto"/>
            <w:noWrap/>
            <w:vAlign w:val="center"/>
            <w:hideMark/>
          </w:tcPr>
          <w:p w14:paraId="5373223F" w14:textId="77777777" w:rsidR="00314090" w:rsidRPr="0078129A" w:rsidRDefault="00314090" w:rsidP="00314090">
            <w:pPr>
              <w:jc w:val="right"/>
              <w:rPr>
                <w:rFonts w:eastAsia="Times New Roman"/>
                <w:color w:val="000000"/>
                <w:lang w:eastAsia="da-DK"/>
              </w:rPr>
            </w:pPr>
            <w:r w:rsidRPr="0078129A">
              <w:rPr>
                <w:rFonts w:eastAsia="Times New Roman"/>
                <w:color w:val="000000"/>
                <w:lang w:eastAsia="da-DK"/>
              </w:rPr>
              <w:t>-49.159.488</w:t>
            </w:r>
          </w:p>
        </w:tc>
      </w:tr>
      <w:tr w:rsidR="00314090" w:rsidRPr="005B4038" w14:paraId="3E67D155" w14:textId="77777777" w:rsidTr="00314090">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521E0B8" w14:textId="77777777" w:rsidR="00314090" w:rsidRPr="0078129A" w:rsidRDefault="00314090" w:rsidP="00314090">
            <w:pPr>
              <w:rPr>
                <w:rFonts w:eastAsia="Times New Roman"/>
                <w:color w:val="000000"/>
                <w:lang w:eastAsia="da-DK"/>
              </w:rPr>
            </w:pPr>
            <w:r w:rsidRPr="0078129A">
              <w:rPr>
                <w:rFonts w:eastAsia="Times New Roman"/>
                <w:color w:val="000000"/>
                <w:lang w:eastAsia="da-DK"/>
              </w:rPr>
              <w:t xml:space="preserve">Intet rentefradrag </w:t>
            </w:r>
          </w:p>
        </w:tc>
        <w:tc>
          <w:tcPr>
            <w:tcW w:w="2220" w:type="dxa"/>
            <w:tcBorders>
              <w:top w:val="nil"/>
              <w:left w:val="nil"/>
              <w:bottom w:val="single" w:sz="4" w:space="0" w:color="auto"/>
              <w:right w:val="single" w:sz="4" w:space="0" w:color="auto"/>
            </w:tcBorders>
            <w:shd w:val="clear" w:color="auto" w:fill="auto"/>
            <w:noWrap/>
            <w:vAlign w:val="center"/>
            <w:hideMark/>
          </w:tcPr>
          <w:p w14:paraId="1FB6AF17" w14:textId="77777777" w:rsidR="00314090" w:rsidRPr="0078129A" w:rsidRDefault="00314090" w:rsidP="00314090">
            <w:pPr>
              <w:jc w:val="right"/>
              <w:rPr>
                <w:rFonts w:eastAsia="Times New Roman"/>
                <w:color w:val="000000"/>
                <w:lang w:eastAsia="da-DK"/>
              </w:rPr>
            </w:pPr>
            <w:r w:rsidRPr="0078129A">
              <w:rPr>
                <w:rFonts w:eastAsia="Times New Roman"/>
                <w:color w:val="000000"/>
                <w:lang w:eastAsia="da-DK"/>
              </w:rPr>
              <w:t>-61.449.360</w:t>
            </w:r>
          </w:p>
        </w:tc>
      </w:tr>
    </w:tbl>
    <w:p w14:paraId="3E89B86B" w14:textId="77777777" w:rsidR="00901D40" w:rsidRDefault="00901D40" w:rsidP="009D734C">
      <w:pPr>
        <w:spacing w:line="288" w:lineRule="auto"/>
        <w:rPr>
          <w:i/>
        </w:rPr>
      </w:pPr>
    </w:p>
    <w:p w14:paraId="37E95AF9" w14:textId="505A9818" w:rsidR="00C77F07" w:rsidRPr="00F61C06" w:rsidRDefault="00C14C5B" w:rsidP="0078129A">
      <w:pPr>
        <w:spacing w:line="288" w:lineRule="auto"/>
        <w:rPr>
          <w:i/>
        </w:rPr>
      </w:pPr>
      <w:r>
        <w:rPr>
          <w:i/>
        </w:rPr>
        <w:t xml:space="preserve">3.3 </w:t>
      </w:r>
      <w:r w:rsidR="00C77F07" w:rsidRPr="00F61C06">
        <w:rPr>
          <w:i/>
        </w:rPr>
        <w:t>Ændring af reglerne om oplysnings- og dokumentationspligt ved kontrolle</w:t>
      </w:r>
      <w:r w:rsidR="00EB6CD1" w:rsidRPr="00F61C06">
        <w:rPr>
          <w:i/>
        </w:rPr>
        <w:t>re</w:t>
      </w:r>
      <w:r w:rsidR="00C77F07" w:rsidRPr="00F61C06">
        <w:rPr>
          <w:i/>
        </w:rPr>
        <w:t xml:space="preserve">de transaktioner </w:t>
      </w:r>
    </w:p>
    <w:p w14:paraId="0E53C526" w14:textId="3DFEB53E" w:rsidR="00C77F07" w:rsidRPr="00F61C06" w:rsidRDefault="00C77F07" w:rsidP="0078129A">
      <w:pPr>
        <w:spacing w:line="288" w:lineRule="auto"/>
      </w:pPr>
      <w:r w:rsidRPr="00F61C06">
        <w:t xml:space="preserve">Reglerne forventes at give skatteforvaltningen bedre mulighed for </w:t>
      </w:r>
      <w:r w:rsidR="00446E6B" w:rsidRPr="00F61C06">
        <w:t xml:space="preserve">at få </w:t>
      </w:r>
      <w:r w:rsidRPr="00F61C06">
        <w:t>indblik i de kontroll</w:t>
      </w:r>
      <w:r w:rsidR="00EB6CD1" w:rsidRPr="00F61C06">
        <w:t>er</w:t>
      </w:r>
      <w:r w:rsidRPr="00F61C06">
        <w:t xml:space="preserve">ede transaktioner og mulighed for at udvælge skattepligtige til kontrol m.v. Det forventes at være </w:t>
      </w:r>
      <w:r w:rsidRPr="00F61C06">
        <w:lastRenderedPageBreak/>
        <w:t>forbundet med et højere skatteprovenu. Det er dog ikke muligt på det foreliggende grundlag at skønne, hvad dette provenu vil være.</w:t>
      </w:r>
    </w:p>
    <w:p w14:paraId="3EBEE93E" w14:textId="77777777" w:rsidR="00C77F07" w:rsidRPr="00F61C06" w:rsidRDefault="00C77F07" w:rsidP="0078129A">
      <w:pPr>
        <w:spacing w:line="288" w:lineRule="auto"/>
      </w:pPr>
    </w:p>
    <w:p w14:paraId="3D06D055" w14:textId="77777777" w:rsidR="00B3288C" w:rsidRPr="00F61C06" w:rsidRDefault="00B3288C" w:rsidP="0078129A">
      <w:pPr>
        <w:spacing w:line="288" w:lineRule="auto"/>
        <w:rPr>
          <w:b/>
          <w:bCs/>
        </w:rPr>
      </w:pPr>
      <w:r w:rsidRPr="00F61C06">
        <w:rPr>
          <w:b/>
          <w:bCs/>
        </w:rPr>
        <w:t>4. Økonomiske og administrative konsekvenser for erhvervslivet</w:t>
      </w:r>
    </w:p>
    <w:p w14:paraId="49731A6E" w14:textId="2B356F1F" w:rsidR="00D14D18" w:rsidRPr="00F61C06" w:rsidRDefault="00C14C5B" w:rsidP="0078129A">
      <w:pPr>
        <w:widowControl w:val="0"/>
        <w:spacing w:line="288" w:lineRule="auto"/>
        <w:rPr>
          <w:i/>
        </w:rPr>
      </w:pPr>
      <w:r>
        <w:rPr>
          <w:i/>
        </w:rPr>
        <w:t xml:space="preserve">4.1 </w:t>
      </w:r>
      <w:r w:rsidR="00D14D18" w:rsidRPr="00F61C06">
        <w:rPr>
          <w:i/>
        </w:rPr>
        <w:t>Fradrag for renteudgifter</w:t>
      </w:r>
    </w:p>
    <w:p w14:paraId="5FC9C7B9" w14:textId="6D363605" w:rsidR="00D14D18" w:rsidRPr="00F61C06" w:rsidRDefault="00D14D18" w:rsidP="0078129A">
      <w:pPr>
        <w:spacing w:line="288" w:lineRule="auto"/>
      </w:pPr>
      <w:r w:rsidRPr="00F61C06">
        <w:t xml:space="preserve">For en beskrivelse af konsekvenserne for erhvervslivet af ophævelsen af fradrag for private renteudgifter </w:t>
      </w:r>
      <w:r w:rsidR="0037654F" w:rsidRPr="00F61C06">
        <w:t xml:space="preserve">henvises til </w:t>
      </w:r>
      <w:r w:rsidRPr="00F61C06">
        <w:t xml:space="preserve">forslag til </w:t>
      </w:r>
      <w:r w:rsidR="00EB6CD1" w:rsidRPr="00F61C06">
        <w:t>I</w:t>
      </w:r>
      <w:r w:rsidRPr="00F61C06">
        <w:t>natsisartutlov om rentetilskud.</w:t>
      </w:r>
    </w:p>
    <w:p w14:paraId="5AFFF546" w14:textId="77777777" w:rsidR="00D14D18" w:rsidRPr="00F61C06" w:rsidRDefault="00D14D18" w:rsidP="0078129A">
      <w:pPr>
        <w:spacing w:line="288" w:lineRule="auto"/>
        <w:rPr>
          <w:i/>
        </w:rPr>
      </w:pPr>
    </w:p>
    <w:p w14:paraId="28715BF1" w14:textId="5FE38A7E" w:rsidR="00C77F07" w:rsidRPr="00F61C06" w:rsidRDefault="00C14C5B" w:rsidP="0078129A">
      <w:pPr>
        <w:spacing w:line="288" w:lineRule="auto"/>
        <w:rPr>
          <w:i/>
        </w:rPr>
      </w:pPr>
      <w:r>
        <w:rPr>
          <w:i/>
        </w:rPr>
        <w:t xml:space="preserve">4.2 </w:t>
      </w:r>
      <w:r w:rsidR="00C77F07" w:rsidRPr="00F61C06">
        <w:rPr>
          <w:i/>
        </w:rPr>
        <w:t>Ændring af reglerne om oplysnings- og dokumentationspligt ved kontrolle</w:t>
      </w:r>
      <w:r w:rsidR="00EB6CD1" w:rsidRPr="00F61C06">
        <w:rPr>
          <w:i/>
        </w:rPr>
        <w:t>re</w:t>
      </w:r>
      <w:r w:rsidR="00C77F07" w:rsidRPr="00F61C06">
        <w:rPr>
          <w:i/>
        </w:rPr>
        <w:t xml:space="preserve">de transaktioner </w:t>
      </w:r>
    </w:p>
    <w:p w14:paraId="1FE0FA67" w14:textId="7479816B" w:rsidR="00E4309E" w:rsidRPr="00F61C06" w:rsidRDefault="001E783A" w:rsidP="0078129A">
      <w:pPr>
        <w:spacing w:line="288" w:lineRule="auto"/>
      </w:pPr>
      <w:r w:rsidRPr="00F61C06">
        <w:t xml:space="preserve">Forslaget forventes ikke at medføre en væsentlig forøgelse af </w:t>
      </w:r>
      <w:r w:rsidR="00FA0751" w:rsidRPr="00F61C06">
        <w:t xml:space="preserve">de administrative </w:t>
      </w:r>
      <w:r w:rsidRPr="00F61C06">
        <w:t xml:space="preserve">byrder for de skattepligtige </w:t>
      </w:r>
      <w:r w:rsidR="00EB6CD1" w:rsidRPr="00F61C06">
        <w:t>for</w:t>
      </w:r>
      <w:r w:rsidRPr="00F61C06">
        <w:t xml:space="preserve"> at leve op til oplysnings- eller dokumentationspligten. </w:t>
      </w:r>
      <w:r w:rsidR="00E4309E" w:rsidRPr="00F61C06">
        <w:t>Derudover forventes forslaget om ændringer af reglerne på transfer pricing området ikke at medføre væsentlige økonomiske eller administrative konsekvenser</w:t>
      </w:r>
      <w:r w:rsidR="00C77F07" w:rsidRPr="00F61C06">
        <w:t xml:space="preserve"> for erhvervslivet</w:t>
      </w:r>
      <w:r w:rsidR="00E4309E" w:rsidRPr="00F61C06">
        <w:t>.</w:t>
      </w:r>
    </w:p>
    <w:p w14:paraId="14F310B2" w14:textId="77777777" w:rsidR="00E4309E" w:rsidRPr="00F61C06" w:rsidRDefault="00E4309E" w:rsidP="0078129A">
      <w:pPr>
        <w:spacing w:line="288" w:lineRule="auto"/>
      </w:pPr>
    </w:p>
    <w:p w14:paraId="4BD436E2" w14:textId="77777777" w:rsidR="00B3288C" w:rsidRPr="00F61C06" w:rsidRDefault="00B3288C" w:rsidP="0078129A">
      <w:pPr>
        <w:spacing w:line="288" w:lineRule="auto"/>
        <w:rPr>
          <w:b/>
          <w:bCs/>
        </w:rPr>
      </w:pPr>
      <w:r w:rsidRPr="00F61C06">
        <w:rPr>
          <w:b/>
          <w:bCs/>
        </w:rPr>
        <w:t>5. Konsekvenser for miljø, natur og folkesundhed</w:t>
      </w:r>
    </w:p>
    <w:p w14:paraId="274A5B1D" w14:textId="77777777" w:rsidR="00B3288C" w:rsidRPr="00F61C06" w:rsidRDefault="00B3288C" w:rsidP="0078129A">
      <w:pPr>
        <w:spacing w:line="288" w:lineRule="auto"/>
      </w:pPr>
      <w:r w:rsidRPr="00F61C06">
        <w:t>Forslaget har ikke miljø- eller naturmæssige konsekvenser. Forslaget har heller ikke konsekvenser i forhold til folkesundheden.</w:t>
      </w:r>
    </w:p>
    <w:p w14:paraId="6A96274C" w14:textId="77777777" w:rsidR="00B3288C" w:rsidRPr="00F61C06" w:rsidRDefault="00B3288C" w:rsidP="0078129A">
      <w:pPr>
        <w:spacing w:line="288" w:lineRule="auto"/>
      </w:pPr>
    </w:p>
    <w:p w14:paraId="1D6E7E8E" w14:textId="77777777" w:rsidR="00B3288C" w:rsidRPr="00F61C06" w:rsidRDefault="00B3288C" w:rsidP="0078129A">
      <w:pPr>
        <w:spacing w:line="288" w:lineRule="auto"/>
        <w:rPr>
          <w:b/>
          <w:bCs/>
        </w:rPr>
      </w:pPr>
      <w:r w:rsidRPr="00F61C06">
        <w:rPr>
          <w:b/>
          <w:bCs/>
        </w:rPr>
        <w:t>6. Konsekvenser for borgerne</w:t>
      </w:r>
    </w:p>
    <w:p w14:paraId="32F9CF4D" w14:textId="75E2D15C" w:rsidR="00FA0751" w:rsidRPr="00F61C06" w:rsidRDefault="00C14C5B" w:rsidP="0078129A">
      <w:pPr>
        <w:widowControl w:val="0"/>
        <w:spacing w:line="288" w:lineRule="auto"/>
        <w:rPr>
          <w:i/>
        </w:rPr>
      </w:pPr>
      <w:r>
        <w:rPr>
          <w:i/>
        </w:rPr>
        <w:t xml:space="preserve">6.1 </w:t>
      </w:r>
      <w:r w:rsidR="00FA0751" w:rsidRPr="00F61C06">
        <w:rPr>
          <w:i/>
        </w:rPr>
        <w:t>Forhøjelsen af beskæftigelsesfradraget</w:t>
      </w:r>
    </w:p>
    <w:p w14:paraId="5AB25608" w14:textId="22D2A002" w:rsidR="0070390A" w:rsidRDefault="0070390A" w:rsidP="009D734C">
      <w:pPr>
        <w:widowControl w:val="0"/>
        <w:spacing w:line="288" w:lineRule="auto"/>
      </w:pPr>
      <w:r>
        <w:t xml:space="preserve">Beskæftigelsesfradraget giver borgerne med beskæftigelsesindkomster en indkomstfremgang. </w:t>
      </w:r>
    </w:p>
    <w:p w14:paraId="2E2E1C05" w14:textId="1DB1C16B" w:rsidR="006334B2" w:rsidRDefault="0070390A" w:rsidP="009D734C">
      <w:pPr>
        <w:widowControl w:val="0"/>
        <w:spacing w:line="288" w:lineRule="auto"/>
      </w:pPr>
      <w:r>
        <w:t xml:space="preserve">Oversigten viser skatteværdien af </w:t>
      </w:r>
      <w:r w:rsidR="00C236EE">
        <w:t xml:space="preserve">forhøjelsen af </w:t>
      </w:r>
      <w:r>
        <w:t>beskæftigelsesfradraget fordelt på indkomstintervaller</w:t>
      </w:r>
      <w:r w:rsidR="00C236EE">
        <w:t xml:space="preserve">. Der er taget udgangspunkt i en </w:t>
      </w:r>
      <w:r>
        <w:t xml:space="preserve">skattesats på 42 pct.  </w:t>
      </w:r>
    </w:p>
    <w:p w14:paraId="2D4A74F4" w14:textId="77777777" w:rsidR="0070390A" w:rsidRDefault="0070390A" w:rsidP="009D734C">
      <w:pPr>
        <w:widowControl w:val="0"/>
        <w:spacing w:line="288" w:lineRule="auto"/>
      </w:pPr>
    </w:p>
    <w:tbl>
      <w:tblPr>
        <w:tblW w:w="9689" w:type="dxa"/>
        <w:tblCellMar>
          <w:left w:w="70" w:type="dxa"/>
          <w:right w:w="70" w:type="dxa"/>
        </w:tblCellMar>
        <w:tblLook w:val="04A0" w:firstRow="1" w:lastRow="0" w:firstColumn="1" w:lastColumn="0" w:noHBand="0" w:noVBand="1"/>
      </w:tblPr>
      <w:tblGrid>
        <w:gridCol w:w="2486"/>
        <w:gridCol w:w="895"/>
        <w:gridCol w:w="1139"/>
        <w:gridCol w:w="1138"/>
        <w:gridCol w:w="1138"/>
        <w:gridCol w:w="1138"/>
        <w:gridCol w:w="1303"/>
        <w:gridCol w:w="452"/>
      </w:tblGrid>
      <w:tr w:rsidR="006334B2" w:rsidRPr="0070390A" w14:paraId="7ECF94DC" w14:textId="77777777" w:rsidTr="0070390A">
        <w:trPr>
          <w:trHeight w:val="370"/>
        </w:trPr>
        <w:tc>
          <w:tcPr>
            <w:tcW w:w="9689" w:type="dxa"/>
            <w:gridSpan w:val="8"/>
            <w:tcBorders>
              <w:top w:val="nil"/>
              <w:left w:val="nil"/>
              <w:bottom w:val="nil"/>
              <w:right w:val="nil"/>
            </w:tcBorders>
            <w:shd w:val="clear" w:color="000000" w:fill="DCE6F1"/>
            <w:noWrap/>
            <w:vAlign w:val="center"/>
            <w:hideMark/>
          </w:tcPr>
          <w:p w14:paraId="7D36A580" w14:textId="77777777" w:rsidR="006334B2" w:rsidRPr="0070390A" w:rsidRDefault="006334B2" w:rsidP="00227DE7">
            <w:pPr>
              <w:keepNext/>
              <w:keepLines/>
              <w:rPr>
                <w:rFonts w:eastAsia="Times New Roman"/>
                <w:b/>
                <w:bCs/>
                <w:color w:val="000000"/>
                <w:sz w:val="20"/>
                <w:szCs w:val="20"/>
                <w:lang w:eastAsia="da-DK"/>
              </w:rPr>
            </w:pPr>
            <w:r w:rsidRPr="0070390A">
              <w:rPr>
                <w:rFonts w:eastAsia="Times New Roman"/>
                <w:b/>
                <w:bCs/>
                <w:color w:val="000000"/>
                <w:sz w:val="20"/>
                <w:szCs w:val="20"/>
                <w:lang w:eastAsia="da-DK"/>
              </w:rPr>
              <w:t> Skatteværdi af forhøjelse af beskæftigelsesfradrag årligt</w:t>
            </w:r>
          </w:p>
          <w:p w14:paraId="34781BCF" w14:textId="77777777" w:rsidR="006334B2" w:rsidRPr="0070390A" w:rsidRDefault="006334B2" w:rsidP="00227DE7">
            <w:pPr>
              <w:keepNext/>
              <w:keepLines/>
              <w:rPr>
                <w:rFonts w:eastAsia="Times New Roman"/>
                <w:color w:val="000000"/>
                <w:sz w:val="20"/>
                <w:szCs w:val="20"/>
                <w:lang w:eastAsia="da-DK"/>
              </w:rPr>
            </w:pPr>
            <w:r w:rsidRPr="0070390A">
              <w:rPr>
                <w:rFonts w:eastAsia="Times New Roman"/>
                <w:color w:val="000000"/>
                <w:sz w:val="20"/>
                <w:szCs w:val="20"/>
                <w:lang w:eastAsia="da-DK"/>
              </w:rPr>
              <w:t> </w:t>
            </w:r>
          </w:p>
        </w:tc>
      </w:tr>
      <w:tr w:rsidR="0070390A" w:rsidRPr="0070390A" w14:paraId="659BCFDB" w14:textId="77777777" w:rsidTr="0070390A">
        <w:trPr>
          <w:gridAfter w:val="1"/>
          <w:wAfter w:w="452" w:type="dxa"/>
          <w:trHeight w:val="281"/>
        </w:trPr>
        <w:tc>
          <w:tcPr>
            <w:tcW w:w="2486" w:type="dxa"/>
            <w:tcBorders>
              <w:top w:val="nil"/>
              <w:left w:val="nil"/>
              <w:bottom w:val="single" w:sz="8" w:space="0" w:color="95B3D7"/>
              <w:right w:val="nil"/>
            </w:tcBorders>
            <w:shd w:val="clear" w:color="000000" w:fill="DCE6F1"/>
            <w:noWrap/>
            <w:vAlign w:val="center"/>
            <w:hideMark/>
          </w:tcPr>
          <w:p w14:paraId="7C8EB2C1" w14:textId="77777777" w:rsidR="006334B2" w:rsidRPr="0070390A" w:rsidRDefault="006334B2" w:rsidP="00227DE7">
            <w:pPr>
              <w:keepNext/>
              <w:keepLines/>
              <w:rPr>
                <w:rFonts w:eastAsia="Times New Roman"/>
                <w:b/>
                <w:bCs/>
                <w:color w:val="000000"/>
                <w:sz w:val="20"/>
                <w:szCs w:val="20"/>
                <w:lang w:eastAsia="da-DK"/>
              </w:rPr>
            </w:pPr>
            <w:r w:rsidRPr="0070390A">
              <w:rPr>
                <w:rFonts w:eastAsia="Times New Roman"/>
                <w:b/>
                <w:bCs/>
                <w:color w:val="000000"/>
                <w:sz w:val="20"/>
                <w:szCs w:val="20"/>
                <w:lang w:eastAsia="da-DK"/>
              </w:rPr>
              <w:t>Skattepligtig indkomst</w:t>
            </w:r>
          </w:p>
        </w:tc>
        <w:tc>
          <w:tcPr>
            <w:tcW w:w="895" w:type="dxa"/>
            <w:tcBorders>
              <w:top w:val="nil"/>
              <w:left w:val="nil"/>
              <w:bottom w:val="single" w:sz="8" w:space="0" w:color="95B3D7"/>
              <w:right w:val="nil"/>
            </w:tcBorders>
            <w:shd w:val="clear" w:color="000000" w:fill="DCE6F1"/>
            <w:noWrap/>
            <w:vAlign w:val="center"/>
            <w:hideMark/>
          </w:tcPr>
          <w:p w14:paraId="096C999E" w14:textId="77777777" w:rsidR="006334B2" w:rsidRPr="0070390A" w:rsidRDefault="006334B2" w:rsidP="00227DE7">
            <w:pPr>
              <w:keepNext/>
              <w:keepLines/>
              <w:rPr>
                <w:rFonts w:eastAsia="Times New Roman"/>
                <w:b/>
                <w:bCs/>
                <w:color w:val="000000"/>
                <w:sz w:val="20"/>
                <w:szCs w:val="20"/>
                <w:lang w:eastAsia="da-DK"/>
              </w:rPr>
            </w:pPr>
            <w:r w:rsidRPr="0070390A">
              <w:rPr>
                <w:rFonts w:eastAsia="Times New Roman"/>
                <w:b/>
                <w:bCs/>
                <w:color w:val="000000"/>
                <w:sz w:val="20"/>
                <w:szCs w:val="20"/>
                <w:lang w:eastAsia="da-DK"/>
              </w:rPr>
              <w:t>0-1000</w:t>
            </w:r>
          </w:p>
        </w:tc>
        <w:tc>
          <w:tcPr>
            <w:tcW w:w="1139" w:type="dxa"/>
            <w:tcBorders>
              <w:top w:val="nil"/>
              <w:left w:val="nil"/>
              <w:bottom w:val="single" w:sz="8" w:space="0" w:color="95B3D7"/>
              <w:right w:val="nil"/>
            </w:tcBorders>
            <w:shd w:val="clear" w:color="000000" w:fill="DCE6F1"/>
            <w:noWrap/>
            <w:vAlign w:val="center"/>
            <w:hideMark/>
          </w:tcPr>
          <w:p w14:paraId="264DED7C" w14:textId="77777777" w:rsidR="006334B2" w:rsidRPr="0070390A" w:rsidRDefault="006334B2" w:rsidP="00227DE7">
            <w:pPr>
              <w:keepNext/>
              <w:keepLines/>
              <w:rPr>
                <w:rFonts w:eastAsia="Times New Roman"/>
                <w:b/>
                <w:bCs/>
                <w:color w:val="000000"/>
                <w:sz w:val="20"/>
                <w:szCs w:val="20"/>
                <w:lang w:eastAsia="da-DK"/>
              </w:rPr>
            </w:pPr>
            <w:r w:rsidRPr="0070390A">
              <w:rPr>
                <w:rFonts w:eastAsia="Times New Roman"/>
                <w:b/>
                <w:bCs/>
                <w:color w:val="000000"/>
                <w:sz w:val="20"/>
                <w:szCs w:val="20"/>
                <w:lang w:eastAsia="da-DK"/>
              </w:rPr>
              <w:t>1000-2000</w:t>
            </w:r>
          </w:p>
        </w:tc>
        <w:tc>
          <w:tcPr>
            <w:tcW w:w="1138" w:type="dxa"/>
            <w:tcBorders>
              <w:top w:val="nil"/>
              <w:left w:val="nil"/>
              <w:bottom w:val="single" w:sz="8" w:space="0" w:color="95B3D7"/>
              <w:right w:val="nil"/>
            </w:tcBorders>
            <w:shd w:val="clear" w:color="000000" w:fill="DCE6F1"/>
            <w:noWrap/>
            <w:vAlign w:val="center"/>
            <w:hideMark/>
          </w:tcPr>
          <w:p w14:paraId="169C7289" w14:textId="77777777" w:rsidR="006334B2" w:rsidRPr="0070390A" w:rsidRDefault="006334B2" w:rsidP="00227DE7">
            <w:pPr>
              <w:keepNext/>
              <w:keepLines/>
              <w:rPr>
                <w:rFonts w:eastAsia="Times New Roman"/>
                <w:b/>
                <w:bCs/>
                <w:color w:val="000000"/>
                <w:sz w:val="20"/>
                <w:szCs w:val="20"/>
                <w:lang w:eastAsia="da-DK"/>
              </w:rPr>
            </w:pPr>
            <w:r w:rsidRPr="0070390A">
              <w:rPr>
                <w:rFonts w:eastAsia="Times New Roman"/>
                <w:b/>
                <w:bCs/>
                <w:color w:val="000000"/>
                <w:sz w:val="20"/>
                <w:szCs w:val="20"/>
                <w:lang w:eastAsia="da-DK"/>
              </w:rPr>
              <w:t>2000-3000</w:t>
            </w:r>
          </w:p>
        </w:tc>
        <w:tc>
          <w:tcPr>
            <w:tcW w:w="1138" w:type="dxa"/>
            <w:tcBorders>
              <w:top w:val="nil"/>
              <w:left w:val="nil"/>
              <w:bottom w:val="single" w:sz="8" w:space="0" w:color="95B3D7"/>
              <w:right w:val="nil"/>
            </w:tcBorders>
            <w:shd w:val="clear" w:color="000000" w:fill="DCE6F1"/>
            <w:noWrap/>
            <w:vAlign w:val="center"/>
            <w:hideMark/>
          </w:tcPr>
          <w:p w14:paraId="0AE2A600" w14:textId="77777777" w:rsidR="006334B2" w:rsidRPr="0070390A" w:rsidRDefault="006334B2" w:rsidP="00227DE7">
            <w:pPr>
              <w:keepNext/>
              <w:keepLines/>
              <w:rPr>
                <w:rFonts w:eastAsia="Times New Roman"/>
                <w:b/>
                <w:bCs/>
                <w:color w:val="000000"/>
                <w:sz w:val="20"/>
                <w:szCs w:val="20"/>
                <w:lang w:eastAsia="da-DK"/>
              </w:rPr>
            </w:pPr>
            <w:r w:rsidRPr="0070390A">
              <w:rPr>
                <w:rFonts w:eastAsia="Times New Roman"/>
                <w:b/>
                <w:bCs/>
                <w:color w:val="000000"/>
                <w:sz w:val="20"/>
                <w:szCs w:val="20"/>
                <w:lang w:eastAsia="da-DK"/>
              </w:rPr>
              <w:t>3000-4000</w:t>
            </w:r>
          </w:p>
        </w:tc>
        <w:tc>
          <w:tcPr>
            <w:tcW w:w="1138" w:type="dxa"/>
            <w:tcBorders>
              <w:top w:val="nil"/>
              <w:left w:val="nil"/>
              <w:bottom w:val="single" w:sz="8" w:space="0" w:color="95B3D7"/>
              <w:right w:val="nil"/>
            </w:tcBorders>
            <w:shd w:val="clear" w:color="000000" w:fill="DCE6F1"/>
            <w:noWrap/>
            <w:vAlign w:val="center"/>
            <w:hideMark/>
          </w:tcPr>
          <w:p w14:paraId="3406F244" w14:textId="77777777" w:rsidR="006334B2" w:rsidRPr="0070390A" w:rsidRDefault="006334B2" w:rsidP="00227DE7">
            <w:pPr>
              <w:keepNext/>
              <w:keepLines/>
              <w:rPr>
                <w:rFonts w:eastAsia="Times New Roman"/>
                <w:b/>
                <w:bCs/>
                <w:color w:val="000000"/>
                <w:sz w:val="20"/>
                <w:szCs w:val="20"/>
                <w:lang w:eastAsia="da-DK"/>
              </w:rPr>
            </w:pPr>
            <w:r w:rsidRPr="0070390A">
              <w:rPr>
                <w:rFonts w:eastAsia="Times New Roman"/>
                <w:b/>
                <w:bCs/>
                <w:color w:val="000000"/>
                <w:sz w:val="20"/>
                <w:szCs w:val="20"/>
                <w:lang w:eastAsia="da-DK"/>
              </w:rPr>
              <w:t>4000-5000</w:t>
            </w:r>
          </w:p>
        </w:tc>
        <w:tc>
          <w:tcPr>
            <w:tcW w:w="1303" w:type="dxa"/>
            <w:tcBorders>
              <w:top w:val="nil"/>
              <w:left w:val="nil"/>
              <w:bottom w:val="single" w:sz="8" w:space="0" w:color="95B3D7"/>
              <w:right w:val="nil"/>
            </w:tcBorders>
            <w:shd w:val="clear" w:color="000000" w:fill="DCE6F1"/>
            <w:noWrap/>
            <w:vAlign w:val="center"/>
            <w:hideMark/>
          </w:tcPr>
          <w:p w14:paraId="0988F140" w14:textId="77777777" w:rsidR="006334B2" w:rsidRPr="0070390A" w:rsidRDefault="006334B2" w:rsidP="00227DE7">
            <w:pPr>
              <w:keepNext/>
              <w:keepLines/>
              <w:rPr>
                <w:rFonts w:eastAsia="Times New Roman"/>
                <w:b/>
                <w:bCs/>
                <w:color w:val="000000"/>
                <w:sz w:val="20"/>
                <w:szCs w:val="20"/>
                <w:lang w:eastAsia="da-DK"/>
              </w:rPr>
            </w:pPr>
            <w:r w:rsidRPr="0070390A">
              <w:rPr>
                <w:rFonts w:eastAsia="Times New Roman"/>
                <w:b/>
                <w:bCs/>
                <w:color w:val="000000"/>
                <w:sz w:val="20"/>
                <w:szCs w:val="20"/>
                <w:lang w:eastAsia="da-DK"/>
              </w:rPr>
              <w:t>Antal personer</w:t>
            </w:r>
          </w:p>
        </w:tc>
      </w:tr>
      <w:tr w:rsidR="0070390A" w:rsidRPr="0070390A" w14:paraId="5AA21FA1" w14:textId="77777777" w:rsidTr="0070390A">
        <w:trPr>
          <w:gridAfter w:val="1"/>
          <w:wAfter w:w="452" w:type="dxa"/>
          <w:trHeight w:val="242"/>
        </w:trPr>
        <w:tc>
          <w:tcPr>
            <w:tcW w:w="2486" w:type="dxa"/>
            <w:tcBorders>
              <w:top w:val="nil"/>
              <w:left w:val="nil"/>
              <w:bottom w:val="nil"/>
              <w:right w:val="nil"/>
            </w:tcBorders>
            <w:shd w:val="clear" w:color="auto" w:fill="auto"/>
            <w:noWrap/>
            <w:vAlign w:val="bottom"/>
            <w:hideMark/>
          </w:tcPr>
          <w:p w14:paraId="2581F9D3" w14:textId="4BF92A66"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 xml:space="preserve">&lt;0 eller </w:t>
            </w:r>
          </w:p>
        </w:tc>
        <w:tc>
          <w:tcPr>
            <w:tcW w:w="895" w:type="dxa"/>
            <w:tcBorders>
              <w:top w:val="nil"/>
              <w:left w:val="nil"/>
              <w:bottom w:val="nil"/>
              <w:right w:val="nil"/>
            </w:tcBorders>
            <w:shd w:val="clear" w:color="auto" w:fill="auto"/>
            <w:noWrap/>
            <w:vAlign w:val="bottom"/>
            <w:hideMark/>
          </w:tcPr>
          <w:p w14:paraId="0659D166"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1.342</w:t>
            </w:r>
          </w:p>
        </w:tc>
        <w:tc>
          <w:tcPr>
            <w:tcW w:w="1139" w:type="dxa"/>
            <w:tcBorders>
              <w:top w:val="nil"/>
              <w:left w:val="nil"/>
              <w:bottom w:val="nil"/>
              <w:right w:val="nil"/>
            </w:tcBorders>
            <w:shd w:val="clear" w:color="auto" w:fill="auto"/>
            <w:noWrap/>
            <w:vAlign w:val="bottom"/>
          </w:tcPr>
          <w:p w14:paraId="3EC2DCF1" w14:textId="77777777" w:rsidR="006334B2" w:rsidRPr="0070390A" w:rsidRDefault="006334B2" w:rsidP="00227DE7">
            <w:pPr>
              <w:keepNext/>
              <w:keepLines/>
              <w:jc w:val="right"/>
              <w:rPr>
                <w:rFonts w:eastAsia="Times New Roman"/>
                <w:color w:val="000000"/>
                <w:sz w:val="20"/>
                <w:szCs w:val="20"/>
                <w:lang w:eastAsia="da-DK"/>
              </w:rPr>
            </w:pPr>
          </w:p>
        </w:tc>
        <w:tc>
          <w:tcPr>
            <w:tcW w:w="1138" w:type="dxa"/>
            <w:tcBorders>
              <w:top w:val="nil"/>
              <w:left w:val="nil"/>
              <w:bottom w:val="nil"/>
              <w:right w:val="nil"/>
            </w:tcBorders>
            <w:shd w:val="clear" w:color="auto" w:fill="auto"/>
            <w:noWrap/>
            <w:vAlign w:val="bottom"/>
          </w:tcPr>
          <w:p w14:paraId="54A2EDCE" w14:textId="77777777" w:rsidR="006334B2" w:rsidRPr="0070390A" w:rsidRDefault="006334B2" w:rsidP="00227DE7">
            <w:pPr>
              <w:keepNext/>
              <w:keepLines/>
              <w:jc w:val="right"/>
              <w:rPr>
                <w:rFonts w:eastAsia="Times New Roman"/>
                <w:sz w:val="20"/>
                <w:szCs w:val="20"/>
                <w:lang w:eastAsia="da-DK"/>
              </w:rPr>
            </w:pPr>
          </w:p>
        </w:tc>
        <w:tc>
          <w:tcPr>
            <w:tcW w:w="1138" w:type="dxa"/>
            <w:tcBorders>
              <w:top w:val="nil"/>
              <w:left w:val="nil"/>
              <w:bottom w:val="nil"/>
              <w:right w:val="nil"/>
            </w:tcBorders>
            <w:shd w:val="clear" w:color="auto" w:fill="auto"/>
            <w:noWrap/>
            <w:vAlign w:val="bottom"/>
          </w:tcPr>
          <w:p w14:paraId="0989D307" w14:textId="77777777" w:rsidR="006334B2" w:rsidRPr="0070390A" w:rsidRDefault="006334B2" w:rsidP="00227DE7">
            <w:pPr>
              <w:keepNext/>
              <w:keepLines/>
              <w:rPr>
                <w:rFonts w:eastAsia="Times New Roman"/>
                <w:sz w:val="20"/>
                <w:szCs w:val="20"/>
                <w:lang w:eastAsia="da-DK"/>
              </w:rPr>
            </w:pPr>
          </w:p>
        </w:tc>
        <w:tc>
          <w:tcPr>
            <w:tcW w:w="1138" w:type="dxa"/>
            <w:tcBorders>
              <w:top w:val="nil"/>
              <w:left w:val="nil"/>
              <w:bottom w:val="nil"/>
              <w:right w:val="nil"/>
            </w:tcBorders>
            <w:shd w:val="clear" w:color="auto" w:fill="auto"/>
            <w:noWrap/>
            <w:vAlign w:val="bottom"/>
          </w:tcPr>
          <w:p w14:paraId="07716932" w14:textId="77777777" w:rsidR="006334B2" w:rsidRPr="0070390A" w:rsidRDefault="006334B2" w:rsidP="00227DE7">
            <w:pPr>
              <w:keepNext/>
              <w:keepLines/>
              <w:jc w:val="right"/>
              <w:rPr>
                <w:rFonts w:eastAsia="Times New Roman"/>
                <w:sz w:val="20"/>
                <w:szCs w:val="20"/>
                <w:lang w:eastAsia="da-DK"/>
              </w:rPr>
            </w:pPr>
          </w:p>
        </w:tc>
        <w:tc>
          <w:tcPr>
            <w:tcW w:w="1303" w:type="dxa"/>
            <w:tcBorders>
              <w:top w:val="nil"/>
              <w:left w:val="nil"/>
              <w:bottom w:val="nil"/>
              <w:right w:val="nil"/>
            </w:tcBorders>
            <w:shd w:val="clear" w:color="auto" w:fill="auto"/>
            <w:noWrap/>
            <w:vAlign w:val="bottom"/>
            <w:hideMark/>
          </w:tcPr>
          <w:p w14:paraId="24DD58BD"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1.348</w:t>
            </w:r>
          </w:p>
        </w:tc>
      </w:tr>
      <w:tr w:rsidR="0070390A" w:rsidRPr="0070390A" w14:paraId="20E70B38" w14:textId="77777777" w:rsidTr="0070390A">
        <w:trPr>
          <w:gridAfter w:val="1"/>
          <w:wAfter w:w="452" w:type="dxa"/>
          <w:trHeight w:val="267"/>
        </w:trPr>
        <w:tc>
          <w:tcPr>
            <w:tcW w:w="2486" w:type="dxa"/>
            <w:tcBorders>
              <w:top w:val="nil"/>
              <w:left w:val="nil"/>
              <w:bottom w:val="nil"/>
              <w:right w:val="nil"/>
            </w:tcBorders>
            <w:shd w:val="clear" w:color="auto" w:fill="auto"/>
            <w:noWrap/>
            <w:vAlign w:val="bottom"/>
            <w:hideMark/>
          </w:tcPr>
          <w:p w14:paraId="18A43C95" w14:textId="30DC59F5"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0-99.999</w:t>
            </w:r>
          </w:p>
        </w:tc>
        <w:tc>
          <w:tcPr>
            <w:tcW w:w="895" w:type="dxa"/>
            <w:tcBorders>
              <w:top w:val="nil"/>
              <w:left w:val="nil"/>
              <w:bottom w:val="nil"/>
              <w:right w:val="nil"/>
            </w:tcBorders>
            <w:shd w:val="clear" w:color="auto" w:fill="auto"/>
            <w:noWrap/>
            <w:vAlign w:val="bottom"/>
            <w:hideMark/>
          </w:tcPr>
          <w:p w14:paraId="6FB4D27A"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8.659</w:t>
            </w:r>
          </w:p>
        </w:tc>
        <w:tc>
          <w:tcPr>
            <w:tcW w:w="1139" w:type="dxa"/>
            <w:tcBorders>
              <w:top w:val="nil"/>
              <w:left w:val="nil"/>
              <w:bottom w:val="nil"/>
              <w:right w:val="nil"/>
            </w:tcBorders>
            <w:shd w:val="clear" w:color="auto" w:fill="auto"/>
            <w:noWrap/>
            <w:vAlign w:val="bottom"/>
            <w:hideMark/>
          </w:tcPr>
          <w:p w14:paraId="06FB94ED"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1.103</w:t>
            </w:r>
          </w:p>
        </w:tc>
        <w:tc>
          <w:tcPr>
            <w:tcW w:w="1138" w:type="dxa"/>
            <w:tcBorders>
              <w:top w:val="nil"/>
              <w:left w:val="nil"/>
              <w:bottom w:val="nil"/>
              <w:right w:val="nil"/>
            </w:tcBorders>
            <w:shd w:val="clear" w:color="auto" w:fill="auto"/>
            <w:noWrap/>
            <w:vAlign w:val="bottom"/>
            <w:hideMark/>
          </w:tcPr>
          <w:p w14:paraId="7C8CEC49"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53</w:t>
            </w:r>
          </w:p>
        </w:tc>
        <w:tc>
          <w:tcPr>
            <w:tcW w:w="1138" w:type="dxa"/>
            <w:tcBorders>
              <w:top w:val="nil"/>
              <w:left w:val="nil"/>
              <w:bottom w:val="nil"/>
              <w:right w:val="nil"/>
            </w:tcBorders>
            <w:shd w:val="clear" w:color="auto" w:fill="auto"/>
            <w:noWrap/>
            <w:vAlign w:val="bottom"/>
            <w:hideMark/>
          </w:tcPr>
          <w:p w14:paraId="4551A275"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3</w:t>
            </w:r>
          </w:p>
        </w:tc>
        <w:tc>
          <w:tcPr>
            <w:tcW w:w="1138" w:type="dxa"/>
            <w:tcBorders>
              <w:top w:val="nil"/>
              <w:left w:val="nil"/>
              <w:bottom w:val="nil"/>
              <w:right w:val="nil"/>
            </w:tcBorders>
            <w:shd w:val="clear" w:color="auto" w:fill="auto"/>
            <w:noWrap/>
            <w:vAlign w:val="bottom"/>
            <w:hideMark/>
          </w:tcPr>
          <w:p w14:paraId="67D238BF"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3</w:t>
            </w:r>
          </w:p>
        </w:tc>
        <w:tc>
          <w:tcPr>
            <w:tcW w:w="1303" w:type="dxa"/>
            <w:tcBorders>
              <w:top w:val="nil"/>
              <w:left w:val="nil"/>
              <w:bottom w:val="nil"/>
              <w:right w:val="nil"/>
            </w:tcBorders>
            <w:shd w:val="clear" w:color="auto" w:fill="auto"/>
            <w:noWrap/>
            <w:vAlign w:val="bottom"/>
            <w:hideMark/>
          </w:tcPr>
          <w:p w14:paraId="06D7D3DA"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9.821</w:t>
            </w:r>
          </w:p>
        </w:tc>
      </w:tr>
      <w:tr w:rsidR="0070390A" w:rsidRPr="0070390A" w14:paraId="63C7C281" w14:textId="77777777" w:rsidTr="0070390A">
        <w:trPr>
          <w:gridAfter w:val="1"/>
          <w:wAfter w:w="452" w:type="dxa"/>
          <w:trHeight w:val="267"/>
        </w:trPr>
        <w:tc>
          <w:tcPr>
            <w:tcW w:w="2486" w:type="dxa"/>
            <w:tcBorders>
              <w:top w:val="nil"/>
              <w:left w:val="nil"/>
              <w:bottom w:val="nil"/>
              <w:right w:val="nil"/>
            </w:tcBorders>
            <w:shd w:val="clear" w:color="auto" w:fill="auto"/>
            <w:noWrap/>
            <w:vAlign w:val="bottom"/>
            <w:hideMark/>
          </w:tcPr>
          <w:p w14:paraId="5AA61F96" w14:textId="450F71A3"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100.000-199.999</w:t>
            </w:r>
          </w:p>
        </w:tc>
        <w:tc>
          <w:tcPr>
            <w:tcW w:w="895" w:type="dxa"/>
            <w:tcBorders>
              <w:top w:val="nil"/>
              <w:left w:val="nil"/>
              <w:bottom w:val="nil"/>
              <w:right w:val="nil"/>
            </w:tcBorders>
            <w:shd w:val="clear" w:color="auto" w:fill="auto"/>
            <w:noWrap/>
            <w:vAlign w:val="bottom"/>
            <w:hideMark/>
          </w:tcPr>
          <w:p w14:paraId="321698D5"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3.992</w:t>
            </w:r>
          </w:p>
        </w:tc>
        <w:tc>
          <w:tcPr>
            <w:tcW w:w="1139" w:type="dxa"/>
            <w:tcBorders>
              <w:top w:val="nil"/>
              <w:left w:val="nil"/>
              <w:bottom w:val="nil"/>
              <w:right w:val="nil"/>
            </w:tcBorders>
            <w:shd w:val="clear" w:color="auto" w:fill="auto"/>
            <w:noWrap/>
            <w:vAlign w:val="bottom"/>
            <w:hideMark/>
          </w:tcPr>
          <w:p w14:paraId="27F1E6F7"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1.032</w:t>
            </w:r>
          </w:p>
        </w:tc>
        <w:tc>
          <w:tcPr>
            <w:tcW w:w="1138" w:type="dxa"/>
            <w:tcBorders>
              <w:top w:val="nil"/>
              <w:left w:val="nil"/>
              <w:bottom w:val="nil"/>
              <w:right w:val="nil"/>
            </w:tcBorders>
            <w:shd w:val="clear" w:color="auto" w:fill="auto"/>
            <w:noWrap/>
            <w:vAlign w:val="bottom"/>
            <w:hideMark/>
          </w:tcPr>
          <w:p w14:paraId="0636656E"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2.044</w:t>
            </w:r>
          </w:p>
        </w:tc>
        <w:tc>
          <w:tcPr>
            <w:tcW w:w="1138" w:type="dxa"/>
            <w:tcBorders>
              <w:top w:val="nil"/>
              <w:left w:val="nil"/>
              <w:bottom w:val="nil"/>
              <w:right w:val="nil"/>
            </w:tcBorders>
            <w:shd w:val="clear" w:color="auto" w:fill="auto"/>
            <w:noWrap/>
            <w:vAlign w:val="bottom"/>
            <w:hideMark/>
          </w:tcPr>
          <w:p w14:paraId="6FDDDC50"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1.815</w:t>
            </w:r>
          </w:p>
        </w:tc>
        <w:tc>
          <w:tcPr>
            <w:tcW w:w="1138" w:type="dxa"/>
            <w:tcBorders>
              <w:top w:val="nil"/>
              <w:left w:val="nil"/>
              <w:bottom w:val="nil"/>
              <w:right w:val="nil"/>
            </w:tcBorders>
            <w:shd w:val="clear" w:color="auto" w:fill="auto"/>
            <w:noWrap/>
            <w:vAlign w:val="bottom"/>
            <w:hideMark/>
          </w:tcPr>
          <w:p w14:paraId="2D59E179"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1.942</w:t>
            </w:r>
          </w:p>
        </w:tc>
        <w:tc>
          <w:tcPr>
            <w:tcW w:w="1303" w:type="dxa"/>
            <w:tcBorders>
              <w:top w:val="nil"/>
              <w:left w:val="nil"/>
              <w:bottom w:val="nil"/>
              <w:right w:val="nil"/>
            </w:tcBorders>
            <w:shd w:val="clear" w:color="auto" w:fill="auto"/>
            <w:noWrap/>
            <w:vAlign w:val="bottom"/>
            <w:hideMark/>
          </w:tcPr>
          <w:p w14:paraId="6C2BB4E6"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10.825</w:t>
            </w:r>
          </w:p>
        </w:tc>
      </w:tr>
      <w:tr w:rsidR="0070390A" w:rsidRPr="0070390A" w14:paraId="2E8F38DF" w14:textId="77777777" w:rsidTr="0070390A">
        <w:trPr>
          <w:gridAfter w:val="1"/>
          <w:wAfter w:w="452" w:type="dxa"/>
          <w:trHeight w:val="267"/>
        </w:trPr>
        <w:tc>
          <w:tcPr>
            <w:tcW w:w="2486" w:type="dxa"/>
            <w:tcBorders>
              <w:top w:val="nil"/>
              <w:left w:val="nil"/>
              <w:bottom w:val="nil"/>
              <w:right w:val="nil"/>
            </w:tcBorders>
            <w:shd w:val="clear" w:color="auto" w:fill="auto"/>
            <w:noWrap/>
            <w:vAlign w:val="bottom"/>
            <w:hideMark/>
          </w:tcPr>
          <w:p w14:paraId="017DBEE3" w14:textId="7ACD1AA7"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200.000-299.999</w:t>
            </w:r>
          </w:p>
        </w:tc>
        <w:tc>
          <w:tcPr>
            <w:tcW w:w="895" w:type="dxa"/>
            <w:tcBorders>
              <w:top w:val="nil"/>
              <w:left w:val="nil"/>
              <w:bottom w:val="nil"/>
              <w:right w:val="nil"/>
            </w:tcBorders>
            <w:shd w:val="clear" w:color="auto" w:fill="auto"/>
            <w:noWrap/>
            <w:vAlign w:val="bottom"/>
            <w:hideMark/>
          </w:tcPr>
          <w:p w14:paraId="5010ACC8"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272</w:t>
            </w:r>
          </w:p>
        </w:tc>
        <w:tc>
          <w:tcPr>
            <w:tcW w:w="1139" w:type="dxa"/>
            <w:tcBorders>
              <w:top w:val="nil"/>
              <w:left w:val="nil"/>
              <w:bottom w:val="nil"/>
              <w:right w:val="nil"/>
            </w:tcBorders>
            <w:shd w:val="clear" w:color="auto" w:fill="auto"/>
            <w:noWrap/>
            <w:vAlign w:val="bottom"/>
            <w:hideMark/>
          </w:tcPr>
          <w:p w14:paraId="2AC155D7"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60</w:t>
            </w:r>
          </w:p>
        </w:tc>
        <w:tc>
          <w:tcPr>
            <w:tcW w:w="1138" w:type="dxa"/>
            <w:tcBorders>
              <w:top w:val="nil"/>
              <w:left w:val="nil"/>
              <w:bottom w:val="nil"/>
              <w:right w:val="nil"/>
            </w:tcBorders>
            <w:shd w:val="clear" w:color="auto" w:fill="auto"/>
            <w:noWrap/>
            <w:vAlign w:val="bottom"/>
            <w:hideMark/>
          </w:tcPr>
          <w:p w14:paraId="5606EE99"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59</w:t>
            </w:r>
          </w:p>
        </w:tc>
        <w:tc>
          <w:tcPr>
            <w:tcW w:w="1138" w:type="dxa"/>
            <w:tcBorders>
              <w:top w:val="nil"/>
              <w:left w:val="nil"/>
              <w:bottom w:val="nil"/>
              <w:right w:val="nil"/>
            </w:tcBorders>
            <w:shd w:val="clear" w:color="auto" w:fill="auto"/>
            <w:noWrap/>
            <w:vAlign w:val="bottom"/>
            <w:hideMark/>
          </w:tcPr>
          <w:p w14:paraId="62FC4716"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77</w:t>
            </w:r>
          </w:p>
        </w:tc>
        <w:tc>
          <w:tcPr>
            <w:tcW w:w="1138" w:type="dxa"/>
            <w:tcBorders>
              <w:top w:val="nil"/>
              <w:left w:val="nil"/>
              <w:bottom w:val="nil"/>
              <w:right w:val="nil"/>
            </w:tcBorders>
            <w:shd w:val="clear" w:color="auto" w:fill="auto"/>
            <w:noWrap/>
            <w:vAlign w:val="bottom"/>
            <w:hideMark/>
          </w:tcPr>
          <w:p w14:paraId="033FF93A"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6.523</w:t>
            </w:r>
          </w:p>
        </w:tc>
        <w:tc>
          <w:tcPr>
            <w:tcW w:w="1303" w:type="dxa"/>
            <w:tcBorders>
              <w:top w:val="nil"/>
              <w:left w:val="nil"/>
              <w:bottom w:val="nil"/>
              <w:right w:val="nil"/>
            </w:tcBorders>
            <w:shd w:val="clear" w:color="auto" w:fill="auto"/>
            <w:noWrap/>
            <w:vAlign w:val="bottom"/>
            <w:hideMark/>
          </w:tcPr>
          <w:p w14:paraId="4848DE91"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6.991</w:t>
            </w:r>
          </w:p>
        </w:tc>
      </w:tr>
      <w:tr w:rsidR="0070390A" w:rsidRPr="0070390A" w14:paraId="4F32915B" w14:textId="77777777" w:rsidTr="0070390A">
        <w:trPr>
          <w:gridAfter w:val="1"/>
          <w:wAfter w:w="452" w:type="dxa"/>
          <w:trHeight w:val="267"/>
        </w:trPr>
        <w:tc>
          <w:tcPr>
            <w:tcW w:w="2486" w:type="dxa"/>
            <w:tcBorders>
              <w:top w:val="nil"/>
              <w:left w:val="nil"/>
              <w:bottom w:val="nil"/>
              <w:right w:val="nil"/>
            </w:tcBorders>
            <w:shd w:val="clear" w:color="auto" w:fill="auto"/>
            <w:noWrap/>
            <w:vAlign w:val="bottom"/>
            <w:hideMark/>
          </w:tcPr>
          <w:p w14:paraId="47858579" w14:textId="2984634B"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300.000-399.999</w:t>
            </w:r>
          </w:p>
        </w:tc>
        <w:tc>
          <w:tcPr>
            <w:tcW w:w="895" w:type="dxa"/>
            <w:tcBorders>
              <w:top w:val="nil"/>
              <w:left w:val="nil"/>
              <w:bottom w:val="nil"/>
              <w:right w:val="nil"/>
            </w:tcBorders>
            <w:shd w:val="clear" w:color="auto" w:fill="auto"/>
            <w:noWrap/>
            <w:vAlign w:val="bottom"/>
            <w:hideMark/>
          </w:tcPr>
          <w:p w14:paraId="685E5137"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100</w:t>
            </w:r>
          </w:p>
        </w:tc>
        <w:tc>
          <w:tcPr>
            <w:tcW w:w="1139" w:type="dxa"/>
            <w:tcBorders>
              <w:top w:val="nil"/>
              <w:left w:val="nil"/>
              <w:bottom w:val="nil"/>
              <w:right w:val="nil"/>
            </w:tcBorders>
            <w:shd w:val="clear" w:color="auto" w:fill="auto"/>
            <w:noWrap/>
            <w:vAlign w:val="bottom"/>
            <w:hideMark/>
          </w:tcPr>
          <w:p w14:paraId="055E9828"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11</w:t>
            </w:r>
          </w:p>
        </w:tc>
        <w:tc>
          <w:tcPr>
            <w:tcW w:w="1138" w:type="dxa"/>
            <w:tcBorders>
              <w:top w:val="nil"/>
              <w:left w:val="nil"/>
              <w:bottom w:val="nil"/>
              <w:right w:val="nil"/>
            </w:tcBorders>
            <w:shd w:val="clear" w:color="auto" w:fill="auto"/>
            <w:noWrap/>
            <w:vAlign w:val="bottom"/>
            <w:hideMark/>
          </w:tcPr>
          <w:p w14:paraId="18FFDC99"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77</w:t>
            </w:r>
          </w:p>
        </w:tc>
        <w:tc>
          <w:tcPr>
            <w:tcW w:w="1138" w:type="dxa"/>
            <w:tcBorders>
              <w:top w:val="nil"/>
              <w:left w:val="nil"/>
              <w:bottom w:val="nil"/>
              <w:right w:val="nil"/>
            </w:tcBorders>
            <w:shd w:val="clear" w:color="auto" w:fill="auto"/>
            <w:noWrap/>
            <w:vAlign w:val="bottom"/>
            <w:hideMark/>
          </w:tcPr>
          <w:p w14:paraId="2ABE978D"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909</w:t>
            </w:r>
          </w:p>
        </w:tc>
        <w:tc>
          <w:tcPr>
            <w:tcW w:w="1138" w:type="dxa"/>
            <w:tcBorders>
              <w:top w:val="nil"/>
              <w:left w:val="nil"/>
              <w:bottom w:val="nil"/>
              <w:right w:val="nil"/>
            </w:tcBorders>
            <w:shd w:val="clear" w:color="auto" w:fill="auto"/>
            <w:noWrap/>
            <w:vAlign w:val="bottom"/>
            <w:hideMark/>
          </w:tcPr>
          <w:p w14:paraId="6CC8B803"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3.749</w:t>
            </w:r>
          </w:p>
        </w:tc>
        <w:tc>
          <w:tcPr>
            <w:tcW w:w="1303" w:type="dxa"/>
            <w:tcBorders>
              <w:top w:val="nil"/>
              <w:left w:val="nil"/>
              <w:bottom w:val="nil"/>
              <w:right w:val="nil"/>
            </w:tcBorders>
            <w:shd w:val="clear" w:color="auto" w:fill="auto"/>
            <w:noWrap/>
            <w:vAlign w:val="bottom"/>
            <w:hideMark/>
          </w:tcPr>
          <w:p w14:paraId="6B484957"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4.846</w:t>
            </w:r>
          </w:p>
        </w:tc>
      </w:tr>
      <w:tr w:rsidR="0070390A" w:rsidRPr="0070390A" w14:paraId="23B26EA9" w14:textId="77777777" w:rsidTr="0070390A">
        <w:trPr>
          <w:gridAfter w:val="1"/>
          <w:wAfter w:w="452" w:type="dxa"/>
          <w:trHeight w:val="267"/>
        </w:trPr>
        <w:tc>
          <w:tcPr>
            <w:tcW w:w="2486" w:type="dxa"/>
            <w:tcBorders>
              <w:top w:val="nil"/>
              <w:left w:val="nil"/>
              <w:bottom w:val="nil"/>
              <w:right w:val="nil"/>
            </w:tcBorders>
            <w:shd w:val="clear" w:color="auto" w:fill="auto"/>
            <w:noWrap/>
            <w:vAlign w:val="bottom"/>
            <w:hideMark/>
          </w:tcPr>
          <w:p w14:paraId="61FF288C" w14:textId="56E1FA01"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400.000-499.999</w:t>
            </w:r>
          </w:p>
        </w:tc>
        <w:tc>
          <w:tcPr>
            <w:tcW w:w="895" w:type="dxa"/>
            <w:tcBorders>
              <w:top w:val="nil"/>
              <w:left w:val="nil"/>
              <w:bottom w:val="nil"/>
              <w:right w:val="nil"/>
            </w:tcBorders>
            <w:shd w:val="clear" w:color="auto" w:fill="auto"/>
            <w:noWrap/>
            <w:vAlign w:val="bottom"/>
            <w:hideMark/>
          </w:tcPr>
          <w:p w14:paraId="14C3708F"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58</w:t>
            </w:r>
          </w:p>
        </w:tc>
        <w:tc>
          <w:tcPr>
            <w:tcW w:w="1139" w:type="dxa"/>
            <w:tcBorders>
              <w:top w:val="nil"/>
              <w:left w:val="nil"/>
              <w:bottom w:val="nil"/>
              <w:right w:val="nil"/>
            </w:tcBorders>
            <w:shd w:val="clear" w:color="auto" w:fill="auto"/>
            <w:noWrap/>
            <w:vAlign w:val="bottom"/>
            <w:hideMark/>
          </w:tcPr>
          <w:p w14:paraId="28C1CE6E"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534</w:t>
            </w:r>
          </w:p>
        </w:tc>
        <w:tc>
          <w:tcPr>
            <w:tcW w:w="1138" w:type="dxa"/>
            <w:tcBorders>
              <w:top w:val="nil"/>
              <w:left w:val="nil"/>
              <w:bottom w:val="nil"/>
              <w:right w:val="nil"/>
            </w:tcBorders>
            <w:shd w:val="clear" w:color="auto" w:fill="auto"/>
            <w:noWrap/>
            <w:vAlign w:val="bottom"/>
            <w:hideMark/>
          </w:tcPr>
          <w:p w14:paraId="2E191972"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1.667</w:t>
            </w:r>
          </w:p>
        </w:tc>
        <w:tc>
          <w:tcPr>
            <w:tcW w:w="1138" w:type="dxa"/>
            <w:tcBorders>
              <w:top w:val="nil"/>
              <w:left w:val="nil"/>
              <w:bottom w:val="nil"/>
              <w:right w:val="nil"/>
            </w:tcBorders>
            <w:shd w:val="clear" w:color="auto" w:fill="auto"/>
            <w:noWrap/>
            <w:vAlign w:val="bottom"/>
            <w:hideMark/>
          </w:tcPr>
          <w:p w14:paraId="13F1E8D5"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1.174</w:t>
            </w:r>
          </w:p>
        </w:tc>
        <w:tc>
          <w:tcPr>
            <w:tcW w:w="1138" w:type="dxa"/>
            <w:tcBorders>
              <w:top w:val="nil"/>
              <w:left w:val="nil"/>
              <w:bottom w:val="nil"/>
              <w:right w:val="nil"/>
            </w:tcBorders>
            <w:shd w:val="clear" w:color="auto" w:fill="auto"/>
            <w:noWrap/>
            <w:vAlign w:val="bottom"/>
            <w:hideMark/>
          </w:tcPr>
          <w:p w14:paraId="427DF29E"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119</w:t>
            </w:r>
          </w:p>
        </w:tc>
        <w:tc>
          <w:tcPr>
            <w:tcW w:w="1303" w:type="dxa"/>
            <w:tcBorders>
              <w:top w:val="nil"/>
              <w:left w:val="nil"/>
              <w:bottom w:val="nil"/>
              <w:right w:val="nil"/>
            </w:tcBorders>
            <w:shd w:val="clear" w:color="auto" w:fill="auto"/>
            <w:noWrap/>
            <w:vAlign w:val="bottom"/>
            <w:hideMark/>
          </w:tcPr>
          <w:p w14:paraId="74D17CEC"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3.552</w:t>
            </w:r>
          </w:p>
        </w:tc>
      </w:tr>
      <w:tr w:rsidR="0070390A" w:rsidRPr="0070390A" w14:paraId="6AAEA2D7" w14:textId="77777777" w:rsidTr="0070390A">
        <w:trPr>
          <w:gridAfter w:val="1"/>
          <w:wAfter w:w="452" w:type="dxa"/>
          <w:trHeight w:val="267"/>
        </w:trPr>
        <w:tc>
          <w:tcPr>
            <w:tcW w:w="2486" w:type="dxa"/>
            <w:tcBorders>
              <w:top w:val="nil"/>
              <w:left w:val="nil"/>
              <w:bottom w:val="nil"/>
              <w:right w:val="nil"/>
            </w:tcBorders>
            <w:shd w:val="clear" w:color="auto" w:fill="auto"/>
            <w:noWrap/>
            <w:vAlign w:val="bottom"/>
            <w:hideMark/>
          </w:tcPr>
          <w:p w14:paraId="0F4C05DD" w14:textId="3640D653"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500.000-599.999</w:t>
            </w:r>
          </w:p>
        </w:tc>
        <w:tc>
          <w:tcPr>
            <w:tcW w:w="895" w:type="dxa"/>
            <w:tcBorders>
              <w:top w:val="nil"/>
              <w:left w:val="nil"/>
              <w:bottom w:val="nil"/>
              <w:right w:val="nil"/>
            </w:tcBorders>
            <w:shd w:val="clear" w:color="auto" w:fill="auto"/>
            <w:noWrap/>
            <w:vAlign w:val="bottom"/>
            <w:hideMark/>
          </w:tcPr>
          <w:p w14:paraId="7289B929"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1.164</w:t>
            </w:r>
          </w:p>
        </w:tc>
        <w:tc>
          <w:tcPr>
            <w:tcW w:w="1139" w:type="dxa"/>
            <w:tcBorders>
              <w:top w:val="nil"/>
              <w:left w:val="nil"/>
              <w:bottom w:val="nil"/>
              <w:right w:val="nil"/>
            </w:tcBorders>
            <w:shd w:val="clear" w:color="auto" w:fill="auto"/>
            <w:noWrap/>
            <w:vAlign w:val="bottom"/>
            <w:hideMark/>
          </w:tcPr>
          <w:p w14:paraId="28915DD8"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715</w:t>
            </w:r>
          </w:p>
        </w:tc>
        <w:tc>
          <w:tcPr>
            <w:tcW w:w="1138" w:type="dxa"/>
            <w:tcBorders>
              <w:top w:val="nil"/>
              <w:left w:val="nil"/>
              <w:bottom w:val="nil"/>
              <w:right w:val="nil"/>
            </w:tcBorders>
            <w:shd w:val="clear" w:color="auto" w:fill="auto"/>
            <w:noWrap/>
            <w:vAlign w:val="bottom"/>
            <w:hideMark/>
          </w:tcPr>
          <w:p w14:paraId="6BC9FC5C"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41</w:t>
            </w:r>
          </w:p>
        </w:tc>
        <w:tc>
          <w:tcPr>
            <w:tcW w:w="1138" w:type="dxa"/>
            <w:tcBorders>
              <w:top w:val="nil"/>
              <w:left w:val="nil"/>
              <w:bottom w:val="nil"/>
              <w:right w:val="nil"/>
            </w:tcBorders>
            <w:shd w:val="clear" w:color="auto" w:fill="auto"/>
            <w:noWrap/>
            <w:vAlign w:val="bottom"/>
            <w:hideMark/>
          </w:tcPr>
          <w:p w14:paraId="3EE34DE8"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24</w:t>
            </w:r>
          </w:p>
        </w:tc>
        <w:tc>
          <w:tcPr>
            <w:tcW w:w="1138" w:type="dxa"/>
            <w:tcBorders>
              <w:top w:val="nil"/>
              <w:left w:val="nil"/>
              <w:bottom w:val="nil"/>
              <w:right w:val="nil"/>
            </w:tcBorders>
            <w:shd w:val="clear" w:color="auto" w:fill="auto"/>
            <w:noWrap/>
            <w:vAlign w:val="bottom"/>
            <w:hideMark/>
          </w:tcPr>
          <w:p w14:paraId="31309A1E"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21</w:t>
            </w:r>
          </w:p>
        </w:tc>
        <w:tc>
          <w:tcPr>
            <w:tcW w:w="1303" w:type="dxa"/>
            <w:tcBorders>
              <w:top w:val="nil"/>
              <w:left w:val="nil"/>
              <w:bottom w:val="nil"/>
              <w:right w:val="nil"/>
            </w:tcBorders>
            <w:shd w:val="clear" w:color="auto" w:fill="auto"/>
            <w:noWrap/>
            <w:vAlign w:val="bottom"/>
            <w:hideMark/>
          </w:tcPr>
          <w:p w14:paraId="30954CC3"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1.965</w:t>
            </w:r>
          </w:p>
        </w:tc>
      </w:tr>
      <w:tr w:rsidR="0070390A" w:rsidRPr="0070390A" w14:paraId="2FBDEC13" w14:textId="77777777" w:rsidTr="0070390A">
        <w:trPr>
          <w:gridAfter w:val="1"/>
          <w:wAfter w:w="452" w:type="dxa"/>
          <w:trHeight w:val="267"/>
        </w:trPr>
        <w:tc>
          <w:tcPr>
            <w:tcW w:w="2486" w:type="dxa"/>
            <w:tcBorders>
              <w:top w:val="nil"/>
              <w:left w:val="nil"/>
              <w:bottom w:val="nil"/>
              <w:right w:val="nil"/>
            </w:tcBorders>
            <w:shd w:val="clear" w:color="auto" w:fill="auto"/>
            <w:noWrap/>
            <w:vAlign w:val="bottom"/>
            <w:hideMark/>
          </w:tcPr>
          <w:p w14:paraId="48A9EF51" w14:textId="706AFF72"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600.000-699.999</w:t>
            </w:r>
          </w:p>
        </w:tc>
        <w:tc>
          <w:tcPr>
            <w:tcW w:w="895" w:type="dxa"/>
            <w:tcBorders>
              <w:top w:val="nil"/>
              <w:left w:val="nil"/>
              <w:bottom w:val="nil"/>
              <w:right w:val="nil"/>
            </w:tcBorders>
            <w:shd w:val="clear" w:color="auto" w:fill="auto"/>
            <w:noWrap/>
            <w:vAlign w:val="bottom"/>
            <w:hideMark/>
          </w:tcPr>
          <w:p w14:paraId="3A4ECEC4"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1.072</w:t>
            </w:r>
          </w:p>
        </w:tc>
        <w:tc>
          <w:tcPr>
            <w:tcW w:w="1139" w:type="dxa"/>
            <w:tcBorders>
              <w:top w:val="nil"/>
              <w:left w:val="nil"/>
              <w:bottom w:val="nil"/>
              <w:right w:val="nil"/>
            </w:tcBorders>
            <w:shd w:val="clear" w:color="auto" w:fill="auto"/>
            <w:noWrap/>
            <w:vAlign w:val="bottom"/>
            <w:hideMark/>
          </w:tcPr>
          <w:p w14:paraId="7C5F14F5"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13</w:t>
            </w:r>
          </w:p>
        </w:tc>
        <w:tc>
          <w:tcPr>
            <w:tcW w:w="1138" w:type="dxa"/>
            <w:tcBorders>
              <w:top w:val="nil"/>
              <w:left w:val="nil"/>
              <w:bottom w:val="nil"/>
              <w:right w:val="nil"/>
            </w:tcBorders>
            <w:shd w:val="clear" w:color="auto" w:fill="auto"/>
            <w:noWrap/>
            <w:vAlign w:val="bottom"/>
            <w:hideMark/>
          </w:tcPr>
          <w:p w14:paraId="66B40073"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6</w:t>
            </w:r>
          </w:p>
        </w:tc>
        <w:tc>
          <w:tcPr>
            <w:tcW w:w="1138" w:type="dxa"/>
            <w:tcBorders>
              <w:top w:val="nil"/>
              <w:left w:val="nil"/>
              <w:bottom w:val="nil"/>
              <w:right w:val="nil"/>
            </w:tcBorders>
            <w:shd w:val="clear" w:color="auto" w:fill="auto"/>
            <w:noWrap/>
            <w:vAlign w:val="bottom"/>
            <w:hideMark/>
          </w:tcPr>
          <w:p w14:paraId="228228F3"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5</w:t>
            </w:r>
          </w:p>
        </w:tc>
        <w:tc>
          <w:tcPr>
            <w:tcW w:w="1138" w:type="dxa"/>
            <w:tcBorders>
              <w:top w:val="nil"/>
              <w:left w:val="nil"/>
              <w:bottom w:val="nil"/>
              <w:right w:val="nil"/>
            </w:tcBorders>
            <w:shd w:val="clear" w:color="auto" w:fill="auto"/>
            <w:noWrap/>
            <w:vAlign w:val="bottom"/>
            <w:hideMark/>
          </w:tcPr>
          <w:p w14:paraId="7669BEB4"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10</w:t>
            </w:r>
          </w:p>
        </w:tc>
        <w:tc>
          <w:tcPr>
            <w:tcW w:w="1303" w:type="dxa"/>
            <w:tcBorders>
              <w:top w:val="nil"/>
              <w:left w:val="nil"/>
              <w:bottom w:val="nil"/>
              <w:right w:val="nil"/>
            </w:tcBorders>
            <w:shd w:val="clear" w:color="auto" w:fill="auto"/>
            <w:noWrap/>
            <w:vAlign w:val="bottom"/>
            <w:hideMark/>
          </w:tcPr>
          <w:p w14:paraId="51C5E3B8"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1.106</w:t>
            </w:r>
          </w:p>
        </w:tc>
      </w:tr>
      <w:tr w:rsidR="0070390A" w:rsidRPr="0070390A" w14:paraId="315A770B" w14:textId="77777777" w:rsidTr="0070390A">
        <w:trPr>
          <w:gridAfter w:val="1"/>
          <w:wAfter w:w="452" w:type="dxa"/>
          <w:trHeight w:val="160"/>
        </w:trPr>
        <w:tc>
          <w:tcPr>
            <w:tcW w:w="2486" w:type="dxa"/>
            <w:tcBorders>
              <w:top w:val="nil"/>
              <w:left w:val="nil"/>
              <w:bottom w:val="nil"/>
              <w:right w:val="nil"/>
            </w:tcBorders>
            <w:shd w:val="clear" w:color="auto" w:fill="auto"/>
            <w:noWrap/>
            <w:vAlign w:val="bottom"/>
            <w:hideMark/>
          </w:tcPr>
          <w:p w14:paraId="241673C3" w14:textId="53D6BBB0" w:rsidR="006334B2" w:rsidRPr="0070390A" w:rsidRDefault="006334B2" w:rsidP="00227DE7">
            <w:pPr>
              <w:keepNext/>
              <w:keepLines/>
              <w:rPr>
                <w:rFonts w:eastAsia="Times New Roman"/>
                <w:color w:val="000000"/>
                <w:sz w:val="20"/>
                <w:szCs w:val="20"/>
                <w:lang w:eastAsia="da-DK"/>
              </w:rPr>
            </w:pPr>
            <w:r w:rsidRPr="0070390A">
              <w:rPr>
                <w:color w:val="000000"/>
                <w:sz w:val="20"/>
                <w:szCs w:val="20"/>
              </w:rPr>
              <w:t>700.000-800.000</w:t>
            </w:r>
          </w:p>
        </w:tc>
        <w:tc>
          <w:tcPr>
            <w:tcW w:w="895" w:type="dxa"/>
            <w:tcBorders>
              <w:top w:val="nil"/>
              <w:left w:val="nil"/>
              <w:bottom w:val="nil"/>
              <w:right w:val="nil"/>
            </w:tcBorders>
            <w:shd w:val="clear" w:color="auto" w:fill="auto"/>
            <w:noWrap/>
            <w:vAlign w:val="bottom"/>
            <w:hideMark/>
          </w:tcPr>
          <w:p w14:paraId="0C63D809"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662</w:t>
            </w:r>
          </w:p>
        </w:tc>
        <w:tc>
          <w:tcPr>
            <w:tcW w:w="1139" w:type="dxa"/>
            <w:tcBorders>
              <w:top w:val="nil"/>
              <w:left w:val="nil"/>
              <w:bottom w:val="nil"/>
              <w:right w:val="nil"/>
            </w:tcBorders>
            <w:shd w:val="clear" w:color="auto" w:fill="auto"/>
            <w:noWrap/>
            <w:vAlign w:val="bottom"/>
            <w:hideMark/>
          </w:tcPr>
          <w:p w14:paraId="6D637CBA"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2</w:t>
            </w:r>
          </w:p>
        </w:tc>
        <w:tc>
          <w:tcPr>
            <w:tcW w:w="1138" w:type="dxa"/>
            <w:tcBorders>
              <w:top w:val="nil"/>
              <w:left w:val="nil"/>
              <w:bottom w:val="nil"/>
              <w:right w:val="nil"/>
            </w:tcBorders>
            <w:shd w:val="clear" w:color="auto" w:fill="auto"/>
            <w:noWrap/>
            <w:vAlign w:val="bottom"/>
            <w:hideMark/>
          </w:tcPr>
          <w:p w14:paraId="1CB4D2E6"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2</w:t>
            </w:r>
          </w:p>
        </w:tc>
        <w:tc>
          <w:tcPr>
            <w:tcW w:w="1138" w:type="dxa"/>
            <w:tcBorders>
              <w:top w:val="nil"/>
              <w:left w:val="nil"/>
              <w:bottom w:val="nil"/>
              <w:right w:val="nil"/>
            </w:tcBorders>
            <w:shd w:val="clear" w:color="auto" w:fill="auto"/>
            <w:noWrap/>
            <w:vAlign w:val="bottom"/>
            <w:hideMark/>
          </w:tcPr>
          <w:p w14:paraId="600B879C"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3</w:t>
            </w:r>
          </w:p>
        </w:tc>
        <w:tc>
          <w:tcPr>
            <w:tcW w:w="1138" w:type="dxa"/>
            <w:tcBorders>
              <w:top w:val="nil"/>
              <w:left w:val="nil"/>
              <w:bottom w:val="nil"/>
              <w:right w:val="nil"/>
            </w:tcBorders>
            <w:shd w:val="clear" w:color="auto" w:fill="auto"/>
            <w:noWrap/>
            <w:vAlign w:val="bottom"/>
            <w:hideMark/>
          </w:tcPr>
          <w:p w14:paraId="355E6582" w14:textId="77777777" w:rsidR="006334B2" w:rsidRPr="0070390A" w:rsidRDefault="006334B2" w:rsidP="00227DE7">
            <w:pPr>
              <w:keepNext/>
              <w:keepLines/>
              <w:jc w:val="right"/>
              <w:rPr>
                <w:rFonts w:eastAsia="Times New Roman"/>
                <w:color w:val="000000"/>
                <w:sz w:val="20"/>
                <w:szCs w:val="20"/>
                <w:lang w:eastAsia="da-DK"/>
              </w:rPr>
            </w:pPr>
          </w:p>
        </w:tc>
        <w:tc>
          <w:tcPr>
            <w:tcW w:w="1303" w:type="dxa"/>
            <w:tcBorders>
              <w:top w:val="nil"/>
              <w:left w:val="nil"/>
              <w:bottom w:val="nil"/>
              <w:right w:val="nil"/>
            </w:tcBorders>
            <w:shd w:val="clear" w:color="auto" w:fill="auto"/>
            <w:noWrap/>
            <w:vAlign w:val="bottom"/>
            <w:hideMark/>
          </w:tcPr>
          <w:p w14:paraId="0168ED0B" w14:textId="77777777" w:rsidR="006334B2" w:rsidRPr="0070390A" w:rsidRDefault="006334B2" w:rsidP="00227DE7">
            <w:pPr>
              <w:keepNext/>
              <w:keepLines/>
              <w:jc w:val="right"/>
              <w:rPr>
                <w:rFonts w:eastAsia="Times New Roman"/>
                <w:color w:val="000000"/>
                <w:sz w:val="20"/>
                <w:szCs w:val="20"/>
                <w:lang w:eastAsia="da-DK"/>
              </w:rPr>
            </w:pPr>
            <w:r w:rsidRPr="0070390A">
              <w:rPr>
                <w:color w:val="000000"/>
                <w:sz w:val="20"/>
                <w:szCs w:val="20"/>
              </w:rPr>
              <w:t>669</w:t>
            </w:r>
          </w:p>
        </w:tc>
      </w:tr>
      <w:tr w:rsidR="0070390A" w:rsidRPr="0070390A" w14:paraId="7ADAF56C" w14:textId="77777777" w:rsidTr="0070390A">
        <w:trPr>
          <w:gridAfter w:val="1"/>
          <w:wAfter w:w="452" w:type="dxa"/>
          <w:trHeight w:val="267"/>
        </w:trPr>
        <w:tc>
          <w:tcPr>
            <w:tcW w:w="2486" w:type="dxa"/>
            <w:tcBorders>
              <w:top w:val="single" w:sz="8" w:space="0" w:color="95B3D7"/>
              <w:left w:val="nil"/>
              <w:bottom w:val="single" w:sz="8" w:space="0" w:color="95B3D7"/>
              <w:right w:val="nil"/>
            </w:tcBorders>
            <w:shd w:val="clear" w:color="auto" w:fill="auto"/>
            <w:noWrap/>
            <w:vAlign w:val="bottom"/>
            <w:hideMark/>
          </w:tcPr>
          <w:p w14:paraId="7695B5BD" w14:textId="6FEB31C4" w:rsidR="006334B2" w:rsidRPr="0070390A" w:rsidRDefault="006334B2" w:rsidP="00227DE7">
            <w:pPr>
              <w:keepNext/>
              <w:keepLines/>
              <w:rPr>
                <w:rFonts w:eastAsia="Times New Roman"/>
                <w:b/>
                <w:bCs/>
                <w:color w:val="000000"/>
                <w:sz w:val="20"/>
                <w:szCs w:val="20"/>
                <w:lang w:eastAsia="da-DK"/>
              </w:rPr>
            </w:pPr>
            <w:r w:rsidRPr="0070390A">
              <w:rPr>
                <w:color w:val="000000"/>
                <w:sz w:val="20"/>
                <w:szCs w:val="20"/>
              </w:rPr>
              <w:t>&gt;800.000</w:t>
            </w:r>
          </w:p>
        </w:tc>
        <w:tc>
          <w:tcPr>
            <w:tcW w:w="895" w:type="dxa"/>
            <w:tcBorders>
              <w:top w:val="single" w:sz="8" w:space="0" w:color="95B3D7"/>
              <w:left w:val="nil"/>
              <w:bottom w:val="single" w:sz="8" w:space="0" w:color="95B3D7"/>
              <w:right w:val="nil"/>
            </w:tcBorders>
            <w:shd w:val="clear" w:color="auto" w:fill="auto"/>
            <w:noWrap/>
            <w:vAlign w:val="bottom"/>
            <w:hideMark/>
          </w:tcPr>
          <w:p w14:paraId="686A09B5" w14:textId="77777777" w:rsidR="006334B2" w:rsidRPr="0070390A" w:rsidRDefault="006334B2" w:rsidP="00227DE7">
            <w:pPr>
              <w:keepNext/>
              <w:keepLines/>
              <w:jc w:val="right"/>
              <w:rPr>
                <w:rFonts w:eastAsia="Times New Roman"/>
                <w:b/>
                <w:bCs/>
                <w:color w:val="000000"/>
                <w:sz w:val="20"/>
                <w:szCs w:val="20"/>
                <w:lang w:eastAsia="da-DK"/>
              </w:rPr>
            </w:pPr>
            <w:r w:rsidRPr="0070390A">
              <w:rPr>
                <w:color w:val="000000"/>
                <w:sz w:val="20"/>
                <w:szCs w:val="20"/>
              </w:rPr>
              <w:t>1.335</w:t>
            </w:r>
          </w:p>
        </w:tc>
        <w:tc>
          <w:tcPr>
            <w:tcW w:w="1139" w:type="dxa"/>
            <w:tcBorders>
              <w:top w:val="single" w:sz="8" w:space="0" w:color="95B3D7"/>
              <w:left w:val="nil"/>
              <w:bottom w:val="single" w:sz="8" w:space="0" w:color="95B3D7"/>
              <w:right w:val="nil"/>
            </w:tcBorders>
            <w:shd w:val="clear" w:color="auto" w:fill="auto"/>
            <w:noWrap/>
            <w:vAlign w:val="bottom"/>
            <w:hideMark/>
          </w:tcPr>
          <w:p w14:paraId="47035885" w14:textId="77777777" w:rsidR="006334B2" w:rsidRPr="0070390A" w:rsidRDefault="006334B2" w:rsidP="00227DE7">
            <w:pPr>
              <w:keepNext/>
              <w:keepLines/>
              <w:jc w:val="right"/>
              <w:rPr>
                <w:rFonts w:eastAsia="Times New Roman"/>
                <w:b/>
                <w:bCs/>
                <w:color w:val="000000"/>
                <w:sz w:val="20"/>
                <w:szCs w:val="20"/>
                <w:lang w:eastAsia="da-DK"/>
              </w:rPr>
            </w:pPr>
            <w:r w:rsidRPr="0070390A">
              <w:rPr>
                <w:color w:val="000000"/>
                <w:sz w:val="20"/>
                <w:szCs w:val="20"/>
              </w:rPr>
              <w:t>2</w:t>
            </w:r>
          </w:p>
        </w:tc>
        <w:tc>
          <w:tcPr>
            <w:tcW w:w="1138" w:type="dxa"/>
            <w:tcBorders>
              <w:top w:val="single" w:sz="8" w:space="0" w:color="95B3D7"/>
              <w:left w:val="nil"/>
              <w:bottom w:val="single" w:sz="8" w:space="0" w:color="95B3D7"/>
              <w:right w:val="nil"/>
            </w:tcBorders>
            <w:shd w:val="clear" w:color="auto" w:fill="auto"/>
            <w:noWrap/>
            <w:vAlign w:val="bottom"/>
            <w:hideMark/>
          </w:tcPr>
          <w:p w14:paraId="6667B224" w14:textId="77777777" w:rsidR="006334B2" w:rsidRPr="0070390A" w:rsidRDefault="006334B2" w:rsidP="00227DE7">
            <w:pPr>
              <w:keepNext/>
              <w:keepLines/>
              <w:jc w:val="right"/>
              <w:rPr>
                <w:rFonts w:eastAsia="Times New Roman"/>
                <w:b/>
                <w:bCs/>
                <w:color w:val="000000"/>
                <w:sz w:val="20"/>
                <w:szCs w:val="20"/>
                <w:lang w:eastAsia="da-DK"/>
              </w:rPr>
            </w:pPr>
            <w:r w:rsidRPr="0070390A">
              <w:rPr>
                <w:color w:val="000000"/>
                <w:sz w:val="20"/>
                <w:szCs w:val="20"/>
              </w:rPr>
              <w:t>2</w:t>
            </w:r>
          </w:p>
        </w:tc>
        <w:tc>
          <w:tcPr>
            <w:tcW w:w="1138" w:type="dxa"/>
            <w:tcBorders>
              <w:top w:val="single" w:sz="8" w:space="0" w:color="95B3D7"/>
              <w:left w:val="nil"/>
              <w:bottom w:val="single" w:sz="8" w:space="0" w:color="95B3D7"/>
              <w:right w:val="nil"/>
            </w:tcBorders>
            <w:shd w:val="clear" w:color="auto" w:fill="auto"/>
            <w:noWrap/>
            <w:vAlign w:val="bottom"/>
            <w:hideMark/>
          </w:tcPr>
          <w:p w14:paraId="332A0863" w14:textId="77777777" w:rsidR="006334B2" w:rsidRPr="0070390A" w:rsidRDefault="006334B2" w:rsidP="00227DE7">
            <w:pPr>
              <w:keepNext/>
              <w:keepLines/>
              <w:jc w:val="right"/>
              <w:rPr>
                <w:rFonts w:eastAsia="Times New Roman"/>
                <w:b/>
                <w:bCs/>
                <w:color w:val="000000"/>
                <w:sz w:val="20"/>
                <w:szCs w:val="20"/>
                <w:lang w:eastAsia="da-DK"/>
              </w:rPr>
            </w:pPr>
          </w:p>
        </w:tc>
        <w:tc>
          <w:tcPr>
            <w:tcW w:w="1138" w:type="dxa"/>
            <w:tcBorders>
              <w:top w:val="single" w:sz="8" w:space="0" w:color="95B3D7"/>
              <w:left w:val="nil"/>
              <w:bottom w:val="single" w:sz="8" w:space="0" w:color="95B3D7"/>
              <w:right w:val="nil"/>
            </w:tcBorders>
            <w:shd w:val="clear" w:color="auto" w:fill="auto"/>
            <w:noWrap/>
            <w:vAlign w:val="bottom"/>
            <w:hideMark/>
          </w:tcPr>
          <w:p w14:paraId="6E909AB9" w14:textId="77777777" w:rsidR="006334B2" w:rsidRPr="0070390A" w:rsidRDefault="006334B2" w:rsidP="00227DE7">
            <w:pPr>
              <w:keepNext/>
              <w:keepLines/>
              <w:jc w:val="right"/>
              <w:rPr>
                <w:rFonts w:eastAsia="Times New Roman"/>
                <w:b/>
                <w:bCs/>
                <w:color w:val="000000"/>
                <w:sz w:val="20"/>
                <w:szCs w:val="20"/>
                <w:lang w:eastAsia="da-DK"/>
              </w:rPr>
            </w:pPr>
            <w:r w:rsidRPr="0070390A">
              <w:rPr>
                <w:color w:val="000000"/>
                <w:sz w:val="20"/>
                <w:szCs w:val="20"/>
              </w:rPr>
              <w:t>1</w:t>
            </w:r>
          </w:p>
        </w:tc>
        <w:tc>
          <w:tcPr>
            <w:tcW w:w="1303" w:type="dxa"/>
            <w:tcBorders>
              <w:top w:val="single" w:sz="8" w:space="0" w:color="95B3D7"/>
              <w:left w:val="nil"/>
              <w:bottom w:val="single" w:sz="8" w:space="0" w:color="95B3D7"/>
              <w:right w:val="nil"/>
            </w:tcBorders>
            <w:shd w:val="clear" w:color="auto" w:fill="auto"/>
            <w:noWrap/>
            <w:vAlign w:val="bottom"/>
            <w:hideMark/>
          </w:tcPr>
          <w:p w14:paraId="3C8CA677" w14:textId="77777777" w:rsidR="006334B2" w:rsidRPr="0070390A" w:rsidRDefault="006334B2" w:rsidP="00227DE7">
            <w:pPr>
              <w:keepNext/>
              <w:keepLines/>
              <w:jc w:val="right"/>
              <w:rPr>
                <w:rFonts w:eastAsia="Times New Roman"/>
                <w:b/>
                <w:bCs/>
                <w:color w:val="000000"/>
                <w:sz w:val="20"/>
                <w:szCs w:val="20"/>
                <w:lang w:eastAsia="da-DK"/>
              </w:rPr>
            </w:pPr>
            <w:r w:rsidRPr="0070390A">
              <w:rPr>
                <w:color w:val="000000"/>
                <w:sz w:val="20"/>
                <w:szCs w:val="20"/>
              </w:rPr>
              <w:t>1.340</w:t>
            </w:r>
          </w:p>
        </w:tc>
      </w:tr>
      <w:tr w:rsidR="0070390A" w:rsidRPr="0070390A" w14:paraId="6ED5DD91" w14:textId="77777777" w:rsidTr="0070390A">
        <w:trPr>
          <w:gridAfter w:val="1"/>
          <w:wAfter w:w="452" w:type="dxa"/>
          <w:trHeight w:val="267"/>
        </w:trPr>
        <w:tc>
          <w:tcPr>
            <w:tcW w:w="2486" w:type="dxa"/>
            <w:tcBorders>
              <w:top w:val="single" w:sz="8" w:space="0" w:color="95B3D7"/>
              <w:left w:val="nil"/>
              <w:bottom w:val="nil"/>
              <w:right w:val="nil"/>
            </w:tcBorders>
            <w:shd w:val="clear" w:color="000000" w:fill="DCE6F1"/>
            <w:noWrap/>
            <w:vAlign w:val="bottom"/>
          </w:tcPr>
          <w:p w14:paraId="3D063A67" w14:textId="77777777" w:rsidR="006334B2" w:rsidRPr="0070390A" w:rsidRDefault="006334B2" w:rsidP="00227DE7">
            <w:pPr>
              <w:keepNext/>
              <w:keepLines/>
              <w:rPr>
                <w:rFonts w:eastAsia="Times New Roman"/>
                <w:b/>
                <w:bCs/>
                <w:color w:val="000000"/>
                <w:sz w:val="20"/>
                <w:szCs w:val="20"/>
                <w:lang w:eastAsia="da-DK"/>
              </w:rPr>
            </w:pPr>
            <w:r w:rsidRPr="0070390A">
              <w:rPr>
                <w:b/>
                <w:bCs/>
                <w:color w:val="000000"/>
                <w:sz w:val="20"/>
                <w:szCs w:val="20"/>
              </w:rPr>
              <w:t>Hovedtotal</w:t>
            </w:r>
          </w:p>
        </w:tc>
        <w:tc>
          <w:tcPr>
            <w:tcW w:w="895" w:type="dxa"/>
            <w:tcBorders>
              <w:top w:val="single" w:sz="8" w:space="0" w:color="95B3D7"/>
              <w:left w:val="nil"/>
              <w:bottom w:val="nil"/>
              <w:right w:val="nil"/>
            </w:tcBorders>
            <w:shd w:val="clear" w:color="000000" w:fill="DCE6F1"/>
            <w:noWrap/>
            <w:vAlign w:val="bottom"/>
          </w:tcPr>
          <w:p w14:paraId="32FB5929" w14:textId="77777777" w:rsidR="006334B2" w:rsidRPr="0070390A" w:rsidRDefault="006334B2" w:rsidP="00227DE7">
            <w:pPr>
              <w:keepNext/>
              <w:keepLines/>
              <w:jc w:val="right"/>
              <w:rPr>
                <w:rFonts w:eastAsia="Times New Roman"/>
                <w:b/>
                <w:bCs/>
                <w:color w:val="000000"/>
                <w:sz w:val="20"/>
                <w:szCs w:val="20"/>
                <w:lang w:eastAsia="da-DK"/>
              </w:rPr>
            </w:pPr>
            <w:r w:rsidRPr="0070390A">
              <w:rPr>
                <w:b/>
                <w:bCs/>
                <w:color w:val="000000"/>
                <w:sz w:val="20"/>
                <w:szCs w:val="20"/>
              </w:rPr>
              <w:t>18.656</w:t>
            </w:r>
          </w:p>
        </w:tc>
        <w:tc>
          <w:tcPr>
            <w:tcW w:w="1139" w:type="dxa"/>
            <w:tcBorders>
              <w:top w:val="single" w:sz="8" w:space="0" w:color="95B3D7"/>
              <w:left w:val="nil"/>
              <w:bottom w:val="nil"/>
              <w:right w:val="nil"/>
            </w:tcBorders>
            <w:shd w:val="clear" w:color="000000" w:fill="DCE6F1"/>
            <w:noWrap/>
            <w:vAlign w:val="bottom"/>
          </w:tcPr>
          <w:p w14:paraId="6F984844" w14:textId="77777777" w:rsidR="006334B2" w:rsidRPr="0070390A" w:rsidRDefault="006334B2" w:rsidP="00227DE7">
            <w:pPr>
              <w:keepNext/>
              <w:keepLines/>
              <w:jc w:val="right"/>
              <w:rPr>
                <w:rFonts w:eastAsia="Times New Roman"/>
                <w:b/>
                <w:bCs/>
                <w:color w:val="000000"/>
                <w:sz w:val="20"/>
                <w:szCs w:val="20"/>
                <w:lang w:eastAsia="da-DK"/>
              </w:rPr>
            </w:pPr>
            <w:r w:rsidRPr="0070390A">
              <w:rPr>
                <w:b/>
                <w:bCs/>
                <w:color w:val="000000"/>
                <w:sz w:val="20"/>
                <w:szCs w:val="20"/>
              </w:rPr>
              <w:t>3.473</w:t>
            </w:r>
          </w:p>
        </w:tc>
        <w:tc>
          <w:tcPr>
            <w:tcW w:w="1138" w:type="dxa"/>
            <w:tcBorders>
              <w:top w:val="single" w:sz="8" w:space="0" w:color="95B3D7"/>
              <w:left w:val="nil"/>
              <w:bottom w:val="nil"/>
              <w:right w:val="nil"/>
            </w:tcBorders>
            <w:shd w:val="clear" w:color="000000" w:fill="DCE6F1"/>
            <w:noWrap/>
            <w:vAlign w:val="bottom"/>
          </w:tcPr>
          <w:p w14:paraId="401958C2" w14:textId="77777777" w:rsidR="006334B2" w:rsidRPr="0070390A" w:rsidRDefault="006334B2" w:rsidP="00227DE7">
            <w:pPr>
              <w:keepNext/>
              <w:keepLines/>
              <w:jc w:val="right"/>
              <w:rPr>
                <w:rFonts w:eastAsia="Times New Roman"/>
                <w:b/>
                <w:bCs/>
                <w:color w:val="000000"/>
                <w:sz w:val="20"/>
                <w:szCs w:val="20"/>
                <w:lang w:eastAsia="da-DK"/>
              </w:rPr>
            </w:pPr>
            <w:r w:rsidRPr="0070390A">
              <w:rPr>
                <w:b/>
                <w:bCs/>
                <w:color w:val="000000"/>
                <w:sz w:val="20"/>
                <w:szCs w:val="20"/>
              </w:rPr>
              <w:t>3.952</w:t>
            </w:r>
          </w:p>
        </w:tc>
        <w:tc>
          <w:tcPr>
            <w:tcW w:w="1138" w:type="dxa"/>
            <w:tcBorders>
              <w:top w:val="single" w:sz="8" w:space="0" w:color="95B3D7"/>
              <w:left w:val="nil"/>
              <w:bottom w:val="nil"/>
              <w:right w:val="nil"/>
            </w:tcBorders>
            <w:shd w:val="clear" w:color="000000" w:fill="DCE6F1"/>
            <w:noWrap/>
            <w:vAlign w:val="bottom"/>
          </w:tcPr>
          <w:p w14:paraId="276ECE4A" w14:textId="77777777" w:rsidR="006334B2" w:rsidRPr="0070390A" w:rsidRDefault="006334B2" w:rsidP="00227DE7">
            <w:pPr>
              <w:keepNext/>
              <w:keepLines/>
              <w:jc w:val="right"/>
              <w:rPr>
                <w:rFonts w:eastAsia="Times New Roman"/>
                <w:b/>
                <w:bCs/>
                <w:color w:val="000000"/>
                <w:sz w:val="20"/>
                <w:szCs w:val="20"/>
                <w:lang w:eastAsia="da-DK"/>
              </w:rPr>
            </w:pPr>
            <w:r w:rsidRPr="0070390A">
              <w:rPr>
                <w:b/>
                <w:bCs/>
                <w:color w:val="000000"/>
                <w:sz w:val="20"/>
                <w:szCs w:val="20"/>
              </w:rPr>
              <w:t>4.010</w:t>
            </w:r>
          </w:p>
        </w:tc>
        <w:tc>
          <w:tcPr>
            <w:tcW w:w="1138" w:type="dxa"/>
            <w:tcBorders>
              <w:top w:val="single" w:sz="8" w:space="0" w:color="95B3D7"/>
              <w:left w:val="nil"/>
              <w:bottom w:val="nil"/>
              <w:right w:val="nil"/>
            </w:tcBorders>
            <w:shd w:val="clear" w:color="000000" w:fill="DCE6F1"/>
            <w:noWrap/>
            <w:vAlign w:val="bottom"/>
          </w:tcPr>
          <w:p w14:paraId="60ECAF1E" w14:textId="77777777" w:rsidR="006334B2" w:rsidRPr="0070390A" w:rsidRDefault="006334B2" w:rsidP="00227DE7">
            <w:pPr>
              <w:keepNext/>
              <w:keepLines/>
              <w:jc w:val="right"/>
              <w:rPr>
                <w:rFonts w:eastAsia="Times New Roman"/>
                <w:b/>
                <w:bCs/>
                <w:color w:val="000000"/>
                <w:sz w:val="20"/>
                <w:szCs w:val="20"/>
                <w:lang w:eastAsia="da-DK"/>
              </w:rPr>
            </w:pPr>
            <w:r w:rsidRPr="0070390A">
              <w:rPr>
                <w:b/>
                <w:bCs/>
                <w:color w:val="000000"/>
                <w:sz w:val="20"/>
                <w:szCs w:val="20"/>
              </w:rPr>
              <w:t>12.372</w:t>
            </w:r>
          </w:p>
        </w:tc>
        <w:tc>
          <w:tcPr>
            <w:tcW w:w="1303" w:type="dxa"/>
            <w:tcBorders>
              <w:top w:val="single" w:sz="8" w:space="0" w:color="95B3D7"/>
              <w:left w:val="nil"/>
              <w:bottom w:val="nil"/>
              <w:right w:val="nil"/>
            </w:tcBorders>
            <w:shd w:val="clear" w:color="000000" w:fill="DCE6F1"/>
            <w:noWrap/>
            <w:vAlign w:val="bottom"/>
          </w:tcPr>
          <w:p w14:paraId="7307019D" w14:textId="77777777" w:rsidR="006334B2" w:rsidRPr="0070390A" w:rsidRDefault="006334B2" w:rsidP="00227DE7">
            <w:pPr>
              <w:keepNext/>
              <w:keepLines/>
              <w:jc w:val="right"/>
              <w:rPr>
                <w:rFonts w:eastAsia="Times New Roman"/>
                <w:b/>
                <w:bCs/>
                <w:color w:val="000000"/>
                <w:sz w:val="20"/>
                <w:szCs w:val="20"/>
                <w:lang w:eastAsia="da-DK"/>
              </w:rPr>
            </w:pPr>
            <w:r w:rsidRPr="0070390A">
              <w:rPr>
                <w:b/>
                <w:bCs/>
                <w:color w:val="000000"/>
                <w:sz w:val="20"/>
                <w:szCs w:val="20"/>
              </w:rPr>
              <w:t>42.463</w:t>
            </w:r>
          </w:p>
        </w:tc>
      </w:tr>
    </w:tbl>
    <w:p w14:paraId="45C72241" w14:textId="41A77789" w:rsidR="006334B2" w:rsidRDefault="006334B2" w:rsidP="009D734C">
      <w:pPr>
        <w:widowControl w:val="0"/>
        <w:spacing w:line="288" w:lineRule="auto"/>
      </w:pPr>
    </w:p>
    <w:p w14:paraId="1443318E" w14:textId="71349068" w:rsidR="00C236EE" w:rsidRDefault="00C236EE" w:rsidP="009D734C">
      <w:pPr>
        <w:widowControl w:val="0"/>
        <w:spacing w:line="288" w:lineRule="auto"/>
      </w:pPr>
      <w:r>
        <w:t>Det fremgår af skemaet at godt 12.372 personer forventes at få opnå det fulde beskæftigelsesfradrag. 23.801</w:t>
      </w:r>
      <w:r w:rsidR="00363097">
        <w:t xml:space="preserve"> personer</w:t>
      </w:r>
      <w:r>
        <w:t xml:space="preserve"> forventes</w:t>
      </w:r>
      <w:r w:rsidR="00363097">
        <w:t xml:space="preserve"> efter forslaget</w:t>
      </w:r>
      <w:r>
        <w:t>, at få en indkomstforøgelse på mere end 1.000 kr. årligt.</w:t>
      </w:r>
    </w:p>
    <w:p w14:paraId="49041239" w14:textId="77777777" w:rsidR="00C236EE" w:rsidRDefault="00C236EE" w:rsidP="009D734C">
      <w:pPr>
        <w:widowControl w:val="0"/>
        <w:spacing w:line="288" w:lineRule="auto"/>
      </w:pPr>
    </w:p>
    <w:p w14:paraId="46B60770" w14:textId="31AF848A" w:rsidR="00D14D18" w:rsidRPr="00F61C06" w:rsidRDefault="00C14C5B" w:rsidP="0078129A">
      <w:pPr>
        <w:widowControl w:val="0"/>
        <w:spacing w:line="288" w:lineRule="auto"/>
        <w:rPr>
          <w:i/>
        </w:rPr>
      </w:pPr>
      <w:r>
        <w:rPr>
          <w:i/>
        </w:rPr>
        <w:lastRenderedPageBreak/>
        <w:t xml:space="preserve">6.2. </w:t>
      </w:r>
      <w:r w:rsidR="00D14D18" w:rsidRPr="00F61C06">
        <w:rPr>
          <w:i/>
        </w:rPr>
        <w:t>Fradrag for renteudgifter</w:t>
      </w:r>
    </w:p>
    <w:p w14:paraId="50483505" w14:textId="28CC2D24" w:rsidR="00D14D18" w:rsidRPr="00F61C06" w:rsidRDefault="00D14D18" w:rsidP="0078129A">
      <w:pPr>
        <w:widowControl w:val="0"/>
        <w:spacing w:line="288" w:lineRule="auto"/>
      </w:pPr>
      <w:r w:rsidRPr="00F61C06">
        <w:t>Forslaget medfører</w:t>
      </w:r>
      <w:r w:rsidR="00EB6CD1" w:rsidRPr="00F61C06">
        <w:t>,</w:t>
      </w:r>
      <w:r w:rsidRPr="00F61C06">
        <w:t xml:space="preserve"> at fradragsretten for private renteudgifter gradvist reduceres. Herefter kan private renteudgifter ikke længere fradrages ved opgørelsen af skatten. I stedet indføres et rentetilskud, der kun omfatter nogle specifikke renteudgifter.</w:t>
      </w:r>
    </w:p>
    <w:p w14:paraId="7D26D8C7" w14:textId="77777777" w:rsidR="00D14D18" w:rsidRPr="00F61C06" w:rsidRDefault="00D14D18" w:rsidP="0078129A">
      <w:pPr>
        <w:widowControl w:val="0"/>
        <w:spacing w:line="288" w:lineRule="auto"/>
      </w:pPr>
    </w:p>
    <w:p w14:paraId="565753EF" w14:textId="3BEC7440" w:rsidR="00D14D18" w:rsidRPr="00F61C06" w:rsidRDefault="00D14D18" w:rsidP="0078129A">
      <w:pPr>
        <w:widowControl w:val="0"/>
        <w:spacing w:line="288" w:lineRule="auto"/>
      </w:pPr>
      <w:r w:rsidRPr="00F61C06">
        <w:t>Samlet set medfører ændringen således en højere effektiv beskatning af de borgere, der har renteudgifter</w:t>
      </w:r>
      <w:r w:rsidR="00EB6CD1" w:rsidRPr="00F61C06">
        <w:t>,</w:t>
      </w:r>
      <w:r w:rsidRPr="00F61C06">
        <w:t xml:space="preserve"> der overstiger standardfradraget. For en uddybende beskrivelse af forslagets økonomiske konsekvenser henvises der til bemærkningerne til forslag til </w:t>
      </w:r>
      <w:r w:rsidR="00EB6CD1" w:rsidRPr="00F61C06">
        <w:t>I</w:t>
      </w:r>
      <w:r w:rsidRPr="00F61C06">
        <w:t>natsisartutlov om rentetilskud.</w:t>
      </w:r>
    </w:p>
    <w:p w14:paraId="6F3BEB96" w14:textId="77777777" w:rsidR="00D14D18" w:rsidRPr="00F61C06" w:rsidRDefault="00D14D18" w:rsidP="0078129A">
      <w:pPr>
        <w:spacing w:line="288" w:lineRule="auto"/>
      </w:pPr>
    </w:p>
    <w:p w14:paraId="68C9CBAE" w14:textId="77777777" w:rsidR="00B3288C" w:rsidRPr="00F61C06" w:rsidRDefault="00B3288C" w:rsidP="0078129A">
      <w:pPr>
        <w:spacing w:line="288" w:lineRule="auto"/>
        <w:rPr>
          <w:b/>
          <w:bCs/>
        </w:rPr>
      </w:pPr>
      <w:r w:rsidRPr="00F61C06">
        <w:rPr>
          <w:b/>
          <w:bCs/>
        </w:rPr>
        <w:t>7. Andre væsentlige konsekvenser</w:t>
      </w:r>
    </w:p>
    <w:p w14:paraId="2097CB86" w14:textId="77777777" w:rsidR="00B3288C" w:rsidRPr="00F61C06" w:rsidRDefault="00B3288C" w:rsidP="0078129A">
      <w:pPr>
        <w:spacing w:line="288" w:lineRule="auto"/>
      </w:pPr>
      <w:r w:rsidRPr="00F61C06">
        <w:t>Forslaget skønnes ikke at have andre konsekvenser.</w:t>
      </w:r>
    </w:p>
    <w:p w14:paraId="7A678A13" w14:textId="77777777" w:rsidR="00B3288C" w:rsidRPr="00F61C06" w:rsidRDefault="00B3288C" w:rsidP="0078129A">
      <w:pPr>
        <w:spacing w:line="288" w:lineRule="auto"/>
      </w:pPr>
    </w:p>
    <w:p w14:paraId="7128F628" w14:textId="77777777" w:rsidR="00B3288C" w:rsidRPr="00F61C06" w:rsidRDefault="00B3288C" w:rsidP="0078129A">
      <w:pPr>
        <w:spacing w:line="288" w:lineRule="auto"/>
        <w:rPr>
          <w:b/>
          <w:bCs/>
        </w:rPr>
      </w:pPr>
      <w:r w:rsidRPr="00F61C06">
        <w:rPr>
          <w:b/>
          <w:bCs/>
        </w:rPr>
        <w:t>8. Høring af myndigheder og organisationer m.v.</w:t>
      </w:r>
    </w:p>
    <w:p w14:paraId="4B785517" w14:textId="77777777" w:rsidR="00B3288C" w:rsidRPr="00F61C06" w:rsidRDefault="00B3288C" w:rsidP="0078129A">
      <w:pPr>
        <w:spacing w:line="288" w:lineRule="auto"/>
      </w:pPr>
      <w:r w:rsidRPr="00F61C06">
        <w:t xml:space="preserve">Forslaget har fra d. </w:t>
      </w:r>
      <w:r w:rsidR="004E328E" w:rsidRPr="00F61C06">
        <w:t>x.</w:t>
      </w:r>
      <w:r w:rsidRPr="00F61C06">
        <w:t xml:space="preserve"> </w:t>
      </w:r>
      <w:r w:rsidR="004E328E" w:rsidRPr="00F61C06">
        <w:t>xx</w:t>
      </w:r>
      <w:r w:rsidRPr="00F61C06">
        <w:t xml:space="preserve"> til d. </w:t>
      </w:r>
      <w:proofErr w:type="spellStart"/>
      <w:r w:rsidR="004E328E" w:rsidRPr="00F61C06">
        <w:t>x</w:t>
      </w:r>
      <w:r w:rsidRPr="00F61C06">
        <w:t>.</w:t>
      </w:r>
      <w:r w:rsidR="004E328E" w:rsidRPr="00F61C06">
        <w:t>xx</w:t>
      </w:r>
      <w:proofErr w:type="spellEnd"/>
      <w:r w:rsidRPr="00F61C06">
        <w:t xml:space="preserve"> 202</w:t>
      </w:r>
      <w:r w:rsidR="004E328E" w:rsidRPr="00F61C06">
        <w:t>2</w:t>
      </w:r>
      <w:r w:rsidRPr="00F61C06">
        <w:t xml:space="preserve"> været i høring hos følgende interessenter:</w:t>
      </w:r>
    </w:p>
    <w:p w14:paraId="6265373C" w14:textId="77777777" w:rsidR="00B3288C" w:rsidRPr="00F61C06" w:rsidRDefault="00B3288C" w:rsidP="0078129A">
      <w:pPr>
        <w:spacing w:line="288" w:lineRule="auto"/>
      </w:pPr>
    </w:p>
    <w:p w14:paraId="041FCBF6" w14:textId="77777777" w:rsidR="00C14C5B" w:rsidRDefault="00B3288C">
      <w:pPr>
        <w:spacing w:line="288" w:lineRule="auto"/>
      </w:pPr>
      <w:r w:rsidRPr="00F61C06">
        <w:t xml:space="preserve">Avannaata Kommunia, Kommuneqarfik Sermersooq, Kommune Qeqertalik, Qeqqata Kommunia, Kommune Kujalleq, Grønlandske Advokater, SIK, GE, Grønlands Erhverv, NUSUKA, </w:t>
      </w:r>
      <w:proofErr w:type="spellStart"/>
      <w:r w:rsidRPr="00F61C06">
        <w:t>GrønlandsBanken</w:t>
      </w:r>
      <w:proofErr w:type="spellEnd"/>
      <w:r w:rsidRPr="00F61C06">
        <w:t xml:space="preserve">, </w:t>
      </w:r>
      <w:proofErr w:type="spellStart"/>
      <w:r w:rsidRPr="00F61C06">
        <w:t>BankNordik</w:t>
      </w:r>
      <w:proofErr w:type="spellEnd"/>
      <w:r w:rsidRPr="00F61C06">
        <w:t xml:space="preserve">, ASG, IMAK, Formandens Departement, </w:t>
      </w:r>
    </w:p>
    <w:p w14:paraId="6004D781" w14:textId="53D40FEF" w:rsidR="00B3288C" w:rsidRPr="00F61C06" w:rsidRDefault="00B3288C" w:rsidP="00C14C5B">
      <w:r w:rsidRPr="00F61C06">
        <w:t>Departementet for Erhverv og Handel</w:t>
      </w:r>
      <w:r w:rsidR="00726AA4">
        <w:t xml:space="preserve"> Departementet for </w:t>
      </w:r>
      <w:r w:rsidR="00726AA4" w:rsidRPr="00C14C5B">
        <w:t>Udenrigsanliggender</w:t>
      </w:r>
      <w:r w:rsidRPr="00F61C06">
        <w:t>, Departement</w:t>
      </w:r>
      <w:r w:rsidR="00726AA4">
        <w:t>et</w:t>
      </w:r>
      <w:r w:rsidRPr="00F61C06">
        <w:t xml:space="preserve"> for Fiskeri og Fangst, Departement</w:t>
      </w:r>
      <w:r w:rsidR="00726AA4">
        <w:t>et</w:t>
      </w:r>
      <w:r w:rsidRPr="00F61C06">
        <w:t xml:space="preserve"> for Sociale Anliggender</w:t>
      </w:r>
      <w:r w:rsidR="00726AA4">
        <w:t>,</w:t>
      </w:r>
      <w:r w:rsidRPr="00F61C06">
        <w:t xml:space="preserve"> Arbejdsmarked</w:t>
      </w:r>
      <w:r w:rsidR="00726AA4">
        <w:t xml:space="preserve"> og Indenrigsanliggender</w:t>
      </w:r>
      <w:r w:rsidRPr="00F61C06">
        <w:t>, Departement for Uddannelse, Kultur, Idræt og Kirke, Departement</w:t>
      </w:r>
      <w:r w:rsidR="00C14C5B">
        <w:t xml:space="preserve">et </w:t>
      </w:r>
      <w:r w:rsidRPr="00F61C06">
        <w:t>for Sundhed, Departement for Landbrug, Selvforsyning, Energi og Miljø, Departement for Boliger, Infrastruktur, Departement for Råstoffer og Justitsområdet og Departement for Børn, Unge og Familier.</w:t>
      </w:r>
    </w:p>
    <w:p w14:paraId="34CC607B" w14:textId="77777777" w:rsidR="00B3288C" w:rsidRPr="00F61C06" w:rsidRDefault="00B3288C" w:rsidP="0078129A">
      <w:pPr>
        <w:spacing w:line="288" w:lineRule="auto"/>
      </w:pPr>
    </w:p>
    <w:p w14:paraId="1F9E28C0" w14:textId="77777777" w:rsidR="004E328E" w:rsidRPr="00F61C06" w:rsidRDefault="00B3288C" w:rsidP="0078129A">
      <w:pPr>
        <w:spacing w:line="288" w:lineRule="auto"/>
      </w:pPr>
      <w:r w:rsidRPr="00F61C06">
        <w:t>Forslaget har desuden været tilgængeligt på høringsportalen i den ovennævnte periode.</w:t>
      </w:r>
    </w:p>
    <w:p w14:paraId="118E0DF7" w14:textId="77777777" w:rsidR="004E328E" w:rsidRPr="00F61C06" w:rsidRDefault="004E328E" w:rsidP="0078129A">
      <w:pPr>
        <w:spacing w:line="288" w:lineRule="auto"/>
      </w:pPr>
    </w:p>
    <w:p w14:paraId="11BA89C3" w14:textId="77777777" w:rsidR="00B3288C" w:rsidRPr="00F61C06" w:rsidRDefault="00B3288C" w:rsidP="0078129A">
      <w:pPr>
        <w:spacing w:line="288" w:lineRule="auto"/>
      </w:pPr>
      <w:r w:rsidRPr="00F61C06">
        <w:t>Hovedpunkterne i modtagne høringssvar er omtalt og kommenteret nedenfor i bilag 1.</w:t>
      </w:r>
    </w:p>
    <w:p w14:paraId="3C43A6D4" w14:textId="77777777" w:rsidR="00B3288C" w:rsidRPr="00F61C06" w:rsidRDefault="00B3288C" w:rsidP="0078129A">
      <w:pPr>
        <w:spacing w:line="288" w:lineRule="auto"/>
      </w:pPr>
    </w:p>
    <w:p w14:paraId="0A63D435" w14:textId="77777777" w:rsidR="00393193" w:rsidRPr="00F61C06" w:rsidRDefault="00393193" w:rsidP="0078129A">
      <w:pPr>
        <w:spacing w:line="288" w:lineRule="auto"/>
      </w:pPr>
    </w:p>
    <w:p w14:paraId="32D0A9C8" w14:textId="77777777" w:rsidR="00393193" w:rsidRPr="00F61C06" w:rsidRDefault="00393193" w:rsidP="0078129A">
      <w:pPr>
        <w:spacing w:line="288" w:lineRule="auto"/>
      </w:pPr>
    </w:p>
    <w:p w14:paraId="1B01FE7F" w14:textId="77777777" w:rsidR="0097710C" w:rsidRDefault="0097710C">
      <w:pPr>
        <w:spacing w:after="200" w:line="276" w:lineRule="auto"/>
        <w:rPr>
          <w:b/>
          <w:bCs/>
        </w:rPr>
      </w:pPr>
      <w:r>
        <w:rPr>
          <w:b/>
          <w:bCs/>
        </w:rPr>
        <w:br w:type="page"/>
      </w:r>
    </w:p>
    <w:p w14:paraId="0A0E1DCC" w14:textId="09741EA4" w:rsidR="00B3288C" w:rsidRPr="00F61C06" w:rsidRDefault="00B3288C" w:rsidP="0078129A">
      <w:pPr>
        <w:spacing w:line="288" w:lineRule="auto"/>
        <w:jc w:val="center"/>
        <w:rPr>
          <w:b/>
          <w:bCs/>
        </w:rPr>
      </w:pPr>
      <w:r w:rsidRPr="00F61C06">
        <w:rPr>
          <w:b/>
          <w:bCs/>
        </w:rPr>
        <w:lastRenderedPageBreak/>
        <w:t xml:space="preserve">Bemærkninger til </w:t>
      </w:r>
      <w:r w:rsidR="00B52A83">
        <w:rPr>
          <w:b/>
          <w:bCs/>
        </w:rPr>
        <w:t xml:space="preserve">forslagets enkelte </w:t>
      </w:r>
      <w:r w:rsidRPr="00F61C06">
        <w:rPr>
          <w:b/>
          <w:bCs/>
        </w:rPr>
        <w:t>bestemmelser</w:t>
      </w:r>
    </w:p>
    <w:p w14:paraId="5A99E12B" w14:textId="77777777" w:rsidR="00B3288C" w:rsidRPr="00F61C06" w:rsidRDefault="00B3288C" w:rsidP="0078129A">
      <w:pPr>
        <w:spacing w:line="288" w:lineRule="auto"/>
      </w:pPr>
    </w:p>
    <w:p w14:paraId="5C600217" w14:textId="77777777" w:rsidR="00B3288C" w:rsidRPr="00F61C06" w:rsidRDefault="00B3288C" w:rsidP="0078129A">
      <w:pPr>
        <w:spacing w:line="288" w:lineRule="auto"/>
        <w:jc w:val="center"/>
        <w:rPr>
          <w:i/>
          <w:iCs/>
        </w:rPr>
      </w:pPr>
      <w:r w:rsidRPr="00F61C06">
        <w:rPr>
          <w:i/>
          <w:iCs/>
        </w:rPr>
        <w:t>Til § 1</w:t>
      </w:r>
    </w:p>
    <w:p w14:paraId="6A3D1388" w14:textId="77777777" w:rsidR="00B3288C" w:rsidRPr="00F61C06" w:rsidRDefault="00B3288C" w:rsidP="0078129A">
      <w:pPr>
        <w:spacing w:line="288" w:lineRule="auto"/>
      </w:pPr>
      <w:r w:rsidRPr="00F61C06">
        <w:t>Til nr. 1</w:t>
      </w:r>
    </w:p>
    <w:p w14:paraId="442326D1" w14:textId="46C832C0" w:rsidR="00D14930" w:rsidRPr="00F61C06" w:rsidRDefault="00D14930" w:rsidP="0078129A">
      <w:pPr>
        <w:spacing w:line="288" w:lineRule="auto"/>
      </w:pPr>
      <w:r w:rsidRPr="00F61C06">
        <w:t>Det foreslås</w:t>
      </w:r>
      <w:r w:rsidR="00837E03" w:rsidRPr="00F61C06">
        <w:t>,</w:t>
      </w:r>
      <w:r w:rsidRPr="00F61C06">
        <w:t xml:space="preserve"> at rentefradragsretten for ikke erhvervsmæssige renteudgifter gradvist reduceres. Det fastsættes desuden</w:t>
      </w:r>
      <w:r w:rsidR="007205C4" w:rsidRPr="00F61C06">
        <w:t>,</w:t>
      </w:r>
      <w:r w:rsidRPr="00F61C06">
        <w:t xml:space="preserve"> at der ikke er fradrag for renteudgifter, </w:t>
      </w:r>
      <w:r w:rsidR="00837E03" w:rsidRPr="00F61C06">
        <w:t>hvortil</w:t>
      </w:r>
      <w:r w:rsidRPr="00F61C06">
        <w:t xml:space="preserve"> der </w:t>
      </w:r>
      <w:r w:rsidR="004A3585" w:rsidRPr="00F61C06">
        <w:t>ydes</w:t>
      </w:r>
      <w:r w:rsidRPr="00F61C06">
        <w:t xml:space="preserve"> rentetilskud efter Inatsisartut</w:t>
      </w:r>
      <w:r w:rsidR="007205C4" w:rsidRPr="00F61C06">
        <w:t xml:space="preserve">lov </w:t>
      </w:r>
      <w:r w:rsidRPr="00F61C06">
        <w:t xml:space="preserve">om rentetilskud. </w:t>
      </w:r>
    </w:p>
    <w:p w14:paraId="1394F4AC" w14:textId="77777777" w:rsidR="00B3288C" w:rsidRPr="00F61C06" w:rsidRDefault="00B3288C" w:rsidP="0078129A">
      <w:pPr>
        <w:spacing w:line="288" w:lineRule="auto"/>
      </w:pPr>
    </w:p>
    <w:p w14:paraId="547B2EAB" w14:textId="607ADC48" w:rsidR="002C4AC4" w:rsidRPr="00F61C06" w:rsidRDefault="004A3585" w:rsidP="0078129A">
      <w:pPr>
        <w:spacing w:line="288" w:lineRule="auto"/>
      </w:pPr>
      <w:r w:rsidRPr="00F61C06">
        <w:t>Er</w:t>
      </w:r>
      <w:r w:rsidR="002C4AC4" w:rsidRPr="00F61C06">
        <w:t xml:space="preserve"> en ejendom anskaffet til anvendelse til både erhvervsmæssige og </w:t>
      </w:r>
      <w:r w:rsidR="00345BAE" w:rsidRPr="00F61C06">
        <w:t xml:space="preserve">private </w:t>
      </w:r>
      <w:r w:rsidR="002C4AC4" w:rsidRPr="00F61C06">
        <w:t xml:space="preserve">formål, </w:t>
      </w:r>
      <w:r w:rsidRPr="00F61C06">
        <w:t>skal</w:t>
      </w:r>
      <w:r w:rsidR="002C4AC4" w:rsidRPr="00F61C06">
        <w:t xml:space="preserve"> der ske en fordeling af renteudgifterne mellem de to formål. Det kan eksempelvis være en ejendom, </w:t>
      </w:r>
      <w:r w:rsidRPr="00F61C06">
        <w:t>der</w:t>
      </w:r>
      <w:r w:rsidR="002C4AC4" w:rsidRPr="00F61C06">
        <w:t xml:space="preserve"> tjener til bolig for ejeren, og hvor der er en lejlighed, der </w:t>
      </w:r>
      <w:r w:rsidRPr="00F61C06">
        <w:t>udlejes</w:t>
      </w:r>
      <w:r w:rsidR="002C4AC4" w:rsidRPr="00F61C06">
        <w:t xml:space="preserve"> erhvervsmæssigt. I </w:t>
      </w:r>
      <w:r w:rsidRPr="00F61C06">
        <w:t>sådanne</w:t>
      </w:r>
      <w:r w:rsidR="002C4AC4" w:rsidRPr="00F61C06">
        <w:t xml:space="preserve"> tilfælde vil der fremover være rentetilskud til den del af boliglånet, der anvendes til bopæl for den skattepligtige og dennes husstand, såfremt betingelserne for rentetilskud i øvrigt er opfyldt. For den del af ejendommen, der </w:t>
      </w:r>
      <w:r w:rsidR="003747B8" w:rsidRPr="00F61C06">
        <w:t xml:space="preserve">udlejes eller på anden vis </w:t>
      </w:r>
      <w:r w:rsidR="002C4AC4" w:rsidRPr="00F61C06">
        <w:t>anvendes til erhverv, f.eks. forretning o</w:t>
      </w:r>
      <w:r w:rsidR="00345BAE" w:rsidRPr="00F61C06">
        <w:t xml:space="preserve">g </w:t>
      </w:r>
      <w:r w:rsidR="002C4AC4" w:rsidRPr="00F61C06">
        <w:t>lign</w:t>
      </w:r>
      <w:r w:rsidR="00345BAE" w:rsidRPr="00F61C06">
        <w:t>ende</w:t>
      </w:r>
      <w:r w:rsidR="002C4AC4" w:rsidRPr="00F61C06">
        <w:t>, vil der fortsat være fradrag for renteudgifter.</w:t>
      </w:r>
    </w:p>
    <w:p w14:paraId="14BA3B34" w14:textId="77777777" w:rsidR="002C4AC4" w:rsidRPr="00F61C06" w:rsidRDefault="002C4AC4" w:rsidP="0078129A">
      <w:pPr>
        <w:spacing w:line="288" w:lineRule="auto"/>
      </w:pPr>
    </w:p>
    <w:p w14:paraId="477DEEA4" w14:textId="6461A92B" w:rsidR="002C4AC4" w:rsidRPr="00F61C06" w:rsidRDefault="002C4AC4" w:rsidP="0078129A">
      <w:pPr>
        <w:spacing w:line="288" w:lineRule="auto"/>
      </w:pPr>
      <w:r w:rsidRPr="00F61C06">
        <w:t xml:space="preserve">I forbindelse med udarbejdelsen af regnskaber og selvangivelse skal den erhvervsdrivende </w:t>
      </w:r>
      <w:r w:rsidR="003747B8" w:rsidRPr="00F61C06">
        <w:t xml:space="preserve">på samme vis </w:t>
      </w:r>
      <w:r w:rsidRPr="00F61C06">
        <w:t xml:space="preserve">som </w:t>
      </w:r>
      <w:r w:rsidR="003747B8" w:rsidRPr="00F61C06">
        <w:t>ved</w:t>
      </w:r>
      <w:r w:rsidRPr="00F61C06">
        <w:t xml:space="preserve"> andre blandede driftsomkostninger fordele sine renteudgifter på henholdsvis erhvervsmæssige og privat</w:t>
      </w:r>
      <w:r w:rsidR="003747B8" w:rsidRPr="00F61C06">
        <w:t>e</w:t>
      </w:r>
      <w:r w:rsidRPr="00F61C06">
        <w:t xml:space="preserve"> formål. I forbindelse med ligningen vil skatteforvaltningen vurdere fordelingen og om nødvendigt ansætte en ændret fordeling. Som med andre ligningsmæssige afgørelser vil skatteforvaltningens afgørelse kunne påklages til Skatterådet. Den fordeling mellem erhvervsmæssig</w:t>
      </w:r>
      <w:r w:rsidR="003747B8" w:rsidRPr="00F61C06">
        <w:t>e</w:t>
      </w:r>
      <w:r w:rsidRPr="00F61C06">
        <w:t xml:space="preserve"> og privat</w:t>
      </w:r>
      <w:r w:rsidR="003747B8" w:rsidRPr="00F61C06">
        <w:t>e</w:t>
      </w:r>
      <w:r w:rsidRPr="00F61C06">
        <w:t xml:space="preserve"> formål, der lægges til grund for den skattemæssige opgørelse, finder også anvendelse for opgørelsen af rentetilskuddet.</w:t>
      </w:r>
    </w:p>
    <w:p w14:paraId="4538DE9F" w14:textId="77777777" w:rsidR="002C4AC4" w:rsidRPr="00F61C06" w:rsidRDefault="002C4AC4" w:rsidP="0078129A">
      <w:pPr>
        <w:spacing w:line="288" w:lineRule="auto"/>
      </w:pPr>
    </w:p>
    <w:p w14:paraId="31C159D2" w14:textId="77777777" w:rsidR="00084A20" w:rsidRPr="00F61C06" w:rsidRDefault="00084A20" w:rsidP="0078129A">
      <w:pPr>
        <w:spacing w:line="288" w:lineRule="auto"/>
      </w:pPr>
      <w:r w:rsidRPr="00F61C06">
        <w:t>Til nr. 2</w:t>
      </w:r>
    </w:p>
    <w:p w14:paraId="619FA1E2" w14:textId="5682FA2A" w:rsidR="00D14930" w:rsidRPr="00F61C06" w:rsidRDefault="00D14930" w:rsidP="0078129A">
      <w:pPr>
        <w:spacing w:line="288" w:lineRule="auto"/>
      </w:pPr>
      <w:r w:rsidRPr="00F61C06">
        <w:t>Forslagets § 34, nr. 10</w:t>
      </w:r>
      <w:r w:rsidR="00980999" w:rsidRPr="00F61C06">
        <w:t>,</w:t>
      </w:r>
      <w:r w:rsidRPr="00F61C06">
        <w:t xml:space="preserve"> afgrænser de skattefrie offentlig hjælp ydelser. Den primære ændring består i, at henvisningerne til </w:t>
      </w:r>
      <w:r w:rsidR="007205C4" w:rsidRPr="00F61C06">
        <w:t xml:space="preserve">anden </w:t>
      </w:r>
      <w:r w:rsidRPr="00F61C06">
        <w:t>lovgivning er ajourført.</w:t>
      </w:r>
    </w:p>
    <w:p w14:paraId="441237B7" w14:textId="77777777" w:rsidR="00D14930" w:rsidRPr="00F61C06" w:rsidRDefault="00D14930" w:rsidP="0078129A">
      <w:pPr>
        <w:spacing w:line="288" w:lineRule="auto"/>
      </w:pPr>
    </w:p>
    <w:p w14:paraId="09F02E71" w14:textId="11A3CFDC" w:rsidR="00D14930" w:rsidRPr="00F61C06" w:rsidRDefault="00D14930" w:rsidP="0078129A">
      <w:pPr>
        <w:spacing w:line="288" w:lineRule="auto"/>
      </w:pPr>
      <w:r w:rsidRPr="00F61C06">
        <w:t xml:space="preserve">I bestemmelsens litra a fastsættes, at handicap- og helbredstillæg, samt rådighedsbestemte tillæg efter </w:t>
      </w:r>
      <w:r w:rsidR="003747B8" w:rsidRPr="00F61C06">
        <w:t>I</w:t>
      </w:r>
      <w:r w:rsidRPr="00F61C06">
        <w:t>natsisartutlov om alderspension er skattefrie.</w:t>
      </w:r>
    </w:p>
    <w:p w14:paraId="5E32590D" w14:textId="77777777" w:rsidR="00D14930" w:rsidRPr="00F61C06" w:rsidRDefault="00D14930" w:rsidP="0078129A">
      <w:pPr>
        <w:spacing w:line="288" w:lineRule="auto"/>
      </w:pPr>
    </w:p>
    <w:p w14:paraId="4C8F23CF" w14:textId="6F6522DD" w:rsidR="00D14930" w:rsidRPr="00F61C06" w:rsidRDefault="00D14930" w:rsidP="0078129A">
      <w:pPr>
        <w:spacing w:line="288" w:lineRule="auto"/>
      </w:pPr>
      <w:r w:rsidRPr="00F61C06">
        <w:t xml:space="preserve">I bestemmelsens litra b fastsættes de skattefrie ydelser, der kan ydes efter </w:t>
      </w:r>
      <w:r w:rsidR="003747B8" w:rsidRPr="00F61C06">
        <w:t>I</w:t>
      </w:r>
      <w:r w:rsidRPr="00F61C06">
        <w:t>natsisartutlov om offentlig hjælp. Det omfatter de i bestemmelsen opregnede trangs</w:t>
      </w:r>
      <w:r w:rsidR="003747B8" w:rsidRPr="00F61C06">
        <w:t>vurderede</w:t>
      </w:r>
      <w:r w:rsidR="00980999" w:rsidRPr="00F61C06">
        <w:t xml:space="preserve"> </w:t>
      </w:r>
      <w:r w:rsidRPr="00F61C06">
        <w:t>ydelser til dækning af en konkret udgift hos modtageren.</w:t>
      </w:r>
    </w:p>
    <w:p w14:paraId="2A5D9F1B" w14:textId="77777777" w:rsidR="00D14930" w:rsidRPr="00F61C06" w:rsidRDefault="00D14930" w:rsidP="0078129A">
      <w:pPr>
        <w:spacing w:line="288" w:lineRule="auto"/>
      </w:pPr>
    </w:p>
    <w:p w14:paraId="64AD9FA8" w14:textId="17FB69E7" w:rsidR="00D14930" w:rsidRPr="00F61C06" w:rsidRDefault="00D14930" w:rsidP="0078129A">
      <w:pPr>
        <w:spacing w:line="288" w:lineRule="auto"/>
      </w:pPr>
      <w:r w:rsidRPr="00F61C06">
        <w:t>I bestemmelsens litra c fastsættes</w:t>
      </w:r>
      <w:r w:rsidR="003747B8" w:rsidRPr="00F61C06">
        <w:t>,</w:t>
      </w:r>
      <w:r w:rsidRPr="00F61C06">
        <w:t xml:space="preserve"> at boligsikring ydet efter </w:t>
      </w:r>
      <w:r w:rsidR="003747B8" w:rsidRPr="00F61C06">
        <w:t>I</w:t>
      </w:r>
      <w:r w:rsidRPr="00F61C06">
        <w:t>natsisartutlov om boligsikring i lejebolig er skattefri.</w:t>
      </w:r>
    </w:p>
    <w:p w14:paraId="73D2C97E" w14:textId="77777777" w:rsidR="00D14930" w:rsidRPr="00F61C06" w:rsidRDefault="00D14930" w:rsidP="0078129A">
      <w:pPr>
        <w:spacing w:line="288" w:lineRule="auto"/>
      </w:pPr>
    </w:p>
    <w:p w14:paraId="7888E254" w14:textId="231A8B9A" w:rsidR="00D14930" w:rsidRPr="00F61C06" w:rsidRDefault="00D14930" w:rsidP="0078129A">
      <w:pPr>
        <w:spacing w:line="288" w:lineRule="auto"/>
      </w:pPr>
      <w:r w:rsidRPr="00F61C06">
        <w:t>I bestemmelsens litra d fastsættes</w:t>
      </w:r>
      <w:r w:rsidR="003747B8" w:rsidRPr="00F61C06">
        <w:t>,</w:t>
      </w:r>
      <w:r w:rsidRPr="00F61C06">
        <w:t xml:space="preserve"> at hjælp til børn og unge efter </w:t>
      </w:r>
      <w:r w:rsidR="003747B8" w:rsidRPr="00F61C06">
        <w:t>I</w:t>
      </w:r>
      <w:r w:rsidRPr="00F61C06">
        <w:t>natsisartutlov om støtte til børn er skattefri.</w:t>
      </w:r>
    </w:p>
    <w:p w14:paraId="365F9E96" w14:textId="77777777" w:rsidR="00D14930" w:rsidRPr="00F61C06" w:rsidRDefault="00D14930" w:rsidP="0078129A">
      <w:pPr>
        <w:spacing w:line="288" w:lineRule="auto"/>
      </w:pPr>
    </w:p>
    <w:p w14:paraId="0D53B3E4" w14:textId="4C6A4DC3" w:rsidR="00D14930" w:rsidRPr="00F61C06" w:rsidRDefault="00D14930" w:rsidP="0078129A">
      <w:pPr>
        <w:spacing w:line="288" w:lineRule="auto"/>
      </w:pPr>
      <w:r w:rsidRPr="00F61C06">
        <w:t xml:space="preserve">I litra e fastsættes at hjælp, der ydes efter </w:t>
      </w:r>
      <w:r w:rsidR="003747B8" w:rsidRPr="00F61C06">
        <w:t>I</w:t>
      </w:r>
      <w:r w:rsidRPr="00F61C06">
        <w:t>natsisartutlov om støtte til personer med handicap, er skattefri.</w:t>
      </w:r>
    </w:p>
    <w:p w14:paraId="5F28EBAC" w14:textId="77777777" w:rsidR="00D14930" w:rsidRPr="00F61C06" w:rsidRDefault="00D14930" w:rsidP="0078129A">
      <w:pPr>
        <w:spacing w:line="288" w:lineRule="auto"/>
      </w:pPr>
    </w:p>
    <w:p w14:paraId="3FE60804" w14:textId="2536223C" w:rsidR="00D14930" w:rsidRPr="00F61C06" w:rsidRDefault="00D14930" w:rsidP="0078129A">
      <w:pPr>
        <w:spacing w:line="288" w:lineRule="auto"/>
      </w:pPr>
      <w:r w:rsidRPr="00F61C06">
        <w:t>I bestemmelsens litra f fastsættes</w:t>
      </w:r>
      <w:r w:rsidR="003747B8" w:rsidRPr="00F61C06">
        <w:t>,</w:t>
      </w:r>
      <w:r w:rsidRPr="00F61C06">
        <w:t xml:space="preserve"> at engangshjælp til dækning af særlige behov efter </w:t>
      </w:r>
      <w:r w:rsidR="003747B8" w:rsidRPr="00F61C06">
        <w:t>I</w:t>
      </w:r>
      <w:r w:rsidRPr="00F61C06">
        <w:t>natsisartutlov om førtidspension er skattefri.</w:t>
      </w:r>
    </w:p>
    <w:p w14:paraId="76CE55D2" w14:textId="77777777" w:rsidR="00D14930" w:rsidRPr="00F61C06" w:rsidRDefault="00D14930" w:rsidP="0078129A">
      <w:pPr>
        <w:spacing w:line="288" w:lineRule="auto"/>
      </w:pPr>
    </w:p>
    <w:p w14:paraId="64BF475B" w14:textId="77777777" w:rsidR="00D14930" w:rsidRPr="00F61C06" w:rsidRDefault="00D14930" w:rsidP="0078129A">
      <w:pPr>
        <w:spacing w:line="288" w:lineRule="auto"/>
      </w:pPr>
      <w:r w:rsidRPr="00F61C06">
        <w:t xml:space="preserve">Til nr. 3 </w:t>
      </w:r>
    </w:p>
    <w:p w14:paraId="192167D2" w14:textId="77777777" w:rsidR="00D14930" w:rsidRPr="00F61C06" w:rsidRDefault="00D14930" w:rsidP="0078129A">
      <w:pPr>
        <w:spacing w:line="288" w:lineRule="auto"/>
      </w:pPr>
      <w:r w:rsidRPr="00F61C06">
        <w:t>Det foreslås med tilføjelsen af § 34, stk. 1, nr. 23, at et udbetalt rentetilskud er skattefrit for modtageren.</w:t>
      </w:r>
    </w:p>
    <w:p w14:paraId="31989D23" w14:textId="77777777" w:rsidR="00D14930" w:rsidRPr="00F61C06" w:rsidRDefault="00D14930" w:rsidP="0078129A">
      <w:pPr>
        <w:spacing w:line="288" w:lineRule="auto"/>
      </w:pPr>
    </w:p>
    <w:p w14:paraId="46D103E2" w14:textId="77777777" w:rsidR="00D14930" w:rsidRPr="00F61C06" w:rsidRDefault="00D14930" w:rsidP="0078129A">
      <w:pPr>
        <w:spacing w:line="288" w:lineRule="auto"/>
      </w:pPr>
      <w:r w:rsidRPr="00F61C06">
        <w:t xml:space="preserve">Til nr. 4 </w:t>
      </w:r>
    </w:p>
    <w:p w14:paraId="5B8EC978" w14:textId="77777777" w:rsidR="00D14930" w:rsidRPr="00F61C06" w:rsidRDefault="00D14930" w:rsidP="0078129A">
      <w:pPr>
        <w:spacing w:line="288" w:lineRule="auto"/>
      </w:pPr>
      <w:r w:rsidRPr="00F61C06">
        <w:t>Ændringen vedrører § 36 b, stk. 1, hvor der</w:t>
      </w:r>
      <w:r w:rsidR="00F42CA0" w:rsidRPr="00F61C06">
        <w:t xml:space="preserve"> foreslås indsat et nyt 2. pkt. </w:t>
      </w:r>
    </w:p>
    <w:p w14:paraId="0FD3EEAB" w14:textId="77777777" w:rsidR="00F42CA0" w:rsidRPr="00F61C06" w:rsidRDefault="00F42CA0" w:rsidP="0078129A">
      <w:pPr>
        <w:spacing w:line="288" w:lineRule="auto"/>
      </w:pPr>
    </w:p>
    <w:p w14:paraId="5077C314" w14:textId="4D135BFE" w:rsidR="00F42CA0" w:rsidRPr="00F61C06" w:rsidRDefault="00F42CA0" w:rsidP="0078129A">
      <w:pPr>
        <w:spacing w:line="288" w:lineRule="auto"/>
      </w:pPr>
      <w:r w:rsidRPr="00F61C06">
        <w:t>Fristen for, hvornår oplysningspligten skal være opfyldt præciseres. Fristen er den samme frist, der gælder for juridiske personer, der indgiver selvangivelsen elektronisk på den af skatteforvaltningen anviste måde. Det er desuden præciseret</w:t>
      </w:r>
      <w:r w:rsidR="00F65DC5" w:rsidRPr="00F61C06">
        <w:t>,</w:t>
      </w:r>
      <w:r w:rsidRPr="00F61C06">
        <w:t xml:space="preserve"> at oplysning</w:t>
      </w:r>
      <w:r w:rsidR="00F65DC5" w:rsidRPr="00F61C06">
        <w:t xml:space="preserve">erne </w:t>
      </w:r>
      <w:r w:rsidRPr="00F61C06">
        <w:t>skal indgives elektronisk på den måde</w:t>
      </w:r>
      <w:r w:rsidR="00CF3E09" w:rsidRPr="00F61C06">
        <w:t>, som</w:t>
      </w:r>
      <w:r w:rsidRPr="00F61C06">
        <w:t xml:space="preserve"> skatteforvaltningen anviser.</w:t>
      </w:r>
    </w:p>
    <w:p w14:paraId="1D83AF82" w14:textId="77777777" w:rsidR="00F42CA0" w:rsidRPr="00F61C06" w:rsidRDefault="00F42CA0" w:rsidP="0078129A">
      <w:pPr>
        <w:spacing w:line="288" w:lineRule="auto"/>
      </w:pPr>
    </w:p>
    <w:p w14:paraId="5FF0CE83" w14:textId="77777777" w:rsidR="00F42CA0" w:rsidRPr="00F61C06" w:rsidRDefault="00F42CA0" w:rsidP="0078129A">
      <w:pPr>
        <w:spacing w:line="288" w:lineRule="auto"/>
      </w:pPr>
      <w:r w:rsidRPr="00F61C06">
        <w:t>Til nr. 5</w:t>
      </w:r>
    </w:p>
    <w:p w14:paraId="342F71F3" w14:textId="6B3ECD07" w:rsidR="007205C4" w:rsidRPr="00F61C06" w:rsidRDefault="007205C4" w:rsidP="0078129A">
      <w:pPr>
        <w:spacing w:line="288" w:lineRule="auto"/>
      </w:pPr>
      <w:r w:rsidRPr="00F61C06">
        <w:t xml:space="preserve">Forslaget er stort set identisk med den gældende § 36 b, stk. 2. Bestemmelsens opbygning er dog ændret </w:t>
      </w:r>
      <w:r w:rsidR="00164491" w:rsidRPr="00F61C06">
        <w:t xml:space="preserve">lidt </w:t>
      </w:r>
      <w:r w:rsidRPr="00F61C06">
        <w:t>med henblik på at gøre bestemmelsen mere læsevenlig.</w:t>
      </w:r>
      <w:r w:rsidR="009169E0" w:rsidRPr="00F61C06">
        <w:t xml:space="preserve"> </w:t>
      </w:r>
    </w:p>
    <w:p w14:paraId="1B334282" w14:textId="77777777" w:rsidR="009169E0" w:rsidRPr="00F61C06" w:rsidRDefault="009169E0" w:rsidP="0078129A">
      <w:pPr>
        <w:spacing w:line="288" w:lineRule="auto"/>
      </w:pPr>
    </w:p>
    <w:p w14:paraId="188B36CB" w14:textId="44B000CB" w:rsidR="009169E0" w:rsidRPr="00F61C06" w:rsidRDefault="009169E0" w:rsidP="0078129A">
      <w:pPr>
        <w:spacing w:line="288" w:lineRule="auto"/>
      </w:pPr>
      <w:r w:rsidRPr="00F61C06">
        <w:t>De</w:t>
      </w:r>
      <w:r w:rsidR="00CF3E09" w:rsidRPr="00F61C06">
        <w:t>r</w:t>
      </w:r>
      <w:r w:rsidRPr="00F61C06">
        <w:t xml:space="preserve"> følger af bestemmelsen et krav til skattepligtige </w:t>
      </w:r>
      <w:r w:rsidR="00392B2F" w:rsidRPr="00F61C06">
        <w:t xml:space="preserve">om at udfærdige </w:t>
      </w:r>
      <w:r w:rsidRPr="00F61C06">
        <w:t xml:space="preserve">og opbevare en </w:t>
      </w:r>
      <w:r w:rsidR="00164491" w:rsidRPr="00F61C06">
        <w:t xml:space="preserve">skriftlig </w:t>
      </w:r>
      <w:r w:rsidRPr="00F61C06">
        <w:t>dokumentation for</w:t>
      </w:r>
      <w:r w:rsidR="00CF3E09" w:rsidRPr="00F61C06">
        <w:t>,</w:t>
      </w:r>
      <w:r w:rsidRPr="00F61C06">
        <w:t xml:space="preserve"> </w:t>
      </w:r>
      <w:r w:rsidR="00392B2F" w:rsidRPr="00F61C06">
        <w:t xml:space="preserve">at </w:t>
      </w:r>
      <w:r w:rsidRPr="00F61C06">
        <w:t>kontrolle</w:t>
      </w:r>
      <w:r w:rsidR="00CF3E09" w:rsidRPr="00F61C06">
        <w:t>re</w:t>
      </w:r>
      <w:r w:rsidRPr="00F61C06">
        <w:t>de transaktioner</w:t>
      </w:r>
      <w:r w:rsidR="00392B2F" w:rsidRPr="00F61C06">
        <w:t xml:space="preserve"> er indgået i overensstemmelse med armslængdeprincippet</w:t>
      </w:r>
      <w:r w:rsidRPr="00F61C06">
        <w:t xml:space="preserve">. Denne dokumentation skal opbevares i 5 </w:t>
      </w:r>
      <w:r w:rsidR="008730A0" w:rsidRPr="00F61C06">
        <w:t xml:space="preserve">år </w:t>
      </w:r>
      <w:r w:rsidRPr="00F61C06">
        <w:t>og skal efter anmodning indgives til skatteforvaltningen.</w:t>
      </w:r>
    </w:p>
    <w:p w14:paraId="2FC1BAC0" w14:textId="77777777" w:rsidR="009169E0" w:rsidRPr="00F61C06" w:rsidRDefault="009169E0" w:rsidP="0078129A">
      <w:pPr>
        <w:spacing w:line="288" w:lineRule="auto"/>
      </w:pPr>
    </w:p>
    <w:p w14:paraId="55EF1F05" w14:textId="2F2D33A3" w:rsidR="00164491" w:rsidRPr="00F61C06" w:rsidRDefault="007205C4" w:rsidP="0078129A">
      <w:pPr>
        <w:spacing w:line="288" w:lineRule="auto"/>
      </w:pPr>
      <w:r w:rsidRPr="00F61C06">
        <w:t>Ændringerne består i</w:t>
      </w:r>
      <w:r w:rsidR="00CF3E09" w:rsidRPr="00F61C06">
        <w:t>,</w:t>
      </w:r>
      <w:r w:rsidRPr="00F61C06">
        <w:t xml:space="preserve"> at det foreslås</w:t>
      </w:r>
      <w:r w:rsidR="00CF3E09" w:rsidRPr="00F61C06">
        <w:t>,</w:t>
      </w:r>
      <w:r w:rsidRPr="00F61C06">
        <w:t xml:space="preserve"> at </w:t>
      </w:r>
      <w:proofErr w:type="spellStart"/>
      <w:r w:rsidR="00B3062F" w:rsidRPr="00F61C06">
        <w:t>Naalakkersusiut</w:t>
      </w:r>
      <w:proofErr w:type="spellEnd"/>
      <w:r w:rsidR="00B3062F" w:rsidRPr="00F61C06">
        <w:t xml:space="preserve"> bemyndiges til at fastsætte regler om</w:t>
      </w:r>
      <w:r w:rsidR="00980999" w:rsidRPr="00F61C06">
        <w:t>,</w:t>
      </w:r>
      <w:r w:rsidR="00B3062F" w:rsidRPr="00F61C06">
        <w:t xml:space="preserve"> at de </w:t>
      </w:r>
      <w:r w:rsidRPr="00F61C06">
        <w:t>skattepligtige skal indgive transfer pricing</w:t>
      </w:r>
      <w:r w:rsidR="009169E0" w:rsidRPr="00F61C06">
        <w:t>-</w:t>
      </w:r>
      <w:r w:rsidRPr="00F61C06">
        <w:t xml:space="preserve">dokumentationen løbende, såfremt </w:t>
      </w:r>
      <w:r w:rsidR="00B3062F" w:rsidRPr="00F61C06">
        <w:t xml:space="preserve">omfanget af </w:t>
      </w:r>
      <w:r w:rsidRPr="00F61C06">
        <w:t>den skattepligtige</w:t>
      </w:r>
      <w:r w:rsidR="00B3062F" w:rsidRPr="00F61C06">
        <w:t>s</w:t>
      </w:r>
      <w:r w:rsidR="00183EB8" w:rsidRPr="00F61C06">
        <w:t xml:space="preserve"> kontrollede</w:t>
      </w:r>
      <w:r w:rsidR="00B3062F" w:rsidRPr="00F61C06">
        <w:t xml:space="preserve"> transaktioner overstiger de grænseværdier, der fastsættes af Naalakkersuisut.</w:t>
      </w:r>
      <w:r w:rsidR="00183EB8" w:rsidRPr="00F61C06">
        <w:t xml:space="preserve"> </w:t>
      </w:r>
      <w:r w:rsidR="00164491" w:rsidRPr="00F61C06">
        <w:t xml:space="preserve">Den skriftlige dokumentation skal </w:t>
      </w:r>
      <w:r w:rsidR="00B3062F" w:rsidRPr="00F61C06">
        <w:t xml:space="preserve">i dette tilfælde </w:t>
      </w:r>
      <w:r w:rsidR="00164491" w:rsidRPr="00F61C06">
        <w:t xml:space="preserve">indgives til skatteforvaltningen senest </w:t>
      </w:r>
      <w:r w:rsidR="00B3062F" w:rsidRPr="00F61C06">
        <w:t>60</w:t>
      </w:r>
      <w:r w:rsidR="00164491" w:rsidRPr="00F61C06">
        <w:t xml:space="preserve"> dage efter </w:t>
      </w:r>
      <w:r w:rsidR="00B3062F" w:rsidRPr="00F61C06">
        <w:t xml:space="preserve">selvangivelsesfristen. </w:t>
      </w:r>
    </w:p>
    <w:p w14:paraId="5185F621" w14:textId="77777777" w:rsidR="00393193" w:rsidRPr="00F61C06" w:rsidRDefault="00393193" w:rsidP="0078129A">
      <w:pPr>
        <w:spacing w:line="288" w:lineRule="auto"/>
      </w:pPr>
    </w:p>
    <w:p w14:paraId="1B403EBC" w14:textId="4396A552" w:rsidR="00392B2F" w:rsidRPr="00F61C06" w:rsidRDefault="00392B2F" w:rsidP="0078129A">
      <w:pPr>
        <w:spacing w:line="288" w:lineRule="auto"/>
      </w:pPr>
      <w:r w:rsidRPr="00F61C06">
        <w:t xml:space="preserve">Efter </w:t>
      </w:r>
      <w:r w:rsidR="008730A0" w:rsidRPr="00F61C06">
        <w:t xml:space="preserve">den gældende </w:t>
      </w:r>
      <w:r w:rsidRPr="00F61C06">
        <w:t>bestemmelse</w:t>
      </w:r>
      <w:r w:rsidR="00164491" w:rsidRPr="00F61C06">
        <w:t xml:space="preserve"> </w:t>
      </w:r>
      <w:r w:rsidRPr="00F61C06">
        <w:t>er Naalakkersuisut bemyndiget til at fastsætte nærmere regler for indholdet af transfer pricing</w:t>
      </w:r>
      <w:r w:rsidR="008730A0" w:rsidRPr="00F61C06">
        <w:t>-</w:t>
      </w:r>
      <w:r w:rsidRPr="00F61C06">
        <w:t>dokumentationen. Det foreslås, at Naalakkersuisut desuden bemyndige</w:t>
      </w:r>
      <w:r w:rsidR="008730A0" w:rsidRPr="00F61C06">
        <w:t>s</w:t>
      </w:r>
      <w:r w:rsidRPr="00F61C06">
        <w:t xml:space="preserve"> til at fastsætte regler, der fritager skattepligtige for at udarbejde dokumentation for nærmere angivne transaktioner.</w:t>
      </w:r>
      <w:r w:rsidR="00164491" w:rsidRPr="00F61C06">
        <w:t xml:space="preserve"> Bemyndigelsen kan anvendes </w:t>
      </w:r>
      <w:r w:rsidR="001A5F15" w:rsidRPr="00F61C06">
        <w:t xml:space="preserve">til at lempe dokumentationskravet </w:t>
      </w:r>
      <w:r w:rsidR="00164491" w:rsidRPr="00F61C06">
        <w:t>i forhold til transaktioner mellem kontrolle</w:t>
      </w:r>
      <w:r w:rsidR="00CF3E09" w:rsidRPr="00F61C06">
        <w:t>re</w:t>
      </w:r>
      <w:r w:rsidR="00164491" w:rsidRPr="00F61C06">
        <w:t>de parter, der begge har hjemsted i Grønland.</w:t>
      </w:r>
    </w:p>
    <w:p w14:paraId="0AB3779C" w14:textId="77777777" w:rsidR="00392B2F" w:rsidRPr="00F61C06" w:rsidRDefault="00392B2F" w:rsidP="0078129A">
      <w:pPr>
        <w:spacing w:line="288" w:lineRule="auto"/>
      </w:pPr>
    </w:p>
    <w:p w14:paraId="22004FD3" w14:textId="77777777" w:rsidR="008730A0" w:rsidRPr="00F61C06" w:rsidRDefault="008730A0" w:rsidP="0078129A">
      <w:pPr>
        <w:spacing w:line="288" w:lineRule="auto"/>
      </w:pPr>
      <w:r w:rsidRPr="00F61C06">
        <w:lastRenderedPageBreak/>
        <w:t>Til nr. 6</w:t>
      </w:r>
    </w:p>
    <w:p w14:paraId="01031551" w14:textId="05510473" w:rsidR="008730A0" w:rsidRPr="00F61C06" w:rsidRDefault="008730A0" w:rsidP="0078129A">
      <w:pPr>
        <w:spacing w:line="288" w:lineRule="auto"/>
      </w:pPr>
      <w:r w:rsidRPr="00F61C06">
        <w:t xml:space="preserve">Forslaget er </w:t>
      </w:r>
      <w:r w:rsidR="00800287" w:rsidRPr="00F61C06">
        <w:t xml:space="preserve">næsten </w:t>
      </w:r>
      <w:r w:rsidRPr="00F61C06">
        <w:t xml:space="preserve">identisk med den gældende § 36 b, stk. 4. Der er dog </w:t>
      </w:r>
      <w:r w:rsidR="009B55EF" w:rsidRPr="00F61C06">
        <w:t xml:space="preserve">i lovteksten </w:t>
      </w:r>
      <w:r w:rsidRPr="00F61C06">
        <w:t xml:space="preserve">udgået henvisninger til </w:t>
      </w:r>
      <w:r w:rsidR="00C6384B" w:rsidRPr="00F61C06">
        <w:t xml:space="preserve">§ </w:t>
      </w:r>
      <w:r w:rsidR="00164491" w:rsidRPr="00F61C06">
        <w:t xml:space="preserve">36 b, </w:t>
      </w:r>
      <w:r w:rsidRPr="00F61C06">
        <w:t xml:space="preserve">stk. 2, 3-5 pkt., </w:t>
      </w:r>
      <w:r w:rsidR="009B55EF" w:rsidRPr="00F61C06">
        <w:t xml:space="preserve">som </w:t>
      </w:r>
      <w:r w:rsidRPr="00F61C06">
        <w:t>ikke</w:t>
      </w:r>
      <w:r w:rsidR="00CF3E09" w:rsidRPr="00F61C06">
        <w:t xml:space="preserve"> længere</w:t>
      </w:r>
      <w:r w:rsidRPr="00F61C06">
        <w:t xml:space="preserve"> tjene</w:t>
      </w:r>
      <w:r w:rsidR="00CF3E09" w:rsidRPr="00F61C06">
        <w:t>r</w:t>
      </w:r>
      <w:r w:rsidRPr="00F61C06">
        <w:t xml:space="preserve"> noget formål.</w:t>
      </w:r>
      <w:r w:rsidR="002205C0" w:rsidRPr="00F61C06">
        <w:t xml:space="preserve"> </w:t>
      </w:r>
    </w:p>
    <w:p w14:paraId="6E5578B9" w14:textId="77777777" w:rsidR="002205C0" w:rsidRPr="00F61C06" w:rsidRDefault="002205C0" w:rsidP="0078129A">
      <w:pPr>
        <w:spacing w:line="288" w:lineRule="auto"/>
      </w:pPr>
    </w:p>
    <w:p w14:paraId="6005492B" w14:textId="77777777" w:rsidR="00800287" w:rsidRPr="00F61C06" w:rsidRDefault="009B55EF" w:rsidP="0078129A">
      <w:pPr>
        <w:spacing w:line="288" w:lineRule="auto"/>
      </w:pPr>
      <w:r w:rsidRPr="00F61C06">
        <w:t xml:space="preserve">I udgangspunktet skal alle skattepligtige omfattet af § 36 b, stk. </w:t>
      </w:r>
      <w:r w:rsidR="002205C0" w:rsidRPr="00F61C06">
        <w:t>1-2</w:t>
      </w:r>
      <w:r w:rsidRPr="00F61C06">
        <w:t>, jf. § 36 a, udarbejde dokumentation for samtlige kontrollerede transaktioner. For mindre virksomheder er dokumentationspligten begrænset til kun at omfatte kontrollerede transaktioner med fysiske og juridiske personer samt faste driftssteder hjemmehørende i fremmed stat, hvormed Grønland ikke har en transfer-</w:t>
      </w:r>
      <w:proofErr w:type="spellStart"/>
      <w:r w:rsidRPr="00F61C06">
        <w:t>pricing</w:t>
      </w:r>
      <w:proofErr w:type="spellEnd"/>
      <w:r w:rsidRPr="00F61C06">
        <w:t>-relevant dobbeltbeskatningsoverenskomst.</w:t>
      </w:r>
      <w:r w:rsidR="00800287" w:rsidRPr="00F61C06">
        <w:t xml:space="preserve"> Der er ikke med forslaget sket ændringer i kriterierne for, hvornår en virksomhed anses for en mindre virksomhed.</w:t>
      </w:r>
    </w:p>
    <w:p w14:paraId="45D4D4A8" w14:textId="77777777" w:rsidR="002205C0" w:rsidRPr="00F61C06" w:rsidRDefault="002205C0" w:rsidP="0078129A">
      <w:pPr>
        <w:spacing w:line="288" w:lineRule="auto"/>
      </w:pPr>
    </w:p>
    <w:p w14:paraId="10EF094D" w14:textId="5C6E43E6" w:rsidR="009B55EF" w:rsidRPr="00F61C06" w:rsidRDefault="009B55EF" w:rsidP="0078129A">
      <w:pPr>
        <w:spacing w:line="288" w:lineRule="auto"/>
      </w:pPr>
      <w:r w:rsidRPr="00F61C06">
        <w:t xml:space="preserve">Selvom mindre virksomheder som udgangspunkt er fritaget for dokumentationspligten efter § 36 </w:t>
      </w:r>
      <w:r w:rsidR="00800287" w:rsidRPr="00F61C06">
        <w:t>b</w:t>
      </w:r>
      <w:r w:rsidRPr="00F61C06">
        <w:t>, stk. 2, så skal alle transaktioner mellem forbundne parter fortsat gennemføres i overensstemmelse med armslængdeprincippet i § 36 a, og skatteforvaltningen kan i forbindelse med en kontrol bede den skattepligtige om dokumentation for, at priser og vilkår for en ikke-dokumentationspligtig transaktion er fastsat i overensstemmelse med armslængdeprincippet.</w:t>
      </w:r>
    </w:p>
    <w:p w14:paraId="3D448166" w14:textId="77777777" w:rsidR="008730A0" w:rsidRPr="00F61C06" w:rsidRDefault="008730A0" w:rsidP="0078129A">
      <w:pPr>
        <w:spacing w:line="288" w:lineRule="auto"/>
      </w:pPr>
    </w:p>
    <w:p w14:paraId="08250943" w14:textId="77777777" w:rsidR="00F80E04" w:rsidRPr="00F61C06" w:rsidRDefault="00F80E04" w:rsidP="0078129A">
      <w:pPr>
        <w:spacing w:line="288" w:lineRule="auto"/>
      </w:pPr>
      <w:r w:rsidRPr="00F61C06">
        <w:t>Til nr. 7</w:t>
      </w:r>
    </w:p>
    <w:p w14:paraId="0FE115B3" w14:textId="13308FA7" w:rsidR="00F80E04" w:rsidRDefault="00492B93" w:rsidP="0078129A">
      <w:pPr>
        <w:spacing w:line="288" w:lineRule="auto"/>
      </w:pPr>
      <w:r w:rsidRPr="00F61C06">
        <w:t xml:space="preserve">Som led i en skattereform </w:t>
      </w:r>
      <w:r w:rsidR="00F80E04" w:rsidRPr="00F61C06">
        <w:t xml:space="preserve">foreslås </w:t>
      </w:r>
      <w:r w:rsidRPr="00F61C06">
        <w:t xml:space="preserve">der </w:t>
      </w:r>
      <w:r w:rsidR="00F80E04" w:rsidRPr="00F61C06">
        <w:t xml:space="preserve">ændringer </w:t>
      </w:r>
      <w:r w:rsidRPr="00F61C06">
        <w:t xml:space="preserve">i </w:t>
      </w:r>
      <w:r w:rsidR="00F80E04" w:rsidRPr="00F61C06">
        <w:t>beskæftigelsesfradraget.</w:t>
      </w:r>
    </w:p>
    <w:p w14:paraId="0A76ABC9" w14:textId="0D02DF2B" w:rsidR="0040295A" w:rsidRDefault="0040295A" w:rsidP="0078129A">
      <w:pPr>
        <w:spacing w:line="288" w:lineRule="auto"/>
      </w:pPr>
    </w:p>
    <w:p w14:paraId="5082D4D0" w14:textId="5920DE8A" w:rsidR="0040295A" w:rsidRDefault="00B35B0C" w:rsidP="009D734C">
      <w:pPr>
        <w:spacing w:line="288" w:lineRule="auto"/>
      </w:pPr>
      <w:r>
        <w:t>Med ændring</w:t>
      </w:r>
      <w:r w:rsidR="00A43E9E">
        <w:t>en</w:t>
      </w:r>
      <w:r>
        <w:t xml:space="preserve"> af </w:t>
      </w:r>
      <w:r w:rsidR="004D3439">
        <w:t xml:space="preserve">lovens § 38 b, stk. 1, nr. 1, foreslås det, at </w:t>
      </w:r>
      <w:r w:rsidR="0040295A">
        <w:t xml:space="preserve">procentsatsen for </w:t>
      </w:r>
      <w:r>
        <w:t xml:space="preserve">opgørelse af </w:t>
      </w:r>
      <w:r w:rsidR="0040295A">
        <w:t xml:space="preserve">beskæftigelsesfradraget </w:t>
      </w:r>
      <w:r w:rsidR="004D3439">
        <w:t xml:space="preserve">forhøjes fra </w:t>
      </w:r>
      <w:r w:rsidR="0040295A">
        <w:t xml:space="preserve">7 pct. til 14,3 pct. </w:t>
      </w:r>
      <w:r w:rsidR="004D3439">
        <w:t xml:space="preserve"> </w:t>
      </w:r>
      <w:r w:rsidR="0040295A">
        <w:t>Desuden fastsættes satsen for, hvad beskæftigelsesfradraget årligt maksimalt kan udgør</w:t>
      </w:r>
      <w:r>
        <w:t>e,</w:t>
      </w:r>
      <w:r w:rsidR="0040295A">
        <w:t xml:space="preserve"> til 20.000 kr. </w:t>
      </w:r>
      <w:r w:rsidR="004D3439">
        <w:t xml:space="preserve"> Begge ændringer har virkning </w:t>
      </w:r>
      <w:r w:rsidR="0040295A">
        <w:t xml:space="preserve">fra og med indkomståret 2023. </w:t>
      </w:r>
    </w:p>
    <w:p w14:paraId="31C9F205" w14:textId="199A6DD1" w:rsidR="0040295A" w:rsidRDefault="0040295A" w:rsidP="009D734C">
      <w:pPr>
        <w:spacing w:line="288" w:lineRule="auto"/>
      </w:pPr>
    </w:p>
    <w:p w14:paraId="5473A837" w14:textId="2F9C619E" w:rsidR="0040295A" w:rsidRDefault="004D3439" w:rsidP="009D734C">
      <w:pPr>
        <w:spacing w:line="288" w:lineRule="auto"/>
      </w:pPr>
      <w:r>
        <w:t xml:space="preserve">Med ændringen af </w:t>
      </w:r>
      <w:r w:rsidR="0040295A">
        <w:t>lovens § 38 b, stk. 1, nr. 2</w:t>
      </w:r>
      <w:r>
        <w:t xml:space="preserve">, foreslås det at, nedtrapningsprocenten fastsættes til </w:t>
      </w:r>
      <w:r w:rsidR="00FB6B4A">
        <w:t>9,0</w:t>
      </w:r>
      <w:r>
        <w:t xml:space="preserve"> procent. Ændringen har virkning fra og med indkomståret 2023.</w:t>
      </w:r>
    </w:p>
    <w:p w14:paraId="5C75BFA3" w14:textId="1F234CE1" w:rsidR="0040295A" w:rsidRDefault="0040295A" w:rsidP="009D734C">
      <w:pPr>
        <w:spacing w:line="288" w:lineRule="auto"/>
      </w:pPr>
    </w:p>
    <w:p w14:paraId="70929604" w14:textId="25BCEB1A" w:rsidR="00C236EE" w:rsidRDefault="004D3439" w:rsidP="009D734C">
      <w:pPr>
        <w:spacing w:line="288" w:lineRule="auto"/>
      </w:pPr>
      <w:r>
        <w:t xml:space="preserve">I lovens 38 b, stk. 2, foreslås der </w:t>
      </w:r>
      <w:r w:rsidR="00B35B0C">
        <w:t xml:space="preserve">mindre </w:t>
      </w:r>
      <w:r>
        <w:t xml:space="preserve">præciseringer af bestemmelsen. Det præciseres blandt andet, hvornår skatteforvaltningen skal meddele de kommende års satser for beskæftigelsesfradrag. </w:t>
      </w:r>
    </w:p>
    <w:p w14:paraId="490A3D02" w14:textId="77777777" w:rsidR="00F80E04" w:rsidRPr="00F61C06" w:rsidRDefault="00F80E04" w:rsidP="009D734C">
      <w:pPr>
        <w:spacing w:line="288" w:lineRule="auto"/>
      </w:pPr>
    </w:p>
    <w:p w14:paraId="28D34C6C" w14:textId="77777777" w:rsidR="00F80E04" w:rsidRPr="00F61C06" w:rsidRDefault="00F80E04" w:rsidP="0078129A">
      <w:pPr>
        <w:spacing w:line="288" w:lineRule="auto"/>
      </w:pPr>
      <w:r w:rsidRPr="00F61C06">
        <w:t>Til nr. 8</w:t>
      </w:r>
    </w:p>
    <w:p w14:paraId="4D2784C7" w14:textId="7422C7C2" w:rsidR="00D14930" w:rsidRPr="00F61C06" w:rsidRDefault="00D14930" w:rsidP="0078129A">
      <w:pPr>
        <w:spacing w:line="288" w:lineRule="auto"/>
      </w:pPr>
      <w:r w:rsidRPr="00F61C06">
        <w:t xml:space="preserve">Det foreslås, at § 72 om den skattemæssige behandling af skattepligtige offentlig hjælp ydelser ophæves. </w:t>
      </w:r>
    </w:p>
    <w:p w14:paraId="001DB351" w14:textId="77777777" w:rsidR="00D14930" w:rsidRPr="00F61C06" w:rsidRDefault="00D14930" w:rsidP="0078129A">
      <w:pPr>
        <w:spacing w:line="288" w:lineRule="auto"/>
      </w:pPr>
    </w:p>
    <w:p w14:paraId="0E74E8EB" w14:textId="34186815" w:rsidR="00D14930" w:rsidRPr="00F61C06" w:rsidRDefault="00D14930" w:rsidP="0078129A">
      <w:pPr>
        <w:spacing w:line="288" w:lineRule="auto"/>
      </w:pPr>
      <w:r w:rsidRPr="00F61C06">
        <w:t>Ophævelsen hænger sammen med</w:t>
      </w:r>
      <w:r w:rsidR="006476A6" w:rsidRPr="00F61C06">
        <w:t>,</w:t>
      </w:r>
      <w:r w:rsidRPr="00F61C06">
        <w:t xml:space="preserve"> at offentlig hjælp ydelsen overgår til at være en takstbestemt ydelse, der er skattepligtig for modtageren. Denne nye ydelse behandles på samme måde som andre skattepligtige indkomster.</w:t>
      </w:r>
    </w:p>
    <w:p w14:paraId="36184595" w14:textId="77777777" w:rsidR="00084A20" w:rsidRPr="00F61C06" w:rsidRDefault="00084A20" w:rsidP="0078129A">
      <w:pPr>
        <w:spacing w:line="288" w:lineRule="auto"/>
      </w:pPr>
    </w:p>
    <w:p w14:paraId="5C322E8A" w14:textId="77777777" w:rsidR="00084A20" w:rsidRPr="00F61C06" w:rsidRDefault="00F80E04" w:rsidP="0078129A">
      <w:pPr>
        <w:spacing w:line="288" w:lineRule="auto"/>
      </w:pPr>
      <w:r w:rsidRPr="00F61C06">
        <w:t>Til nr. 9</w:t>
      </w:r>
    </w:p>
    <w:p w14:paraId="0C304624" w14:textId="423A58B6" w:rsidR="001636BE" w:rsidRPr="00F61C06" w:rsidRDefault="001636BE" w:rsidP="0078129A">
      <w:pPr>
        <w:spacing w:line="288" w:lineRule="auto"/>
      </w:pPr>
      <w:r w:rsidRPr="00F61C06">
        <w:lastRenderedPageBreak/>
        <w:t xml:space="preserve">Bestemmelsen er ny.  </w:t>
      </w:r>
      <w:r w:rsidR="00F80E04" w:rsidRPr="00F61C06">
        <w:t xml:space="preserve">Det foreslås med § 86 a, at likvidationsudlodninger </w:t>
      </w:r>
      <w:r w:rsidRPr="00F61C06">
        <w:t>til kapitalejere, der er fysiske personer</w:t>
      </w:r>
      <w:r w:rsidR="00EC3426" w:rsidRPr="00F61C06">
        <w:t>,</w:t>
      </w:r>
      <w:r w:rsidRPr="00F61C06">
        <w:t xml:space="preserve"> beskattes. Bestemmelsen omfatter udlodninger af likvidationsprovenu (likvidationsudlodninger), jf. § 86, stk. 2.</w:t>
      </w:r>
    </w:p>
    <w:p w14:paraId="32FF9D09" w14:textId="77777777" w:rsidR="001636BE" w:rsidRPr="00F61C06" w:rsidRDefault="001636BE" w:rsidP="0078129A">
      <w:pPr>
        <w:spacing w:line="288" w:lineRule="auto"/>
      </w:pPr>
    </w:p>
    <w:p w14:paraId="13382077" w14:textId="77777777" w:rsidR="001636BE" w:rsidRPr="00F61C06" w:rsidRDefault="001636BE" w:rsidP="0078129A">
      <w:pPr>
        <w:spacing w:line="288" w:lineRule="auto"/>
      </w:pPr>
      <w:r w:rsidRPr="00F61C06">
        <w:t xml:space="preserve">Til </w:t>
      </w:r>
      <w:r w:rsidR="00492B93" w:rsidRPr="00F61C06">
        <w:t xml:space="preserve">86 a, </w:t>
      </w:r>
      <w:r w:rsidRPr="00F61C06">
        <w:t>stk. 1</w:t>
      </w:r>
    </w:p>
    <w:p w14:paraId="6B421F90" w14:textId="0D1467D8" w:rsidR="001636BE" w:rsidRPr="00F61C06" w:rsidRDefault="001636BE" w:rsidP="0078129A">
      <w:pPr>
        <w:spacing w:line="288" w:lineRule="auto"/>
      </w:pPr>
      <w:r w:rsidRPr="00F61C06">
        <w:t>Bestemmelsen i stk. 1 medføre</w:t>
      </w:r>
      <w:r w:rsidR="00C83F58" w:rsidRPr="00F61C06">
        <w:t>r</w:t>
      </w:r>
      <w:r w:rsidRPr="00F61C06">
        <w:t>, at selskaber hjemmehørende i Grønland skal indeholde skat af likvidationsudlodninger til kapitalejere, der er fysisk</w:t>
      </w:r>
      <w:r w:rsidR="006476A6" w:rsidRPr="00F61C06">
        <w:t>e</w:t>
      </w:r>
      <w:r w:rsidRPr="00F61C06">
        <w:t xml:space="preserve"> personer. Bestemmelsen omfatter dog ikke </w:t>
      </w:r>
      <w:r w:rsidR="00586BA2" w:rsidRPr="00F61C06">
        <w:t xml:space="preserve">de </w:t>
      </w:r>
      <w:r w:rsidRPr="00F61C06">
        <w:t>udlodninger til hovedaktionærer, der omfattes af § 86, stk. 2.</w:t>
      </w:r>
    </w:p>
    <w:p w14:paraId="62C1C934" w14:textId="77777777" w:rsidR="00FE7B08" w:rsidRPr="00F61C06" w:rsidRDefault="00FE7B08" w:rsidP="0078129A">
      <w:pPr>
        <w:spacing w:line="288" w:lineRule="auto"/>
      </w:pPr>
    </w:p>
    <w:p w14:paraId="3F50AD54" w14:textId="75564B9E" w:rsidR="001636BE" w:rsidRPr="00F61C06" w:rsidRDefault="00FE7B08" w:rsidP="0078129A">
      <w:pPr>
        <w:spacing w:line="288" w:lineRule="auto"/>
      </w:pPr>
      <w:r w:rsidRPr="00F61C06">
        <w:t>Skatten af likvidationsudlodninger svarer til den samlede udskrivningssats for personer i det udloddende selskabs hjemstedskomme fratrukket selskabsskatteprocenten.</w:t>
      </w:r>
      <w:r w:rsidR="00586BA2" w:rsidRPr="00F61C06">
        <w:t xml:space="preserve"> Har selskabet </w:t>
      </w:r>
      <w:r w:rsidR="00766D83" w:rsidRPr="00F61C06">
        <w:t>s</w:t>
      </w:r>
      <w:r w:rsidR="006F0321" w:rsidRPr="00F61C06">
        <w:t xml:space="preserve">kattestyrelsen </w:t>
      </w:r>
      <w:r w:rsidR="00586BA2" w:rsidRPr="00F61C06">
        <w:t>som skattekommune, er skatten lig summen af landsskatteprocenten og den særlige landsskatteprocent fratrukket selskabsskattesatsen.</w:t>
      </w:r>
    </w:p>
    <w:p w14:paraId="15163667" w14:textId="77777777" w:rsidR="00586BA2" w:rsidRPr="00F61C06" w:rsidRDefault="00586BA2" w:rsidP="0078129A">
      <w:pPr>
        <w:spacing w:line="288" w:lineRule="auto"/>
      </w:pPr>
    </w:p>
    <w:p w14:paraId="1031BA74" w14:textId="77777777" w:rsidR="00586BA2" w:rsidRPr="00F61C06" w:rsidRDefault="00323D76" w:rsidP="0078129A">
      <w:pPr>
        <w:spacing w:line="288" w:lineRule="auto"/>
      </w:pPr>
      <w:r w:rsidRPr="00F61C06">
        <w:t>Det udloddende s</w:t>
      </w:r>
      <w:r w:rsidR="00586BA2" w:rsidRPr="00F61C06">
        <w:t xml:space="preserve">elskab skal indeholde, give meddelelse </w:t>
      </w:r>
      <w:r w:rsidR="00C83F58" w:rsidRPr="00F61C06">
        <w:t xml:space="preserve">om </w:t>
      </w:r>
      <w:r w:rsidR="00586BA2" w:rsidRPr="00F61C06">
        <w:t>og indbetale skatten efter reglerne i § 88.</w:t>
      </w:r>
    </w:p>
    <w:p w14:paraId="5ECAADFC" w14:textId="77777777" w:rsidR="001636BE" w:rsidRPr="00F61C06" w:rsidRDefault="001636BE" w:rsidP="0078129A">
      <w:pPr>
        <w:spacing w:line="288" w:lineRule="auto"/>
      </w:pPr>
      <w:r w:rsidRPr="00F61C06">
        <w:t xml:space="preserve"> </w:t>
      </w:r>
    </w:p>
    <w:p w14:paraId="20817F14" w14:textId="00AB4DC9" w:rsidR="0002038E" w:rsidRPr="00F61C06" w:rsidRDefault="00586BA2" w:rsidP="0078129A">
      <w:pPr>
        <w:spacing w:line="288" w:lineRule="auto"/>
      </w:pPr>
      <w:r w:rsidRPr="00F61C06">
        <w:t xml:space="preserve">Den skattepligtige kan ved ansøgning til skatteforvaltningen få refunderet hele eller en del af skatten, </w:t>
      </w:r>
      <w:r w:rsidR="00C83F58" w:rsidRPr="00F61C06">
        <w:t xml:space="preserve">hvis </w:t>
      </w:r>
      <w:r w:rsidRPr="00F61C06">
        <w:t>det dokumenteres</w:t>
      </w:r>
      <w:r w:rsidR="00766D83" w:rsidRPr="00F61C06">
        <w:t>,</w:t>
      </w:r>
      <w:r w:rsidRPr="00F61C06">
        <w:t xml:space="preserve"> at der ikke forelå en gevinst ved udlodningen. For </w:t>
      </w:r>
      <w:r w:rsidR="00C83F58" w:rsidRPr="00F61C06">
        <w:t xml:space="preserve">at dokumentere </w:t>
      </w:r>
      <w:r w:rsidRPr="00F61C06">
        <w:t xml:space="preserve">dette skal den skattepligtige </w:t>
      </w:r>
      <w:r w:rsidR="00995B6C" w:rsidRPr="00F61C06">
        <w:t xml:space="preserve">fremvise </w:t>
      </w:r>
      <w:r w:rsidRPr="00F61C06">
        <w:t>dokument</w:t>
      </w:r>
      <w:r w:rsidR="00995B6C" w:rsidRPr="00F61C06">
        <w:t>ation for</w:t>
      </w:r>
      <w:r w:rsidRPr="00F61C06">
        <w:t xml:space="preserve"> anskaffelsessummen for kapitalandelene i selskabet.</w:t>
      </w:r>
      <w:r w:rsidR="00FC1460" w:rsidRPr="00F61C06">
        <w:t xml:space="preserve"> </w:t>
      </w:r>
      <w:r w:rsidR="0002038E" w:rsidRPr="00F61C06">
        <w:t xml:space="preserve">Der er ikke fradrag for et eventuelt tab. </w:t>
      </w:r>
    </w:p>
    <w:p w14:paraId="22F4F6A3" w14:textId="77777777" w:rsidR="00FC1460" w:rsidRPr="00F61C06" w:rsidRDefault="00FC1460" w:rsidP="0078129A">
      <w:pPr>
        <w:spacing w:line="288" w:lineRule="auto"/>
      </w:pPr>
    </w:p>
    <w:p w14:paraId="2AA692EC" w14:textId="77777777" w:rsidR="00FC1460" w:rsidRPr="00F61C06" w:rsidRDefault="00FC1460" w:rsidP="0078129A">
      <w:pPr>
        <w:spacing w:line="288" w:lineRule="auto"/>
      </w:pPr>
      <w:r w:rsidRPr="00F61C06">
        <w:t>Eksempel</w:t>
      </w:r>
      <w:r w:rsidR="00D463DF" w:rsidRPr="00F61C06">
        <w:t>:</w:t>
      </w:r>
    </w:p>
    <w:p w14:paraId="535F3B0E" w14:textId="24B7D644" w:rsidR="00762E0D" w:rsidRPr="00F61C06" w:rsidRDefault="00FC1460" w:rsidP="0078129A">
      <w:pPr>
        <w:spacing w:line="288" w:lineRule="auto"/>
        <w:ind w:left="1304"/>
      </w:pPr>
      <w:r w:rsidRPr="00F61C06">
        <w:t>Den skattepligtige stifte</w:t>
      </w:r>
      <w:r w:rsidR="00762E0D" w:rsidRPr="00F61C06">
        <w:t>r</w:t>
      </w:r>
      <w:r w:rsidRPr="00F61C06">
        <w:t xml:space="preserve"> </w:t>
      </w:r>
      <w:r w:rsidR="003876B3" w:rsidRPr="00F61C06">
        <w:t xml:space="preserve">som </w:t>
      </w:r>
      <w:proofErr w:type="spellStart"/>
      <w:r w:rsidR="003876B3" w:rsidRPr="00F61C06">
        <w:t>enekapitalejer</w:t>
      </w:r>
      <w:proofErr w:type="spellEnd"/>
      <w:r w:rsidR="003876B3" w:rsidRPr="00F61C06">
        <w:t xml:space="preserve"> </w:t>
      </w:r>
      <w:r w:rsidRPr="00F61C06">
        <w:t xml:space="preserve">et anpartsselskab ved indskud af 250.000 kr. i 2005. </w:t>
      </w:r>
      <w:r w:rsidR="00171B90" w:rsidRPr="00F61C06">
        <w:t xml:space="preserve">Selskabet har hjemsted i Kommuneqarfik Sermersooq. </w:t>
      </w:r>
      <w:r w:rsidRPr="00F61C06">
        <w:t xml:space="preserve">I 2023 </w:t>
      </w:r>
      <w:r w:rsidR="00323D76" w:rsidRPr="00F61C06">
        <w:t xml:space="preserve">opløses </w:t>
      </w:r>
      <w:r w:rsidRPr="00F61C06">
        <w:t>selskabet</w:t>
      </w:r>
      <w:r w:rsidR="00995B6C" w:rsidRPr="00F61C06">
        <w:t>,</w:t>
      </w:r>
      <w:r w:rsidRPr="00F61C06">
        <w:t xml:space="preserve"> </w:t>
      </w:r>
      <w:r w:rsidR="00AA2D85" w:rsidRPr="00F61C06">
        <w:t xml:space="preserve">hvilket </w:t>
      </w:r>
      <w:r w:rsidRPr="00F61C06">
        <w:t xml:space="preserve">giver </w:t>
      </w:r>
      <w:r w:rsidR="00762E0D" w:rsidRPr="00F61C06">
        <w:t>e</w:t>
      </w:r>
      <w:r w:rsidR="00323D76" w:rsidRPr="00F61C06">
        <w:t>n</w:t>
      </w:r>
      <w:r w:rsidR="00762E0D" w:rsidRPr="00F61C06">
        <w:t xml:space="preserve"> </w:t>
      </w:r>
      <w:r w:rsidRPr="00F61C06">
        <w:t>likvidations</w:t>
      </w:r>
      <w:r w:rsidR="00323D76" w:rsidRPr="00F61C06">
        <w:t xml:space="preserve">udlodning </w:t>
      </w:r>
      <w:r w:rsidRPr="00F61C06">
        <w:t>på 1.000.000. kr.</w:t>
      </w:r>
      <w:r w:rsidR="00323D76" w:rsidRPr="00F61C06">
        <w:t xml:space="preserve"> </w:t>
      </w:r>
      <w:r w:rsidRPr="00F61C06">
        <w:t xml:space="preserve">Selskabet </w:t>
      </w:r>
      <w:r w:rsidR="00323D76" w:rsidRPr="00F61C06">
        <w:t xml:space="preserve">skal </w:t>
      </w:r>
      <w:r w:rsidRPr="00F61C06">
        <w:t xml:space="preserve">indeholde </w:t>
      </w:r>
      <w:r w:rsidR="00A60996" w:rsidRPr="00F61C06">
        <w:t xml:space="preserve">og indbetale </w:t>
      </w:r>
      <w:r w:rsidRPr="00F61C06">
        <w:t xml:space="preserve">skat </w:t>
      </w:r>
      <w:r w:rsidR="00762E0D" w:rsidRPr="00F61C06">
        <w:t xml:space="preserve">af udlodningen </w:t>
      </w:r>
      <w:r w:rsidRPr="00F61C06">
        <w:t>på (42</w:t>
      </w:r>
      <w:r w:rsidR="00762E0D" w:rsidRPr="00F61C06">
        <w:t xml:space="preserve"> pct. </w:t>
      </w:r>
      <w:r w:rsidRPr="00F61C06">
        <w:t>-</w:t>
      </w:r>
      <w:r w:rsidR="00171B90" w:rsidRPr="00F61C06">
        <w:t xml:space="preserve"> </w:t>
      </w:r>
      <w:r w:rsidRPr="00F61C06">
        <w:t>25</w:t>
      </w:r>
      <w:r w:rsidR="00762E0D" w:rsidRPr="00F61C06">
        <w:t xml:space="preserve"> pct. </w:t>
      </w:r>
      <w:r w:rsidRPr="00F61C06">
        <w:t xml:space="preserve">=) 17 pct. af 1.000.000 kr. </w:t>
      </w:r>
      <w:r w:rsidR="00762E0D" w:rsidRPr="00F61C06">
        <w:t xml:space="preserve">lig </w:t>
      </w:r>
      <w:r w:rsidRPr="00F61C06">
        <w:t xml:space="preserve">170.000 kr. </w:t>
      </w:r>
    </w:p>
    <w:p w14:paraId="07696154" w14:textId="6D9076F2" w:rsidR="00A60996" w:rsidRPr="00F61C06" w:rsidRDefault="00FC1460" w:rsidP="0078129A">
      <w:pPr>
        <w:spacing w:line="288" w:lineRule="auto"/>
        <w:ind w:left="1304"/>
      </w:pPr>
      <w:r w:rsidRPr="00F61C06">
        <w:t>Den ska</w:t>
      </w:r>
      <w:r w:rsidR="00762E0D" w:rsidRPr="00F61C06">
        <w:t xml:space="preserve">ttepligtige kan ved at dokumentere stiftelsesudgifterne </w:t>
      </w:r>
      <w:r w:rsidR="00323D76" w:rsidRPr="00F61C06">
        <w:t xml:space="preserve">over </w:t>
      </w:r>
      <w:r w:rsidR="003876B3" w:rsidRPr="00F61C06">
        <w:t xml:space="preserve">for skatteforvaltningen </w:t>
      </w:r>
      <w:r w:rsidRPr="00F61C06">
        <w:t xml:space="preserve">få refunderet </w:t>
      </w:r>
      <w:r w:rsidR="00762E0D" w:rsidRPr="00F61C06">
        <w:t xml:space="preserve">den del af </w:t>
      </w:r>
      <w:r w:rsidR="00323D76" w:rsidRPr="00F61C06">
        <w:t>s</w:t>
      </w:r>
      <w:r w:rsidR="00762E0D" w:rsidRPr="00F61C06">
        <w:t>katten, der forholdsmæssig</w:t>
      </w:r>
      <w:r w:rsidR="00AA2D85" w:rsidRPr="00F61C06">
        <w:t>t</w:t>
      </w:r>
      <w:r w:rsidR="00762E0D" w:rsidRPr="00F61C06">
        <w:t xml:space="preserve"> falder på </w:t>
      </w:r>
      <w:r w:rsidR="00A60996" w:rsidRPr="00F61C06">
        <w:t xml:space="preserve">anskaffelsessummen for </w:t>
      </w:r>
      <w:r w:rsidR="0002038E" w:rsidRPr="00F61C06">
        <w:t>kapitalandele</w:t>
      </w:r>
      <w:r w:rsidR="00A60996" w:rsidRPr="00F61C06">
        <w:t>ne</w:t>
      </w:r>
      <w:r w:rsidR="0002038E" w:rsidRPr="00F61C06">
        <w:t xml:space="preserve">. </w:t>
      </w:r>
      <w:r w:rsidR="005C3A38" w:rsidRPr="00F61C06">
        <w:t xml:space="preserve">Den skattepligtige kan i dette tilfælde få refunderet </w:t>
      </w:r>
      <w:r w:rsidR="0002038E" w:rsidRPr="00F61C06">
        <w:t>(</w:t>
      </w:r>
      <w:r w:rsidR="00762E0D" w:rsidRPr="00F61C06">
        <w:t>(250.000 kr./1.000.000 kr.) x 170.000</w:t>
      </w:r>
      <w:r w:rsidR="00995B6C" w:rsidRPr="00F61C06">
        <w:t xml:space="preserve"> kr.</w:t>
      </w:r>
      <w:r w:rsidR="00762E0D" w:rsidRPr="00F61C06">
        <w:t>=)</w:t>
      </w:r>
      <w:r w:rsidR="0002038E" w:rsidRPr="00F61C06">
        <w:t>)</w:t>
      </w:r>
      <w:r w:rsidR="00762E0D" w:rsidRPr="00F61C06">
        <w:t xml:space="preserve"> 42.500 kr.</w:t>
      </w:r>
      <w:r w:rsidR="005C3A38" w:rsidRPr="00F61C06">
        <w:t xml:space="preserve"> af skatteforvaltningen.</w:t>
      </w:r>
      <w:r w:rsidR="00762E0D" w:rsidRPr="00F61C06">
        <w:t xml:space="preserve"> </w:t>
      </w:r>
    </w:p>
    <w:p w14:paraId="70C793CD" w14:textId="77777777" w:rsidR="00586BA2" w:rsidRPr="00F61C06" w:rsidRDefault="00586BA2" w:rsidP="0078129A">
      <w:pPr>
        <w:spacing w:line="288" w:lineRule="auto"/>
      </w:pPr>
    </w:p>
    <w:p w14:paraId="337E19D5" w14:textId="77777777" w:rsidR="00586BA2" w:rsidRPr="00F61C06" w:rsidRDefault="00586BA2" w:rsidP="0078129A">
      <w:pPr>
        <w:spacing w:line="288" w:lineRule="auto"/>
      </w:pPr>
      <w:r w:rsidRPr="00F61C06">
        <w:t>Til stk. 2</w:t>
      </w:r>
    </w:p>
    <w:p w14:paraId="07B1CBB0" w14:textId="345BA0A9" w:rsidR="00F63774" w:rsidRPr="00F61C06" w:rsidRDefault="00586BA2" w:rsidP="0078129A">
      <w:pPr>
        <w:spacing w:line="288" w:lineRule="auto"/>
      </w:pPr>
      <w:r w:rsidRPr="00F61C06">
        <w:t xml:space="preserve">Det foreslås </w:t>
      </w:r>
      <w:r w:rsidR="00F63774" w:rsidRPr="00F61C06">
        <w:t xml:space="preserve">med stk. 2, </w:t>
      </w:r>
      <w:r w:rsidRPr="00F61C06">
        <w:t xml:space="preserve">at gevinster </w:t>
      </w:r>
      <w:r w:rsidR="00A60996" w:rsidRPr="00F61C06">
        <w:t>fra</w:t>
      </w:r>
      <w:r w:rsidRPr="00F61C06">
        <w:t xml:space="preserve"> likvidationsudlodninger gøres til skattepligtig indkomst for </w:t>
      </w:r>
      <w:r w:rsidR="00A60996" w:rsidRPr="00F61C06">
        <w:t xml:space="preserve">fysiske personer, der er </w:t>
      </w:r>
      <w:r w:rsidRPr="00F61C06">
        <w:t xml:space="preserve">fuldt skattepligtige </w:t>
      </w:r>
      <w:r w:rsidR="00A60996" w:rsidRPr="00F61C06">
        <w:t>til Grønland.</w:t>
      </w:r>
      <w:r w:rsidR="00323D76" w:rsidRPr="00F61C06">
        <w:t xml:space="preserve"> </w:t>
      </w:r>
      <w:r w:rsidR="00F63774" w:rsidRPr="00F61C06">
        <w:t xml:space="preserve">Bestemmelsens stk. 2 omfatter likvidationsudlodninger fra selskaber med hjemsted i udlandet </w:t>
      </w:r>
      <w:r w:rsidR="00C83F58" w:rsidRPr="00F61C06">
        <w:t xml:space="preserve">samt </w:t>
      </w:r>
      <w:r w:rsidR="00F63774" w:rsidRPr="00F61C06">
        <w:t xml:space="preserve">Danmark og Færøerne. </w:t>
      </w:r>
    </w:p>
    <w:p w14:paraId="4ADFC11B" w14:textId="77777777" w:rsidR="00F63774" w:rsidRPr="00F61C06" w:rsidRDefault="00F63774" w:rsidP="0078129A">
      <w:pPr>
        <w:spacing w:line="288" w:lineRule="auto"/>
      </w:pPr>
    </w:p>
    <w:p w14:paraId="04FFFC0F" w14:textId="5628E0FD" w:rsidR="00323D76" w:rsidRPr="00F61C06" w:rsidRDefault="00323D76" w:rsidP="0078129A">
      <w:pPr>
        <w:spacing w:line="288" w:lineRule="auto"/>
      </w:pPr>
      <w:r w:rsidRPr="00F61C06">
        <w:lastRenderedPageBreak/>
        <w:t xml:space="preserve">Begreberne næring og spekulation i bestemmelsen skal forstås i overensstemmelse med </w:t>
      </w:r>
      <w:r w:rsidR="00C83F58" w:rsidRPr="00F61C06">
        <w:t xml:space="preserve">begrebernes </w:t>
      </w:r>
      <w:r w:rsidRPr="00F61C06">
        <w:t xml:space="preserve">forståelse i § 34, stk. 1, nr. 2. </w:t>
      </w:r>
      <w:r w:rsidR="00C83F58" w:rsidRPr="00F61C06">
        <w:t>I de tilfælde</w:t>
      </w:r>
      <w:r w:rsidR="00E611D6" w:rsidRPr="00F61C06">
        <w:t>,</w:t>
      </w:r>
      <w:r w:rsidR="00C83F58" w:rsidRPr="00F61C06">
        <w:t xml:space="preserve"> at kapitalejer har erhvervet </w:t>
      </w:r>
      <w:r w:rsidRPr="00F61C06">
        <w:t xml:space="preserve">kapitalandelene </w:t>
      </w:r>
      <w:r w:rsidR="00A60996" w:rsidRPr="00F61C06">
        <w:t>som led i næring eller spekulation</w:t>
      </w:r>
      <w:r w:rsidR="003813BB" w:rsidRPr="00F61C06">
        <w:t>,</w:t>
      </w:r>
      <w:r w:rsidR="00A60996" w:rsidRPr="00F61C06">
        <w:t xml:space="preserve"> og </w:t>
      </w:r>
      <w:r w:rsidRPr="00F61C06">
        <w:t xml:space="preserve">derfor ville </w:t>
      </w:r>
      <w:r w:rsidR="00C83F58" w:rsidRPr="00F61C06">
        <w:t xml:space="preserve">være </w:t>
      </w:r>
      <w:r w:rsidR="00A60996" w:rsidRPr="00F61C06">
        <w:t>skattepligtig af en gevinst</w:t>
      </w:r>
      <w:r w:rsidRPr="00F61C06">
        <w:t xml:space="preserve"> efter</w:t>
      </w:r>
      <w:r w:rsidR="00A60996" w:rsidRPr="00F61C06">
        <w:t xml:space="preserve"> </w:t>
      </w:r>
      <w:r w:rsidR="00C83F58" w:rsidRPr="00F61C06">
        <w:t xml:space="preserve">reglen i </w:t>
      </w:r>
      <w:r w:rsidR="00A60996" w:rsidRPr="00F61C06">
        <w:t>§ 34, stk.</w:t>
      </w:r>
      <w:r w:rsidR="00995B6C" w:rsidRPr="00F61C06">
        <w:t>1,</w:t>
      </w:r>
      <w:r w:rsidR="00A60996" w:rsidRPr="00F61C06">
        <w:t xml:space="preserve"> nr. 2, er der </w:t>
      </w:r>
      <w:r w:rsidR="00C83F58" w:rsidRPr="00F61C06">
        <w:t xml:space="preserve">med forslaget </w:t>
      </w:r>
      <w:r w:rsidR="00A60996" w:rsidRPr="00F61C06">
        <w:t xml:space="preserve">tale om </w:t>
      </w:r>
      <w:r w:rsidR="00AA2D85" w:rsidRPr="00F61C06">
        <w:t>fravigelse af de almindelige regler</w:t>
      </w:r>
      <w:r w:rsidRPr="00F61C06">
        <w:t xml:space="preserve"> for </w:t>
      </w:r>
      <w:r w:rsidR="00C83F58" w:rsidRPr="00F61C06">
        <w:t xml:space="preserve">beskatning af </w:t>
      </w:r>
      <w:r w:rsidR="00A60996" w:rsidRPr="00F61C06">
        <w:t>likvidations</w:t>
      </w:r>
      <w:r w:rsidRPr="00F61C06">
        <w:t>udlodninger</w:t>
      </w:r>
      <w:r w:rsidR="00A60996" w:rsidRPr="00F61C06">
        <w:t>.</w:t>
      </w:r>
    </w:p>
    <w:p w14:paraId="6B75775B" w14:textId="77777777" w:rsidR="0002038E" w:rsidRPr="00F61C06" w:rsidRDefault="0002038E" w:rsidP="0078129A">
      <w:pPr>
        <w:spacing w:line="288" w:lineRule="auto"/>
      </w:pPr>
    </w:p>
    <w:p w14:paraId="1470C8D6" w14:textId="3A2F32C9" w:rsidR="00A60996" w:rsidRPr="00F61C06" w:rsidRDefault="0002038E" w:rsidP="0078129A">
      <w:pPr>
        <w:spacing w:line="288" w:lineRule="auto"/>
      </w:pPr>
      <w:r w:rsidRPr="00F61C06">
        <w:t xml:space="preserve">Gevinsten </w:t>
      </w:r>
      <w:r w:rsidR="00C83F58" w:rsidRPr="00F61C06">
        <w:t xml:space="preserve">efter stk. 2 </w:t>
      </w:r>
      <w:r w:rsidRPr="00F61C06">
        <w:t>opgøres som forskellen mellem anskaffe</w:t>
      </w:r>
      <w:r w:rsidR="00D02F2E" w:rsidRPr="00F61C06">
        <w:t>lse</w:t>
      </w:r>
      <w:r w:rsidRPr="00F61C06">
        <w:t xml:space="preserve">ssummen for kapitalandelene og likvidationsudlodningen, der sidestilles med en afståelsessum. </w:t>
      </w:r>
      <w:r w:rsidR="00A60996" w:rsidRPr="00F61C06">
        <w:t xml:space="preserve">Af </w:t>
      </w:r>
      <w:r w:rsidR="00E657D6" w:rsidRPr="00F61C06">
        <w:t>d</w:t>
      </w:r>
      <w:r w:rsidR="00A60996" w:rsidRPr="00F61C06">
        <w:t>en opgjort</w:t>
      </w:r>
      <w:r w:rsidR="00E611D6" w:rsidRPr="00F61C06">
        <w:t>e</w:t>
      </w:r>
      <w:r w:rsidR="00A60996" w:rsidRPr="00F61C06">
        <w:t xml:space="preserve"> gevinst medregnes dog kun 65 pct. ved opgørelsen af den skattepligtige indkomst.</w:t>
      </w:r>
      <w:r w:rsidR="00076E7D" w:rsidRPr="00F61C06">
        <w:t xml:space="preserve"> Der er tale om B-indkomst.</w:t>
      </w:r>
      <w:r w:rsidR="00C6384B" w:rsidRPr="00F61C06">
        <w:t xml:space="preserve"> </w:t>
      </w:r>
      <w:r w:rsidRPr="00F61C06">
        <w:t xml:space="preserve">Der er ikke fradrag for et eventuelt tab. </w:t>
      </w:r>
    </w:p>
    <w:p w14:paraId="45D56713" w14:textId="77777777" w:rsidR="0002038E" w:rsidRPr="00F61C06" w:rsidRDefault="0002038E" w:rsidP="0078129A">
      <w:pPr>
        <w:spacing w:line="288" w:lineRule="auto"/>
      </w:pPr>
    </w:p>
    <w:p w14:paraId="26E0199F" w14:textId="77777777" w:rsidR="00A60996" w:rsidRPr="00F61C06" w:rsidRDefault="00A60996" w:rsidP="0078129A">
      <w:pPr>
        <w:spacing w:line="288" w:lineRule="auto"/>
      </w:pPr>
      <w:r w:rsidRPr="00F61C06">
        <w:t xml:space="preserve">Skatteforvaltningen kan </w:t>
      </w:r>
      <w:r w:rsidR="00F63774" w:rsidRPr="00F61C06">
        <w:t xml:space="preserve">efter anmodning </w:t>
      </w:r>
      <w:r w:rsidRPr="00F61C06">
        <w:t xml:space="preserve">give fradrag for skat betalt </w:t>
      </w:r>
      <w:r w:rsidR="003813BB" w:rsidRPr="00F61C06">
        <w:t xml:space="preserve">af en likvidationsudlodning </w:t>
      </w:r>
      <w:r w:rsidRPr="00F61C06">
        <w:t>i udlandet efter § 69.</w:t>
      </w:r>
    </w:p>
    <w:p w14:paraId="7E43BACE" w14:textId="77777777" w:rsidR="00076E7D" w:rsidRPr="00F61C06" w:rsidRDefault="00076E7D" w:rsidP="0078129A">
      <w:pPr>
        <w:spacing w:line="288" w:lineRule="auto"/>
      </w:pPr>
    </w:p>
    <w:p w14:paraId="07626D12" w14:textId="77777777" w:rsidR="00076E7D" w:rsidRPr="00F61C06" w:rsidRDefault="00076E7D" w:rsidP="0078129A">
      <w:pPr>
        <w:spacing w:line="288" w:lineRule="auto"/>
      </w:pPr>
      <w:r w:rsidRPr="00F61C06">
        <w:t>Til nr. 10</w:t>
      </w:r>
    </w:p>
    <w:p w14:paraId="65FF054F" w14:textId="4DDD0D9A" w:rsidR="00076E7D" w:rsidRPr="00F61C06" w:rsidRDefault="00F63440" w:rsidP="0078129A">
      <w:pPr>
        <w:spacing w:line="288" w:lineRule="auto"/>
      </w:pPr>
      <w:r w:rsidRPr="00F61C06">
        <w:t xml:space="preserve">Bestemmelsens </w:t>
      </w:r>
      <w:r w:rsidR="00BD6F07" w:rsidRPr="00F61C06">
        <w:t>f</w:t>
      </w:r>
      <w:r w:rsidR="00076E7D" w:rsidRPr="00F61C06">
        <w:t>ormål er at få korrigeret henvisningsfejl i § 105, stk. 1, nr. 7</w:t>
      </w:r>
      <w:r w:rsidR="00C334EA" w:rsidRPr="00F61C06">
        <w:t xml:space="preserve"> og </w:t>
      </w:r>
      <w:r w:rsidR="00076E7D" w:rsidRPr="00F61C06">
        <w:t xml:space="preserve">8. I begge bestemmelser henvises der ved en fejl til </w:t>
      </w:r>
      <w:r w:rsidR="005E0958" w:rsidRPr="00F61C06">
        <w:t>”</w:t>
      </w:r>
      <w:r w:rsidR="00076E7D" w:rsidRPr="00F61C06">
        <w:t>§ 39 b</w:t>
      </w:r>
      <w:r w:rsidR="005E0958" w:rsidRPr="00F61C06">
        <w:t>”</w:t>
      </w:r>
      <w:r w:rsidR="00076E7D" w:rsidRPr="00F61C06">
        <w:t>, hvor der skulle henvises til § 36 b</w:t>
      </w:r>
      <w:r w:rsidRPr="00F61C06">
        <w:t xml:space="preserve">, der omhandler </w:t>
      </w:r>
      <w:r w:rsidR="00E802DD" w:rsidRPr="00F61C06">
        <w:t>oplysningspligt for kontrolle</w:t>
      </w:r>
      <w:r w:rsidR="00995B6C" w:rsidRPr="00F61C06">
        <w:t>re</w:t>
      </w:r>
      <w:r w:rsidR="00E802DD" w:rsidRPr="00F61C06">
        <w:t xml:space="preserve">de transaktioner og </w:t>
      </w:r>
      <w:r w:rsidR="00076E7D" w:rsidRPr="00F61C06">
        <w:t>transfer pricing</w:t>
      </w:r>
      <w:r w:rsidR="00E802DD" w:rsidRPr="00F61C06">
        <w:t>-dokumentation</w:t>
      </w:r>
      <w:r w:rsidR="00076E7D" w:rsidRPr="00F61C06">
        <w:t>.</w:t>
      </w:r>
    </w:p>
    <w:p w14:paraId="037B8344" w14:textId="77777777" w:rsidR="00E802DD" w:rsidRPr="00F61C06" w:rsidRDefault="00E802DD" w:rsidP="0078129A">
      <w:pPr>
        <w:spacing w:line="288" w:lineRule="auto"/>
      </w:pPr>
    </w:p>
    <w:p w14:paraId="346779D5" w14:textId="3FBC161F" w:rsidR="00E802DD" w:rsidRPr="00F61C06" w:rsidRDefault="00076E7D" w:rsidP="0078129A">
      <w:pPr>
        <w:spacing w:line="288" w:lineRule="auto"/>
      </w:pPr>
      <w:r w:rsidRPr="00F61C06">
        <w:t xml:space="preserve">Ved samme lejlighed </w:t>
      </w:r>
      <w:r w:rsidR="00E802DD" w:rsidRPr="00F61C06">
        <w:t xml:space="preserve">foreslås </w:t>
      </w:r>
      <w:r w:rsidR="00995B6C" w:rsidRPr="00F61C06">
        <w:t>ordlyden</w:t>
      </w:r>
      <w:r w:rsidR="00E802DD" w:rsidRPr="00F61C06">
        <w:t xml:space="preserve"> </w:t>
      </w:r>
      <w:r w:rsidRPr="00F61C06">
        <w:t xml:space="preserve">af </w:t>
      </w:r>
      <w:r w:rsidR="00E802DD" w:rsidRPr="00F61C06">
        <w:t xml:space="preserve">bestemmelsens </w:t>
      </w:r>
      <w:r w:rsidRPr="00F61C06">
        <w:t xml:space="preserve">nr. </w:t>
      </w:r>
      <w:r w:rsidR="00E802DD" w:rsidRPr="00F61C06">
        <w:t xml:space="preserve">8 </w:t>
      </w:r>
      <w:r w:rsidRPr="00F61C06">
        <w:t>ændret.</w:t>
      </w:r>
      <w:r w:rsidR="00E802DD" w:rsidRPr="00F61C06">
        <w:t xml:space="preserve"> Det foreslås</w:t>
      </w:r>
      <w:r w:rsidR="00E611D6" w:rsidRPr="00F61C06">
        <w:t>,</w:t>
      </w:r>
      <w:r w:rsidR="00E802DD" w:rsidRPr="00F61C06">
        <w:t xml:space="preserve"> at henvisningen til</w:t>
      </w:r>
      <w:r w:rsidR="00F63440" w:rsidRPr="00F61C06">
        <w:t>,</w:t>
      </w:r>
      <w:r w:rsidR="00E802DD" w:rsidRPr="00F61C06">
        <w:t xml:space="preserve"> at der skal være tale om rettidig indgivelse ”efter anmodning fra skatteforvaltningen” </w:t>
      </w:r>
      <w:r w:rsidR="005E0958" w:rsidRPr="00F61C06">
        <w:t>fjernes</w:t>
      </w:r>
      <w:r w:rsidR="00E802DD" w:rsidRPr="00F61C06">
        <w:t>. Ændringen har til formål at fastslå</w:t>
      </w:r>
      <w:r w:rsidR="004C2B30" w:rsidRPr="00F61C06">
        <w:t>,</w:t>
      </w:r>
      <w:r w:rsidR="00E802DD" w:rsidRPr="00F61C06">
        <w:t xml:space="preserve"> at undladelse af rettidig indgivelse af den skriftlige dokumentation kan udløse sanktioner i form af bøder også i de tilfælde, hvor pligten til at indgive dokumentation</w:t>
      </w:r>
      <w:r w:rsidR="005E0958" w:rsidRPr="00F61C06">
        <w:t>en</w:t>
      </w:r>
      <w:r w:rsidR="00E802DD" w:rsidRPr="00F61C06">
        <w:t xml:space="preserve"> ikke udløses af en anmodning fra skatteforvaltningen.</w:t>
      </w:r>
      <w:r w:rsidR="005E0958" w:rsidRPr="00F61C06">
        <w:t xml:space="preserve"> Det vil sige</w:t>
      </w:r>
      <w:r w:rsidR="00995B6C" w:rsidRPr="00F61C06">
        <w:t>,</w:t>
      </w:r>
      <w:r w:rsidR="005E0958" w:rsidRPr="00F61C06">
        <w:t xml:space="preserve"> at bestemmelsen </w:t>
      </w:r>
      <w:r w:rsidR="00BD6F07" w:rsidRPr="00F61C06">
        <w:t xml:space="preserve">også </w:t>
      </w:r>
      <w:r w:rsidR="005E0958" w:rsidRPr="00F61C06">
        <w:t xml:space="preserve">omfatter de tilfælde, hvor </w:t>
      </w:r>
      <w:r w:rsidR="007C2036" w:rsidRPr="00F61C06">
        <w:t>der er pligt til</w:t>
      </w:r>
      <w:r w:rsidR="004C2B30" w:rsidRPr="00F61C06">
        <w:t xml:space="preserve"> at</w:t>
      </w:r>
      <w:r w:rsidR="007C2036" w:rsidRPr="00F61C06">
        <w:t xml:space="preserve"> </w:t>
      </w:r>
      <w:r w:rsidR="00E802DD" w:rsidRPr="00F61C06">
        <w:t xml:space="preserve">indgive </w:t>
      </w:r>
      <w:r w:rsidR="007C2036" w:rsidRPr="00F61C06">
        <w:t xml:space="preserve">den </w:t>
      </w:r>
      <w:r w:rsidR="00BD6F07" w:rsidRPr="00F61C06">
        <w:t>skriftlig</w:t>
      </w:r>
      <w:r w:rsidR="004C2B30" w:rsidRPr="00F61C06">
        <w:t>e</w:t>
      </w:r>
      <w:r w:rsidR="00BD6F07" w:rsidRPr="00F61C06">
        <w:t xml:space="preserve"> </w:t>
      </w:r>
      <w:r w:rsidR="005E0958" w:rsidRPr="00F61C06">
        <w:t xml:space="preserve">dokumentation </w:t>
      </w:r>
      <w:r w:rsidR="007C2036" w:rsidRPr="00F61C06">
        <w:t>uden anmodning</w:t>
      </w:r>
      <w:r w:rsidR="00E802DD" w:rsidRPr="00F61C06">
        <w:t>.</w:t>
      </w:r>
      <w:r w:rsidR="005E0958" w:rsidRPr="00F61C06">
        <w:t xml:space="preserve"> Der henvises til ændringerne til § 36 b, stk. 2.</w:t>
      </w:r>
    </w:p>
    <w:p w14:paraId="00B9A7B7" w14:textId="77777777" w:rsidR="005E0958" w:rsidRPr="00F61C06" w:rsidRDefault="005E0958" w:rsidP="0078129A">
      <w:pPr>
        <w:spacing w:line="288" w:lineRule="auto"/>
      </w:pPr>
    </w:p>
    <w:p w14:paraId="6D63C7F5" w14:textId="77777777" w:rsidR="00084A20" w:rsidRPr="00F61C06" w:rsidRDefault="00084A20" w:rsidP="0078129A">
      <w:pPr>
        <w:spacing w:line="288" w:lineRule="auto"/>
      </w:pPr>
    </w:p>
    <w:p w14:paraId="27FAEFDA" w14:textId="77777777" w:rsidR="00084A20" w:rsidRPr="00F61C06" w:rsidRDefault="00084A20" w:rsidP="0078129A">
      <w:pPr>
        <w:spacing w:line="288" w:lineRule="auto"/>
        <w:jc w:val="center"/>
        <w:rPr>
          <w:i/>
        </w:rPr>
      </w:pPr>
      <w:r w:rsidRPr="00F61C06">
        <w:rPr>
          <w:i/>
        </w:rPr>
        <w:t>Til § 2</w:t>
      </w:r>
    </w:p>
    <w:p w14:paraId="60D04826" w14:textId="77777777" w:rsidR="005E0958" w:rsidRPr="00F61C06" w:rsidRDefault="005E0958" w:rsidP="0078129A">
      <w:pPr>
        <w:spacing w:line="288" w:lineRule="auto"/>
        <w:jc w:val="center"/>
        <w:rPr>
          <w:i/>
        </w:rPr>
      </w:pPr>
    </w:p>
    <w:p w14:paraId="316CBE5C" w14:textId="77777777" w:rsidR="005E0958" w:rsidRPr="00F61C06" w:rsidRDefault="005E0958" w:rsidP="0078129A">
      <w:pPr>
        <w:spacing w:line="288" w:lineRule="auto"/>
      </w:pPr>
      <w:r w:rsidRPr="00F61C06">
        <w:t>Til stk. 1</w:t>
      </w:r>
    </w:p>
    <w:p w14:paraId="33CFA01F" w14:textId="2DA97995" w:rsidR="005E0958" w:rsidRPr="00F61C06" w:rsidRDefault="005E0958" w:rsidP="0078129A">
      <w:pPr>
        <w:spacing w:line="288" w:lineRule="auto"/>
      </w:pPr>
      <w:r w:rsidRPr="00F61C06">
        <w:t>Det foreslås</w:t>
      </w:r>
      <w:r w:rsidR="004C2B30" w:rsidRPr="00F61C06">
        <w:t>,</w:t>
      </w:r>
      <w:r w:rsidRPr="00F61C06">
        <w:t xml:space="preserve"> at loven træder i kraft d</w:t>
      </w:r>
      <w:r w:rsidR="004C2B30" w:rsidRPr="00F61C06">
        <w:t>en</w:t>
      </w:r>
      <w:r w:rsidRPr="00F61C06">
        <w:t xml:space="preserve"> 1. januar 2023 og har virkning fra og med indkomståret 2023.</w:t>
      </w:r>
    </w:p>
    <w:p w14:paraId="3F3E90CA" w14:textId="6ABC876D" w:rsidR="0018580E" w:rsidRPr="00F61C06" w:rsidRDefault="0018580E" w:rsidP="0078129A">
      <w:pPr>
        <w:spacing w:line="288" w:lineRule="auto"/>
      </w:pPr>
    </w:p>
    <w:p w14:paraId="6330D061" w14:textId="77777777" w:rsidR="00BD6F07" w:rsidRPr="00F61C06" w:rsidRDefault="00BD6F07" w:rsidP="0078129A">
      <w:pPr>
        <w:spacing w:line="288" w:lineRule="auto"/>
      </w:pPr>
    </w:p>
    <w:p w14:paraId="62B6F972" w14:textId="77777777" w:rsidR="005E0958" w:rsidRPr="00F61C06" w:rsidRDefault="005E0958" w:rsidP="0078129A">
      <w:pPr>
        <w:spacing w:line="288" w:lineRule="auto"/>
      </w:pPr>
    </w:p>
    <w:p w14:paraId="208C6CF2" w14:textId="77777777" w:rsidR="00D463DF" w:rsidRPr="00F61C06" w:rsidRDefault="00D463DF" w:rsidP="0078129A">
      <w:pPr>
        <w:spacing w:line="288" w:lineRule="auto"/>
      </w:pPr>
      <w:r w:rsidRPr="00F61C06">
        <w:br w:type="page"/>
      </w:r>
    </w:p>
    <w:p w14:paraId="463C5449" w14:textId="77777777" w:rsidR="00D463DF" w:rsidRPr="00F61C06" w:rsidRDefault="00D463DF" w:rsidP="0078129A">
      <w:pPr>
        <w:spacing w:line="288" w:lineRule="auto"/>
        <w:jc w:val="right"/>
        <w:rPr>
          <w:b/>
        </w:rPr>
      </w:pPr>
      <w:r w:rsidRPr="00F61C06">
        <w:rPr>
          <w:b/>
        </w:rPr>
        <w:lastRenderedPageBreak/>
        <w:t>Bilag 1</w:t>
      </w:r>
    </w:p>
    <w:p w14:paraId="137A3C3B" w14:textId="77777777" w:rsidR="00D463DF" w:rsidRPr="00F61C06" w:rsidRDefault="00D463DF" w:rsidP="0078129A">
      <w:pPr>
        <w:spacing w:line="288" w:lineRule="auto"/>
      </w:pPr>
    </w:p>
    <w:tbl>
      <w:tblPr>
        <w:tblStyle w:val="Tabel-Gitter"/>
        <w:tblW w:w="0" w:type="auto"/>
        <w:tblLook w:val="04A0" w:firstRow="1" w:lastRow="0" w:firstColumn="1" w:lastColumn="0" w:noHBand="0" w:noVBand="1"/>
      </w:tblPr>
      <w:tblGrid>
        <w:gridCol w:w="4814"/>
        <w:gridCol w:w="4814"/>
      </w:tblGrid>
      <w:tr w:rsidR="00D463DF" w:rsidRPr="00F61C06" w14:paraId="70C9E591" w14:textId="77777777" w:rsidTr="006D2A42">
        <w:tc>
          <w:tcPr>
            <w:tcW w:w="9778" w:type="dxa"/>
            <w:gridSpan w:val="2"/>
          </w:tcPr>
          <w:p w14:paraId="53655064" w14:textId="77777777" w:rsidR="00D463DF" w:rsidRPr="00F61C06" w:rsidRDefault="00D463DF" w:rsidP="0078129A">
            <w:pPr>
              <w:pStyle w:val="Default"/>
              <w:spacing w:line="288" w:lineRule="auto"/>
              <w:jc w:val="center"/>
            </w:pPr>
            <w:r w:rsidRPr="0078129A">
              <w:rPr>
                <w:b/>
              </w:rPr>
              <w:t>Forslaget sammenholdt med gældende lov</w:t>
            </w:r>
          </w:p>
        </w:tc>
      </w:tr>
      <w:tr w:rsidR="00D463DF" w:rsidRPr="00F61C06" w14:paraId="6504908F" w14:textId="77777777" w:rsidTr="00D463DF">
        <w:tc>
          <w:tcPr>
            <w:tcW w:w="4889" w:type="dxa"/>
          </w:tcPr>
          <w:p w14:paraId="0C78D255" w14:textId="77777777" w:rsidR="00D463DF" w:rsidRPr="00F61C06" w:rsidRDefault="00D463DF" w:rsidP="0078129A">
            <w:pPr>
              <w:pStyle w:val="Default"/>
              <w:spacing w:line="288" w:lineRule="auto"/>
            </w:pPr>
            <w:r w:rsidRPr="0078129A">
              <w:rPr>
                <w:i/>
              </w:rPr>
              <w:t xml:space="preserve">Gældende formulering </w:t>
            </w:r>
          </w:p>
        </w:tc>
        <w:tc>
          <w:tcPr>
            <w:tcW w:w="4889" w:type="dxa"/>
          </w:tcPr>
          <w:p w14:paraId="1229B4AA" w14:textId="77777777" w:rsidR="00D463DF" w:rsidRPr="00F61C06" w:rsidRDefault="00D463DF" w:rsidP="0078129A">
            <w:pPr>
              <w:pStyle w:val="Default"/>
              <w:spacing w:line="288" w:lineRule="auto"/>
            </w:pPr>
            <w:r w:rsidRPr="0078129A">
              <w:rPr>
                <w:i/>
              </w:rPr>
              <w:t xml:space="preserve">Forslaget </w:t>
            </w:r>
          </w:p>
        </w:tc>
      </w:tr>
      <w:tr w:rsidR="00D463DF" w:rsidRPr="00F61C06" w14:paraId="246E1F65" w14:textId="77777777" w:rsidTr="00D463DF">
        <w:tc>
          <w:tcPr>
            <w:tcW w:w="4889" w:type="dxa"/>
          </w:tcPr>
          <w:p w14:paraId="7B2A9DA1" w14:textId="77777777" w:rsidR="00D463DF" w:rsidRPr="00F61C06" w:rsidRDefault="00D463DF" w:rsidP="0078129A">
            <w:pPr>
              <w:spacing w:line="288" w:lineRule="auto"/>
            </w:pPr>
          </w:p>
        </w:tc>
        <w:tc>
          <w:tcPr>
            <w:tcW w:w="4889" w:type="dxa"/>
          </w:tcPr>
          <w:p w14:paraId="2CEE27F8" w14:textId="77777777" w:rsidR="00D463DF" w:rsidRPr="00F61C06" w:rsidRDefault="00D463DF" w:rsidP="0078129A">
            <w:pPr>
              <w:spacing w:line="288" w:lineRule="auto"/>
              <w:jc w:val="center"/>
              <w:rPr>
                <w:b/>
              </w:rPr>
            </w:pPr>
            <w:r w:rsidRPr="00F61C06">
              <w:rPr>
                <w:b/>
              </w:rPr>
              <w:t>§ 1</w:t>
            </w:r>
          </w:p>
          <w:p w14:paraId="47801FF2" w14:textId="77777777" w:rsidR="00D463DF" w:rsidRPr="00F61C06" w:rsidRDefault="00D463DF" w:rsidP="0078129A">
            <w:pPr>
              <w:spacing w:line="288" w:lineRule="auto"/>
              <w:rPr>
                <w:b/>
              </w:rPr>
            </w:pPr>
          </w:p>
          <w:p w14:paraId="59F1314B" w14:textId="72099578" w:rsidR="005337FF" w:rsidRPr="00CE62AB" w:rsidRDefault="005337FF" w:rsidP="005337FF">
            <w:r w:rsidRPr="00CE62AB">
              <w:t xml:space="preserve">I landstingslov nr. 12 af 2. november 2006 om indkomstskat, som </w:t>
            </w:r>
            <w:r>
              <w:t xml:space="preserve">bl.a. </w:t>
            </w:r>
            <w:r w:rsidRPr="00CE62AB">
              <w:t xml:space="preserve">ændret ved landstingslov nr. 2 af 26. april 2007, </w:t>
            </w:r>
            <w:r>
              <w:t xml:space="preserve">landstingslov nr. 11 af 15. november 2007, landstingslov nr. 9 af 5. december 2008, </w:t>
            </w:r>
            <w:r w:rsidRPr="00CE62AB">
              <w:t>Inatsisartutlov nr. 3 af 30. november 2009,</w:t>
            </w:r>
            <w:r>
              <w:t xml:space="preserve"> Inatsisartutlov nr. 9 af 3. december 2012, </w:t>
            </w:r>
            <w:r w:rsidRPr="00CE62AB">
              <w:t>Inatsisartutlov nr. 10 af 29. november 2013, Inatsisartutlov nr. 7 af 6. juni 2016</w:t>
            </w:r>
            <w:r>
              <w:t>, Inatsisartutlov nr. 22 af 28. november 2018, Inatsisartutlov nr. 41 af 2. december 2019</w:t>
            </w:r>
            <w:r w:rsidRPr="00CE62AB">
              <w:t>, og senest</w:t>
            </w:r>
            <w:r>
              <w:t xml:space="preserve"> </w:t>
            </w:r>
            <w:r w:rsidRPr="00CE62AB">
              <w:t xml:space="preserve">Inatsisartutlov nr. </w:t>
            </w:r>
            <w:r>
              <w:t>11</w:t>
            </w:r>
            <w:r w:rsidRPr="00CE62AB">
              <w:t xml:space="preserve"> af </w:t>
            </w:r>
            <w:r>
              <w:t>1</w:t>
            </w:r>
            <w:r w:rsidRPr="00CE62AB">
              <w:t xml:space="preserve">. </w:t>
            </w:r>
            <w:r>
              <w:t xml:space="preserve">december  </w:t>
            </w:r>
            <w:r w:rsidRPr="00CE62AB">
              <w:t>20</w:t>
            </w:r>
            <w:r>
              <w:t>21</w:t>
            </w:r>
            <w:r w:rsidRPr="00CE62AB">
              <w:t>, foretages følgende ændringer:</w:t>
            </w:r>
          </w:p>
          <w:p w14:paraId="1956725D" w14:textId="395701EA" w:rsidR="00D463DF" w:rsidRPr="00F61C06" w:rsidRDefault="00D463DF" w:rsidP="0078129A">
            <w:pPr>
              <w:spacing w:line="288" w:lineRule="auto"/>
            </w:pPr>
          </w:p>
        </w:tc>
      </w:tr>
      <w:tr w:rsidR="00D463DF" w:rsidRPr="00F61C06" w14:paraId="6030AF64" w14:textId="77777777" w:rsidTr="00D463DF">
        <w:tc>
          <w:tcPr>
            <w:tcW w:w="4889" w:type="dxa"/>
          </w:tcPr>
          <w:p w14:paraId="2FB735B7" w14:textId="77777777" w:rsidR="00D463DF" w:rsidRPr="00F61C06" w:rsidRDefault="00D463DF" w:rsidP="0078129A">
            <w:pPr>
              <w:spacing w:line="288" w:lineRule="auto"/>
            </w:pPr>
          </w:p>
        </w:tc>
        <w:tc>
          <w:tcPr>
            <w:tcW w:w="4889" w:type="dxa"/>
          </w:tcPr>
          <w:p w14:paraId="22948706" w14:textId="77777777" w:rsidR="00D463DF" w:rsidRPr="00F61C06" w:rsidRDefault="00D463DF" w:rsidP="0078129A">
            <w:pPr>
              <w:spacing w:line="288" w:lineRule="auto"/>
              <w:rPr>
                <w:b/>
              </w:rPr>
            </w:pPr>
            <w:r w:rsidRPr="00F61C06">
              <w:rPr>
                <w:b/>
              </w:rPr>
              <w:t xml:space="preserve">1.  </w:t>
            </w:r>
            <w:r w:rsidRPr="00F61C06">
              <w:t>I § 15 indsættes som stk. 5:</w:t>
            </w:r>
          </w:p>
          <w:p w14:paraId="370CA6FB" w14:textId="41A903B5" w:rsidR="00D463DF" w:rsidRPr="00F61C06" w:rsidRDefault="00D463DF" w:rsidP="0078129A">
            <w:pPr>
              <w:spacing w:line="288" w:lineRule="auto"/>
            </w:pPr>
            <w:r w:rsidRPr="00F61C06">
              <w:t>”</w:t>
            </w:r>
            <w:r w:rsidR="0040394F" w:rsidRPr="00F61C06">
              <w:t xml:space="preserve">  </w:t>
            </w:r>
            <w:r w:rsidRPr="00F61C06">
              <w:rPr>
                <w:i/>
              </w:rPr>
              <w:t>Stk. 5.</w:t>
            </w:r>
            <w:r w:rsidRPr="00F61C06">
              <w:t xml:space="preserve">  Ved opgørelsen af den skattepligtige indkomst kan renteudgifter, jf. stk. 1-3, hvortil der ikke er ydet rentetilskud i medfør af Inatsisartutlov om rentetilskud, fradrages med 80 procent af det forfaldne beløb i 2024, 60 procent i 2025, 40 procent i 2026, 20 procent i 2027 og 0 procent fra og med 2028. Begrænsningerne i 1. punktum finder ikke anvendelse, såfremt udgiften er medgået til erhvervsmæssige formål.”</w:t>
            </w:r>
          </w:p>
          <w:p w14:paraId="7B6EAEB1" w14:textId="77777777" w:rsidR="00D463DF" w:rsidRPr="00F61C06" w:rsidRDefault="00D463DF" w:rsidP="0078129A">
            <w:pPr>
              <w:spacing w:line="288" w:lineRule="auto"/>
            </w:pPr>
          </w:p>
        </w:tc>
      </w:tr>
      <w:tr w:rsidR="00D463DF" w:rsidRPr="00F61C06" w14:paraId="7AD4AE02" w14:textId="77777777" w:rsidTr="00D463DF">
        <w:tc>
          <w:tcPr>
            <w:tcW w:w="4889" w:type="dxa"/>
          </w:tcPr>
          <w:p w14:paraId="46C5692B" w14:textId="77777777" w:rsidR="00D463DF" w:rsidRPr="00F61C06" w:rsidRDefault="00D463DF" w:rsidP="0078129A">
            <w:pPr>
              <w:spacing w:line="288" w:lineRule="auto"/>
              <w:rPr>
                <w:b/>
              </w:rPr>
            </w:pPr>
            <w:r w:rsidRPr="00F61C06">
              <w:rPr>
                <w:b/>
              </w:rPr>
              <w:t>§ 34.</w:t>
            </w:r>
          </w:p>
          <w:p w14:paraId="1E60684C" w14:textId="77777777" w:rsidR="00D463DF" w:rsidRPr="00F61C06" w:rsidRDefault="00D463DF" w:rsidP="0078129A">
            <w:pPr>
              <w:spacing w:line="288" w:lineRule="auto"/>
            </w:pPr>
            <w:r w:rsidRPr="00F61C06">
              <w:t>10) hjælp fra det offentlige, der bevilges:</w:t>
            </w:r>
          </w:p>
          <w:p w14:paraId="738DDEA2" w14:textId="77777777" w:rsidR="00D463DF" w:rsidRPr="00F61C06" w:rsidRDefault="00D463DF" w:rsidP="0078129A">
            <w:pPr>
              <w:spacing w:line="288" w:lineRule="auto"/>
            </w:pPr>
            <w:r w:rsidRPr="00F61C06">
              <w:t xml:space="preserve">    a) efter en individuel vurdering, som tillæg til sociale pensioner, herunder børnetillæg,</w:t>
            </w:r>
          </w:p>
          <w:p w14:paraId="24A2E171" w14:textId="77777777" w:rsidR="00D463DF" w:rsidRPr="00F61C06" w:rsidRDefault="00D463DF" w:rsidP="0078129A">
            <w:pPr>
              <w:spacing w:line="288" w:lineRule="auto"/>
            </w:pPr>
            <w:r w:rsidRPr="00F61C06">
              <w:t xml:space="preserve">    b) som engangshjælp, flyttehjælp, begravelseshjælp, hjemmehjælp og hjælp til hjemrejse,</w:t>
            </w:r>
          </w:p>
          <w:p w14:paraId="17AF77CE" w14:textId="77777777" w:rsidR="00D463DF" w:rsidRPr="00F61C06" w:rsidRDefault="00D463DF" w:rsidP="0078129A">
            <w:pPr>
              <w:spacing w:line="288" w:lineRule="auto"/>
            </w:pPr>
            <w:r w:rsidRPr="00F61C06">
              <w:t xml:space="preserve">    c) som boligsikring,</w:t>
            </w:r>
          </w:p>
          <w:p w14:paraId="4193E5D0" w14:textId="77777777" w:rsidR="00D463DF" w:rsidRPr="00F61C06" w:rsidRDefault="00D463DF" w:rsidP="0078129A">
            <w:pPr>
              <w:spacing w:line="288" w:lineRule="auto"/>
            </w:pPr>
            <w:r w:rsidRPr="00F61C06">
              <w:t xml:space="preserve">    d) som hjælp til børn og unge,</w:t>
            </w:r>
          </w:p>
          <w:p w14:paraId="61E43D71" w14:textId="77777777" w:rsidR="00D463DF" w:rsidRPr="00F61C06" w:rsidRDefault="00D463DF" w:rsidP="0078129A">
            <w:pPr>
              <w:spacing w:line="288" w:lineRule="auto"/>
            </w:pPr>
            <w:r w:rsidRPr="00F61C06">
              <w:lastRenderedPageBreak/>
              <w:t xml:space="preserve">    e) som hjælp til personer med vidtgående handicap,</w:t>
            </w:r>
          </w:p>
          <w:p w14:paraId="0C1612F0" w14:textId="77777777" w:rsidR="00D463DF" w:rsidRPr="00F61C06" w:rsidRDefault="00D463DF" w:rsidP="0078129A">
            <w:pPr>
              <w:spacing w:line="288" w:lineRule="auto"/>
            </w:pPr>
            <w:r w:rsidRPr="00F61C06">
              <w:t xml:space="preserve">    f) som særligt tilskud i form af </w:t>
            </w:r>
            <w:proofErr w:type="spellStart"/>
            <w:r w:rsidRPr="00F61C06">
              <w:t>eengangshjælp</w:t>
            </w:r>
            <w:proofErr w:type="spellEnd"/>
            <w:r w:rsidRPr="00F61C06">
              <w:t xml:space="preserve"> ved revalidering.</w:t>
            </w:r>
          </w:p>
        </w:tc>
        <w:tc>
          <w:tcPr>
            <w:tcW w:w="4889" w:type="dxa"/>
          </w:tcPr>
          <w:p w14:paraId="45E13078" w14:textId="77777777" w:rsidR="00D463DF" w:rsidRPr="00F61C06" w:rsidRDefault="00D463DF" w:rsidP="0078129A">
            <w:pPr>
              <w:spacing w:line="288" w:lineRule="auto"/>
            </w:pPr>
            <w:r w:rsidRPr="00F61C06">
              <w:rPr>
                <w:b/>
                <w:bCs/>
              </w:rPr>
              <w:lastRenderedPageBreak/>
              <w:t>2.</w:t>
            </w:r>
            <w:r w:rsidRPr="00F61C06">
              <w:t xml:space="preserve"> </w:t>
            </w:r>
            <w:r w:rsidRPr="0078129A">
              <w:t>§ 34, nr. 10</w:t>
            </w:r>
            <w:r w:rsidRPr="00F61C06">
              <w:t>, affattes</w:t>
            </w:r>
            <w:r w:rsidRPr="00F61C06">
              <w:rPr>
                <w:i/>
                <w:iCs/>
              </w:rPr>
              <w:t xml:space="preserve"> </w:t>
            </w:r>
            <w:r w:rsidRPr="00F61C06">
              <w:t>således:</w:t>
            </w:r>
          </w:p>
          <w:p w14:paraId="6B0D36AB" w14:textId="00EAB462" w:rsidR="00D463DF" w:rsidRPr="00F61C06" w:rsidRDefault="00D463DF" w:rsidP="0078129A">
            <w:pPr>
              <w:spacing w:line="288" w:lineRule="auto"/>
            </w:pPr>
            <w:r w:rsidRPr="00F61C06">
              <w:t xml:space="preserve">”10) </w:t>
            </w:r>
            <w:r w:rsidR="00816829" w:rsidRPr="00F61C06">
              <w:t xml:space="preserve"> </w:t>
            </w:r>
            <w:r w:rsidRPr="00F61C06">
              <w:t>hjælp fra det offentlige, der bevilges:</w:t>
            </w:r>
          </w:p>
          <w:p w14:paraId="74F73E78" w14:textId="74B81886" w:rsidR="00D463DF" w:rsidRPr="00F61C06" w:rsidRDefault="00D463DF" w:rsidP="0078129A">
            <w:pPr>
              <w:spacing w:line="288" w:lineRule="auto"/>
            </w:pPr>
            <w:r w:rsidRPr="00F61C06">
              <w:t xml:space="preserve">a)  som handicap- og helbredstillæg, økonomisk eller rådighedsbestemte tillæg efter </w:t>
            </w:r>
            <w:r w:rsidR="00F54345" w:rsidRPr="00F61C06">
              <w:t>I</w:t>
            </w:r>
            <w:r w:rsidRPr="00F61C06">
              <w:t>natsisartutlov om alderspension.</w:t>
            </w:r>
          </w:p>
          <w:p w14:paraId="4C2487A4" w14:textId="5591CE3B" w:rsidR="00D463DF" w:rsidRPr="00F61C06" w:rsidRDefault="00D463DF" w:rsidP="0078129A">
            <w:pPr>
              <w:spacing w:line="288" w:lineRule="auto"/>
            </w:pPr>
            <w:r w:rsidRPr="00F61C06">
              <w:t xml:space="preserve">b)  som tillæg til boligydelse, akut engangshjælp, hjælp til enkeltudgifter, flyttehjælp, hjælp til betaling af begravelsesudgifter, hjælp til betaling af </w:t>
            </w:r>
            <w:r w:rsidRPr="00F61C06">
              <w:lastRenderedPageBreak/>
              <w:t xml:space="preserve">rejseudgifter og hjælp til hjemrejse efter </w:t>
            </w:r>
            <w:r w:rsidR="00D95F17">
              <w:t>I</w:t>
            </w:r>
            <w:r w:rsidRPr="00F61C06">
              <w:t>natsisartutlov om offentlig hjælp,</w:t>
            </w:r>
          </w:p>
          <w:p w14:paraId="307476C5" w14:textId="55A18985" w:rsidR="00D463DF" w:rsidRPr="00F61C06" w:rsidRDefault="00D463DF" w:rsidP="0078129A">
            <w:pPr>
              <w:spacing w:line="288" w:lineRule="auto"/>
            </w:pPr>
            <w:r w:rsidRPr="00F61C06">
              <w:t xml:space="preserve">c)  som boligsikring efter </w:t>
            </w:r>
            <w:r w:rsidR="00D95F17">
              <w:t>I</w:t>
            </w:r>
            <w:r w:rsidRPr="00F61C06">
              <w:t xml:space="preserve">natsisartutlov om boligsikring i lejeboliger, </w:t>
            </w:r>
          </w:p>
          <w:p w14:paraId="7EFD3562" w14:textId="0A00D98F" w:rsidR="00D463DF" w:rsidRPr="00F61C06" w:rsidRDefault="00D463DF" w:rsidP="0078129A">
            <w:pPr>
              <w:spacing w:line="288" w:lineRule="auto"/>
            </w:pPr>
            <w:r w:rsidRPr="00F61C06">
              <w:t xml:space="preserve">d)  som hjælp til børn og unge efter </w:t>
            </w:r>
            <w:r w:rsidR="00D95F17">
              <w:t>I</w:t>
            </w:r>
            <w:r w:rsidRPr="00F61C06">
              <w:t xml:space="preserve">natsisartutlov om støtte til børn, </w:t>
            </w:r>
          </w:p>
          <w:p w14:paraId="52F5FE4A" w14:textId="5DA6F60D" w:rsidR="00D463DF" w:rsidRPr="00F61C06" w:rsidRDefault="00D463DF" w:rsidP="0078129A">
            <w:pPr>
              <w:spacing w:line="288" w:lineRule="auto"/>
            </w:pPr>
            <w:r w:rsidRPr="00F61C06">
              <w:t xml:space="preserve">e)  som hjælp til personer med handicap efter </w:t>
            </w:r>
            <w:r w:rsidR="00D95F17">
              <w:t>I</w:t>
            </w:r>
            <w:r w:rsidRPr="00F61C06">
              <w:t>natsisartutlov om støtte til personer med handicap,</w:t>
            </w:r>
          </w:p>
          <w:p w14:paraId="4229494E" w14:textId="693A25EA" w:rsidR="00D463DF" w:rsidRPr="00F61C06" w:rsidRDefault="00D463DF" w:rsidP="0078129A">
            <w:pPr>
              <w:spacing w:line="288" w:lineRule="auto"/>
            </w:pPr>
            <w:r w:rsidRPr="00F61C06">
              <w:t xml:space="preserve">f)  som engangshjælp til dækning af særlige behov efter </w:t>
            </w:r>
            <w:r w:rsidR="00D95F17">
              <w:t>I</w:t>
            </w:r>
            <w:r w:rsidRPr="00F61C06">
              <w:t>natsisartutlov om førtidspension.”</w:t>
            </w:r>
          </w:p>
          <w:p w14:paraId="44EE08CE" w14:textId="77777777" w:rsidR="00D463DF" w:rsidRPr="00F61C06" w:rsidRDefault="00D463DF" w:rsidP="0078129A">
            <w:pPr>
              <w:spacing w:line="288" w:lineRule="auto"/>
            </w:pPr>
          </w:p>
        </w:tc>
      </w:tr>
      <w:tr w:rsidR="00D463DF" w:rsidRPr="00F61C06" w14:paraId="33E44683" w14:textId="77777777" w:rsidTr="00D463DF">
        <w:tc>
          <w:tcPr>
            <w:tcW w:w="4889" w:type="dxa"/>
          </w:tcPr>
          <w:p w14:paraId="4C248780" w14:textId="77777777" w:rsidR="00D463DF" w:rsidRPr="00F61C06" w:rsidRDefault="00D463DF" w:rsidP="0078129A">
            <w:pPr>
              <w:spacing w:line="288" w:lineRule="auto"/>
            </w:pPr>
          </w:p>
        </w:tc>
        <w:tc>
          <w:tcPr>
            <w:tcW w:w="4889" w:type="dxa"/>
          </w:tcPr>
          <w:p w14:paraId="306F0E3F" w14:textId="76CD7000" w:rsidR="00D463DF" w:rsidRPr="00F61C06" w:rsidRDefault="00D463DF" w:rsidP="0078129A">
            <w:pPr>
              <w:spacing w:line="288" w:lineRule="auto"/>
            </w:pPr>
            <w:r w:rsidRPr="00F61C06">
              <w:rPr>
                <w:b/>
              </w:rPr>
              <w:t>3.</w:t>
            </w:r>
            <w:r w:rsidRPr="00F61C06">
              <w:t xml:space="preserve">  I § 34, stk. 1, indsættes som nr. 23:</w:t>
            </w:r>
          </w:p>
          <w:p w14:paraId="2F824B13" w14:textId="77777777" w:rsidR="00D463DF" w:rsidRPr="00F61C06" w:rsidRDefault="00D463DF" w:rsidP="0078129A">
            <w:pPr>
              <w:spacing w:line="288" w:lineRule="auto"/>
            </w:pPr>
            <w:r w:rsidRPr="00F61C06">
              <w:t>”23)  udbetaling af rentetilskud i henhold til Inatsisartutlov om rentetilskud.”</w:t>
            </w:r>
          </w:p>
          <w:p w14:paraId="3486D69E" w14:textId="77777777" w:rsidR="00D463DF" w:rsidRPr="00F61C06" w:rsidRDefault="00D463DF" w:rsidP="0078129A">
            <w:pPr>
              <w:spacing w:line="288" w:lineRule="auto"/>
            </w:pPr>
          </w:p>
        </w:tc>
      </w:tr>
      <w:tr w:rsidR="00D463DF" w:rsidRPr="00F61C06" w14:paraId="65C94BE3" w14:textId="77777777" w:rsidTr="00D463DF">
        <w:tc>
          <w:tcPr>
            <w:tcW w:w="4889" w:type="dxa"/>
          </w:tcPr>
          <w:p w14:paraId="5771E4A2" w14:textId="77777777" w:rsidR="00D463DF" w:rsidRPr="00F61C06" w:rsidRDefault="00D463DF" w:rsidP="0078129A">
            <w:pPr>
              <w:spacing w:line="288" w:lineRule="auto"/>
            </w:pPr>
            <w:r w:rsidRPr="00F61C06">
              <w:rPr>
                <w:b/>
              </w:rPr>
              <w:t>§ 36 b.</w:t>
            </w:r>
            <w:r w:rsidRPr="00F61C06">
              <w:t xml:space="preserve"> Skattepligtige omfattet af § 36 a skal i selvangivelsen afgive oplysninger om art og omfang af handelsmæssige eller økonomiske transaktioner med de i § 36 a nævnte fysiske og juridiske personer og faste driftssteder (kontrollerede transaktioner).</w:t>
            </w:r>
          </w:p>
        </w:tc>
        <w:tc>
          <w:tcPr>
            <w:tcW w:w="4889" w:type="dxa"/>
          </w:tcPr>
          <w:p w14:paraId="475CFAE9" w14:textId="424EA2B7" w:rsidR="00D463DF" w:rsidRPr="00F61C06" w:rsidRDefault="00D463DF" w:rsidP="0078129A">
            <w:pPr>
              <w:spacing w:line="288" w:lineRule="auto"/>
              <w:rPr>
                <w:b/>
              </w:rPr>
            </w:pPr>
            <w:r w:rsidRPr="00F61C06">
              <w:rPr>
                <w:b/>
              </w:rPr>
              <w:t xml:space="preserve">4. </w:t>
            </w:r>
            <w:r w:rsidRPr="00F61C06">
              <w:t>I § 36 b, stk. 1, indsættes som</w:t>
            </w:r>
            <w:r w:rsidR="00F54345" w:rsidRPr="00F61C06">
              <w:t xml:space="preserve"> </w:t>
            </w:r>
            <w:r w:rsidRPr="00F61C06">
              <w:t>pkt. 2:</w:t>
            </w:r>
          </w:p>
          <w:p w14:paraId="5512913D" w14:textId="5D595D2A" w:rsidR="00D463DF" w:rsidRPr="00F61C06" w:rsidRDefault="00D463DF" w:rsidP="0078129A">
            <w:pPr>
              <w:spacing w:line="288" w:lineRule="auto"/>
            </w:pPr>
            <w:r w:rsidRPr="00F61C06">
              <w:t>”Oplysninger herom skal indgives elektronisk senest d. 15. juni på den af skatteforvaltningen anviste måde, jf. dog § 16, stk. 5 i landstingslov om forvaltning af skat</w:t>
            </w:r>
            <w:r w:rsidR="004D2E36" w:rsidRPr="00F61C06">
              <w:t>ter</w:t>
            </w:r>
            <w:r w:rsidRPr="00F61C06">
              <w:t>.”</w:t>
            </w:r>
          </w:p>
          <w:p w14:paraId="445AADC6" w14:textId="77777777" w:rsidR="00D463DF" w:rsidRPr="00F61C06" w:rsidRDefault="00D463DF" w:rsidP="0078129A">
            <w:pPr>
              <w:spacing w:line="288" w:lineRule="auto"/>
            </w:pPr>
          </w:p>
        </w:tc>
      </w:tr>
      <w:tr w:rsidR="00D463DF" w:rsidRPr="00F61C06" w14:paraId="3AFBECA8" w14:textId="77777777" w:rsidTr="00D463DF">
        <w:tc>
          <w:tcPr>
            <w:tcW w:w="4889" w:type="dxa"/>
          </w:tcPr>
          <w:p w14:paraId="76711DD3" w14:textId="77777777" w:rsidR="00D463DF" w:rsidRPr="00F61C06" w:rsidRDefault="00D463DF" w:rsidP="0078129A">
            <w:pPr>
              <w:spacing w:line="288" w:lineRule="auto"/>
              <w:rPr>
                <w:b/>
              </w:rPr>
            </w:pPr>
            <w:r w:rsidRPr="00F61C06">
              <w:rPr>
                <w:b/>
              </w:rPr>
              <w:t xml:space="preserve">§ 36 b. </w:t>
            </w:r>
          </w:p>
          <w:p w14:paraId="6C922A1A" w14:textId="77777777" w:rsidR="00D463DF" w:rsidRPr="00F61C06" w:rsidRDefault="00D463DF" w:rsidP="0078129A">
            <w:pPr>
              <w:spacing w:line="288" w:lineRule="auto"/>
            </w:pPr>
            <w:r w:rsidRPr="00F61C06">
              <w:t xml:space="preserve"> Stk. 2. Den skattepligtige skal udfærdige og opbevare skriftlige dokumenter for, hvorledes priser og vilkår er fastsat for de kontrollerede transaktioner, jf. dog stk. 4. Den skriftlige dokumentation skal opbevares på betryggende vis i 5 år fra udgangen af det regnskabsår, materialet vedrører. Den skriftlige dokumentation skal på skattemyndighedernes begæring forelægges denne og være af en sådan art, at den kan danne grundlag for en vurdering af, om priser og vilkår er fastsat i overensstemmelse med, hvad der kunne være opnået, hvis transaktionerne var afsluttet mellem uafhængige parter. Den skattepligtige skal på skatteforvaltningens anmodning indsende dokumentationen inden for en frist, som fastsættes af skatteforvaltningen, men som </w:t>
            </w:r>
            <w:r w:rsidRPr="00F61C06">
              <w:lastRenderedPageBreak/>
              <w:t>ikke kan være på mindre end 60 dage. Skriftlig dokumentation i form af databaseundersøgelser skal alene udarbejdes, såfremt skatteforvaltningen anmoder herom, og med en frist på minimum 60 dage. Der skal ikke udarbejdes skriftlig dokumentation for kontrollerede transaktioner, der i omfang og hyppighed er uvæsentlige. Naalakkersuisut kan fastsætte regler for indholdet af den skriftlige dokumentation.</w:t>
            </w:r>
          </w:p>
        </w:tc>
        <w:tc>
          <w:tcPr>
            <w:tcW w:w="4889" w:type="dxa"/>
          </w:tcPr>
          <w:p w14:paraId="357BEFE0" w14:textId="77777777" w:rsidR="004D2E36" w:rsidRPr="00F61C06" w:rsidRDefault="004D2E36" w:rsidP="0078129A">
            <w:pPr>
              <w:spacing w:line="288" w:lineRule="auto"/>
            </w:pPr>
            <w:r w:rsidRPr="00F61C06">
              <w:rPr>
                <w:b/>
              </w:rPr>
              <w:lastRenderedPageBreak/>
              <w:t>5.</w:t>
            </w:r>
            <w:r w:rsidRPr="00F61C06">
              <w:t xml:space="preserve"> § 36 b, stk. 2, affattes således: </w:t>
            </w:r>
          </w:p>
          <w:p w14:paraId="6EAE3751" w14:textId="6EFFB540" w:rsidR="004D2E36" w:rsidRPr="00F61C06" w:rsidRDefault="004D2E36" w:rsidP="0078129A">
            <w:pPr>
              <w:spacing w:line="288" w:lineRule="auto"/>
            </w:pPr>
            <w:r w:rsidRPr="00F61C06">
              <w:t>”</w:t>
            </w:r>
            <w:r w:rsidR="00816829" w:rsidRPr="00F61C06">
              <w:t xml:space="preserve">  </w:t>
            </w:r>
            <w:r w:rsidRPr="00F61C06">
              <w:rPr>
                <w:i/>
              </w:rPr>
              <w:t>Stk. 2.</w:t>
            </w:r>
            <w:r w:rsidRPr="00F61C06">
              <w:t xml:space="preserve">  Den skattepligtige skal udfærdige og opbevare skriftlige dokumenter for, hvorledes priser og vilkår er fastsat for de kontrollerede transaktioner, jf. dog stk. 4. Den skriftlige dokumentation skal opbevares på betryggende vis i 5 år fra udgangen af det regnskabsår, materialet vedrører. Den skriftlige dokumentation skal være af en sådan art, at den kan danne grundlag for en vurdering af, om priser og vilkår er fastsat i overensstemmelse med, hvad der kunne være opnået, hvis transaktionerne var afsluttet mellem uafhængige parter. Der skal ikke udarbejdes skriftlig dokumentation for kontrollerede transaktioner, der i omfang og hyppighed er uvæsentlige. Den skattepligtige skal på skatteforvaltningens anmodning indsende </w:t>
            </w:r>
            <w:r w:rsidRPr="00F61C06">
              <w:lastRenderedPageBreak/>
              <w:t>dokumentationen inden for en frist, som fastsættes af skatteforvaltningen, men som ikke kan være på mindre end 60 dage. Skriftlig dokumentation i form af databaseundersøgelser skal alene udarbejdes, såfremt skatteforvaltningen anmoder herom, og med en frist på minimum 60 dage. Naalakkersuisut kan fastsætte regler, hvorefter skattepligtige, der alene eller sammen med koncernforbundne virksomheder overstiger de af Naalakkersuisut fastsatte grænseværdier, er forpligtet til løbende at indgive den skriftlige dokumentation senest 60 dage efter fristen for indgivelsen af selvangivelsen efter § 16, stk. 3, i landstingslov om forvaltning af skatter. Naalakkersuisut kan fastsætte regler for indholdet af den skriftlige dokumentation, samt om at nogle skattepligtige kun skal udarbejde den skriftlige dokumentation for nærmere angivne transaktioner.”</w:t>
            </w:r>
          </w:p>
          <w:p w14:paraId="12E6CABA" w14:textId="77777777" w:rsidR="00D463DF" w:rsidRPr="00F61C06" w:rsidRDefault="00D463DF" w:rsidP="0078129A">
            <w:pPr>
              <w:spacing w:line="288" w:lineRule="auto"/>
            </w:pPr>
          </w:p>
        </w:tc>
      </w:tr>
      <w:tr w:rsidR="00D463DF" w:rsidRPr="00F61C06" w14:paraId="5C46A56D" w14:textId="77777777" w:rsidTr="00D463DF">
        <w:tc>
          <w:tcPr>
            <w:tcW w:w="4889" w:type="dxa"/>
          </w:tcPr>
          <w:p w14:paraId="6DB2AD83" w14:textId="77777777" w:rsidR="00787BB0" w:rsidRPr="00F61C06" w:rsidRDefault="00787BB0" w:rsidP="0078129A">
            <w:pPr>
              <w:spacing w:line="288" w:lineRule="auto"/>
              <w:rPr>
                <w:b/>
              </w:rPr>
            </w:pPr>
            <w:r w:rsidRPr="00F61C06">
              <w:rPr>
                <w:b/>
              </w:rPr>
              <w:t xml:space="preserve">§ 36 b </w:t>
            </w:r>
          </w:p>
          <w:p w14:paraId="7AB77B8A" w14:textId="77777777" w:rsidR="00D463DF" w:rsidRPr="00F61C06" w:rsidRDefault="00787BB0" w:rsidP="0078129A">
            <w:pPr>
              <w:spacing w:line="288" w:lineRule="auto"/>
            </w:pPr>
            <w:r w:rsidRPr="00F61C06">
              <w:t xml:space="preserve"> Stk. 4. Skattepligtige, der alene eller sammen med koncernforbundne virksomheder, jf. § 36 a stk. 4, har under 250 beskæftigede og enten har en årlig samlet balance på under 125 mio. kr. eller en årlig omsætning på under 250 mio. kr., skal, idet stk. 2, 3-5 pkt. dog fortsat finder anvendelse, alene udfærdige og opbevare skriftlig dokumentation for, hvorledes priser og vilkår er fastsat for:</w:t>
            </w:r>
          </w:p>
        </w:tc>
        <w:tc>
          <w:tcPr>
            <w:tcW w:w="4889" w:type="dxa"/>
          </w:tcPr>
          <w:p w14:paraId="6C0B4E32" w14:textId="77777777" w:rsidR="00D463DF" w:rsidRPr="00F61C06" w:rsidRDefault="00D463DF" w:rsidP="0078129A">
            <w:pPr>
              <w:spacing w:line="288" w:lineRule="auto"/>
              <w:rPr>
                <w:b/>
              </w:rPr>
            </w:pPr>
            <w:r w:rsidRPr="00F61C06">
              <w:rPr>
                <w:b/>
              </w:rPr>
              <w:t xml:space="preserve">6. </w:t>
            </w:r>
            <w:r w:rsidRPr="00F61C06">
              <w:t>§ 36 b, stk. 4, affattes således:</w:t>
            </w:r>
          </w:p>
          <w:p w14:paraId="08C3D81E" w14:textId="48580506" w:rsidR="00D463DF" w:rsidRPr="00F61C06" w:rsidRDefault="00D463DF" w:rsidP="0078129A">
            <w:pPr>
              <w:spacing w:line="288" w:lineRule="auto"/>
              <w:rPr>
                <w:b/>
              </w:rPr>
            </w:pPr>
            <w:r w:rsidRPr="00F61C06">
              <w:t>”</w:t>
            </w:r>
            <w:r w:rsidR="007A1E26">
              <w:t xml:space="preserve">  </w:t>
            </w:r>
            <w:r w:rsidR="007A1E26" w:rsidRPr="007A1E26">
              <w:rPr>
                <w:i/>
                <w:iCs/>
              </w:rPr>
              <w:t xml:space="preserve">Stk. 4. </w:t>
            </w:r>
            <w:r w:rsidR="007A1E26">
              <w:t xml:space="preserve"> </w:t>
            </w:r>
            <w:r w:rsidRPr="00F61C06">
              <w:t>Skattepligtige, der alene eller sammen med koncernforbundne virksomheder, jf. § 36 a stk. 4, har under 250 beskæftigede og enten har en årlig samlet balance på under 125 mio. kr. eller en årlig omsætning på under 250 mio. kr., skal alene udfærdige og opbevare skriftlig dokumentation for, hvorledes priser og vilkår er fastsat for:”</w:t>
            </w:r>
          </w:p>
        </w:tc>
      </w:tr>
      <w:tr w:rsidR="00D463DF" w:rsidRPr="00F61C06" w14:paraId="73DEA58A" w14:textId="77777777" w:rsidTr="00D463DF">
        <w:tc>
          <w:tcPr>
            <w:tcW w:w="4889" w:type="dxa"/>
          </w:tcPr>
          <w:p w14:paraId="1D453F16" w14:textId="13926B4C" w:rsidR="00787BB0" w:rsidRPr="00F61C06" w:rsidRDefault="00787BB0" w:rsidP="0078129A">
            <w:pPr>
              <w:spacing w:line="288" w:lineRule="auto"/>
            </w:pPr>
            <w:r w:rsidRPr="00F61C06">
              <w:rPr>
                <w:b/>
              </w:rPr>
              <w:t>§ 3</w:t>
            </w:r>
            <w:r w:rsidR="00073762" w:rsidRPr="00F61C06">
              <w:rPr>
                <w:b/>
              </w:rPr>
              <w:t>8</w:t>
            </w:r>
            <w:r w:rsidRPr="00F61C06">
              <w:rPr>
                <w:b/>
              </w:rPr>
              <w:t xml:space="preserve"> b</w:t>
            </w:r>
            <w:r w:rsidRPr="00F61C06">
              <w:t>, stk. 1, nr. 1-2</w:t>
            </w:r>
          </w:p>
          <w:p w14:paraId="0491E578" w14:textId="77777777" w:rsidR="00787BB0" w:rsidRPr="00F61C06" w:rsidRDefault="00787BB0" w:rsidP="0078129A">
            <w:pPr>
              <w:spacing w:line="288" w:lineRule="auto"/>
            </w:pPr>
            <w:r w:rsidRPr="00F61C06">
              <w:t>1) Beskæftigelsesfradraget udgør 7,0 procent af det indkomstgrundlag, der overstiger personfradraget efter § 67 tillagt standardfradraget efter § 21, stk. 2. Beskæftigelsesfradraget kan dog ikke overstige 9.800 kr. pr. indkomstår.</w:t>
            </w:r>
          </w:p>
          <w:p w14:paraId="6C1CE217" w14:textId="592E2B77" w:rsidR="00787BB0" w:rsidRDefault="00787BB0" w:rsidP="0078129A">
            <w:pPr>
              <w:spacing w:line="288" w:lineRule="auto"/>
            </w:pPr>
            <w:r w:rsidRPr="00F61C06">
              <w:t xml:space="preserve">2) Beskæftigelsesfradraget aftrappes med 4,5 procent af det indkomstgrundlag, der overstiger </w:t>
            </w:r>
            <w:r w:rsidRPr="00F61C06">
              <w:lastRenderedPageBreak/>
              <w:t>386.000 kr. pr. år. Beskæftigelsesfradraget kan dog ikke være lavere end 0 kr. pr. indkomstår.</w:t>
            </w:r>
          </w:p>
          <w:p w14:paraId="4C83118C" w14:textId="77777777" w:rsidR="00DD61DA" w:rsidRPr="00DD61DA" w:rsidRDefault="00DD61DA" w:rsidP="00DD61DA">
            <w:r w:rsidRPr="00DD61DA">
              <w:t xml:space="preserve">  Stk. 2. Beløbene og indkomstgrundlagsgrænserne i stk. 1 gælder for indkomståret 2020. Beløbene og indkomstgrundlagsgrænserne reguleres årligt den 1. januar med satstilpasningsprocenten for det pågældende finansår, jf. Inatsisartutlov om en satsreguleringsprocent og aktuel indkomst.</w:t>
            </w:r>
          </w:p>
          <w:p w14:paraId="5B466200" w14:textId="77777777" w:rsidR="00DD61DA" w:rsidRPr="00F61C06" w:rsidRDefault="00DD61DA" w:rsidP="00D95F17">
            <w:pPr>
              <w:spacing w:line="288" w:lineRule="auto"/>
            </w:pPr>
          </w:p>
          <w:p w14:paraId="2B1A80B9" w14:textId="77777777" w:rsidR="00D463DF" w:rsidRPr="00F61C06" w:rsidRDefault="00D463DF" w:rsidP="0078129A">
            <w:pPr>
              <w:spacing w:line="288" w:lineRule="auto"/>
            </w:pPr>
          </w:p>
        </w:tc>
        <w:tc>
          <w:tcPr>
            <w:tcW w:w="4889" w:type="dxa"/>
          </w:tcPr>
          <w:p w14:paraId="61C35FB1" w14:textId="1FAFF13A" w:rsidR="004D3439" w:rsidRDefault="004D3439" w:rsidP="004D3439">
            <w:r>
              <w:rPr>
                <w:b/>
              </w:rPr>
              <w:lastRenderedPageBreak/>
              <w:t xml:space="preserve">7. </w:t>
            </w:r>
            <w:r w:rsidRPr="0063371C">
              <w:t>§ 38 b</w:t>
            </w:r>
            <w:r>
              <w:t xml:space="preserve">, affattes således: </w:t>
            </w:r>
          </w:p>
          <w:p w14:paraId="1F3AFE57" w14:textId="3BC60E52" w:rsidR="004D3439" w:rsidRDefault="004D3439" w:rsidP="004D3439">
            <w:r>
              <w:t>”</w:t>
            </w:r>
            <w:r w:rsidRPr="00671BF5">
              <w:t xml:space="preserve">  </w:t>
            </w:r>
            <w:r w:rsidRPr="00227DE7">
              <w:rPr>
                <w:b/>
                <w:bCs/>
              </w:rPr>
              <w:t>§ 38 b.</w:t>
            </w:r>
            <w:r w:rsidRPr="00671BF5">
              <w:t xml:space="preserve">  Beskæftigelsesfradraget udgør følgende pr. indkomstår:</w:t>
            </w:r>
          </w:p>
          <w:p w14:paraId="353C1ECE" w14:textId="03459A3C" w:rsidR="004D3439" w:rsidRDefault="004D3439" w:rsidP="004D3439">
            <w:r>
              <w:t xml:space="preserve">1)  Beskæftigelsesfradraget udgør i indkomstårene 2020 - 2022 </w:t>
            </w:r>
            <w:r w:rsidRPr="00A31CC7">
              <w:t>7,0</w:t>
            </w:r>
            <w:r>
              <w:t xml:space="preserve"> procent af det indkomstgrundlag, der overstiger personfradraget efter § 67 tillagt standardfradraget efter § 21, stk. 2. Fra og med indkomståret 2023 udgør procenten i 1. pkt. 14,3 procent. Beskæftigelsesfradraget i et indkomstår kan dog ikke overstige 9.800 kr. </w:t>
            </w:r>
            <w:r>
              <w:lastRenderedPageBreak/>
              <w:t xml:space="preserve">(2020 niveau). Fra og med indkomståret 2023 udgør satsen i 3. pkt. </w:t>
            </w:r>
            <w:r w:rsidRPr="00227DE7">
              <w:t xml:space="preserve">20.000 </w:t>
            </w:r>
            <w:r w:rsidRPr="00F00E39">
              <w:t>kr</w:t>
            </w:r>
            <w:r>
              <w:t>. (2023 niveau)</w:t>
            </w:r>
            <w:r w:rsidRPr="00F00E39">
              <w:t>.</w:t>
            </w:r>
            <w:r>
              <w:t xml:space="preserve">  </w:t>
            </w:r>
          </w:p>
          <w:p w14:paraId="5E769E73" w14:textId="339928FA" w:rsidR="004D3439" w:rsidRDefault="004D3439" w:rsidP="004D3439">
            <w:r>
              <w:t xml:space="preserve">2)  Beskæftigelsesfradraget aftrappes til 0 kr. med 4,5 procent af det indkomstgrundlag, der i et indkomstår overstiger 386.000 kr. (2020 niveau). Fra og med indkomståret 2023 udgør procenten i 1. pkt. </w:t>
            </w:r>
            <w:r w:rsidR="00FB6B4A">
              <w:t>9,0</w:t>
            </w:r>
            <w:r>
              <w:t xml:space="preserve"> procent. </w:t>
            </w:r>
          </w:p>
          <w:p w14:paraId="07A984E9" w14:textId="77777777" w:rsidR="004D3439" w:rsidRDefault="004D3439" w:rsidP="004D3439">
            <w:r w:rsidRPr="00FA1090">
              <w:t xml:space="preserve">  </w:t>
            </w:r>
            <w:r w:rsidRPr="00227DE7">
              <w:rPr>
                <w:i/>
                <w:iCs/>
              </w:rPr>
              <w:t>Stk. 2.</w:t>
            </w:r>
            <w:r>
              <w:rPr>
                <w:i/>
                <w:iCs/>
              </w:rPr>
              <w:t xml:space="preserve"> </w:t>
            </w:r>
            <w:r w:rsidRPr="00FA1090">
              <w:t xml:space="preserve"> Beløbene og indkomstgrundlagsgrænserne i stk. 1 reguleres årligt med satstilpasningsprocenten for det pågældende finansår, jf. Inatsisartutlov om en satsreguleringsprocent og aktuel indkomst.</w:t>
            </w:r>
            <w:r>
              <w:t xml:space="preserve"> </w:t>
            </w:r>
            <w:r w:rsidRPr="00762D9F">
              <w:t>Værdierne nedrundes til nærmeste hele kronebeløb.</w:t>
            </w:r>
            <w:r>
              <w:t xml:space="preserve"> Skatteforvaltningen meddeler årligt de for indkomståret gældende satser den 10. oktober i kalenderåret forud for det indkomstår, hvor satserne skal gælde.”</w:t>
            </w:r>
          </w:p>
          <w:p w14:paraId="2CF5FC59" w14:textId="6629843F" w:rsidR="00D463DF" w:rsidRPr="00F61C06" w:rsidRDefault="00D463DF" w:rsidP="0078129A">
            <w:pPr>
              <w:spacing w:line="288" w:lineRule="auto"/>
              <w:rPr>
                <w:b/>
              </w:rPr>
            </w:pPr>
          </w:p>
        </w:tc>
      </w:tr>
      <w:tr w:rsidR="00D463DF" w:rsidRPr="00F61C06" w14:paraId="40A3912F" w14:textId="77777777" w:rsidTr="00D463DF">
        <w:tc>
          <w:tcPr>
            <w:tcW w:w="4889" w:type="dxa"/>
          </w:tcPr>
          <w:p w14:paraId="3F819CB7" w14:textId="77777777" w:rsidR="00D463DF" w:rsidRPr="00F61C06" w:rsidRDefault="00787BB0" w:rsidP="0078129A">
            <w:pPr>
              <w:spacing w:line="288" w:lineRule="auto"/>
            </w:pPr>
            <w:r w:rsidRPr="00F61C06">
              <w:rPr>
                <w:b/>
              </w:rPr>
              <w:t>§ 72.</w:t>
            </w:r>
            <w:r w:rsidRPr="00F61C06">
              <w:t xml:space="preserve"> Har en person, der er skattepligtig efter § 1, modtaget beløb som trangsvurderet hjælp eller udvidet behovsvurderet hjælp, som ikke er fritaget for beskatning i medfør af § 34, nr. 10, nedsættes den samlede skat med det beløb, der forholdsmæssigt falder på denne indtægt.</w:t>
            </w:r>
          </w:p>
        </w:tc>
        <w:tc>
          <w:tcPr>
            <w:tcW w:w="4889" w:type="dxa"/>
          </w:tcPr>
          <w:p w14:paraId="6A65DC70" w14:textId="77777777" w:rsidR="00D463DF" w:rsidRPr="00F61C06" w:rsidRDefault="00D463DF" w:rsidP="0078129A">
            <w:pPr>
              <w:spacing w:line="288" w:lineRule="auto"/>
            </w:pPr>
            <w:r w:rsidRPr="00F61C06">
              <w:rPr>
                <w:b/>
                <w:bCs/>
              </w:rPr>
              <w:t>8.</w:t>
            </w:r>
            <w:r w:rsidRPr="00F61C06">
              <w:t xml:space="preserve"> </w:t>
            </w:r>
            <w:r w:rsidRPr="0078129A">
              <w:t>§ 72</w:t>
            </w:r>
            <w:r w:rsidRPr="00F61C06">
              <w:rPr>
                <w:i/>
                <w:iCs/>
              </w:rPr>
              <w:t xml:space="preserve"> </w:t>
            </w:r>
            <w:r w:rsidRPr="00F61C06">
              <w:t xml:space="preserve">ophæves. </w:t>
            </w:r>
          </w:p>
          <w:p w14:paraId="60C6AB39" w14:textId="77777777" w:rsidR="00D463DF" w:rsidRPr="00F61C06" w:rsidRDefault="00D463DF" w:rsidP="0078129A">
            <w:pPr>
              <w:spacing w:line="288" w:lineRule="auto"/>
              <w:rPr>
                <w:b/>
              </w:rPr>
            </w:pPr>
          </w:p>
        </w:tc>
      </w:tr>
      <w:tr w:rsidR="00D463DF" w:rsidRPr="00F61C06" w14:paraId="37331E96" w14:textId="77777777" w:rsidTr="00D463DF">
        <w:tc>
          <w:tcPr>
            <w:tcW w:w="4889" w:type="dxa"/>
          </w:tcPr>
          <w:p w14:paraId="5E058BFE" w14:textId="77777777" w:rsidR="00D463DF" w:rsidRPr="00F61C06" w:rsidRDefault="00D463DF" w:rsidP="0078129A">
            <w:pPr>
              <w:spacing w:line="288" w:lineRule="auto"/>
            </w:pPr>
          </w:p>
        </w:tc>
        <w:tc>
          <w:tcPr>
            <w:tcW w:w="4889" w:type="dxa"/>
          </w:tcPr>
          <w:p w14:paraId="15D879E6" w14:textId="06929762" w:rsidR="00D463DF" w:rsidRPr="00F61C06" w:rsidRDefault="00D463DF" w:rsidP="0078129A">
            <w:pPr>
              <w:spacing w:line="288" w:lineRule="auto"/>
            </w:pPr>
            <w:r w:rsidRPr="00F61C06">
              <w:rPr>
                <w:b/>
                <w:bCs/>
              </w:rPr>
              <w:t>9.</w:t>
            </w:r>
            <w:r w:rsidRPr="00F61C06">
              <w:t xml:space="preserve">  </w:t>
            </w:r>
            <w:r w:rsidR="008274F8" w:rsidRPr="00F61C06">
              <w:t>Efter § 86 indsættes:</w:t>
            </w:r>
          </w:p>
          <w:p w14:paraId="2CC9323D" w14:textId="119B87AE" w:rsidR="00D463DF" w:rsidRPr="00F61C06" w:rsidRDefault="00D463DF" w:rsidP="0078129A">
            <w:pPr>
              <w:spacing w:line="288" w:lineRule="auto"/>
            </w:pPr>
            <w:r w:rsidRPr="00F61C06">
              <w:t>”</w:t>
            </w:r>
            <w:r w:rsidR="00816829" w:rsidRPr="00F61C06">
              <w:t xml:space="preserve">  </w:t>
            </w:r>
            <w:r w:rsidRPr="00F61C06">
              <w:rPr>
                <w:b/>
              </w:rPr>
              <w:t xml:space="preserve">§ 86 a. </w:t>
            </w:r>
            <w:r w:rsidRPr="00F61C06">
              <w:t xml:space="preserve"> Uden for de tilfælde</w:t>
            </w:r>
            <w:r w:rsidR="008274F8" w:rsidRPr="00F61C06">
              <w:t>,</w:t>
            </w:r>
            <w:r w:rsidRPr="00F61C06">
              <w:t xml:space="preserve"> der </w:t>
            </w:r>
            <w:r w:rsidR="008274F8" w:rsidRPr="00F61C06">
              <w:t xml:space="preserve">er </w:t>
            </w:r>
            <w:r w:rsidRPr="00F61C06">
              <w:t>omfattet af § 86, stk. 2</w:t>
            </w:r>
            <w:r w:rsidR="00A46D4E">
              <w:t>,</w:t>
            </w:r>
            <w:r w:rsidRPr="00F61C06">
              <w:t xml:space="preserve"> og § 16, stk. 2, skal selskaber omfattet af § 1, der udlodder en likvidationsudlodning, indeholde en udbytteskat med en skattesats, der udgør forskellen mellem den samlede udskrivningsprocent, jf. §§ 61-63, i den kommune, selskabet er hjemmehørende i, og selskabsskattesatsen</w:t>
            </w:r>
            <w:r w:rsidR="008274F8" w:rsidRPr="00F61C06">
              <w:t>,</w:t>
            </w:r>
            <w:r w:rsidRPr="00F61C06">
              <w:t xml:space="preserve"> jf. § 60. Selskabet skal indbetale den indeholdte skat og give skatteforvaltningen meddelelse herom efter reglerne i § 88. Den skattepligtige kan ved ansøgning til skatteforvaltningen få refunderet den del af den indeholdte skat, der forholdsmæssigt kan henføres til den dokumenterede anskaffelsessum for kapitalandelene i selskabet.</w:t>
            </w:r>
          </w:p>
          <w:p w14:paraId="3D992527" w14:textId="6C207327" w:rsidR="00D463DF" w:rsidRPr="00F61C06" w:rsidRDefault="00AB4055" w:rsidP="0078129A">
            <w:pPr>
              <w:spacing w:line="288" w:lineRule="auto"/>
              <w:rPr>
                <w:b/>
              </w:rPr>
            </w:pPr>
            <w:r w:rsidRPr="00F61C06">
              <w:rPr>
                <w:i/>
              </w:rPr>
              <w:lastRenderedPageBreak/>
              <w:t>Stk. 2.</w:t>
            </w:r>
            <w:r w:rsidRPr="00F61C06">
              <w:t xml:space="preserve"> </w:t>
            </w:r>
            <w:r w:rsidR="008274F8" w:rsidRPr="00F61C06">
              <w:t xml:space="preserve"> </w:t>
            </w:r>
            <w:r w:rsidRPr="00F61C06">
              <w:t>Ved opgørelsen af den skattepligtige indkomst skal fuldt skattepligtige fysiske personer medregne likvidationsprovenu fra selskaber hjemmehørende i udlandet, herunder Danmark og Færøerne. Den skattepligtige indkomst opgøres som forskellen mellem likvidationsprovenuet og anskaffelsessummen for kapitalandelene i selskabet. Til den skattepligtige indkomst medregnes dog kun 65 pct. af gevinsten. Et tab kan ikke fradrages i den skattepligtige indkomst. Skatteforvaltningen kan efter § 69 tillade</w:t>
            </w:r>
            <w:r w:rsidR="00816829" w:rsidRPr="00F61C06">
              <w:t>,</w:t>
            </w:r>
            <w:r w:rsidRPr="00F61C06">
              <w:t xml:space="preserve"> at skat betalt til fremmed stat, Danmark eller Færøerne kan fradrages i skatten.”</w:t>
            </w:r>
          </w:p>
        </w:tc>
      </w:tr>
      <w:tr w:rsidR="00D463DF" w:rsidRPr="00F61C06" w14:paraId="1706829D" w14:textId="77777777" w:rsidTr="00D463DF">
        <w:tc>
          <w:tcPr>
            <w:tcW w:w="4889" w:type="dxa"/>
          </w:tcPr>
          <w:p w14:paraId="3F293D07" w14:textId="77777777" w:rsidR="00787BB0" w:rsidRPr="00F61C06" w:rsidRDefault="00787BB0" w:rsidP="0078129A">
            <w:pPr>
              <w:spacing w:line="288" w:lineRule="auto"/>
              <w:rPr>
                <w:b/>
              </w:rPr>
            </w:pPr>
            <w:r w:rsidRPr="00F61C06">
              <w:rPr>
                <w:b/>
              </w:rPr>
              <w:t>§ 105</w:t>
            </w:r>
            <w:r w:rsidRPr="00F61C06">
              <w:t>, stk. 1, nr. 7-8</w:t>
            </w:r>
          </w:p>
          <w:p w14:paraId="2C171BE6" w14:textId="77777777" w:rsidR="00787BB0" w:rsidRPr="00F61C06" w:rsidRDefault="00787BB0" w:rsidP="0078129A">
            <w:pPr>
              <w:spacing w:line="288" w:lineRule="auto"/>
            </w:pPr>
            <w:r w:rsidRPr="00F61C06">
              <w:t>7) afgiver urigtige eller vildledende oplysninger om opfyldelse af betingelserne for begrænset dokumentationspligt vedrørende kontrollerede transaktioner, jf. 39 b, stk. 4, eller</w:t>
            </w:r>
          </w:p>
          <w:p w14:paraId="0D95FEAE" w14:textId="77777777" w:rsidR="00D463DF" w:rsidRPr="00F61C06" w:rsidRDefault="00787BB0" w:rsidP="0078129A">
            <w:pPr>
              <w:spacing w:line="288" w:lineRule="auto"/>
            </w:pPr>
            <w:r w:rsidRPr="00F61C06">
              <w:t>8) undlader efter anmodning fra skatteforvaltningen rettidigt at indsende den skriftlige dokumentation vedrørende kontrollerede transaktioner, som der er pligt til at udarbejde efter § 39 b, stk. 2, og land for land-rapport, jf. § 39 b, stk. 6-12.</w:t>
            </w:r>
          </w:p>
        </w:tc>
        <w:tc>
          <w:tcPr>
            <w:tcW w:w="4889" w:type="dxa"/>
          </w:tcPr>
          <w:p w14:paraId="4E580E8F" w14:textId="7FCA4E90" w:rsidR="00D463DF" w:rsidRPr="00F61C06" w:rsidRDefault="00D463DF" w:rsidP="0078129A">
            <w:pPr>
              <w:spacing w:line="288" w:lineRule="auto"/>
            </w:pPr>
            <w:r w:rsidRPr="00F61C06">
              <w:rPr>
                <w:b/>
              </w:rPr>
              <w:t xml:space="preserve">10. </w:t>
            </w:r>
            <w:r w:rsidRPr="00F61C06">
              <w:t>§ 105, stk. 1, nr. 7</w:t>
            </w:r>
            <w:r w:rsidR="00A46D4E">
              <w:t xml:space="preserve"> og </w:t>
            </w:r>
            <w:r w:rsidRPr="00F61C06">
              <w:t>8, affattes s</w:t>
            </w:r>
            <w:r w:rsidR="00816829" w:rsidRPr="00F61C06">
              <w:t>åledes</w:t>
            </w:r>
            <w:r w:rsidRPr="00F61C06">
              <w:t>:</w:t>
            </w:r>
          </w:p>
          <w:p w14:paraId="23336A61" w14:textId="6C2C6BE6" w:rsidR="00D463DF" w:rsidRPr="00F61C06" w:rsidRDefault="00D463DF" w:rsidP="0078129A">
            <w:pPr>
              <w:spacing w:line="288" w:lineRule="auto"/>
            </w:pPr>
            <w:r w:rsidRPr="00F61C06">
              <w:t xml:space="preserve">”7) </w:t>
            </w:r>
            <w:r w:rsidR="00816829" w:rsidRPr="00F61C06">
              <w:t xml:space="preserve"> </w:t>
            </w:r>
            <w:r w:rsidRPr="00F61C06">
              <w:t>afgiver urigtige eller vildledende oplysninger om opfyldelse af betingelserne for begrænset dokumentationspligt vedrørende kontrollerede transaktioner, jf. § 36 b, stk. 4, eller</w:t>
            </w:r>
          </w:p>
          <w:p w14:paraId="0684CA55" w14:textId="7F343988" w:rsidR="00D463DF" w:rsidRPr="00F61C06" w:rsidRDefault="00D463DF" w:rsidP="0078129A">
            <w:pPr>
              <w:spacing w:line="288" w:lineRule="auto"/>
            </w:pPr>
            <w:r w:rsidRPr="00F61C06">
              <w:t xml:space="preserve">8) </w:t>
            </w:r>
            <w:r w:rsidR="00816829" w:rsidRPr="00F61C06">
              <w:t xml:space="preserve"> </w:t>
            </w:r>
            <w:r w:rsidRPr="00F61C06">
              <w:t>undlader rettidigt at indgive den skriftlige dokumentation vedrørende kontrollerede transaktioner, som der er pligt til at udarbejde efter § 36 b, stk. 2, og land for land-rapport, jf. § 36 b, stk. 6-12.”</w:t>
            </w:r>
          </w:p>
          <w:p w14:paraId="2F52D01C" w14:textId="77777777" w:rsidR="00D463DF" w:rsidRPr="00F61C06" w:rsidRDefault="00D463DF" w:rsidP="0078129A">
            <w:pPr>
              <w:spacing w:line="288" w:lineRule="auto"/>
              <w:rPr>
                <w:b/>
              </w:rPr>
            </w:pPr>
          </w:p>
        </w:tc>
      </w:tr>
      <w:tr w:rsidR="00D463DF" w:rsidRPr="00F61C06" w14:paraId="6B9F9875" w14:textId="77777777" w:rsidTr="00D463DF">
        <w:tc>
          <w:tcPr>
            <w:tcW w:w="4889" w:type="dxa"/>
          </w:tcPr>
          <w:p w14:paraId="6FCD7C9A" w14:textId="77777777" w:rsidR="00D463DF" w:rsidRPr="00F61C06" w:rsidRDefault="00D463DF" w:rsidP="0078129A">
            <w:pPr>
              <w:spacing w:line="288" w:lineRule="auto"/>
            </w:pPr>
          </w:p>
        </w:tc>
        <w:tc>
          <w:tcPr>
            <w:tcW w:w="4889" w:type="dxa"/>
          </w:tcPr>
          <w:p w14:paraId="3932094C" w14:textId="77777777" w:rsidR="00D463DF" w:rsidRPr="00F61C06" w:rsidRDefault="00D463DF" w:rsidP="0078129A">
            <w:pPr>
              <w:spacing w:line="288" w:lineRule="auto"/>
              <w:jc w:val="center"/>
              <w:rPr>
                <w:b/>
              </w:rPr>
            </w:pPr>
            <w:r w:rsidRPr="00F61C06">
              <w:rPr>
                <w:b/>
              </w:rPr>
              <w:t>§ 2</w:t>
            </w:r>
          </w:p>
          <w:p w14:paraId="4F9B6B12" w14:textId="77777777" w:rsidR="00D463DF" w:rsidRPr="00F61C06" w:rsidRDefault="00D463DF" w:rsidP="0078129A">
            <w:pPr>
              <w:spacing w:line="288" w:lineRule="auto"/>
            </w:pPr>
          </w:p>
          <w:p w14:paraId="18676FCD" w14:textId="2ADE9B4C" w:rsidR="00D463DF" w:rsidRPr="00F61C06" w:rsidRDefault="00D463DF" w:rsidP="0078129A">
            <w:pPr>
              <w:spacing w:line="288" w:lineRule="auto"/>
            </w:pPr>
            <w:r w:rsidRPr="00F61C06">
              <w:t>Inatsisartutloven træder i kraft den 1. januar 202</w:t>
            </w:r>
            <w:r w:rsidR="00995944">
              <w:t>4.</w:t>
            </w:r>
            <w:r w:rsidR="00A46D4E">
              <w:t>.</w:t>
            </w:r>
          </w:p>
          <w:p w14:paraId="5338D247" w14:textId="257DA416" w:rsidR="00D463DF" w:rsidRPr="00F61C06" w:rsidRDefault="00D463DF" w:rsidP="00D95F17">
            <w:pPr>
              <w:spacing w:line="288" w:lineRule="auto"/>
            </w:pPr>
            <w:r w:rsidRPr="00F61C06">
              <w:t xml:space="preserve"> </w:t>
            </w:r>
          </w:p>
          <w:p w14:paraId="45E7E095" w14:textId="02A95554" w:rsidR="00D463DF" w:rsidRPr="00F61C06" w:rsidRDefault="00D463DF" w:rsidP="0078129A">
            <w:pPr>
              <w:spacing w:line="288" w:lineRule="auto"/>
              <w:rPr>
                <w:b/>
              </w:rPr>
            </w:pPr>
          </w:p>
        </w:tc>
      </w:tr>
    </w:tbl>
    <w:p w14:paraId="64A8A2A8" w14:textId="77777777" w:rsidR="00D463DF" w:rsidRPr="00F61C06" w:rsidRDefault="00D463DF" w:rsidP="0078129A">
      <w:pPr>
        <w:spacing w:line="288" w:lineRule="auto"/>
      </w:pPr>
    </w:p>
    <w:p w14:paraId="34750570" w14:textId="77777777" w:rsidR="00D463DF" w:rsidRPr="00F61C06" w:rsidRDefault="00D463DF" w:rsidP="0078129A">
      <w:pPr>
        <w:spacing w:line="288" w:lineRule="auto"/>
      </w:pPr>
    </w:p>
    <w:p w14:paraId="085E5D94" w14:textId="77777777" w:rsidR="00D463DF" w:rsidRPr="00F61C06" w:rsidRDefault="00D463DF" w:rsidP="0078129A">
      <w:pPr>
        <w:spacing w:line="288" w:lineRule="auto"/>
      </w:pPr>
    </w:p>
    <w:sectPr w:rsidR="00D463DF" w:rsidRPr="00F61C06" w:rsidSect="00726AA4">
      <w:foot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FAF7" w14:textId="77777777" w:rsidR="006E3E44" w:rsidRDefault="006E3E44" w:rsidP="00B3288C">
      <w:r>
        <w:separator/>
      </w:r>
    </w:p>
  </w:endnote>
  <w:endnote w:type="continuationSeparator" w:id="0">
    <w:p w14:paraId="444BFAFE" w14:textId="77777777" w:rsidR="006E3E44" w:rsidRDefault="006E3E44" w:rsidP="00B3288C">
      <w:r>
        <w:continuationSeparator/>
      </w:r>
    </w:p>
  </w:endnote>
  <w:endnote w:type="continuationNotice" w:id="1">
    <w:p w14:paraId="49EFA5E9" w14:textId="77777777" w:rsidR="006E3E44" w:rsidRDefault="006E3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E2A" w14:textId="65C9B162" w:rsidR="00FC4A29" w:rsidRDefault="00FC4A29">
    <w:pPr>
      <w:pStyle w:val="Sidefod"/>
    </w:pPr>
    <w:r>
      <w:tab/>
    </w:r>
    <w:r>
      <w:fldChar w:fldCharType="begin"/>
    </w:r>
    <w:r>
      <w:instrText>PAGE   \* MERGEFORMAT</w:instrText>
    </w:r>
    <w:r>
      <w:fldChar w:fldCharType="separate"/>
    </w:r>
    <w:r w:rsidR="00995944">
      <w:rPr>
        <w:noProof/>
      </w:rPr>
      <w:t>24</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868A" w14:textId="1C0EC4D2" w:rsidR="00FC4A29" w:rsidRDefault="00FC4A29" w:rsidP="00DD4AA0">
    <w:pPr>
      <w:pStyle w:val="Sidefod"/>
    </w:pPr>
    <w:r>
      <w:t>FM 2022/xx</w:t>
    </w:r>
    <w:r>
      <w:tab/>
    </w:r>
    <w:r>
      <w:fldChar w:fldCharType="begin"/>
    </w:r>
    <w:r>
      <w:instrText>PAGE   \* MERGEFORMAT</w:instrText>
    </w:r>
    <w:r>
      <w:fldChar w:fldCharType="separate"/>
    </w:r>
    <w:r w:rsidR="00995944">
      <w:rPr>
        <w:noProof/>
      </w:rPr>
      <w:t>1</w:t>
    </w:r>
    <w:r>
      <w:fldChar w:fldCharType="end"/>
    </w:r>
  </w:p>
  <w:p w14:paraId="292329D6" w14:textId="77777777" w:rsidR="00FC4A29" w:rsidRDefault="00FC4A29" w:rsidP="00DD4AA0">
    <w:pPr>
      <w:pStyle w:val="Sidefod"/>
    </w:pPr>
    <w:r>
      <w:t>AN sags.nr.: 2021-11320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6355" w14:textId="77777777" w:rsidR="006E3E44" w:rsidRDefault="006E3E44" w:rsidP="00B3288C">
      <w:r>
        <w:separator/>
      </w:r>
    </w:p>
  </w:footnote>
  <w:footnote w:type="continuationSeparator" w:id="0">
    <w:p w14:paraId="112F8485" w14:textId="77777777" w:rsidR="006E3E44" w:rsidRDefault="006E3E44" w:rsidP="00B3288C">
      <w:r>
        <w:continuationSeparator/>
      </w:r>
    </w:p>
  </w:footnote>
  <w:footnote w:type="continuationNotice" w:id="1">
    <w:p w14:paraId="5FEA392C" w14:textId="77777777" w:rsidR="006E3E44" w:rsidRDefault="006E3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192F" w14:textId="18F24B16" w:rsidR="00FC4A29" w:rsidRDefault="0078129A" w:rsidP="00DD4AA0">
    <w:pPr>
      <w:pStyle w:val="Sidehoved"/>
    </w:pPr>
    <w:r>
      <w:t>7</w:t>
    </w:r>
    <w:r w:rsidR="00D76636">
      <w:t xml:space="preserve">. </w:t>
    </w:r>
    <w:r>
      <w:t>juni</w:t>
    </w:r>
    <w:r w:rsidR="00D76636">
      <w:t xml:space="preserve"> </w:t>
    </w:r>
    <w:r w:rsidR="00FC4A29">
      <w:t>2022</w:t>
    </w:r>
    <w:r w:rsidR="00FC4A29">
      <w:tab/>
    </w:r>
    <w:r w:rsidR="00FC4A29">
      <w:tab/>
      <w:t>EM 2022/xx</w:t>
    </w:r>
  </w:p>
  <w:p w14:paraId="6645DB1E" w14:textId="77777777" w:rsidR="00FC4A29" w:rsidRDefault="00FC4A2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7A4"/>
    <w:multiLevelType w:val="hybridMultilevel"/>
    <w:tmpl w:val="DD8A7662"/>
    <w:lvl w:ilvl="0" w:tplc="2D404300">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D362DD"/>
    <w:multiLevelType w:val="hybridMultilevel"/>
    <w:tmpl w:val="19648106"/>
    <w:lvl w:ilvl="0" w:tplc="5FE4191E">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5D6245"/>
    <w:multiLevelType w:val="hybridMultilevel"/>
    <w:tmpl w:val="92040D20"/>
    <w:lvl w:ilvl="0" w:tplc="71DED694">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A8"/>
    <w:rsid w:val="000048F5"/>
    <w:rsid w:val="0000792D"/>
    <w:rsid w:val="000110A5"/>
    <w:rsid w:val="000166DA"/>
    <w:rsid w:val="0002038E"/>
    <w:rsid w:val="00020B5A"/>
    <w:rsid w:val="0002729D"/>
    <w:rsid w:val="00027BD0"/>
    <w:rsid w:val="000307E8"/>
    <w:rsid w:val="00030949"/>
    <w:rsid w:val="00031B20"/>
    <w:rsid w:val="000362C3"/>
    <w:rsid w:val="00042B3D"/>
    <w:rsid w:val="000508DE"/>
    <w:rsid w:val="00054733"/>
    <w:rsid w:val="00070557"/>
    <w:rsid w:val="00073762"/>
    <w:rsid w:val="00076E7D"/>
    <w:rsid w:val="00077823"/>
    <w:rsid w:val="00082D7A"/>
    <w:rsid w:val="00084920"/>
    <w:rsid w:val="00084A20"/>
    <w:rsid w:val="000A08A8"/>
    <w:rsid w:val="000A2D63"/>
    <w:rsid w:val="000C368C"/>
    <w:rsid w:val="000C650F"/>
    <w:rsid w:val="000D3C98"/>
    <w:rsid w:val="000E2159"/>
    <w:rsid w:val="000F0084"/>
    <w:rsid w:val="000F0AC7"/>
    <w:rsid w:val="000F147B"/>
    <w:rsid w:val="000F164C"/>
    <w:rsid w:val="000F2F02"/>
    <w:rsid w:val="000F5699"/>
    <w:rsid w:val="00100827"/>
    <w:rsid w:val="00101C1B"/>
    <w:rsid w:val="001207B4"/>
    <w:rsid w:val="00123BF1"/>
    <w:rsid w:val="0012686D"/>
    <w:rsid w:val="00126D92"/>
    <w:rsid w:val="00132029"/>
    <w:rsid w:val="00136D13"/>
    <w:rsid w:val="00140764"/>
    <w:rsid w:val="00141884"/>
    <w:rsid w:val="001515A4"/>
    <w:rsid w:val="00152E1E"/>
    <w:rsid w:val="001636BE"/>
    <w:rsid w:val="00164491"/>
    <w:rsid w:val="0016637E"/>
    <w:rsid w:val="00171B90"/>
    <w:rsid w:val="00172D26"/>
    <w:rsid w:val="00183EB8"/>
    <w:rsid w:val="0018580E"/>
    <w:rsid w:val="001979D4"/>
    <w:rsid w:val="001A5A89"/>
    <w:rsid w:val="001A5F15"/>
    <w:rsid w:val="001B206C"/>
    <w:rsid w:val="001B5026"/>
    <w:rsid w:val="001E1DDF"/>
    <w:rsid w:val="001E2BD2"/>
    <w:rsid w:val="001E2D44"/>
    <w:rsid w:val="001E3014"/>
    <w:rsid w:val="001E36EF"/>
    <w:rsid w:val="001E4159"/>
    <w:rsid w:val="001E7619"/>
    <w:rsid w:val="001E783A"/>
    <w:rsid w:val="001F3BA4"/>
    <w:rsid w:val="001F724F"/>
    <w:rsid w:val="00200CC0"/>
    <w:rsid w:val="00201E4F"/>
    <w:rsid w:val="002205C0"/>
    <w:rsid w:val="00226B8E"/>
    <w:rsid w:val="002336EB"/>
    <w:rsid w:val="002363AD"/>
    <w:rsid w:val="00244ED7"/>
    <w:rsid w:val="00245827"/>
    <w:rsid w:val="00260291"/>
    <w:rsid w:val="00262951"/>
    <w:rsid w:val="00262DAC"/>
    <w:rsid w:val="002725CA"/>
    <w:rsid w:val="00272973"/>
    <w:rsid w:val="002A022D"/>
    <w:rsid w:val="002A04CA"/>
    <w:rsid w:val="002A3162"/>
    <w:rsid w:val="002A533E"/>
    <w:rsid w:val="002B1BB4"/>
    <w:rsid w:val="002B245F"/>
    <w:rsid w:val="002B5A33"/>
    <w:rsid w:val="002C31C2"/>
    <w:rsid w:val="002C3772"/>
    <w:rsid w:val="002C4AC4"/>
    <w:rsid w:val="002C4BD0"/>
    <w:rsid w:val="002E5C07"/>
    <w:rsid w:val="002E7367"/>
    <w:rsid w:val="002F3402"/>
    <w:rsid w:val="002F4A85"/>
    <w:rsid w:val="003055F1"/>
    <w:rsid w:val="00314090"/>
    <w:rsid w:val="00322402"/>
    <w:rsid w:val="00323406"/>
    <w:rsid w:val="00323D76"/>
    <w:rsid w:val="0034365B"/>
    <w:rsid w:val="00345BAE"/>
    <w:rsid w:val="00361B1D"/>
    <w:rsid w:val="00363097"/>
    <w:rsid w:val="003747B8"/>
    <w:rsid w:val="0037654F"/>
    <w:rsid w:val="003813BB"/>
    <w:rsid w:val="003876B3"/>
    <w:rsid w:val="00392B2F"/>
    <w:rsid w:val="00393193"/>
    <w:rsid w:val="00395787"/>
    <w:rsid w:val="003B0994"/>
    <w:rsid w:val="003B2739"/>
    <w:rsid w:val="003D0E58"/>
    <w:rsid w:val="003D420F"/>
    <w:rsid w:val="003E1456"/>
    <w:rsid w:val="003E3916"/>
    <w:rsid w:val="003F0173"/>
    <w:rsid w:val="003F71F1"/>
    <w:rsid w:val="004009D3"/>
    <w:rsid w:val="0040295A"/>
    <w:rsid w:val="0040394F"/>
    <w:rsid w:val="0040560C"/>
    <w:rsid w:val="00406196"/>
    <w:rsid w:val="0041139E"/>
    <w:rsid w:val="00417B36"/>
    <w:rsid w:val="0042354B"/>
    <w:rsid w:val="0044063F"/>
    <w:rsid w:val="00446E6B"/>
    <w:rsid w:val="004472C6"/>
    <w:rsid w:val="00447E1E"/>
    <w:rsid w:val="004602C5"/>
    <w:rsid w:val="00474C21"/>
    <w:rsid w:val="00481692"/>
    <w:rsid w:val="004834D8"/>
    <w:rsid w:val="00485866"/>
    <w:rsid w:val="00492B93"/>
    <w:rsid w:val="004931D8"/>
    <w:rsid w:val="004A3585"/>
    <w:rsid w:val="004B0DAF"/>
    <w:rsid w:val="004B69E8"/>
    <w:rsid w:val="004C2B30"/>
    <w:rsid w:val="004C4E35"/>
    <w:rsid w:val="004C5A74"/>
    <w:rsid w:val="004D2AFD"/>
    <w:rsid w:val="004D2E36"/>
    <w:rsid w:val="004D3439"/>
    <w:rsid w:val="004E328E"/>
    <w:rsid w:val="0050334B"/>
    <w:rsid w:val="005125EA"/>
    <w:rsid w:val="00515A21"/>
    <w:rsid w:val="005160BA"/>
    <w:rsid w:val="005322E0"/>
    <w:rsid w:val="005337FF"/>
    <w:rsid w:val="00563916"/>
    <w:rsid w:val="00584512"/>
    <w:rsid w:val="00585720"/>
    <w:rsid w:val="00586BA2"/>
    <w:rsid w:val="00587A1E"/>
    <w:rsid w:val="005904CB"/>
    <w:rsid w:val="005915DC"/>
    <w:rsid w:val="005944D5"/>
    <w:rsid w:val="005A1206"/>
    <w:rsid w:val="005A54DF"/>
    <w:rsid w:val="005B0EAB"/>
    <w:rsid w:val="005B24D9"/>
    <w:rsid w:val="005B4038"/>
    <w:rsid w:val="005C2754"/>
    <w:rsid w:val="005C3A38"/>
    <w:rsid w:val="005C435B"/>
    <w:rsid w:val="005C6280"/>
    <w:rsid w:val="005D04F7"/>
    <w:rsid w:val="005D69B1"/>
    <w:rsid w:val="005E0958"/>
    <w:rsid w:val="005E2428"/>
    <w:rsid w:val="005E2EC3"/>
    <w:rsid w:val="005E3B7B"/>
    <w:rsid w:val="005E68FA"/>
    <w:rsid w:val="005F032F"/>
    <w:rsid w:val="005F0892"/>
    <w:rsid w:val="005F1501"/>
    <w:rsid w:val="0061578D"/>
    <w:rsid w:val="006260F8"/>
    <w:rsid w:val="0063052E"/>
    <w:rsid w:val="006315D2"/>
    <w:rsid w:val="006316C9"/>
    <w:rsid w:val="006334B2"/>
    <w:rsid w:val="006336AB"/>
    <w:rsid w:val="006368CD"/>
    <w:rsid w:val="00637314"/>
    <w:rsid w:val="00637C8C"/>
    <w:rsid w:val="00640CCE"/>
    <w:rsid w:val="006418E5"/>
    <w:rsid w:val="006476A6"/>
    <w:rsid w:val="0065406C"/>
    <w:rsid w:val="00654145"/>
    <w:rsid w:val="00664991"/>
    <w:rsid w:val="00674202"/>
    <w:rsid w:val="00680D16"/>
    <w:rsid w:val="006854FC"/>
    <w:rsid w:val="00685BDF"/>
    <w:rsid w:val="00685F3E"/>
    <w:rsid w:val="00687147"/>
    <w:rsid w:val="006963CF"/>
    <w:rsid w:val="006A3C61"/>
    <w:rsid w:val="006C7397"/>
    <w:rsid w:val="006D2A42"/>
    <w:rsid w:val="006E0CE3"/>
    <w:rsid w:val="006E3E44"/>
    <w:rsid w:val="006E49DA"/>
    <w:rsid w:val="006F0321"/>
    <w:rsid w:val="006F1144"/>
    <w:rsid w:val="006F4AFA"/>
    <w:rsid w:val="006F6308"/>
    <w:rsid w:val="00700AE0"/>
    <w:rsid w:val="00701A95"/>
    <w:rsid w:val="0070390A"/>
    <w:rsid w:val="007205C4"/>
    <w:rsid w:val="00721B4A"/>
    <w:rsid w:val="00721D7D"/>
    <w:rsid w:val="00726AA4"/>
    <w:rsid w:val="00735D77"/>
    <w:rsid w:val="00745EC0"/>
    <w:rsid w:val="00762E0D"/>
    <w:rsid w:val="00763A99"/>
    <w:rsid w:val="0076553F"/>
    <w:rsid w:val="00766D83"/>
    <w:rsid w:val="00774D7D"/>
    <w:rsid w:val="00776211"/>
    <w:rsid w:val="0078129A"/>
    <w:rsid w:val="00787BB0"/>
    <w:rsid w:val="00792697"/>
    <w:rsid w:val="007A1E26"/>
    <w:rsid w:val="007B01FC"/>
    <w:rsid w:val="007B323E"/>
    <w:rsid w:val="007B4C69"/>
    <w:rsid w:val="007C134A"/>
    <w:rsid w:val="007C1D17"/>
    <w:rsid w:val="007C2036"/>
    <w:rsid w:val="007C53DC"/>
    <w:rsid w:val="007D044C"/>
    <w:rsid w:val="007F6B59"/>
    <w:rsid w:val="007F76EE"/>
    <w:rsid w:val="00800287"/>
    <w:rsid w:val="00807C79"/>
    <w:rsid w:val="00811CBC"/>
    <w:rsid w:val="00816829"/>
    <w:rsid w:val="008240A6"/>
    <w:rsid w:val="00826B45"/>
    <w:rsid w:val="008274F8"/>
    <w:rsid w:val="00836412"/>
    <w:rsid w:val="00837E03"/>
    <w:rsid w:val="00847144"/>
    <w:rsid w:val="00850348"/>
    <w:rsid w:val="00862DAA"/>
    <w:rsid w:val="00870B10"/>
    <w:rsid w:val="008730A0"/>
    <w:rsid w:val="00885FB4"/>
    <w:rsid w:val="0088632C"/>
    <w:rsid w:val="00891BFF"/>
    <w:rsid w:val="008A2A17"/>
    <w:rsid w:val="008A2AC9"/>
    <w:rsid w:val="008B5FA3"/>
    <w:rsid w:val="008B602E"/>
    <w:rsid w:val="008B6153"/>
    <w:rsid w:val="008C4518"/>
    <w:rsid w:val="008C5C4E"/>
    <w:rsid w:val="008D6189"/>
    <w:rsid w:val="008E327C"/>
    <w:rsid w:val="008E553B"/>
    <w:rsid w:val="00901D40"/>
    <w:rsid w:val="00902303"/>
    <w:rsid w:val="0090525B"/>
    <w:rsid w:val="00912BA6"/>
    <w:rsid w:val="009162D4"/>
    <w:rsid w:val="009169E0"/>
    <w:rsid w:val="00926234"/>
    <w:rsid w:val="00942735"/>
    <w:rsid w:val="00954FF5"/>
    <w:rsid w:val="00963395"/>
    <w:rsid w:val="00974EFF"/>
    <w:rsid w:val="0097710C"/>
    <w:rsid w:val="00980999"/>
    <w:rsid w:val="00984280"/>
    <w:rsid w:val="00991213"/>
    <w:rsid w:val="00992D81"/>
    <w:rsid w:val="009956EF"/>
    <w:rsid w:val="00995944"/>
    <w:rsid w:val="00995B6C"/>
    <w:rsid w:val="009A2986"/>
    <w:rsid w:val="009A376E"/>
    <w:rsid w:val="009B1B3C"/>
    <w:rsid w:val="009B55EF"/>
    <w:rsid w:val="009D734C"/>
    <w:rsid w:val="009E2C16"/>
    <w:rsid w:val="009F160C"/>
    <w:rsid w:val="009F32A4"/>
    <w:rsid w:val="009F5DB2"/>
    <w:rsid w:val="00A24CF2"/>
    <w:rsid w:val="00A43E9E"/>
    <w:rsid w:val="00A45FB4"/>
    <w:rsid w:val="00A46396"/>
    <w:rsid w:val="00A46A38"/>
    <w:rsid w:val="00A46D4E"/>
    <w:rsid w:val="00A470E2"/>
    <w:rsid w:val="00A4738B"/>
    <w:rsid w:val="00A60996"/>
    <w:rsid w:val="00A64CF8"/>
    <w:rsid w:val="00A73A11"/>
    <w:rsid w:val="00A831D2"/>
    <w:rsid w:val="00A85D09"/>
    <w:rsid w:val="00A87E17"/>
    <w:rsid w:val="00AA2D85"/>
    <w:rsid w:val="00AB4055"/>
    <w:rsid w:val="00AC4FDE"/>
    <w:rsid w:val="00AD7FBC"/>
    <w:rsid w:val="00B0277B"/>
    <w:rsid w:val="00B04289"/>
    <w:rsid w:val="00B058A1"/>
    <w:rsid w:val="00B1002D"/>
    <w:rsid w:val="00B22FED"/>
    <w:rsid w:val="00B3062F"/>
    <w:rsid w:val="00B3288C"/>
    <w:rsid w:val="00B35B0C"/>
    <w:rsid w:val="00B367CA"/>
    <w:rsid w:val="00B52A83"/>
    <w:rsid w:val="00B56A9B"/>
    <w:rsid w:val="00B679D0"/>
    <w:rsid w:val="00B776D2"/>
    <w:rsid w:val="00B83BEF"/>
    <w:rsid w:val="00B85698"/>
    <w:rsid w:val="00B86E1F"/>
    <w:rsid w:val="00B9087C"/>
    <w:rsid w:val="00B95398"/>
    <w:rsid w:val="00BA0D9B"/>
    <w:rsid w:val="00BB3DC1"/>
    <w:rsid w:val="00BB4A4C"/>
    <w:rsid w:val="00BC0A6F"/>
    <w:rsid w:val="00BC3EAE"/>
    <w:rsid w:val="00BD187B"/>
    <w:rsid w:val="00BD6F07"/>
    <w:rsid w:val="00BE3072"/>
    <w:rsid w:val="00C11D1F"/>
    <w:rsid w:val="00C14C5B"/>
    <w:rsid w:val="00C236EE"/>
    <w:rsid w:val="00C276A2"/>
    <w:rsid w:val="00C334EA"/>
    <w:rsid w:val="00C4295C"/>
    <w:rsid w:val="00C45037"/>
    <w:rsid w:val="00C6384B"/>
    <w:rsid w:val="00C70DC5"/>
    <w:rsid w:val="00C726B3"/>
    <w:rsid w:val="00C77F07"/>
    <w:rsid w:val="00C83F58"/>
    <w:rsid w:val="00C854AE"/>
    <w:rsid w:val="00C93016"/>
    <w:rsid w:val="00C945BD"/>
    <w:rsid w:val="00CA1FEC"/>
    <w:rsid w:val="00CA3A85"/>
    <w:rsid w:val="00CA64BB"/>
    <w:rsid w:val="00CE36C8"/>
    <w:rsid w:val="00CE3900"/>
    <w:rsid w:val="00CF3E09"/>
    <w:rsid w:val="00D02F2E"/>
    <w:rsid w:val="00D114DB"/>
    <w:rsid w:val="00D1310E"/>
    <w:rsid w:val="00D14930"/>
    <w:rsid w:val="00D14D18"/>
    <w:rsid w:val="00D1541A"/>
    <w:rsid w:val="00D15DC5"/>
    <w:rsid w:val="00D2497F"/>
    <w:rsid w:val="00D27672"/>
    <w:rsid w:val="00D356C7"/>
    <w:rsid w:val="00D413FF"/>
    <w:rsid w:val="00D463DF"/>
    <w:rsid w:val="00D56461"/>
    <w:rsid w:val="00D67905"/>
    <w:rsid w:val="00D75DF9"/>
    <w:rsid w:val="00D76636"/>
    <w:rsid w:val="00D80857"/>
    <w:rsid w:val="00D8131E"/>
    <w:rsid w:val="00D95F17"/>
    <w:rsid w:val="00D97B57"/>
    <w:rsid w:val="00D97CE8"/>
    <w:rsid w:val="00DA39DE"/>
    <w:rsid w:val="00DB57D3"/>
    <w:rsid w:val="00DD3532"/>
    <w:rsid w:val="00DD4AA0"/>
    <w:rsid w:val="00DD61DA"/>
    <w:rsid w:val="00DE2A50"/>
    <w:rsid w:val="00DE2EFB"/>
    <w:rsid w:val="00DE551D"/>
    <w:rsid w:val="00DF1B9F"/>
    <w:rsid w:val="00DF3FE8"/>
    <w:rsid w:val="00E15D03"/>
    <w:rsid w:val="00E20382"/>
    <w:rsid w:val="00E3280C"/>
    <w:rsid w:val="00E4309E"/>
    <w:rsid w:val="00E611D6"/>
    <w:rsid w:val="00E64A87"/>
    <w:rsid w:val="00E657D6"/>
    <w:rsid w:val="00E67112"/>
    <w:rsid w:val="00E76DAD"/>
    <w:rsid w:val="00E773B2"/>
    <w:rsid w:val="00E77808"/>
    <w:rsid w:val="00E802DD"/>
    <w:rsid w:val="00E813DA"/>
    <w:rsid w:val="00E86FF6"/>
    <w:rsid w:val="00E9292C"/>
    <w:rsid w:val="00EA227E"/>
    <w:rsid w:val="00EA2D4E"/>
    <w:rsid w:val="00EB0850"/>
    <w:rsid w:val="00EB12DA"/>
    <w:rsid w:val="00EB6CD1"/>
    <w:rsid w:val="00EC100B"/>
    <w:rsid w:val="00EC3426"/>
    <w:rsid w:val="00EF2AC6"/>
    <w:rsid w:val="00EF4CF9"/>
    <w:rsid w:val="00EF4E8D"/>
    <w:rsid w:val="00EF50E4"/>
    <w:rsid w:val="00F05D3B"/>
    <w:rsid w:val="00F10E7A"/>
    <w:rsid w:val="00F126D5"/>
    <w:rsid w:val="00F128A0"/>
    <w:rsid w:val="00F14965"/>
    <w:rsid w:val="00F26D06"/>
    <w:rsid w:val="00F316BD"/>
    <w:rsid w:val="00F318DC"/>
    <w:rsid w:val="00F42CA0"/>
    <w:rsid w:val="00F50C42"/>
    <w:rsid w:val="00F54345"/>
    <w:rsid w:val="00F54530"/>
    <w:rsid w:val="00F546A1"/>
    <w:rsid w:val="00F57C0B"/>
    <w:rsid w:val="00F61C06"/>
    <w:rsid w:val="00F63053"/>
    <w:rsid w:val="00F63440"/>
    <w:rsid w:val="00F63774"/>
    <w:rsid w:val="00F65DC5"/>
    <w:rsid w:val="00F74398"/>
    <w:rsid w:val="00F80BAF"/>
    <w:rsid w:val="00F80E04"/>
    <w:rsid w:val="00F82F9E"/>
    <w:rsid w:val="00FA0751"/>
    <w:rsid w:val="00FA7FD1"/>
    <w:rsid w:val="00FB6798"/>
    <w:rsid w:val="00FB6B4A"/>
    <w:rsid w:val="00FB7C1F"/>
    <w:rsid w:val="00FC1460"/>
    <w:rsid w:val="00FC4A29"/>
    <w:rsid w:val="00FC70EB"/>
    <w:rsid w:val="00FD3E81"/>
    <w:rsid w:val="00FD6FE7"/>
    <w:rsid w:val="00FE7B0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2445B"/>
  <w15:docId w15:val="{0788DC07-A96A-4C5C-86A8-643EFB9B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8C"/>
    <w:pPr>
      <w:spacing w:after="0" w:line="240" w:lineRule="auto"/>
    </w:pPr>
    <w:rPr>
      <w:rFonts w:ascii="Times New Roman" w:hAnsi="Times New Roman" w:cs="Times New Roman"/>
      <w:sz w:val="24"/>
      <w:szCs w:val="24"/>
    </w:rPr>
  </w:style>
  <w:style w:type="paragraph" w:styleId="Overskrift3">
    <w:name w:val="heading 3"/>
    <w:basedOn w:val="Normal"/>
    <w:next w:val="Normal"/>
    <w:link w:val="Overskrift3Tegn"/>
    <w:uiPriority w:val="9"/>
    <w:unhideWhenUsed/>
    <w:qFormat/>
    <w:rsid w:val="00D14930"/>
    <w:pPr>
      <w:spacing w:line="288" w:lineRule="auto"/>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3288C"/>
    <w:pPr>
      <w:tabs>
        <w:tab w:val="center" w:pos="4819"/>
        <w:tab w:val="right" w:pos="9638"/>
      </w:tabs>
    </w:pPr>
  </w:style>
  <w:style w:type="character" w:customStyle="1" w:styleId="SidehovedTegn">
    <w:name w:val="Sidehoved Tegn"/>
    <w:basedOn w:val="Standardskrifttypeiafsnit"/>
    <w:link w:val="Sidehoved"/>
    <w:uiPriority w:val="99"/>
    <w:rsid w:val="00B3288C"/>
    <w:rPr>
      <w:rFonts w:ascii="Times New Roman" w:hAnsi="Times New Roman" w:cs="Times New Roman"/>
      <w:sz w:val="24"/>
      <w:szCs w:val="24"/>
    </w:rPr>
  </w:style>
  <w:style w:type="paragraph" w:styleId="Sidefod">
    <w:name w:val="footer"/>
    <w:basedOn w:val="Normal"/>
    <w:link w:val="SidefodTegn"/>
    <w:uiPriority w:val="99"/>
    <w:unhideWhenUsed/>
    <w:rsid w:val="00B3288C"/>
    <w:pPr>
      <w:tabs>
        <w:tab w:val="center" w:pos="4819"/>
        <w:tab w:val="right" w:pos="9638"/>
      </w:tabs>
    </w:pPr>
  </w:style>
  <w:style w:type="character" w:customStyle="1" w:styleId="SidefodTegn">
    <w:name w:val="Sidefod Tegn"/>
    <w:basedOn w:val="Standardskrifttypeiafsnit"/>
    <w:link w:val="Sidefod"/>
    <w:uiPriority w:val="99"/>
    <w:rsid w:val="00B3288C"/>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DE2A50"/>
    <w:rPr>
      <w:sz w:val="16"/>
      <w:szCs w:val="16"/>
    </w:rPr>
  </w:style>
  <w:style w:type="paragraph" w:styleId="Kommentartekst">
    <w:name w:val="annotation text"/>
    <w:basedOn w:val="Normal"/>
    <w:link w:val="KommentartekstTegn"/>
    <w:uiPriority w:val="99"/>
    <w:unhideWhenUsed/>
    <w:rsid w:val="00DE2A50"/>
    <w:rPr>
      <w:sz w:val="20"/>
      <w:szCs w:val="20"/>
    </w:rPr>
  </w:style>
  <w:style w:type="character" w:customStyle="1" w:styleId="KommentartekstTegn">
    <w:name w:val="Kommentartekst Tegn"/>
    <w:basedOn w:val="Standardskrifttypeiafsnit"/>
    <w:link w:val="Kommentartekst"/>
    <w:uiPriority w:val="99"/>
    <w:rsid w:val="00DE2A50"/>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DE2A50"/>
    <w:rPr>
      <w:b/>
      <w:bCs/>
    </w:rPr>
  </w:style>
  <w:style w:type="character" w:customStyle="1" w:styleId="KommentaremneTegn">
    <w:name w:val="Kommentaremne Tegn"/>
    <w:basedOn w:val="KommentartekstTegn"/>
    <w:link w:val="Kommentaremne"/>
    <w:uiPriority w:val="99"/>
    <w:semiHidden/>
    <w:rsid w:val="00DE2A50"/>
    <w:rPr>
      <w:rFonts w:ascii="Times New Roman" w:hAnsi="Times New Roman" w:cs="Times New Roman"/>
      <w:b/>
      <w:bCs/>
      <w:sz w:val="20"/>
      <w:szCs w:val="20"/>
    </w:rPr>
  </w:style>
  <w:style w:type="paragraph" w:styleId="Markeringsbobletekst">
    <w:name w:val="Balloon Text"/>
    <w:basedOn w:val="Normal"/>
    <w:link w:val="MarkeringsbobletekstTegn"/>
    <w:uiPriority w:val="99"/>
    <w:semiHidden/>
    <w:unhideWhenUsed/>
    <w:rsid w:val="00DE2A5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2A50"/>
    <w:rPr>
      <w:rFonts w:ascii="Tahoma" w:hAnsi="Tahoma" w:cs="Tahoma"/>
      <w:sz w:val="16"/>
      <w:szCs w:val="16"/>
    </w:rPr>
  </w:style>
  <w:style w:type="table" w:styleId="Tabel-Gitter">
    <w:name w:val="Table Grid"/>
    <w:basedOn w:val="Tabel-Normal"/>
    <w:uiPriority w:val="59"/>
    <w:rsid w:val="008B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D14930"/>
    <w:rPr>
      <w:rFonts w:ascii="Times New Roman" w:hAnsi="Times New Roman" w:cs="Times New Roman"/>
      <w:sz w:val="24"/>
      <w:szCs w:val="24"/>
    </w:rPr>
  </w:style>
  <w:style w:type="paragraph" w:customStyle="1" w:styleId="Default">
    <w:name w:val="Default"/>
    <w:rsid w:val="00D463DF"/>
    <w:pPr>
      <w:autoSpaceDE w:val="0"/>
      <w:autoSpaceDN w:val="0"/>
      <w:adjustRightInd w:val="0"/>
      <w:spacing w:after="0" w:line="240" w:lineRule="auto"/>
    </w:pPr>
    <w:rPr>
      <w:rFonts w:ascii="Times New Roman" w:hAnsi="Times New Roman" w:cs="Times New Roman"/>
      <w:color w:val="000000"/>
      <w:sz w:val="24"/>
      <w:szCs w:val="24"/>
    </w:rPr>
  </w:style>
  <w:style w:type="paragraph" w:styleId="Listeafsnit">
    <w:name w:val="List Paragraph"/>
    <w:basedOn w:val="Normal"/>
    <w:uiPriority w:val="34"/>
    <w:qFormat/>
    <w:rsid w:val="002C4BD0"/>
    <w:pPr>
      <w:ind w:left="720"/>
      <w:contextualSpacing/>
    </w:pPr>
  </w:style>
  <w:style w:type="paragraph" w:styleId="Korrektur">
    <w:name w:val="Revision"/>
    <w:hidden/>
    <w:uiPriority w:val="99"/>
    <w:semiHidden/>
    <w:rsid w:val="00F318D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831">
      <w:bodyDiv w:val="1"/>
      <w:marLeft w:val="0"/>
      <w:marRight w:val="0"/>
      <w:marTop w:val="0"/>
      <w:marBottom w:val="0"/>
      <w:divBdr>
        <w:top w:val="none" w:sz="0" w:space="0" w:color="auto"/>
        <w:left w:val="none" w:sz="0" w:space="0" w:color="auto"/>
        <w:bottom w:val="none" w:sz="0" w:space="0" w:color="auto"/>
        <w:right w:val="none" w:sz="0" w:space="0" w:color="auto"/>
      </w:divBdr>
    </w:div>
    <w:div w:id="180363201">
      <w:bodyDiv w:val="1"/>
      <w:marLeft w:val="0"/>
      <w:marRight w:val="0"/>
      <w:marTop w:val="0"/>
      <w:marBottom w:val="0"/>
      <w:divBdr>
        <w:top w:val="none" w:sz="0" w:space="0" w:color="auto"/>
        <w:left w:val="none" w:sz="0" w:space="0" w:color="auto"/>
        <w:bottom w:val="none" w:sz="0" w:space="0" w:color="auto"/>
        <w:right w:val="none" w:sz="0" w:space="0" w:color="auto"/>
      </w:divBdr>
    </w:div>
    <w:div w:id="208304656">
      <w:bodyDiv w:val="1"/>
      <w:marLeft w:val="0"/>
      <w:marRight w:val="0"/>
      <w:marTop w:val="0"/>
      <w:marBottom w:val="0"/>
      <w:divBdr>
        <w:top w:val="none" w:sz="0" w:space="0" w:color="auto"/>
        <w:left w:val="none" w:sz="0" w:space="0" w:color="auto"/>
        <w:bottom w:val="none" w:sz="0" w:space="0" w:color="auto"/>
        <w:right w:val="none" w:sz="0" w:space="0" w:color="auto"/>
      </w:divBdr>
    </w:div>
    <w:div w:id="227544125">
      <w:bodyDiv w:val="1"/>
      <w:marLeft w:val="0"/>
      <w:marRight w:val="0"/>
      <w:marTop w:val="0"/>
      <w:marBottom w:val="0"/>
      <w:divBdr>
        <w:top w:val="none" w:sz="0" w:space="0" w:color="auto"/>
        <w:left w:val="none" w:sz="0" w:space="0" w:color="auto"/>
        <w:bottom w:val="none" w:sz="0" w:space="0" w:color="auto"/>
        <w:right w:val="none" w:sz="0" w:space="0" w:color="auto"/>
      </w:divBdr>
    </w:div>
    <w:div w:id="286787562">
      <w:bodyDiv w:val="1"/>
      <w:marLeft w:val="0"/>
      <w:marRight w:val="0"/>
      <w:marTop w:val="0"/>
      <w:marBottom w:val="0"/>
      <w:divBdr>
        <w:top w:val="none" w:sz="0" w:space="0" w:color="auto"/>
        <w:left w:val="none" w:sz="0" w:space="0" w:color="auto"/>
        <w:bottom w:val="none" w:sz="0" w:space="0" w:color="auto"/>
        <w:right w:val="none" w:sz="0" w:space="0" w:color="auto"/>
      </w:divBdr>
    </w:div>
    <w:div w:id="366833603">
      <w:bodyDiv w:val="1"/>
      <w:marLeft w:val="0"/>
      <w:marRight w:val="0"/>
      <w:marTop w:val="0"/>
      <w:marBottom w:val="0"/>
      <w:divBdr>
        <w:top w:val="none" w:sz="0" w:space="0" w:color="auto"/>
        <w:left w:val="none" w:sz="0" w:space="0" w:color="auto"/>
        <w:bottom w:val="none" w:sz="0" w:space="0" w:color="auto"/>
        <w:right w:val="none" w:sz="0" w:space="0" w:color="auto"/>
      </w:divBdr>
    </w:div>
    <w:div w:id="563414269">
      <w:bodyDiv w:val="1"/>
      <w:marLeft w:val="0"/>
      <w:marRight w:val="0"/>
      <w:marTop w:val="0"/>
      <w:marBottom w:val="0"/>
      <w:divBdr>
        <w:top w:val="none" w:sz="0" w:space="0" w:color="auto"/>
        <w:left w:val="none" w:sz="0" w:space="0" w:color="auto"/>
        <w:bottom w:val="none" w:sz="0" w:space="0" w:color="auto"/>
        <w:right w:val="none" w:sz="0" w:space="0" w:color="auto"/>
      </w:divBdr>
    </w:div>
    <w:div w:id="611865830">
      <w:bodyDiv w:val="1"/>
      <w:marLeft w:val="0"/>
      <w:marRight w:val="0"/>
      <w:marTop w:val="0"/>
      <w:marBottom w:val="0"/>
      <w:divBdr>
        <w:top w:val="none" w:sz="0" w:space="0" w:color="auto"/>
        <w:left w:val="none" w:sz="0" w:space="0" w:color="auto"/>
        <w:bottom w:val="none" w:sz="0" w:space="0" w:color="auto"/>
        <w:right w:val="none" w:sz="0" w:space="0" w:color="auto"/>
      </w:divBdr>
    </w:div>
    <w:div w:id="780271678">
      <w:bodyDiv w:val="1"/>
      <w:marLeft w:val="0"/>
      <w:marRight w:val="0"/>
      <w:marTop w:val="0"/>
      <w:marBottom w:val="0"/>
      <w:divBdr>
        <w:top w:val="none" w:sz="0" w:space="0" w:color="auto"/>
        <w:left w:val="none" w:sz="0" w:space="0" w:color="auto"/>
        <w:bottom w:val="none" w:sz="0" w:space="0" w:color="auto"/>
        <w:right w:val="none" w:sz="0" w:space="0" w:color="auto"/>
      </w:divBdr>
    </w:div>
    <w:div w:id="907232206">
      <w:bodyDiv w:val="1"/>
      <w:marLeft w:val="0"/>
      <w:marRight w:val="0"/>
      <w:marTop w:val="0"/>
      <w:marBottom w:val="0"/>
      <w:divBdr>
        <w:top w:val="none" w:sz="0" w:space="0" w:color="auto"/>
        <w:left w:val="none" w:sz="0" w:space="0" w:color="auto"/>
        <w:bottom w:val="none" w:sz="0" w:space="0" w:color="auto"/>
        <w:right w:val="none" w:sz="0" w:space="0" w:color="auto"/>
      </w:divBdr>
    </w:div>
    <w:div w:id="922765754">
      <w:bodyDiv w:val="1"/>
      <w:marLeft w:val="0"/>
      <w:marRight w:val="0"/>
      <w:marTop w:val="0"/>
      <w:marBottom w:val="0"/>
      <w:divBdr>
        <w:top w:val="none" w:sz="0" w:space="0" w:color="auto"/>
        <w:left w:val="none" w:sz="0" w:space="0" w:color="auto"/>
        <w:bottom w:val="none" w:sz="0" w:space="0" w:color="auto"/>
        <w:right w:val="none" w:sz="0" w:space="0" w:color="auto"/>
      </w:divBdr>
    </w:div>
    <w:div w:id="1542520979">
      <w:bodyDiv w:val="1"/>
      <w:marLeft w:val="0"/>
      <w:marRight w:val="0"/>
      <w:marTop w:val="0"/>
      <w:marBottom w:val="0"/>
      <w:divBdr>
        <w:top w:val="none" w:sz="0" w:space="0" w:color="auto"/>
        <w:left w:val="none" w:sz="0" w:space="0" w:color="auto"/>
        <w:bottom w:val="none" w:sz="0" w:space="0" w:color="auto"/>
        <w:right w:val="none" w:sz="0" w:space="0" w:color="auto"/>
      </w:divBdr>
    </w:div>
    <w:div w:id="1590115480">
      <w:bodyDiv w:val="1"/>
      <w:marLeft w:val="0"/>
      <w:marRight w:val="0"/>
      <w:marTop w:val="0"/>
      <w:marBottom w:val="0"/>
      <w:divBdr>
        <w:top w:val="none" w:sz="0" w:space="0" w:color="auto"/>
        <w:left w:val="none" w:sz="0" w:space="0" w:color="auto"/>
        <w:bottom w:val="none" w:sz="0" w:space="0" w:color="auto"/>
        <w:right w:val="none" w:sz="0" w:space="0" w:color="auto"/>
      </w:divBdr>
    </w:div>
    <w:div w:id="1602763926">
      <w:bodyDiv w:val="1"/>
      <w:marLeft w:val="0"/>
      <w:marRight w:val="0"/>
      <w:marTop w:val="0"/>
      <w:marBottom w:val="0"/>
      <w:divBdr>
        <w:top w:val="none" w:sz="0" w:space="0" w:color="auto"/>
        <w:left w:val="none" w:sz="0" w:space="0" w:color="auto"/>
        <w:bottom w:val="none" w:sz="0" w:space="0" w:color="auto"/>
        <w:right w:val="none" w:sz="0" w:space="0" w:color="auto"/>
      </w:divBdr>
    </w:div>
    <w:div w:id="17989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0b71f83ef5ac47e38983d88481c28df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00D7-DBB1-41AE-9D75-7BBA42A5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0b71f83ef5ac47e38983d88481c28df3</Template>
  <TotalTime>3</TotalTime>
  <Pages>22</Pages>
  <Words>7243</Words>
  <Characters>44188</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51329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4</cp:revision>
  <dcterms:created xsi:type="dcterms:W3CDTF">2022-05-31T08:05:00Z</dcterms:created>
  <dcterms:modified xsi:type="dcterms:W3CDTF">2022-06-07T09:09:00Z</dcterms:modified>
</cp:coreProperties>
</file>