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D37BD" w14:textId="77777777" w:rsidR="00F37574" w:rsidRDefault="00CE62AB" w:rsidP="003951AF">
      <w:pPr>
        <w:jc w:val="center"/>
        <w:rPr>
          <w:b/>
        </w:rPr>
      </w:pPr>
      <w:r w:rsidRPr="00CE62AB">
        <w:rPr>
          <w:b/>
        </w:rPr>
        <w:t xml:space="preserve">Forslag til: </w:t>
      </w:r>
    </w:p>
    <w:p w14:paraId="4A5AE9EF" w14:textId="77777777" w:rsidR="00F37574" w:rsidRDefault="00F37574">
      <w:pPr>
        <w:jc w:val="center"/>
        <w:rPr>
          <w:b/>
        </w:rPr>
      </w:pPr>
    </w:p>
    <w:p w14:paraId="0DA68537" w14:textId="48514408" w:rsidR="00F37574" w:rsidRDefault="00CE62AB" w:rsidP="00D507EC">
      <w:pPr>
        <w:jc w:val="center"/>
        <w:rPr>
          <w:b/>
        </w:rPr>
      </w:pPr>
      <w:r w:rsidRPr="00CE62AB">
        <w:rPr>
          <w:b/>
        </w:rPr>
        <w:t>Inatsisartutlov om ændring af landstinglov om indkom</w:t>
      </w:r>
      <w:r w:rsidR="003E0A50">
        <w:rPr>
          <w:b/>
        </w:rPr>
        <w:t>s</w:t>
      </w:r>
      <w:r w:rsidR="00683ED5">
        <w:rPr>
          <w:b/>
        </w:rPr>
        <w:t>t</w:t>
      </w:r>
      <w:r w:rsidRPr="00CE62AB">
        <w:rPr>
          <w:b/>
        </w:rPr>
        <w:t>skat</w:t>
      </w:r>
    </w:p>
    <w:p w14:paraId="250CAB58" w14:textId="02602C84" w:rsidR="00CE62AB" w:rsidRPr="0054458C" w:rsidRDefault="0054458C" w:rsidP="00D507EC">
      <w:pPr>
        <w:jc w:val="center"/>
      </w:pPr>
      <w:r w:rsidRPr="0054458C">
        <w:t>(</w:t>
      </w:r>
      <w:r w:rsidR="000E3D6D">
        <w:t>F</w:t>
      </w:r>
      <w:r w:rsidRPr="0054458C">
        <w:t>orhøjelse af beskæftigelsesfradraget</w:t>
      </w:r>
      <w:r w:rsidR="005D1715">
        <w:t>,</w:t>
      </w:r>
      <w:r w:rsidR="000E3D6D">
        <w:t xml:space="preserve"> udfasning af fradrag for private renteudgifter,</w:t>
      </w:r>
      <w:r w:rsidR="005D1715">
        <w:t xml:space="preserve"> beskatning af likvidationsprovenu og </w:t>
      </w:r>
      <w:r w:rsidR="001A5BFF">
        <w:t xml:space="preserve">pligt til </w:t>
      </w:r>
      <w:r w:rsidR="000E3D6D">
        <w:t xml:space="preserve">at indsende løbende </w:t>
      </w:r>
      <w:r w:rsidR="001A5BFF">
        <w:t xml:space="preserve">transfer </w:t>
      </w:r>
      <w:proofErr w:type="spellStart"/>
      <w:r w:rsidR="001A5BFF">
        <w:t>pricing</w:t>
      </w:r>
      <w:proofErr w:type="spellEnd"/>
      <w:r w:rsidR="001A5BFF">
        <w:t xml:space="preserve"> dokumentation</w:t>
      </w:r>
      <w:r w:rsidR="000E3D6D">
        <w:t xml:space="preserve"> i visse tilfælde</w:t>
      </w:r>
      <w:r w:rsidRPr="0054458C">
        <w:t>)</w:t>
      </w:r>
    </w:p>
    <w:p w14:paraId="17DCCB1D" w14:textId="77777777" w:rsidR="00CE62AB" w:rsidRDefault="00CE62AB"/>
    <w:p w14:paraId="0C68C58B" w14:textId="77777777" w:rsidR="00CE62AB" w:rsidRDefault="00CE62AB">
      <w:pPr>
        <w:jc w:val="center"/>
        <w:rPr>
          <w:b/>
        </w:rPr>
      </w:pPr>
      <w:r w:rsidRPr="00CE62AB">
        <w:rPr>
          <w:b/>
        </w:rPr>
        <w:t>§ 1</w:t>
      </w:r>
    </w:p>
    <w:p w14:paraId="0625F737" w14:textId="77777777" w:rsidR="00555727" w:rsidRDefault="00555727">
      <w:pPr>
        <w:rPr>
          <w:b/>
        </w:rPr>
      </w:pPr>
    </w:p>
    <w:p w14:paraId="0A856C8D" w14:textId="2D9CB6C4" w:rsidR="000F01EF" w:rsidRPr="00CE62AB" w:rsidRDefault="000F01EF">
      <w:r w:rsidRPr="00CE62AB">
        <w:t xml:space="preserve">I landstingslov nr. 12 af 2. november 2006 om indkomstskat, som </w:t>
      </w:r>
      <w:r w:rsidR="00AD5637">
        <w:t xml:space="preserve">bl.a. </w:t>
      </w:r>
      <w:r w:rsidRPr="00CE62AB">
        <w:t xml:space="preserve">ændret ved landstingslov nr. 2 af 26. april 2007, </w:t>
      </w:r>
      <w:r w:rsidR="00BC7183">
        <w:t xml:space="preserve">landstingslov nr. 11 af 15. november 2007, landstingslov nr. 9 af 5. december 2008, </w:t>
      </w:r>
      <w:r w:rsidRPr="00CE62AB">
        <w:t>Inatsisartutlov nr. 3 af 30. november 2009,</w:t>
      </w:r>
      <w:r w:rsidR="00BC7183">
        <w:t xml:space="preserve"> Inatsisartutlov nr. 9 af 3. december 2012, </w:t>
      </w:r>
      <w:r w:rsidRPr="00CE62AB">
        <w:t>Inatsisartutlov nr. 10 af 29. november 2013, Inatsisartutlov nr. 7 af 6. juni 2016</w:t>
      </w:r>
      <w:r w:rsidR="00BC7183">
        <w:t>, Inatsisartutlov nr. 22 af 28. november 2018, Inatsisartutlov nr. 41 af 2. december 2019</w:t>
      </w:r>
      <w:r w:rsidRPr="00CE62AB">
        <w:t>, og senest</w:t>
      </w:r>
      <w:r w:rsidR="00E6126B">
        <w:t xml:space="preserve"> </w:t>
      </w:r>
      <w:r w:rsidRPr="00CE62AB">
        <w:t xml:space="preserve">Inatsisartutlov nr. </w:t>
      </w:r>
      <w:r w:rsidR="008A7B28">
        <w:t>11</w:t>
      </w:r>
      <w:r w:rsidRPr="00CE62AB">
        <w:t xml:space="preserve"> af </w:t>
      </w:r>
      <w:r w:rsidR="008A7B28">
        <w:t>1</w:t>
      </w:r>
      <w:r w:rsidRPr="00CE62AB">
        <w:t xml:space="preserve">. </w:t>
      </w:r>
      <w:r w:rsidR="008A7B28">
        <w:t xml:space="preserve">december  </w:t>
      </w:r>
      <w:r w:rsidRPr="00CE62AB">
        <w:t>20</w:t>
      </w:r>
      <w:r w:rsidR="008A7B28">
        <w:t>21</w:t>
      </w:r>
      <w:r w:rsidRPr="00CE62AB">
        <w:t>, foretages følgende ændringer:</w:t>
      </w:r>
    </w:p>
    <w:p w14:paraId="3A8B3BE4" w14:textId="77777777" w:rsidR="000F01EF" w:rsidRDefault="000F01EF">
      <w:pPr>
        <w:rPr>
          <w:b/>
        </w:rPr>
      </w:pPr>
    </w:p>
    <w:p w14:paraId="7989ABDB" w14:textId="701C4F06" w:rsidR="00555727" w:rsidRPr="00555727" w:rsidRDefault="00555727">
      <w:pPr>
        <w:rPr>
          <w:b/>
        </w:rPr>
      </w:pPr>
      <w:r w:rsidRPr="00555727">
        <w:rPr>
          <w:b/>
        </w:rPr>
        <w:t xml:space="preserve">1. </w:t>
      </w:r>
      <w:r w:rsidRPr="00555727">
        <w:t>I § 15 indsættes som stk. 5:</w:t>
      </w:r>
    </w:p>
    <w:p w14:paraId="3192D736" w14:textId="5A1E2ABA" w:rsidR="00555727" w:rsidRPr="00555727" w:rsidRDefault="00555727">
      <w:r w:rsidRPr="00555727">
        <w:t>”</w:t>
      </w:r>
      <w:r w:rsidR="00F37574">
        <w:t xml:space="preserve">  </w:t>
      </w:r>
      <w:r w:rsidRPr="00555727">
        <w:rPr>
          <w:i/>
        </w:rPr>
        <w:t>Stk. 5.</w:t>
      </w:r>
      <w:r w:rsidRPr="00555727">
        <w:t xml:space="preserve">  Ved opgørelsen af den skattepligtige indkomst kan renteudgifter, jf. stk. 1-3</w:t>
      </w:r>
      <w:r>
        <w:t>, hvortil der ikke er ydet rentetilskud i medfør af Inatsisartutlov om rentetilskud</w:t>
      </w:r>
      <w:r w:rsidRPr="00555727">
        <w:t xml:space="preserve">, fradrages med </w:t>
      </w:r>
      <w:r>
        <w:t>80</w:t>
      </w:r>
      <w:r w:rsidRPr="00555727">
        <w:t xml:space="preserve"> procent af det forfaldne beløb</w:t>
      </w:r>
      <w:r>
        <w:t xml:space="preserve"> i 202</w:t>
      </w:r>
      <w:r w:rsidR="0025654F">
        <w:t>4</w:t>
      </w:r>
      <w:r>
        <w:t>, 60 procent i 202</w:t>
      </w:r>
      <w:r w:rsidR="0025654F">
        <w:t>5</w:t>
      </w:r>
      <w:r>
        <w:t>, 40 procent i 202</w:t>
      </w:r>
      <w:r w:rsidR="0025654F">
        <w:t>6</w:t>
      </w:r>
      <w:r>
        <w:t>, 20 procent i 202</w:t>
      </w:r>
      <w:r w:rsidR="0025654F">
        <w:t>7</w:t>
      </w:r>
      <w:r>
        <w:t xml:space="preserve"> og 0 procent fra og med 202</w:t>
      </w:r>
      <w:r w:rsidR="0025654F">
        <w:t>8</w:t>
      </w:r>
      <w:r w:rsidRPr="00555727">
        <w:t>. Begrænsninge</w:t>
      </w:r>
      <w:r>
        <w:t>rne</w:t>
      </w:r>
      <w:r w:rsidRPr="00555727">
        <w:t xml:space="preserve"> i 1. punktum finder ikke anvendelse, såfremt udgiften er medgået til erhvervsmæssige formål.”</w:t>
      </w:r>
    </w:p>
    <w:p w14:paraId="2C63127A" w14:textId="77777777" w:rsidR="00C206FB" w:rsidRDefault="00C206FB">
      <w:pPr>
        <w:rPr>
          <w:b/>
        </w:rPr>
      </w:pPr>
    </w:p>
    <w:p w14:paraId="00A1EE84" w14:textId="4B1F11CA" w:rsidR="00B349A1" w:rsidRPr="008E4A88" w:rsidRDefault="00B349A1">
      <w:r>
        <w:rPr>
          <w:b/>
          <w:bCs/>
        </w:rPr>
        <w:t>2</w:t>
      </w:r>
      <w:r w:rsidRPr="008E4A88">
        <w:rPr>
          <w:b/>
          <w:bCs/>
        </w:rPr>
        <w:t>.</w:t>
      </w:r>
      <w:r w:rsidRPr="008E4A88">
        <w:t xml:space="preserve"> </w:t>
      </w:r>
      <w:r w:rsidRPr="00D507EC">
        <w:t>§ 34, nr. 10</w:t>
      </w:r>
      <w:r w:rsidRPr="00D50D5D">
        <w:t>,</w:t>
      </w:r>
      <w:r w:rsidRPr="008E4A88">
        <w:t xml:space="preserve"> affattes</w:t>
      </w:r>
      <w:r w:rsidRPr="008E4A88">
        <w:rPr>
          <w:i/>
          <w:iCs/>
        </w:rPr>
        <w:t xml:space="preserve"> </w:t>
      </w:r>
      <w:r w:rsidRPr="008E4A88">
        <w:t>således:</w:t>
      </w:r>
    </w:p>
    <w:p w14:paraId="5F47E188" w14:textId="4716B997" w:rsidR="00B349A1" w:rsidRPr="008E4A88" w:rsidRDefault="00B349A1">
      <w:r w:rsidRPr="008E4A88">
        <w:t xml:space="preserve">”10) </w:t>
      </w:r>
      <w:r w:rsidR="00E2015C">
        <w:t xml:space="preserve"> </w:t>
      </w:r>
      <w:r w:rsidRPr="008E4A88">
        <w:t>hjælp fra det offentlige, der bevilges:</w:t>
      </w:r>
    </w:p>
    <w:p w14:paraId="63A41A11" w14:textId="01FA530B" w:rsidR="00B349A1" w:rsidRPr="008E4A88" w:rsidRDefault="00B349A1">
      <w:r w:rsidRPr="008E4A88">
        <w:t xml:space="preserve">a) </w:t>
      </w:r>
      <w:r>
        <w:t xml:space="preserve"> </w:t>
      </w:r>
      <w:r w:rsidRPr="008E4A88">
        <w:t xml:space="preserve">som handicap- og helbredstillæg, økonomisk eller rådighedsbestemte tillæg efter </w:t>
      </w:r>
      <w:r w:rsidR="00D50D5D">
        <w:t>I</w:t>
      </w:r>
      <w:r w:rsidRPr="008E4A88">
        <w:t>natsisartutlov om alderspension.</w:t>
      </w:r>
    </w:p>
    <w:p w14:paraId="2988DFA9" w14:textId="7B508C9B" w:rsidR="00B349A1" w:rsidRPr="008E4A88" w:rsidRDefault="00B349A1">
      <w:r w:rsidRPr="008E4A88">
        <w:t>b)</w:t>
      </w:r>
      <w:r>
        <w:t xml:space="preserve"> </w:t>
      </w:r>
      <w:r w:rsidRPr="008E4A88">
        <w:t xml:space="preserve"> som tillæg til boligydelse, akut engangshjælp, hjælp til enkeltudgifter, flyttehjælp, hjælp til betaling af begravelsesudgifter, hjælp til betaling af rejseudgifter og hjælp til hjemrejse efter </w:t>
      </w:r>
      <w:r w:rsidR="00FE0AC4">
        <w:t>I</w:t>
      </w:r>
      <w:r w:rsidRPr="008E4A88">
        <w:t>natsisartutlov om offentlig hjælp,</w:t>
      </w:r>
    </w:p>
    <w:p w14:paraId="02F915F0" w14:textId="5C2F1EAE" w:rsidR="00B349A1" w:rsidRPr="008E4A88" w:rsidRDefault="00B349A1">
      <w:r w:rsidRPr="008E4A88">
        <w:t xml:space="preserve">c) </w:t>
      </w:r>
      <w:r>
        <w:t xml:space="preserve"> </w:t>
      </w:r>
      <w:r w:rsidRPr="008E4A88">
        <w:t xml:space="preserve">som boligsikring efter </w:t>
      </w:r>
      <w:r w:rsidR="00FE0AC4">
        <w:t>I</w:t>
      </w:r>
      <w:r w:rsidRPr="008E4A88">
        <w:t xml:space="preserve">natsisartutlov om boligsikring i lejeboliger, </w:t>
      </w:r>
    </w:p>
    <w:p w14:paraId="28CB4CDD" w14:textId="16B8DA3F" w:rsidR="00B349A1" w:rsidRPr="008E4A88" w:rsidRDefault="00B349A1">
      <w:r w:rsidRPr="008E4A88">
        <w:t xml:space="preserve">d) </w:t>
      </w:r>
      <w:r>
        <w:t xml:space="preserve"> </w:t>
      </w:r>
      <w:r w:rsidRPr="008E4A88">
        <w:t xml:space="preserve">som hjælp til børn og unge efter </w:t>
      </w:r>
      <w:r w:rsidR="00FE0AC4">
        <w:t>I</w:t>
      </w:r>
      <w:r w:rsidRPr="008E4A88">
        <w:t xml:space="preserve">natsisartutlov om støtte til børn, </w:t>
      </w:r>
    </w:p>
    <w:p w14:paraId="1A50885E" w14:textId="4C995EFB" w:rsidR="00B349A1" w:rsidRPr="008E4A88" w:rsidRDefault="00B349A1">
      <w:r w:rsidRPr="008E4A88">
        <w:t xml:space="preserve">e) </w:t>
      </w:r>
      <w:r>
        <w:t xml:space="preserve"> </w:t>
      </w:r>
      <w:r w:rsidRPr="008E4A88">
        <w:t xml:space="preserve">som hjælp til personer med handicap efter </w:t>
      </w:r>
      <w:r w:rsidR="00FE0AC4">
        <w:t>I</w:t>
      </w:r>
      <w:r w:rsidRPr="008E4A88">
        <w:t>natsisartutlov om støtte til personer med handicap,</w:t>
      </w:r>
    </w:p>
    <w:p w14:paraId="1E8C2C9B" w14:textId="32DD9096" w:rsidR="00B349A1" w:rsidRPr="008E4A88" w:rsidRDefault="00B349A1">
      <w:r w:rsidRPr="008E4A88">
        <w:t xml:space="preserve">f) </w:t>
      </w:r>
      <w:r>
        <w:t xml:space="preserve"> </w:t>
      </w:r>
      <w:r w:rsidRPr="008E4A88">
        <w:t xml:space="preserve">som engangshjælp til dækning af særlige behov efter </w:t>
      </w:r>
      <w:r w:rsidR="00FE0AC4">
        <w:t>I</w:t>
      </w:r>
      <w:r w:rsidRPr="008E4A88">
        <w:t>natsisartutlov om førtidspension.”</w:t>
      </w:r>
    </w:p>
    <w:p w14:paraId="088565E0" w14:textId="77777777" w:rsidR="00B349A1" w:rsidRDefault="00B349A1">
      <w:pPr>
        <w:rPr>
          <w:b/>
        </w:rPr>
      </w:pPr>
    </w:p>
    <w:p w14:paraId="6FC89D2C" w14:textId="0BE9E0FE" w:rsidR="00555727" w:rsidRDefault="00B349A1">
      <w:r>
        <w:rPr>
          <w:b/>
        </w:rPr>
        <w:t>3</w:t>
      </w:r>
      <w:r w:rsidR="00555727" w:rsidRPr="00A75B47">
        <w:rPr>
          <w:b/>
        </w:rPr>
        <w:t>.</w:t>
      </w:r>
      <w:r w:rsidR="00555727">
        <w:t xml:space="preserve"> I </w:t>
      </w:r>
      <w:r w:rsidR="00555727" w:rsidRPr="00555727">
        <w:t>§ 34</w:t>
      </w:r>
      <w:r w:rsidR="002A59A0">
        <w:t xml:space="preserve"> </w:t>
      </w:r>
      <w:r w:rsidR="00555727">
        <w:t xml:space="preserve">indsættes som </w:t>
      </w:r>
      <w:r w:rsidR="00555727" w:rsidRPr="00555727">
        <w:t>nr. 2</w:t>
      </w:r>
      <w:r w:rsidR="00555727">
        <w:t>3:</w:t>
      </w:r>
    </w:p>
    <w:p w14:paraId="7E428C6E" w14:textId="372CDCA7" w:rsidR="00555727" w:rsidRDefault="00555727">
      <w:r>
        <w:t xml:space="preserve">”23)  udbetaling af rentetilskud i henhold til </w:t>
      </w:r>
      <w:r w:rsidR="00137C01">
        <w:t>I</w:t>
      </w:r>
      <w:r>
        <w:t>natsisartutlov om rentetilskud.”</w:t>
      </w:r>
    </w:p>
    <w:p w14:paraId="5A124415" w14:textId="77777777" w:rsidR="00555727" w:rsidRDefault="00555727">
      <w:pPr>
        <w:rPr>
          <w:b/>
        </w:rPr>
      </w:pPr>
    </w:p>
    <w:p w14:paraId="09CAB7AB" w14:textId="26693117" w:rsidR="00B22490" w:rsidRDefault="00B349A1">
      <w:pPr>
        <w:rPr>
          <w:b/>
        </w:rPr>
      </w:pPr>
      <w:r>
        <w:rPr>
          <w:b/>
        </w:rPr>
        <w:t>4</w:t>
      </w:r>
      <w:r w:rsidR="00B22490">
        <w:rPr>
          <w:b/>
        </w:rPr>
        <w:t xml:space="preserve">. </w:t>
      </w:r>
      <w:r w:rsidR="00B22490" w:rsidRPr="00B22490">
        <w:t xml:space="preserve">I </w:t>
      </w:r>
      <w:r w:rsidR="00B22490" w:rsidRPr="00E67C44">
        <w:t xml:space="preserve">§ 36 b, stk. </w:t>
      </w:r>
      <w:r w:rsidR="00B22490">
        <w:t>1</w:t>
      </w:r>
      <w:r w:rsidR="00B22490" w:rsidRPr="00E67C44">
        <w:t xml:space="preserve">, </w:t>
      </w:r>
      <w:r w:rsidR="00B22490">
        <w:t>indsættes som pkt. 2:</w:t>
      </w:r>
    </w:p>
    <w:p w14:paraId="40F4CD06" w14:textId="476A2C6F" w:rsidR="00B22490" w:rsidRPr="00B22490" w:rsidRDefault="00B22490">
      <w:r w:rsidRPr="00A53135">
        <w:t xml:space="preserve">”Oplysninger herom skal indgives </w:t>
      </w:r>
      <w:r w:rsidR="00942D86" w:rsidRPr="00A53135">
        <w:t xml:space="preserve">elektronisk </w:t>
      </w:r>
      <w:r w:rsidR="00DD7BCA" w:rsidRPr="00A53135">
        <w:t>senest d. 1</w:t>
      </w:r>
      <w:r w:rsidR="00942D86" w:rsidRPr="00A53135">
        <w:t>5</w:t>
      </w:r>
      <w:r w:rsidR="00DD7BCA" w:rsidRPr="00A53135">
        <w:t xml:space="preserve">. juni </w:t>
      </w:r>
      <w:r w:rsidRPr="00A53135">
        <w:t>på den af skatteforvaltningen anviste måde</w:t>
      </w:r>
      <w:r w:rsidR="00B11B5E">
        <w:t>, jf. dog § 16, stk. 5</w:t>
      </w:r>
      <w:r w:rsidR="00C801DA">
        <w:t>,</w:t>
      </w:r>
      <w:r w:rsidR="00B11B5E">
        <w:t xml:space="preserve"> i landstingslov om forvaltning af skat</w:t>
      </w:r>
      <w:r w:rsidR="003E0A50">
        <w:t>ter</w:t>
      </w:r>
      <w:r w:rsidR="00B11B5E">
        <w:t>.</w:t>
      </w:r>
      <w:r w:rsidRPr="00A53135">
        <w:t>”</w:t>
      </w:r>
    </w:p>
    <w:p w14:paraId="0A6A37F9" w14:textId="77777777" w:rsidR="00B22490" w:rsidRDefault="00B22490">
      <w:pPr>
        <w:rPr>
          <w:b/>
        </w:rPr>
      </w:pPr>
    </w:p>
    <w:p w14:paraId="27F2084D" w14:textId="3D099F08" w:rsidR="00E67C44" w:rsidRPr="001B532B" w:rsidRDefault="00B349A1">
      <w:r>
        <w:rPr>
          <w:b/>
        </w:rPr>
        <w:t>5</w:t>
      </w:r>
      <w:r w:rsidR="00E67C44" w:rsidRPr="001B532B">
        <w:rPr>
          <w:b/>
        </w:rPr>
        <w:t>.</w:t>
      </w:r>
      <w:r w:rsidR="00E67C44" w:rsidRPr="001B532B">
        <w:t xml:space="preserve"> § 36 b, stk. 2, </w:t>
      </w:r>
      <w:r w:rsidR="00B22490" w:rsidRPr="001B532B">
        <w:t xml:space="preserve">affattes således: </w:t>
      </w:r>
    </w:p>
    <w:p w14:paraId="2CD65691" w14:textId="7AE95A33" w:rsidR="00BA6CEB" w:rsidRDefault="00E67C44">
      <w:r w:rsidRPr="001B532B">
        <w:t>”</w:t>
      </w:r>
      <w:r w:rsidR="00F37574">
        <w:t xml:space="preserve">  </w:t>
      </w:r>
      <w:r w:rsidR="005978A6" w:rsidRPr="00B349A1">
        <w:rPr>
          <w:i/>
        </w:rPr>
        <w:t>Stk. 2.</w:t>
      </w:r>
      <w:r w:rsidR="005978A6">
        <w:t xml:space="preserve">  </w:t>
      </w:r>
      <w:r w:rsidR="00BA6CEB" w:rsidRPr="001B532B">
        <w:t xml:space="preserve">Den skattepligtige skal udfærdige og opbevare skriftlige dokumenter for, hvorledes priser og vilkår er fastsat for de kontrollerede transaktioner, jf. dog stk. 4. Den skriftlige dokumentation skal opbevares på betryggende vis i 5 år fra udgangen af det regnskabsår, materialet vedrører. Den skriftlige dokumentation skal være af en sådan art, at den kan danne grundlag for en vurdering af, om priser og vilkår er fastsat i overensstemmelse med, hvad der kunne være opnået, hvis transaktionerne var afsluttet mellem uafhængige parter. Der skal ikke udarbejdes skriftlig dokumentation for kontrollerede transaktioner, der i omfang og hyppighed er uvæsentlige. Den skattepligtige skal på skatteforvaltningens anmodning indsende dokumentationen inden for en frist, som fastsættes af skatteforvaltningen, men som ikke kan være på mindre </w:t>
      </w:r>
      <w:r w:rsidR="00BA6CEB" w:rsidRPr="000F01EF">
        <w:t xml:space="preserve">end 60 dage. Skriftlig dokumentation i form af databaseundersøgelser skal alene udarbejdes, såfremt skatteforvaltningen anmoder herom, og med en frist på minimum 60 dage. </w:t>
      </w:r>
      <w:r w:rsidR="00F40DCE">
        <w:t>Naalakkersuisut kan fastsætte regler, hvorefter s</w:t>
      </w:r>
      <w:r w:rsidR="00BA6CEB" w:rsidRPr="000F01EF">
        <w:t>kattepligtige</w:t>
      </w:r>
      <w:r w:rsidR="00F40DCE">
        <w:t xml:space="preserve">, </w:t>
      </w:r>
      <w:r w:rsidR="00807A1C" w:rsidRPr="000F01EF">
        <w:t xml:space="preserve">der </w:t>
      </w:r>
      <w:r w:rsidR="00F40DCE">
        <w:t xml:space="preserve">alene eller sammen med koncernforbundne virksomheder overstiger </w:t>
      </w:r>
      <w:r w:rsidR="00A939E2">
        <w:t xml:space="preserve">de af Naalakkersuisut fastsatte </w:t>
      </w:r>
      <w:r w:rsidR="00F40DCE">
        <w:t>grænseværdier</w:t>
      </w:r>
      <w:r w:rsidR="006E2987">
        <w:t>,</w:t>
      </w:r>
      <w:r w:rsidR="00807A1C" w:rsidRPr="000F01EF">
        <w:t xml:space="preserve"> er </w:t>
      </w:r>
      <w:r w:rsidR="00BA6CEB" w:rsidRPr="000F01EF">
        <w:t xml:space="preserve">forpligtet til løbende at indgive den skriftlige dokumentation senest </w:t>
      </w:r>
      <w:r w:rsidR="00A939E2">
        <w:t>60</w:t>
      </w:r>
      <w:r w:rsidR="00BA6CEB" w:rsidRPr="000F01EF">
        <w:t xml:space="preserve"> dage efter </w:t>
      </w:r>
      <w:r w:rsidR="00A939E2">
        <w:t xml:space="preserve">fristen for </w:t>
      </w:r>
      <w:r w:rsidR="00BA6CEB" w:rsidRPr="000F01EF">
        <w:t>indgivelse</w:t>
      </w:r>
      <w:r w:rsidR="001B532B" w:rsidRPr="000F01EF">
        <w:t>n</w:t>
      </w:r>
      <w:r w:rsidR="005978A6" w:rsidRPr="000F01EF">
        <w:t xml:space="preserve"> af </w:t>
      </w:r>
      <w:r w:rsidR="00A939E2">
        <w:t xml:space="preserve">selvangivelsen efter § 16, stk. 3, i landstingslov om forvaltning af skatter. </w:t>
      </w:r>
      <w:r w:rsidR="00BA6CEB" w:rsidRPr="000F01EF">
        <w:t>Naalakkersuisut kan fastsætte regler for indholdet af den skriftlige dokumentation</w:t>
      </w:r>
      <w:r w:rsidR="001B532B" w:rsidRPr="000F01EF">
        <w:t>, samt om at nogle skattepligtige kun skal udarbejde den skriftlige dokumentation for nærmere angivne transaktioner</w:t>
      </w:r>
      <w:r w:rsidR="00BA6CEB" w:rsidRPr="000F01EF">
        <w:t>.</w:t>
      </w:r>
      <w:r w:rsidR="001B532B" w:rsidRPr="000F01EF">
        <w:t>”</w:t>
      </w:r>
    </w:p>
    <w:p w14:paraId="13BEDDDD" w14:textId="77777777" w:rsidR="00F53BBD" w:rsidRDefault="00F53BBD"/>
    <w:p w14:paraId="1C52179E" w14:textId="65364259" w:rsidR="00F53BBD" w:rsidRPr="00AC2661" w:rsidRDefault="00B349A1">
      <w:pPr>
        <w:rPr>
          <w:b/>
        </w:rPr>
      </w:pPr>
      <w:r>
        <w:rPr>
          <w:b/>
        </w:rPr>
        <w:t>6</w:t>
      </w:r>
      <w:r w:rsidR="00AC2661">
        <w:rPr>
          <w:b/>
        </w:rPr>
        <w:t>.</w:t>
      </w:r>
      <w:r w:rsidR="00F37574">
        <w:rPr>
          <w:b/>
        </w:rPr>
        <w:t xml:space="preserve"> </w:t>
      </w:r>
      <w:r w:rsidR="00AC2661" w:rsidRPr="00AC2661">
        <w:t>§ 36 b, stk. 4, affattes således:</w:t>
      </w:r>
    </w:p>
    <w:p w14:paraId="1460C1F2" w14:textId="43F75599" w:rsidR="00AC2661" w:rsidRDefault="00AC2661">
      <w:r>
        <w:t>”</w:t>
      </w:r>
      <w:r w:rsidR="00DA10C8">
        <w:t xml:space="preserve">  </w:t>
      </w:r>
      <w:r w:rsidR="00DA10C8" w:rsidRPr="00FE09B6">
        <w:rPr>
          <w:i/>
        </w:rPr>
        <w:t>Stk. 4.</w:t>
      </w:r>
      <w:r w:rsidR="00DA10C8">
        <w:t xml:space="preserve">  </w:t>
      </w:r>
      <w:r w:rsidRPr="00AC2661">
        <w:t>Skattepligtige, der alene eller sammen med koncernforbundne virksomheder, jf. § 36 a</w:t>
      </w:r>
      <w:r w:rsidR="00072E89">
        <w:t>,</w:t>
      </w:r>
      <w:r w:rsidRPr="00AC2661">
        <w:t xml:space="preserve"> stk. 4, har under 250 beskæftigede og enten har en årlig samlet balance på under 125 mio. kr. eller en årlig omsætning på under 250 mio. kr., skal alene udfærdige og opbevare skriftlig dokumentation for, hvorledes priser og vilkår er fastsat for:</w:t>
      </w:r>
      <w:r>
        <w:t>”</w:t>
      </w:r>
    </w:p>
    <w:p w14:paraId="5EFD2792" w14:textId="77777777" w:rsidR="00E67C44" w:rsidRDefault="00E67C44">
      <w:pPr>
        <w:rPr>
          <w:b/>
        </w:rPr>
      </w:pPr>
    </w:p>
    <w:p w14:paraId="30E3F0E5" w14:textId="36FBFF2A" w:rsidR="00AC19D3" w:rsidRDefault="00B349A1">
      <w:r>
        <w:rPr>
          <w:b/>
        </w:rPr>
        <w:t>7</w:t>
      </w:r>
      <w:r w:rsidR="00AC19D3">
        <w:rPr>
          <w:b/>
        </w:rPr>
        <w:t xml:space="preserve">. </w:t>
      </w:r>
      <w:r w:rsidR="0054458C" w:rsidRPr="0063371C">
        <w:t>§ 38 b</w:t>
      </w:r>
      <w:r w:rsidR="0063371C">
        <w:t>,</w:t>
      </w:r>
      <w:r w:rsidR="0054458C">
        <w:t xml:space="preserve"> affattes </w:t>
      </w:r>
      <w:r w:rsidR="0063371C">
        <w:t>således</w:t>
      </w:r>
      <w:r w:rsidR="0054458C">
        <w:t xml:space="preserve">: </w:t>
      </w:r>
    </w:p>
    <w:p w14:paraId="023272CE" w14:textId="7C78B270" w:rsidR="00671BF5" w:rsidRDefault="0063371C">
      <w:r>
        <w:t>”</w:t>
      </w:r>
      <w:r w:rsidR="00671BF5" w:rsidRPr="00671BF5">
        <w:t xml:space="preserve">  </w:t>
      </w:r>
      <w:r w:rsidR="00671BF5" w:rsidRPr="00FE09B6">
        <w:rPr>
          <w:b/>
          <w:bCs/>
        </w:rPr>
        <w:t>§ 38 b.</w:t>
      </w:r>
      <w:r w:rsidR="00671BF5" w:rsidRPr="00671BF5">
        <w:t xml:space="preserve">  Beskæftigelsesfradraget udgør følgende pr. indkomstår:</w:t>
      </w:r>
    </w:p>
    <w:p w14:paraId="4A5F3CA2" w14:textId="6DF85864" w:rsidR="004F7482" w:rsidRDefault="00762D9F">
      <w:r>
        <w:t xml:space="preserve">1)  </w:t>
      </w:r>
      <w:r w:rsidR="0063371C">
        <w:t xml:space="preserve">Beskæftigelsesfradraget udgør </w:t>
      </w:r>
      <w:r w:rsidR="00B61A8B">
        <w:t>i indkomstårene 2020</w:t>
      </w:r>
      <w:r w:rsidR="00F00E39">
        <w:t xml:space="preserve"> - </w:t>
      </w:r>
      <w:r w:rsidR="00B61A8B">
        <w:t xml:space="preserve">2022 </w:t>
      </w:r>
      <w:r w:rsidR="0063371C" w:rsidRPr="00A31CC7">
        <w:t>7,0</w:t>
      </w:r>
      <w:r w:rsidR="0063371C">
        <w:t xml:space="preserve"> procent af det indkomstgrundlag, der overstiger personfradraget efter § 67 tillagt standardfradraget efter § 21, stk. 2.</w:t>
      </w:r>
      <w:r w:rsidR="00B61A8B">
        <w:t xml:space="preserve"> Fra og med indkomståret 2023 udgør </w:t>
      </w:r>
      <w:r w:rsidR="00C95EFF">
        <w:t xml:space="preserve">procenten </w:t>
      </w:r>
      <w:r w:rsidR="00F00E39">
        <w:t xml:space="preserve">i 1. pkt. 14,3 </w:t>
      </w:r>
      <w:r w:rsidR="00F20D84">
        <w:t>procent</w:t>
      </w:r>
      <w:r w:rsidR="00F00E39">
        <w:t xml:space="preserve">. </w:t>
      </w:r>
      <w:r w:rsidR="0063371C">
        <w:t xml:space="preserve">Beskæftigelsesfradraget i et indkomstår kan dog ikke overstige </w:t>
      </w:r>
      <w:r w:rsidR="00FA1090">
        <w:t>9.800</w:t>
      </w:r>
      <w:r w:rsidR="00E67C44">
        <w:t xml:space="preserve"> kr.</w:t>
      </w:r>
      <w:r w:rsidR="00C95EFF">
        <w:t xml:space="preserve"> (2020 niveau). Fra og med </w:t>
      </w:r>
      <w:r w:rsidR="00007640">
        <w:t xml:space="preserve">indkomståret 2023 udgør </w:t>
      </w:r>
      <w:r w:rsidR="00496D39">
        <w:t xml:space="preserve">satsen </w:t>
      </w:r>
      <w:r w:rsidR="00007640">
        <w:t>i 3. pkt</w:t>
      </w:r>
      <w:r w:rsidR="00496D39">
        <w:t>.</w:t>
      </w:r>
      <w:r w:rsidR="00007640">
        <w:t xml:space="preserve"> </w:t>
      </w:r>
      <w:r w:rsidR="00F00E39" w:rsidRPr="00FE09B6">
        <w:t xml:space="preserve">20.000 </w:t>
      </w:r>
      <w:r w:rsidR="0063371C" w:rsidRPr="00F00E39">
        <w:t>kr</w:t>
      </w:r>
      <w:r w:rsidR="00496D39">
        <w:t>. (2023 niveau)</w:t>
      </w:r>
      <w:r w:rsidR="0063371C" w:rsidRPr="00F00E39">
        <w:t>.</w:t>
      </w:r>
      <w:r w:rsidR="00FA1090">
        <w:t xml:space="preserve"> </w:t>
      </w:r>
      <w:r w:rsidR="003C4D70">
        <w:t xml:space="preserve"> </w:t>
      </w:r>
    </w:p>
    <w:p w14:paraId="5BCBF334" w14:textId="7F91A3EC" w:rsidR="00FA1090" w:rsidRDefault="0063371C">
      <w:r>
        <w:t xml:space="preserve">2) </w:t>
      </w:r>
      <w:r w:rsidR="000B1A3B">
        <w:t xml:space="preserve"> </w:t>
      </w:r>
      <w:r>
        <w:t xml:space="preserve">Beskæftigelsesfradraget aftrappes </w:t>
      </w:r>
      <w:r w:rsidR="00B45B9F">
        <w:t xml:space="preserve">til 0 kr. </w:t>
      </w:r>
      <w:r>
        <w:t xml:space="preserve">med 4,5 procent af det indkomstgrundlag, der </w:t>
      </w:r>
      <w:r w:rsidR="000E2114">
        <w:t>i et indkomstår overstiger 386</w:t>
      </w:r>
      <w:r w:rsidR="00072E89">
        <w:t>.</w:t>
      </w:r>
      <w:r w:rsidR="000E2114">
        <w:t xml:space="preserve">000 kr. </w:t>
      </w:r>
      <w:r w:rsidR="00C95EFF">
        <w:t>(</w:t>
      </w:r>
      <w:r w:rsidR="000E2114">
        <w:t>2020</w:t>
      </w:r>
      <w:r w:rsidR="00C95EFF">
        <w:t xml:space="preserve"> niveau)</w:t>
      </w:r>
      <w:r w:rsidR="00AC16D7">
        <w:t xml:space="preserve">. Fra og med indkomståret 2023 udgør procenten i 1. pkt. </w:t>
      </w:r>
      <w:r w:rsidR="00833B21">
        <w:t>9,0</w:t>
      </w:r>
      <w:r w:rsidR="00AC16D7">
        <w:t xml:space="preserve"> procent. </w:t>
      </w:r>
    </w:p>
    <w:p w14:paraId="33C8F576" w14:textId="4300BB76" w:rsidR="0063371C" w:rsidRDefault="00FA1090">
      <w:r w:rsidRPr="00FA1090">
        <w:t xml:space="preserve">  </w:t>
      </w:r>
      <w:r w:rsidRPr="00FE09B6">
        <w:rPr>
          <w:i/>
          <w:iCs/>
        </w:rPr>
        <w:t>Stk. 2.</w:t>
      </w:r>
      <w:r w:rsidR="0065770F">
        <w:rPr>
          <w:i/>
          <w:iCs/>
        </w:rPr>
        <w:t xml:space="preserve"> </w:t>
      </w:r>
      <w:r w:rsidRPr="00FA1090">
        <w:t xml:space="preserve"> Beløbene og indkomstgrundlagsgrænserne i stk. 1 reguleres årligt med satstilpasningsprocenten for det pågældende finansår, jf. Inatsisartutlov om en satsreguleringsprocent og aktuel indkomst.</w:t>
      </w:r>
      <w:r w:rsidR="0041628A">
        <w:t xml:space="preserve"> </w:t>
      </w:r>
      <w:r w:rsidR="00762D9F" w:rsidRPr="00762D9F">
        <w:t>Værdierne nedrundes til nærmeste hele kronebeløb.</w:t>
      </w:r>
      <w:r w:rsidR="00762D9F">
        <w:t xml:space="preserve"> </w:t>
      </w:r>
      <w:r w:rsidR="0041628A">
        <w:t>Skatteforvaltningen meddeler årligt de for indkomståret gældende satser den 10. oktober i kalenderåret forud for det indkomstår, hvor satserne skal gælde.</w:t>
      </w:r>
      <w:r w:rsidR="0063371C">
        <w:t>”</w:t>
      </w:r>
    </w:p>
    <w:p w14:paraId="3F7D8ECD" w14:textId="77777777" w:rsidR="008E55C0" w:rsidRDefault="008E55C0"/>
    <w:p w14:paraId="4AA22E96" w14:textId="470E5C61" w:rsidR="00B349A1" w:rsidRPr="008E4A88" w:rsidRDefault="00B349A1">
      <w:r>
        <w:rPr>
          <w:b/>
          <w:bCs/>
        </w:rPr>
        <w:t>8</w:t>
      </w:r>
      <w:r w:rsidRPr="008E4A88">
        <w:rPr>
          <w:b/>
          <w:bCs/>
        </w:rPr>
        <w:t>.</w:t>
      </w:r>
      <w:r w:rsidRPr="008E4A88">
        <w:t xml:space="preserve"> </w:t>
      </w:r>
      <w:r w:rsidRPr="00D507EC">
        <w:t>§ 72</w:t>
      </w:r>
      <w:r w:rsidRPr="008E4A88">
        <w:rPr>
          <w:i/>
          <w:iCs/>
        </w:rPr>
        <w:t xml:space="preserve"> </w:t>
      </w:r>
      <w:r w:rsidRPr="008E4A88">
        <w:t>ophæves.</w:t>
      </w:r>
    </w:p>
    <w:p w14:paraId="7DFADA02" w14:textId="77777777" w:rsidR="00893369" w:rsidRDefault="00893369"/>
    <w:p w14:paraId="1E9B7834" w14:textId="1583063E" w:rsidR="003C3CC5" w:rsidRDefault="00A7537E">
      <w:r>
        <w:rPr>
          <w:b/>
          <w:bCs/>
        </w:rPr>
        <w:t>9</w:t>
      </w:r>
      <w:r w:rsidR="003C3CC5">
        <w:rPr>
          <w:b/>
          <w:bCs/>
        </w:rPr>
        <w:t>.</w:t>
      </w:r>
      <w:r w:rsidR="003C3CC5">
        <w:t xml:space="preserve"> </w:t>
      </w:r>
      <w:r w:rsidR="00A23557">
        <w:t>Efter § 86 indsættes:</w:t>
      </w:r>
    </w:p>
    <w:p w14:paraId="09F5FC51" w14:textId="4F734904" w:rsidR="006F753E" w:rsidRDefault="006F753E">
      <w:r w:rsidRPr="007B111E">
        <w:t>”</w:t>
      </w:r>
      <w:r w:rsidR="00F37574">
        <w:t xml:space="preserve">  </w:t>
      </w:r>
      <w:r w:rsidRPr="00893369">
        <w:rPr>
          <w:b/>
        </w:rPr>
        <w:t xml:space="preserve">§ </w:t>
      </w:r>
      <w:r w:rsidRPr="00820D93">
        <w:rPr>
          <w:b/>
        </w:rPr>
        <w:t>8</w:t>
      </w:r>
      <w:r>
        <w:rPr>
          <w:b/>
        </w:rPr>
        <w:t>6</w:t>
      </w:r>
      <w:r w:rsidRPr="00820D93">
        <w:rPr>
          <w:b/>
        </w:rPr>
        <w:t xml:space="preserve"> a.</w:t>
      </w:r>
      <w:r>
        <w:rPr>
          <w:b/>
        </w:rPr>
        <w:t xml:space="preserve"> </w:t>
      </w:r>
      <w:r>
        <w:t xml:space="preserve"> Uden for de tilfælde</w:t>
      </w:r>
      <w:r w:rsidR="00632B45">
        <w:t>,</w:t>
      </w:r>
      <w:r>
        <w:t xml:space="preserve"> der</w:t>
      </w:r>
      <w:r w:rsidR="00632B45">
        <w:t xml:space="preserve"> er</w:t>
      </w:r>
      <w:r>
        <w:t xml:space="preserve"> omfattet af § 86, stk. 2</w:t>
      </w:r>
      <w:r w:rsidR="00632B45">
        <w:t>,</w:t>
      </w:r>
      <w:r>
        <w:t xml:space="preserve"> og § 16, stk. 2, skal selskaber omfattet af § 1, der udlodder e</w:t>
      </w:r>
      <w:r w:rsidR="00CE3037">
        <w:t>n</w:t>
      </w:r>
      <w:r>
        <w:t xml:space="preserve"> likvidationsudlodning, indeholde en udbytteskat med en skattesats, der udgør forskellen mellem den samlede udskrivningsprocent</w:t>
      </w:r>
      <w:r w:rsidR="002B107D">
        <w:t>, jf. §§ 61-63,</w:t>
      </w:r>
      <w:r>
        <w:t xml:space="preserve"> i den kommune, selskabet er hjemmehørende i, og selskabsskattesatsen</w:t>
      </w:r>
      <w:r w:rsidR="00632B45">
        <w:t>,</w:t>
      </w:r>
      <w:r>
        <w:t xml:space="preserve"> jf. § </w:t>
      </w:r>
      <w:r w:rsidR="002B107D">
        <w:t>60</w:t>
      </w:r>
      <w:r>
        <w:t>.</w:t>
      </w:r>
      <w:r w:rsidR="00D16618">
        <w:t xml:space="preserve"> Selskabet skal indbetale den indeholdte skat og give skatteforvaltningen meddelelse herom efter reglerne i § 88.</w:t>
      </w:r>
      <w:r>
        <w:t xml:space="preserve"> Den skattepligtige kan ved ansøgning til skatteforvaltningen få refunderet den del af den indeholdte skat, der forholdsmæssigt </w:t>
      </w:r>
      <w:r w:rsidR="00A56B86">
        <w:t xml:space="preserve">kan henføres til </w:t>
      </w:r>
      <w:r>
        <w:t>den dokumenterede anskaffelsessum for kapitalandelene i selskabet.</w:t>
      </w:r>
    </w:p>
    <w:p w14:paraId="5A92971F" w14:textId="1E77388C" w:rsidR="006F753E" w:rsidRDefault="006F753E">
      <w:r>
        <w:t xml:space="preserve">  </w:t>
      </w:r>
      <w:r w:rsidRPr="00940DDF">
        <w:rPr>
          <w:i/>
        </w:rPr>
        <w:t>Stk. 2.</w:t>
      </w:r>
      <w:r>
        <w:t xml:space="preserve"> </w:t>
      </w:r>
      <w:r w:rsidR="00F37574">
        <w:t xml:space="preserve"> </w:t>
      </w:r>
      <w:r>
        <w:t>Ved opgørelsen af den skattepligtige indkomst skal fuldt skattepligtige fysiske personer medregne likvidations</w:t>
      </w:r>
      <w:r w:rsidR="00845B8C">
        <w:t xml:space="preserve">udlodninger </w:t>
      </w:r>
      <w:r>
        <w:t xml:space="preserve">fra selskaber hjemmehørende i udlandet, herunder Danmark og Færøerne. </w:t>
      </w:r>
      <w:r w:rsidR="002B107D">
        <w:t>Den skattepligtige indkomst opgøres som forskellen mellem likvidations</w:t>
      </w:r>
      <w:r w:rsidR="00845B8C">
        <w:t xml:space="preserve">udlodningen </w:t>
      </w:r>
      <w:r w:rsidR="002B107D">
        <w:t>og anskaffelsessummen</w:t>
      </w:r>
      <w:r w:rsidR="005978A6">
        <w:t xml:space="preserve"> for kapitalandelene i selskabet</w:t>
      </w:r>
      <w:r w:rsidR="002B107D">
        <w:t>.</w:t>
      </w:r>
      <w:r w:rsidR="00A56B86">
        <w:t xml:space="preserve"> </w:t>
      </w:r>
      <w:r w:rsidR="002B107D">
        <w:t xml:space="preserve">Til den skattepligtige indkomst medregnes dog kun </w:t>
      </w:r>
      <w:r w:rsidR="00A72666">
        <w:t>65</w:t>
      </w:r>
      <w:r w:rsidR="002B107D">
        <w:t xml:space="preserve"> pct. af gevinsten. </w:t>
      </w:r>
      <w:r w:rsidR="00F234E7">
        <w:t>Et t</w:t>
      </w:r>
      <w:r w:rsidR="00E86BD1">
        <w:t xml:space="preserve">ab </w:t>
      </w:r>
      <w:r w:rsidR="00F234E7">
        <w:t xml:space="preserve">kan </w:t>
      </w:r>
      <w:r w:rsidR="00E86BD1">
        <w:t xml:space="preserve">ikke fradrages i den skattepligtige indkomst. </w:t>
      </w:r>
      <w:r>
        <w:t xml:space="preserve">Skatteforvaltningen kan </w:t>
      </w:r>
      <w:r w:rsidR="002B107D">
        <w:t xml:space="preserve">efter </w:t>
      </w:r>
      <w:r w:rsidR="00F234E7" w:rsidRPr="002B107D">
        <w:t>§ 69</w:t>
      </w:r>
      <w:r w:rsidR="00F234E7">
        <w:t xml:space="preserve"> </w:t>
      </w:r>
      <w:r w:rsidR="002B107D">
        <w:t>tillade</w:t>
      </w:r>
      <w:r w:rsidR="00632B45">
        <w:t>,</w:t>
      </w:r>
      <w:r w:rsidR="002B107D">
        <w:t xml:space="preserve"> at s</w:t>
      </w:r>
      <w:r w:rsidR="002B107D" w:rsidRPr="002B107D">
        <w:t>kat betalt til fremmed stat, Danmark eller Færøerne kan fradrages i skat</w:t>
      </w:r>
      <w:r w:rsidR="002B107D">
        <w:t>ten</w:t>
      </w:r>
      <w:r w:rsidR="002B107D" w:rsidRPr="002B107D">
        <w:t>.</w:t>
      </w:r>
      <w:r w:rsidR="002B107D">
        <w:t>”</w:t>
      </w:r>
    </w:p>
    <w:p w14:paraId="35089213" w14:textId="77777777" w:rsidR="00001249" w:rsidRDefault="00001249"/>
    <w:p w14:paraId="24D8B639" w14:textId="7BCD83FA" w:rsidR="00001249" w:rsidRDefault="00FE1871">
      <w:r>
        <w:rPr>
          <w:b/>
        </w:rPr>
        <w:t>10</w:t>
      </w:r>
      <w:r w:rsidR="00001249" w:rsidRPr="00001249">
        <w:rPr>
          <w:b/>
        </w:rPr>
        <w:t>.</w:t>
      </w:r>
      <w:r w:rsidR="00001249">
        <w:rPr>
          <w:b/>
        </w:rPr>
        <w:t xml:space="preserve"> </w:t>
      </w:r>
      <w:r w:rsidR="00001249">
        <w:t>§ 105, stk. 1, nr. 7</w:t>
      </w:r>
      <w:r w:rsidR="00493950">
        <w:t xml:space="preserve"> og </w:t>
      </w:r>
      <w:r w:rsidR="00001249">
        <w:t xml:space="preserve">8, affattes </w:t>
      </w:r>
      <w:r w:rsidR="00CE2111">
        <w:t>således</w:t>
      </w:r>
      <w:r w:rsidR="00001249">
        <w:t>:</w:t>
      </w:r>
    </w:p>
    <w:p w14:paraId="64AE372F" w14:textId="6A39EF4F" w:rsidR="00001249" w:rsidRDefault="00001249">
      <w:r>
        <w:t xml:space="preserve">”7) </w:t>
      </w:r>
      <w:r w:rsidR="009871FE">
        <w:t xml:space="preserve"> </w:t>
      </w:r>
      <w:r>
        <w:t>afgiver urigtige eller vildledende oplysninger om opfyldelse af betingelserne for begrænset dokumentationspligt vedrørende kontrollerede transaktioner, jf. § 36 b, stk. 4, eller</w:t>
      </w:r>
    </w:p>
    <w:p w14:paraId="0A8801A2" w14:textId="119014AA" w:rsidR="00001249" w:rsidRDefault="00001249">
      <w:r>
        <w:t>8)</w:t>
      </w:r>
      <w:r w:rsidR="002F4FEE">
        <w:t xml:space="preserve"> </w:t>
      </w:r>
      <w:r>
        <w:t xml:space="preserve"> undlader rettidigt at </w:t>
      </w:r>
      <w:r w:rsidR="00720BF2">
        <w:t xml:space="preserve">indgive </w:t>
      </w:r>
      <w:r>
        <w:t>den skriftlige dokumentation vedrørende kontrollerede transaktioner, som der er pligt til at udarbejde efter § 36 b, stk. 2, og land for land-rapport, jf. § 36 b, stk. 6-12.”</w:t>
      </w:r>
    </w:p>
    <w:p w14:paraId="4412C38F" w14:textId="77777777" w:rsidR="00683ED5" w:rsidRDefault="00683ED5">
      <w:pPr>
        <w:rPr>
          <w:b/>
        </w:rPr>
      </w:pPr>
    </w:p>
    <w:p w14:paraId="1EE52336" w14:textId="77777777" w:rsidR="00683ED5" w:rsidRDefault="00683ED5">
      <w:pPr>
        <w:jc w:val="center"/>
        <w:rPr>
          <w:b/>
        </w:rPr>
      </w:pPr>
      <w:r>
        <w:rPr>
          <w:b/>
        </w:rPr>
        <w:t>§ 2</w:t>
      </w:r>
    </w:p>
    <w:p w14:paraId="5784956C" w14:textId="77777777" w:rsidR="00AC19D3" w:rsidRDefault="00AC19D3"/>
    <w:p w14:paraId="14654307" w14:textId="26DD59F5" w:rsidR="00CE62AB" w:rsidRDefault="00683ED5">
      <w:proofErr w:type="spellStart"/>
      <w:r>
        <w:t>Inatsisartutloven</w:t>
      </w:r>
      <w:proofErr w:type="spellEnd"/>
      <w:r>
        <w:t xml:space="preserve"> træder i kraft den 1. januar 2023 og har virkning fra og med indkomståret 2023</w:t>
      </w:r>
      <w:r w:rsidR="0054458C">
        <w:t>.</w:t>
      </w:r>
    </w:p>
    <w:p w14:paraId="3E175A62" w14:textId="5F48D51A" w:rsidR="00683ED5" w:rsidRDefault="00AC19D3">
      <w:r>
        <w:t xml:space="preserve">  </w:t>
      </w:r>
    </w:p>
    <w:p w14:paraId="082441EE" w14:textId="77777777" w:rsidR="00E46C8A" w:rsidRDefault="00E46C8A">
      <w:pPr>
        <w:rPr>
          <w:b/>
        </w:rPr>
      </w:pPr>
    </w:p>
    <w:p w14:paraId="20F3397F" w14:textId="77777777" w:rsidR="00683ED5" w:rsidRDefault="00683ED5">
      <w:pPr>
        <w:rPr>
          <w:b/>
        </w:rPr>
      </w:pPr>
    </w:p>
    <w:p w14:paraId="2DF17316" w14:textId="77777777" w:rsidR="00683ED5" w:rsidRPr="00AC19D3" w:rsidRDefault="00683ED5">
      <w:pPr>
        <w:jc w:val="center"/>
        <w:rPr>
          <w:i/>
        </w:rPr>
      </w:pPr>
      <w:r w:rsidRPr="00AC19D3">
        <w:rPr>
          <w:i/>
        </w:rPr>
        <w:t>Grønlands Selvstyre</w:t>
      </w:r>
      <w:r w:rsidR="00AC19D3">
        <w:rPr>
          <w:i/>
        </w:rPr>
        <w:t>,</w:t>
      </w:r>
      <w:r w:rsidRPr="00AC19D3">
        <w:rPr>
          <w:i/>
        </w:rPr>
        <w:t xml:space="preserve"> den x. xx </w:t>
      </w:r>
      <w:r w:rsidR="00AC19D3" w:rsidRPr="00AC19D3">
        <w:rPr>
          <w:i/>
        </w:rPr>
        <w:t>202</w:t>
      </w:r>
      <w:r w:rsidR="00AC19D3">
        <w:rPr>
          <w:i/>
        </w:rPr>
        <w:t>2</w:t>
      </w:r>
    </w:p>
    <w:p w14:paraId="22D8E471" w14:textId="77777777" w:rsidR="00683ED5" w:rsidRDefault="00683ED5">
      <w:pPr>
        <w:jc w:val="center"/>
      </w:pPr>
    </w:p>
    <w:p w14:paraId="75C08788" w14:textId="31EEFD52" w:rsidR="00683ED5" w:rsidRDefault="00683ED5">
      <w:pPr>
        <w:jc w:val="center"/>
      </w:pPr>
    </w:p>
    <w:p w14:paraId="3878FFAB" w14:textId="77777777" w:rsidR="00E54A89" w:rsidRDefault="00E54A89">
      <w:pPr>
        <w:jc w:val="center"/>
      </w:pPr>
    </w:p>
    <w:p w14:paraId="3B9C2D20" w14:textId="77777777" w:rsidR="00683ED5" w:rsidRPr="00E54A89" w:rsidRDefault="00683ED5">
      <w:pPr>
        <w:jc w:val="center"/>
        <w:rPr>
          <w:b/>
        </w:rPr>
      </w:pPr>
      <w:r w:rsidRPr="00E54A89">
        <w:rPr>
          <w:b/>
        </w:rPr>
        <w:t>Formand</w:t>
      </w:r>
      <w:r w:rsidR="00AC19D3" w:rsidRPr="00E54A89">
        <w:rPr>
          <w:b/>
        </w:rPr>
        <w:t>en</w:t>
      </w:r>
      <w:r w:rsidRPr="00E54A89">
        <w:rPr>
          <w:b/>
        </w:rPr>
        <w:t xml:space="preserve"> for Naalakkersuisut</w:t>
      </w:r>
    </w:p>
    <w:sectPr w:rsidR="00683ED5" w:rsidRPr="00E54A89" w:rsidSect="00605592">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E221" w14:textId="77777777" w:rsidR="009A1EAF" w:rsidRDefault="009A1EAF" w:rsidP="00605592">
      <w:pPr>
        <w:spacing w:line="240" w:lineRule="auto"/>
      </w:pPr>
      <w:r>
        <w:separator/>
      </w:r>
    </w:p>
  </w:endnote>
  <w:endnote w:type="continuationSeparator" w:id="0">
    <w:p w14:paraId="43C4C5D3" w14:textId="77777777" w:rsidR="009A1EAF" w:rsidRDefault="009A1EAF" w:rsidP="00605592">
      <w:pPr>
        <w:spacing w:line="240" w:lineRule="auto"/>
      </w:pPr>
      <w:r>
        <w:continuationSeparator/>
      </w:r>
    </w:p>
  </w:endnote>
  <w:endnote w:type="continuationNotice" w:id="1">
    <w:p w14:paraId="0A9991DA" w14:textId="77777777" w:rsidR="009A1EAF" w:rsidRDefault="009A1E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B62F" w14:textId="47EC3A33" w:rsidR="00AC19D3" w:rsidRDefault="00AC19D3">
    <w:pPr>
      <w:pStyle w:val="Sidefod"/>
    </w:pPr>
    <w:r>
      <w:t>EM 202</w:t>
    </w:r>
    <w:r w:rsidR="00362C8A">
      <w:t>2</w:t>
    </w:r>
    <w:r>
      <w:t>/xx</w:t>
    </w:r>
    <w:r>
      <w:tab/>
    </w:r>
    <w:r>
      <w:fldChar w:fldCharType="begin"/>
    </w:r>
    <w:r>
      <w:instrText>PAGE   \* MERGEFORMAT</w:instrText>
    </w:r>
    <w:r>
      <w:fldChar w:fldCharType="separate"/>
    </w:r>
    <w:r w:rsidR="00362C8A">
      <w:rPr>
        <w:noProof/>
      </w:rPr>
      <w:t>1</w:t>
    </w:r>
    <w:r>
      <w:fldChar w:fldCharType="end"/>
    </w:r>
  </w:p>
  <w:p w14:paraId="249E0E14" w14:textId="4C819A68" w:rsidR="00AC19D3" w:rsidRDefault="00AC19D3">
    <w:pPr>
      <w:pStyle w:val="Sidefod"/>
    </w:pPr>
    <w:r>
      <w:t>AN sags.nr.: 2021-11320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14A1" w14:textId="77777777" w:rsidR="009A1EAF" w:rsidRDefault="009A1EAF" w:rsidP="00605592">
      <w:pPr>
        <w:spacing w:line="240" w:lineRule="auto"/>
      </w:pPr>
      <w:r>
        <w:separator/>
      </w:r>
    </w:p>
  </w:footnote>
  <w:footnote w:type="continuationSeparator" w:id="0">
    <w:p w14:paraId="5E5AED18" w14:textId="77777777" w:rsidR="009A1EAF" w:rsidRDefault="009A1EAF" w:rsidP="00605592">
      <w:pPr>
        <w:spacing w:line="240" w:lineRule="auto"/>
      </w:pPr>
      <w:r>
        <w:continuationSeparator/>
      </w:r>
    </w:p>
  </w:footnote>
  <w:footnote w:type="continuationNotice" w:id="1">
    <w:p w14:paraId="6E3332C7" w14:textId="77777777" w:rsidR="009A1EAF" w:rsidRDefault="009A1EA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56BF" w14:textId="226A18E4" w:rsidR="00605592" w:rsidRDefault="00D507EC" w:rsidP="00D72929">
    <w:pPr>
      <w:pStyle w:val="Sidehoved"/>
      <w:tabs>
        <w:tab w:val="clear" w:pos="9638"/>
        <w:tab w:val="right" w:pos="9070"/>
      </w:tabs>
      <w:jc w:val="right"/>
    </w:pPr>
    <w:r>
      <w:t>7</w:t>
    </w:r>
    <w:r w:rsidR="00605592">
      <w:t xml:space="preserve">. </w:t>
    </w:r>
    <w:r>
      <w:t>juni</w:t>
    </w:r>
    <w:r w:rsidR="008A67E1">
      <w:t xml:space="preserve"> </w:t>
    </w:r>
    <w:r w:rsidR="00605592">
      <w:t>2022</w:t>
    </w:r>
    <w:r w:rsidR="00CE62AB">
      <w:t xml:space="preserve"> </w:t>
    </w:r>
    <w:r w:rsidR="00CE62AB">
      <w:tab/>
    </w:r>
    <w:r w:rsidR="00D72929">
      <w:tab/>
    </w:r>
    <w:r w:rsidR="00CE62AB">
      <w:t>EM 2022/xx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C7B91"/>
    <w:multiLevelType w:val="hybridMultilevel"/>
    <w:tmpl w:val="050851E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57"/>
    <w:rsid w:val="00001249"/>
    <w:rsid w:val="000050C7"/>
    <w:rsid w:val="00007640"/>
    <w:rsid w:val="0000792D"/>
    <w:rsid w:val="00022A8E"/>
    <w:rsid w:val="00040345"/>
    <w:rsid w:val="00053886"/>
    <w:rsid w:val="00071FCE"/>
    <w:rsid w:val="00072E89"/>
    <w:rsid w:val="00077E71"/>
    <w:rsid w:val="000808B1"/>
    <w:rsid w:val="000A315A"/>
    <w:rsid w:val="000B1A3B"/>
    <w:rsid w:val="000B728A"/>
    <w:rsid w:val="000C0FA2"/>
    <w:rsid w:val="000D447A"/>
    <w:rsid w:val="000E0BB7"/>
    <w:rsid w:val="000E196F"/>
    <w:rsid w:val="000E2114"/>
    <w:rsid w:val="000E3D6D"/>
    <w:rsid w:val="000F01EF"/>
    <w:rsid w:val="000F17E2"/>
    <w:rsid w:val="00106EEB"/>
    <w:rsid w:val="00123848"/>
    <w:rsid w:val="00137C01"/>
    <w:rsid w:val="00143672"/>
    <w:rsid w:val="00192FDB"/>
    <w:rsid w:val="001A5BFF"/>
    <w:rsid w:val="001B532B"/>
    <w:rsid w:val="001F69D5"/>
    <w:rsid w:val="00211405"/>
    <w:rsid w:val="0021607C"/>
    <w:rsid w:val="00231291"/>
    <w:rsid w:val="00236685"/>
    <w:rsid w:val="002563E8"/>
    <w:rsid w:val="0025654F"/>
    <w:rsid w:val="00256E3F"/>
    <w:rsid w:val="0026527F"/>
    <w:rsid w:val="00273F6F"/>
    <w:rsid w:val="00286705"/>
    <w:rsid w:val="002A59A0"/>
    <w:rsid w:val="002B030E"/>
    <w:rsid w:val="002B107D"/>
    <w:rsid w:val="002B6CF2"/>
    <w:rsid w:val="002C78C5"/>
    <w:rsid w:val="002D6930"/>
    <w:rsid w:val="002E6D46"/>
    <w:rsid w:val="002F4FEE"/>
    <w:rsid w:val="00314BD2"/>
    <w:rsid w:val="003434BE"/>
    <w:rsid w:val="00362C8A"/>
    <w:rsid w:val="00383A8C"/>
    <w:rsid w:val="00387A86"/>
    <w:rsid w:val="003951AF"/>
    <w:rsid w:val="003C3CC5"/>
    <w:rsid w:val="003C3E3C"/>
    <w:rsid w:val="003C4D70"/>
    <w:rsid w:val="003D2FEF"/>
    <w:rsid w:val="003E0A50"/>
    <w:rsid w:val="003E23A9"/>
    <w:rsid w:val="003E6A69"/>
    <w:rsid w:val="00407796"/>
    <w:rsid w:val="0041628A"/>
    <w:rsid w:val="00430A01"/>
    <w:rsid w:val="00432625"/>
    <w:rsid w:val="00446B55"/>
    <w:rsid w:val="00453C86"/>
    <w:rsid w:val="00475162"/>
    <w:rsid w:val="00475C75"/>
    <w:rsid w:val="00482D37"/>
    <w:rsid w:val="00484C94"/>
    <w:rsid w:val="00493950"/>
    <w:rsid w:val="00496D39"/>
    <w:rsid w:val="004A5624"/>
    <w:rsid w:val="004B5956"/>
    <w:rsid w:val="004B776B"/>
    <w:rsid w:val="004C45C5"/>
    <w:rsid w:val="004E1D96"/>
    <w:rsid w:val="004F3881"/>
    <w:rsid w:val="004F6B06"/>
    <w:rsid w:val="004F7482"/>
    <w:rsid w:val="00501F99"/>
    <w:rsid w:val="00534B13"/>
    <w:rsid w:val="0054458C"/>
    <w:rsid w:val="00555727"/>
    <w:rsid w:val="005707C2"/>
    <w:rsid w:val="00576E94"/>
    <w:rsid w:val="00581141"/>
    <w:rsid w:val="0059354A"/>
    <w:rsid w:val="005977BF"/>
    <w:rsid w:val="005978A6"/>
    <w:rsid w:val="005A761B"/>
    <w:rsid w:val="005B4751"/>
    <w:rsid w:val="005D1715"/>
    <w:rsid w:val="005E2EC3"/>
    <w:rsid w:val="005F210F"/>
    <w:rsid w:val="00605592"/>
    <w:rsid w:val="006068D3"/>
    <w:rsid w:val="00611351"/>
    <w:rsid w:val="006169C3"/>
    <w:rsid w:val="006171E9"/>
    <w:rsid w:val="00632B45"/>
    <w:rsid w:val="0063371C"/>
    <w:rsid w:val="00647623"/>
    <w:rsid w:val="0065383C"/>
    <w:rsid w:val="0065770F"/>
    <w:rsid w:val="00671BF5"/>
    <w:rsid w:val="00683ED5"/>
    <w:rsid w:val="00684FAE"/>
    <w:rsid w:val="006A3E12"/>
    <w:rsid w:val="006A6FBA"/>
    <w:rsid w:val="006A7095"/>
    <w:rsid w:val="006D1256"/>
    <w:rsid w:val="006E2987"/>
    <w:rsid w:val="006E2CE7"/>
    <w:rsid w:val="006F753E"/>
    <w:rsid w:val="00703939"/>
    <w:rsid w:val="00705C05"/>
    <w:rsid w:val="00714873"/>
    <w:rsid w:val="00720BF2"/>
    <w:rsid w:val="00741021"/>
    <w:rsid w:val="00754789"/>
    <w:rsid w:val="00762D9F"/>
    <w:rsid w:val="00767893"/>
    <w:rsid w:val="0078214D"/>
    <w:rsid w:val="007835AC"/>
    <w:rsid w:val="007B111E"/>
    <w:rsid w:val="007C25BA"/>
    <w:rsid w:val="007C3011"/>
    <w:rsid w:val="007D417F"/>
    <w:rsid w:val="00807A1C"/>
    <w:rsid w:val="00820D93"/>
    <w:rsid w:val="00833B21"/>
    <w:rsid w:val="00834C3E"/>
    <w:rsid w:val="00835D46"/>
    <w:rsid w:val="00845B8C"/>
    <w:rsid w:val="0085689A"/>
    <w:rsid w:val="00857AE3"/>
    <w:rsid w:val="008663AF"/>
    <w:rsid w:val="00870747"/>
    <w:rsid w:val="0088096A"/>
    <w:rsid w:val="00893369"/>
    <w:rsid w:val="008A67E1"/>
    <w:rsid w:val="008A7B28"/>
    <w:rsid w:val="008A7F75"/>
    <w:rsid w:val="008B5E20"/>
    <w:rsid w:val="008B669C"/>
    <w:rsid w:val="008C7526"/>
    <w:rsid w:val="008E09F6"/>
    <w:rsid w:val="008E55C0"/>
    <w:rsid w:val="008E5FE8"/>
    <w:rsid w:val="00940DDF"/>
    <w:rsid w:val="00942D86"/>
    <w:rsid w:val="00946A69"/>
    <w:rsid w:val="00955FB1"/>
    <w:rsid w:val="009678C4"/>
    <w:rsid w:val="009871FE"/>
    <w:rsid w:val="009A1EAF"/>
    <w:rsid w:val="009B14F8"/>
    <w:rsid w:val="009B4DAA"/>
    <w:rsid w:val="009C26A6"/>
    <w:rsid w:val="009C3BFD"/>
    <w:rsid w:val="009E2C16"/>
    <w:rsid w:val="009F6627"/>
    <w:rsid w:val="009F7B61"/>
    <w:rsid w:val="00A22599"/>
    <w:rsid w:val="00A23557"/>
    <w:rsid w:val="00A24042"/>
    <w:rsid w:val="00A31CC7"/>
    <w:rsid w:val="00A45FB4"/>
    <w:rsid w:val="00A53135"/>
    <w:rsid w:val="00A56B86"/>
    <w:rsid w:val="00A60AB1"/>
    <w:rsid w:val="00A72666"/>
    <w:rsid w:val="00A7537E"/>
    <w:rsid w:val="00A80B10"/>
    <w:rsid w:val="00A845B5"/>
    <w:rsid w:val="00A9190D"/>
    <w:rsid w:val="00A93158"/>
    <w:rsid w:val="00A939E2"/>
    <w:rsid w:val="00A9567D"/>
    <w:rsid w:val="00AC0F5D"/>
    <w:rsid w:val="00AC16D7"/>
    <w:rsid w:val="00AC19D3"/>
    <w:rsid w:val="00AC2661"/>
    <w:rsid w:val="00AC7138"/>
    <w:rsid w:val="00AD1AA9"/>
    <w:rsid w:val="00AD5637"/>
    <w:rsid w:val="00AF29FB"/>
    <w:rsid w:val="00AF389E"/>
    <w:rsid w:val="00B03165"/>
    <w:rsid w:val="00B11B5E"/>
    <w:rsid w:val="00B20887"/>
    <w:rsid w:val="00B22490"/>
    <w:rsid w:val="00B27995"/>
    <w:rsid w:val="00B349A1"/>
    <w:rsid w:val="00B45B49"/>
    <w:rsid w:val="00B45B9F"/>
    <w:rsid w:val="00B540C1"/>
    <w:rsid w:val="00B56E13"/>
    <w:rsid w:val="00B61A8B"/>
    <w:rsid w:val="00B73D47"/>
    <w:rsid w:val="00B8363A"/>
    <w:rsid w:val="00B858E6"/>
    <w:rsid w:val="00B93549"/>
    <w:rsid w:val="00B94060"/>
    <w:rsid w:val="00B94DB7"/>
    <w:rsid w:val="00B95B31"/>
    <w:rsid w:val="00B96675"/>
    <w:rsid w:val="00BA6CEB"/>
    <w:rsid w:val="00BB429C"/>
    <w:rsid w:val="00BB6435"/>
    <w:rsid w:val="00BC3EAE"/>
    <w:rsid w:val="00BC7183"/>
    <w:rsid w:val="00BC7830"/>
    <w:rsid w:val="00BD4EA8"/>
    <w:rsid w:val="00C02AE1"/>
    <w:rsid w:val="00C206FB"/>
    <w:rsid w:val="00C33ACF"/>
    <w:rsid w:val="00C60324"/>
    <w:rsid w:val="00C679EB"/>
    <w:rsid w:val="00C763DC"/>
    <w:rsid w:val="00C801DA"/>
    <w:rsid w:val="00C83E76"/>
    <w:rsid w:val="00C85D57"/>
    <w:rsid w:val="00C8739A"/>
    <w:rsid w:val="00C93CC9"/>
    <w:rsid w:val="00C9425C"/>
    <w:rsid w:val="00C95EFF"/>
    <w:rsid w:val="00CB35B4"/>
    <w:rsid w:val="00CE2111"/>
    <w:rsid w:val="00CE3037"/>
    <w:rsid w:val="00CE62AB"/>
    <w:rsid w:val="00D01FFF"/>
    <w:rsid w:val="00D02629"/>
    <w:rsid w:val="00D03DAE"/>
    <w:rsid w:val="00D16618"/>
    <w:rsid w:val="00D215D5"/>
    <w:rsid w:val="00D44745"/>
    <w:rsid w:val="00D507EC"/>
    <w:rsid w:val="00D50D5D"/>
    <w:rsid w:val="00D65AD6"/>
    <w:rsid w:val="00D7145C"/>
    <w:rsid w:val="00D72929"/>
    <w:rsid w:val="00DA10C8"/>
    <w:rsid w:val="00DA4144"/>
    <w:rsid w:val="00DB24AA"/>
    <w:rsid w:val="00DC54F8"/>
    <w:rsid w:val="00DD7BCA"/>
    <w:rsid w:val="00DE493E"/>
    <w:rsid w:val="00DF5229"/>
    <w:rsid w:val="00E004C4"/>
    <w:rsid w:val="00E153C7"/>
    <w:rsid w:val="00E2015C"/>
    <w:rsid w:val="00E21317"/>
    <w:rsid w:val="00E32EE7"/>
    <w:rsid w:val="00E3512C"/>
    <w:rsid w:val="00E45B68"/>
    <w:rsid w:val="00E45E2A"/>
    <w:rsid w:val="00E46939"/>
    <w:rsid w:val="00E46C8A"/>
    <w:rsid w:val="00E54A89"/>
    <w:rsid w:val="00E57062"/>
    <w:rsid w:val="00E57F1E"/>
    <w:rsid w:val="00E6126B"/>
    <w:rsid w:val="00E62582"/>
    <w:rsid w:val="00E67C44"/>
    <w:rsid w:val="00E72C21"/>
    <w:rsid w:val="00E86BD1"/>
    <w:rsid w:val="00EA7678"/>
    <w:rsid w:val="00F00E39"/>
    <w:rsid w:val="00F01F3F"/>
    <w:rsid w:val="00F20D84"/>
    <w:rsid w:val="00F234E7"/>
    <w:rsid w:val="00F25905"/>
    <w:rsid w:val="00F37574"/>
    <w:rsid w:val="00F40C42"/>
    <w:rsid w:val="00F40DCE"/>
    <w:rsid w:val="00F53BBD"/>
    <w:rsid w:val="00F601AD"/>
    <w:rsid w:val="00F65CB7"/>
    <w:rsid w:val="00FA1090"/>
    <w:rsid w:val="00FB28A7"/>
    <w:rsid w:val="00FD337A"/>
    <w:rsid w:val="00FE09B6"/>
    <w:rsid w:val="00FE0AC4"/>
    <w:rsid w:val="00FE1871"/>
    <w:rsid w:val="00FF01D9"/>
    <w:rsid w:val="00FF6124"/>
    <w:rsid w:val="00FF6FA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970B2"/>
  <w15:docId w15:val="{26B112EA-C49F-4F7E-BA7E-3C4BD777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592"/>
    <w:pPr>
      <w:spacing w:after="0" w:line="288" w:lineRule="auto"/>
    </w:pPr>
    <w:rPr>
      <w:rFonts w:ascii="Times New Roman" w:hAnsi="Times New Roman" w:cs="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0559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05592"/>
    <w:rPr>
      <w:rFonts w:ascii="Times New Roman" w:hAnsi="Times New Roman" w:cs="Times New Roman"/>
      <w:sz w:val="24"/>
      <w:szCs w:val="24"/>
    </w:rPr>
  </w:style>
  <w:style w:type="paragraph" w:styleId="Sidefod">
    <w:name w:val="footer"/>
    <w:basedOn w:val="Normal"/>
    <w:link w:val="SidefodTegn"/>
    <w:uiPriority w:val="99"/>
    <w:unhideWhenUsed/>
    <w:rsid w:val="00605592"/>
    <w:pPr>
      <w:tabs>
        <w:tab w:val="center" w:pos="4819"/>
        <w:tab w:val="right" w:pos="9638"/>
      </w:tabs>
      <w:spacing w:line="240" w:lineRule="auto"/>
    </w:pPr>
  </w:style>
  <w:style w:type="character" w:customStyle="1" w:styleId="SidefodTegn">
    <w:name w:val="Sidefod Tegn"/>
    <w:basedOn w:val="Standardskrifttypeiafsnit"/>
    <w:link w:val="Sidefod"/>
    <w:uiPriority w:val="99"/>
    <w:rsid w:val="00605592"/>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192FDB"/>
    <w:rPr>
      <w:sz w:val="16"/>
      <w:szCs w:val="16"/>
    </w:rPr>
  </w:style>
  <w:style w:type="paragraph" w:styleId="Kommentartekst">
    <w:name w:val="annotation text"/>
    <w:basedOn w:val="Normal"/>
    <w:link w:val="KommentartekstTegn"/>
    <w:uiPriority w:val="99"/>
    <w:semiHidden/>
    <w:unhideWhenUsed/>
    <w:rsid w:val="00192FD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92FDB"/>
    <w:rPr>
      <w:rFonts w:ascii="Times New Roman" w:hAnsi="Times New Roman" w:cs="Times New Roman"/>
      <w:sz w:val="20"/>
      <w:szCs w:val="20"/>
    </w:rPr>
  </w:style>
  <w:style w:type="paragraph" w:styleId="Kommentaremne">
    <w:name w:val="annotation subject"/>
    <w:basedOn w:val="Kommentartekst"/>
    <w:next w:val="Kommentartekst"/>
    <w:link w:val="KommentaremneTegn"/>
    <w:uiPriority w:val="99"/>
    <w:semiHidden/>
    <w:unhideWhenUsed/>
    <w:rsid w:val="00192FDB"/>
    <w:rPr>
      <w:b/>
      <w:bCs/>
    </w:rPr>
  </w:style>
  <w:style w:type="character" w:customStyle="1" w:styleId="KommentaremneTegn">
    <w:name w:val="Kommentaremne Tegn"/>
    <w:basedOn w:val="KommentartekstTegn"/>
    <w:link w:val="Kommentaremne"/>
    <w:uiPriority w:val="99"/>
    <w:semiHidden/>
    <w:rsid w:val="00192FDB"/>
    <w:rPr>
      <w:rFonts w:ascii="Times New Roman" w:hAnsi="Times New Roman" w:cs="Times New Roman"/>
      <w:b/>
      <w:bCs/>
      <w:sz w:val="20"/>
      <w:szCs w:val="20"/>
    </w:rPr>
  </w:style>
  <w:style w:type="paragraph" w:styleId="Markeringsbobletekst">
    <w:name w:val="Balloon Text"/>
    <w:basedOn w:val="Normal"/>
    <w:link w:val="MarkeringsbobletekstTegn"/>
    <w:uiPriority w:val="99"/>
    <w:semiHidden/>
    <w:unhideWhenUsed/>
    <w:rsid w:val="00192FDB"/>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92FDB"/>
    <w:rPr>
      <w:rFonts w:ascii="Tahoma" w:hAnsi="Tahoma" w:cs="Tahoma"/>
      <w:sz w:val="16"/>
      <w:szCs w:val="16"/>
    </w:rPr>
  </w:style>
  <w:style w:type="paragraph" w:styleId="Korrektur">
    <w:name w:val="Revision"/>
    <w:hidden/>
    <w:uiPriority w:val="99"/>
    <w:semiHidden/>
    <w:rsid w:val="00FB28A7"/>
    <w:pPr>
      <w:spacing w:after="0" w:line="240" w:lineRule="auto"/>
    </w:pPr>
    <w:rPr>
      <w:rFonts w:ascii="Times New Roman" w:hAnsi="Times New Roman" w:cs="Times New Roman"/>
      <w:sz w:val="24"/>
      <w:szCs w:val="24"/>
    </w:rPr>
  </w:style>
  <w:style w:type="paragraph" w:styleId="Listeafsnit">
    <w:name w:val="List Paragraph"/>
    <w:basedOn w:val="Normal"/>
    <w:uiPriority w:val="34"/>
    <w:qFormat/>
    <w:rsid w:val="00671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1428">
      <w:bodyDiv w:val="1"/>
      <w:marLeft w:val="0"/>
      <w:marRight w:val="0"/>
      <w:marTop w:val="0"/>
      <w:marBottom w:val="0"/>
      <w:divBdr>
        <w:top w:val="none" w:sz="0" w:space="0" w:color="auto"/>
        <w:left w:val="none" w:sz="0" w:space="0" w:color="auto"/>
        <w:bottom w:val="none" w:sz="0" w:space="0" w:color="auto"/>
        <w:right w:val="none" w:sz="0" w:space="0" w:color="auto"/>
      </w:divBdr>
    </w:div>
    <w:div w:id="5976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il\AppData\Local\cBrain\F2\.tmp\6a895644f67441559f19077864fe1cda.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F7DA3-A148-491C-A8CB-CC41FDAD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6a895644f67441559f19077864fe1cda</Template>
  <TotalTime>2</TotalTime>
  <Pages>3</Pages>
  <Words>1055</Words>
  <Characters>6436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Nielsen</dc:creator>
  <cp:lastModifiedBy>Per Nielsen</cp:lastModifiedBy>
  <cp:revision>4</cp:revision>
  <dcterms:created xsi:type="dcterms:W3CDTF">2022-05-31T08:04:00Z</dcterms:created>
  <dcterms:modified xsi:type="dcterms:W3CDTF">2022-06-07T09:12:00Z</dcterms:modified>
</cp:coreProperties>
</file>