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1BADC" w14:textId="480FF9B9" w:rsidR="0049007D" w:rsidRPr="002F0482" w:rsidRDefault="0049007D" w:rsidP="008D5FF9">
      <w:pPr>
        <w:spacing w:line="276" w:lineRule="auto"/>
        <w:ind w:left="0" w:hanging="142"/>
        <w:jc w:val="center"/>
        <w:rPr>
          <w:rFonts w:ascii="Times New Roman" w:hAnsi="Times New Roman" w:cs="Times New Roman"/>
          <w:sz w:val="24"/>
          <w:szCs w:val="24"/>
        </w:rPr>
      </w:pPr>
      <w:bookmarkStart w:id="0" w:name="_GoBack"/>
      <w:bookmarkEnd w:id="0"/>
      <w:r w:rsidRPr="002F0482">
        <w:rPr>
          <w:rFonts w:ascii="Times New Roman" w:hAnsi="Times New Roman" w:cs="Times New Roman"/>
          <w:sz w:val="24"/>
          <w:szCs w:val="24"/>
        </w:rPr>
        <w:t>Bemærkninger til forslaget</w:t>
      </w:r>
    </w:p>
    <w:p w14:paraId="483A5CCB" w14:textId="77777777" w:rsidR="0049007D" w:rsidRPr="002F0482" w:rsidRDefault="0049007D" w:rsidP="008D5FF9">
      <w:pPr>
        <w:spacing w:line="276" w:lineRule="auto"/>
        <w:ind w:left="0" w:hanging="142"/>
        <w:jc w:val="center"/>
        <w:rPr>
          <w:rFonts w:ascii="Times New Roman" w:hAnsi="Times New Roman" w:cs="Times New Roman"/>
          <w:sz w:val="24"/>
          <w:szCs w:val="24"/>
        </w:rPr>
      </w:pPr>
    </w:p>
    <w:p w14:paraId="0206AD8B" w14:textId="77777777" w:rsidR="0049007D" w:rsidRPr="002F0482" w:rsidRDefault="0049007D" w:rsidP="008D5FF9">
      <w:pPr>
        <w:spacing w:line="276" w:lineRule="auto"/>
        <w:ind w:left="0" w:hanging="142"/>
        <w:jc w:val="center"/>
        <w:rPr>
          <w:rFonts w:ascii="Times New Roman" w:hAnsi="Times New Roman" w:cs="Times New Roman"/>
          <w:b/>
          <w:sz w:val="24"/>
          <w:szCs w:val="24"/>
        </w:rPr>
      </w:pPr>
      <w:r w:rsidRPr="002F0482">
        <w:rPr>
          <w:rFonts w:ascii="Times New Roman" w:hAnsi="Times New Roman" w:cs="Times New Roman"/>
          <w:b/>
          <w:sz w:val="24"/>
          <w:szCs w:val="24"/>
        </w:rPr>
        <w:t>Almindelige bemærkninger</w:t>
      </w:r>
    </w:p>
    <w:p w14:paraId="553C6026" w14:textId="77777777" w:rsidR="00695125" w:rsidRPr="002F0482" w:rsidRDefault="00695125" w:rsidP="008D5FF9">
      <w:pPr>
        <w:spacing w:line="276" w:lineRule="auto"/>
        <w:ind w:left="0"/>
        <w:jc w:val="both"/>
        <w:rPr>
          <w:rFonts w:ascii="Times New Roman" w:hAnsi="Times New Roman" w:cs="Times New Roman"/>
          <w:sz w:val="24"/>
          <w:szCs w:val="24"/>
        </w:rPr>
      </w:pPr>
    </w:p>
    <w:p w14:paraId="0841638F" w14:textId="2546871A" w:rsidR="000E14B6" w:rsidRDefault="000E14B6" w:rsidP="00757CB2">
      <w:pPr>
        <w:pStyle w:val="tekstoverskriftvk9"/>
        <w:spacing w:before="0" w:beforeAutospacing="0" w:after="0" w:afterAutospacing="0" w:line="276" w:lineRule="auto"/>
        <w:rPr>
          <w:rFonts w:ascii="Times New Roman" w:hAnsi="Times New Roman" w:cs="Times New Roman"/>
          <w:b/>
        </w:rPr>
      </w:pPr>
      <w:r w:rsidRPr="002F0482">
        <w:rPr>
          <w:rFonts w:ascii="Times New Roman" w:hAnsi="Times New Roman" w:cs="Times New Roman"/>
          <w:b/>
        </w:rPr>
        <w:t xml:space="preserve">1. Indledning </w:t>
      </w:r>
    </w:p>
    <w:p w14:paraId="5CA69A65" w14:textId="1E890AA0" w:rsidR="00537F80" w:rsidRPr="002F0482" w:rsidRDefault="00537F80" w:rsidP="00757CB2">
      <w:pPr>
        <w:pStyle w:val="tekstoverskriftvk9"/>
        <w:spacing w:before="0" w:beforeAutospacing="0" w:after="0" w:afterAutospacing="0" w:line="276" w:lineRule="auto"/>
        <w:rPr>
          <w:rFonts w:ascii="Times New Roman" w:hAnsi="Times New Roman" w:cs="Times New Roman"/>
        </w:rPr>
      </w:pPr>
      <w:r w:rsidRPr="002F0482">
        <w:rPr>
          <w:rFonts w:ascii="Times New Roman" w:hAnsi="Times New Roman" w:cs="Times New Roman"/>
        </w:rPr>
        <w:t xml:space="preserve">Den </w:t>
      </w:r>
      <w:r w:rsidR="00546D22">
        <w:rPr>
          <w:rFonts w:ascii="Times New Roman" w:hAnsi="Times New Roman" w:cs="Times New Roman"/>
        </w:rPr>
        <w:t>gældende lovgivning</w:t>
      </w:r>
      <w:r w:rsidRPr="002F0482">
        <w:rPr>
          <w:rFonts w:ascii="Times New Roman" w:hAnsi="Times New Roman" w:cs="Times New Roman"/>
        </w:rPr>
        <w:t xml:space="preserve"> om euforiserende stoffer, findes i Lovbekendtgørelse nr. 391 af 21. juli 1969 om Euforiserende stoffer. Lovbekendtgørelsen er en sammenskrivning af lov nr. 169 af 24. maj 1955 om euforiserende stoffer med senere ændringer. </w:t>
      </w:r>
    </w:p>
    <w:p w14:paraId="7E7E0382" w14:textId="77777777" w:rsidR="00537F80" w:rsidRPr="002F0482" w:rsidRDefault="00537F80" w:rsidP="00757CB2">
      <w:pPr>
        <w:pStyle w:val="tekstoverskriftvk9"/>
        <w:spacing w:before="0" w:beforeAutospacing="0" w:after="0" w:afterAutospacing="0" w:line="276" w:lineRule="auto"/>
        <w:rPr>
          <w:rFonts w:ascii="Times New Roman" w:hAnsi="Times New Roman" w:cs="Times New Roman"/>
        </w:rPr>
      </w:pPr>
    </w:p>
    <w:p w14:paraId="435984DE" w14:textId="1FA8B624" w:rsidR="00537F80" w:rsidRPr="002F0482" w:rsidRDefault="00537F80" w:rsidP="00757CB2">
      <w:pPr>
        <w:pStyle w:val="tekstoverskriftvk9"/>
        <w:spacing w:before="0" w:beforeAutospacing="0" w:after="0" w:afterAutospacing="0" w:line="276" w:lineRule="auto"/>
        <w:rPr>
          <w:rFonts w:ascii="Times New Roman" w:hAnsi="Times New Roman" w:cs="Times New Roman"/>
        </w:rPr>
      </w:pPr>
      <w:r>
        <w:rPr>
          <w:rFonts w:ascii="Times New Roman" w:hAnsi="Times New Roman" w:cs="Times New Roman"/>
        </w:rPr>
        <w:t>I henhold til</w:t>
      </w:r>
      <w:r w:rsidRPr="002F0482">
        <w:rPr>
          <w:rFonts w:ascii="Times New Roman" w:hAnsi="Times New Roman" w:cs="Times New Roman"/>
        </w:rPr>
        <w:t xml:space="preserve"> gældende lovgivning er blandt andet ind- og udførsel, salg, køb, udlevering, modtagelse og besiddelse af stoffer med euforiserende virkning, herunder cannabis og cann</w:t>
      </w:r>
      <w:r w:rsidRPr="002F0482">
        <w:rPr>
          <w:rFonts w:ascii="Times New Roman" w:hAnsi="Times New Roman" w:cs="Times New Roman"/>
        </w:rPr>
        <w:t>a</w:t>
      </w:r>
      <w:r w:rsidRPr="002F0482">
        <w:rPr>
          <w:rFonts w:ascii="Times New Roman" w:hAnsi="Times New Roman" w:cs="Times New Roman"/>
        </w:rPr>
        <w:t>bisolier forbudt.</w:t>
      </w:r>
      <w:r w:rsidR="00A97AC0">
        <w:rPr>
          <w:rFonts w:ascii="Times New Roman" w:hAnsi="Times New Roman" w:cs="Times New Roman"/>
        </w:rPr>
        <w:t xml:space="preserve"> Et af </w:t>
      </w:r>
      <w:r w:rsidR="009F2ABF">
        <w:rPr>
          <w:rFonts w:ascii="Times New Roman" w:hAnsi="Times New Roman" w:cs="Times New Roman"/>
        </w:rPr>
        <w:t>hoved</w:t>
      </w:r>
      <w:r w:rsidR="00A97AC0">
        <w:rPr>
          <w:rFonts w:ascii="Times New Roman" w:hAnsi="Times New Roman" w:cs="Times New Roman"/>
        </w:rPr>
        <w:t xml:space="preserve">formålene hermed er at forhindre udbredelsen af euforiserende stoffer og dermed beskytte befolkningen mod de skadevirkninger, som kan følge af brugen af narkotika. </w:t>
      </w:r>
    </w:p>
    <w:p w14:paraId="5C4B0F30" w14:textId="77777777" w:rsidR="00537F80" w:rsidRPr="002F0482" w:rsidRDefault="00537F80" w:rsidP="00757CB2">
      <w:pPr>
        <w:pStyle w:val="tekstoverskriftvk9"/>
        <w:spacing w:before="0" w:beforeAutospacing="0" w:after="0" w:afterAutospacing="0" w:line="276" w:lineRule="auto"/>
        <w:rPr>
          <w:rFonts w:ascii="Times New Roman" w:hAnsi="Times New Roman" w:cs="Times New Roman"/>
        </w:rPr>
      </w:pPr>
    </w:p>
    <w:p w14:paraId="11773B0A" w14:textId="376D8B51" w:rsidR="006A5E98" w:rsidRDefault="00537F80" w:rsidP="00757CB2">
      <w:pPr>
        <w:pStyle w:val="tekstoverskriftvk9"/>
        <w:spacing w:before="0" w:beforeAutospacing="0" w:after="0" w:afterAutospacing="0" w:line="276" w:lineRule="auto"/>
        <w:rPr>
          <w:rFonts w:ascii="Times New Roman" w:hAnsi="Times New Roman" w:cs="Times New Roman"/>
        </w:rPr>
      </w:pPr>
      <w:r w:rsidRPr="002F0482">
        <w:rPr>
          <w:rFonts w:ascii="Times New Roman" w:hAnsi="Times New Roman" w:cs="Times New Roman"/>
        </w:rPr>
        <w:t>Lovgivningskompetencen vedrørende euforiserende stoffer overgik til Grønland ved hjemt</w:t>
      </w:r>
      <w:r w:rsidRPr="002F0482">
        <w:rPr>
          <w:rFonts w:ascii="Times New Roman" w:hAnsi="Times New Roman" w:cs="Times New Roman"/>
        </w:rPr>
        <w:t>a</w:t>
      </w:r>
      <w:r w:rsidRPr="002F0482">
        <w:rPr>
          <w:rFonts w:ascii="Times New Roman" w:hAnsi="Times New Roman" w:cs="Times New Roman"/>
        </w:rPr>
        <w:t>gelsen af sundhedsvæsenet i 1992.</w:t>
      </w:r>
      <w:r w:rsidR="00F75D6E">
        <w:rPr>
          <w:rFonts w:ascii="Times New Roman" w:hAnsi="Times New Roman" w:cs="Times New Roman"/>
        </w:rPr>
        <w:t xml:space="preserve"> </w:t>
      </w:r>
      <w:r w:rsidR="00F75D6E" w:rsidRPr="0039792A">
        <w:rPr>
          <w:rFonts w:ascii="Times New Roman" w:hAnsi="Times New Roman" w:cs="Times New Roman"/>
        </w:rPr>
        <w:t>Dette fremgår af § 1 i lov nr. 369 af 6. juni 1991 om sun</w:t>
      </w:r>
      <w:r w:rsidR="00F75D6E" w:rsidRPr="0039792A">
        <w:rPr>
          <w:rFonts w:ascii="Times New Roman" w:hAnsi="Times New Roman" w:cs="Times New Roman"/>
        </w:rPr>
        <w:t>d</w:t>
      </w:r>
      <w:r w:rsidR="00F75D6E" w:rsidRPr="0039792A">
        <w:rPr>
          <w:rFonts w:ascii="Times New Roman" w:hAnsi="Times New Roman" w:cs="Times New Roman"/>
        </w:rPr>
        <w:t>hedsvæsenet i Grønland</w:t>
      </w:r>
      <w:r w:rsidR="00F75D6E">
        <w:rPr>
          <w:rFonts w:ascii="Times New Roman" w:hAnsi="Times New Roman" w:cs="Times New Roman"/>
        </w:rPr>
        <w:t>.</w:t>
      </w:r>
    </w:p>
    <w:p w14:paraId="50B7F2A6" w14:textId="77777777" w:rsidR="006A5E98" w:rsidRDefault="006A5E98" w:rsidP="00757CB2">
      <w:pPr>
        <w:pStyle w:val="tekstoverskriftvk9"/>
        <w:spacing w:before="0" w:beforeAutospacing="0" w:after="0" w:afterAutospacing="0" w:line="276" w:lineRule="auto"/>
        <w:rPr>
          <w:rFonts w:ascii="Times New Roman" w:hAnsi="Times New Roman" w:cs="Times New Roman"/>
        </w:rPr>
      </w:pPr>
    </w:p>
    <w:p w14:paraId="4B2233D6" w14:textId="26603522" w:rsidR="00B10F0B" w:rsidRPr="002F0482" w:rsidRDefault="006A5E98" w:rsidP="00757CB2">
      <w:pPr>
        <w:pStyle w:val="tekstoverskriftvk9"/>
        <w:spacing w:before="0" w:beforeAutospacing="0" w:after="0" w:afterAutospacing="0" w:line="276" w:lineRule="auto"/>
        <w:rPr>
          <w:rFonts w:ascii="Times New Roman" w:hAnsi="Times New Roman" w:cs="Times New Roman"/>
        </w:rPr>
      </w:pPr>
      <w:r>
        <w:rPr>
          <w:rFonts w:ascii="Times New Roman" w:hAnsi="Times New Roman" w:cs="Times New Roman"/>
        </w:rPr>
        <w:t>Processen</w:t>
      </w:r>
      <w:r w:rsidR="00E048A4">
        <w:rPr>
          <w:rFonts w:ascii="Times New Roman" w:hAnsi="Times New Roman" w:cs="Times New Roman"/>
        </w:rPr>
        <w:t>,</w:t>
      </w:r>
      <w:r>
        <w:rPr>
          <w:rFonts w:ascii="Times New Roman" w:hAnsi="Times New Roman" w:cs="Times New Roman"/>
        </w:rPr>
        <w:t xml:space="preserve"> der har ledt op til </w:t>
      </w:r>
      <w:r w:rsidR="00A85005">
        <w:rPr>
          <w:rFonts w:ascii="Times New Roman" w:hAnsi="Times New Roman" w:cs="Times New Roman"/>
        </w:rPr>
        <w:t xml:space="preserve">fremsættelsen </w:t>
      </w:r>
      <w:r>
        <w:rPr>
          <w:rFonts w:ascii="Times New Roman" w:hAnsi="Times New Roman" w:cs="Times New Roman"/>
        </w:rPr>
        <w:t>af nærværende forslag</w:t>
      </w:r>
      <w:r w:rsidR="00E048A4">
        <w:rPr>
          <w:rFonts w:ascii="Times New Roman" w:hAnsi="Times New Roman" w:cs="Times New Roman"/>
        </w:rPr>
        <w:t>,</w:t>
      </w:r>
      <w:r>
        <w:rPr>
          <w:rFonts w:ascii="Times New Roman" w:hAnsi="Times New Roman" w:cs="Times New Roman"/>
        </w:rPr>
        <w:t xml:space="preserve"> er blandt andet en nyere </w:t>
      </w:r>
      <w:r w:rsidR="0050545C">
        <w:rPr>
          <w:rFonts w:ascii="Times New Roman" w:hAnsi="Times New Roman" w:cs="Times New Roman"/>
        </w:rPr>
        <w:t>I</w:t>
      </w:r>
      <w:r>
        <w:rPr>
          <w:rFonts w:ascii="Times New Roman" w:hAnsi="Times New Roman" w:cs="Times New Roman"/>
        </w:rPr>
        <w:t xml:space="preserve">natsisartutbeslutning. </w:t>
      </w:r>
      <w:r w:rsidR="000A1592" w:rsidRPr="002F0482">
        <w:rPr>
          <w:rFonts w:ascii="Times New Roman" w:hAnsi="Times New Roman" w:cs="Times New Roman"/>
        </w:rPr>
        <w:t>Inatsisartut besluttede på efterårssamlingen 2019</w:t>
      </w:r>
      <w:r w:rsidR="004F0B89" w:rsidRPr="002F0482">
        <w:rPr>
          <w:rFonts w:ascii="Times New Roman" w:hAnsi="Times New Roman" w:cs="Times New Roman"/>
        </w:rPr>
        <w:t>,</w:t>
      </w:r>
      <w:r w:rsidR="00B10F0B" w:rsidRPr="002F0482">
        <w:rPr>
          <w:rFonts w:ascii="Times New Roman" w:hAnsi="Times New Roman" w:cs="Times New Roman"/>
        </w:rPr>
        <w:t xml:space="preserve"> at </w:t>
      </w:r>
      <w:r w:rsidR="0043755C" w:rsidRPr="002F0482">
        <w:rPr>
          <w:rFonts w:ascii="Times New Roman" w:hAnsi="Times New Roman" w:cs="Times New Roman"/>
        </w:rPr>
        <w:t xml:space="preserve">det skulle gøres </w:t>
      </w:r>
      <w:r w:rsidR="00B10F0B" w:rsidRPr="002F0482">
        <w:rPr>
          <w:rFonts w:ascii="Times New Roman" w:hAnsi="Times New Roman" w:cs="Times New Roman"/>
        </w:rPr>
        <w:t xml:space="preserve">lovligt at købe, sælge og indføre cannabisolier, som maksimalt indeholder 0,2 % </w:t>
      </w:r>
      <w:proofErr w:type="spellStart"/>
      <w:r w:rsidR="00B10F0B" w:rsidRPr="002F0482">
        <w:rPr>
          <w:rFonts w:ascii="Times New Roman" w:hAnsi="Times New Roman" w:cs="Times New Roman"/>
        </w:rPr>
        <w:t>tetrahydr</w:t>
      </w:r>
      <w:r w:rsidR="00B10F0B" w:rsidRPr="002F0482">
        <w:rPr>
          <w:rFonts w:ascii="Times New Roman" w:hAnsi="Times New Roman" w:cs="Times New Roman"/>
        </w:rPr>
        <w:t>o</w:t>
      </w:r>
      <w:r w:rsidR="00B10F0B" w:rsidRPr="002F0482">
        <w:rPr>
          <w:rFonts w:ascii="Times New Roman" w:hAnsi="Times New Roman" w:cs="Times New Roman"/>
        </w:rPr>
        <w:t>cannabinol</w:t>
      </w:r>
      <w:proofErr w:type="spellEnd"/>
      <w:r w:rsidR="00331C35">
        <w:rPr>
          <w:rFonts w:ascii="Times New Roman" w:hAnsi="Times New Roman" w:cs="Times New Roman"/>
        </w:rPr>
        <w:t xml:space="preserve"> (THC)</w:t>
      </w:r>
      <w:r w:rsidR="00B10F0B" w:rsidRPr="002F0482">
        <w:rPr>
          <w:rFonts w:ascii="Times New Roman" w:hAnsi="Times New Roman" w:cs="Times New Roman"/>
        </w:rPr>
        <w:t>.</w:t>
      </w:r>
      <w:r w:rsidR="000A1592" w:rsidRPr="002F0482">
        <w:rPr>
          <w:rFonts w:ascii="Times New Roman" w:hAnsi="Times New Roman" w:cs="Times New Roman"/>
        </w:rPr>
        <w:t xml:space="preserve"> </w:t>
      </w:r>
      <w:r w:rsidR="00B10F0B" w:rsidRPr="002F0482">
        <w:rPr>
          <w:rFonts w:ascii="Times New Roman" w:hAnsi="Times New Roman" w:cs="Times New Roman"/>
        </w:rPr>
        <w:t xml:space="preserve">Inatsisartut ønskede hermed at give borgerne i Grønland samme adgang til disse produkter, som borgerne i Danmark fik ved </w:t>
      </w:r>
      <w:r w:rsidR="0043755C" w:rsidRPr="002F0482">
        <w:rPr>
          <w:rFonts w:ascii="Times New Roman" w:hAnsi="Times New Roman" w:cs="Times New Roman"/>
        </w:rPr>
        <w:t xml:space="preserve">en </w:t>
      </w:r>
      <w:r w:rsidR="00B10F0B" w:rsidRPr="002F0482">
        <w:rPr>
          <w:rFonts w:ascii="Times New Roman" w:hAnsi="Times New Roman" w:cs="Times New Roman"/>
        </w:rPr>
        <w:t xml:space="preserve">ændring </w:t>
      </w:r>
      <w:r w:rsidR="006A4BFB" w:rsidRPr="002F0482">
        <w:rPr>
          <w:rFonts w:ascii="Times New Roman" w:hAnsi="Times New Roman" w:cs="Times New Roman"/>
        </w:rPr>
        <w:t xml:space="preserve">af reglerne </w:t>
      </w:r>
      <w:r w:rsidR="00B10F0B" w:rsidRPr="002F0482">
        <w:rPr>
          <w:rFonts w:ascii="Times New Roman" w:hAnsi="Times New Roman" w:cs="Times New Roman"/>
        </w:rPr>
        <w:t>i 2018.</w:t>
      </w:r>
    </w:p>
    <w:p w14:paraId="65B24B25" w14:textId="5E6D8D88" w:rsidR="00F91DC1" w:rsidRPr="002F0482" w:rsidRDefault="00F91DC1" w:rsidP="00757CB2">
      <w:pPr>
        <w:pStyle w:val="tekstoverskriftvk9"/>
        <w:spacing w:before="0" w:beforeAutospacing="0" w:after="0" w:afterAutospacing="0" w:line="276" w:lineRule="auto"/>
        <w:rPr>
          <w:rFonts w:ascii="Times New Roman" w:hAnsi="Times New Roman" w:cs="Times New Roman"/>
        </w:rPr>
      </w:pPr>
    </w:p>
    <w:p w14:paraId="427A1765" w14:textId="5B28EAC3" w:rsidR="00B10F0B" w:rsidRDefault="00347175" w:rsidP="00757CB2">
      <w:pPr>
        <w:pStyle w:val="tekstoverskriftvk9"/>
        <w:spacing w:before="0" w:beforeAutospacing="0" w:after="0" w:afterAutospacing="0" w:line="276" w:lineRule="auto"/>
        <w:rPr>
          <w:rFonts w:ascii="Times New Roman" w:hAnsi="Times New Roman" w:cs="Times New Roman"/>
        </w:rPr>
      </w:pPr>
      <w:r w:rsidRPr="002F0482">
        <w:rPr>
          <w:rFonts w:ascii="Times New Roman" w:hAnsi="Times New Roman" w:cs="Times New Roman"/>
        </w:rPr>
        <w:t xml:space="preserve">Med nærværende forslag </w:t>
      </w:r>
      <w:r w:rsidR="00884679" w:rsidRPr="002F0482">
        <w:rPr>
          <w:rFonts w:ascii="Times New Roman" w:hAnsi="Times New Roman" w:cs="Times New Roman"/>
        </w:rPr>
        <w:t xml:space="preserve">til Inatsisartutlov om euforiserende stoffer </w:t>
      </w:r>
      <w:r w:rsidRPr="002F0482">
        <w:rPr>
          <w:rFonts w:ascii="Times New Roman" w:hAnsi="Times New Roman" w:cs="Times New Roman"/>
        </w:rPr>
        <w:t>etableres der hjemmel</w:t>
      </w:r>
      <w:r w:rsidR="006A4BFB" w:rsidRPr="002F0482">
        <w:rPr>
          <w:rFonts w:ascii="Times New Roman" w:hAnsi="Times New Roman" w:cs="Times New Roman"/>
        </w:rPr>
        <w:t xml:space="preserve"> til at udstede en bekendtgørelse, der giver </w:t>
      </w:r>
      <w:r w:rsidR="00BB040E" w:rsidRPr="002F0482">
        <w:rPr>
          <w:rFonts w:ascii="Times New Roman" w:hAnsi="Times New Roman" w:cs="Times New Roman"/>
        </w:rPr>
        <w:t xml:space="preserve">samme adgang til </w:t>
      </w:r>
      <w:r w:rsidR="0043755C" w:rsidRPr="002F0482">
        <w:rPr>
          <w:rFonts w:ascii="Times New Roman" w:hAnsi="Times New Roman" w:cs="Times New Roman"/>
        </w:rPr>
        <w:t xml:space="preserve">visse </w:t>
      </w:r>
      <w:r w:rsidR="00F1704B" w:rsidRPr="002F0482">
        <w:rPr>
          <w:rFonts w:ascii="Times New Roman" w:hAnsi="Times New Roman" w:cs="Times New Roman"/>
        </w:rPr>
        <w:t>cannabisolier eller produkter med CBD-olie</w:t>
      </w:r>
      <w:r w:rsidR="00BB040E" w:rsidRPr="002F0482">
        <w:rPr>
          <w:rFonts w:ascii="Times New Roman" w:hAnsi="Times New Roman" w:cs="Times New Roman"/>
        </w:rPr>
        <w:t>, som borgerne i Danmark har</w:t>
      </w:r>
      <w:r w:rsidR="00CF5FFE">
        <w:rPr>
          <w:rFonts w:ascii="Times New Roman" w:hAnsi="Times New Roman" w:cs="Times New Roman"/>
        </w:rPr>
        <w:t xml:space="preserve">, således at forbruger lovligt kan </w:t>
      </w:r>
      <w:r w:rsidR="00BB040E" w:rsidRPr="002F0482">
        <w:rPr>
          <w:rFonts w:ascii="Times New Roman" w:hAnsi="Times New Roman" w:cs="Times New Roman"/>
        </w:rPr>
        <w:t>købe eller a</w:t>
      </w:r>
      <w:r w:rsidR="00BB040E" w:rsidRPr="002F0482">
        <w:rPr>
          <w:rFonts w:ascii="Times New Roman" w:hAnsi="Times New Roman" w:cs="Times New Roman"/>
        </w:rPr>
        <w:t>n</w:t>
      </w:r>
      <w:r w:rsidR="00BB040E" w:rsidRPr="002F0482">
        <w:rPr>
          <w:rFonts w:ascii="Times New Roman" w:hAnsi="Times New Roman" w:cs="Times New Roman"/>
        </w:rPr>
        <w:t xml:space="preserve">vende </w:t>
      </w:r>
      <w:r w:rsidR="008119A3" w:rsidRPr="002F0482">
        <w:rPr>
          <w:rFonts w:ascii="Times New Roman" w:hAnsi="Times New Roman" w:cs="Times New Roman"/>
        </w:rPr>
        <w:t>cannabisolier eller produkter med CBD-olie,</w:t>
      </w:r>
      <w:r w:rsidR="00BB040E" w:rsidRPr="002F0482">
        <w:rPr>
          <w:rFonts w:ascii="Times New Roman" w:hAnsi="Times New Roman" w:cs="Times New Roman"/>
        </w:rPr>
        <w:t xml:space="preserve"> der indeholder 0,2 % THC</w:t>
      </w:r>
      <w:r w:rsidR="00CD5C60">
        <w:rPr>
          <w:rFonts w:ascii="Times New Roman" w:hAnsi="Times New Roman" w:cs="Times New Roman"/>
        </w:rPr>
        <w:t xml:space="preserve"> eller derunder</w:t>
      </w:r>
      <w:r w:rsidR="00051F35" w:rsidRPr="002F0482">
        <w:rPr>
          <w:rFonts w:ascii="Times New Roman" w:hAnsi="Times New Roman" w:cs="Times New Roman"/>
        </w:rPr>
        <w:t>.</w:t>
      </w:r>
      <w:r w:rsidR="00BB040E" w:rsidRPr="002F0482">
        <w:rPr>
          <w:rFonts w:ascii="Times New Roman" w:hAnsi="Times New Roman" w:cs="Times New Roman"/>
        </w:rPr>
        <w:t xml:space="preserve"> </w:t>
      </w:r>
    </w:p>
    <w:p w14:paraId="7BB8608F" w14:textId="6B5D471B" w:rsidR="00860970" w:rsidRDefault="00860970" w:rsidP="00757CB2">
      <w:pPr>
        <w:pStyle w:val="tekstoverskriftvk9"/>
        <w:spacing w:before="0" w:beforeAutospacing="0" w:after="0" w:afterAutospacing="0" w:line="276" w:lineRule="auto"/>
        <w:rPr>
          <w:rFonts w:ascii="Times New Roman" w:hAnsi="Times New Roman" w:cs="Times New Roman"/>
        </w:rPr>
      </w:pPr>
    </w:p>
    <w:p w14:paraId="747DCC12" w14:textId="60CC6ED8" w:rsidR="00860970" w:rsidRPr="002F0482" w:rsidRDefault="00860970" w:rsidP="00757CB2">
      <w:pPr>
        <w:pStyle w:val="tekstoverskriftvk9"/>
        <w:spacing w:before="0" w:beforeAutospacing="0" w:after="0" w:afterAutospacing="0" w:line="276" w:lineRule="auto"/>
        <w:rPr>
          <w:rFonts w:ascii="Times New Roman" w:hAnsi="Times New Roman" w:cs="Times New Roman"/>
        </w:rPr>
      </w:pPr>
      <w:r>
        <w:rPr>
          <w:rFonts w:ascii="Times New Roman" w:hAnsi="Times New Roman" w:cs="Times New Roman"/>
        </w:rPr>
        <w:t>Det skal bemærkes at nærværende</w:t>
      </w:r>
      <w:r w:rsidR="00535579">
        <w:rPr>
          <w:rFonts w:ascii="Times New Roman" w:hAnsi="Times New Roman" w:cs="Times New Roman"/>
        </w:rPr>
        <w:t xml:space="preserve"> forslag til</w:t>
      </w:r>
      <w:r>
        <w:rPr>
          <w:rFonts w:ascii="Times New Roman" w:hAnsi="Times New Roman" w:cs="Times New Roman"/>
        </w:rPr>
        <w:t xml:space="preserve"> Inatsisartutlov ikke i sig selv gør det lovligt at </w:t>
      </w:r>
      <w:r w:rsidRPr="002F0482">
        <w:rPr>
          <w:rFonts w:ascii="Times New Roman" w:hAnsi="Times New Roman" w:cs="Times New Roman"/>
        </w:rPr>
        <w:t>købe</w:t>
      </w:r>
      <w:r>
        <w:rPr>
          <w:rFonts w:ascii="Times New Roman" w:hAnsi="Times New Roman" w:cs="Times New Roman"/>
        </w:rPr>
        <w:t xml:space="preserve"> </w:t>
      </w:r>
      <w:r w:rsidRPr="002F0482">
        <w:rPr>
          <w:rFonts w:ascii="Times New Roman" w:hAnsi="Times New Roman" w:cs="Times New Roman"/>
        </w:rPr>
        <w:t>eller anvende cannabisolier eller produkter med CBD-olie, der indeholder</w:t>
      </w:r>
      <w:r>
        <w:rPr>
          <w:rFonts w:ascii="Times New Roman" w:hAnsi="Times New Roman" w:cs="Times New Roman"/>
        </w:rPr>
        <w:t xml:space="preserve"> op til</w:t>
      </w:r>
      <w:r w:rsidRPr="002F0482">
        <w:rPr>
          <w:rFonts w:ascii="Times New Roman" w:hAnsi="Times New Roman" w:cs="Times New Roman"/>
        </w:rPr>
        <w:t xml:space="preserve"> 0,2 % THC</w:t>
      </w:r>
      <w:r>
        <w:rPr>
          <w:rFonts w:ascii="Times New Roman" w:hAnsi="Times New Roman" w:cs="Times New Roman"/>
        </w:rPr>
        <w:t xml:space="preserve">, men </w:t>
      </w:r>
      <w:r w:rsidR="006A5E98">
        <w:rPr>
          <w:rFonts w:ascii="Times New Roman" w:hAnsi="Times New Roman" w:cs="Times New Roman"/>
        </w:rPr>
        <w:t>at der</w:t>
      </w:r>
      <w:r>
        <w:rPr>
          <w:rFonts w:ascii="Times New Roman" w:hAnsi="Times New Roman" w:cs="Times New Roman"/>
        </w:rPr>
        <w:t xml:space="preserve"> derimod alene etablere</w:t>
      </w:r>
      <w:r w:rsidR="00A85005">
        <w:rPr>
          <w:rFonts w:ascii="Times New Roman" w:hAnsi="Times New Roman" w:cs="Times New Roman"/>
        </w:rPr>
        <w:t>s</w:t>
      </w:r>
      <w:r>
        <w:rPr>
          <w:rFonts w:ascii="Times New Roman" w:hAnsi="Times New Roman" w:cs="Times New Roman"/>
        </w:rPr>
        <w:t xml:space="preserve"> en hjemmel til at udstede en bekendtgørelse hero</w:t>
      </w:r>
      <w:r w:rsidR="006A5E98">
        <w:rPr>
          <w:rFonts w:ascii="Times New Roman" w:hAnsi="Times New Roman" w:cs="Times New Roman"/>
        </w:rPr>
        <w:t>m</w:t>
      </w:r>
      <w:r>
        <w:rPr>
          <w:rFonts w:ascii="Times New Roman" w:hAnsi="Times New Roman" w:cs="Times New Roman"/>
        </w:rPr>
        <w:t xml:space="preserve">. </w:t>
      </w:r>
    </w:p>
    <w:p w14:paraId="2699545C" w14:textId="73F087D7" w:rsidR="008119A3" w:rsidRPr="002F0482" w:rsidRDefault="008119A3" w:rsidP="00757CB2">
      <w:pPr>
        <w:pStyle w:val="tekstoverskriftvk9"/>
        <w:spacing w:before="0" w:beforeAutospacing="0" w:after="0" w:afterAutospacing="0" w:line="276" w:lineRule="auto"/>
        <w:rPr>
          <w:rFonts w:ascii="Times New Roman" w:hAnsi="Times New Roman" w:cs="Times New Roman"/>
        </w:rPr>
      </w:pPr>
    </w:p>
    <w:p w14:paraId="6D983D03" w14:textId="682F4342" w:rsidR="008119A3" w:rsidRPr="002F0482" w:rsidRDefault="005805EF" w:rsidP="00757CB2">
      <w:pPr>
        <w:pStyle w:val="tekstoverskriftvk9"/>
        <w:spacing w:before="0" w:beforeAutospacing="0" w:after="0" w:afterAutospacing="0" w:line="276" w:lineRule="auto"/>
        <w:rPr>
          <w:rFonts w:ascii="Times New Roman" w:hAnsi="Times New Roman" w:cs="Times New Roman"/>
        </w:rPr>
      </w:pPr>
      <w:r>
        <w:rPr>
          <w:rFonts w:ascii="Times New Roman" w:hAnsi="Times New Roman" w:cs="Times New Roman"/>
        </w:rPr>
        <w:t>L</w:t>
      </w:r>
      <w:r w:rsidR="00BD16CC">
        <w:rPr>
          <w:rFonts w:ascii="Times New Roman" w:hAnsi="Times New Roman" w:cs="Times New Roman"/>
        </w:rPr>
        <w:t xml:space="preserve">ægers mulighed for at </w:t>
      </w:r>
      <w:r>
        <w:rPr>
          <w:rFonts w:ascii="Times New Roman" w:hAnsi="Times New Roman" w:cs="Times New Roman"/>
        </w:rPr>
        <w:t>udskrive recept på</w:t>
      </w:r>
      <w:r w:rsidR="00BD16CC">
        <w:rPr>
          <w:rFonts w:ascii="Times New Roman" w:hAnsi="Times New Roman" w:cs="Times New Roman"/>
        </w:rPr>
        <w:t xml:space="preserve"> euforiserende midler til</w:t>
      </w:r>
      <w:r w:rsidR="00FA62A8">
        <w:rPr>
          <w:rFonts w:ascii="Times New Roman" w:hAnsi="Times New Roman" w:cs="Times New Roman"/>
        </w:rPr>
        <w:t xml:space="preserve"> behandling af patienter på grundlag en lægefaglig vurdering, ændres ikke af denne Inatsisartutlov. Det samme gælder Landsapotekets mulighed for at udlevere euforiserende midler til medicinsk brug, når der er sket lægeordination hertil. </w:t>
      </w:r>
    </w:p>
    <w:p w14:paraId="4F950F95" w14:textId="3B4C9577" w:rsidR="000901AB" w:rsidRPr="002F0482" w:rsidRDefault="000901AB" w:rsidP="00757CB2">
      <w:pPr>
        <w:pStyle w:val="tekstoverskriftvk9"/>
        <w:spacing w:before="0" w:beforeAutospacing="0" w:after="0" w:afterAutospacing="0" w:line="276" w:lineRule="auto"/>
        <w:rPr>
          <w:rFonts w:ascii="Times New Roman" w:hAnsi="Times New Roman" w:cs="Times New Roman"/>
        </w:rPr>
      </w:pPr>
    </w:p>
    <w:p w14:paraId="2483AE88" w14:textId="19D2C17E" w:rsidR="00837F67" w:rsidRPr="002F0482" w:rsidRDefault="00BB040E" w:rsidP="00757CB2">
      <w:pPr>
        <w:pStyle w:val="normalind9"/>
        <w:spacing w:line="276" w:lineRule="auto"/>
        <w:ind w:firstLine="0"/>
        <w:jc w:val="left"/>
        <w:rPr>
          <w:rFonts w:ascii="Times New Roman" w:hAnsi="Times New Roman" w:cs="Times New Roman"/>
        </w:rPr>
      </w:pPr>
      <w:r w:rsidRPr="002F0482">
        <w:rPr>
          <w:rFonts w:ascii="Times New Roman" w:hAnsi="Times New Roman" w:cs="Times New Roman"/>
        </w:rPr>
        <w:t xml:space="preserve">Samtidig vil anden </w:t>
      </w:r>
      <w:r w:rsidR="008119A3" w:rsidRPr="002F0482">
        <w:rPr>
          <w:rFonts w:ascii="Times New Roman" w:hAnsi="Times New Roman" w:cs="Times New Roman"/>
        </w:rPr>
        <w:t xml:space="preserve">anvendelse, </w:t>
      </w:r>
      <w:r w:rsidR="000E14B6" w:rsidRPr="002F0482">
        <w:rPr>
          <w:rFonts w:ascii="Times New Roman" w:hAnsi="Times New Roman" w:cs="Times New Roman"/>
        </w:rPr>
        <w:t xml:space="preserve">besiddelse af og handel </w:t>
      </w:r>
      <w:r w:rsidR="0043755C" w:rsidRPr="002F0482">
        <w:rPr>
          <w:rFonts w:ascii="Times New Roman" w:hAnsi="Times New Roman" w:cs="Times New Roman"/>
        </w:rPr>
        <w:t xml:space="preserve">m.m. </w:t>
      </w:r>
      <w:r w:rsidR="000E14B6" w:rsidRPr="002F0482">
        <w:rPr>
          <w:rFonts w:ascii="Times New Roman" w:hAnsi="Times New Roman" w:cs="Times New Roman"/>
        </w:rPr>
        <w:t xml:space="preserve">med euforiserende stoffer </w:t>
      </w:r>
      <w:r w:rsidR="00387438" w:rsidRPr="002F0482">
        <w:rPr>
          <w:rFonts w:ascii="Times New Roman" w:hAnsi="Times New Roman" w:cs="Times New Roman"/>
        </w:rPr>
        <w:t xml:space="preserve">som udgangspunkt </w:t>
      </w:r>
      <w:r w:rsidRPr="002F0482">
        <w:rPr>
          <w:rFonts w:ascii="Times New Roman" w:hAnsi="Times New Roman" w:cs="Times New Roman"/>
        </w:rPr>
        <w:t xml:space="preserve">fortsat være </w:t>
      </w:r>
      <w:r w:rsidR="000E14B6" w:rsidRPr="002F0482">
        <w:rPr>
          <w:rFonts w:ascii="Times New Roman" w:hAnsi="Times New Roman" w:cs="Times New Roman"/>
        </w:rPr>
        <w:t>ulovlig</w:t>
      </w:r>
      <w:r w:rsidRPr="002F0482">
        <w:rPr>
          <w:rFonts w:ascii="Times New Roman" w:hAnsi="Times New Roman" w:cs="Times New Roman"/>
        </w:rPr>
        <w:t xml:space="preserve">, for </w:t>
      </w:r>
      <w:r w:rsidR="008119A3" w:rsidRPr="002F0482">
        <w:rPr>
          <w:rFonts w:ascii="Times New Roman" w:hAnsi="Times New Roman" w:cs="Times New Roman"/>
        </w:rPr>
        <w:t xml:space="preserve">således fortsat </w:t>
      </w:r>
      <w:r w:rsidRPr="002F0482">
        <w:rPr>
          <w:rFonts w:ascii="Times New Roman" w:hAnsi="Times New Roman" w:cs="Times New Roman"/>
        </w:rPr>
        <w:t xml:space="preserve">at </w:t>
      </w:r>
      <w:r w:rsidR="00AD1AF1" w:rsidRPr="002F0482">
        <w:rPr>
          <w:rFonts w:ascii="Times New Roman" w:hAnsi="Times New Roman" w:cs="Times New Roman"/>
        </w:rPr>
        <w:t>sikre</w:t>
      </w:r>
      <w:r w:rsidR="000E14B6" w:rsidRPr="002F0482">
        <w:rPr>
          <w:rFonts w:ascii="Times New Roman" w:hAnsi="Times New Roman" w:cs="Times New Roman"/>
        </w:rPr>
        <w:t xml:space="preserve"> </w:t>
      </w:r>
      <w:r w:rsidR="00A85005">
        <w:rPr>
          <w:rFonts w:ascii="Times New Roman" w:hAnsi="Times New Roman" w:cs="Times New Roman"/>
        </w:rPr>
        <w:t>befolkningens sundhed, heru</w:t>
      </w:r>
      <w:r w:rsidR="00A85005">
        <w:rPr>
          <w:rFonts w:ascii="Times New Roman" w:hAnsi="Times New Roman" w:cs="Times New Roman"/>
        </w:rPr>
        <w:t>n</w:t>
      </w:r>
      <w:r w:rsidR="00A85005">
        <w:rPr>
          <w:rFonts w:ascii="Times New Roman" w:hAnsi="Times New Roman" w:cs="Times New Roman"/>
        </w:rPr>
        <w:lastRenderedPageBreak/>
        <w:t xml:space="preserve">der </w:t>
      </w:r>
      <w:r w:rsidR="000E14B6" w:rsidRPr="002F0482">
        <w:rPr>
          <w:rFonts w:ascii="Times New Roman" w:hAnsi="Times New Roman" w:cs="Times New Roman"/>
        </w:rPr>
        <w:t xml:space="preserve">beskyttelse af unge, der færdes på </w:t>
      </w:r>
      <w:r w:rsidR="004034B9" w:rsidRPr="002F0482">
        <w:rPr>
          <w:rFonts w:ascii="Times New Roman" w:hAnsi="Times New Roman" w:cs="Times New Roman"/>
        </w:rPr>
        <w:t xml:space="preserve">uddannelsesinstitutioner, </w:t>
      </w:r>
      <w:r w:rsidR="000E14B6" w:rsidRPr="002F0482">
        <w:rPr>
          <w:rFonts w:ascii="Times New Roman" w:hAnsi="Times New Roman" w:cs="Times New Roman"/>
        </w:rPr>
        <w:t xml:space="preserve">diskoteker, restauranter og lignende. </w:t>
      </w:r>
    </w:p>
    <w:p w14:paraId="2E11BD26" w14:textId="77777777" w:rsidR="0048693A" w:rsidRPr="002F0482" w:rsidRDefault="0048693A" w:rsidP="00757CB2">
      <w:pPr>
        <w:spacing w:line="276" w:lineRule="auto"/>
        <w:ind w:left="0"/>
        <w:rPr>
          <w:rFonts w:ascii="Times New Roman" w:hAnsi="Times New Roman" w:cs="Times New Roman"/>
          <w:sz w:val="24"/>
          <w:szCs w:val="24"/>
        </w:rPr>
      </w:pPr>
    </w:p>
    <w:p w14:paraId="2F9BCC20" w14:textId="6B6645E1" w:rsidR="00837F67" w:rsidRPr="002F0482" w:rsidRDefault="006A5E98" w:rsidP="00757CB2">
      <w:pPr>
        <w:spacing w:line="276" w:lineRule="auto"/>
        <w:ind w:left="0"/>
        <w:rPr>
          <w:rFonts w:ascii="Times New Roman" w:hAnsi="Times New Roman" w:cs="Times New Roman"/>
          <w:sz w:val="24"/>
          <w:szCs w:val="24"/>
        </w:rPr>
      </w:pPr>
      <w:r>
        <w:rPr>
          <w:rFonts w:ascii="Times New Roman" w:hAnsi="Times New Roman" w:cs="Times New Roman"/>
          <w:sz w:val="24"/>
          <w:szCs w:val="24"/>
        </w:rPr>
        <w:t>F</w:t>
      </w:r>
      <w:r w:rsidR="008119A3" w:rsidRPr="002F0482">
        <w:rPr>
          <w:rFonts w:ascii="Times New Roman" w:hAnsi="Times New Roman" w:cs="Times New Roman"/>
          <w:sz w:val="24"/>
          <w:szCs w:val="24"/>
        </w:rPr>
        <w:t>orslaget ligger i sin helhed tæt op ad de tilsvarende danske bestemmelser på området</w:t>
      </w:r>
      <w:r w:rsidR="00A85005">
        <w:rPr>
          <w:rFonts w:ascii="Times New Roman" w:hAnsi="Times New Roman" w:cs="Times New Roman"/>
          <w:sz w:val="24"/>
          <w:szCs w:val="24"/>
        </w:rPr>
        <w:t>, med henblik på at sikre en regelharmoni</w:t>
      </w:r>
      <w:r w:rsidR="00FA62A8">
        <w:rPr>
          <w:rFonts w:ascii="Times New Roman" w:hAnsi="Times New Roman" w:cs="Times New Roman"/>
          <w:sz w:val="24"/>
          <w:szCs w:val="24"/>
        </w:rPr>
        <w:t>,</w:t>
      </w:r>
      <w:r w:rsidR="00A85005">
        <w:rPr>
          <w:rFonts w:ascii="Times New Roman" w:hAnsi="Times New Roman" w:cs="Times New Roman"/>
          <w:sz w:val="24"/>
          <w:szCs w:val="24"/>
        </w:rPr>
        <w:t xml:space="preserve"> hvor dette i øvrigt er i overensstemmelse med de polit</w:t>
      </w:r>
      <w:r w:rsidR="00A85005">
        <w:rPr>
          <w:rFonts w:ascii="Times New Roman" w:hAnsi="Times New Roman" w:cs="Times New Roman"/>
          <w:sz w:val="24"/>
          <w:szCs w:val="24"/>
        </w:rPr>
        <w:t>i</w:t>
      </w:r>
      <w:r w:rsidR="00A85005">
        <w:rPr>
          <w:rFonts w:ascii="Times New Roman" w:hAnsi="Times New Roman" w:cs="Times New Roman"/>
          <w:sz w:val="24"/>
          <w:szCs w:val="24"/>
        </w:rPr>
        <w:t>ske ønsker herom</w:t>
      </w:r>
      <w:r w:rsidR="008119A3" w:rsidRPr="002F0482">
        <w:rPr>
          <w:rFonts w:ascii="Times New Roman" w:hAnsi="Times New Roman" w:cs="Times New Roman"/>
          <w:sz w:val="24"/>
          <w:szCs w:val="24"/>
        </w:rPr>
        <w:t>.</w:t>
      </w:r>
    </w:p>
    <w:p w14:paraId="7D871FDA" w14:textId="77777777" w:rsidR="003D1992" w:rsidRPr="002F0482" w:rsidRDefault="003D1992" w:rsidP="00757CB2">
      <w:pPr>
        <w:spacing w:line="276" w:lineRule="auto"/>
        <w:ind w:left="0"/>
        <w:rPr>
          <w:rFonts w:ascii="Times New Roman" w:hAnsi="Times New Roman" w:cs="Times New Roman"/>
          <w:sz w:val="24"/>
          <w:szCs w:val="24"/>
        </w:rPr>
      </w:pPr>
    </w:p>
    <w:p w14:paraId="43DDEDE0" w14:textId="22F7339C" w:rsidR="003D1992" w:rsidRPr="002F0482" w:rsidRDefault="006D29E1" w:rsidP="00757CB2">
      <w:pPr>
        <w:spacing w:line="276" w:lineRule="auto"/>
        <w:ind w:left="0"/>
        <w:rPr>
          <w:rFonts w:ascii="Times New Roman" w:hAnsi="Times New Roman" w:cs="Times New Roman"/>
          <w:b/>
          <w:sz w:val="24"/>
          <w:szCs w:val="24"/>
        </w:rPr>
      </w:pPr>
      <w:r w:rsidRPr="002F0482">
        <w:rPr>
          <w:rFonts w:ascii="Times New Roman" w:hAnsi="Times New Roman" w:cs="Times New Roman"/>
          <w:b/>
          <w:sz w:val="24"/>
          <w:szCs w:val="24"/>
        </w:rPr>
        <w:t>2. Hovedpunkter i forslaget</w:t>
      </w:r>
    </w:p>
    <w:p w14:paraId="08DC5FAB" w14:textId="6F7D1FF2" w:rsidR="00B82A1D" w:rsidRPr="002F0482" w:rsidRDefault="005907C9" w:rsidP="00757CB2">
      <w:pPr>
        <w:spacing w:line="276" w:lineRule="auto"/>
        <w:ind w:left="0"/>
        <w:rPr>
          <w:rFonts w:ascii="Times New Roman" w:hAnsi="Times New Roman" w:cs="Times New Roman"/>
          <w:sz w:val="24"/>
          <w:szCs w:val="24"/>
        </w:rPr>
      </w:pPr>
      <w:r w:rsidRPr="002F0482">
        <w:rPr>
          <w:rFonts w:ascii="Times New Roman" w:hAnsi="Times New Roman" w:cs="Times New Roman"/>
          <w:sz w:val="24"/>
          <w:szCs w:val="24"/>
        </w:rPr>
        <w:t>Der er i udstrakt grad tale om en bemy</w:t>
      </w:r>
      <w:r w:rsidR="00E37643" w:rsidRPr="002F0482">
        <w:rPr>
          <w:rFonts w:ascii="Times New Roman" w:hAnsi="Times New Roman" w:cs="Times New Roman"/>
          <w:sz w:val="24"/>
          <w:szCs w:val="24"/>
        </w:rPr>
        <w:t>ndigelseslov, hvor Naalakkersuis</w:t>
      </w:r>
      <w:r w:rsidRPr="002F0482">
        <w:rPr>
          <w:rFonts w:ascii="Times New Roman" w:hAnsi="Times New Roman" w:cs="Times New Roman"/>
          <w:sz w:val="24"/>
          <w:szCs w:val="24"/>
        </w:rPr>
        <w:t xml:space="preserve">ut bemyndiges til at fastsætte mere detaljerede regler om anvendelse af </w:t>
      </w:r>
      <w:r w:rsidR="004034B9" w:rsidRPr="002F0482">
        <w:rPr>
          <w:rFonts w:ascii="Times New Roman" w:hAnsi="Times New Roman" w:cs="Times New Roman"/>
          <w:sz w:val="24"/>
          <w:szCs w:val="24"/>
        </w:rPr>
        <w:t xml:space="preserve">euforiserende stoffer </w:t>
      </w:r>
      <w:r w:rsidR="009063B4" w:rsidRPr="002F0482">
        <w:rPr>
          <w:rFonts w:ascii="Times New Roman" w:hAnsi="Times New Roman" w:cs="Times New Roman"/>
          <w:sz w:val="24"/>
          <w:szCs w:val="24"/>
        </w:rPr>
        <w:t xml:space="preserve">og til at </w:t>
      </w:r>
      <w:r w:rsidR="00057643">
        <w:rPr>
          <w:rFonts w:ascii="Times New Roman" w:hAnsi="Times New Roman" w:cs="Times New Roman"/>
          <w:sz w:val="24"/>
          <w:szCs w:val="24"/>
        </w:rPr>
        <w:t>give tillade</w:t>
      </w:r>
      <w:r w:rsidR="00057643">
        <w:rPr>
          <w:rFonts w:ascii="Times New Roman" w:hAnsi="Times New Roman" w:cs="Times New Roman"/>
          <w:sz w:val="24"/>
          <w:szCs w:val="24"/>
        </w:rPr>
        <w:t>l</w:t>
      </w:r>
      <w:r w:rsidR="00057643">
        <w:rPr>
          <w:rFonts w:ascii="Times New Roman" w:hAnsi="Times New Roman" w:cs="Times New Roman"/>
          <w:sz w:val="24"/>
          <w:szCs w:val="24"/>
        </w:rPr>
        <w:t>se til</w:t>
      </w:r>
      <w:r w:rsidR="009063B4" w:rsidRPr="002F0482">
        <w:rPr>
          <w:rFonts w:ascii="Times New Roman" w:hAnsi="Times New Roman" w:cs="Times New Roman"/>
          <w:sz w:val="24"/>
          <w:szCs w:val="24"/>
        </w:rPr>
        <w:t xml:space="preserve">, at </w:t>
      </w:r>
      <w:r w:rsidR="0043755C" w:rsidRPr="002F0482">
        <w:rPr>
          <w:rFonts w:ascii="Times New Roman" w:hAnsi="Times New Roman" w:cs="Times New Roman"/>
          <w:sz w:val="24"/>
          <w:szCs w:val="24"/>
        </w:rPr>
        <w:t xml:space="preserve">visse </w:t>
      </w:r>
      <w:r w:rsidR="009063B4" w:rsidRPr="002F0482">
        <w:rPr>
          <w:rFonts w:ascii="Times New Roman" w:hAnsi="Times New Roman" w:cs="Times New Roman"/>
          <w:sz w:val="24"/>
          <w:szCs w:val="24"/>
        </w:rPr>
        <w:t xml:space="preserve">stofgrupper må forefindes her i landet, </w:t>
      </w:r>
      <w:r w:rsidR="00057643">
        <w:rPr>
          <w:rFonts w:ascii="Times New Roman" w:hAnsi="Times New Roman" w:cs="Times New Roman"/>
          <w:sz w:val="24"/>
          <w:szCs w:val="24"/>
        </w:rPr>
        <w:t>trods</w:t>
      </w:r>
      <w:r w:rsidR="009063B4" w:rsidRPr="002F0482">
        <w:rPr>
          <w:rFonts w:ascii="Times New Roman" w:hAnsi="Times New Roman" w:cs="Times New Roman"/>
          <w:sz w:val="24"/>
          <w:szCs w:val="24"/>
        </w:rPr>
        <w:t xml:space="preserve"> deres euforiserende egenskaber. </w:t>
      </w:r>
    </w:p>
    <w:p w14:paraId="02EC7E24" w14:textId="78342F90" w:rsidR="00B82A1D" w:rsidRPr="002F0482" w:rsidRDefault="00AF683F" w:rsidP="00757CB2">
      <w:pPr>
        <w:spacing w:line="276" w:lineRule="auto"/>
        <w:ind w:left="0"/>
        <w:rPr>
          <w:rFonts w:ascii="Times New Roman" w:hAnsi="Times New Roman" w:cs="Times New Roman"/>
          <w:sz w:val="24"/>
          <w:szCs w:val="24"/>
        </w:rPr>
      </w:pPr>
      <w:r w:rsidRPr="002F0482">
        <w:rPr>
          <w:rFonts w:ascii="Times New Roman" w:hAnsi="Times New Roman" w:cs="Times New Roman"/>
          <w:sz w:val="24"/>
          <w:szCs w:val="24"/>
        </w:rPr>
        <w:t>Endvidere</w:t>
      </w:r>
      <w:r w:rsidR="00806E04" w:rsidRPr="002F0482">
        <w:rPr>
          <w:rFonts w:ascii="Times New Roman" w:hAnsi="Times New Roman" w:cs="Times New Roman"/>
          <w:sz w:val="24"/>
          <w:szCs w:val="24"/>
        </w:rPr>
        <w:t xml:space="preserve"> </w:t>
      </w:r>
      <w:r w:rsidR="008867F3" w:rsidRPr="002F0482">
        <w:rPr>
          <w:rFonts w:ascii="Times New Roman" w:hAnsi="Times New Roman" w:cs="Times New Roman"/>
          <w:sz w:val="24"/>
          <w:szCs w:val="24"/>
        </w:rPr>
        <w:t xml:space="preserve">bemyndiges Naalakkersuisut til at bestemme, at </w:t>
      </w:r>
      <w:r w:rsidR="0043755C" w:rsidRPr="002F0482">
        <w:rPr>
          <w:rFonts w:ascii="Times New Roman" w:hAnsi="Times New Roman" w:cs="Times New Roman"/>
          <w:sz w:val="24"/>
          <w:szCs w:val="24"/>
        </w:rPr>
        <w:t xml:space="preserve">andre nærmere definerede </w:t>
      </w:r>
      <w:r w:rsidR="008867F3" w:rsidRPr="002F0482">
        <w:rPr>
          <w:rFonts w:ascii="Times New Roman" w:hAnsi="Times New Roman" w:cs="Times New Roman"/>
          <w:sz w:val="24"/>
          <w:szCs w:val="24"/>
        </w:rPr>
        <w:t>sto</w:t>
      </w:r>
      <w:r w:rsidR="008867F3" w:rsidRPr="002F0482">
        <w:rPr>
          <w:rFonts w:ascii="Times New Roman" w:hAnsi="Times New Roman" w:cs="Times New Roman"/>
          <w:sz w:val="24"/>
          <w:szCs w:val="24"/>
        </w:rPr>
        <w:t>f</w:t>
      </w:r>
      <w:r w:rsidR="008867F3" w:rsidRPr="002F0482">
        <w:rPr>
          <w:rFonts w:ascii="Times New Roman" w:hAnsi="Times New Roman" w:cs="Times New Roman"/>
          <w:sz w:val="24"/>
          <w:szCs w:val="24"/>
        </w:rPr>
        <w:t>grupper m</w:t>
      </w:r>
      <w:r w:rsidR="001A7177" w:rsidRPr="002F0482">
        <w:rPr>
          <w:rFonts w:ascii="Times New Roman" w:hAnsi="Times New Roman" w:cs="Times New Roman"/>
          <w:sz w:val="24"/>
          <w:szCs w:val="24"/>
        </w:rPr>
        <w:t>ed euforiserende egenskaber</w:t>
      </w:r>
      <w:r w:rsidR="008867F3" w:rsidRPr="002F0482">
        <w:rPr>
          <w:rFonts w:ascii="Times New Roman" w:hAnsi="Times New Roman" w:cs="Times New Roman"/>
          <w:sz w:val="24"/>
          <w:szCs w:val="24"/>
        </w:rPr>
        <w:t xml:space="preserve"> </w:t>
      </w:r>
      <w:r w:rsidR="00A125EA" w:rsidRPr="002F0482">
        <w:rPr>
          <w:rFonts w:ascii="Times New Roman" w:hAnsi="Times New Roman" w:cs="Times New Roman"/>
          <w:sz w:val="24"/>
          <w:szCs w:val="24"/>
        </w:rPr>
        <w:t>ikke</w:t>
      </w:r>
      <w:r w:rsidR="008867F3" w:rsidRPr="002F0482">
        <w:rPr>
          <w:rFonts w:ascii="Times New Roman" w:hAnsi="Times New Roman" w:cs="Times New Roman"/>
          <w:sz w:val="24"/>
          <w:szCs w:val="24"/>
        </w:rPr>
        <w:t xml:space="preserve"> må anvendes </w:t>
      </w:r>
      <w:r w:rsidR="00A125EA" w:rsidRPr="002F0482">
        <w:rPr>
          <w:rFonts w:ascii="Times New Roman" w:hAnsi="Times New Roman" w:cs="Times New Roman"/>
          <w:sz w:val="24"/>
          <w:szCs w:val="24"/>
        </w:rPr>
        <w:t>til andet end</w:t>
      </w:r>
      <w:r w:rsidR="008867F3" w:rsidRPr="002F0482">
        <w:rPr>
          <w:rFonts w:ascii="Times New Roman" w:hAnsi="Times New Roman" w:cs="Times New Roman"/>
          <w:sz w:val="24"/>
          <w:szCs w:val="24"/>
        </w:rPr>
        <w:t xml:space="preserve"> medicinsk</w:t>
      </w:r>
      <w:r w:rsidR="00A125EA" w:rsidRPr="002F0482">
        <w:rPr>
          <w:rFonts w:ascii="Times New Roman" w:hAnsi="Times New Roman" w:cs="Times New Roman"/>
          <w:sz w:val="24"/>
          <w:szCs w:val="24"/>
        </w:rPr>
        <w:t>e</w:t>
      </w:r>
      <w:r w:rsidR="008867F3" w:rsidRPr="002F0482">
        <w:rPr>
          <w:rFonts w:ascii="Times New Roman" w:hAnsi="Times New Roman" w:cs="Times New Roman"/>
          <w:sz w:val="24"/>
          <w:szCs w:val="24"/>
        </w:rPr>
        <w:t xml:space="preserve"> eller v</w:t>
      </w:r>
      <w:r w:rsidR="008867F3" w:rsidRPr="002F0482">
        <w:rPr>
          <w:rFonts w:ascii="Times New Roman" w:hAnsi="Times New Roman" w:cs="Times New Roman"/>
          <w:sz w:val="24"/>
          <w:szCs w:val="24"/>
        </w:rPr>
        <w:t>i</w:t>
      </w:r>
      <w:r w:rsidR="008867F3" w:rsidRPr="002F0482">
        <w:rPr>
          <w:rFonts w:ascii="Times New Roman" w:hAnsi="Times New Roman" w:cs="Times New Roman"/>
          <w:sz w:val="24"/>
          <w:szCs w:val="24"/>
        </w:rPr>
        <w:t>denskabelig</w:t>
      </w:r>
      <w:r w:rsidR="00A125EA" w:rsidRPr="002F0482">
        <w:rPr>
          <w:rFonts w:ascii="Times New Roman" w:hAnsi="Times New Roman" w:cs="Times New Roman"/>
          <w:sz w:val="24"/>
          <w:szCs w:val="24"/>
        </w:rPr>
        <w:t>e formål</w:t>
      </w:r>
      <w:r w:rsidR="008867F3" w:rsidRPr="002F0482">
        <w:rPr>
          <w:rFonts w:ascii="Times New Roman" w:hAnsi="Times New Roman" w:cs="Times New Roman"/>
          <w:sz w:val="24"/>
          <w:szCs w:val="24"/>
        </w:rPr>
        <w:t xml:space="preserve"> </w:t>
      </w:r>
      <w:r w:rsidR="001A7177" w:rsidRPr="002F0482">
        <w:rPr>
          <w:rFonts w:ascii="Times New Roman" w:hAnsi="Times New Roman" w:cs="Times New Roman"/>
          <w:sz w:val="24"/>
          <w:szCs w:val="24"/>
        </w:rPr>
        <w:t>her i landet</w:t>
      </w:r>
      <w:r w:rsidR="00357522" w:rsidRPr="002F0482">
        <w:rPr>
          <w:rFonts w:ascii="Times New Roman" w:hAnsi="Times New Roman" w:cs="Times New Roman"/>
          <w:sz w:val="24"/>
          <w:szCs w:val="24"/>
        </w:rPr>
        <w:t>.</w:t>
      </w:r>
      <w:r w:rsidR="001A7177" w:rsidRPr="002F0482">
        <w:rPr>
          <w:rFonts w:ascii="Times New Roman" w:hAnsi="Times New Roman" w:cs="Times New Roman"/>
          <w:sz w:val="24"/>
          <w:szCs w:val="24"/>
        </w:rPr>
        <w:t xml:space="preserve"> </w:t>
      </w:r>
    </w:p>
    <w:p w14:paraId="403FBBEE" w14:textId="77777777" w:rsidR="00A85005" w:rsidRDefault="00A85005" w:rsidP="00757CB2">
      <w:pPr>
        <w:spacing w:line="276" w:lineRule="auto"/>
        <w:ind w:left="0"/>
        <w:rPr>
          <w:rFonts w:ascii="Times New Roman" w:hAnsi="Times New Roman" w:cs="Times New Roman"/>
          <w:sz w:val="24"/>
          <w:szCs w:val="24"/>
        </w:rPr>
      </w:pPr>
    </w:p>
    <w:p w14:paraId="45413782" w14:textId="27A33512" w:rsidR="00D31059" w:rsidRPr="002F0482" w:rsidRDefault="005600B1" w:rsidP="00757CB2">
      <w:pPr>
        <w:spacing w:line="276" w:lineRule="auto"/>
        <w:ind w:left="0"/>
        <w:rPr>
          <w:rFonts w:ascii="Times New Roman" w:hAnsi="Times New Roman" w:cs="Times New Roman"/>
          <w:sz w:val="24"/>
          <w:szCs w:val="24"/>
        </w:rPr>
      </w:pPr>
      <w:r w:rsidRPr="002F0482">
        <w:rPr>
          <w:rFonts w:ascii="Times New Roman" w:hAnsi="Times New Roman" w:cs="Times New Roman"/>
          <w:sz w:val="24"/>
          <w:szCs w:val="24"/>
        </w:rPr>
        <w:t>Indførsel og udførsel, salg</w:t>
      </w:r>
      <w:r w:rsidR="00D31059" w:rsidRPr="002F0482">
        <w:rPr>
          <w:rFonts w:ascii="Times New Roman" w:hAnsi="Times New Roman" w:cs="Times New Roman"/>
          <w:sz w:val="24"/>
          <w:szCs w:val="24"/>
        </w:rPr>
        <w:t>, køb,</w:t>
      </w:r>
      <w:r w:rsidR="002731CF" w:rsidRPr="002F0482">
        <w:rPr>
          <w:rFonts w:ascii="Times New Roman" w:hAnsi="Times New Roman" w:cs="Times New Roman"/>
          <w:sz w:val="24"/>
          <w:szCs w:val="24"/>
        </w:rPr>
        <w:t xml:space="preserve"> </w:t>
      </w:r>
      <w:r w:rsidRPr="002F0482">
        <w:rPr>
          <w:rFonts w:ascii="Times New Roman" w:hAnsi="Times New Roman" w:cs="Times New Roman"/>
          <w:sz w:val="24"/>
          <w:szCs w:val="24"/>
        </w:rPr>
        <w:t>fremstilling</w:t>
      </w:r>
      <w:r w:rsidR="00F23505">
        <w:rPr>
          <w:rFonts w:ascii="Times New Roman" w:hAnsi="Times New Roman" w:cs="Times New Roman"/>
          <w:sz w:val="24"/>
          <w:szCs w:val="24"/>
        </w:rPr>
        <w:t xml:space="preserve"> og</w:t>
      </w:r>
      <w:r w:rsidRPr="002F0482">
        <w:rPr>
          <w:rFonts w:ascii="Times New Roman" w:hAnsi="Times New Roman" w:cs="Times New Roman"/>
          <w:sz w:val="24"/>
          <w:szCs w:val="24"/>
        </w:rPr>
        <w:t xml:space="preserve"> forarbejdning </w:t>
      </w:r>
      <w:r w:rsidR="00D31059" w:rsidRPr="002F0482">
        <w:rPr>
          <w:rFonts w:ascii="Times New Roman" w:hAnsi="Times New Roman" w:cs="Times New Roman"/>
          <w:sz w:val="24"/>
          <w:szCs w:val="24"/>
        </w:rPr>
        <w:t xml:space="preserve">foreslås tilladt for </w:t>
      </w:r>
      <w:r w:rsidR="00AF7FB2" w:rsidRPr="002F0482">
        <w:rPr>
          <w:rFonts w:ascii="Times New Roman" w:hAnsi="Times New Roman" w:cs="Times New Roman"/>
          <w:sz w:val="24"/>
          <w:szCs w:val="24"/>
        </w:rPr>
        <w:t>Landsapot</w:t>
      </w:r>
      <w:r w:rsidR="00AF7FB2" w:rsidRPr="002F0482">
        <w:rPr>
          <w:rFonts w:ascii="Times New Roman" w:hAnsi="Times New Roman" w:cs="Times New Roman"/>
          <w:sz w:val="24"/>
          <w:szCs w:val="24"/>
        </w:rPr>
        <w:t>e</w:t>
      </w:r>
      <w:r w:rsidR="00AF7FB2" w:rsidRPr="002F0482">
        <w:rPr>
          <w:rFonts w:ascii="Times New Roman" w:hAnsi="Times New Roman" w:cs="Times New Roman"/>
          <w:sz w:val="24"/>
          <w:szCs w:val="24"/>
        </w:rPr>
        <w:t>ket</w:t>
      </w:r>
      <w:r w:rsidR="00F23505">
        <w:rPr>
          <w:rFonts w:ascii="Times New Roman" w:hAnsi="Times New Roman" w:cs="Times New Roman"/>
          <w:sz w:val="24"/>
          <w:szCs w:val="24"/>
        </w:rPr>
        <w:t>, mens modtagelse og besiddelse foreslås tilladt for Landsapoteket</w:t>
      </w:r>
      <w:r w:rsidR="006F705F" w:rsidRPr="002F0482">
        <w:rPr>
          <w:rFonts w:ascii="Times New Roman" w:hAnsi="Times New Roman" w:cs="Times New Roman"/>
          <w:sz w:val="24"/>
          <w:szCs w:val="24"/>
        </w:rPr>
        <w:t xml:space="preserve"> og </w:t>
      </w:r>
      <w:r w:rsidR="000F5388" w:rsidRPr="002F0482">
        <w:rPr>
          <w:rFonts w:ascii="Times New Roman" w:hAnsi="Times New Roman" w:cs="Times New Roman"/>
          <w:sz w:val="24"/>
          <w:szCs w:val="24"/>
        </w:rPr>
        <w:t xml:space="preserve">sygehusapoteker </w:t>
      </w:r>
      <w:r w:rsidR="00C818E4">
        <w:rPr>
          <w:rFonts w:ascii="Times New Roman" w:hAnsi="Times New Roman" w:cs="Times New Roman"/>
          <w:sz w:val="24"/>
          <w:szCs w:val="24"/>
        </w:rPr>
        <w:t>i henhold til gældende regler herom</w:t>
      </w:r>
      <w:r w:rsidR="00172F52">
        <w:rPr>
          <w:rFonts w:ascii="Times New Roman" w:hAnsi="Times New Roman" w:cs="Times New Roman"/>
          <w:sz w:val="24"/>
          <w:szCs w:val="24"/>
        </w:rPr>
        <w:t xml:space="preserve"> i Landstingsforordningen om lægemidler</w:t>
      </w:r>
      <w:r w:rsidR="00C818E4">
        <w:rPr>
          <w:rFonts w:ascii="Times New Roman" w:hAnsi="Times New Roman" w:cs="Times New Roman"/>
          <w:sz w:val="24"/>
          <w:szCs w:val="24"/>
        </w:rPr>
        <w:t xml:space="preserve">, </w:t>
      </w:r>
      <w:r w:rsidR="000F5388" w:rsidRPr="002F0482">
        <w:rPr>
          <w:rFonts w:ascii="Times New Roman" w:hAnsi="Times New Roman" w:cs="Times New Roman"/>
          <w:sz w:val="24"/>
          <w:szCs w:val="24"/>
        </w:rPr>
        <w:t xml:space="preserve">samt </w:t>
      </w:r>
      <w:r w:rsidR="00D31059" w:rsidRPr="002F0482">
        <w:rPr>
          <w:rFonts w:ascii="Times New Roman" w:hAnsi="Times New Roman" w:cs="Times New Roman"/>
          <w:sz w:val="24"/>
          <w:szCs w:val="24"/>
        </w:rPr>
        <w:t xml:space="preserve">for </w:t>
      </w:r>
      <w:r w:rsidR="00754663" w:rsidRPr="002F0482">
        <w:rPr>
          <w:rFonts w:ascii="Times New Roman" w:hAnsi="Times New Roman" w:cs="Times New Roman"/>
          <w:sz w:val="24"/>
          <w:szCs w:val="24"/>
        </w:rPr>
        <w:t xml:space="preserve">de </w:t>
      </w:r>
      <w:r w:rsidR="009526C1" w:rsidRPr="002F0482">
        <w:rPr>
          <w:rFonts w:ascii="Times New Roman" w:hAnsi="Times New Roman" w:cs="Times New Roman"/>
          <w:sz w:val="24"/>
          <w:szCs w:val="24"/>
        </w:rPr>
        <w:t>pe</w:t>
      </w:r>
      <w:r w:rsidR="009526C1" w:rsidRPr="002F0482">
        <w:rPr>
          <w:rFonts w:ascii="Times New Roman" w:hAnsi="Times New Roman" w:cs="Times New Roman"/>
          <w:sz w:val="24"/>
          <w:szCs w:val="24"/>
        </w:rPr>
        <w:t>r</w:t>
      </w:r>
      <w:r w:rsidR="009526C1" w:rsidRPr="002F0482">
        <w:rPr>
          <w:rFonts w:ascii="Times New Roman" w:hAnsi="Times New Roman" w:cs="Times New Roman"/>
          <w:sz w:val="24"/>
          <w:szCs w:val="24"/>
        </w:rPr>
        <w:t>soner eller firmaer</w:t>
      </w:r>
      <w:r w:rsidR="00DB2EED" w:rsidRPr="002F0482">
        <w:rPr>
          <w:rFonts w:ascii="Times New Roman" w:hAnsi="Times New Roman" w:cs="Times New Roman"/>
          <w:sz w:val="24"/>
          <w:szCs w:val="24"/>
        </w:rPr>
        <w:t xml:space="preserve">, </w:t>
      </w:r>
      <w:r w:rsidR="00D31059" w:rsidRPr="002F0482">
        <w:rPr>
          <w:rFonts w:ascii="Times New Roman" w:hAnsi="Times New Roman" w:cs="Times New Roman"/>
          <w:sz w:val="24"/>
          <w:szCs w:val="24"/>
        </w:rPr>
        <w:t>der har fået ti</w:t>
      </w:r>
      <w:r w:rsidR="00E37643" w:rsidRPr="002F0482">
        <w:rPr>
          <w:rFonts w:ascii="Times New Roman" w:hAnsi="Times New Roman" w:cs="Times New Roman"/>
          <w:sz w:val="24"/>
          <w:szCs w:val="24"/>
        </w:rPr>
        <w:t>lladelse hertil af Naalakkersuis</w:t>
      </w:r>
      <w:r w:rsidR="00D31059" w:rsidRPr="002F0482">
        <w:rPr>
          <w:rFonts w:ascii="Times New Roman" w:hAnsi="Times New Roman" w:cs="Times New Roman"/>
          <w:sz w:val="24"/>
          <w:szCs w:val="24"/>
        </w:rPr>
        <w:t xml:space="preserve">ut. </w:t>
      </w:r>
    </w:p>
    <w:p w14:paraId="18E046D3" w14:textId="77777777" w:rsidR="00F23505" w:rsidRPr="002F0482" w:rsidRDefault="00F23505" w:rsidP="00757CB2">
      <w:pPr>
        <w:spacing w:line="276" w:lineRule="auto"/>
        <w:ind w:left="0"/>
        <w:rPr>
          <w:rFonts w:ascii="Times New Roman" w:hAnsi="Times New Roman" w:cs="Times New Roman"/>
          <w:sz w:val="24"/>
          <w:szCs w:val="24"/>
        </w:rPr>
      </w:pPr>
    </w:p>
    <w:p w14:paraId="68DBD0DB" w14:textId="0DAE13C5" w:rsidR="001D4682" w:rsidRPr="002F0482" w:rsidRDefault="000B1D5D" w:rsidP="00757CB2">
      <w:pPr>
        <w:spacing w:line="276" w:lineRule="auto"/>
        <w:ind w:left="0"/>
        <w:rPr>
          <w:rFonts w:ascii="Times New Roman" w:hAnsi="Times New Roman" w:cs="Times New Roman"/>
          <w:sz w:val="24"/>
          <w:szCs w:val="24"/>
        </w:rPr>
      </w:pPr>
      <w:r w:rsidRPr="002F0482">
        <w:rPr>
          <w:rFonts w:ascii="Times New Roman" w:hAnsi="Times New Roman" w:cs="Times New Roman"/>
          <w:sz w:val="24"/>
          <w:szCs w:val="24"/>
        </w:rPr>
        <w:t>Samtidig foreslås det</w:t>
      </w:r>
      <w:r w:rsidR="005B3DE6" w:rsidRPr="002F0482">
        <w:rPr>
          <w:rFonts w:ascii="Times New Roman" w:hAnsi="Times New Roman" w:cs="Times New Roman"/>
          <w:sz w:val="24"/>
          <w:szCs w:val="24"/>
        </w:rPr>
        <w:t>, at der udarbejdes en bekendtgørelse</w:t>
      </w:r>
      <w:r w:rsidR="00E63383" w:rsidRPr="002F0482">
        <w:rPr>
          <w:rFonts w:ascii="Times New Roman" w:hAnsi="Times New Roman" w:cs="Times New Roman"/>
          <w:sz w:val="24"/>
          <w:szCs w:val="24"/>
        </w:rPr>
        <w:t xml:space="preserve">, der træder i kraft </w:t>
      </w:r>
      <w:r w:rsidR="002A723B" w:rsidRPr="002F0482">
        <w:rPr>
          <w:rFonts w:ascii="Times New Roman" w:hAnsi="Times New Roman" w:cs="Times New Roman"/>
          <w:sz w:val="24"/>
          <w:szCs w:val="24"/>
        </w:rPr>
        <w:t xml:space="preserve">på samme dato som </w:t>
      </w:r>
      <w:r w:rsidR="00806E04" w:rsidRPr="002F0482">
        <w:rPr>
          <w:rFonts w:ascii="Times New Roman" w:hAnsi="Times New Roman" w:cs="Times New Roman"/>
          <w:sz w:val="24"/>
          <w:szCs w:val="24"/>
        </w:rPr>
        <w:t>Inatsisartut</w:t>
      </w:r>
      <w:r w:rsidR="005B3DE6" w:rsidRPr="002F0482">
        <w:rPr>
          <w:rFonts w:ascii="Times New Roman" w:hAnsi="Times New Roman" w:cs="Times New Roman"/>
          <w:sz w:val="24"/>
          <w:szCs w:val="24"/>
        </w:rPr>
        <w:t>loven</w:t>
      </w:r>
      <w:r w:rsidR="002A723B" w:rsidRPr="002F0482">
        <w:rPr>
          <w:rFonts w:ascii="Times New Roman" w:hAnsi="Times New Roman" w:cs="Times New Roman"/>
          <w:sz w:val="24"/>
          <w:szCs w:val="24"/>
        </w:rPr>
        <w:t>.</w:t>
      </w:r>
      <w:r w:rsidR="00A97B03" w:rsidRPr="002F0482">
        <w:rPr>
          <w:rFonts w:ascii="Times New Roman" w:hAnsi="Times New Roman" w:cs="Times New Roman"/>
          <w:sz w:val="24"/>
          <w:szCs w:val="24"/>
        </w:rPr>
        <w:t xml:space="preserve"> </w:t>
      </w:r>
      <w:r w:rsidR="005B3DE6" w:rsidRPr="002F0482">
        <w:rPr>
          <w:rFonts w:ascii="Times New Roman" w:hAnsi="Times New Roman" w:cs="Times New Roman"/>
          <w:sz w:val="24"/>
          <w:szCs w:val="24"/>
        </w:rPr>
        <w:t xml:space="preserve">Bekendtgørelsen vil </w:t>
      </w:r>
      <w:r w:rsidR="001D4682" w:rsidRPr="002F0482">
        <w:rPr>
          <w:rFonts w:ascii="Times New Roman" w:hAnsi="Times New Roman" w:cs="Times New Roman"/>
          <w:sz w:val="24"/>
          <w:szCs w:val="24"/>
        </w:rPr>
        <w:t xml:space="preserve">blandt andet </w:t>
      </w:r>
      <w:r w:rsidR="005B3DE6" w:rsidRPr="002F0482">
        <w:rPr>
          <w:rFonts w:ascii="Times New Roman" w:hAnsi="Times New Roman" w:cs="Times New Roman"/>
          <w:sz w:val="24"/>
          <w:szCs w:val="24"/>
        </w:rPr>
        <w:t xml:space="preserve">indeholde en nærmere </w:t>
      </w:r>
      <w:r w:rsidR="00C57972" w:rsidRPr="002F0482">
        <w:rPr>
          <w:rFonts w:ascii="Times New Roman" w:hAnsi="Times New Roman" w:cs="Times New Roman"/>
          <w:sz w:val="24"/>
          <w:szCs w:val="24"/>
        </w:rPr>
        <w:t xml:space="preserve">definition af, hvad der </w:t>
      </w:r>
      <w:r w:rsidR="001D4682" w:rsidRPr="002F0482">
        <w:rPr>
          <w:rFonts w:ascii="Times New Roman" w:hAnsi="Times New Roman" w:cs="Times New Roman"/>
          <w:sz w:val="24"/>
          <w:szCs w:val="24"/>
        </w:rPr>
        <w:t xml:space="preserve">i Inatsisartutloven </w:t>
      </w:r>
      <w:r w:rsidR="00C57972" w:rsidRPr="002F0482">
        <w:rPr>
          <w:rFonts w:ascii="Times New Roman" w:hAnsi="Times New Roman" w:cs="Times New Roman"/>
          <w:sz w:val="24"/>
          <w:szCs w:val="24"/>
        </w:rPr>
        <w:t xml:space="preserve">forstås ved </w:t>
      </w:r>
      <w:r w:rsidR="001D4682" w:rsidRPr="002F0482">
        <w:rPr>
          <w:rFonts w:ascii="Times New Roman" w:hAnsi="Times New Roman" w:cs="Times New Roman"/>
          <w:sz w:val="24"/>
          <w:szCs w:val="24"/>
        </w:rPr>
        <w:t xml:space="preserve">euforiserende stoffer, ligesom der </w:t>
      </w:r>
      <w:r w:rsidR="002414D6" w:rsidRPr="002F0482">
        <w:rPr>
          <w:rFonts w:ascii="Times New Roman" w:hAnsi="Times New Roman" w:cs="Times New Roman"/>
          <w:sz w:val="24"/>
          <w:szCs w:val="24"/>
        </w:rPr>
        <w:t>i tilknytning til b</w:t>
      </w:r>
      <w:r w:rsidR="002414D6" w:rsidRPr="002F0482">
        <w:rPr>
          <w:rFonts w:ascii="Times New Roman" w:hAnsi="Times New Roman" w:cs="Times New Roman"/>
          <w:sz w:val="24"/>
          <w:szCs w:val="24"/>
        </w:rPr>
        <w:t>e</w:t>
      </w:r>
      <w:r w:rsidR="002414D6" w:rsidRPr="002F0482">
        <w:rPr>
          <w:rFonts w:ascii="Times New Roman" w:hAnsi="Times New Roman" w:cs="Times New Roman"/>
          <w:sz w:val="24"/>
          <w:szCs w:val="24"/>
        </w:rPr>
        <w:t xml:space="preserve">kendtgørelsen opstilles </w:t>
      </w:r>
      <w:r w:rsidR="001D4682" w:rsidRPr="002F0482">
        <w:rPr>
          <w:rFonts w:ascii="Times New Roman" w:hAnsi="Times New Roman" w:cs="Times New Roman"/>
          <w:sz w:val="24"/>
          <w:szCs w:val="24"/>
        </w:rPr>
        <w:t xml:space="preserve">lister over </w:t>
      </w:r>
      <w:r w:rsidR="00E1577A" w:rsidRPr="002F0482">
        <w:rPr>
          <w:rFonts w:ascii="Times New Roman" w:hAnsi="Times New Roman" w:cs="Times New Roman"/>
          <w:sz w:val="24"/>
          <w:szCs w:val="24"/>
        </w:rPr>
        <w:t xml:space="preserve">de </w:t>
      </w:r>
      <w:r w:rsidR="001D4682" w:rsidRPr="002F0482">
        <w:rPr>
          <w:rFonts w:ascii="Times New Roman" w:hAnsi="Times New Roman" w:cs="Times New Roman"/>
          <w:sz w:val="24"/>
          <w:szCs w:val="24"/>
        </w:rPr>
        <w:t xml:space="preserve">euforiserende stoffer, </w:t>
      </w:r>
      <w:r w:rsidR="002414D6" w:rsidRPr="002F0482">
        <w:rPr>
          <w:rFonts w:ascii="Times New Roman" w:hAnsi="Times New Roman" w:cs="Times New Roman"/>
          <w:sz w:val="24"/>
          <w:szCs w:val="24"/>
        </w:rPr>
        <w:t xml:space="preserve">der er omfattet af </w:t>
      </w:r>
      <w:r w:rsidR="00A85005">
        <w:rPr>
          <w:rFonts w:ascii="Times New Roman" w:hAnsi="Times New Roman" w:cs="Times New Roman"/>
          <w:sz w:val="24"/>
          <w:szCs w:val="24"/>
        </w:rPr>
        <w:t>Inatsisartut</w:t>
      </w:r>
      <w:r w:rsidR="00A85005" w:rsidRPr="002F0482">
        <w:rPr>
          <w:rFonts w:ascii="Times New Roman" w:hAnsi="Times New Roman" w:cs="Times New Roman"/>
          <w:sz w:val="24"/>
          <w:szCs w:val="24"/>
        </w:rPr>
        <w:t>loven</w:t>
      </w:r>
      <w:r w:rsidR="00E1577A" w:rsidRPr="002F0482">
        <w:rPr>
          <w:rFonts w:ascii="Times New Roman" w:hAnsi="Times New Roman" w:cs="Times New Roman"/>
          <w:sz w:val="24"/>
          <w:szCs w:val="24"/>
        </w:rPr>
        <w:t>.</w:t>
      </w:r>
    </w:p>
    <w:p w14:paraId="24E7B983" w14:textId="45902503" w:rsidR="000068E5" w:rsidRPr="002F0482" w:rsidRDefault="003B03E5" w:rsidP="00757CB2">
      <w:pPr>
        <w:spacing w:line="276" w:lineRule="auto"/>
        <w:ind w:left="0"/>
        <w:rPr>
          <w:rFonts w:ascii="Times New Roman" w:hAnsi="Times New Roman" w:cs="Times New Roman"/>
          <w:sz w:val="24"/>
          <w:szCs w:val="24"/>
        </w:rPr>
      </w:pPr>
      <w:r w:rsidRPr="002F0482">
        <w:rPr>
          <w:rFonts w:ascii="Times New Roman" w:hAnsi="Times New Roman" w:cs="Times New Roman"/>
          <w:sz w:val="24"/>
          <w:szCs w:val="24"/>
        </w:rPr>
        <w:t>Der udvikles løbende nye former for euforiserende stoffer, og det er derfor mest hensigtsmæ</w:t>
      </w:r>
      <w:r w:rsidRPr="002F0482">
        <w:rPr>
          <w:rFonts w:ascii="Times New Roman" w:hAnsi="Times New Roman" w:cs="Times New Roman"/>
          <w:sz w:val="24"/>
          <w:szCs w:val="24"/>
        </w:rPr>
        <w:t>s</w:t>
      </w:r>
      <w:r w:rsidRPr="002F0482">
        <w:rPr>
          <w:rFonts w:ascii="Times New Roman" w:hAnsi="Times New Roman" w:cs="Times New Roman"/>
          <w:sz w:val="24"/>
          <w:szCs w:val="24"/>
        </w:rPr>
        <w:t>sigt, at disse lister tilknyttes en bekendtgørelse, således at listen kan opdateres i takt med u</w:t>
      </w:r>
      <w:r w:rsidRPr="002F0482">
        <w:rPr>
          <w:rFonts w:ascii="Times New Roman" w:hAnsi="Times New Roman" w:cs="Times New Roman"/>
          <w:sz w:val="24"/>
          <w:szCs w:val="24"/>
        </w:rPr>
        <w:t>d</w:t>
      </w:r>
      <w:r w:rsidRPr="002F0482">
        <w:rPr>
          <w:rFonts w:ascii="Times New Roman" w:hAnsi="Times New Roman" w:cs="Times New Roman"/>
          <w:sz w:val="24"/>
          <w:szCs w:val="24"/>
        </w:rPr>
        <w:t>viklingen på området.</w:t>
      </w:r>
      <w:r w:rsidR="005C5E11" w:rsidRPr="005C5E11">
        <w:rPr>
          <w:rFonts w:ascii="Times New Roman" w:hAnsi="Times New Roman" w:cs="Times New Roman"/>
          <w:sz w:val="24"/>
          <w:szCs w:val="24"/>
        </w:rPr>
        <w:t xml:space="preserve"> </w:t>
      </w:r>
      <w:r w:rsidR="005C5E11" w:rsidRPr="002F0482">
        <w:rPr>
          <w:rFonts w:ascii="Times New Roman" w:hAnsi="Times New Roman" w:cs="Times New Roman"/>
          <w:sz w:val="24"/>
          <w:szCs w:val="24"/>
        </w:rPr>
        <w:t xml:space="preserve">Det er vigtigt, at såvel lov som bekendtgørelse træder i kraft samme dag, idet Inatsisartutloven uden </w:t>
      </w:r>
      <w:r w:rsidR="003A1110">
        <w:rPr>
          <w:rFonts w:ascii="Times New Roman" w:hAnsi="Times New Roman" w:cs="Times New Roman"/>
          <w:sz w:val="24"/>
          <w:szCs w:val="24"/>
        </w:rPr>
        <w:t xml:space="preserve">en tilhørende </w:t>
      </w:r>
      <w:r w:rsidR="005C5E11" w:rsidRPr="002F0482">
        <w:rPr>
          <w:rFonts w:ascii="Times New Roman" w:hAnsi="Times New Roman" w:cs="Times New Roman"/>
          <w:sz w:val="24"/>
          <w:szCs w:val="24"/>
        </w:rPr>
        <w:t xml:space="preserve">bekendtgørelse vil medføre en lovliggørelse af enhver form for besiddelse mv. af euforiserende stoffer.   </w:t>
      </w:r>
    </w:p>
    <w:p w14:paraId="382643D0" w14:textId="77777777" w:rsidR="0071217C" w:rsidRPr="002F0482" w:rsidRDefault="0071217C" w:rsidP="00757CB2">
      <w:pPr>
        <w:spacing w:line="276" w:lineRule="auto"/>
        <w:ind w:left="0"/>
        <w:rPr>
          <w:rFonts w:ascii="Times New Roman" w:hAnsi="Times New Roman" w:cs="Times New Roman"/>
          <w:sz w:val="24"/>
          <w:szCs w:val="24"/>
        </w:rPr>
      </w:pPr>
    </w:p>
    <w:p w14:paraId="3671D81F" w14:textId="2D2490F2" w:rsidR="0071217C" w:rsidRPr="002F0482" w:rsidRDefault="0071217C" w:rsidP="00757CB2">
      <w:pPr>
        <w:spacing w:line="276" w:lineRule="auto"/>
        <w:ind w:left="0"/>
        <w:rPr>
          <w:rFonts w:ascii="Times New Roman" w:hAnsi="Times New Roman" w:cs="Times New Roman"/>
          <w:sz w:val="24"/>
          <w:szCs w:val="24"/>
        </w:rPr>
      </w:pPr>
      <w:r w:rsidRPr="002F0482">
        <w:rPr>
          <w:rFonts w:ascii="Times New Roman" w:hAnsi="Times New Roman" w:cs="Times New Roman"/>
          <w:sz w:val="24"/>
          <w:szCs w:val="24"/>
        </w:rPr>
        <w:t xml:space="preserve">Idet </w:t>
      </w:r>
      <w:r w:rsidR="00535579">
        <w:rPr>
          <w:rFonts w:ascii="Times New Roman" w:hAnsi="Times New Roman" w:cs="Times New Roman"/>
          <w:sz w:val="24"/>
          <w:szCs w:val="24"/>
        </w:rPr>
        <w:t>forslaget</w:t>
      </w:r>
      <w:r w:rsidRPr="002F0482">
        <w:rPr>
          <w:rFonts w:ascii="Times New Roman" w:hAnsi="Times New Roman" w:cs="Times New Roman"/>
          <w:sz w:val="24"/>
          <w:szCs w:val="24"/>
        </w:rPr>
        <w:t>, som tidligere anført, overvejende er en bemyndigelseslov, og forholdene vedr</w:t>
      </w:r>
      <w:r w:rsidRPr="002F0482">
        <w:rPr>
          <w:rFonts w:ascii="Times New Roman" w:hAnsi="Times New Roman" w:cs="Times New Roman"/>
          <w:sz w:val="24"/>
          <w:szCs w:val="24"/>
        </w:rPr>
        <w:t>ø</w:t>
      </w:r>
      <w:r w:rsidRPr="002F0482">
        <w:rPr>
          <w:rFonts w:ascii="Times New Roman" w:hAnsi="Times New Roman" w:cs="Times New Roman"/>
          <w:sz w:val="24"/>
          <w:szCs w:val="24"/>
        </w:rPr>
        <w:t xml:space="preserve">rende euforiserende stoffer således nærmere vil blive reguleret i </w:t>
      </w:r>
      <w:r w:rsidR="009578A7">
        <w:rPr>
          <w:rFonts w:ascii="Times New Roman" w:hAnsi="Times New Roman" w:cs="Times New Roman"/>
          <w:sz w:val="24"/>
          <w:szCs w:val="24"/>
        </w:rPr>
        <w:t>en bekendtgørelse</w:t>
      </w:r>
      <w:r w:rsidRPr="002F0482">
        <w:rPr>
          <w:rFonts w:ascii="Times New Roman" w:hAnsi="Times New Roman" w:cs="Times New Roman"/>
          <w:sz w:val="24"/>
          <w:szCs w:val="24"/>
        </w:rPr>
        <w:t xml:space="preserve">, </w:t>
      </w:r>
      <w:r w:rsidR="00B41FDD">
        <w:rPr>
          <w:rFonts w:ascii="Times New Roman" w:hAnsi="Times New Roman" w:cs="Times New Roman"/>
          <w:sz w:val="24"/>
          <w:szCs w:val="24"/>
        </w:rPr>
        <w:t xml:space="preserve">er der vedlagt i Bilag 2 </w:t>
      </w:r>
      <w:r w:rsidRPr="002F0482">
        <w:rPr>
          <w:rFonts w:ascii="Times New Roman" w:hAnsi="Times New Roman" w:cs="Times New Roman"/>
          <w:sz w:val="24"/>
          <w:szCs w:val="24"/>
        </w:rPr>
        <w:t>en vejledning</w:t>
      </w:r>
      <w:r w:rsidR="00E237BE">
        <w:rPr>
          <w:rFonts w:ascii="Times New Roman" w:hAnsi="Times New Roman" w:cs="Times New Roman"/>
          <w:sz w:val="24"/>
          <w:szCs w:val="24"/>
        </w:rPr>
        <w:t xml:space="preserve"> vedrørende sanktionering af ulovlig</w:t>
      </w:r>
      <w:r w:rsidR="00875F54">
        <w:rPr>
          <w:rFonts w:ascii="Times New Roman" w:hAnsi="Times New Roman" w:cs="Times New Roman"/>
          <w:sz w:val="24"/>
          <w:szCs w:val="24"/>
        </w:rPr>
        <w:t>t</w:t>
      </w:r>
      <w:r w:rsidR="00E237BE">
        <w:rPr>
          <w:rFonts w:ascii="Times New Roman" w:hAnsi="Times New Roman" w:cs="Times New Roman"/>
          <w:sz w:val="24"/>
          <w:szCs w:val="24"/>
        </w:rPr>
        <w:t xml:space="preserve"> </w:t>
      </w:r>
      <w:r w:rsidR="00E237BE" w:rsidRPr="002F0482">
        <w:rPr>
          <w:rFonts w:ascii="Times New Roman" w:hAnsi="Times New Roman" w:cs="Times New Roman"/>
          <w:sz w:val="24"/>
          <w:szCs w:val="24"/>
        </w:rPr>
        <w:t>køb, salg, besiddelse m</w:t>
      </w:r>
      <w:r w:rsidR="00E237BE">
        <w:rPr>
          <w:rFonts w:ascii="Times New Roman" w:hAnsi="Times New Roman" w:cs="Times New Roman"/>
          <w:sz w:val="24"/>
          <w:szCs w:val="24"/>
        </w:rPr>
        <w:t xml:space="preserve">m. af euforiserende midler. </w:t>
      </w:r>
      <w:r w:rsidR="00AD1E66">
        <w:rPr>
          <w:rFonts w:ascii="Times New Roman" w:hAnsi="Times New Roman" w:cs="Times New Roman"/>
          <w:sz w:val="24"/>
          <w:szCs w:val="24"/>
        </w:rPr>
        <w:t>Bilaget skal dog ikke forstås som en bindende oversigt over sankti</w:t>
      </w:r>
      <w:r w:rsidR="00AD1E66">
        <w:rPr>
          <w:rFonts w:ascii="Times New Roman" w:hAnsi="Times New Roman" w:cs="Times New Roman"/>
          <w:sz w:val="24"/>
          <w:szCs w:val="24"/>
        </w:rPr>
        <w:t>o</w:t>
      </w:r>
      <w:r w:rsidR="00AD1E66">
        <w:rPr>
          <w:rFonts w:ascii="Times New Roman" w:hAnsi="Times New Roman" w:cs="Times New Roman"/>
          <w:sz w:val="24"/>
          <w:szCs w:val="24"/>
        </w:rPr>
        <w:t xml:space="preserve">ner, men derimod et </w:t>
      </w:r>
      <w:r w:rsidR="00FA6607">
        <w:rPr>
          <w:rFonts w:ascii="Times New Roman" w:hAnsi="Times New Roman" w:cs="Times New Roman"/>
          <w:sz w:val="24"/>
          <w:szCs w:val="24"/>
        </w:rPr>
        <w:t xml:space="preserve">vejledende </w:t>
      </w:r>
      <w:r w:rsidR="00AD1E66">
        <w:rPr>
          <w:rFonts w:ascii="Times New Roman" w:hAnsi="Times New Roman" w:cs="Times New Roman"/>
          <w:sz w:val="24"/>
          <w:szCs w:val="24"/>
        </w:rPr>
        <w:t xml:space="preserve">overblik over normalniveauet, som der kan afviges fra i både op- og nedadgående retning </w:t>
      </w:r>
      <w:r w:rsidR="00FA6607">
        <w:rPr>
          <w:rFonts w:ascii="Times New Roman" w:hAnsi="Times New Roman" w:cs="Times New Roman"/>
          <w:sz w:val="24"/>
          <w:szCs w:val="24"/>
        </w:rPr>
        <w:t>afhængig af de konkrete omstændigheder i den pågældende sag.</w:t>
      </w:r>
    </w:p>
    <w:p w14:paraId="7D735F0B" w14:textId="77777777" w:rsidR="00E1577A" w:rsidRPr="002F0482" w:rsidRDefault="00E1577A" w:rsidP="008D5FF9">
      <w:pPr>
        <w:spacing w:line="276" w:lineRule="auto"/>
        <w:ind w:left="0"/>
        <w:jc w:val="both"/>
        <w:rPr>
          <w:rFonts w:ascii="Times New Roman" w:hAnsi="Times New Roman" w:cs="Times New Roman"/>
          <w:sz w:val="24"/>
          <w:szCs w:val="24"/>
        </w:rPr>
      </w:pPr>
    </w:p>
    <w:p w14:paraId="031CC8E0" w14:textId="77777777" w:rsidR="00CA4C6C" w:rsidRPr="002F0482" w:rsidRDefault="0087185B" w:rsidP="008D5FF9">
      <w:pPr>
        <w:spacing w:line="276" w:lineRule="auto"/>
        <w:ind w:left="0"/>
        <w:jc w:val="both"/>
        <w:rPr>
          <w:rFonts w:ascii="Times New Roman" w:hAnsi="Times New Roman" w:cs="Times New Roman"/>
          <w:b/>
          <w:sz w:val="24"/>
          <w:szCs w:val="24"/>
        </w:rPr>
      </w:pPr>
      <w:r w:rsidRPr="002F0482">
        <w:rPr>
          <w:rFonts w:ascii="Times New Roman" w:hAnsi="Times New Roman" w:cs="Times New Roman"/>
          <w:b/>
          <w:sz w:val="24"/>
          <w:szCs w:val="24"/>
        </w:rPr>
        <w:t>3</w:t>
      </w:r>
      <w:r w:rsidR="00D8661D" w:rsidRPr="002F0482">
        <w:rPr>
          <w:rFonts w:ascii="Times New Roman" w:hAnsi="Times New Roman" w:cs="Times New Roman"/>
          <w:b/>
          <w:sz w:val="24"/>
          <w:szCs w:val="24"/>
        </w:rPr>
        <w:t>. Økonomiske og administrative konsekvenser for det offentlige</w:t>
      </w:r>
    </w:p>
    <w:p w14:paraId="5D08608D" w14:textId="6ED956D3" w:rsidR="006A5E98" w:rsidRDefault="00B52149" w:rsidP="00860970">
      <w:pPr>
        <w:spacing w:line="276" w:lineRule="auto"/>
        <w:ind w:left="0"/>
        <w:jc w:val="both"/>
        <w:rPr>
          <w:rFonts w:ascii="Times New Roman" w:eastAsia="Times New Roman" w:hAnsi="Times New Roman" w:cs="Times New Roman"/>
          <w:sz w:val="24"/>
          <w:szCs w:val="24"/>
          <w:lang w:eastAsia="da-DK"/>
        </w:rPr>
      </w:pPr>
      <w:r w:rsidRPr="002F0482">
        <w:rPr>
          <w:rFonts w:ascii="Times New Roman" w:eastAsia="Times New Roman" w:hAnsi="Times New Roman" w:cs="Times New Roman"/>
          <w:sz w:val="24"/>
          <w:szCs w:val="24"/>
          <w:lang w:eastAsia="da-DK"/>
        </w:rPr>
        <w:t>Forslaget forventes at indebære øgede udgifter for det offentlige til udstedelse af tilladelser</w:t>
      </w:r>
      <w:r w:rsidR="00FA6607">
        <w:rPr>
          <w:rFonts w:ascii="Times New Roman" w:eastAsia="Times New Roman" w:hAnsi="Times New Roman" w:cs="Times New Roman"/>
          <w:sz w:val="24"/>
          <w:szCs w:val="24"/>
          <w:lang w:eastAsia="da-DK"/>
        </w:rPr>
        <w:t>,</w:t>
      </w:r>
      <w:r w:rsidRPr="002F0482">
        <w:rPr>
          <w:rFonts w:ascii="Times New Roman" w:eastAsia="Times New Roman" w:hAnsi="Times New Roman" w:cs="Times New Roman"/>
          <w:sz w:val="24"/>
          <w:szCs w:val="24"/>
          <w:lang w:eastAsia="da-DK"/>
        </w:rPr>
        <w:t xml:space="preserve"> til overvågning og kontrol. I alt forventes de samlede årlige udgifter at udgøre ca. </w:t>
      </w:r>
      <w:r w:rsidR="00860970">
        <w:rPr>
          <w:rFonts w:ascii="Times New Roman" w:eastAsia="Times New Roman" w:hAnsi="Times New Roman" w:cs="Times New Roman"/>
          <w:sz w:val="24"/>
          <w:szCs w:val="24"/>
          <w:lang w:eastAsia="da-DK"/>
        </w:rPr>
        <w:t xml:space="preserve">600.000 kr., svarende til ét årsværk, som </w:t>
      </w:r>
      <w:r w:rsidR="002C136D">
        <w:rPr>
          <w:rFonts w:ascii="Times New Roman" w:eastAsia="Times New Roman" w:hAnsi="Times New Roman" w:cs="Times New Roman"/>
          <w:sz w:val="24"/>
          <w:szCs w:val="24"/>
          <w:lang w:eastAsia="da-DK"/>
        </w:rPr>
        <w:t xml:space="preserve">tilføres </w:t>
      </w:r>
      <w:r w:rsidRPr="009578A7">
        <w:rPr>
          <w:rFonts w:ascii="Times New Roman" w:eastAsia="Times New Roman" w:hAnsi="Times New Roman" w:cs="Times New Roman"/>
          <w:sz w:val="24"/>
          <w:szCs w:val="24"/>
          <w:lang w:eastAsia="da-DK"/>
        </w:rPr>
        <w:t>Landslægeembedet</w:t>
      </w:r>
      <w:r w:rsidR="00172F52">
        <w:rPr>
          <w:rFonts w:ascii="Times New Roman" w:eastAsia="Times New Roman" w:hAnsi="Times New Roman" w:cs="Times New Roman"/>
          <w:sz w:val="24"/>
          <w:szCs w:val="24"/>
          <w:lang w:eastAsia="da-DK"/>
        </w:rPr>
        <w:t xml:space="preserve"> til sagsbehandling af anmodninger </w:t>
      </w:r>
      <w:r w:rsidR="00172F52">
        <w:rPr>
          <w:rFonts w:ascii="Times New Roman" w:eastAsia="Times New Roman" w:hAnsi="Times New Roman" w:cs="Times New Roman"/>
          <w:sz w:val="24"/>
          <w:szCs w:val="24"/>
          <w:lang w:eastAsia="da-DK"/>
        </w:rPr>
        <w:lastRenderedPageBreak/>
        <w:t>om tilladelser og lignende</w:t>
      </w:r>
      <w:r w:rsidR="00860970">
        <w:rPr>
          <w:rFonts w:ascii="Times New Roman" w:eastAsia="Times New Roman" w:hAnsi="Times New Roman" w:cs="Times New Roman"/>
          <w:sz w:val="24"/>
          <w:szCs w:val="24"/>
          <w:lang w:eastAsia="da-DK"/>
        </w:rPr>
        <w:t xml:space="preserve">. </w:t>
      </w:r>
      <w:r w:rsidRPr="009578A7">
        <w:rPr>
          <w:rFonts w:ascii="Times New Roman" w:eastAsia="Times New Roman" w:hAnsi="Times New Roman" w:cs="Times New Roman"/>
          <w:sz w:val="24"/>
          <w:szCs w:val="24"/>
          <w:lang w:eastAsia="da-DK"/>
        </w:rPr>
        <w:t xml:space="preserve">Udgiften forventes i et vist begrænset omfang at modsvares af en tilsvarende gebyrindtægt. </w:t>
      </w:r>
    </w:p>
    <w:p w14:paraId="0A6925CF" w14:textId="6F064A52" w:rsidR="00C420C6" w:rsidRPr="002F0482" w:rsidRDefault="00C420C6" w:rsidP="00C420C6">
      <w:p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Det skal bemærkes, at der i forbindelse med imødekommelse af Inatsisartutbeslutningen ve</w:t>
      </w:r>
      <w:r>
        <w:rPr>
          <w:rFonts w:ascii="Times New Roman" w:hAnsi="Times New Roman" w:cs="Times New Roman"/>
          <w:sz w:val="24"/>
          <w:szCs w:val="24"/>
        </w:rPr>
        <w:t>d</w:t>
      </w:r>
      <w:r>
        <w:rPr>
          <w:rFonts w:ascii="Times New Roman" w:hAnsi="Times New Roman" w:cs="Times New Roman"/>
          <w:sz w:val="24"/>
          <w:szCs w:val="24"/>
        </w:rPr>
        <w:t xml:space="preserve">rørende lovliggørelse af produkter med op til 0,2% THC, som nævnt ovenfor, kan </w:t>
      </w:r>
      <w:r w:rsidR="003A1110">
        <w:rPr>
          <w:rFonts w:ascii="Times New Roman" w:hAnsi="Times New Roman" w:cs="Times New Roman"/>
          <w:sz w:val="24"/>
          <w:szCs w:val="24"/>
        </w:rPr>
        <w:t xml:space="preserve">medføre </w:t>
      </w:r>
      <w:r>
        <w:rPr>
          <w:rFonts w:ascii="Times New Roman" w:hAnsi="Times New Roman" w:cs="Times New Roman"/>
          <w:sz w:val="24"/>
          <w:szCs w:val="24"/>
        </w:rPr>
        <w:t xml:space="preserve">økonomiske og administrative konsekvenser for det offentlige. Disse beskrives ikke nærmere i nærværende bemærkninger, idet disse konsekvenser ikke </w:t>
      </w:r>
      <w:r w:rsidR="0083009E">
        <w:rPr>
          <w:rFonts w:ascii="Times New Roman" w:hAnsi="Times New Roman" w:cs="Times New Roman"/>
          <w:sz w:val="24"/>
          <w:szCs w:val="24"/>
        </w:rPr>
        <w:t>reguleres direkte i</w:t>
      </w:r>
      <w:r>
        <w:rPr>
          <w:rFonts w:ascii="Times New Roman" w:hAnsi="Times New Roman" w:cs="Times New Roman"/>
          <w:sz w:val="24"/>
          <w:szCs w:val="24"/>
        </w:rPr>
        <w:t xml:space="preserve"> nærværende forslag til Inatsisartutlov.</w:t>
      </w:r>
    </w:p>
    <w:p w14:paraId="2EE85C23" w14:textId="77777777" w:rsidR="00733B58" w:rsidRPr="002F0482" w:rsidRDefault="00733B58" w:rsidP="008D5FF9">
      <w:pPr>
        <w:spacing w:line="276" w:lineRule="auto"/>
        <w:ind w:left="0"/>
        <w:jc w:val="both"/>
        <w:rPr>
          <w:rFonts w:ascii="Times New Roman" w:hAnsi="Times New Roman" w:cs="Times New Roman"/>
          <w:b/>
          <w:sz w:val="24"/>
          <w:szCs w:val="24"/>
        </w:rPr>
      </w:pPr>
    </w:p>
    <w:p w14:paraId="23236E14" w14:textId="2A77D525" w:rsidR="00206F71" w:rsidRPr="002F0482" w:rsidRDefault="00206F71" w:rsidP="008D5FF9">
      <w:pPr>
        <w:spacing w:line="276" w:lineRule="auto"/>
        <w:ind w:left="0"/>
        <w:jc w:val="both"/>
        <w:rPr>
          <w:rFonts w:ascii="Times New Roman" w:hAnsi="Times New Roman" w:cs="Times New Roman"/>
          <w:b/>
          <w:sz w:val="24"/>
          <w:szCs w:val="24"/>
        </w:rPr>
      </w:pPr>
      <w:r w:rsidRPr="002F0482">
        <w:rPr>
          <w:rFonts w:ascii="Times New Roman" w:hAnsi="Times New Roman" w:cs="Times New Roman"/>
          <w:b/>
          <w:sz w:val="24"/>
          <w:szCs w:val="24"/>
        </w:rPr>
        <w:t>4. Økonomiske og administrative</w:t>
      </w:r>
      <w:r w:rsidR="00A27E97" w:rsidRPr="002F0482">
        <w:rPr>
          <w:rFonts w:ascii="Times New Roman" w:hAnsi="Times New Roman" w:cs="Times New Roman"/>
          <w:b/>
          <w:sz w:val="24"/>
          <w:szCs w:val="24"/>
        </w:rPr>
        <w:t xml:space="preserve"> konsekvenser for erhvervslivet</w:t>
      </w:r>
    </w:p>
    <w:p w14:paraId="1480A360" w14:textId="1B3F89D5" w:rsidR="00961CF9" w:rsidRDefault="00206F71" w:rsidP="008D5FF9">
      <w:pPr>
        <w:spacing w:line="276" w:lineRule="auto"/>
        <w:ind w:left="0"/>
        <w:jc w:val="both"/>
        <w:rPr>
          <w:rFonts w:ascii="Times New Roman" w:hAnsi="Times New Roman" w:cs="Times New Roman"/>
          <w:sz w:val="24"/>
          <w:szCs w:val="24"/>
        </w:rPr>
      </w:pPr>
      <w:r w:rsidRPr="002F0482">
        <w:rPr>
          <w:rFonts w:ascii="Times New Roman" w:hAnsi="Times New Roman" w:cs="Times New Roman"/>
          <w:sz w:val="24"/>
          <w:szCs w:val="24"/>
        </w:rPr>
        <w:t>Forslaget forv</w:t>
      </w:r>
      <w:r w:rsidR="00733B58" w:rsidRPr="002F0482">
        <w:rPr>
          <w:rFonts w:ascii="Times New Roman" w:hAnsi="Times New Roman" w:cs="Times New Roman"/>
          <w:sz w:val="24"/>
          <w:szCs w:val="24"/>
        </w:rPr>
        <w:t xml:space="preserve">entes at have økonomiske </w:t>
      </w:r>
      <w:r w:rsidR="00D97154" w:rsidRPr="002F0482">
        <w:rPr>
          <w:rFonts w:ascii="Times New Roman" w:hAnsi="Times New Roman" w:cs="Times New Roman"/>
          <w:sz w:val="24"/>
          <w:szCs w:val="24"/>
        </w:rPr>
        <w:t>og administrative</w:t>
      </w:r>
      <w:r w:rsidRPr="002F0482">
        <w:rPr>
          <w:rFonts w:ascii="Times New Roman" w:hAnsi="Times New Roman" w:cs="Times New Roman"/>
          <w:sz w:val="24"/>
          <w:szCs w:val="24"/>
        </w:rPr>
        <w:t xml:space="preserve"> </w:t>
      </w:r>
      <w:r w:rsidR="00A27E97" w:rsidRPr="002F0482">
        <w:rPr>
          <w:rFonts w:ascii="Times New Roman" w:hAnsi="Times New Roman" w:cs="Times New Roman"/>
          <w:sz w:val="24"/>
          <w:szCs w:val="24"/>
        </w:rPr>
        <w:t>konsekvenser for erhvervslivet</w:t>
      </w:r>
      <w:r w:rsidR="00481BED" w:rsidRPr="002F0482">
        <w:rPr>
          <w:rFonts w:ascii="Times New Roman" w:hAnsi="Times New Roman" w:cs="Times New Roman"/>
          <w:sz w:val="24"/>
          <w:szCs w:val="24"/>
        </w:rPr>
        <w:t xml:space="preserve"> </w:t>
      </w:r>
      <w:r w:rsidR="00C37901" w:rsidRPr="002F0482">
        <w:rPr>
          <w:rFonts w:ascii="Times New Roman" w:hAnsi="Times New Roman" w:cs="Times New Roman"/>
          <w:sz w:val="24"/>
          <w:szCs w:val="24"/>
        </w:rPr>
        <w:t xml:space="preserve">i form </w:t>
      </w:r>
      <w:r w:rsidR="00481BED" w:rsidRPr="002F0482">
        <w:rPr>
          <w:rFonts w:ascii="Times New Roman" w:hAnsi="Times New Roman" w:cs="Times New Roman"/>
          <w:sz w:val="24"/>
          <w:szCs w:val="24"/>
        </w:rPr>
        <w:t>af gebyrer</w:t>
      </w:r>
      <w:r w:rsidR="00D97154" w:rsidRPr="002F0482">
        <w:rPr>
          <w:rFonts w:ascii="Times New Roman" w:hAnsi="Times New Roman" w:cs="Times New Roman"/>
          <w:sz w:val="24"/>
          <w:szCs w:val="24"/>
        </w:rPr>
        <w:t xml:space="preserve"> og administration</w:t>
      </w:r>
      <w:r w:rsidR="00481BED" w:rsidRPr="002F0482">
        <w:rPr>
          <w:rFonts w:ascii="Times New Roman" w:hAnsi="Times New Roman" w:cs="Times New Roman"/>
          <w:sz w:val="24"/>
          <w:szCs w:val="24"/>
        </w:rPr>
        <w:t xml:space="preserve">, som vedrører Landslægeembedets håndtering af </w:t>
      </w:r>
      <w:r w:rsidR="00D97154" w:rsidRPr="002F0482">
        <w:rPr>
          <w:rFonts w:ascii="Times New Roman" w:hAnsi="Times New Roman" w:cs="Times New Roman"/>
          <w:sz w:val="24"/>
          <w:szCs w:val="24"/>
        </w:rPr>
        <w:t>udstedelse af tilladelser</w:t>
      </w:r>
      <w:r w:rsidR="00014CE7" w:rsidRPr="002F0482">
        <w:rPr>
          <w:rFonts w:ascii="Times New Roman" w:hAnsi="Times New Roman" w:cs="Times New Roman"/>
          <w:sz w:val="24"/>
          <w:szCs w:val="24"/>
        </w:rPr>
        <w:t xml:space="preserve"> og </w:t>
      </w:r>
      <w:r w:rsidR="00D97154" w:rsidRPr="002F0482">
        <w:rPr>
          <w:rFonts w:ascii="Times New Roman" w:hAnsi="Times New Roman" w:cs="Times New Roman"/>
          <w:sz w:val="24"/>
          <w:szCs w:val="24"/>
        </w:rPr>
        <w:t>tilsyn</w:t>
      </w:r>
      <w:r w:rsidR="0048693A" w:rsidRPr="002F0482">
        <w:rPr>
          <w:rFonts w:ascii="Times New Roman" w:hAnsi="Times New Roman" w:cs="Times New Roman"/>
          <w:sz w:val="24"/>
          <w:szCs w:val="24"/>
        </w:rPr>
        <w:t xml:space="preserve"> </w:t>
      </w:r>
      <w:r w:rsidR="001A3525" w:rsidRPr="002F0482">
        <w:rPr>
          <w:rFonts w:ascii="Times New Roman" w:hAnsi="Times New Roman" w:cs="Times New Roman"/>
          <w:sz w:val="24"/>
          <w:szCs w:val="24"/>
        </w:rPr>
        <w:t>med disse</w:t>
      </w:r>
      <w:r w:rsidR="00014CE7" w:rsidRPr="002F0482">
        <w:rPr>
          <w:rFonts w:ascii="Times New Roman" w:hAnsi="Times New Roman" w:cs="Times New Roman"/>
          <w:sz w:val="24"/>
          <w:szCs w:val="24"/>
        </w:rPr>
        <w:t>.</w:t>
      </w:r>
      <w:r w:rsidR="00D97154" w:rsidRPr="002F0482">
        <w:rPr>
          <w:rFonts w:ascii="Times New Roman" w:hAnsi="Times New Roman" w:cs="Times New Roman"/>
          <w:sz w:val="24"/>
          <w:szCs w:val="24"/>
        </w:rPr>
        <w:t xml:space="preserve"> </w:t>
      </w:r>
    </w:p>
    <w:p w14:paraId="211766F7" w14:textId="435E6404" w:rsidR="00DA701B" w:rsidRPr="002F0482" w:rsidRDefault="00961CF9" w:rsidP="008D5FF9">
      <w:p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p w14:paraId="4068F9DD" w14:textId="5F40D314" w:rsidR="00206F71" w:rsidRPr="002F0482" w:rsidRDefault="00206F71" w:rsidP="008D5FF9">
      <w:pPr>
        <w:spacing w:line="276" w:lineRule="auto"/>
        <w:ind w:left="0"/>
        <w:jc w:val="both"/>
        <w:rPr>
          <w:rFonts w:ascii="Times New Roman" w:hAnsi="Times New Roman" w:cs="Times New Roman"/>
          <w:b/>
          <w:sz w:val="24"/>
          <w:szCs w:val="24"/>
        </w:rPr>
      </w:pPr>
      <w:r w:rsidRPr="002F0482">
        <w:rPr>
          <w:rFonts w:ascii="Times New Roman" w:hAnsi="Times New Roman" w:cs="Times New Roman"/>
          <w:b/>
          <w:sz w:val="24"/>
          <w:szCs w:val="24"/>
        </w:rPr>
        <w:t>5. Konsekvenser for miljø, natur og folkesundhed</w:t>
      </w:r>
    </w:p>
    <w:p w14:paraId="4929246B" w14:textId="77777777" w:rsidR="00D11647" w:rsidRDefault="00206F71" w:rsidP="008D5FF9">
      <w:pPr>
        <w:spacing w:line="276" w:lineRule="auto"/>
        <w:ind w:left="0"/>
        <w:jc w:val="both"/>
        <w:rPr>
          <w:rFonts w:ascii="Times New Roman" w:hAnsi="Times New Roman" w:cs="Times New Roman"/>
          <w:sz w:val="24"/>
          <w:szCs w:val="24"/>
        </w:rPr>
      </w:pPr>
      <w:r w:rsidRPr="002F0482">
        <w:rPr>
          <w:rFonts w:ascii="Times New Roman" w:hAnsi="Times New Roman" w:cs="Times New Roman"/>
          <w:sz w:val="24"/>
          <w:szCs w:val="24"/>
        </w:rPr>
        <w:t>Forslaget forventes ikke have konsekvenser for miljø</w:t>
      </w:r>
      <w:r w:rsidR="00AA3948">
        <w:rPr>
          <w:rFonts w:ascii="Times New Roman" w:hAnsi="Times New Roman" w:cs="Times New Roman"/>
          <w:sz w:val="24"/>
          <w:szCs w:val="24"/>
        </w:rPr>
        <w:t xml:space="preserve">, </w:t>
      </w:r>
      <w:r w:rsidRPr="002F0482">
        <w:rPr>
          <w:rFonts w:ascii="Times New Roman" w:hAnsi="Times New Roman" w:cs="Times New Roman"/>
          <w:sz w:val="24"/>
          <w:szCs w:val="24"/>
        </w:rPr>
        <w:t>natur</w:t>
      </w:r>
      <w:r w:rsidR="00AA3948">
        <w:rPr>
          <w:rFonts w:ascii="Times New Roman" w:hAnsi="Times New Roman" w:cs="Times New Roman"/>
          <w:sz w:val="24"/>
          <w:szCs w:val="24"/>
        </w:rPr>
        <w:t xml:space="preserve"> eller folkesundhed, da </w:t>
      </w:r>
      <w:r w:rsidR="001B4E8B">
        <w:rPr>
          <w:rFonts w:ascii="Times New Roman" w:hAnsi="Times New Roman" w:cs="Times New Roman"/>
          <w:sz w:val="24"/>
          <w:szCs w:val="24"/>
        </w:rPr>
        <w:t>disse</w:t>
      </w:r>
      <w:r w:rsidR="00AA3948">
        <w:rPr>
          <w:rFonts w:ascii="Times New Roman" w:hAnsi="Times New Roman" w:cs="Times New Roman"/>
          <w:sz w:val="24"/>
          <w:szCs w:val="24"/>
        </w:rPr>
        <w:t xml:space="preserve"> ikke</w:t>
      </w:r>
      <w:r w:rsidR="001B4E8B">
        <w:rPr>
          <w:rFonts w:ascii="Times New Roman" w:hAnsi="Times New Roman" w:cs="Times New Roman"/>
          <w:sz w:val="24"/>
          <w:szCs w:val="24"/>
        </w:rPr>
        <w:t xml:space="preserve"> påvirkes af </w:t>
      </w:r>
      <w:r w:rsidR="00F623D1">
        <w:rPr>
          <w:rFonts w:ascii="Times New Roman" w:hAnsi="Times New Roman" w:cs="Times New Roman"/>
          <w:sz w:val="24"/>
          <w:szCs w:val="24"/>
        </w:rPr>
        <w:t>forslaget</w:t>
      </w:r>
      <w:r w:rsidR="001B4E8B">
        <w:rPr>
          <w:rFonts w:ascii="Times New Roman" w:hAnsi="Times New Roman" w:cs="Times New Roman"/>
          <w:sz w:val="24"/>
          <w:szCs w:val="24"/>
        </w:rPr>
        <w:t>.</w:t>
      </w:r>
      <w:r w:rsidR="00AA3948">
        <w:rPr>
          <w:rFonts w:ascii="Times New Roman" w:hAnsi="Times New Roman" w:cs="Times New Roman"/>
          <w:sz w:val="24"/>
          <w:szCs w:val="24"/>
        </w:rPr>
        <w:t xml:space="preserve"> </w:t>
      </w:r>
    </w:p>
    <w:p w14:paraId="28C95FCC" w14:textId="5AB5C0B3" w:rsidR="00206F71" w:rsidRPr="002F0482" w:rsidRDefault="00D11647" w:rsidP="008D5FF9">
      <w:p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Det skal bemærkes, at der i forbindelse med imødekommelse af Inatsisartutbeslutningen </w:t>
      </w:r>
      <w:r w:rsidR="00C420C6">
        <w:rPr>
          <w:rFonts w:ascii="Times New Roman" w:hAnsi="Times New Roman" w:cs="Times New Roman"/>
          <w:sz w:val="24"/>
          <w:szCs w:val="24"/>
        </w:rPr>
        <w:t>ve</w:t>
      </w:r>
      <w:r w:rsidR="00C420C6">
        <w:rPr>
          <w:rFonts w:ascii="Times New Roman" w:hAnsi="Times New Roman" w:cs="Times New Roman"/>
          <w:sz w:val="24"/>
          <w:szCs w:val="24"/>
        </w:rPr>
        <w:t>d</w:t>
      </w:r>
      <w:r w:rsidR="00C420C6">
        <w:rPr>
          <w:rFonts w:ascii="Times New Roman" w:hAnsi="Times New Roman" w:cs="Times New Roman"/>
          <w:sz w:val="24"/>
          <w:szCs w:val="24"/>
        </w:rPr>
        <w:t>rørende lovliggørelse af produkter med op til 0,2% THC, som nævnt ovenfor</w:t>
      </w:r>
      <w:r>
        <w:rPr>
          <w:rFonts w:ascii="Times New Roman" w:hAnsi="Times New Roman" w:cs="Times New Roman"/>
          <w:sz w:val="24"/>
          <w:szCs w:val="24"/>
        </w:rPr>
        <w:t xml:space="preserve">, kan </w:t>
      </w:r>
      <w:r w:rsidR="0083009E">
        <w:rPr>
          <w:rFonts w:ascii="Times New Roman" w:hAnsi="Times New Roman" w:cs="Times New Roman"/>
          <w:sz w:val="24"/>
          <w:szCs w:val="24"/>
        </w:rPr>
        <w:t>medføre</w:t>
      </w:r>
      <w:r>
        <w:rPr>
          <w:rFonts w:ascii="Times New Roman" w:hAnsi="Times New Roman" w:cs="Times New Roman"/>
          <w:sz w:val="24"/>
          <w:szCs w:val="24"/>
        </w:rPr>
        <w:t xml:space="preserve"> konsekvenser for folkesundheden. Disse beskrives ikke nærmere i nærværende bemærkni</w:t>
      </w:r>
      <w:r>
        <w:rPr>
          <w:rFonts w:ascii="Times New Roman" w:hAnsi="Times New Roman" w:cs="Times New Roman"/>
          <w:sz w:val="24"/>
          <w:szCs w:val="24"/>
        </w:rPr>
        <w:t>n</w:t>
      </w:r>
      <w:r>
        <w:rPr>
          <w:rFonts w:ascii="Times New Roman" w:hAnsi="Times New Roman" w:cs="Times New Roman"/>
          <w:sz w:val="24"/>
          <w:szCs w:val="24"/>
        </w:rPr>
        <w:t xml:space="preserve">ger, idet disse konsekvenser ikke </w:t>
      </w:r>
      <w:r w:rsidR="0083009E">
        <w:rPr>
          <w:rFonts w:ascii="Times New Roman" w:hAnsi="Times New Roman" w:cs="Times New Roman"/>
          <w:sz w:val="24"/>
          <w:szCs w:val="24"/>
        </w:rPr>
        <w:t>reguleres direkte i</w:t>
      </w:r>
      <w:r>
        <w:rPr>
          <w:rFonts w:ascii="Times New Roman" w:hAnsi="Times New Roman" w:cs="Times New Roman"/>
          <w:sz w:val="24"/>
          <w:szCs w:val="24"/>
        </w:rPr>
        <w:t xml:space="preserve"> nærværende forslag til Inatsisartutlov</w:t>
      </w:r>
      <w:r w:rsidR="00C420C6">
        <w:rPr>
          <w:rFonts w:ascii="Times New Roman" w:hAnsi="Times New Roman" w:cs="Times New Roman"/>
          <w:sz w:val="24"/>
          <w:szCs w:val="24"/>
        </w:rPr>
        <w:t>.</w:t>
      </w:r>
    </w:p>
    <w:p w14:paraId="5B0DA807" w14:textId="77777777" w:rsidR="00973E1A" w:rsidRPr="002F0482" w:rsidRDefault="00973E1A" w:rsidP="008D5FF9">
      <w:pPr>
        <w:spacing w:line="276" w:lineRule="auto"/>
        <w:ind w:left="0"/>
        <w:jc w:val="both"/>
        <w:rPr>
          <w:rFonts w:ascii="Times New Roman" w:hAnsi="Times New Roman" w:cs="Times New Roman"/>
          <w:sz w:val="24"/>
          <w:szCs w:val="24"/>
        </w:rPr>
      </w:pPr>
    </w:p>
    <w:p w14:paraId="35F3F56D" w14:textId="08522535" w:rsidR="00973E1A" w:rsidRPr="002F0482" w:rsidRDefault="00973E1A" w:rsidP="008D5FF9">
      <w:pPr>
        <w:spacing w:line="276" w:lineRule="auto"/>
        <w:ind w:left="0"/>
        <w:jc w:val="both"/>
        <w:rPr>
          <w:rFonts w:ascii="Times New Roman" w:hAnsi="Times New Roman" w:cs="Times New Roman"/>
          <w:b/>
          <w:sz w:val="24"/>
          <w:szCs w:val="24"/>
        </w:rPr>
      </w:pPr>
      <w:r w:rsidRPr="002F0482">
        <w:rPr>
          <w:rFonts w:ascii="Times New Roman" w:hAnsi="Times New Roman" w:cs="Times New Roman"/>
          <w:b/>
          <w:sz w:val="24"/>
          <w:szCs w:val="24"/>
        </w:rPr>
        <w:t>6. Konsekvenser for borgerne</w:t>
      </w:r>
    </w:p>
    <w:p w14:paraId="401F7348" w14:textId="18684C74" w:rsidR="0014657F" w:rsidRPr="002F0482" w:rsidRDefault="00303DDF" w:rsidP="00757CB2">
      <w:pPr>
        <w:spacing w:line="276" w:lineRule="auto"/>
        <w:ind w:left="0"/>
        <w:rPr>
          <w:rFonts w:ascii="Times New Roman" w:hAnsi="Times New Roman" w:cs="Times New Roman"/>
          <w:sz w:val="24"/>
          <w:szCs w:val="24"/>
        </w:rPr>
      </w:pPr>
      <w:r>
        <w:rPr>
          <w:rFonts w:ascii="Times New Roman" w:hAnsi="Times New Roman" w:cs="Times New Roman"/>
          <w:sz w:val="24"/>
          <w:szCs w:val="24"/>
        </w:rPr>
        <w:t>Forslaget i</w:t>
      </w:r>
      <w:r w:rsidR="00DA14B5" w:rsidRPr="002F0482">
        <w:rPr>
          <w:rFonts w:ascii="Times New Roman" w:hAnsi="Times New Roman" w:cs="Times New Roman"/>
          <w:sz w:val="24"/>
          <w:szCs w:val="24"/>
        </w:rPr>
        <w:t>ndeholder sanktioner for ulovlig</w:t>
      </w:r>
      <w:r w:rsidR="001E0404">
        <w:rPr>
          <w:rFonts w:ascii="Times New Roman" w:hAnsi="Times New Roman" w:cs="Times New Roman"/>
          <w:sz w:val="24"/>
          <w:szCs w:val="24"/>
        </w:rPr>
        <w:t>t</w:t>
      </w:r>
      <w:r w:rsidR="00DA14B5" w:rsidRPr="002F0482">
        <w:rPr>
          <w:rFonts w:ascii="Times New Roman" w:hAnsi="Times New Roman" w:cs="Times New Roman"/>
          <w:sz w:val="24"/>
          <w:szCs w:val="24"/>
        </w:rPr>
        <w:t xml:space="preserve"> køb, salg, besiddelse mm.</w:t>
      </w:r>
      <w:r w:rsidR="00C420C6">
        <w:rPr>
          <w:rFonts w:ascii="Times New Roman" w:hAnsi="Times New Roman" w:cs="Times New Roman"/>
          <w:sz w:val="24"/>
          <w:szCs w:val="24"/>
        </w:rPr>
        <w:t xml:space="preserve"> </w:t>
      </w:r>
      <w:r w:rsidR="0083009E">
        <w:rPr>
          <w:rFonts w:ascii="Times New Roman" w:hAnsi="Times New Roman" w:cs="Times New Roman"/>
          <w:sz w:val="24"/>
          <w:szCs w:val="24"/>
        </w:rPr>
        <w:t xml:space="preserve">af </w:t>
      </w:r>
      <w:r w:rsidR="00C420C6">
        <w:rPr>
          <w:rFonts w:ascii="Times New Roman" w:hAnsi="Times New Roman" w:cs="Times New Roman"/>
          <w:sz w:val="24"/>
          <w:szCs w:val="24"/>
        </w:rPr>
        <w:t>de stoffer, som er omfattet af Inatsisartutloven</w:t>
      </w:r>
      <w:r w:rsidR="00DA14B5" w:rsidRPr="002F0482">
        <w:rPr>
          <w:rFonts w:ascii="Times New Roman" w:hAnsi="Times New Roman" w:cs="Times New Roman"/>
          <w:sz w:val="24"/>
          <w:szCs w:val="24"/>
        </w:rPr>
        <w:t>,</w:t>
      </w:r>
      <w:r w:rsidR="00481BED" w:rsidRPr="002F0482">
        <w:rPr>
          <w:rFonts w:ascii="Times New Roman" w:hAnsi="Times New Roman" w:cs="Times New Roman"/>
          <w:sz w:val="24"/>
          <w:szCs w:val="24"/>
        </w:rPr>
        <w:t xml:space="preserve"> </w:t>
      </w:r>
      <w:r w:rsidR="00DA14B5" w:rsidRPr="002F0482">
        <w:rPr>
          <w:rFonts w:ascii="Times New Roman" w:hAnsi="Times New Roman" w:cs="Times New Roman"/>
          <w:sz w:val="24"/>
          <w:szCs w:val="24"/>
        </w:rPr>
        <w:t xml:space="preserve">der særligt </w:t>
      </w:r>
      <w:r w:rsidR="00481BED" w:rsidRPr="002F0482">
        <w:rPr>
          <w:rFonts w:ascii="Times New Roman" w:hAnsi="Times New Roman" w:cs="Times New Roman"/>
          <w:sz w:val="24"/>
          <w:szCs w:val="24"/>
        </w:rPr>
        <w:t>sigter på at</w:t>
      </w:r>
      <w:r w:rsidR="00B255B3">
        <w:rPr>
          <w:rFonts w:ascii="Times New Roman" w:hAnsi="Times New Roman" w:cs="Times New Roman"/>
          <w:sz w:val="24"/>
          <w:szCs w:val="24"/>
        </w:rPr>
        <w:t xml:space="preserve"> have en præventiv effekt og mindske u</w:t>
      </w:r>
      <w:r w:rsidR="00B255B3">
        <w:rPr>
          <w:rFonts w:ascii="Times New Roman" w:hAnsi="Times New Roman" w:cs="Times New Roman"/>
          <w:sz w:val="24"/>
          <w:szCs w:val="24"/>
        </w:rPr>
        <w:t>d</w:t>
      </w:r>
      <w:r w:rsidR="00B255B3">
        <w:rPr>
          <w:rFonts w:ascii="Times New Roman" w:hAnsi="Times New Roman" w:cs="Times New Roman"/>
          <w:sz w:val="24"/>
          <w:szCs w:val="24"/>
        </w:rPr>
        <w:t>bredelsen af ukontrollerede euforiserende stoffer og derved</w:t>
      </w:r>
      <w:r w:rsidR="00481BED" w:rsidRPr="002F0482">
        <w:rPr>
          <w:rFonts w:ascii="Times New Roman" w:hAnsi="Times New Roman" w:cs="Times New Roman"/>
          <w:sz w:val="24"/>
          <w:szCs w:val="24"/>
        </w:rPr>
        <w:t xml:space="preserve"> beskytte især unge</w:t>
      </w:r>
      <w:r w:rsidR="00C87EC8" w:rsidRPr="002F0482">
        <w:rPr>
          <w:rFonts w:ascii="Times New Roman" w:hAnsi="Times New Roman" w:cs="Times New Roman"/>
          <w:sz w:val="24"/>
          <w:szCs w:val="24"/>
        </w:rPr>
        <w:t xml:space="preserve"> mennesker.</w:t>
      </w:r>
      <w:r w:rsidR="00DA14B5" w:rsidRPr="002F0482">
        <w:rPr>
          <w:rFonts w:ascii="Times New Roman" w:hAnsi="Times New Roman" w:cs="Times New Roman"/>
          <w:sz w:val="24"/>
          <w:szCs w:val="24"/>
        </w:rPr>
        <w:t xml:space="preserve"> </w:t>
      </w:r>
    </w:p>
    <w:p w14:paraId="58391462" w14:textId="0F7509E8" w:rsidR="001A1922" w:rsidRPr="002F0482" w:rsidRDefault="001A1922" w:rsidP="008D5FF9">
      <w:pPr>
        <w:spacing w:line="276" w:lineRule="auto"/>
        <w:ind w:left="0"/>
        <w:jc w:val="both"/>
        <w:rPr>
          <w:rFonts w:ascii="Times New Roman" w:hAnsi="Times New Roman" w:cs="Times New Roman"/>
          <w:sz w:val="24"/>
          <w:szCs w:val="24"/>
        </w:rPr>
      </w:pPr>
    </w:p>
    <w:p w14:paraId="6DB54F42" w14:textId="2BEA728E" w:rsidR="00D357B6" w:rsidRPr="002F0482" w:rsidRDefault="00494E64" w:rsidP="008D5FF9">
      <w:pPr>
        <w:spacing w:line="276" w:lineRule="auto"/>
        <w:ind w:left="0"/>
        <w:jc w:val="both"/>
        <w:rPr>
          <w:rFonts w:ascii="Times New Roman" w:hAnsi="Times New Roman" w:cs="Times New Roman"/>
          <w:b/>
          <w:sz w:val="24"/>
          <w:szCs w:val="24"/>
        </w:rPr>
      </w:pPr>
      <w:r w:rsidRPr="002F0482">
        <w:rPr>
          <w:rFonts w:ascii="Times New Roman" w:hAnsi="Times New Roman" w:cs="Times New Roman"/>
          <w:b/>
          <w:sz w:val="24"/>
          <w:szCs w:val="24"/>
        </w:rPr>
        <w:t>7. Andre væsentlige konsekvenser</w:t>
      </w:r>
    </w:p>
    <w:p w14:paraId="4829CE9D" w14:textId="3BCDB7E3" w:rsidR="00494E64" w:rsidRPr="002F0482" w:rsidRDefault="00494E64" w:rsidP="008D5FF9">
      <w:pPr>
        <w:spacing w:line="276" w:lineRule="auto"/>
        <w:ind w:left="0"/>
        <w:jc w:val="both"/>
        <w:rPr>
          <w:rFonts w:ascii="Times New Roman" w:hAnsi="Times New Roman" w:cs="Times New Roman"/>
          <w:sz w:val="24"/>
          <w:szCs w:val="24"/>
        </w:rPr>
      </w:pPr>
      <w:r w:rsidRPr="002F0482">
        <w:rPr>
          <w:rFonts w:ascii="Times New Roman" w:hAnsi="Times New Roman" w:cs="Times New Roman"/>
          <w:sz w:val="24"/>
          <w:szCs w:val="24"/>
        </w:rPr>
        <w:t>Forslaget forventes ikke at have andre væsentlige konsekvenser.</w:t>
      </w:r>
    </w:p>
    <w:p w14:paraId="06E82F76" w14:textId="77777777" w:rsidR="006B2285" w:rsidRPr="002F0482" w:rsidRDefault="006B2285" w:rsidP="008D5FF9">
      <w:pPr>
        <w:spacing w:line="276" w:lineRule="auto"/>
        <w:ind w:left="0"/>
        <w:jc w:val="both"/>
        <w:rPr>
          <w:rFonts w:ascii="Times New Roman" w:hAnsi="Times New Roman" w:cs="Times New Roman"/>
          <w:sz w:val="24"/>
          <w:szCs w:val="24"/>
        </w:rPr>
      </w:pPr>
    </w:p>
    <w:p w14:paraId="14716DDA" w14:textId="77777777" w:rsidR="006B2285" w:rsidRPr="002F0482" w:rsidRDefault="006B2285" w:rsidP="008D5FF9">
      <w:pPr>
        <w:spacing w:line="276" w:lineRule="auto"/>
        <w:ind w:left="0"/>
        <w:jc w:val="both"/>
        <w:rPr>
          <w:rFonts w:ascii="Times New Roman" w:hAnsi="Times New Roman" w:cs="Times New Roman"/>
          <w:b/>
          <w:sz w:val="24"/>
          <w:szCs w:val="24"/>
        </w:rPr>
      </w:pPr>
      <w:r w:rsidRPr="002F0482">
        <w:rPr>
          <w:rFonts w:ascii="Times New Roman" w:hAnsi="Times New Roman" w:cs="Times New Roman"/>
          <w:b/>
          <w:sz w:val="24"/>
          <w:szCs w:val="24"/>
        </w:rPr>
        <w:t>8. Høring af myndigheder og organisationer m.v.</w:t>
      </w:r>
    </w:p>
    <w:p w14:paraId="57B249E6" w14:textId="2EA3D42C" w:rsidR="00C26129" w:rsidRPr="002F0482" w:rsidRDefault="00C26129" w:rsidP="00F623D1">
      <w:pPr>
        <w:autoSpaceDE w:val="0"/>
        <w:autoSpaceDN w:val="0"/>
        <w:adjustRightInd w:val="0"/>
        <w:spacing w:line="276" w:lineRule="auto"/>
        <w:ind w:left="0"/>
        <w:rPr>
          <w:rFonts w:ascii="Times New Roman" w:hAnsi="Times New Roman" w:cs="Times New Roman"/>
          <w:color w:val="000000"/>
          <w:sz w:val="24"/>
          <w:szCs w:val="24"/>
        </w:rPr>
      </w:pPr>
      <w:r w:rsidRPr="002F0482">
        <w:rPr>
          <w:rFonts w:ascii="Times New Roman" w:hAnsi="Times New Roman" w:cs="Times New Roman"/>
          <w:color w:val="000000"/>
          <w:sz w:val="24"/>
          <w:szCs w:val="24"/>
        </w:rPr>
        <w:t>Forslag</w:t>
      </w:r>
      <w:r w:rsidR="009C1945">
        <w:rPr>
          <w:rFonts w:ascii="Times New Roman" w:hAnsi="Times New Roman" w:cs="Times New Roman"/>
          <w:color w:val="000000"/>
          <w:sz w:val="24"/>
          <w:szCs w:val="24"/>
        </w:rPr>
        <w:t>et</w:t>
      </w:r>
      <w:r w:rsidR="00BF6BE8">
        <w:rPr>
          <w:rFonts w:ascii="Times New Roman" w:hAnsi="Times New Roman" w:cs="Times New Roman"/>
          <w:color w:val="000000"/>
          <w:sz w:val="24"/>
          <w:szCs w:val="24"/>
        </w:rPr>
        <w:t xml:space="preserve"> til </w:t>
      </w:r>
      <w:r w:rsidR="00BF6BE8">
        <w:rPr>
          <w:rFonts w:ascii="Times New Roman" w:hAnsi="Times New Roman" w:cs="Times New Roman"/>
          <w:sz w:val="24"/>
          <w:szCs w:val="24"/>
        </w:rPr>
        <w:t>Inatsisartutloven</w:t>
      </w:r>
      <w:r w:rsidRPr="002F0482">
        <w:rPr>
          <w:rFonts w:ascii="Times New Roman" w:hAnsi="Times New Roman" w:cs="Times New Roman"/>
          <w:color w:val="000000"/>
          <w:sz w:val="24"/>
          <w:szCs w:val="24"/>
        </w:rPr>
        <w:t xml:space="preserve"> </w:t>
      </w:r>
      <w:r w:rsidR="0015378F">
        <w:rPr>
          <w:rFonts w:ascii="Times New Roman" w:hAnsi="Times New Roman" w:cs="Times New Roman"/>
          <w:color w:val="000000"/>
          <w:sz w:val="24"/>
          <w:szCs w:val="24"/>
        </w:rPr>
        <w:t>var i</w:t>
      </w:r>
      <w:r w:rsidR="00D47AD3" w:rsidRPr="002F0482">
        <w:rPr>
          <w:rFonts w:ascii="Times New Roman" w:hAnsi="Times New Roman" w:cs="Times New Roman"/>
          <w:color w:val="000000"/>
          <w:sz w:val="24"/>
          <w:szCs w:val="24"/>
        </w:rPr>
        <w:t xml:space="preserve"> 2019</w:t>
      </w:r>
      <w:r w:rsidRPr="002F0482">
        <w:rPr>
          <w:rFonts w:ascii="Times New Roman" w:hAnsi="Times New Roman" w:cs="Times New Roman"/>
          <w:color w:val="000000"/>
          <w:sz w:val="24"/>
          <w:szCs w:val="24"/>
        </w:rPr>
        <w:t xml:space="preserve"> offentliggjort på høringsportalen via </w:t>
      </w:r>
      <w:hyperlink r:id="rId9" w:history="1">
        <w:r w:rsidRPr="002F0482">
          <w:rPr>
            <w:rFonts w:ascii="Times New Roman" w:hAnsi="Times New Roman" w:cs="Times New Roman"/>
            <w:color w:val="0563C1" w:themeColor="hyperlink"/>
            <w:sz w:val="24"/>
            <w:szCs w:val="24"/>
            <w:u w:val="single"/>
          </w:rPr>
          <w:t>www.naalakkersuisut.gl</w:t>
        </w:r>
      </w:hyperlink>
      <w:r w:rsidRPr="002F0482">
        <w:rPr>
          <w:rFonts w:ascii="Times New Roman" w:hAnsi="Times New Roman" w:cs="Times New Roman"/>
          <w:color w:val="000000"/>
          <w:sz w:val="24"/>
          <w:szCs w:val="24"/>
        </w:rPr>
        <w:t>.</w:t>
      </w:r>
      <w:r w:rsidR="00B255B3" w:rsidRPr="00F623D1">
        <w:rPr>
          <w:rFonts w:ascii="Times New Roman" w:hAnsi="Times New Roman" w:cs="Times New Roman"/>
          <w:color w:val="000000"/>
          <w:sz w:val="24"/>
          <w:szCs w:val="24"/>
        </w:rPr>
        <w:t xml:space="preserve"> </w:t>
      </w:r>
      <w:r w:rsidR="0015378F">
        <w:rPr>
          <w:rFonts w:ascii="Times New Roman" w:hAnsi="Times New Roman" w:cs="Times New Roman"/>
          <w:color w:val="000000"/>
          <w:sz w:val="24"/>
          <w:szCs w:val="24"/>
        </w:rPr>
        <w:t>Forslaget har herefter gennemgået flere ændringer og e</w:t>
      </w:r>
      <w:r w:rsidR="0071582A">
        <w:rPr>
          <w:rFonts w:ascii="Times New Roman" w:hAnsi="Times New Roman" w:cs="Times New Roman"/>
          <w:color w:val="000000"/>
          <w:sz w:val="24"/>
          <w:szCs w:val="24"/>
        </w:rPr>
        <w:t>fterfølgende sendt i fornyet høring</w:t>
      </w:r>
      <w:r w:rsidR="0015378F">
        <w:rPr>
          <w:rFonts w:ascii="Times New Roman" w:hAnsi="Times New Roman" w:cs="Times New Roman"/>
          <w:color w:val="000000"/>
          <w:sz w:val="24"/>
          <w:szCs w:val="24"/>
        </w:rPr>
        <w:t xml:space="preserve"> i perioden </w:t>
      </w:r>
      <w:r w:rsidR="002C7123">
        <w:rPr>
          <w:rFonts w:ascii="Times New Roman" w:hAnsi="Times New Roman" w:cs="Times New Roman"/>
          <w:color w:val="000000"/>
          <w:sz w:val="24"/>
          <w:szCs w:val="24"/>
        </w:rPr>
        <w:t>13</w:t>
      </w:r>
      <w:r w:rsidR="0015378F">
        <w:rPr>
          <w:rFonts w:ascii="Times New Roman" w:hAnsi="Times New Roman" w:cs="Times New Roman"/>
          <w:color w:val="000000"/>
          <w:sz w:val="24"/>
          <w:szCs w:val="24"/>
        </w:rPr>
        <w:t xml:space="preserve">. </w:t>
      </w:r>
      <w:r w:rsidR="002C7123">
        <w:rPr>
          <w:rFonts w:ascii="Times New Roman" w:hAnsi="Times New Roman" w:cs="Times New Roman"/>
          <w:color w:val="000000"/>
          <w:sz w:val="24"/>
          <w:szCs w:val="24"/>
        </w:rPr>
        <w:t>april</w:t>
      </w:r>
      <w:r w:rsidR="0015378F">
        <w:rPr>
          <w:rFonts w:ascii="Times New Roman" w:hAnsi="Times New Roman" w:cs="Times New Roman"/>
          <w:color w:val="000000"/>
          <w:sz w:val="24"/>
          <w:szCs w:val="24"/>
        </w:rPr>
        <w:t xml:space="preserve"> 2022 til </w:t>
      </w:r>
      <w:r w:rsidR="002C7123">
        <w:rPr>
          <w:rFonts w:ascii="Times New Roman" w:hAnsi="Times New Roman" w:cs="Times New Roman"/>
          <w:color w:val="000000"/>
          <w:sz w:val="24"/>
          <w:szCs w:val="24"/>
        </w:rPr>
        <w:t>12</w:t>
      </w:r>
      <w:r w:rsidR="0071582A">
        <w:rPr>
          <w:rFonts w:ascii="Times New Roman" w:hAnsi="Times New Roman" w:cs="Times New Roman"/>
          <w:color w:val="000000"/>
          <w:sz w:val="24"/>
          <w:szCs w:val="24"/>
        </w:rPr>
        <w:t>.</w:t>
      </w:r>
      <w:r w:rsidR="0015378F">
        <w:rPr>
          <w:rFonts w:ascii="Times New Roman" w:hAnsi="Times New Roman" w:cs="Times New Roman"/>
          <w:color w:val="000000"/>
          <w:sz w:val="24"/>
          <w:szCs w:val="24"/>
        </w:rPr>
        <w:t xml:space="preserve"> </w:t>
      </w:r>
      <w:r w:rsidR="002C7123">
        <w:rPr>
          <w:rFonts w:ascii="Times New Roman" w:hAnsi="Times New Roman" w:cs="Times New Roman"/>
          <w:color w:val="000000"/>
          <w:sz w:val="24"/>
          <w:szCs w:val="24"/>
        </w:rPr>
        <w:t>maj</w:t>
      </w:r>
      <w:r w:rsidR="0015378F">
        <w:rPr>
          <w:rFonts w:ascii="Times New Roman" w:hAnsi="Times New Roman" w:cs="Times New Roman"/>
          <w:color w:val="000000"/>
          <w:sz w:val="24"/>
          <w:szCs w:val="24"/>
        </w:rPr>
        <w:t xml:space="preserve"> 2022. </w:t>
      </w:r>
      <w:r w:rsidR="00B255B3" w:rsidRPr="00F623D1">
        <w:rPr>
          <w:rFonts w:ascii="Times New Roman" w:hAnsi="Times New Roman" w:cs="Times New Roman"/>
          <w:color w:val="000000"/>
          <w:sz w:val="24"/>
          <w:szCs w:val="24"/>
        </w:rPr>
        <w:t>Høringssvar</w:t>
      </w:r>
      <w:r w:rsidR="0071582A">
        <w:rPr>
          <w:rFonts w:ascii="Times New Roman" w:hAnsi="Times New Roman" w:cs="Times New Roman"/>
          <w:color w:val="000000"/>
          <w:sz w:val="24"/>
          <w:szCs w:val="24"/>
        </w:rPr>
        <w:t xml:space="preserve"> efter </w:t>
      </w:r>
      <w:r w:rsidR="0015378F">
        <w:rPr>
          <w:rFonts w:ascii="Times New Roman" w:hAnsi="Times New Roman" w:cs="Times New Roman"/>
          <w:color w:val="000000"/>
          <w:sz w:val="24"/>
          <w:szCs w:val="24"/>
        </w:rPr>
        <w:t xml:space="preserve">den </w:t>
      </w:r>
      <w:r w:rsidR="0071582A">
        <w:rPr>
          <w:rFonts w:ascii="Times New Roman" w:hAnsi="Times New Roman" w:cs="Times New Roman"/>
          <w:color w:val="000000"/>
          <w:sz w:val="24"/>
          <w:szCs w:val="24"/>
        </w:rPr>
        <w:t>seneste høring</w:t>
      </w:r>
      <w:r w:rsidR="00B255B3" w:rsidRPr="00F623D1">
        <w:rPr>
          <w:rFonts w:ascii="Times New Roman" w:hAnsi="Times New Roman" w:cs="Times New Roman"/>
          <w:color w:val="000000"/>
          <w:sz w:val="24"/>
          <w:szCs w:val="24"/>
        </w:rPr>
        <w:t xml:space="preserve"> med bemærkninger til forslaget er offentliggjort på høringsportalen og gengivet i deres fulde ordlyd og kommenteret i relevant omfang i bemærkningernes Bilag 1. Kommentarerne til høringssvarene er skrevet med kursiv.</w:t>
      </w:r>
      <w:r w:rsidR="0071582A">
        <w:rPr>
          <w:rFonts w:ascii="Times New Roman" w:hAnsi="Times New Roman" w:cs="Times New Roman"/>
          <w:color w:val="000000"/>
          <w:sz w:val="24"/>
          <w:szCs w:val="24"/>
        </w:rPr>
        <w:t xml:space="preserve"> Høringssvarene fra den tidligere høring er således ikke indskrevet</w:t>
      </w:r>
      <w:r w:rsidR="00995D88">
        <w:rPr>
          <w:rFonts w:ascii="Times New Roman" w:hAnsi="Times New Roman" w:cs="Times New Roman"/>
          <w:color w:val="000000"/>
          <w:sz w:val="24"/>
          <w:szCs w:val="24"/>
        </w:rPr>
        <w:t>, men kan findes på høringsportalen</w:t>
      </w:r>
      <w:r w:rsidR="0071582A">
        <w:rPr>
          <w:rFonts w:ascii="Times New Roman" w:hAnsi="Times New Roman" w:cs="Times New Roman"/>
          <w:color w:val="000000"/>
          <w:sz w:val="24"/>
          <w:szCs w:val="24"/>
        </w:rPr>
        <w:t>.</w:t>
      </w:r>
    </w:p>
    <w:p w14:paraId="45B5C86B" w14:textId="0B92D755" w:rsidR="00E45065" w:rsidRPr="002F0482" w:rsidRDefault="00E45065" w:rsidP="00C818E4">
      <w:pPr>
        <w:spacing w:line="276" w:lineRule="auto"/>
        <w:ind w:left="0"/>
        <w:jc w:val="both"/>
        <w:rPr>
          <w:rFonts w:ascii="Times New Roman" w:hAnsi="Times New Roman" w:cs="Times New Roman"/>
          <w:b/>
          <w:sz w:val="24"/>
          <w:szCs w:val="24"/>
        </w:rPr>
      </w:pPr>
    </w:p>
    <w:p w14:paraId="26D5F628" w14:textId="77777777" w:rsidR="00B255B3" w:rsidRDefault="00B255B3">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283B37E2" w14:textId="1ECFD974" w:rsidR="008170F7" w:rsidRPr="00C818E4" w:rsidRDefault="008170F7" w:rsidP="008D5FF9">
      <w:pPr>
        <w:spacing w:line="276" w:lineRule="auto"/>
        <w:jc w:val="center"/>
        <w:rPr>
          <w:rFonts w:ascii="Times New Roman" w:hAnsi="Times New Roman" w:cs="Times New Roman"/>
          <w:color w:val="000000"/>
          <w:sz w:val="24"/>
          <w:szCs w:val="24"/>
        </w:rPr>
      </w:pPr>
      <w:r w:rsidRPr="00C818E4">
        <w:rPr>
          <w:rFonts w:ascii="Times New Roman" w:hAnsi="Times New Roman" w:cs="Times New Roman"/>
          <w:color w:val="000000"/>
          <w:sz w:val="24"/>
          <w:szCs w:val="24"/>
        </w:rPr>
        <w:lastRenderedPageBreak/>
        <w:t>Bemærkninger til lovforslagets enkelte bestemmelser</w:t>
      </w:r>
    </w:p>
    <w:p w14:paraId="3DA3E4CE" w14:textId="77777777" w:rsidR="008170F7" w:rsidRPr="00FB4F1E" w:rsidRDefault="008170F7" w:rsidP="008D5FF9">
      <w:pPr>
        <w:autoSpaceDE w:val="0"/>
        <w:autoSpaceDN w:val="0"/>
        <w:adjustRightInd w:val="0"/>
        <w:spacing w:line="276" w:lineRule="auto"/>
        <w:ind w:left="0"/>
        <w:jc w:val="both"/>
        <w:rPr>
          <w:rFonts w:ascii="Times New Roman" w:hAnsi="Times New Roman" w:cs="Times New Roman"/>
          <w:i/>
          <w:color w:val="000000"/>
          <w:sz w:val="24"/>
          <w:szCs w:val="24"/>
        </w:rPr>
      </w:pPr>
    </w:p>
    <w:p w14:paraId="0D8DB710" w14:textId="060622C1" w:rsidR="00A17942" w:rsidRDefault="00A17942" w:rsidP="00A17942">
      <w:pPr>
        <w:autoSpaceDE w:val="0"/>
        <w:autoSpaceDN w:val="0"/>
        <w:adjustRightInd w:val="0"/>
        <w:spacing w:line="276" w:lineRule="auto"/>
        <w:ind w:left="0"/>
        <w:jc w:val="center"/>
        <w:rPr>
          <w:rFonts w:ascii="Times New Roman" w:hAnsi="Times New Roman" w:cs="Times New Roman"/>
          <w:i/>
          <w:color w:val="000000"/>
          <w:sz w:val="24"/>
          <w:szCs w:val="24"/>
        </w:rPr>
      </w:pPr>
      <w:r w:rsidRPr="00FB4F1E">
        <w:rPr>
          <w:rFonts w:ascii="Times New Roman" w:hAnsi="Times New Roman" w:cs="Times New Roman"/>
          <w:i/>
          <w:color w:val="000000"/>
          <w:sz w:val="24"/>
          <w:szCs w:val="24"/>
        </w:rPr>
        <w:t>Til § 1</w:t>
      </w:r>
    </w:p>
    <w:p w14:paraId="3B4570AF" w14:textId="77777777" w:rsidR="0015378F" w:rsidRPr="00FB4F1E" w:rsidRDefault="0015378F" w:rsidP="00A17942">
      <w:pPr>
        <w:autoSpaceDE w:val="0"/>
        <w:autoSpaceDN w:val="0"/>
        <w:adjustRightInd w:val="0"/>
        <w:spacing w:line="276" w:lineRule="auto"/>
        <w:ind w:left="0"/>
        <w:jc w:val="center"/>
        <w:rPr>
          <w:rFonts w:ascii="Times New Roman" w:hAnsi="Times New Roman" w:cs="Times New Roman"/>
          <w:i/>
          <w:color w:val="000000"/>
          <w:sz w:val="24"/>
          <w:szCs w:val="24"/>
        </w:rPr>
      </w:pPr>
    </w:p>
    <w:p w14:paraId="0756153F" w14:textId="1264F1D0" w:rsidR="001B4E8B" w:rsidRPr="00F00A69" w:rsidRDefault="001B4E8B" w:rsidP="00757CB2">
      <w:pPr>
        <w:spacing w:line="276" w:lineRule="auto"/>
        <w:ind w:left="0"/>
        <w:rPr>
          <w:rFonts w:ascii="Times New Roman" w:eastAsia="Times New Roman" w:hAnsi="Times New Roman" w:cs="Times New Roman"/>
          <w:color w:val="000000"/>
          <w:sz w:val="24"/>
          <w:szCs w:val="24"/>
          <w:lang w:eastAsia="da-DK"/>
        </w:rPr>
      </w:pPr>
      <w:r w:rsidRPr="00FB4F1E">
        <w:rPr>
          <w:rFonts w:ascii="Times New Roman" w:hAnsi="Times New Roman" w:cs="Times New Roman"/>
          <w:sz w:val="24"/>
          <w:szCs w:val="24"/>
        </w:rPr>
        <w:t xml:space="preserve">På baggrund af den hurtige udvikling på området for euforiserende stoffer bemyndiges Naalakkersuisut til at </w:t>
      </w:r>
      <w:r w:rsidRPr="00FB4F1E">
        <w:rPr>
          <w:rFonts w:ascii="Times New Roman" w:hAnsi="Times New Roman" w:cs="Times New Roman"/>
          <w:color w:val="000000"/>
          <w:sz w:val="24"/>
          <w:szCs w:val="24"/>
        </w:rPr>
        <w:t>fastsætte, hvilke stoffer, der</w:t>
      </w:r>
      <w:r w:rsidR="00916BFA">
        <w:rPr>
          <w:rFonts w:ascii="Times New Roman" w:hAnsi="Times New Roman" w:cs="Times New Roman"/>
          <w:color w:val="000000"/>
          <w:sz w:val="24"/>
          <w:szCs w:val="24"/>
        </w:rPr>
        <w:t xml:space="preserve"> er omfattet af Inatsisartutloven og derved</w:t>
      </w:r>
      <w:r w:rsidRPr="00FB4F1E">
        <w:rPr>
          <w:rFonts w:ascii="Times New Roman" w:hAnsi="Times New Roman" w:cs="Times New Roman"/>
          <w:color w:val="000000"/>
          <w:sz w:val="24"/>
          <w:szCs w:val="24"/>
        </w:rPr>
        <w:t xml:space="preserve"> </w:t>
      </w:r>
      <w:r w:rsidR="00A17942" w:rsidRPr="00FB4F1E">
        <w:rPr>
          <w:rFonts w:ascii="Times New Roman" w:eastAsia="Times New Roman" w:hAnsi="Times New Roman" w:cs="Times New Roman"/>
          <w:sz w:val="24"/>
          <w:szCs w:val="24"/>
          <w:lang w:eastAsia="da-DK"/>
        </w:rPr>
        <w:t>ikke må forefindes her i landet</w:t>
      </w:r>
      <w:r w:rsidR="0071582A">
        <w:rPr>
          <w:rFonts w:ascii="Times New Roman" w:eastAsia="Times New Roman" w:hAnsi="Times New Roman" w:cs="Times New Roman"/>
          <w:sz w:val="24"/>
          <w:szCs w:val="24"/>
          <w:lang w:eastAsia="da-DK"/>
        </w:rPr>
        <w:t xml:space="preserve"> </w:t>
      </w:r>
      <w:r w:rsidR="00916BFA">
        <w:rPr>
          <w:rFonts w:ascii="Times New Roman" w:eastAsia="Times New Roman" w:hAnsi="Times New Roman" w:cs="Times New Roman"/>
          <w:sz w:val="24"/>
          <w:szCs w:val="24"/>
          <w:lang w:eastAsia="da-DK"/>
        </w:rPr>
        <w:t xml:space="preserve">eller </w:t>
      </w:r>
      <w:r w:rsidR="0071582A">
        <w:rPr>
          <w:rFonts w:ascii="Times New Roman" w:eastAsia="Times New Roman" w:hAnsi="Times New Roman" w:cs="Times New Roman"/>
          <w:sz w:val="24"/>
          <w:szCs w:val="24"/>
          <w:lang w:eastAsia="da-DK"/>
        </w:rPr>
        <w:t xml:space="preserve">som kun må </w:t>
      </w:r>
      <w:r w:rsidR="00F00A69" w:rsidRPr="00FB4F1E">
        <w:rPr>
          <w:rFonts w:ascii="Times New Roman" w:eastAsia="Times New Roman" w:hAnsi="Times New Roman" w:cs="Times New Roman"/>
          <w:sz w:val="24"/>
          <w:szCs w:val="24"/>
          <w:lang w:eastAsia="da-DK"/>
        </w:rPr>
        <w:t>anvendes i medicinsk eller videnskabeligt øjemed</w:t>
      </w:r>
      <w:r w:rsidR="00F00A69" w:rsidRPr="00FB4F1E">
        <w:rPr>
          <w:rFonts w:ascii="Times New Roman" w:eastAsia="Times New Roman" w:hAnsi="Times New Roman" w:cs="Times New Roman"/>
          <w:color w:val="000000"/>
          <w:sz w:val="24"/>
          <w:szCs w:val="24"/>
          <w:lang w:eastAsia="da-DK"/>
        </w:rPr>
        <w:t>.</w:t>
      </w:r>
    </w:p>
    <w:p w14:paraId="0C79D28E" w14:textId="75F9091A" w:rsidR="001B4E8B" w:rsidRPr="00FB4F1E" w:rsidRDefault="001B4E8B" w:rsidP="00757CB2">
      <w:pPr>
        <w:spacing w:line="276" w:lineRule="auto"/>
        <w:ind w:left="0"/>
        <w:rPr>
          <w:rFonts w:ascii="Times New Roman" w:hAnsi="Times New Roman" w:cs="Times New Roman"/>
          <w:color w:val="000000"/>
          <w:sz w:val="24"/>
          <w:szCs w:val="24"/>
        </w:rPr>
      </w:pPr>
      <w:r w:rsidRPr="00FB4F1E">
        <w:rPr>
          <w:rFonts w:ascii="Times New Roman" w:hAnsi="Times New Roman" w:cs="Times New Roman"/>
          <w:color w:val="000000"/>
          <w:sz w:val="24"/>
          <w:szCs w:val="24"/>
        </w:rPr>
        <w:t>Bemyndigelsen vil, som nævnt under afsnittet om Hovedpunkter i forslaget, blive benyttet til at udstede en bekendtgørelse, hvortil der knyttes lister over, hvilke euforiserende stoffer, der vil være omfattet af Inatsisartutloven. Bemyndigelsen giver samtidig Naalakkersuisut muli</w:t>
      </w:r>
      <w:r w:rsidRPr="00FB4F1E">
        <w:rPr>
          <w:rFonts w:ascii="Times New Roman" w:hAnsi="Times New Roman" w:cs="Times New Roman"/>
          <w:color w:val="000000"/>
          <w:sz w:val="24"/>
          <w:szCs w:val="24"/>
        </w:rPr>
        <w:t>g</w:t>
      </w:r>
      <w:r w:rsidRPr="00FB4F1E">
        <w:rPr>
          <w:rFonts w:ascii="Times New Roman" w:hAnsi="Times New Roman" w:cs="Times New Roman"/>
          <w:color w:val="000000"/>
          <w:sz w:val="24"/>
          <w:szCs w:val="24"/>
        </w:rPr>
        <w:t>hed for løbende at opdatere listen.</w:t>
      </w:r>
    </w:p>
    <w:p w14:paraId="388F3BB2" w14:textId="77777777" w:rsidR="001B4E8B" w:rsidRPr="00FB4F1E" w:rsidRDefault="001B4E8B" w:rsidP="00757CB2">
      <w:pPr>
        <w:spacing w:line="276" w:lineRule="auto"/>
        <w:ind w:left="0"/>
        <w:rPr>
          <w:rFonts w:ascii="Times New Roman" w:hAnsi="Times New Roman" w:cs="Times New Roman"/>
          <w:color w:val="000000"/>
          <w:sz w:val="24"/>
          <w:szCs w:val="24"/>
        </w:rPr>
      </w:pPr>
    </w:p>
    <w:p w14:paraId="69F1F8A6" w14:textId="77777777" w:rsidR="001B4E8B" w:rsidRPr="00FB4F1E" w:rsidRDefault="001B4E8B" w:rsidP="00757CB2">
      <w:pPr>
        <w:spacing w:line="276" w:lineRule="auto"/>
        <w:ind w:left="0"/>
        <w:rPr>
          <w:rFonts w:ascii="Times New Roman" w:hAnsi="Times New Roman" w:cs="Times New Roman"/>
          <w:sz w:val="24"/>
          <w:szCs w:val="24"/>
        </w:rPr>
      </w:pPr>
      <w:r w:rsidRPr="00FB4F1E">
        <w:rPr>
          <w:rFonts w:ascii="Times New Roman" w:hAnsi="Times New Roman" w:cs="Times New Roman"/>
          <w:sz w:val="24"/>
          <w:szCs w:val="24"/>
        </w:rPr>
        <w:t>Naalakkersuisut bemyndiges videre til at fastsætte nærmere regler om tilladelse til, at de nævnte stoffer under ganske særlige omstændigheder kan befinde sig her i landet.</w:t>
      </w:r>
    </w:p>
    <w:p w14:paraId="02DCE21C" w14:textId="20C781B3" w:rsidR="001B4E8B" w:rsidRPr="00FB4F1E" w:rsidRDefault="001B4E8B" w:rsidP="00757CB2">
      <w:pPr>
        <w:spacing w:line="276" w:lineRule="auto"/>
        <w:ind w:left="0"/>
        <w:rPr>
          <w:rFonts w:ascii="Times New Roman" w:hAnsi="Times New Roman" w:cs="Times New Roman"/>
          <w:sz w:val="24"/>
          <w:szCs w:val="24"/>
        </w:rPr>
      </w:pPr>
      <w:r w:rsidRPr="00FB4F1E">
        <w:rPr>
          <w:rFonts w:ascii="Times New Roman" w:hAnsi="Times New Roman" w:cs="Times New Roman"/>
          <w:sz w:val="24"/>
          <w:szCs w:val="24"/>
        </w:rPr>
        <w:t xml:space="preserve">Bestemmelsen er indsat, </w:t>
      </w:r>
      <w:r w:rsidR="00A17942" w:rsidRPr="00FB4F1E">
        <w:rPr>
          <w:rFonts w:ascii="Times New Roman" w:hAnsi="Times New Roman" w:cs="Times New Roman"/>
          <w:sz w:val="24"/>
          <w:szCs w:val="24"/>
        </w:rPr>
        <w:t>idet</w:t>
      </w:r>
      <w:r w:rsidRPr="00FB4F1E">
        <w:rPr>
          <w:rFonts w:ascii="Times New Roman" w:hAnsi="Times New Roman" w:cs="Times New Roman"/>
          <w:sz w:val="24"/>
          <w:szCs w:val="24"/>
        </w:rPr>
        <w:t xml:space="preserve"> der kan forekomme situationer, hvor der kan opstå behov for at fravige forbuddet om, at et givent euforiserende stof ikke må befinde sig i landet.</w:t>
      </w:r>
    </w:p>
    <w:p w14:paraId="6EDAEB90" w14:textId="77777777" w:rsidR="001B4E8B" w:rsidRPr="00FB4F1E" w:rsidRDefault="001B4E8B" w:rsidP="00757CB2">
      <w:pPr>
        <w:spacing w:line="276" w:lineRule="auto"/>
        <w:ind w:left="0"/>
        <w:rPr>
          <w:rFonts w:ascii="Times New Roman" w:eastAsia="Times New Roman" w:hAnsi="Times New Roman" w:cs="Times New Roman"/>
          <w:color w:val="000000"/>
          <w:sz w:val="24"/>
          <w:szCs w:val="24"/>
          <w:lang w:eastAsia="da-DK"/>
        </w:rPr>
      </w:pPr>
      <w:r w:rsidRPr="00FB4F1E">
        <w:rPr>
          <w:rFonts w:ascii="Times New Roman" w:eastAsia="Times New Roman" w:hAnsi="Times New Roman" w:cs="Times New Roman"/>
          <w:color w:val="000000"/>
          <w:sz w:val="24"/>
          <w:szCs w:val="24"/>
          <w:lang w:eastAsia="da-DK"/>
        </w:rPr>
        <w:t>Naalakkersuisut kan fastsætte nærmere regler om udstedelse af tilladelser, ligesom der gives adgang til, at de nævnte tilladelser senere tilbagekaldes.</w:t>
      </w:r>
    </w:p>
    <w:p w14:paraId="12163520" w14:textId="77777777" w:rsidR="008F60EE" w:rsidRPr="00FB4F1E" w:rsidRDefault="008F60EE" w:rsidP="008D5FF9">
      <w:pPr>
        <w:autoSpaceDE w:val="0"/>
        <w:autoSpaceDN w:val="0"/>
        <w:adjustRightInd w:val="0"/>
        <w:spacing w:line="276" w:lineRule="auto"/>
        <w:ind w:left="0"/>
        <w:jc w:val="center"/>
        <w:rPr>
          <w:rFonts w:ascii="Times New Roman" w:hAnsi="Times New Roman" w:cs="Times New Roman"/>
          <w:i/>
          <w:color w:val="000000"/>
          <w:sz w:val="24"/>
          <w:szCs w:val="24"/>
        </w:rPr>
      </w:pPr>
    </w:p>
    <w:p w14:paraId="538D93F2" w14:textId="6E6B2420" w:rsidR="008170F7" w:rsidRPr="00FB4F1E" w:rsidRDefault="008170F7" w:rsidP="008D5FF9">
      <w:pPr>
        <w:autoSpaceDE w:val="0"/>
        <w:autoSpaceDN w:val="0"/>
        <w:adjustRightInd w:val="0"/>
        <w:spacing w:line="276" w:lineRule="auto"/>
        <w:ind w:left="0"/>
        <w:jc w:val="center"/>
        <w:rPr>
          <w:rFonts w:ascii="Times New Roman" w:hAnsi="Times New Roman" w:cs="Times New Roman"/>
          <w:color w:val="000000"/>
          <w:sz w:val="24"/>
          <w:szCs w:val="24"/>
        </w:rPr>
      </w:pPr>
      <w:r w:rsidRPr="00FB4F1E">
        <w:rPr>
          <w:rFonts w:ascii="Times New Roman" w:hAnsi="Times New Roman" w:cs="Times New Roman"/>
          <w:i/>
          <w:color w:val="000000"/>
          <w:sz w:val="24"/>
          <w:szCs w:val="24"/>
        </w:rPr>
        <w:t xml:space="preserve">Til § </w:t>
      </w:r>
      <w:r w:rsidR="008F60EE" w:rsidRPr="00FB4F1E">
        <w:rPr>
          <w:rFonts w:ascii="Times New Roman" w:hAnsi="Times New Roman" w:cs="Times New Roman"/>
          <w:i/>
          <w:color w:val="000000"/>
          <w:sz w:val="24"/>
          <w:szCs w:val="24"/>
        </w:rPr>
        <w:t>2</w:t>
      </w:r>
    </w:p>
    <w:p w14:paraId="2FA67E6C" w14:textId="77777777" w:rsidR="000E3E74" w:rsidRPr="00FB4F1E" w:rsidRDefault="000E3E74" w:rsidP="008D5FF9">
      <w:pPr>
        <w:autoSpaceDE w:val="0"/>
        <w:autoSpaceDN w:val="0"/>
        <w:adjustRightInd w:val="0"/>
        <w:spacing w:line="276" w:lineRule="auto"/>
        <w:ind w:left="0"/>
        <w:jc w:val="both"/>
        <w:rPr>
          <w:rFonts w:ascii="Times New Roman" w:hAnsi="Times New Roman" w:cs="Times New Roman"/>
          <w:color w:val="000000"/>
          <w:sz w:val="24"/>
          <w:szCs w:val="24"/>
        </w:rPr>
      </w:pPr>
    </w:p>
    <w:p w14:paraId="3B996322" w14:textId="77777777" w:rsidR="00AF7C18" w:rsidRPr="00FB4F1E" w:rsidRDefault="00AF7C18" w:rsidP="00AF7C18">
      <w:pPr>
        <w:spacing w:line="276" w:lineRule="auto"/>
        <w:ind w:left="0"/>
        <w:rPr>
          <w:rFonts w:ascii="Times New Roman" w:hAnsi="Times New Roman" w:cs="Times New Roman"/>
          <w:sz w:val="24"/>
          <w:szCs w:val="24"/>
        </w:rPr>
      </w:pPr>
      <w:r w:rsidRPr="00FB4F1E">
        <w:rPr>
          <w:rFonts w:ascii="Times New Roman" w:hAnsi="Times New Roman" w:cs="Times New Roman"/>
          <w:sz w:val="24"/>
          <w:szCs w:val="24"/>
        </w:rPr>
        <w:t>Til stk. 1.</w:t>
      </w:r>
    </w:p>
    <w:p w14:paraId="067CF362" w14:textId="459D6106" w:rsidR="00AF7C18" w:rsidRPr="00FB4F1E" w:rsidRDefault="00AF7C18" w:rsidP="00AF7C18">
      <w:pPr>
        <w:spacing w:line="276" w:lineRule="auto"/>
        <w:ind w:left="0"/>
        <w:rPr>
          <w:rFonts w:ascii="Times New Roman" w:hAnsi="Times New Roman" w:cs="Times New Roman"/>
          <w:sz w:val="24"/>
          <w:szCs w:val="24"/>
        </w:rPr>
      </w:pPr>
      <w:r w:rsidRPr="00FB4F1E">
        <w:rPr>
          <w:rFonts w:ascii="Times New Roman" w:eastAsia="Times New Roman" w:hAnsi="Times New Roman" w:cs="Times New Roman"/>
          <w:color w:val="000000"/>
          <w:sz w:val="24"/>
          <w:szCs w:val="24"/>
          <w:lang w:eastAsia="da-DK"/>
        </w:rPr>
        <w:t xml:space="preserve">Bestemmelsen fastslår at </w:t>
      </w:r>
      <w:r w:rsidRPr="00FB4F1E">
        <w:rPr>
          <w:rFonts w:ascii="Times New Roman" w:eastAsia="Times New Roman" w:hAnsi="Times New Roman" w:cs="Times New Roman"/>
          <w:sz w:val="24"/>
          <w:szCs w:val="24"/>
          <w:lang w:eastAsia="da-DK"/>
        </w:rPr>
        <w:t>ind- og udførsel, salg, køb, fremstillin</w:t>
      </w:r>
      <w:r>
        <w:rPr>
          <w:rFonts w:ascii="Times New Roman" w:eastAsia="Times New Roman" w:hAnsi="Times New Roman" w:cs="Times New Roman"/>
          <w:sz w:val="24"/>
          <w:szCs w:val="24"/>
          <w:lang w:eastAsia="da-DK"/>
        </w:rPr>
        <w:t xml:space="preserve">g og </w:t>
      </w:r>
      <w:r w:rsidRPr="00FB4F1E">
        <w:rPr>
          <w:rFonts w:ascii="Times New Roman" w:eastAsia="Times New Roman" w:hAnsi="Times New Roman" w:cs="Times New Roman"/>
          <w:sz w:val="24"/>
          <w:szCs w:val="24"/>
          <w:lang w:eastAsia="da-DK"/>
        </w:rPr>
        <w:t xml:space="preserve">forarbejdning af </w:t>
      </w:r>
      <w:r w:rsidR="00D56F58">
        <w:rPr>
          <w:rFonts w:ascii="Times New Roman" w:eastAsia="Times New Roman" w:hAnsi="Times New Roman" w:cs="Times New Roman"/>
          <w:sz w:val="24"/>
          <w:szCs w:val="24"/>
          <w:lang w:eastAsia="da-DK"/>
        </w:rPr>
        <w:t xml:space="preserve">de </w:t>
      </w:r>
      <w:r w:rsidRPr="00FB4F1E">
        <w:rPr>
          <w:rFonts w:ascii="Times New Roman" w:eastAsia="Times New Roman" w:hAnsi="Times New Roman" w:cs="Times New Roman"/>
          <w:sz w:val="24"/>
          <w:szCs w:val="24"/>
          <w:lang w:eastAsia="da-DK"/>
        </w:rPr>
        <w:t>sto</w:t>
      </w:r>
      <w:r w:rsidRPr="00FB4F1E">
        <w:rPr>
          <w:rFonts w:ascii="Times New Roman" w:eastAsia="Times New Roman" w:hAnsi="Times New Roman" w:cs="Times New Roman"/>
          <w:sz w:val="24"/>
          <w:szCs w:val="24"/>
          <w:lang w:eastAsia="da-DK"/>
        </w:rPr>
        <w:t>f</w:t>
      </w:r>
      <w:r w:rsidRPr="00FB4F1E">
        <w:rPr>
          <w:rFonts w:ascii="Times New Roman" w:eastAsia="Times New Roman" w:hAnsi="Times New Roman" w:cs="Times New Roman"/>
          <w:sz w:val="24"/>
          <w:szCs w:val="24"/>
          <w:lang w:eastAsia="da-DK"/>
        </w:rPr>
        <w:t>fer som</w:t>
      </w:r>
      <w:r w:rsidR="00D56F58">
        <w:rPr>
          <w:rFonts w:ascii="Times New Roman" w:eastAsia="Times New Roman" w:hAnsi="Times New Roman" w:cs="Times New Roman"/>
          <w:sz w:val="24"/>
          <w:szCs w:val="24"/>
          <w:lang w:eastAsia="da-DK"/>
        </w:rPr>
        <w:t xml:space="preserve"> er omfattet af</w:t>
      </w:r>
      <w:r w:rsidRPr="00FB4F1E">
        <w:rPr>
          <w:rFonts w:ascii="Times New Roman" w:eastAsia="Times New Roman" w:hAnsi="Times New Roman" w:cs="Times New Roman"/>
          <w:sz w:val="24"/>
          <w:szCs w:val="24"/>
          <w:lang w:eastAsia="da-DK"/>
        </w:rPr>
        <w:t xml:space="preserve"> </w:t>
      </w:r>
      <w:r>
        <w:rPr>
          <w:rFonts w:ascii="Times New Roman" w:eastAsia="Times New Roman" w:hAnsi="Times New Roman" w:cs="Times New Roman"/>
          <w:sz w:val="24"/>
          <w:szCs w:val="24"/>
          <w:lang w:eastAsia="da-DK"/>
        </w:rPr>
        <w:t>§ 1</w:t>
      </w:r>
      <w:r w:rsidRPr="00FB4F1E">
        <w:rPr>
          <w:rFonts w:ascii="Times New Roman" w:eastAsia="Times New Roman" w:hAnsi="Times New Roman" w:cs="Times New Roman"/>
          <w:sz w:val="24"/>
          <w:szCs w:val="24"/>
          <w:lang w:eastAsia="da-DK"/>
        </w:rPr>
        <w:t xml:space="preserve"> er</w:t>
      </w:r>
      <w:r>
        <w:rPr>
          <w:rFonts w:ascii="Times New Roman" w:eastAsia="Times New Roman" w:hAnsi="Times New Roman" w:cs="Times New Roman"/>
          <w:sz w:val="24"/>
          <w:szCs w:val="24"/>
          <w:lang w:eastAsia="da-DK"/>
        </w:rPr>
        <w:t xml:space="preserve"> </w:t>
      </w:r>
      <w:r w:rsidRPr="00FB4F1E">
        <w:rPr>
          <w:rFonts w:ascii="Times New Roman" w:eastAsia="Times New Roman" w:hAnsi="Times New Roman" w:cs="Times New Roman"/>
          <w:color w:val="000000"/>
          <w:sz w:val="24"/>
          <w:szCs w:val="24"/>
          <w:lang w:eastAsia="da-DK"/>
        </w:rPr>
        <w:t>tilladt for Landsapoteket</w:t>
      </w:r>
      <w:r>
        <w:rPr>
          <w:rFonts w:ascii="Times New Roman" w:eastAsia="Times New Roman" w:hAnsi="Times New Roman" w:cs="Times New Roman"/>
          <w:color w:val="000000"/>
          <w:sz w:val="24"/>
          <w:szCs w:val="24"/>
          <w:lang w:eastAsia="da-DK"/>
        </w:rPr>
        <w:t>.</w:t>
      </w:r>
    </w:p>
    <w:p w14:paraId="0291BCE3" w14:textId="77777777" w:rsidR="00AF7C18" w:rsidRPr="00FB4F1E" w:rsidRDefault="00AF7C18" w:rsidP="00AF7C18">
      <w:pPr>
        <w:spacing w:line="276" w:lineRule="auto"/>
        <w:ind w:left="0"/>
        <w:rPr>
          <w:rFonts w:ascii="Times New Roman" w:eastAsia="Times New Roman" w:hAnsi="Times New Roman" w:cs="Times New Roman"/>
          <w:color w:val="000000"/>
          <w:sz w:val="24"/>
          <w:szCs w:val="24"/>
          <w:lang w:eastAsia="da-DK"/>
        </w:rPr>
      </w:pPr>
    </w:p>
    <w:p w14:paraId="2C08127A" w14:textId="77777777" w:rsidR="00AF7C18" w:rsidRDefault="00AF7C18" w:rsidP="00AF7C18">
      <w:pPr>
        <w:spacing w:line="276" w:lineRule="auto"/>
        <w:ind w:left="0"/>
        <w:rPr>
          <w:rFonts w:ascii="Times New Roman" w:eastAsia="Times New Roman" w:hAnsi="Times New Roman" w:cs="Times New Roman"/>
          <w:color w:val="000000"/>
          <w:sz w:val="24"/>
          <w:szCs w:val="24"/>
          <w:lang w:eastAsia="da-DK"/>
        </w:rPr>
      </w:pPr>
      <w:r w:rsidRPr="00FB4F1E">
        <w:rPr>
          <w:rFonts w:ascii="Times New Roman" w:eastAsia="Times New Roman" w:hAnsi="Times New Roman" w:cs="Times New Roman"/>
          <w:color w:val="000000"/>
          <w:sz w:val="24"/>
          <w:szCs w:val="24"/>
          <w:lang w:eastAsia="da-DK"/>
        </w:rPr>
        <w:t>Til stk. 2.</w:t>
      </w:r>
    </w:p>
    <w:p w14:paraId="4CB9AD23" w14:textId="3238F4CD" w:rsidR="00AF7C18" w:rsidRPr="00E66C30" w:rsidRDefault="00AF7C18" w:rsidP="00AF7C18">
      <w:pPr>
        <w:spacing w:line="276" w:lineRule="auto"/>
        <w:ind w:left="0"/>
      </w:pPr>
      <w:r>
        <w:rPr>
          <w:rFonts w:ascii="Times New Roman" w:eastAsia="Times New Roman" w:hAnsi="Times New Roman" w:cs="Times New Roman"/>
          <w:color w:val="000000"/>
          <w:sz w:val="24"/>
          <w:szCs w:val="24"/>
          <w:lang w:eastAsia="da-DK"/>
        </w:rPr>
        <w:t xml:space="preserve">Bestemmelsen fastslår at </w:t>
      </w:r>
      <w:r w:rsidRPr="00FB4F1E">
        <w:rPr>
          <w:rFonts w:ascii="Times New Roman" w:eastAsia="Times New Roman" w:hAnsi="Times New Roman" w:cs="Times New Roman"/>
          <w:sz w:val="24"/>
          <w:szCs w:val="24"/>
          <w:lang w:eastAsia="da-DK"/>
        </w:rPr>
        <w:t>udlevering, modtagelse</w:t>
      </w:r>
      <w:r>
        <w:t xml:space="preserve"> </w:t>
      </w:r>
      <w:r w:rsidRPr="00FB4F1E">
        <w:rPr>
          <w:rFonts w:ascii="Times New Roman" w:eastAsia="Times New Roman" w:hAnsi="Times New Roman" w:cs="Times New Roman"/>
          <w:sz w:val="24"/>
          <w:szCs w:val="24"/>
          <w:lang w:eastAsia="da-DK"/>
        </w:rPr>
        <w:t xml:space="preserve">og besiddelse af stoffer som beskrevet i </w:t>
      </w:r>
      <w:r>
        <w:rPr>
          <w:rFonts w:ascii="Times New Roman" w:eastAsia="Times New Roman" w:hAnsi="Times New Roman" w:cs="Times New Roman"/>
          <w:sz w:val="24"/>
          <w:szCs w:val="24"/>
          <w:lang w:eastAsia="da-DK"/>
        </w:rPr>
        <w:t>§ 1</w:t>
      </w:r>
      <w:r w:rsidRPr="00FB4F1E">
        <w:rPr>
          <w:rFonts w:ascii="Times New Roman" w:eastAsia="Times New Roman" w:hAnsi="Times New Roman" w:cs="Times New Roman"/>
          <w:sz w:val="24"/>
          <w:szCs w:val="24"/>
          <w:lang w:eastAsia="da-DK"/>
        </w:rPr>
        <w:t xml:space="preserve"> er</w:t>
      </w:r>
      <w:r>
        <w:rPr>
          <w:rFonts w:ascii="Times New Roman" w:eastAsia="Times New Roman" w:hAnsi="Times New Roman" w:cs="Times New Roman"/>
          <w:sz w:val="24"/>
          <w:szCs w:val="24"/>
          <w:lang w:eastAsia="da-DK"/>
        </w:rPr>
        <w:t xml:space="preserve"> </w:t>
      </w:r>
      <w:r w:rsidRPr="00FB4F1E">
        <w:rPr>
          <w:rFonts w:ascii="Times New Roman" w:eastAsia="Times New Roman" w:hAnsi="Times New Roman" w:cs="Times New Roman"/>
          <w:color w:val="000000"/>
          <w:sz w:val="24"/>
          <w:szCs w:val="24"/>
          <w:lang w:eastAsia="da-DK"/>
        </w:rPr>
        <w:t>tilladt for Landsapoteket, sygehusapoteker og for hvem, der har modtag</w:t>
      </w:r>
      <w:r>
        <w:rPr>
          <w:rFonts w:ascii="Times New Roman" w:eastAsia="Times New Roman" w:hAnsi="Times New Roman" w:cs="Times New Roman"/>
          <w:color w:val="000000"/>
          <w:sz w:val="24"/>
          <w:szCs w:val="24"/>
          <w:lang w:eastAsia="da-DK"/>
        </w:rPr>
        <w:t>et en særlig tillade</w:t>
      </w:r>
      <w:r>
        <w:rPr>
          <w:rFonts w:ascii="Times New Roman" w:eastAsia="Times New Roman" w:hAnsi="Times New Roman" w:cs="Times New Roman"/>
          <w:color w:val="000000"/>
          <w:sz w:val="24"/>
          <w:szCs w:val="24"/>
          <w:lang w:eastAsia="da-DK"/>
        </w:rPr>
        <w:t>l</w:t>
      </w:r>
      <w:r>
        <w:rPr>
          <w:rFonts w:ascii="Times New Roman" w:eastAsia="Times New Roman" w:hAnsi="Times New Roman" w:cs="Times New Roman"/>
          <w:color w:val="000000"/>
          <w:sz w:val="24"/>
          <w:szCs w:val="24"/>
          <w:lang w:eastAsia="da-DK"/>
        </w:rPr>
        <w:t>se hertil.</w:t>
      </w:r>
      <w:r w:rsidRPr="00AC24A4">
        <w:rPr>
          <w:rFonts w:ascii="Times New Roman" w:eastAsia="Times New Roman" w:hAnsi="Times New Roman" w:cs="Times New Roman"/>
          <w:color w:val="000000"/>
          <w:sz w:val="24"/>
          <w:szCs w:val="24"/>
          <w:lang w:eastAsia="da-DK"/>
        </w:rPr>
        <w:t xml:space="preserve"> </w:t>
      </w:r>
      <w:r>
        <w:rPr>
          <w:rFonts w:ascii="Times New Roman" w:eastAsia="Times New Roman" w:hAnsi="Times New Roman" w:cs="Times New Roman"/>
          <w:color w:val="000000"/>
          <w:sz w:val="24"/>
          <w:szCs w:val="24"/>
          <w:lang w:eastAsia="da-DK"/>
        </w:rPr>
        <w:t>Herudover fastslår bestemmelsen</w:t>
      </w:r>
      <w:r w:rsidRPr="00FB4F1E">
        <w:rPr>
          <w:rFonts w:ascii="Times New Roman" w:eastAsia="Times New Roman" w:hAnsi="Times New Roman" w:cs="Times New Roman"/>
          <w:color w:val="000000"/>
          <w:sz w:val="24"/>
          <w:szCs w:val="24"/>
          <w:lang w:eastAsia="da-DK"/>
        </w:rPr>
        <w:t xml:space="preserve">, </w:t>
      </w:r>
      <w:r w:rsidRPr="00FB4F1E">
        <w:rPr>
          <w:rFonts w:ascii="Times New Roman" w:hAnsi="Times New Roman" w:cs="Times New Roman"/>
          <w:sz w:val="24"/>
          <w:szCs w:val="24"/>
        </w:rPr>
        <w:t>at Naalakkersuisut kan fastsætte almindelige b</w:t>
      </w:r>
      <w:r w:rsidRPr="00FB4F1E">
        <w:rPr>
          <w:rFonts w:ascii="Times New Roman" w:hAnsi="Times New Roman" w:cs="Times New Roman"/>
          <w:sz w:val="24"/>
          <w:szCs w:val="24"/>
        </w:rPr>
        <w:t>e</w:t>
      </w:r>
      <w:r w:rsidRPr="00FB4F1E">
        <w:rPr>
          <w:rFonts w:ascii="Times New Roman" w:hAnsi="Times New Roman" w:cs="Times New Roman"/>
          <w:sz w:val="24"/>
          <w:szCs w:val="24"/>
        </w:rPr>
        <w:t>grænsninger med hensyn til de pågældendes virksomhed. Ligeledes giver bestemmelsen a</w:t>
      </w:r>
      <w:r w:rsidRPr="00FB4F1E">
        <w:rPr>
          <w:rFonts w:ascii="Times New Roman" w:hAnsi="Times New Roman" w:cs="Times New Roman"/>
          <w:sz w:val="24"/>
          <w:szCs w:val="24"/>
        </w:rPr>
        <w:t>d</w:t>
      </w:r>
      <w:r w:rsidRPr="00FB4F1E">
        <w:rPr>
          <w:rFonts w:ascii="Times New Roman" w:hAnsi="Times New Roman" w:cs="Times New Roman"/>
          <w:sz w:val="24"/>
          <w:szCs w:val="24"/>
        </w:rPr>
        <w:t>gang til, at der i den enkelte tilladelse kan fastsættes særlige begrænsninger. Endelig kan Naalakkersuisut med hensyn til rettighederne til at benytte euforiserende stofferne indskrænke eller tilbagekalde tilladelsen hertil.</w:t>
      </w:r>
    </w:p>
    <w:p w14:paraId="7DF424F0" w14:textId="77777777" w:rsidR="004F12BE" w:rsidRPr="00FB4F1E" w:rsidRDefault="004F12BE" w:rsidP="00757CB2">
      <w:pPr>
        <w:spacing w:line="276" w:lineRule="auto"/>
        <w:ind w:left="0"/>
        <w:rPr>
          <w:rFonts w:ascii="Times New Roman" w:eastAsia="Times New Roman" w:hAnsi="Times New Roman" w:cs="Times New Roman"/>
          <w:color w:val="000000"/>
          <w:sz w:val="24"/>
          <w:szCs w:val="24"/>
          <w:lang w:eastAsia="da-DK"/>
        </w:rPr>
      </w:pPr>
    </w:p>
    <w:p w14:paraId="4DC7B894" w14:textId="711F2ADF" w:rsidR="004F12BE" w:rsidRPr="00FB4F1E" w:rsidRDefault="004F12BE" w:rsidP="00757CB2">
      <w:pPr>
        <w:spacing w:line="276" w:lineRule="auto"/>
        <w:ind w:left="0"/>
        <w:rPr>
          <w:rFonts w:ascii="Times New Roman" w:eastAsia="Times New Roman" w:hAnsi="Times New Roman" w:cs="Times New Roman"/>
          <w:color w:val="000000"/>
          <w:sz w:val="24"/>
          <w:szCs w:val="24"/>
          <w:lang w:eastAsia="da-DK"/>
        </w:rPr>
      </w:pPr>
      <w:r w:rsidRPr="00FB4F1E">
        <w:rPr>
          <w:rFonts w:ascii="Times New Roman" w:eastAsia="Times New Roman" w:hAnsi="Times New Roman" w:cs="Times New Roman"/>
          <w:color w:val="000000"/>
          <w:sz w:val="24"/>
          <w:szCs w:val="24"/>
          <w:lang w:eastAsia="da-DK"/>
        </w:rPr>
        <w:t xml:space="preserve">Til stk. </w:t>
      </w:r>
      <w:r w:rsidR="00AF7C18">
        <w:rPr>
          <w:rFonts w:ascii="Times New Roman" w:eastAsia="Times New Roman" w:hAnsi="Times New Roman" w:cs="Times New Roman"/>
          <w:color w:val="000000"/>
          <w:sz w:val="24"/>
          <w:szCs w:val="24"/>
          <w:lang w:eastAsia="da-DK"/>
        </w:rPr>
        <w:t>3</w:t>
      </w:r>
      <w:r w:rsidRPr="00FB4F1E">
        <w:rPr>
          <w:rFonts w:ascii="Times New Roman" w:eastAsia="Times New Roman" w:hAnsi="Times New Roman" w:cs="Times New Roman"/>
          <w:color w:val="000000"/>
          <w:sz w:val="24"/>
          <w:szCs w:val="24"/>
          <w:lang w:eastAsia="da-DK"/>
        </w:rPr>
        <w:t>.</w:t>
      </w:r>
    </w:p>
    <w:p w14:paraId="4430F8B1" w14:textId="74C7792D" w:rsidR="00AC24A4" w:rsidRDefault="00F57549" w:rsidP="00757CB2">
      <w:pPr>
        <w:spacing w:line="276" w:lineRule="auto"/>
        <w:ind w:left="0"/>
        <w:rPr>
          <w:rFonts w:ascii="Times New Roman" w:eastAsia="Times New Roman" w:hAnsi="Times New Roman" w:cs="Times New Roman"/>
          <w:color w:val="000000"/>
          <w:sz w:val="24"/>
          <w:szCs w:val="24"/>
          <w:lang w:eastAsia="da-DK"/>
        </w:rPr>
      </w:pPr>
      <w:r w:rsidRPr="00FB4F1E">
        <w:rPr>
          <w:rFonts w:ascii="Times New Roman" w:hAnsi="Times New Roman" w:cs="Times New Roman"/>
          <w:sz w:val="24"/>
          <w:szCs w:val="24"/>
        </w:rPr>
        <w:t>Det fastlægges i bestemmelsen, at køb og modtagelse fra Landsapoteket og sygehusapoteke</w:t>
      </w:r>
      <w:r w:rsidRPr="00FB4F1E">
        <w:rPr>
          <w:rFonts w:ascii="Times New Roman" w:hAnsi="Times New Roman" w:cs="Times New Roman"/>
          <w:sz w:val="24"/>
          <w:szCs w:val="24"/>
        </w:rPr>
        <w:t>r</w:t>
      </w:r>
      <w:r w:rsidRPr="00FB4F1E">
        <w:rPr>
          <w:rFonts w:ascii="Times New Roman" w:hAnsi="Times New Roman" w:cs="Times New Roman"/>
          <w:sz w:val="24"/>
          <w:szCs w:val="24"/>
        </w:rPr>
        <w:t>samt besiddelse af stoffer med euforiserende egenskaber er tilladt for dem, der modtager sto</w:t>
      </w:r>
      <w:r w:rsidRPr="00FB4F1E">
        <w:rPr>
          <w:rFonts w:ascii="Times New Roman" w:hAnsi="Times New Roman" w:cs="Times New Roman"/>
          <w:sz w:val="24"/>
          <w:szCs w:val="24"/>
        </w:rPr>
        <w:t>f</w:t>
      </w:r>
      <w:r w:rsidRPr="00FB4F1E">
        <w:rPr>
          <w:rFonts w:ascii="Times New Roman" w:hAnsi="Times New Roman" w:cs="Times New Roman"/>
          <w:sz w:val="24"/>
          <w:szCs w:val="24"/>
        </w:rPr>
        <w:t>ferne i henhold til en almindelig lovlig recept eller rekvisition</w:t>
      </w:r>
      <w:r w:rsidR="00172F52">
        <w:rPr>
          <w:rFonts w:ascii="Times New Roman" w:hAnsi="Times New Roman" w:cs="Times New Roman"/>
          <w:sz w:val="24"/>
          <w:szCs w:val="24"/>
        </w:rPr>
        <w:t>. Dette er reguleret</w:t>
      </w:r>
      <w:r w:rsidRPr="00FB4F1E">
        <w:rPr>
          <w:rFonts w:ascii="Times New Roman" w:hAnsi="Times New Roman" w:cs="Times New Roman"/>
          <w:sz w:val="24"/>
          <w:szCs w:val="24"/>
        </w:rPr>
        <w:t xml:space="preserve"> i </w:t>
      </w:r>
      <w:r w:rsidR="000A7397">
        <w:rPr>
          <w:rFonts w:ascii="Times New Roman" w:hAnsi="Times New Roman" w:cs="Times New Roman"/>
          <w:sz w:val="24"/>
          <w:szCs w:val="24"/>
        </w:rPr>
        <w:t>§ 16 i</w:t>
      </w:r>
      <w:r w:rsidRPr="00FB4F1E">
        <w:rPr>
          <w:rFonts w:ascii="Times New Roman" w:hAnsi="Times New Roman" w:cs="Times New Roman"/>
          <w:sz w:val="24"/>
          <w:szCs w:val="24"/>
        </w:rPr>
        <w:t xml:space="preserve"> </w:t>
      </w:r>
      <w:r w:rsidRPr="00FB4F1E">
        <w:rPr>
          <w:rFonts w:ascii="Times New Roman" w:eastAsia="Times New Roman" w:hAnsi="Times New Roman" w:cs="Times New Roman"/>
          <w:sz w:val="24"/>
          <w:szCs w:val="24"/>
          <w:lang w:eastAsia="da-DK"/>
        </w:rPr>
        <w:t>Landstingsforordning nr. 1 af 12. maj 2005 om lægemidler og de i medfør deraf udstedte fo</w:t>
      </w:r>
      <w:r w:rsidRPr="00FB4F1E">
        <w:rPr>
          <w:rFonts w:ascii="Times New Roman" w:eastAsia="Times New Roman" w:hAnsi="Times New Roman" w:cs="Times New Roman"/>
          <w:sz w:val="24"/>
          <w:szCs w:val="24"/>
          <w:lang w:eastAsia="da-DK"/>
        </w:rPr>
        <w:t>r</w:t>
      </w:r>
      <w:r w:rsidRPr="00FB4F1E">
        <w:rPr>
          <w:rFonts w:ascii="Times New Roman" w:eastAsia="Times New Roman" w:hAnsi="Times New Roman" w:cs="Times New Roman"/>
          <w:sz w:val="24"/>
          <w:szCs w:val="24"/>
          <w:lang w:eastAsia="da-DK"/>
        </w:rPr>
        <w:t>skrifter.</w:t>
      </w:r>
    </w:p>
    <w:p w14:paraId="3CBD4E0E" w14:textId="77777777" w:rsidR="00964B2F" w:rsidRPr="00FB4F1E" w:rsidRDefault="00964B2F" w:rsidP="00757CB2">
      <w:pPr>
        <w:spacing w:line="276" w:lineRule="auto"/>
        <w:ind w:left="0"/>
        <w:rPr>
          <w:rFonts w:ascii="Times New Roman" w:eastAsia="Times New Roman" w:hAnsi="Times New Roman" w:cs="Times New Roman"/>
          <w:color w:val="000000"/>
          <w:sz w:val="24"/>
          <w:szCs w:val="24"/>
          <w:lang w:eastAsia="da-DK"/>
        </w:rPr>
      </w:pPr>
    </w:p>
    <w:p w14:paraId="2437C822" w14:textId="53BCA6FE" w:rsidR="00964B2F" w:rsidRPr="00FB4F1E" w:rsidRDefault="00964B2F" w:rsidP="00757CB2">
      <w:pPr>
        <w:spacing w:line="276" w:lineRule="auto"/>
        <w:ind w:left="0"/>
        <w:rPr>
          <w:rFonts w:ascii="Times New Roman" w:eastAsia="Times New Roman" w:hAnsi="Times New Roman" w:cs="Times New Roman"/>
          <w:color w:val="000000"/>
          <w:sz w:val="24"/>
          <w:szCs w:val="24"/>
          <w:lang w:eastAsia="da-DK"/>
        </w:rPr>
      </w:pPr>
      <w:r w:rsidRPr="00FB4F1E">
        <w:rPr>
          <w:rFonts w:ascii="Times New Roman" w:eastAsia="Times New Roman" w:hAnsi="Times New Roman" w:cs="Times New Roman"/>
          <w:color w:val="000000"/>
          <w:sz w:val="24"/>
          <w:szCs w:val="24"/>
          <w:lang w:eastAsia="da-DK"/>
        </w:rPr>
        <w:lastRenderedPageBreak/>
        <w:t xml:space="preserve">Til stk. </w:t>
      </w:r>
      <w:r w:rsidR="00AF7C18">
        <w:rPr>
          <w:rFonts w:ascii="Times New Roman" w:eastAsia="Times New Roman" w:hAnsi="Times New Roman" w:cs="Times New Roman"/>
          <w:color w:val="000000"/>
          <w:sz w:val="24"/>
          <w:szCs w:val="24"/>
          <w:lang w:eastAsia="da-DK"/>
        </w:rPr>
        <w:t>4</w:t>
      </w:r>
      <w:r w:rsidRPr="00FB4F1E">
        <w:rPr>
          <w:rFonts w:ascii="Times New Roman" w:eastAsia="Times New Roman" w:hAnsi="Times New Roman" w:cs="Times New Roman"/>
          <w:color w:val="000000"/>
          <w:sz w:val="24"/>
          <w:szCs w:val="24"/>
          <w:lang w:eastAsia="da-DK"/>
        </w:rPr>
        <w:t>.</w:t>
      </w:r>
    </w:p>
    <w:p w14:paraId="794FC5F2" w14:textId="7435DD9E" w:rsidR="006F249C" w:rsidRDefault="00964B2F" w:rsidP="00757CB2">
      <w:pPr>
        <w:spacing w:line="276" w:lineRule="auto"/>
        <w:ind w:left="0"/>
        <w:rPr>
          <w:rFonts w:ascii="Times New Roman" w:eastAsia="Times New Roman" w:hAnsi="Times New Roman" w:cs="Times New Roman"/>
          <w:color w:val="000000"/>
          <w:sz w:val="24"/>
          <w:szCs w:val="24"/>
          <w:lang w:eastAsia="da-DK"/>
        </w:rPr>
      </w:pPr>
      <w:r w:rsidRPr="00FB4F1E">
        <w:rPr>
          <w:rFonts w:ascii="Times New Roman" w:eastAsia="Times New Roman" w:hAnsi="Times New Roman" w:cs="Times New Roman"/>
          <w:color w:val="000000"/>
          <w:sz w:val="24"/>
          <w:szCs w:val="24"/>
          <w:lang w:eastAsia="da-DK"/>
        </w:rPr>
        <w:t xml:space="preserve">Bestemmelse fastslår, at </w:t>
      </w:r>
      <w:r w:rsidRPr="00FB4F1E">
        <w:rPr>
          <w:rFonts w:ascii="Times New Roman" w:eastAsia="Times New Roman" w:hAnsi="Times New Roman" w:cs="Times New Roman"/>
          <w:sz w:val="24"/>
          <w:szCs w:val="24"/>
          <w:lang w:eastAsia="da-DK"/>
        </w:rPr>
        <w:t>ind- og udførsel, salg, køb, udlevering, modtagelse, fremstilling, fo</w:t>
      </w:r>
      <w:r w:rsidRPr="00FB4F1E">
        <w:rPr>
          <w:rFonts w:ascii="Times New Roman" w:eastAsia="Times New Roman" w:hAnsi="Times New Roman" w:cs="Times New Roman"/>
          <w:sz w:val="24"/>
          <w:szCs w:val="24"/>
          <w:lang w:eastAsia="da-DK"/>
        </w:rPr>
        <w:t>r</w:t>
      </w:r>
      <w:r w:rsidRPr="00FB4F1E">
        <w:rPr>
          <w:rFonts w:ascii="Times New Roman" w:eastAsia="Times New Roman" w:hAnsi="Times New Roman" w:cs="Times New Roman"/>
          <w:sz w:val="24"/>
          <w:szCs w:val="24"/>
          <w:lang w:eastAsia="da-DK"/>
        </w:rPr>
        <w:t>arbejdning og besiddelse</w:t>
      </w:r>
      <w:r w:rsidRPr="00FB4F1E">
        <w:rPr>
          <w:rFonts w:ascii="Times New Roman" w:eastAsia="Times New Roman" w:hAnsi="Times New Roman" w:cs="Times New Roman"/>
          <w:color w:val="000000"/>
          <w:sz w:val="24"/>
          <w:szCs w:val="24"/>
          <w:lang w:eastAsia="da-DK"/>
        </w:rPr>
        <w:t xml:space="preserve"> af stoffer omfattet af </w:t>
      </w:r>
      <w:r w:rsidR="00AC24A4">
        <w:rPr>
          <w:rFonts w:ascii="Times New Roman" w:eastAsia="Times New Roman" w:hAnsi="Times New Roman" w:cs="Times New Roman"/>
          <w:color w:val="000000"/>
          <w:sz w:val="24"/>
          <w:szCs w:val="24"/>
          <w:lang w:eastAsia="da-DK"/>
        </w:rPr>
        <w:t>§</w:t>
      </w:r>
      <w:r w:rsidRPr="00FB4F1E">
        <w:rPr>
          <w:rFonts w:ascii="Times New Roman" w:eastAsia="Times New Roman" w:hAnsi="Times New Roman" w:cs="Times New Roman"/>
          <w:color w:val="000000"/>
          <w:sz w:val="24"/>
          <w:szCs w:val="24"/>
          <w:lang w:eastAsia="da-DK"/>
        </w:rPr>
        <w:t xml:space="preserve"> 1 er forbudt, såfremt det ikke er omfattet af undtagelserne i stk. 1</w:t>
      </w:r>
      <w:r w:rsidR="00D76C67">
        <w:rPr>
          <w:rFonts w:ascii="Times New Roman" w:eastAsia="Times New Roman" w:hAnsi="Times New Roman" w:cs="Times New Roman"/>
          <w:color w:val="000000"/>
          <w:sz w:val="24"/>
          <w:szCs w:val="24"/>
          <w:lang w:eastAsia="da-DK"/>
        </w:rPr>
        <w:t>-3</w:t>
      </w:r>
      <w:r w:rsidRPr="00FB4F1E">
        <w:rPr>
          <w:rFonts w:ascii="Times New Roman" w:eastAsia="Times New Roman" w:hAnsi="Times New Roman" w:cs="Times New Roman"/>
          <w:color w:val="000000"/>
          <w:sz w:val="24"/>
          <w:szCs w:val="24"/>
          <w:lang w:eastAsia="da-DK"/>
        </w:rPr>
        <w:t xml:space="preserve">. </w:t>
      </w:r>
    </w:p>
    <w:p w14:paraId="22B593A7" w14:textId="77777777" w:rsidR="00964B2F" w:rsidRPr="00FB4F1E" w:rsidRDefault="00964B2F" w:rsidP="004F12BE">
      <w:pPr>
        <w:spacing w:line="276" w:lineRule="auto"/>
        <w:ind w:left="0"/>
        <w:jc w:val="both"/>
        <w:rPr>
          <w:rFonts w:ascii="Times New Roman" w:eastAsia="Times New Roman" w:hAnsi="Times New Roman" w:cs="Times New Roman"/>
          <w:color w:val="000000"/>
          <w:sz w:val="24"/>
          <w:szCs w:val="24"/>
          <w:lang w:eastAsia="da-DK"/>
        </w:rPr>
      </w:pPr>
    </w:p>
    <w:p w14:paraId="790054AE" w14:textId="324ABE3B" w:rsidR="006F249C" w:rsidRDefault="006F249C" w:rsidP="00C818E4">
      <w:pPr>
        <w:spacing w:line="276" w:lineRule="auto"/>
        <w:ind w:left="0"/>
        <w:jc w:val="center"/>
        <w:rPr>
          <w:rFonts w:ascii="Times New Roman" w:eastAsia="Times New Roman" w:hAnsi="Times New Roman" w:cs="Times New Roman"/>
          <w:i/>
          <w:iCs/>
          <w:color w:val="000000"/>
          <w:sz w:val="24"/>
          <w:szCs w:val="24"/>
          <w:lang w:eastAsia="da-DK"/>
        </w:rPr>
      </w:pPr>
      <w:r w:rsidRPr="00C818E4">
        <w:rPr>
          <w:rFonts w:ascii="Times New Roman" w:eastAsia="Times New Roman" w:hAnsi="Times New Roman" w:cs="Times New Roman"/>
          <w:i/>
          <w:iCs/>
          <w:color w:val="000000"/>
          <w:sz w:val="24"/>
          <w:szCs w:val="24"/>
          <w:lang w:eastAsia="da-DK"/>
        </w:rPr>
        <w:t>Til § 3</w:t>
      </w:r>
    </w:p>
    <w:p w14:paraId="7870A297" w14:textId="77777777" w:rsidR="000A7397" w:rsidRPr="00C818E4" w:rsidRDefault="000A7397" w:rsidP="00C818E4">
      <w:pPr>
        <w:spacing w:line="276" w:lineRule="auto"/>
        <w:ind w:left="0"/>
        <w:jc w:val="center"/>
        <w:rPr>
          <w:rFonts w:ascii="Times New Roman" w:eastAsia="Times New Roman" w:hAnsi="Times New Roman" w:cs="Times New Roman"/>
          <w:i/>
          <w:iCs/>
          <w:color w:val="000000"/>
          <w:sz w:val="24"/>
          <w:szCs w:val="24"/>
          <w:lang w:eastAsia="da-DK"/>
        </w:rPr>
      </w:pPr>
    </w:p>
    <w:p w14:paraId="5CA3512A" w14:textId="77777777" w:rsidR="00AC24A4" w:rsidRPr="002F0482" w:rsidRDefault="00AC24A4" w:rsidP="00AC24A4">
      <w:pPr>
        <w:spacing w:line="276" w:lineRule="auto"/>
        <w:ind w:left="0"/>
        <w:jc w:val="both"/>
        <w:rPr>
          <w:rFonts w:ascii="Times New Roman" w:hAnsi="Times New Roman" w:cs="Times New Roman"/>
          <w:sz w:val="24"/>
          <w:szCs w:val="24"/>
        </w:rPr>
      </w:pPr>
      <w:r w:rsidRPr="002F0482">
        <w:rPr>
          <w:rFonts w:ascii="Times New Roman" w:hAnsi="Times New Roman" w:cs="Times New Roman"/>
          <w:sz w:val="24"/>
          <w:szCs w:val="24"/>
        </w:rPr>
        <w:t>Til stk. 1</w:t>
      </w:r>
    </w:p>
    <w:p w14:paraId="4BA1DC03" w14:textId="42C9FADA" w:rsidR="004F12BE" w:rsidRDefault="00AC24A4" w:rsidP="00757CB2">
      <w:pPr>
        <w:spacing w:line="276" w:lineRule="auto"/>
        <w:ind w:left="0"/>
        <w:rPr>
          <w:rFonts w:ascii="Times New Roman" w:eastAsia="Times New Roman" w:hAnsi="Times New Roman" w:cs="Times New Roman"/>
          <w:color w:val="000000"/>
          <w:sz w:val="24"/>
          <w:szCs w:val="24"/>
          <w:lang w:eastAsia="da-DK"/>
        </w:rPr>
      </w:pPr>
      <w:r w:rsidRPr="002F0482">
        <w:rPr>
          <w:rFonts w:ascii="Times New Roman" w:hAnsi="Times New Roman" w:cs="Times New Roman"/>
          <w:sz w:val="24"/>
          <w:szCs w:val="24"/>
        </w:rPr>
        <w:t>Landslægeembedet varetager håndteringen af tilladelser</w:t>
      </w:r>
      <w:r>
        <w:rPr>
          <w:rFonts w:ascii="Times New Roman" w:hAnsi="Times New Roman" w:cs="Times New Roman"/>
          <w:sz w:val="24"/>
          <w:szCs w:val="24"/>
        </w:rPr>
        <w:t xml:space="preserve"> som nævnt i § 1, nr. 1 og § 2, stk. 1, 1. pkt</w:t>
      </w:r>
      <w:r w:rsidR="00546D22">
        <w:rPr>
          <w:rFonts w:ascii="Times New Roman" w:hAnsi="Times New Roman" w:cs="Times New Roman"/>
          <w:sz w:val="24"/>
          <w:szCs w:val="24"/>
        </w:rPr>
        <w:t>.</w:t>
      </w:r>
      <w:r>
        <w:rPr>
          <w:rFonts w:ascii="Times New Roman" w:hAnsi="Times New Roman" w:cs="Times New Roman"/>
          <w:sz w:val="24"/>
          <w:szCs w:val="24"/>
        </w:rPr>
        <w:t>, da det vurderes mest nærliggende og i overensstemmelse med beskrivelsen af Land</w:t>
      </w:r>
      <w:r>
        <w:rPr>
          <w:rFonts w:ascii="Times New Roman" w:hAnsi="Times New Roman" w:cs="Times New Roman"/>
          <w:sz w:val="24"/>
          <w:szCs w:val="24"/>
        </w:rPr>
        <w:t>s</w:t>
      </w:r>
      <w:r>
        <w:rPr>
          <w:rFonts w:ascii="Times New Roman" w:hAnsi="Times New Roman" w:cs="Times New Roman"/>
          <w:sz w:val="24"/>
          <w:szCs w:val="24"/>
        </w:rPr>
        <w:t>lægeembedets opgaver i henhold til bekendtgørelse nr. 7 af 15. juni 2017 om Landslægee</w:t>
      </w:r>
      <w:r>
        <w:rPr>
          <w:rFonts w:ascii="Times New Roman" w:hAnsi="Times New Roman" w:cs="Times New Roman"/>
          <w:sz w:val="24"/>
          <w:szCs w:val="24"/>
        </w:rPr>
        <w:t>m</w:t>
      </w:r>
      <w:r>
        <w:rPr>
          <w:rFonts w:ascii="Times New Roman" w:hAnsi="Times New Roman" w:cs="Times New Roman"/>
          <w:sz w:val="24"/>
          <w:szCs w:val="24"/>
        </w:rPr>
        <w:t>bedets virke</w:t>
      </w:r>
      <w:r w:rsidR="00C96203">
        <w:rPr>
          <w:rFonts w:ascii="Times New Roman" w:hAnsi="Times New Roman" w:cs="Times New Roman"/>
          <w:sz w:val="24"/>
          <w:szCs w:val="24"/>
        </w:rPr>
        <w:t>.</w:t>
      </w:r>
    </w:p>
    <w:p w14:paraId="3B1E2344" w14:textId="77777777" w:rsidR="00AC24A4" w:rsidRDefault="00AC24A4" w:rsidP="00757CB2">
      <w:pPr>
        <w:spacing w:line="276" w:lineRule="auto"/>
        <w:ind w:left="0"/>
        <w:rPr>
          <w:rFonts w:ascii="Times New Roman" w:hAnsi="Times New Roman" w:cs="Times New Roman"/>
          <w:sz w:val="24"/>
          <w:szCs w:val="24"/>
        </w:rPr>
      </w:pPr>
    </w:p>
    <w:p w14:paraId="2FFAF55B" w14:textId="77777777" w:rsidR="00AC24A4" w:rsidRPr="002F0482" w:rsidRDefault="00AC24A4" w:rsidP="00757CB2">
      <w:pPr>
        <w:spacing w:line="276" w:lineRule="auto"/>
        <w:ind w:left="0"/>
        <w:rPr>
          <w:rFonts w:ascii="Times New Roman" w:hAnsi="Times New Roman" w:cs="Times New Roman"/>
          <w:sz w:val="24"/>
          <w:szCs w:val="24"/>
        </w:rPr>
      </w:pPr>
      <w:r w:rsidRPr="002F0482">
        <w:rPr>
          <w:rFonts w:ascii="Times New Roman" w:hAnsi="Times New Roman" w:cs="Times New Roman"/>
          <w:sz w:val="24"/>
          <w:szCs w:val="24"/>
        </w:rPr>
        <w:t xml:space="preserve">Til stk. 2 </w:t>
      </w:r>
    </w:p>
    <w:p w14:paraId="49A36000" w14:textId="77777777" w:rsidR="00AC24A4" w:rsidRPr="002F0482" w:rsidRDefault="00AC24A4" w:rsidP="00757CB2">
      <w:pPr>
        <w:pStyle w:val="normalind"/>
        <w:spacing w:line="276" w:lineRule="auto"/>
        <w:ind w:firstLine="0"/>
        <w:jc w:val="left"/>
        <w:rPr>
          <w:rFonts w:ascii="Times New Roman" w:hAnsi="Times New Roman" w:cs="Times New Roman"/>
        </w:rPr>
      </w:pPr>
      <w:r>
        <w:rPr>
          <w:rFonts w:ascii="Times New Roman" w:hAnsi="Times New Roman" w:cs="Times New Roman"/>
        </w:rPr>
        <w:t xml:space="preserve">Bestemmelsen </w:t>
      </w:r>
      <w:r w:rsidRPr="002F0482">
        <w:rPr>
          <w:rFonts w:ascii="Times New Roman" w:hAnsi="Times New Roman" w:cs="Times New Roman"/>
        </w:rPr>
        <w:t>foreslå</w:t>
      </w:r>
      <w:r>
        <w:rPr>
          <w:rFonts w:ascii="Times New Roman" w:hAnsi="Times New Roman" w:cs="Times New Roman"/>
        </w:rPr>
        <w:t xml:space="preserve">r, at </w:t>
      </w:r>
      <w:r w:rsidRPr="002F0482">
        <w:rPr>
          <w:rFonts w:ascii="Times New Roman" w:hAnsi="Times New Roman" w:cs="Times New Roman"/>
        </w:rPr>
        <w:t>Naalakkersuisut kan fastsætte regler om opkrævning og betaling af gebyrer fra virksomheder til hel eller delvis dækning af den del af Landslægeembedets vir</w:t>
      </w:r>
      <w:r w:rsidRPr="002F0482">
        <w:rPr>
          <w:rFonts w:ascii="Times New Roman" w:hAnsi="Times New Roman" w:cs="Times New Roman"/>
        </w:rPr>
        <w:t>k</w:t>
      </w:r>
      <w:r w:rsidRPr="002F0482">
        <w:rPr>
          <w:rFonts w:ascii="Times New Roman" w:hAnsi="Times New Roman" w:cs="Times New Roman"/>
        </w:rPr>
        <w:t xml:space="preserve">somhed, som vedrører tilladelser. Gebyrerne skal være aktivitetsbestemte gebyrer til </w:t>
      </w:r>
      <w:r>
        <w:rPr>
          <w:rFonts w:ascii="Times New Roman" w:hAnsi="Times New Roman" w:cs="Times New Roman"/>
        </w:rPr>
        <w:t>Land</w:t>
      </w:r>
      <w:r>
        <w:rPr>
          <w:rFonts w:ascii="Times New Roman" w:hAnsi="Times New Roman" w:cs="Times New Roman"/>
        </w:rPr>
        <w:t>s</w:t>
      </w:r>
      <w:r>
        <w:rPr>
          <w:rFonts w:ascii="Times New Roman" w:hAnsi="Times New Roman" w:cs="Times New Roman"/>
        </w:rPr>
        <w:t>lægee</w:t>
      </w:r>
      <w:r w:rsidRPr="002F0482">
        <w:rPr>
          <w:rFonts w:ascii="Times New Roman" w:hAnsi="Times New Roman" w:cs="Times New Roman"/>
        </w:rPr>
        <w:t xml:space="preserve">mbedets konkrete aktiviteter eller årsgebyrer til </w:t>
      </w:r>
      <w:r>
        <w:rPr>
          <w:rFonts w:ascii="Times New Roman" w:hAnsi="Times New Roman" w:cs="Times New Roman"/>
        </w:rPr>
        <w:t>Landslægee</w:t>
      </w:r>
      <w:r w:rsidRPr="002F0482">
        <w:rPr>
          <w:rFonts w:ascii="Times New Roman" w:hAnsi="Times New Roman" w:cs="Times New Roman"/>
        </w:rPr>
        <w:t>mbedets generelle virkso</w:t>
      </w:r>
      <w:r w:rsidRPr="002F0482">
        <w:rPr>
          <w:rFonts w:ascii="Times New Roman" w:hAnsi="Times New Roman" w:cs="Times New Roman"/>
        </w:rPr>
        <w:t>m</w:t>
      </w:r>
      <w:r w:rsidRPr="002F0482">
        <w:rPr>
          <w:rFonts w:ascii="Times New Roman" w:hAnsi="Times New Roman" w:cs="Times New Roman"/>
        </w:rPr>
        <w:t>hed, herunder overvågning og kontrol</w:t>
      </w:r>
      <w:r w:rsidRPr="000B1EA9">
        <w:rPr>
          <w:rFonts w:ascii="Times New Roman" w:hAnsi="Times New Roman" w:cs="Times New Roman"/>
          <w:color w:val="FF0000"/>
        </w:rPr>
        <w:t xml:space="preserve"> </w:t>
      </w:r>
      <w:r w:rsidRPr="00E23705">
        <w:rPr>
          <w:rFonts w:ascii="Times New Roman" w:hAnsi="Times New Roman" w:cs="Times New Roman"/>
          <w:color w:val="auto"/>
        </w:rPr>
        <w:t>med tilladelser.</w:t>
      </w:r>
    </w:p>
    <w:p w14:paraId="1BA6C5D5" w14:textId="77777777" w:rsidR="00AC24A4" w:rsidRPr="002F0482" w:rsidRDefault="00AC24A4" w:rsidP="00757CB2">
      <w:pPr>
        <w:pStyle w:val="normalind"/>
        <w:spacing w:line="276" w:lineRule="auto"/>
        <w:ind w:firstLine="0"/>
        <w:jc w:val="left"/>
        <w:rPr>
          <w:rFonts w:ascii="Times New Roman" w:hAnsi="Times New Roman" w:cs="Times New Roman"/>
        </w:rPr>
      </w:pPr>
      <w:r w:rsidRPr="002F0482">
        <w:rPr>
          <w:rFonts w:ascii="Times New Roman" w:hAnsi="Times New Roman" w:cs="Times New Roman"/>
        </w:rPr>
        <w:t>Bemyndigelsen vil blive benyttet til at fastsætte dels direkte aktivitetsafhængige gebyrer kny</w:t>
      </w:r>
      <w:r w:rsidRPr="002F0482">
        <w:rPr>
          <w:rFonts w:ascii="Times New Roman" w:hAnsi="Times New Roman" w:cs="Times New Roman"/>
        </w:rPr>
        <w:t>t</w:t>
      </w:r>
      <w:r w:rsidRPr="002F0482">
        <w:rPr>
          <w:rFonts w:ascii="Times New Roman" w:hAnsi="Times New Roman" w:cs="Times New Roman"/>
        </w:rPr>
        <w:t>tet til de enkelte tilladelser, dels årlige gebyrer, som ikke direkte er knyttet til en bestemt till</w:t>
      </w:r>
      <w:r w:rsidRPr="002F0482">
        <w:rPr>
          <w:rFonts w:ascii="Times New Roman" w:hAnsi="Times New Roman" w:cs="Times New Roman"/>
        </w:rPr>
        <w:t>a</w:t>
      </w:r>
      <w:r w:rsidRPr="002F0482">
        <w:rPr>
          <w:rFonts w:ascii="Times New Roman" w:hAnsi="Times New Roman" w:cs="Times New Roman"/>
        </w:rPr>
        <w:t>delse, men som dækker udgifter til myndighedernes generelle og tværgående arbejdsopgaver og processer i forbindelse med udviklingsordningen, der ikke kan gebyrbelægges hver for sig, herunder løbende overvågning og kontrol.</w:t>
      </w:r>
    </w:p>
    <w:p w14:paraId="1D64B060" w14:textId="77777777" w:rsidR="00546D22" w:rsidRDefault="00546D22" w:rsidP="00757CB2">
      <w:pPr>
        <w:pStyle w:val="normalind"/>
        <w:spacing w:line="276" w:lineRule="auto"/>
        <w:ind w:firstLine="0"/>
        <w:jc w:val="left"/>
        <w:rPr>
          <w:rFonts w:ascii="Times New Roman" w:hAnsi="Times New Roman" w:cs="Times New Roman"/>
        </w:rPr>
      </w:pPr>
    </w:p>
    <w:p w14:paraId="68002A15" w14:textId="4C425E97" w:rsidR="00AC24A4" w:rsidRPr="002F0482" w:rsidRDefault="00AC24A4" w:rsidP="00757CB2">
      <w:pPr>
        <w:pStyle w:val="normalind"/>
        <w:spacing w:line="276" w:lineRule="auto"/>
        <w:ind w:firstLine="0"/>
        <w:jc w:val="left"/>
        <w:rPr>
          <w:rFonts w:ascii="Times New Roman" w:hAnsi="Times New Roman" w:cs="Times New Roman"/>
        </w:rPr>
      </w:pPr>
      <w:r w:rsidRPr="002F0482">
        <w:rPr>
          <w:rFonts w:ascii="Times New Roman" w:hAnsi="Times New Roman" w:cs="Times New Roman"/>
        </w:rPr>
        <w:t xml:space="preserve">Landslægeembedets generelle virksomhed på dette område består i løbende opgaver, såsom sagsbehandling ved virksomhedens ansøgninger om ændringer af tilladelsen samt individuel vejledning af virksomheden. Herudover vil der være generel vejledning på </w:t>
      </w:r>
      <w:r w:rsidR="00D76C67">
        <w:rPr>
          <w:rFonts w:ascii="Times New Roman" w:hAnsi="Times New Roman" w:cs="Times New Roman"/>
        </w:rPr>
        <w:t>Landslægeemb</w:t>
      </w:r>
      <w:r w:rsidR="00D76C67">
        <w:rPr>
          <w:rFonts w:ascii="Times New Roman" w:hAnsi="Times New Roman" w:cs="Times New Roman"/>
        </w:rPr>
        <w:t>e</w:t>
      </w:r>
      <w:r w:rsidR="00D76C67">
        <w:rPr>
          <w:rFonts w:ascii="Times New Roman" w:hAnsi="Times New Roman" w:cs="Times New Roman"/>
        </w:rPr>
        <w:t>dets</w:t>
      </w:r>
      <w:r w:rsidR="00D76C67" w:rsidRPr="002F0482">
        <w:rPr>
          <w:rFonts w:ascii="Times New Roman" w:hAnsi="Times New Roman" w:cs="Times New Roman"/>
        </w:rPr>
        <w:t xml:space="preserve"> </w:t>
      </w:r>
      <w:r w:rsidRPr="002F0482">
        <w:rPr>
          <w:rFonts w:ascii="Times New Roman" w:hAnsi="Times New Roman" w:cs="Times New Roman"/>
        </w:rPr>
        <w:t xml:space="preserve">hjemmeside og praksisafklaring i forbindelse med vejledningen, opdatering af procedurer samt </w:t>
      </w:r>
      <w:r w:rsidR="00D76C67">
        <w:rPr>
          <w:rFonts w:ascii="Times New Roman" w:hAnsi="Times New Roman" w:cs="Times New Roman"/>
        </w:rPr>
        <w:t>oplæring</w:t>
      </w:r>
      <w:r w:rsidR="00D76C67" w:rsidRPr="002F0482">
        <w:rPr>
          <w:rFonts w:ascii="Times New Roman" w:hAnsi="Times New Roman" w:cs="Times New Roman"/>
        </w:rPr>
        <w:t xml:space="preserve"> </w:t>
      </w:r>
      <w:r w:rsidRPr="002F0482">
        <w:rPr>
          <w:rFonts w:ascii="Times New Roman" w:hAnsi="Times New Roman" w:cs="Times New Roman"/>
        </w:rPr>
        <w:t xml:space="preserve">af nye og nuværende medarbejdere. </w:t>
      </w:r>
    </w:p>
    <w:p w14:paraId="695B6030" w14:textId="7ADBD7A4" w:rsidR="00AC24A4" w:rsidRPr="002F0482" w:rsidRDefault="00AC24A4" w:rsidP="00757CB2">
      <w:pPr>
        <w:pStyle w:val="normalind"/>
        <w:spacing w:line="276" w:lineRule="auto"/>
        <w:ind w:firstLine="0"/>
        <w:jc w:val="left"/>
        <w:rPr>
          <w:rFonts w:ascii="Times New Roman" w:hAnsi="Times New Roman" w:cs="Times New Roman"/>
        </w:rPr>
      </w:pPr>
      <w:r w:rsidRPr="002F0482">
        <w:rPr>
          <w:rFonts w:ascii="Times New Roman" w:hAnsi="Times New Roman" w:cs="Times New Roman"/>
        </w:rPr>
        <w:t xml:space="preserve">Disse nye opgaver skønnes at kræve </w:t>
      </w:r>
      <w:r w:rsidR="00546D22">
        <w:rPr>
          <w:rFonts w:ascii="Times New Roman" w:hAnsi="Times New Roman" w:cs="Times New Roman"/>
        </w:rPr>
        <w:t>1</w:t>
      </w:r>
      <w:r w:rsidRPr="002F0482">
        <w:rPr>
          <w:rFonts w:ascii="Times New Roman" w:hAnsi="Times New Roman" w:cs="Times New Roman"/>
        </w:rPr>
        <w:t xml:space="preserve"> ekstra medarbejder i Landslægeembedet.</w:t>
      </w:r>
    </w:p>
    <w:p w14:paraId="7185F53D" w14:textId="5EA4EEF4" w:rsidR="00AC24A4" w:rsidRDefault="00AC24A4" w:rsidP="00757CB2">
      <w:pPr>
        <w:pStyle w:val="normalind"/>
        <w:spacing w:line="276" w:lineRule="auto"/>
        <w:ind w:firstLine="0"/>
        <w:jc w:val="left"/>
        <w:rPr>
          <w:rFonts w:ascii="Times New Roman" w:hAnsi="Times New Roman" w:cs="Times New Roman"/>
        </w:rPr>
      </w:pPr>
      <w:r w:rsidRPr="002F0482">
        <w:rPr>
          <w:rFonts w:ascii="Times New Roman" w:hAnsi="Times New Roman" w:cs="Times New Roman"/>
        </w:rPr>
        <w:t>Ovennævnte beskrivelse er dog ikke en udtømmende angivelse af de aktiviteter, som kan g</w:t>
      </w:r>
      <w:r w:rsidRPr="002F0482">
        <w:rPr>
          <w:rFonts w:ascii="Times New Roman" w:hAnsi="Times New Roman" w:cs="Times New Roman"/>
        </w:rPr>
        <w:t>e</w:t>
      </w:r>
      <w:r w:rsidRPr="002F0482">
        <w:rPr>
          <w:rFonts w:ascii="Times New Roman" w:hAnsi="Times New Roman" w:cs="Times New Roman"/>
        </w:rPr>
        <w:t>byrbelægges, idet der løbende kan opstå behov for konkrete justeringer inden for bemyndige</w:t>
      </w:r>
      <w:r w:rsidRPr="002F0482">
        <w:rPr>
          <w:rFonts w:ascii="Times New Roman" w:hAnsi="Times New Roman" w:cs="Times New Roman"/>
        </w:rPr>
        <w:t>l</w:t>
      </w:r>
      <w:r w:rsidRPr="002F0482">
        <w:rPr>
          <w:rFonts w:ascii="Times New Roman" w:hAnsi="Times New Roman" w:cs="Times New Roman"/>
        </w:rPr>
        <w:t>sen.</w:t>
      </w:r>
    </w:p>
    <w:p w14:paraId="786FE9EB" w14:textId="108DD36D" w:rsidR="00690CCF" w:rsidRPr="00757CB2" w:rsidRDefault="00690CCF" w:rsidP="00757CB2">
      <w:pPr>
        <w:pStyle w:val="normalind"/>
        <w:spacing w:line="276" w:lineRule="auto"/>
        <w:ind w:firstLine="0"/>
        <w:jc w:val="left"/>
        <w:rPr>
          <w:rFonts w:ascii="Times New Roman" w:hAnsi="Times New Roman"/>
        </w:rPr>
      </w:pPr>
    </w:p>
    <w:p w14:paraId="2BF4BC4A" w14:textId="193914DA" w:rsidR="00690CCF" w:rsidRPr="00757CB2" w:rsidRDefault="00690CCF" w:rsidP="00757CB2">
      <w:pPr>
        <w:pStyle w:val="normalind"/>
        <w:spacing w:line="276" w:lineRule="auto"/>
        <w:ind w:firstLine="0"/>
        <w:jc w:val="center"/>
        <w:rPr>
          <w:rFonts w:ascii="Times New Roman" w:hAnsi="Times New Roman"/>
          <w:i/>
        </w:rPr>
      </w:pPr>
      <w:r w:rsidRPr="00757CB2">
        <w:rPr>
          <w:rFonts w:ascii="Times New Roman" w:hAnsi="Times New Roman"/>
          <w:i/>
        </w:rPr>
        <w:t>Til § 4</w:t>
      </w:r>
    </w:p>
    <w:p w14:paraId="3DE19C3A" w14:textId="14694A86" w:rsidR="00690CCF" w:rsidRPr="00757CB2" w:rsidRDefault="00690CCF" w:rsidP="00757CB2">
      <w:pPr>
        <w:pStyle w:val="normalind"/>
        <w:spacing w:line="276" w:lineRule="auto"/>
        <w:ind w:firstLine="0"/>
        <w:jc w:val="center"/>
        <w:rPr>
          <w:rFonts w:ascii="Times New Roman" w:hAnsi="Times New Roman"/>
        </w:rPr>
      </w:pPr>
    </w:p>
    <w:p w14:paraId="76F3AEC0" w14:textId="29CBC112" w:rsidR="00E56E3D" w:rsidRDefault="003D1C04" w:rsidP="008D5FF9">
      <w:pPr>
        <w:spacing w:line="276" w:lineRule="auto"/>
        <w:ind w:left="0"/>
        <w:jc w:val="both"/>
        <w:rPr>
          <w:rFonts w:ascii="Times New Roman" w:eastAsia="Times New Roman" w:hAnsi="Times New Roman" w:cs="Times New Roman"/>
          <w:sz w:val="24"/>
          <w:szCs w:val="24"/>
          <w:lang w:eastAsia="da-DK"/>
        </w:rPr>
      </w:pPr>
      <w:r w:rsidRPr="00B13F8C">
        <w:rPr>
          <w:rFonts w:ascii="Times New Roman" w:eastAsia="Times New Roman" w:hAnsi="Times New Roman" w:cs="Times New Roman"/>
          <w:sz w:val="24"/>
          <w:szCs w:val="24"/>
          <w:lang w:eastAsia="da-DK"/>
        </w:rPr>
        <w:t>Bestemmelsen hjemler, at der kan udstedes bekendtgørelser, som regulerer tilsyn af overho</w:t>
      </w:r>
      <w:r w:rsidRPr="00B13F8C">
        <w:rPr>
          <w:rFonts w:ascii="Times New Roman" w:eastAsia="Times New Roman" w:hAnsi="Times New Roman" w:cs="Times New Roman"/>
          <w:sz w:val="24"/>
          <w:szCs w:val="24"/>
          <w:lang w:eastAsia="da-DK"/>
        </w:rPr>
        <w:t>l</w:t>
      </w:r>
      <w:r w:rsidRPr="00B13F8C">
        <w:rPr>
          <w:rFonts w:ascii="Times New Roman" w:eastAsia="Times New Roman" w:hAnsi="Times New Roman" w:cs="Times New Roman"/>
          <w:sz w:val="24"/>
          <w:szCs w:val="24"/>
          <w:lang w:eastAsia="da-DK"/>
        </w:rPr>
        <w:t>delse af § 1 og § 2, stk. 1</w:t>
      </w:r>
      <w:r w:rsidR="00C42A8A">
        <w:rPr>
          <w:rFonts w:ascii="Times New Roman" w:eastAsia="Times New Roman" w:hAnsi="Times New Roman" w:cs="Times New Roman"/>
          <w:sz w:val="24"/>
          <w:szCs w:val="24"/>
          <w:lang w:eastAsia="da-DK"/>
        </w:rPr>
        <w:t>-2</w:t>
      </w:r>
      <w:r>
        <w:rPr>
          <w:rFonts w:ascii="Times New Roman" w:eastAsia="Times New Roman" w:hAnsi="Times New Roman" w:cs="Times New Roman"/>
          <w:sz w:val="24"/>
          <w:szCs w:val="24"/>
          <w:lang w:eastAsia="da-DK"/>
        </w:rPr>
        <w:t>. Det hjemles desuden, at d</w:t>
      </w:r>
      <w:r w:rsidRPr="00B13F8C">
        <w:rPr>
          <w:rFonts w:ascii="Times New Roman" w:eastAsia="Times New Roman" w:hAnsi="Times New Roman" w:cs="Times New Roman"/>
          <w:sz w:val="24"/>
          <w:szCs w:val="24"/>
          <w:lang w:eastAsia="da-DK"/>
        </w:rPr>
        <w:t xml:space="preserve">en tilsynsførende myndighed </w:t>
      </w:r>
      <w:r>
        <w:rPr>
          <w:rFonts w:ascii="Times New Roman" w:eastAsia="Times New Roman" w:hAnsi="Times New Roman" w:cs="Times New Roman"/>
          <w:sz w:val="24"/>
          <w:szCs w:val="24"/>
          <w:lang w:eastAsia="da-DK"/>
        </w:rPr>
        <w:t xml:space="preserve">kan få </w:t>
      </w:r>
      <w:r w:rsidRPr="00B13F8C">
        <w:rPr>
          <w:rFonts w:ascii="Times New Roman" w:eastAsia="Times New Roman" w:hAnsi="Times New Roman" w:cs="Times New Roman"/>
          <w:sz w:val="24"/>
          <w:szCs w:val="24"/>
          <w:lang w:eastAsia="da-DK"/>
        </w:rPr>
        <w:t>uhindret adgang til de lokaler, beholdninger, bøger</w:t>
      </w:r>
      <w:r>
        <w:rPr>
          <w:rFonts w:ascii="Times New Roman" w:eastAsia="Times New Roman" w:hAnsi="Times New Roman" w:cs="Times New Roman"/>
          <w:sz w:val="24"/>
          <w:szCs w:val="24"/>
          <w:lang w:eastAsia="da-DK"/>
        </w:rPr>
        <w:t>,</w:t>
      </w:r>
      <w:r w:rsidRPr="00B13F8C">
        <w:rPr>
          <w:rFonts w:ascii="Times New Roman" w:eastAsia="Times New Roman" w:hAnsi="Times New Roman" w:cs="Times New Roman"/>
          <w:sz w:val="24"/>
          <w:szCs w:val="24"/>
          <w:lang w:eastAsia="da-DK"/>
        </w:rPr>
        <w:t xml:space="preserve"> forretningspapirer</w:t>
      </w:r>
      <w:r>
        <w:rPr>
          <w:rFonts w:ascii="Times New Roman" w:eastAsia="Times New Roman" w:hAnsi="Times New Roman" w:cs="Times New Roman"/>
          <w:sz w:val="24"/>
          <w:szCs w:val="24"/>
          <w:lang w:eastAsia="da-DK"/>
        </w:rPr>
        <w:t xml:space="preserve"> og alle andre inform</w:t>
      </w:r>
      <w:r>
        <w:rPr>
          <w:rFonts w:ascii="Times New Roman" w:eastAsia="Times New Roman" w:hAnsi="Times New Roman" w:cs="Times New Roman"/>
          <w:sz w:val="24"/>
          <w:szCs w:val="24"/>
          <w:lang w:eastAsia="da-DK"/>
        </w:rPr>
        <w:t>a</w:t>
      </w:r>
      <w:r>
        <w:rPr>
          <w:rFonts w:ascii="Times New Roman" w:eastAsia="Times New Roman" w:hAnsi="Times New Roman" w:cs="Times New Roman"/>
          <w:sz w:val="24"/>
          <w:szCs w:val="24"/>
          <w:lang w:eastAsia="da-DK"/>
        </w:rPr>
        <w:lastRenderedPageBreak/>
        <w:t>tioner</w:t>
      </w:r>
      <w:r w:rsidRPr="00B13F8C">
        <w:rPr>
          <w:rFonts w:ascii="Times New Roman" w:eastAsia="Times New Roman" w:hAnsi="Times New Roman" w:cs="Times New Roman"/>
          <w:sz w:val="24"/>
          <w:szCs w:val="24"/>
          <w:lang w:eastAsia="da-DK"/>
        </w:rPr>
        <w:t xml:space="preserve">, som </w:t>
      </w:r>
      <w:r>
        <w:rPr>
          <w:rFonts w:ascii="Times New Roman" w:eastAsia="Times New Roman" w:hAnsi="Times New Roman" w:cs="Times New Roman"/>
          <w:sz w:val="24"/>
          <w:szCs w:val="24"/>
          <w:lang w:eastAsia="da-DK"/>
        </w:rPr>
        <w:t>er nødvendige for gennemførslen af tilsynet</w:t>
      </w:r>
      <w:r w:rsidRPr="00B13F8C">
        <w:rPr>
          <w:rFonts w:ascii="Times New Roman" w:eastAsia="Times New Roman" w:hAnsi="Times New Roman" w:cs="Times New Roman"/>
          <w:sz w:val="24"/>
          <w:szCs w:val="24"/>
          <w:lang w:eastAsia="da-DK"/>
        </w:rPr>
        <w:t xml:space="preserve">. </w:t>
      </w:r>
      <w:r>
        <w:rPr>
          <w:rFonts w:ascii="Times New Roman" w:eastAsia="Times New Roman" w:hAnsi="Times New Roman" w:cs="Times New Roman"/>
          <w:sz w:val="24"/>
          <w:szCs w:val="24"/>
          <w:lang w:eastAsia="da-DK"/>
        </w:rPr>
        <w:t>Der vil i disse tilfælde være pligt for p</w:t>
      </w:r>
      <w:r w:rsidRPr="00B13F8C">
        <w:rPr>
          <w:rFonts w:ascii="Times New Roman" w:eastAsia="Times New Roman" w:hAnsi="Times New Roman" w:cs="Times New Roman"/>
          <w:sz w:val="24"/>
          <w:szCs w:val="24"/>
          <w:lang w:eastAsia="da-DK"/>
        </w:rPr>
        <w:t xml:space="preserve">ersonen, virksomhedens indehaver, laboratoriets eller institutionens leder </w:t>
      </w:r>
      <w:r>
        <w:rPr>
          <w:rFonts w:ascii="Times New Roman" w:eastAsia="Times New Roman" w:hAnsi="Times New Roman" w:cs="Times New Roman"/>
          <w:sz w:val="24"/>
          <w:szCs w:val="24"/>
          <w:lang w:eastAsia="da-DK"/>
        </w:rPr>
        <w:t xml:space="preserve">til </w:t>
      </w:r>
      <w:r w:rsidRPr="00B13F8C">
        <w:rPr>
          <w:rFonts w:ascii="Times New Roman" w:eastAsia="Times New Roman" w:hAnsi="Times New Roman" w:cs="Times New Roman"/>
          <w:sz w:val="24"/>
          <w:szCs w:val="24"/>
          <w:lang w:eastAsia="da-DK"/>
        </w:rPr>
        <w:t xml:space="preserve">at udlevere de oplysninger vedrørende virksomheden med euforiserende stoffer, som den tilsynsførende myndighed måtte </w:t>
      </w:r>
      <w:r>
        <w:rPr>
          <w:rFonts w:ascii="Times New Roman" w:eastAsia="Times New Roman" w:hAnsi="Times New Roman" w:cs="Times New Roman"/>
          <w:sz w:val="24"/>
          <w:szCs w:val="24"/>
          <w:lang w:eastAsia="da-DK"/>
        </w:rPr>
        <w:t>have brug for til tilsynets gennemførelse</w:t>
      </w:r>
      <w:r w:rsidRPr="00B13F8C">
        <w:rPr>
          <w:rFonts w:ascii="Times New Roman" w:eastAsia="Times New Roman" w:hAnsi="Times New Roman" w:cs="Times New Roman"/>
          <w:sz w:val="24"/>
          <w:szCs w:val="24"/>
          <w:lang w:eastAsia="da-DK"/>
        </w:rPr>
        <w:t>.</w:t>
      </w:r>
    </w:p>
    <w:p w14:paraId="4B58153B" w14:textId="77777777" w:rsidR="00D76C67" w:rsidRPr="002F0482" w:rsidRDefault="00D76C67" w:rsidP="008D5FF9">
      <w:pPr>
        <w:spacing w:line="276" w:lineRule="auto"/>
        <w:ind w:left="0"/>
        <w:jc w:val="both"/>
        <w:rPr>
          <w:rFonts w:ascii="Times New Roman" w:eastAsia="Times New Roman" w:hAnsi="Times New Roman" w:cs="Times New Roman"/>
          <w:color w:val="000000"/>
          <w:sz w:val="24"/>
          <w:szCs w:val="24"/>
          <w:lang w:eastAsia="da-DK"/>
        </w:rPr>
      </w:pPr>
    </w:p>
    <w:p w14:paraId="4EC159D2" w14:textId="7DFBDB31" w:rsidR="00DA701B" w:rsidRPr="002F0482" w:rsidRDefault="001371DC" w:rsidP="0039792A">
      <w:pPr>
        <w:spacing w:line="276" w:lineRule="auto"/>
        <w:ind w:left="0"/>
        <w:jc w:val="center"/>
        <w:rPr>
          <w:rFonts w:ascii="Times New Roman" w:hAnsi="Times New Roman" w:cs="Times New Roman"/>
          <w:sz w:val="24"/>
          <w:szCs w:val="24"/>
        </w:rPr>
      </w:pPr>
      <w:r w:rsidRPr="002F0482">
        <w:rPr>
          <w:rFonts w:ascii="Times New Roman" w:hAnsi="Times New Roman" w:cs="Times New Roman"/>
          <w:i/>
          <w:sz w:val="24"/>
          <w:szCs w:val="24"/>
        </w:rPr>
        <w:t xml:space="preserve">Til § </w:t>
      </w:r>
      <w:r w:rsidR="00690CCF">
        <w:rPr>
          <w:rFonts w:ascii="Times New Roman" w:hAnsi="Times New Roman" w:cs="Times New Roman"/>
          <w:i/>
          <w:sz w:val="24"/>
          <w:szCs w:val="24"/>
        </w:rPr>
        <w:t>5</w:t>
      </w:r>
    </w:p>
    <w:p w14:paraId="5F7FD047" w14:textId="77777777" w:rsidR="00DC1CF6" w:rsidRPr="002F0482" w:rsidRDefault="00DC1CF6" w:rsidP="008D5FF9">
      <w:pPr>
        <w:spacing w:line="276" w:lineRule="auto"/>
        <w:ind w:left="0"/>
        <w:jc w:val="both"/>
        <w:rPr>
          <w:rFonts w:ascii="Times New Roman" w:hAnsi="Times New Roman" w:cs="Times New Roman"/>
          <w:sz w:val="24"/>
          <w:szCs w:val="24"/>
        </w:rPr>
      </w:pPr>
    </w:p>
    <w:p w14:paraId="0547E1C0" w14:textId="121A40D7" w:rsidR="003E3B12" w:rsidRDefault="003E3B12" w:rsidP="008D5FF9">
      <w:pPr>
        <w:pStyle w:val="normalind9"/>
        <w:spacing w:line="276" w:lineRule="auto"/>
        <w:ind w:firstLine="0"/>
        <w:rPr>
          <w:rFonts w:ascii="Times New Roman" w:hAnsi="Times New Roman" w:cs="Times New Roman"/>
          <w:iCs/>
          <w:color w:val="auto"/>
        </w:rPr>
      </w:pPr>
      <w:r>
        <w:rPr>
          <w:rFonts w:ascii="Times New Roman" w:hAnsi="Times New Roman" w:cs="Times New Roman"/>
          <w:iCs/>
          <w:color w:val="auto"/>
        </w:rPr>
        <w:t>Til stk. 1.</w:t>
      </w:r>
    </w:p>
    <w:p w14:paraId="45661A72" w14:textId="4D9CE70C" w:rsidR="00DC1CF6" w:rsidRPr="002F0482" w:rsidRDefault="00E14ADD" w:rsidP="008D5FF9">
      <w:pPr>
        <w:pStyle w:val="normalind9"/>
        <w:spacing w:line="276" w:lineRule="auto"/>
        <w:ind w:firstLine="0"/>
        <w:rPr>
          <w:rFonts w:ascii="Times New Roman" w:hAnsi="Times New Roman" w:cs="Times New Roman"/>
        </w:rPr>
      </w:pPr>
      <w:r w:rsidRPr="002F0482">
        <w:rPr>
          <w:rFonts w:ascii="Times New Roman" w:hAnsi="Times New Roman" w:cs="Times New Roman"/>
          <w:iCs/>
          <w:color w:val="auto"/>
        </w:rPr>
        <w:t xml:space="preserve">Overtrædelse af denne Inatsisartutlov </w:t>
      </w:r>
      <w:r w:rsidR="0038698B">
        <w:rPr>
          <w:rFonts w:ascii="Times New Roman" w:hAnsi="Times New Roman" w:cs="Times New Roman"/>
          <w:iCs/>
          <w:color w:val="auto"/>
        </w:rPr>
        <w:t xml:space="preserve">kan </w:t>
      </w:r>
      <w:r w:rsidRPr="002F0482">
        <w:rPr>
          <w:rFonts w:ascii="Times New Roman" w:hAnsi="Times New Roman" w:cs="Times New Roman"/>
          <w:iCs/>
          <w:color w:val="auto"/>
        </w:rPr>
        <w:t xml:space="preserve">medføre foranstaltning efter </w:t>
      </w:r>
      <w:r w:rsidR="00DF632D" w:rsidRPr="002F0482">
        <w:rPr>
          <w:rFonts w:ascii="Times New Roman" w:hAnsi="Times New Roman" w:cs="Times New Roman"/>
          <w:iCs/>
          <w:color w:val="auto"/>
        </w:rPr>
        <w:t>Kriminallov for Grø</w:t>
      </w:r>
      <w:r w:rsidR="00DF632D" w:rsidRPr="002F0482">
        <w:rPr>
          <w:rFonts w:ascii="Times New Roman" w:hAnsi="Times New Roman" w:cs="Times New Roman"/>
          <w:iCs/>
          <w:color w:val="auto"/>
        </w:rPr>
        <w:t>n</w:t>
      </w:r>
      <w:r w:rsidR="00DF632D" w:rsidRPr="002F0482">
        <w:rPr>
          <w:rFonts w:ascii="Times New Roman" w:hAnsi="Times New Roman" w:cs="Times New Roman"/>
          <w:iCs/>
          <w:color w:val="auto"/>
        </w:rPr>
        <w:t>land</w:t>
      </w:r>
      <w:r w:rsidRPr="002F0482">
        <w:rPr>
          <w:rFonts w:ascii="Times New Roman" w:hAnsi="Times New Roman" w:cs="Times New Roman"/>
          <w:iCs/>
          <w:color w:val="auto"/>
        </w:rPr>
        <w:t>.</w:t>
      </w:r>
      <w:r w:rsidR="00542639" w:rsidRPr="002F0482">
        <w:rPr>
          <w:rStyle w:val="Sidetal"/>
          <w:rFonts w:ascii="Times New Roman" w:hAnsi="Times New Roman" w:cs="Times New Roman"/>
          <w:color w:val="auto"/>
        </w:rPr>
        <w:t xml:space="preserve"> </w:t>
      </w:r>
    </w:p>
    <w:p w14:paraId="4A8EAAF4" w14:textId="5E413791" w:rsidR="003E3B12" w:rsidRDefault="003E3B12" w:rsidP="008D5FF9">
      <w:pPr>
        <w:pStyle w:val="normalind9"/>
        <w:spacing w:line="276" w:lineRule="auto"/>
        <w:ind w:firstLine="0"/>
        <w:rPr>
          <w:rStyle w:val="Sidetal"/>
          <w:rFonts w:ascii="Times New Roman" w:hAnsi="Times New Roman" w:cs="Times New Roman"/>
        </w:rPr>
      </w:pPr>
    </w:p>
    <w:p w14:paraId="24F5DC7A" w14:textId="3B6F0B6B" w:rsidR="00AC24A4" w:rsidRDefault="00AC24A4" w:rsidP="008D5FF9">
      <w:pPr>
        <w:pStyle w:val="normalind9"/>
        <w:spacing w:line="276" w:lineRule="auto"/>
        <w:ind w:firstLine="0"/>
        <w:rPr>
          <w:rStyle w:val="Sidetal"/>
          <w:rFonts w:ascii="Times New Roman" w:hAnsi="Times New Roman" w:cs="Times New Roman"/>
        </w:rPr>
      </w:pPr>
      <w:r>
        <w:rPr>
          <w:rStyle w:val="Sidetal"/>
          <w:rFonts w:ascii="Times New Roman" w:hAnsi="Times New Roman" w:cs="Times New Roman"/>
        </w:rPr>
        <w:t>Til stk. 2.</w:t>
      </w:r>
    </w:p>
    <w:p w14:paraId="0717E9BF" w14:textId="3E95C2DE" w:rsidR="00AC24A4" w:rsidRDefault="00AC24A4" w:rsidP="008D5FF9">
      <w:pPr>
        <w:pStyle w:val="normalind9"/>
        <w:spacing w:line="276" w:lineRule="auto"/>
        <w:ind w:firstLine="0"/>
        <w:rPr>
          <w:rStyle w:val="Sidetal"/>
          <w:rFonts w:ascii="Times New Roman" w:hAnsi="Times New Roman" w:cs="Times New Roman"/>
        </w:rPr>
      </w:pPr>
      <w:r>
        <w:rPr>
          <w:rStyle w:val="Sidetal"/>
          <w:rFonts w:ascii="Times New Roman" w:hAnsi="Times New Roman" w:cs="Times New Roman"/>
        </w:rPr>
        <w:t>Overtrædelser af forskrifter udstedt i medfør af denne Inatsisartutlov</w:t>
      </w:r>
      <w:r w:rsidR="00950105">
        <w:rPr>
          <w:rStyle w:val="Sidetal"/>
          <w:rFonts w:ascii="Times New Roman" w:hAnsi="Times New Roman" w:cs="Times New Roman"/>
        </w:rPr>
        <w:t xml:space="preserve"> </w:t>
      </w:r>
      <w:r w:rsidR="0038698B">
        <w:rPr>
          <w:rStyle w:val="Sidetal"/>
          <w:rFonts w:ascii="Times New Roman" w:hAnsi="Times New Roman" w:cs="Times New Roman"/>
        </w:rPr>
        <w:t>kan</w:t>
      </w:r>
      <w:r w:rsidR="00E048A4">
        <w:rPr>
          <w:rStyle w:val="Sidetal"/>
          <w:rFonts w:ascii="Times New Roman" w:hAnsi="Times New Roman" w:cs="Times New Roman"/>
        </w:rPr>
        <w:t xml:space="preserve"> </w:t>
      </w:r>
      <w:r w:rsidR="00950105">
        <w:rPr>
          <w:rStyle w:val="Sidetal"/>
          <w:rFonts w:ascii="Times New Roman" w:hAnsi="Times New Roman" w:cs="Times New Roman"/>
        </w:rPr>
        <w:t>ligeledes medføre foranstaltninger efter Kriminallov for Grønland.</w:t>
      </w:r>
    </w:p>
    <w:p w14:paraId="2E15E934" w14:textId="77777777" w:rsidR="00AC24A4" w:rsidRDefault="00AC24A4" w:rsidP="008D5FF9">
      <w:pPr>
        <w:pStyle w:val="normalind9"/>
        <w:spacing w:line="276" w:lineRule="auto"/>
        <w:ind w:firstLine="0"/>
        <w:rPr>
          <w:rStyle w:val="Sidetal"/>
          <w:rFonts w:ascii="Times New Roman" w:hAnsi="Times New Roman" w:cs="Times New Roman"/>
        </w:rPr>
      </w:pPr>
    </w:p>
    <w:p w14:paraId="06FDA938" w14:textId="285BDFC8" w:rsidR="003E3B12" w:rsidRDefault="003E3B12" w:rsidP="008D5FF9">
      <w:pPr>
        <w:pStyle w:val="normalind9"/>
        <w:spacing w:line="276" w:lineRule="auto"/>
        <w:ind w:firstLine="0"/>
        <w:rPr>
          <w:rStyle w:val="Sidetal"/>
          <w:rFonts w:ascii="Times New Roman" w:hAnsi="Times New Roman" w:cs="Times New Roman"/>
        </w:rPr>
      </w:pPr>
      <w:r>
        <w:rPr>
          <w:rStyle w:val="Sidetal"/>
          <w:rFonts w:ascii="Times New Roman" w:hAnsi="Times New Roman" w:cs="Times New Roman"/>
        </w:rPr>
        <w:t xml:space="preserve">Til stk. 3. </w:t>
      </w:r>
    </w:p>
    <w:p w14:paraId="376B35DD" w14:textId="043551A8" w:rsidR="00F45EF4" w:rsidRDefault="003E3B12" w:rsidP="008D5FF9">
      <w:pPr>
        <w:pStyle w:val="normalind9"/>
        <w:spacing w:line="276" w:lineRule="auto"/>
        <w:ind w:firstLine="0"/>
        <w:rPr>
          <w:rFonts w:ascii="Times New Roman" w:hAnsi="Times New Roman" w:cs="Times New Roman"/>
          <w:iCs/>
          <w:color w:val="auto"/>
        </w:rPr>
      </w:pPr>
      <w:r>
        <w:rPr>
          <w:rStyle w:val="Sidetal"/>
          <w:rFonts w:ascii="Times New Roman" w:hAnsi="Times New Roman" w:cs="Times New Roman"/>
        </w:rPr>
        <w:t xml:space="preserve">En overtrædelse </w:t>
      </w:r>
      <w:r w:rsidRPr="002F0482">
        <w:rPr>
          <w:rFonts w:ascii="Times New Roman" w:hAnsi="Times New Roman" w:cs="Times New Roman"/>
          <w:iCs/>
          <w:color w:val="auto"/>
        </w:rPr>
        <w:t>af denne Inatsisartutlov eller i medfør af dennes udfærdigede forskrifter</w:t>
      </w:r>
      <w:r>
        <w:rPr>
          <w:rFonts w:ascii="Times New Roman" w:hAnsi="Times New Roman" w:cs="Times New Roman"/>
          <w:iCs/>
          <w:color w:val="auto"/>
        </w:rPr>
        <w:t xml:space="preserve"> fo</w:t>
      </w:r>
      <w:r>
        <w:rPr>
          <w:rFonts w:ascii="Times New Roman" w:hAnsi="Times New Roman" w:cs="Times New Roman"/>
          <w:iCs/>
          <w:color w:val="auto"/>
        </w:rPr>
        <w:t>r</w:t>
      </w:r>
      <w:r>
        <w:rPr>
          <w:rFonts w:ascii="Times New Roman" w:hAnsi="Times New Roman" w:cs="Times New Roman"/>
          <w:iCs/>
          <w:color w:val="auto"/>
        </w:rPr>
        <w:t xml:space="preserve">slås også at kunne medføre bødepålæg for juridiske personer. </w:t>
      </w:r>
    </w:p>
    <w:p w14:paraId="14DCE0ED" w14:textId="78ADB145" w:rsidR="00F2329B" w:rsidRPr="00757CB2" w:rsidRDefault="00F2329B" w:rsidP="008D5FF9">
      <w:pPr>
        <w:pStyle w:val="normalind9"/>
        <w:spacing w:line="276" w:lineRule="auto"/>
        <w:ind w:firstLine="0"/>
        <w:rPr>
          <w:rStyle w:val="Sidetal"/>
          <w:rFonts w:ascii="Times New Roman" w:hAnsi="Times New Roman"/>
        </w:rPr>
      </w:pPr>
    </w:p>
    <w:p w14:paraId="3A76A7B7" w14:textId="6597D9D4" w:rsidR="00F2329B" w:rsidRDefault="00F2329B" w:rsidP="008D5FF9">
      <w:pPr>
        <w:pStyle w:val="normalind9"/>
        <w:spacing w:line="276" w:lineRule="auto"/>
        <w:ind w:firstLine="0"/>
        <w:rPr>
          <w:rStyle w:val="Sidetal"/>
          <w:rFonts w:ascii="Times New Roman" w:hAnsi="Times New Roman" w:cs="Times New Roman"/>
        </w:rPr>
      </w:pPr>
      <w:r>
        <w:rPr>
          <w:rStyle w:val="Sidetal"/>
          <w:rFonts w:ascii="Times New Roman" w:hAnsi="Times New Roman" w:cs="Times New Roman"/>
        </w:rPr>
        <w:t xml:space="preserve">Til stk. </w:t>
      </w:r>
      <w:r w:rsidR="00DD4E9E">
        <w:rPr>
          <w:rStyle w:val="Sidetal"/>
          <w:rFonts w:ascii="Times New Roman" w:hAnsi="Times New Roman" w:cs="Times New Roman"/>
        </w:rPr>
        <w:t>4</w:t>
      </w:r>
      <w:r>
        <w:rPr>
          <w:rStyle w:val="Sidetal"/>
          <w:rFonts w:ascii="Times New Roman" w:hAnsi="Times New Roman" w:cs="Times New Roman"/>
        </w:rPr>
        <w:t>.</w:t>
      </w:r>
    </w:p>
    <w:p w14:paraId="2FDD8AFE" w14:textId="77777777" w:rsidR="00546D22" w:rsidRDefault="00473731" w:rsidP="008D5FF9">
      <w:pPr>
        <w:pStyle w:val="normalind9"/>
        <w:spacing w:line="276" w:lineRule="auto"/>
        <w:ind w:firstLine="0"/>
        <w:rPr>
          <w:rStyle w:val="Sidetal"/>
          <w:rFonts w:ascii="Times New Roman" w:hAnsi="Times New Roman" w:cs="Times New Roman"/>
        </w:rPr>
      </w:pPr>
      <w:r w:rsidRPr="002F0482">
        <w:rPr>
          <w:rStyle w:val="Sidetal"/>
          <w:rFonts w:ascii="Times New Roman" w:hAnsi="Times New Roman" w:cs="Times New Roman"/>
        </w:rPr>
        <w:t xml:space="preserve">Sanktionen </w:t>
      </w:r>
      <w:r w:rsidR="00DC1CF6" w:rsidRPr="002F0482">
        <w:rPr>
          <w:rStyle w:val="Sidetal"/>
          <w:rFonts w:ascii="Times New Roman" w:hAnsi="Times New Roman" w:cs="Times New Roman"/>
        </w:rPr>
        <w:t xml:space="preserve">vil som altid bero på domstolenes konkrete vurdering i det enkelte tilfælde af samtlige sagens omstændigheder, og </w:t>
      </w:r>
      <w:r w:rsidR="0069498B" w:rsidRPr="002F0482">
        <w:rPr>
          <w:rStyle w:val="Sidetal"/>
          <w:rFonts w:ascii="Times New Roman" w:hAnsi="Times New Roman" w:cs="Times New Roman"/>
        </w:rPr>
        <w:t>en sanktion</w:t>
      </w:r>
      <w:r w:rsidR="00DC1CF6" w:rsidRPr="002F0482">
        <w:rPr>
          <w:rStyle w:val="Sidetal"/>
          <w:rFonts w:ascii="Times New Roman" w:hAnsi="Times New Roman" w:cs="Times New Roman"/>
        </w:rPr>
        <w:t xml:space="preserve"> vil derfor kunne </w:t>
      </w:r>
      <w:r w:rsidR="00A775E0" w:rsidRPr="002F0482">
        <w:rPr>
          <w:rStyle w:val="Sidetal"/>
          <w:rFonts w:ascii="Times New Roman" w:hAnsi="Times New Roman" w:cs="Times New Roman"/>
        </w:rPr>
        <w:t xml:space="preserve">afvige </w:t>
      </w:r>
      <w:r w:rsidR="00DC1CF6" w:rsidRPr="002F0482">
        <w:rPr>
          <w:rStyle w:val="Sidetal"/>
          <w:rFonts w:ascii="Times New Roman" w:hAnsi="Times New Roman" w:cs="Times New Roman"/>
        </w:rPr>
        <w:t>i op- eller nedadg</w:t>
      </w:r>
      <w:r w:rsidR="00DC1CF6" w:rsidRPr="002F0482">
        <w:rPr>
          <w:rStyle w:val="Sidetal"/>
          <w:rFonts w:ascii="Times New Roman" w:hAnsi="Times New Roman" w:cs="Times New Roman"/>
        </w:rPr>
        <w:t>å</w:t>
      </w:r>
      <w:r w:rsidR="00DC1CF6" w:rsidRPr="002F0482">
        <w:rPr>
          <w:rStyle w:val="Sidetal"/>
          <w:rFonts w:ascii="Times New Roman" w:hAnsi="Times New Roman" w:cs="Times New Roman"/>
        </w:rPr>
        <w:t>ende retning, hvis der i den konkrete sag foreligger skærpende eller formildende omstændi</w:t>
      </w:r>
      <w:r w:rsidR="00DC1CF6" w:rsidRPr="002F0482">
        <w:rPr>
          <w:rStyle w:val="Sidetal"/>
          <w:rFonts w:ascii="Times New Roman" w:hAnsi="Times New Roman" w:cs="Times New Roman"/>
        </w:rPr>
        <w:t>g</w:t>
      </w:r>
      <w:r w:rsidR="00DC1CF6" w:rsidRPr="002F0482">
        <w:rPr>
          <w:rStyle w:val="Sidetal"/>
          <w:rFonts w:ascii="Times New Roman" w:hAnsi="Times New Roman" w:cs="Times New Roman"/>
        </w:rPr>
        <w:t xml:space="preserve">heder. </w:t>
      </w:r>
      <w:r w:rsidR="00A54599" w:rsidRPr="002F0482">
        <w:rPr>
          <w:rStyle w:val="Sidetal"/>
          <w:rFonts w:ascii="Times New Roman" w:hAnsi="Times New Roman" w:cs="Times New Roman"/>
        </w:rPr>
        <w:t>Ved udmålingen af foranstaltningen skal der lægges vægt på skadevirkningerne</w:t>
      </w:r>
      <w:r w:rsidR="00F92814">
        <w:rPr>
          <w:rStyle w:val="Sidetal"/>
          <w:rFonts w:ascii="Times New Roman" w:hAnsi="Times New Roman" w:cs="Times New Roman"/>
        </w:rPr>
        <w:t xml:space="preserve"> og mængden</w:t>
      </w:r>
      <w:r w:rsidR="00A54599" w:rsidRPr="002F0482">
        <w:rPr>
          <w:rStyle w:val="Sidetal"/>
          <w:rFonts w:ascii="Times New Roman" w:hAnsi="Times New Roman" w:cs="Times New Roman"/>
        </w:rPr>
        <w:t xml:space="preserve"> af de pågældende stoffer</w:t>
      </w:r>
      <w:r w:rsidR="00E91073">
        <w:rPr>
          <w:rStyle w:val="Sidetal"/>
          <w:rFonts w:ascii="Times New Roman" w:hAnsi="Times New Roman" w:cs="Times New Roman"/>
        </w:rPr>
        <w:t xml:space="preserve">, </w:t>
      </w:r>
      <w:r w:rsidR="00F92814">
        <w:rPr>
          <w:rStyle w:val="Sidetal"/>
          <w:rFonts w:ascii="Times New Roman" w:hAnsi="Times New Roman" w:cs="Times New Roman"/>
        </w:rPr>
        <w:t>overtrædelsens varighed</w:t>
      </w:r>
      <w:r w:rsidR="00E91073">
        <w:rPr>
          <w:rStyle w:val="Sidetal"/>
          <w:rFonts w:ascii="Times New Roman" w:hAnsi="Times New Roman" w:cs="Times New Roman"/>
        </w:rPr>
        <w:t xml:space="preserve">, tidligere </w:t>
      </w:r>
      <w:r w:rsidR="003901AA">
        <w:rPr>
          <w:rStyle w:val="Sidetal"/>
          <w:rFonts w:ascii="Times New Roman" w:hAnsi="Times New Roman" w:cs="Times New Roman"/>
        </w:rPr>
        <w:t xml:space="preserve">lignende </w:t>
      </w:r>
      <w:r w:rsidR="00E91073">
        <w:rPr>
          <w:rStyle w:val="Sidetal"/>
          <w:rFonts w:ascii="Times New Roman" w:hAnsi="Times New Roman" w:cs="Times New Roman"/>
        </w:rPr>
        <w:t>lovovertr</w:t>
      </w:r>
      <w:r w:rsidR="00E91073">
        <w:rPr>
          <w:rStyle w:val="Sidetal"/>
          <w:rFonts w:ascii="Times New Roman" w:hAnsi="Times New Roman" w:cs="Times New Roman"/>
        </w:rPr>
        <w:t>æ</w:t>
      </w:r>
      <w:r w:rsidR="00E91073">
        <w:rPr>
          <w:rStyle w:val="Sidetal"/>
          <w:rFonts w:ascii="Times New Roman" w:hAnsi="Times New Roman" w:cs="Times New Roman"/>
        </w:rPr>
        <w:t xml:space="preserve">delser, </w:t>
      </w:r>
      <w:r w:rsidR="00B12808">
        <w:rPr>
          <w:rStyle w:val="Sidetal"/>
          <w:rFonts w:ascii="Times New Roman" w:hAnsi="Times New Roman" w:cs="Times New Roman"/>
        </w:rPr>
        <w:t xml:space="preserve">besiddelse med henblik på overdragelse (herunder </w:t>
      </w:r>
      <w:r w:rsidR="003901AA">
        <w:rPr>
          <w:rStyle w:val="Sidetal"/>
          <w:rFonts w:ascii="Times New Roman" w:hAnsi="Times New Roman" w:cs="Times New Roman"/>
        </w:rPr>
        <w:t>videresalg</w:t>
      </w:r>
      <w:r w:rsidR="00B12808">
        <w:rPr>
          <w:rStyle w:val="Sidetal"/>
          <w:rFonts w:ascii="Times New Roman" w:hAnsi="Times New Roman" w:cs="Times New Roman"/>
        </w:rPr>
        <w:t xml:space="preserve">). </w:t>
      </w:r>
    </w:p>
    <w:p w14:paraId="212BB3BB" w14:textId="77777777" w:rsidR="00546D22" w:rsidRDefault="00546D22" w:rsidP="008D5FF9">
      <w:pPr>
        <w:pStyle w:val="normalind9"/>
        <w:spacing w:line="276" w:lineRule="auto"/>
        <w:ind w:firstLine="0"/>
        <w:rPr>
          <w:rStyle w:val="Sidetal"/>
          <w:rFonts w:ascii="Times New Roman" w:hAnsi="Times New Roman" w:cs="Times New Roman"/>
        </w:rPr>
      </w:pPr>
    </w:p>
    <w:p w14:paraId="7AAC4F21" w14:textId="1B271FCF" w:rsidR="00806679" w:rsidRDefault="00B12808" w:rsidP="008D5FF9">
      <w:pPr>
        <w:pStyle w:val="normalind9"/>
        <w:spacing w:line="276" w:lineRule="auto"/>
        <w:ind w:firstLine="0"/>
        <w:rPr>
          <w:rFonts w:ascii="Times New Roman" w:hAnsi="Times New Roman" w:cs="Times New Roman"/>
        </w:rPr>
      </w:pPr>
      <w:r>
        <w:rPr>
          <w:rStyle w:val="Sidetal"/>
          <w:rFonts w:ascii="Times New Roman" w:hAnsi="Times New Roman" w:cs="Times New Roman"/>
        </w:rPr>
        <w:t>Det skal anses som en særligt skærpende omstændighed, hvis det er med henblik på overdr</w:t>
      </w:r>
      <w:r>
        <w:rPr>
          <w:rStyle w:val="Sidetal"/>
          <w:rFonts w:ascii="Times New Roman" w:hAnsi="Times New Roman" w:cs="Times New Roman"/>
        </w:rPr>
        <w:t>a</w:t>
      </w:r>
      <w:r>
        <w:rPr>
          <w:rStyle w:val="Sidetal"/>
          <w:rFonts w:ascii="Times New Roman" w:hAnsi="Times New Roman" w:cs="Times New Roman"/>
        </w:rPr>
        <w:t xml:space="preserve">gelse </w:t>
      </w:r>
      <w:r w:rsidR="00BA6EA9" w:rsidRPr="00981FCE">
        <w:rPr>
          <w:rFonts w:ascii="Times New Roman" w:hAnsi="Times New Roman" w:cs="Times New Roman"/>
        </w:rPr>
        <w:t>på uddannelsesinstitutioner, restaurationer, herunder diskoteker, ved koncerter og fest</w:t>
      </w:r>
      <w:r w:rsidR="00BA6EA9" w:rsidRPr="00981FCE">
        <w:rPr>
          <w:rFonts w:ascii="Times New Roman" w:hAnsi="Times New Roman" w:cs="Times New Roman"/>
        </w:rPr>
        <w:t>i</w:t>
      </w:r>
      <w:r w:rsidR="00BA6EA9" w:rsidRPr="00981FCE">
        <w:rPr>
          <w:rFonts w:ascii="Times New Roman" w:hAnsi="Times New Roman" w:cs="Times New Roman"/>
        </w:rPr>
        <w:t>valer</w:t>
      </w:r>
      <w:r w:rsidR="006D3147">
        <w:rPr>
          <w:rFonts w:ascii="Times New Roman" w:hAnsi="Times New Roman" w:cs="Times New Roman"/>
        </w:rPr>
        <w:t xml:space="preserve"> eller </w:t>
      </w:r>
      <w:r w:rsidR="00BA6EA9" w:rsidRPr="00981FCE">
        <w:rPr>
          <w:rFonts w:ascii="Times New Roman" w:hAnsi="Times New Roman" w:cs="Times New Roman"/>
        </w:rPr>
        <w:t>ved andre arrangementer, hvor det typisk hovedsageligt er børn eller unge menn</w:t>
      </w:r>
      <w:r w:rsidR="00BA6EA9" w:rsidRPr="00981FCE">
        <w:rPr>
          <w:rFonts w:ascii="Times New Roman" w:hAnsi="Times New Roman" w:cs="Times New Roman"/>
        </w:rPr>
        <w:t>e</w:t>
      </w:r>
      <w:r w:rsidR="00BA6EA9" w:rsidRPr="00981FCE">
        <w:rPr>
          <w:rFonts w:ascii="Times New Roman" w:hAnsi="Times New Roman" w:cs="Times New Roman"/>
        </w:rPr>
        <w:t>sker, der deltager</w:t>
      </w:r>
      <w:r w:rsidR="00BA6EA9">
        <w:rPr>
          <w:rFonts w:ascii="Times New Roman" w:hAnsi="Times New Roman" w:cs="Times New Roman"/>
        </w:rPr>
        <w:t xml:space="preserve">. </w:t>
      </w:r>
      <w:r w:rsidR="00806679">
        <w:rPr>
          <w:rFonts w:ascii="Times New Roman" w:hAnsi="Times New Roman" w:cs="Times New Roman"/>
        </w:rPr>
        <w:t xml:space="preserve">Det skyldes, at børn og unge anses som værende letpåvirkelige og derfor særligt beskyttelsesværdige, når det kommer til afhængighedsskabende euforiserende stoffer. </w:t>
      </w:r>
    </w:p>
    <w:p w14:paraId="79115B68" w14:textId="7625EBE0" w:rsidR="00DC1CF6" w:rsidRDefault="00BA6EA9" w:rsidP="008D5FF9">
      <w:pPr>
        <w:pStyle w:val="normalind9"/>
        <w:spacing w:line="276" w:lineRule="auto"/>
        <w:ind w:firstLine="0"/>
        <w:rPr>
          <w:rStyle w:val="Sidetal"/>
          <w:rFonts w:ascii="Times New Roman" w:hAnsi="Times New Roman" w:cs="Times New Roman"/>
        </w:rPr>
      </w:pPr>
      <w:r>
        <w:rPr>
          <w:rFonts w:ascii="Times New Roman" w:hAnsi="Times New Roman" w:cs="Times New Roman"/>
        </w:rPr>
        <w:t>Herudover skal der lægges vægt på d</w:t>
      </w:r>
      <w:r w:rsidR="00E91073">
        <w:rPr>
          <w:rStyle w:val="Sidetal"/>
          <w:rFonts w:ascii="Times New Roman" w:hAnsi="Times New Roman" w:cs="Times New Roman"/>
        </w:rPr>
        <w:t>en pågældendes sociale forhold</w:t>
      </w:r>
      <w:r w:rsidR="00574185">
        <w:rPr>
          <w:rStyle w:val="Sidetal"/>
          <w:rFonts w:ascii="Times New Roman" w:hAnsi="Times New Roman" w:cs="Times New Roman"/>
        </w:rPr>
        <w:t xml:space="preserve"> i øvrigt</w:t>
      </w:r>
      <w:r w:rsidR="00432290">
        <w:rPr>
          <w:rStyle w:val="Sidetal"/>
          <w:rFonts w:ascii="Times New Roman" w:hAnsi="Times New Roman" w:cs="Times New Roman"/>
        </w:rPr>
        <w:t xml:space="preserve">, herunder om </w:t>
      </w:r>
      <w:r w:rsidR="004758F5">
        <w:rPr>
          <w:rStyle w:val="Sidetal"/>
          <w:rFonts w:ascii="Times New Roman" w:hAnsi="Times New Roman" w:cs="Times New Roman"/>
        </w:rPr>
        <w:t>en eventuel besiddelse af de euforiserende stoffer er udfald af et længerevarende og alvorligt</w:t>
      </w:r>
      <w:r w:rsidR="00432290">
        <w:rPr>
          <w:rStyle w:val="Sidetal"/>
          <w:rFonts w:ascii="Times New Roman" w:hAnsi="Times New Roman" w:cs="Times New Roman"/>
        </w:rPr>
        <w:t xml:space="preserve"> misbrug</w:t>
      </w:r>
      <w:r w:rsidR="00A402DD">
        <w:rPr>
          <w:rStyle w:val="Sidetal"/>
          <w:rFonts w:ascii="Times New Roman" w:hAnsi="Times New Roman" w:cs="Times New Roman"/>
        </w:rPr>
        <w:t xml:space="preserve">, hvilket </w:t>
      </w:r>
      <w:r w:rsidR="009345C8">
        <w:rPr>
          <w:rStyle w:val="Sidetal"/>
          <w:rFonts w:ascii="Times New Roman" w:hAnsi="Times New Roman" w:cs="Times New Roman"/>
        </w:rPr>
        <w:t>kan</w:t>
      </w:r>
      <w:r w:rsidR="00A402DD">
        <w:rPr>
          <w:rStyle w:val="Sidetal"/>
          <w:rFonts w:ascii="Times New Roman" w:hAnsi="Times New Roman" w:cs="Times New Roman"/>
        </w:rPr>
        <w:t xml:space="preserve"> anses som en formildende omstændighed. </w:t>
      </w:r>
    </w:p>
    <w:p w14:paraId="249ADF22" w14:textId="77777777" w:rsidR="00546D22" w:rsidRPr="002F0482" w:rsidRDefault="00546D22" w:rsidP="008D5FF9">
      <w:pPr>
        <w:pStyle w:val="normalind9"/>
        <w:spacing w:line="276" w:lineRule="auto"/>
        <w:ind w:firstLine="0"/>
        <w:rPr>
          <w:rFonts w:ascii="Times New Roman" w:hAnsi="Times New Roman" w:cs="Times New Roman"/>
        </w:rPr>
      </w:pPr>
    </w:p>
    <w:p w14:paraId="60A3EB81" w14:textId="27D6D468" w:rsidR="00513606" w:rsidRPr="002F0482" w:rsidRDefault="00DC1CF6" w:rsidP="008D5FF9">
      <w:pPr>
        <w:pStyle w:val="normalind9"/>
        <w:spacing w:line="276" w:lineRule="auto"/>
        <w:ind w:firstLine="0"/>
        <w:rPr>
          <w:rFonts w:ascii="Times New Roman" w:hAnsi="Times New Roman" w:cs="Times New Roman"/>
        </w:rPr>
      </w:pPr>
      <w:r w:rsidRPr="002F0482">
        <w:rPr>
          <w:rFonts w:ascii="Times New Roman" w:hAnsi="Times New Roman" w:cs="Times New Roman"/>
        </w:rPr>
        <w:t>Det foreslås endvidere, at der skal kunne anvendes advarsel som sanktion for ulovlig besi</w:t>
      </w:r>
      <w:r w:rsidRPr="002F0482">
        <w:rPr>
          <w:rFonts w:ascii="Times New Roman" w:hAnsi="Times New Roman" w:cs="Times New Roman"/>
        </w:rPr>
        <w:t>d</w:t>
      </w:r>
      <w:r w:rsidRPr="002F0482">
        <w:rPr>
          <w:rFonts w:ascii="Times New Roman" w:hAnsi="Times New Roman" w:cs="Times New Roman"/>
        </w:rPr>
        <w:t>delse af euforiserende stoffer, hvis sociale hensyn taler for at meddele en advarsel, og besi</w:t>
      </w:r>
      <w:r w:rsidRPr="002F0482">
        <w:rPr>
          <w:rFonts w:ascii="Times New Roman" w:hAnsi="Times New Roman" w:cs="Times New Roman"/>
        </w:rPr>
        <w:t>d</w:t>
      </w:r>
      <w:r w:rsidRPr="002F0482">
        <w:rPr>
          <w:rFonts w:ascii="Times New Roman" w:hAnsi="Times New Roman" w:cs="Times New Roman"/>
        </w:rPr>
        <w:t>delsen af stoffet er udslag af en stærk afhængighed som følge af e</w:t>
      </w:r>
      <w:r w:rsidR="005268E4" w:rsidRPr="002F0482">
        <w:rPr>
          <w:rFonts w:ascii="Times New Roman" w:hAnsi="Times New Roman" w:cs="Times New Roman"/>
        </w:rPr>
        <w:t>t længere</w:t>
      </w:r>
      <w:r w:rsidRPr="002F0482">
        <w:rPr>
          <w:rFonts w:ascii="Times New Roman" w:hAnsi="Times New Roman" w:cs="Times New Roman"/>
        </w:rPr>
        <w:t xml:space="preserve"> og vedvarende </w:t>
      </w:r>
      <w:r w:rsidRPr="002F0482">
        <w:rPr>
          <w:rFonts w:ascii="Times New Roman" w:hAnsi="Times New Roman" w:cs="Times New Roman"/>
        </w:rPr>
        <w:lastRenderedPageBreak/>
        <w:t>misbrug af euforiserende stoffer</w:t>
      </w:r>
      <w:r w:rsidR="00C763AC">
        <w:rPr>
          <w:rFonts w:ascii="Times New Roman" w:hAnsi="Times New Roman" w:cs="Times New Roman"/>
        </w:rPr>
        <w:t>. I de sager, hvor det findes relevant</w:t>
      </w:r>
      <w:r w:rsidR="00A0715C">
        <w:rPr>
          <w:rFonts w:ascii="Times New Roman" w:hAnsi="Times New Roman" w:cs="Times New Roman"/>
        </w:rPr>
        <w:t xml:space="preserve"> og formålstjenligt</w:t>
      </w:r>
      <w:r w:rsidR="00C763AC">
        <w:rPr>
          <w:rFonts w:ascii="Times New Roman" w:hAnsi="Times New Roman" w:cs="Times New Roman"/>
        </w:rPr>
        <w:t>, bør det lige</w:t>
      </w:r>
      <w:r w:rsidR="001C0BF8">
        <w:rPr>
          <w:rFonts w:ascii="Times New Roman" w:hAnsi="Times New Roman" w:cs="Times New Roman"/>
        </w:rPr>
        <w:t xml:space="preserve">ledes være muligt at anvende </w:t>
      </w:r>
      <w:r w:rsidR="00FD4F70">
        <w:rPr>
          <w:rFonts w:ascii="Times New Roman" w:hAnsi="Times New Roman" w:cs="Times New Roman"/>
        </w:rPr>
        <w:t>dom om afvænningsbehandling eller lignende</w:t>
      </w:r>
      <w:r w:rsidR="001C0BF8">
        <w:rPr>
          <w:rFonts w:ascii="Times New Roman" w:hAnsi="Times New Roman" w:cs="Times New Roman"/>
        </w:rPr>
        <w:t xml:space="preserve"> </w:t>
      </w:r>
      <w:r w:rsidR="00A0715C">
        <w:rPr>
          <w:rFonts w:ascii="Times New Roman" w:hAnsi="Times New Roman" w:cs="Times New Roman"/>
        </w:rPr>
        <w:t xml:space="preserve">i henhold til Kriminallov for Grønlands §§ 135-136 </w:t>
      </w:r>
      <w:r w:rsidR="001C0BF8">
        <w:rPr>
          <w:rFonts w:ascii="Times New Roman" w:hAnsi="Times New Roman" w:cs="Times New Roman"/>
        </w:rPr>
        <w:t>som sanktion</w:t>
      </w:r>
      <w:r w:rsidR="00A0715C">
        <w:rPr>
          <w:rFonts w:ascii="Times New Roman" w:hAnsi="Times New Roman" w:cs="Times New Roman"/>
        </w:rPr>
        <w:t>.</w:t>
      </w:r>
      <w:r w:rsidR="001C0BF8">
        <w:rPr>
          <w:rFonts w:ascii="Times New Roman" w:hAnsi="Times New Roman" w:cs="Times New Roman"/>
        </w:rPr>
        <w:t xml:space="preserve"> </w:t>
      </w:r>
    </w:p>
    <w:p w14:paraId="7AD17A0D" w14:textId="78DAEF5C" w:rsidR="00DC1CF6" w:rsidRDefault="00DC1CF6" w:rsidP="008D5FF9">
      <w:pPr>
        <w:pStyle w:val="normalind9"/>
        <w:spacing w:line="276" w:lineRule="auto"/>
        <w:ind w:firstLine="0"/>
        <w:rPr>
          <w:rFonts w:ascii="Times New Roman" w:hAnsi="Times New Roman" w:cs="Times New Roman"/>
        </w:rPr>
      </w:pPr>
      <w:r w:rsidRPr="002F0482">
        <w:rPr>
          <w:rFonts w:ascii="Times New Roman" w:hAnsi="Times New Roman" w:cs="Times New Roman"/>
        </w:rPr>
        <w:t xml:space="preserve">Det er en forudsætning for at anvende advarsel </w:t>
      </w:r>
      <w:r w:rsidR="00FD4F70">
        <w:rPr>
          <w:rFonts w:ascii="Times New Roman" w:hAnsi="Times New Roman" w:cs="Times New Roman"/>
        </w:rPr>
        <w:t xml:space="preserve">eller afvænningsbehandling </w:t>
      </w:r>
      <w:r w:rsidRPr="002F0482">
        <w:rPr>
          <w:rFonts w:ascii="Times New Roman" w:hAnsi="Times New Roman" w:cs="Times New Roman"/>
        </w:rPr>
        <w:t>som sanktion, at gerningsmandens sociale forhold taler herfor. Det vil i almindelighed være tilfældet, hvis den pågældende f.</w:t>
      </w:r>
      <w:r w:rsidR="007C4AA4" w:rsidRPr="002F0482">
        <w:rPr>
          <w:rFonts w:ascii="Times New Roman" w:hAnsi="Times New Roman" w:cs="Times New Roman"/>
        </w:rPr>
        <w:t>eks. modtager</w:t>
      </w:r>
      <w:r w:rsidR="000B7F80" w:rsidRPr="002F0482">
        <w:rPr>
          <w:rFonts w:ascii="Times New Roman" w:hAnsi="Times New Roman" w:cs="Times New Roman"/>
        </w:rPr>
        <w:t xml:space="preserve"> </w:t>
      </w:r>
      <w:r w:rsidRPr="002F0482">
        <w:rPr>
          <w:rFonts w:ascii="Times New Roman" w:hAnsi="Times New Roman" w:cs="Times New Roman"/>
        </w:rPr>
        <w:t xml:space="preserve">førtidspension </w:t>
      </w:r>
      <w:r w:rsidR="000B7F80" w:rsidRPr="002F0482">
        <w:rPr>
          <w:rFonts w:ascii="Times New Roman" w:hAnsi="Times New Roman" w:cs="Times New Roman"/>
        </w:rPr>
        <w:t xml:space="preserve">eller anden form for offentlig hjælp </w:t>
      </w:r>
      <w:r w:rsidRPr="002F0482">
        <w:rPr>
          <w:rFonts w:ascii="Times New Roman" w:hAnsi="Times New Roman" w:cs="Times New Roman"/>
        </w:rPr>
        <w:t>og ikke har anden indkomst eller en opsparing af en vis størrelse. Derimod vil de sociale forhold – uanset misbrugets karakter – i almindelighed ikke tale for at anvende advarsel, hvis den pågældende har arbejdsindtægter ved lovligt arbejde</w:t>
      </w:r>
      <w:r w:rsidR="00FD4F70">
        <w:rPr>
          <w:rFonts w:ascii="Times New Roman" w:hAnsi="Times New Roman" w:cs="Times New Roman"/>
        </w:rPr>
        <w:t>, eller hvis vedkommende har en betydelig formue i øvrigt</w:t>
      </w:r>
      <w:r w:rsidR="00A775E0" w:rsidRPr="002F0482">
        <w:rPr>
          <w:rFonts w:ascii="Times New Roman" w:hAnsi="Times New Roman" w:cs="Times New Roman"/>
        </w:rPr>
        <w:t>.</w:t>
      </w:r>
      <w:r w:rsidRPr="002F0482">
        <w:rPr>
          <w:rFonts w:ascii="Times New Roman" w:hAnsi="Times New Roman" w:cs="Times New Roman"/>
        </w:rPr>
        <w:t xml:space="preserve"> </w:t>
      </w:r>
    </w:p>
    <w:p w14:paraId="72E32AFB" w14:textId="77777777" w:rsidR="00546D22" w:rsidRDefault="00546D22" w:rsidP="008D5FF9">
      <w:pPr>
        <w:pStyle w:val="normalind9"/>
        <w:spacing w:line="276" w:lineRule="auto"/>
        <w:ind w:firstLine="0"/>
        <w:rPr>
          <w:rFonts w:ascii="Times New Roman" w:hAnsi="Times New Roman" w:cs="Times New Roman"/>
        </w:rPr>
      </w:pPr>
    </w:p>
    <w:p w14:paraId="77CD7BCA" w14:textId="2218CF88" w:rsidR="00BA6EA9" w:rsidRDefault="0068438F" w:rsidP="008D5FF9">
      <w:pPr>
        <w:pStyle w:val="normalind9"/>
        <w:spacing w:line="276" w:lineRule="auto"/>
        <w:ind w:firstLine="0"/>
        <w:rPr>
          <w:rFonts w:ascii="Times New Roman" w:hAnsi="Times New Roman" w:cs="Times New Roman"/>
        </w:rPr>
      </w:pPr>
      <w:r>
        <w:rPr>
          <w:rFonts w:ascii="Times New Roman" w:hAnsi="Times New Roman" w:cs="Times New Roman"/>
        </w:rPr>
        <w:t>S</w:t>
      </w:r>
      <w:r w:rsidR="00E91073">
        <w:rPr>
          <w:rFonts w:ascii="Times New Roman" w:hAnsi="Times New Roman" w:cs="Times New Roman"/>
        </w:rPr>
        <w:t>anktionsskema</w:t>
      </w:r>
      <w:r w:rsidR="006D3147">
        <w:rPr>
          <w:rFonts w:ascii="Times New Roman" w:hAnsi="Times New Roman" w:cs="Times New Roman"/>
        </w:rPr>
        <w:t>et, som vedlægges som Bilag 2</w:t>
      </w:r>
      <w:r w:rsidR="00CC119B">
        <w:rPr>
          <w:rFonts w:ascii="Times New Roman" w:hAnsi="Times New Roman" w:cs="Times New Roman"/>
        </w:rPr>
        <w:t xml:space="preserve">, </w:t>
      </w:r>
      <w:r>
        <w:rPr>
          <w:rFonts w:ascii="Times New Roman" w:hAnsi="Times New Roman" w:cs="Times New Roman"/>
        </w:rPr>
        <w:t xml:space="preserve">beskriver nærmere de sanktionsniveauer, der kan tages udgangspunkt i ved overtrædelser af </w:t>
      </w:r>
      <w:r w:rsidR="003F1631">
        <w:rPr>
          <w:rFonts w:ascii="Times New Roman" w:hAnsi="Times New Roman" w:cs="Times New Roman"/>
        </w:rPr>
        <w:t>Inatsisartutlovens §</w:t>
      </w:r>
      <w:r w:rsidR="00FD4F70">
        <w:rPr>
          <w:rFonts w:ascii="Times New Roman" w:hAnsi="Times New Roman" w:cs="Times New Roman"/>
        </w:rPr>
        <w:t xml:space="preserve"> </w:t>
      </w:r>
      <w:r w:rsidR="00950105">
        <w:rPr>
          <w:rFonts w:ascii="Times New Roman" w:hAnsi="Times New Roman" w:cs="Times New Roman"/>
        </w:rPr>
        <w:t>2</w:t>
      </w:r>
      <w:r w:rsidR="003F1631">
        <w:rPr>
          <w:rFonts w:ascii="Times New Roman" w:hAnsi="Times New Roman" w:cs="Times New Roman"/>
        </w:rPr>
        <w:t xml:space="preserve">. </w:t>
      </w:r>
    </w:p>
    <w:p w14:paraId="09E0AC7C" w14:textId="0B45D8E8" w:rsidR="00F2329B" w:rsidRDefault="00F2329B" w:rsidP="008D5FF9">
      <w:pPr>
        <w:pStyle w:val="normalind9"/>
        <w:spacing w:line="276" w:lineRule="auto"/>
        <w:ind w:firstLine="0"/>
        <w:rPr>
          <w:rFonts w:ascii="Times New Roman" w:hAnsi="Times New Roman" w:cs="Times New Roman"/>
        </w:rPr>
      </w:pPr>
    </w:p>
    <w:p w14:paraId="119EF72E" w14:textId="1329F2D0" w:rsidR="00F2329B" w:rsidRDefault="00F2329B" w:rsidP="008D5FF9">
      <w:pPr>
        <w:pStyle w:val="normalind9"/>
        <w:spacing w:line="276" w:lineRule="auto"/>
        <w:ind w:firstLine="0"/>
        <w:rPr>
          <w:rFonts w:ascii="Times New Roman" w:hAnsi="Times New Roman" w:cs="Times New Roman"/>
        </w:rPr>
      </w:pPr>
      <w:r>
        <w:rPr>
          <w:rFonts w:ascii="Times New Roman" w:hAnsi="Times New Roman" w:cs="Times New Roman"/>
        </w:rPr>
        <w:t xml:space="preserve">Til stk. </w:t>
      </w:r>
      <w:r w:rsidR="00DD4E9E">
        <w:rPr>
          <w:rFonts w:ascii="Times New Roman" w:hAnsi="Times New Roman" w:cs="Times New Roman"/>
        </w:rPr>
        <w:t>5</w:t>
      </w:r>
      <w:r>
        <w:rPr>
          <w:rFonts w:ascii="Times New Roman" w:hAnsi="Times New Roman" w:cs="Times New Roman"/>
        </w:rPr>
        <w:t>.</w:t>
      </w:r>
    </w:p>
    <w:p w14:paraId="57312D20" w14:textId="77777777" w:rsidR="00E63AE5" w:rsidRDefault="00E63AE5" w:rsidP="008D5FF9">
      <w:pPr>
        <w:pStyle w:val="normalind9"/>
        <w:spacing w:line="276" w:lineRule="auto"/>
        <w:ind w:firstLine="0"/>
        <w:rPr>
          <w:rFonts w:ascii="Times New Roman" w:hAnsi="Times New Roman" w:cs="Times New Roman"/>
        </w:rPr>
      </w:pPr>
      <w:r w:rsidRPr="00C818E4">
        <w:rPr>
          <w:rFonts w:ascii="Times New Roman" w:hAnsi="Times New Roman" w:cs="Times New Roman"/>
        </w:rPr>
        <w:t>Findes nogen i besiddelse af ulovlige euforiserende stoffer, skal stofferne s</w:t>
      </w:r>
      <w:r w:rsidRPr="00C818E4">
        <w:rPr>
          <w:rFonts w:ascii="Times New Roman" w:hAnsi="Times New Roman" w:cs="Times New Roman" w:hint="eastAsia"/>
        </w:rPr>
        <w:t>ø</w:t>
      </w:r>
      <w:r w:rsidRPr="00C818E4">
        <w:rPr>
          <w:rFonts w:ascii="Times New Roman" w:hAnsi="Times New Roman" w:cs="Times New Roman"/>
        </w:rPr>
        <w:t>ges beslaglagt og konfiskeret</w:t>
      </w:r>
      <w:r>
        <w:rPr>
          <w:rFonts w:ascii="Times New Roman" w:hAnsi="Times New Roman" w:cs="Times New Roman"/>
        </w:rPr>
        <w:t xml:space="preserve">. </w:t>
      </w:r>
      <w:r w:rsidRPr="00C818E4">
        <w:rPr>
          <w:rFonts w:ascii="Times New Roman" w:hAnsi="Times New Roman" w:cs="Times New Roman"/>
        </w:rPr>
        <w:t>Det samme g</w:t>
      </w:r>
      <w:r w:rsidRPr="00C818E4">
        <w:rPr>
          <w:rFonts w:ascii="Times New Roman" w:hAnsi="Times New Roman" w:cs="Times New Roman" w:hint="eastAsia"/>
        </w:rPr>
        <w:t>æ</w:t>
      </w:r>
      <w:r w:rsidRPr="00C818E4">
        <w:rPr>
          <w:rFonts w:ascii="Times New Roman" w:hAnsi="Times New Roman" w:cs="Times New Roman"/>
        </w:rPr>
        <w:t>lder redskaber, der benyttes til indtagelse af euforiserende stoffer, f.eks. en hashpibe, eller redskaber, der benyttes til at fordele euforiserende stoffer, f.eks. en v</w:t>
      </w:r>
      <w:r w:rsidRPr="00C818E4">
        <w:rPr>
          <w:rFonts w:ascii="Times New Roman" w:hAnsi="Times New Roman" w:cs="Times New Roman" w:hint="eastAsia"/>
        </w:rPr>
        <w:t>æ</w:t>
      </w:r>
      <w:r w:rsidRPr="00C818E4">
        <w:rPr>
          <w:rFonts w:ascii="Times New Roman" w:hAnsi="Times New Roman" w:cs="Times New Roman"/>
        </w:rPr>
        <w:t>gt eller poser til opbevaring af euforiserende stoffer</w:t>
      </w:r>
      <w:r>
        <w:rPr>
          <w:rFonts w:ascii="Times New Roman" w:hAnsi="Times New Roman" w:cs="Times New Roman"/>
        </w:rPr>
        <w:t xml:space="preserve">. </w:t>
      </w:r>
    </w:p>
    <w:p w14:paraId="68F44935" w14:textId="100A46CA" w:rsidR="00E63AE5" w:rsidRDefault="00E63AE5" w:rsidP="008D5FF9">
      <w:pPr>
        <w:pStyle w:val="normalind9"/>
        <w:spacing w:line="276" w:lineRule="auto"/>
        <w:ind w:firstLine="0"/>
        <w:rPr>
          <w:rFonts w:ascii="Times New Roman" w:hAnsi="Times New Roman" w:cs="Times New Roman"/>
        </w:rPr>
      </w:pPr>
      <w:r>
        <w:rPr>
          <w:rFonts w:ascii="Times New Roman" w:hAnsi="Times New Roman" w:cs="Times New Roman"/>
        </w:rPr>
        <w:t xml:space="preserve">Herudover konfiskeres udbyttet </w:t>
      </w:r>
      <w:r w:rsidR="005C0C5F">
        <w:rPr>
          <w:rFonts w:ascii="Times New Roman" w:hAnsi="Times New Roman" w:cs="Times New Roman"/>
        </w:rPr>
        <w:t>ved lovovertrædelsen e</w:t>
      </w:r>
      <w:r w:rsidR="005C0C5F" w:rsidRPr="00C818E4">
        <w:rPr>
          <w:rFonts w:ascii="Times New Roman" w:hAnsi="Times New Roman" w:cs="Times New Roman"/>
        </w:rPr>
        <w:t>ller et hertil svarende bel</w:t>
      </w:r>
      <w:r w:rsidR="005C0C5F" w:rsidRPr="00C818E4">
        <w:rPr>
          <w:rFonts w:ascii="Times New Roman" w:hAnsi="Times New Roman" w:cs="Times New Roman" w:hint="eastAsia"/>
        </w:rPr>
        <w:t>ø</w:t>
      </w:r>
      <w:r w:rsidR="005C0C5F" w:rsidRPr="00C818E4">
        <w:rPr>
          <w:rFonts w:ascii="Times New Roman" w:hAnsi="Times New Roman" w:cs="Times New Roman"/>
        </w:rPr>
        <w:t>b</w:t>
      </w:r>
      <w:r w:rsidR="00E56B45">
        <w:rPr>
          <w:rFonts w:ascii="Times New Roman" w:hAnsi="Times New Roman" w:cs="Times New Roman"/>
        </w:rPr>
        <w:t xml:space="preserve"> i henhold til </w:t>
      </w:r>
      <w:r w:rsidR="00B73B9F">
        <w:rPr>
          <w:rFonts w:ascii="Times New Roman" w:hAnsi="Times New Roman" w:cs="Times New Roman"/>
        </w:rPr>
        <w:t xml:space="preserve">kapitel 37 i </w:t>
      </w:r>
      <w:r w:rsidR="00E56B45">
        <w:rPr>
          <w:rFonts w:ascii="Times New Roman" w:hAnsi="Times New Roman" w:cs="Times New Roman"/>
        </w:rPr>
        <w:t>Kriminalloven</w:t>
      </w:r>
      <w:r w:rsidR="00B73B9F">
        <w:rPr>
          <w:rFonts w:ascii="Times New Roman" w:hAnsi="Times New Roman" w:cs="Times New Roman"/>
        </w:rPr>
        <w:t xml:space="preserve"> for Grønland.</w:t>
      </w:r>
      <w:r w:rsidR="00E56B45">
        <w:rPr>
          <w:rFonts w:ascii="Times New Roman" w:hAnsi="Times New Roman" w:cs="Times New Roman"/>
        </w:rPr>
        <w:t xml:space="preserve"> </w:t>
      </w:r>
    </w:p>
    <w:p w14:paraId="4D5690F6" w14:textId="34EB006E" w:rsidR="00E91073" w:rsidRDefault="00221339" w:rsidP="008D5FF9">
      <w:pPr>
        <w:pStyle w:val="normalind9"/>
        <w:spacing w:line="276" w:lineRule="auto"/>
        <w:ind w:firstLine="0"/>
        <w:rPr>
          <w:rFonts w:ascii="Times New Roman" w:hAnsi="Times New Roman" w:cs="Times New Roman"/>
        </w:rPr>
      </w:pPr>
      <w:r>
        <w:rPr>
          <w:rFonts w:ascii="Times New Roman" w:hAnsi="Times New Roman" w:cs="Times New Roman"/>
        </w:rPr>
        <w:t xml:space="preserve">Ved udregningen af udbyttets størrelse tages udgangspunkt i </w:t>
      </w:r>
      <w:r w:rsidRPr="00C818E4">
        <w:rPr>
          <w:rFonts w:ascii="Times New Roman" w:hAnsi="Times New Roman" w:cs="Times New Roman"/>
        </w:rPr>
        <w:t>det bel</w:t>
      </w:r>
      <w:r w:rsidRPr="00C818E4">
        <w:rPr>
          <w:rFonts w:ascii="Times New Roman" w:hAnsi="Times New Roman" w:cs="Times New Roman" w:hint="eastAsia"/>
        </w:rPr>
        <w:t>ø</w:t>
      </w:r>
      <w:r w:rsidRPr="00C818E4">
        <w:rPr>
          <w:rFonts w:ascii="Times New Roman" w:hAnsi="Times New Roman" w:cs="Times New Roman"/>
        </w:rPr>
        <w:t>b, som er kommet ind ved salget, med fradrag af indk</w:t>
      </w:r>
      <w:r w:rsidRPr="00C818E4">
        <w:rPr>
          <w:rFonts w:ascii="Times New Roman" w:hAnsi="Times New Roman" w:cs="Times New Roman" w:hint="eastAsia"/>
        </w:rPr>
        <w:t>ø</w:t>
      </w:r>
      <w:r w:rsidRPr="00C818E4">
        <w:rPr>
          <w:rFonts w:ascii="Times New Roman" w:hAnsi="Times New Roman" w:cs="Times New Roman"/>
        </w:rPr>
        <w:t>bsprisen. Omkostninger forbundet med salget, herunder bet</w:t>
      </w:r>
      <w:r w:rsidRPr="00C818E4">
        <w:rPr>
          <w:rFonts w:ascii="Times New Roman" w:hAnsi="Times New Roman" w:cs="Times New Roman"/>
        </w:rPr>
        <w:t>a</w:t>
      </w:r>
      <w:r w:rsidRPr="00C818E4">
        <w:rPr>
          <w:rFonts w:ascii="Times New Roman" w:hAnsi="Times New Roman" w:cs="Times New Roman"/>
        </w:rPr>
        <w:t>ling af personer for medvirken ved salget, fradrages ikke.</w:t>
      </w:r>
    </w:p>
    <w:p w14:paraId="26F5655A" w14:textId="55513C5D" w:rsidR="00DD4E9E" w:rsidRDefault="00DD4E9E" w:rsidP="008D5FF9">
      <w:pPr>
        <w:pStyle w:val="normalind9"/>
        <w:spacing w:line="276" w:lineRule="auto"/>
        <w:ind w:firstLine="0"/>
        <w:rPr>
          <w:rFonts w:ascii="Times New Roman" w:hAnsi="Times New Roman" w:cs="Times New Roman"/>
        </w:rPr>
      </w:pPr>
    </w:p>
    <w:p w14:paraId="28859421" w14:textId="754A6A9A" w:rsidR="00DD4E9E" w:rsidRPr="00F45EF4" w:rsidRDefault="00DD4E9E" w:rsidP="00F45EF4">
      <w:pPr>
        <w:spacing w:line="276" w:lineRule="auto"/>
        <w:ind w:left="0"/>
        <w:jc w:val="center"/>
        <w:rPr>
          <w:rFonts w:ascii="Times New Roman" w:hAnsi="Times New Roman" w:cs="Times New Roman"/>
          <w:i/>
          <w:sz w:val="24"/>
          <w:szCs w:val="24"/>
        </w:rPr>
      </w:pPr>
      <w:r w:rsidRPr="002F0482">
        <w:rPr>
          <w:rFonts w:ascii="Times New Roman" w:hAnsi="Times New Roman" w:cs="Times New Roman"/>
          <w:i/>
          <w:sz w:val="24"/>
          <w:szCs w:val="24"/>
        </w:rPr>
        <w:t xml:space="preserve">Til § </w:t>
      </w:r>
      <w:r w:rsidR="0018089E">
        <w:rPr>
          <w:rFonts w:ascii="Times New Roman" w:hAnsi="Times New Roman" w:cs="Times New Roman"/>
          <w:i/>
          <w:sz w:val="24"/>
          <w:szCs w:val="24"/>
        </w:rPr>
        <w:t>6</w:t>
      </w:r>
    </w:p>
    <w:p w14:paraId="0D1A5474" w14:textId="2B8901D7" w:rsidR="00DD4E9E" w:rsidRDefault="00DD4E9E" w:rsidP="00DD4E9E">
      <w:pPr>
        <w:pStyle w:val="normalind9"/>
        <w:spacing w:line="276" w:lineRule="auto"/>
        <w:ind w:firstLine="0"/>
        <w:rPr>
          <w:rFonts w:ascii="Times New Roman" w:hAnsi="Times New Roman" w:cs="Times New Roman"/>
        </w:rPr>
      </w:pPr>
      <w:r>
        <w:rPr>
          <w:rStyle w:val="Sidetal"/>
          <w:rFonts w:ascii="Times New Roman" w:hAnsi="Times New Roman" w:cs="Times New Roman"/>
        </w:rPr>
        <w:t xml:space="preserve">Med denne bestemmelse hjemles foranstaltninger for at opnå </w:t>
      </w:r>
      <w:r w:rsidR="0032018A">
        <w:rPr>
          <w:rStyle w:val="Sidetal"/>
          <w:rFonts w:ascii="Times New Roman" w:hAnsi="Times New Roman" w:cs="Times New Roman"/>
        </w:rPr>
        <w:t xml:space="preserve">eller forsøg på at opnå </w:t>
      </w:r>
      <w:r>
        <w:rPr>
          <w:rStyle w:val="Sidetal"/>
          <w:rFonts w:ascii="Times New Roman" w:hAnsi="Times New Roman" w:cs="Times New Roman"/>
        </w:rPr>
        <w:t xml:space="preserve">tilladelser efter Inatsisartutlovens på et uærligt grundlag, eksempelvis ved at </w:t>
      </w:r>
      <w:r w:rsidRPr="00981FCE">
        <w:rPr>
          <w:rFonts w:ascii="Times New Roman" w:hAnsi="Times New Roman" w:cs="Times New Roman"/>
        </w:rPr>
        <w:t>meddele urigtige eller vil</w:t>
      </w:r>
      <w:r w:rsidRPr="00981FCE">
        <w:rPr>
          <w:rFonts w:ascii="Times New Roman" w:hAnsi="Times New Roman" w:cs="Times New Roman"/>
        </w:rPr>
        <w:t>d</w:t>
      </w:r>
      <w:r w:rsidRPr="00981FCE">
        <w:rPr>
          <w:rFonts w:ascii="Times New Roman" w:hAnsi="Times New Roman" w:cs="Times New Roman"/>
        </w:rPr>
        <w:t>ledende oplysninger eller ved svigagtig fortielse</w:t>
      </w:r>
      <w:r>
        <w:rPr>
          <w:rFonts w:ascii="Times New Roman" w:hAnsi="Times New Roman" w:cs="Times New Roman"/>
        </w:rPr>
        <w:t xml:space="preserve">. </w:t>
      </w:r>
    </w:p>
    <w:p w14:paraId="4626A36F" w14:textId="6ED2243F" w:rsidR="00DD4E9E" w:rsidRDefault="00DD4E9E" w:rsidP="00DD4E9E">
      <w:pPr>
        <w:pStyle w:val="normalind9"/>
        <w:spacing w:line="276" w:lineRule="auto"/>
        <w:ind w:firstLine="0"/>
        <w:rPr>
          <w:rStyle w:val="Sidetal"/>
          <w:rFonts w:ascii="Times New Roman" w:hAnsi="Times New Roman" w:cs="Times New Roman"/>
        </w:rPr>
      </w:pPr>
      <w:r>
        <w:rPr>
          <w:rFonts w:ascii="Times New Roman" w:hAnsi="Times New Roman" w:cs="Times New Roman"/>
        </w:rPr>
        <w:t xml:space="preserve">På samme måde </w:t>
      </w:r>
      <w:r>
        <w:rPr>
          <w:rStyle w:val="Sidetal"/>
          <w:rFonts w:ascii="Times New Roman" w:hAnsi="Times New Roman" w:cs="Times New Roman"/>
        </w:rPr>
        <w:t>foranstaltes den, der giver urigtige oplysninger om navn, bopæl eller stilling i forbindelse med henvendelser vedr</w:t>
      </w:r>
      <w:r w:rsidR="00D57364">
        <w:rPr>
          <w:rStyle w:val="Sidetal"/>
          <w:rFonts w:ascii="Times New Roman" w:hAnsi="Times New Roman" w:cs="Times New Roman"/>
        </w:rPr>
        <w:t>ørende</w:t>
      </w:r>
      <w:r>
        <w:rPr>
          <w:rStyle w:val="Sidetal"/>
          <w:rFonts w:ascii="Times New Roman" w:hAnsi="Times New Roman" w:cs="Times New Roman"/>
        </w:rPr>
        <w:t xml:space="preserve"> recept eller rekvisition af euforiserende stoffer i henhold til § 1.</w:t>
      </w:r>
    </w:p>
    <w:p w14:paraId="4C8C7F32" w14:textId="7D4A07E9" w:rsidR="005268E4" w:rsidRPr="00757CB2" w:rsidRDefault="005268E4" w:rsidP="008D5FF9">
      <w:pPr>
        <w:pStyle w:val="normalind9"/>
        <w:spacing w:line="276" w:lineRule="auto"/>
        <w:ind w:firstLine="0"/>
        <w:rPr>
          <w:rFonts w:ascii="Times New Roman" w:hAnsi="Times New Roman"/>
        </w:rPr>
      </w:pPr>
    </w:p>
    <w:p w14:paraId="6824B6FB" w14:textId="7AB5D8E6" w:rsidR="00DD4E9E" w:rsidRPr="002F0482" w:rsidRDefault="00DD4E9E" w:rsidP="00DD4E9E">
      <w:pPr>
        <w:spacing w:line="276" w:lineRule="auto"/>
        <w:ind w:left="0"/>
        <w:jc w:val="center"/>
        <w:rPr>
          <w:rFonts w:ascii="Times New Roman" w:hAnsi="Times New Roman" w:cs="Times New Roman"/>
          <w:i/>
          <w:sz w:val="24"/>
          <w:szCs w:val="24"/>
        </w:rPr>
      </w:pPr>
      <w:r w:rsidRPr="00757CB2">
        <w:rPr>
          <w:rFonts w:ascii="Times New Roman" w:hAnsi="Times New Roman"/>
          <w:i/>
          <w:sz w:val="24"/>
        </w:rPr>
        <w:t xml:space="preserve">Til </w:t>
      </w:r>
      <w:r w:rsidRPr="002F0482">
        <w:rPr>
          <w:rFonts w:ascii="Times New Roman" w:hAnsi="Times New Roman" w:cs="Times New Roman"/>
          <w:i/>
          <w:sz w:val="24"/>
          <w:szCs w:val="24"/>
        </w:rPr>
        <w:t xml:space="preserve">§ </w:t>
      </w:r>
      <w:r w:rsidR="0018089E">
        <w:rPr>
          <w:rFonts w:ascii="Times New Roman" w:hAnsi="Times New Roman" w:cs="Times New Roman"/>
          <w:i/>
          <w:sz w:val="24"/>
          <w:szCs w:val="24"/>
        </w:rPr>
        <w:t>7</w:t>
      </w:r>
    </w:p>
    <w:p w14:paraId="3FE6A4D3" w14:textId="444DA70E" w:rsidR="00DD4E9E" w:rsidRDefault="00DD4E9E" w:rsidP="00DD4E9E">
      <w:pPr>
        <w:pStyle w:val="normalind9"/>
        <w:spacing w:line="276" w:lineRule="auto"/>
        <w:ind w:firstLine="0"/>
        <w:rPr>
          <w:rFonts w:ascii="Times New Roman" w:hAnsi="Times New Roman" w:cs="Times New Roman"/>
        </w:rPr>
      </w:pPr>
      <w:r>
        <w:rPr>
          <w:rStyle w:val="Sidetal"/>
          <w:rFonts w:ascii="Times New Roman" w:hAnsi="Times New Roman" w:cs="Times New Roman"/>
        </w:rPr>
        <w:t xml:space="preserve">Med denne bestemmelse hjemles foranstaltninger til dem der måtte yde </w:t>
      </w:r>
      <w:r w:rsidR="006B47B3">
        <w:rPr>
          <w:rStyle w:val="Sidetal"/>
          <w:rFonts w:ascii="Times New Roman" w:hAnsi="Times New Roman" w:cs="Times New Roman"/>
        </w:rPr>
        <w:t xml:space="preserve">hjælp eller </w:t>
      </w:r>
      <w:r>
        <w:rPr>
          <w:rStyle w:val="Sidetal"/>
          <w:rFonts w:ascii="Times New Roman" w:hAnsi="Times New Roman" w:cs="Times New Roman"/>
        </w:rPr>
        <w:t>deltage i lovovertrædelser af denne Inatsisartutlov, uanset om deltagelsen sker i form af modtagelse eller deling af vinding med sig selv eller andre. Medhjælpere foranstaltes på samme vis, ua</w:t>
      </w:r>
      <w:r>
        <w:rPr>
          <w:rStyle w:val="Sidetal"/>
          <w:rFonts w:ascii="Times New Roman" w:hAnsi="Times New Roman" w:cs="Times New Roman"/>
        </w:rPr>
        <w:t>n</w:t>
      </w:r>
      <w:r>
        <w:rPr>
          <w:rStyle w:val="Sidetal"/>
          <w:rFonts w:ascii="Times New Roman" w:hAnsi="Times New Roman" w:cs="Times New Roman"/>
        </w:rPr>
        <w:t xml:space="preserve">set om medhjælpen består af </w:t>
      </w:r>
      <w:r w:rsidRPr="00981FCE">
        <w:rPr>
          <w:rFonts w:ascii="Times New Roman" w:hAnsi="Times New Roman" w:cs="Times New Roman"/>
        </w:rPr>
        <w:t>opbevaring, transport, hjælp til afhændelse</w:t>
      </w:r>
      <w:r>
        <w:rPr>
          <w:rFonts w:ascii="Times New Roman" w:hAnsi="Times New Roman" w:cs="Times New Roman"/>
        </w:rPr>
        <w:t xml:space="preserve"> eller enhver anden deltagelse i sikring af udbyttet fra en lovovertrædelse.</w:t>
      </w:r>
    </w:p>
    <w:p w14:paraId="1EB34322" w14:textId="77777777" w:rsidR="00DD4E9E" w:rsidRDefault="00DD4E9E" w:rsidP="00DD4E9E">
      <w:pPr>
        <w:pStyle w:val="normalind9"/>
        <w:spacing w:line="276" w:lineRule="auto"/>
        <w:ind w:firstLine="0"/>
        <w:rPr>
          <w:rFonts w:ascii="Times New Roman" w:hAnsi="Times New Roman" w:cs="Times New Roman"/>
        </w:rPr>
      </w:pPr>
    </w:p>
    <w:p w14:paraId="0E4E14E3" w14:textId="77777777" w:rsidR="00DD4E9E" w:rsidRDefault="00DD4E9E" w:rsidP="00DD4E9E">
      <w:pPr>
        <w:pStyle w:val="normalind9"/>
        <w:spacing w:line="276" w:lineRule="auto"/>
        <w:ind w:firstLine="0"/>
        <w:rPr>
          <w:rStyle w:val="Sidetal"/>
          <w:rFonts w:ascii="Times New Roman" w:hAnsi="Times New Roman" w:cs="Times New Roman"/>
        </w:rPr>
      </w:pPr>
      <w:r>
        <w:rPr>
          <w:rFonts w:ascii="Times New Roman" w:hAnsi="Times New Roman" w:cs="Times New Roman"/>
        </w:rPr>
        <w:t xml:space="preserve">Det skal bemærkes, at der alene kan ske foranstaltninger, hvis deltagelsen eller medhjælpen er sket forsætligt. </w:t>
      </w:r>
    </w:p>
    <w:p w14:paraId="1C1E824A" w14:textId="77777777" w:rsidR="00DD4E9E" w:rsidRPr="00757CB2" w:rsidRDefault="00DD4E9E" w:rsidP="008D5FF9">
      <w:pPr>
        <w:pStyle w:val="normalind9"/>
        <w:spacing w:line="276" w:lineRule="auto"/>
        <w:ind w:firstLine="0"/>
        <w:rPr>
          <w:rFonts w:ascii="Times New Roman" w:hAnsi="Times New Roman"/>
        </w:rPr>
      </w:pPr>
    </w:p>
    <w:p w14:paraId="596188C1" w14:textId="049CFD4A" w:rsidR="005268E4" w:rsidRPr="002F0482" w:rsidRDefault="007A7246" w:rsidP="008D5FF9">
      <w:pPr>
        <w:spacing w:line="276" w:lineRule="auto"/>
        <w:ind w:left="0"/>
        <w:jc w:val="center"/>
        <w:rPr>
          <w:rFonts w:ascii="Times New Roman" w:hAnsi="Times New Roman" w:cs="Times New Roman"/>
          <w:i/>
          <w:sz w:val="24"/>
          <w:szCs w:val="24"/>
        </w:rPr>
      </w:pPr>
      <w:r w:rsidRPr="00757CB2">
        <w:rPr>
          <w:rFonts w:ascii="Times New Roman" w:hAnsi="Times New Roman"/>
          <w:i/>
          <w:sz w:val="24"/>
        </w:rPr>
        <w:t xml:space="preserve">Til </w:t>
      </w:r>
      <w:r w:rsidRPr="002F0482">
        <w:rPr>
          <w:rFonts w:ascii="Times New Roman" w:hAnsi="Times New Roman" w:cs="Times New Roman"/>
          <w:i/>
          <w:sz w:val="24"/>
          <w:szCs w:val="24"/>
        </w:rPr>
        <w:t xml:space="preserve">§ </w:t>
      </w:r>
      <w:r w:rsidR="0018089E">
        <w:rPr>
          <w:rFonts w:ascii="Times New Roman" w:hAnsi="Times New Roman" w:cs="Times New Roman"/>
          <w:i/>
          <w:sz w:val="24"/>
          <w:szCs w:val="24"/>
        </w:rPr>
        <w:t>8</w:t>
      </w:r>
    </w:p>
    <w:p w14:paraId="0DC82AE2" w14:textId="522563E4" w:rsidR="005268E4" w:rsidRPr="002F0482" w:rsidRDefault="00534053" w:rsidP="008D5FF9">
      <w:p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Til stk. 1.</w:t>
      </w:r>
    </w:p>
    <w:p w14:paraId="5321E09D" w14:textId="7022001E" w:rsidR="005268E4" w:rsidRPr="002F0482" w:rsidRDefault="005268E4" w:rsidP="008D5FF9">
      <w:pPr>
        <w:spacing w:line="276" w:lineRule="auto"/>
        <w:ind w:left="0"/>
        <w:jc w:val="both"/>
        <w:rPr>
          <w:rFonts w:ascii="Times New Roman" w:hAnsi="Times New Roman" w:cs="Times New Roman"/>
          <w:sz w:val="24"/>
          <w:szCs w:val="24"/>
        </w:rPr>
      </w:pPr>
      <w:r w:rsidRPr="002F0482">
        <w:rPr>
          <w:rFonts w:ascii="Times New Roman" w:hAnsi="Times New Roman" w:cs="Times New Roman"/>
          <w:sz w:val="24"/>
          <w:szCs w:val="24"/>
        </w:rPr>
        <w:t xml:space="preserve">Det foreslås, at </w:t>
      </w:r>
      <w:r w:rsidR="0039792A">
        <w:rPr>
          <w:rFonts w:ascii="Times New Roman" w:hAnsi="Times New Roman" w:cs="Times New Roman"/>
          <w:sz w:val="24"/>
          <w:szCs w:val="24"/>
        </w:rPr>
        <w:t>I</w:t>
      </w:r>
      <w:r w:rsidR="00546D22">
        <w:rPr>
          <w:rFonts w:ascii="Times New Roman" w:hAnsi="Times New Roman" w:cs="Times New Roman"/>
          <w:sz w:val="24"/>
          <w:szCs w:val="24"/>
        </w:rPr>
        <w:t>natsisartut</w:t>
      </w:r>
      <w:r w:rsidRPr="002F0482">
        <w:rPr>
          <w:rFonts w:ascii="Times New Roman" w:hAnsi="Times New Roman" w:cs="Times New Roman"/>
          <w:sz w:val="24"/>
          <w:szCs w:val="24"/>
        </w:rPr>
        <w:t xml:space="preserve">loven træder i kraft den </w:t>
      </w:r>
      <w:r w:rsidR="002430FB" w:rsidRPr="00AC5883">
        <w:rPr>
          <w:rFonts w:ascii="Times New Roman" w:hAnsi="Times New Roman" w:cs="Times New Roman"/>
          <w:sz w:val="24"/>
          <w:szCs w:val="24"/>
        </w:rPr>
        <w:t>1. januar 202</w:t>
      </w:r>
      <w:r w:rsidR="00534053">
        <w:rPr>
          <w:rFonts w:ascii="Times New Roman" w:hAnsi="Times New Roman" w:cs="Times New Roman"/>
          <w:sz w:val="24"/>
          <w:szCs w:val="24"/>
        </w:rPr>
        <w:t>3</w:t>
      </w:r>
      <w:r w:rsidR="002430FB" w:rsidRPr="00AC5883">
        <w:rPr>
          <w:rFonts w:ascii="Times New Roman" w:hAnsi="Times New Roman" w:cs="Times New Roman"/>
          <w:sz w:val="24"/>
          <w:szCs w:val="24"/>
        </w:rPr>
        <w:t>.</w:t>
      </w:r>
    </w:p>
    <w:p w14:paraId="48B276CF" w14:textId="7F75F43F" w:rsidR="003431DF" w:rsidRDefault="003431DF" w:rsidP="008D5FF9">
      <w:pPr>
        <w:spacing w:line="276" w:lineRule="auto"/>
        <w:ind w:left="0"/>
        <w:jc w:val="both"/>
        <w:rPr>
          <w:rFonts w:ascii="Times New Roman" w:hAnsi="Times New Roman" w:cs="Times New Roman"/>
          <w:sz w:val="24"/>
          <w:szCs w:val="24"/>
        </w:rPr>
      </w:pPr>
    </w:p>
    <w:p w14:paraId="6B280D98" w14:textId="2DC8AF23" w:rsidR="00534053" w:rsidRPr="002F0482" w:rsidRDefault="00534053" w:rsidP="008D5FF9">
      <w:pPr>
        <w:spacing w:line="276" w:lineRule="auto"/>
        <w:ind w:left="0"/>
        <w:jc w:val="both"/>
        <w:rPr>
          <w:rFonts w:ascii="Times New Roman" w:hAnsi="Times New Roman" w:cs="Times New Roman"/>
          <w:sz w:val="24"/>
          <w:szCs w:val="24"/>
        </w:rPr>
      </w:pPr>
      <w:r>
        <w:rPr>
          <w:rFonts w:ascii="Times New Roman" w:hAnsi="Times New Roman" w:cs="Times New Roman"/>
          <w:sz w:val="24"/>
          <w:szCs w:val="24"/>
        </w:rPr>
        <w:t>Til stk. 2.</w:t>
      </w:r>
    </w:p>
    <w:p w14:paraId="0F840DD7" w14:textId="444B6C24" w:rsidR="00247487" w:rsidRPr="002F0482" w:rsidRDefault="00247487" w:rsidP="008D5FF9">
      <w:pPr>
        <w:spacing w:line="276" w:lineRule="auto"/>
        <w:ind w:left="0"/>
        <w:jc w:val="both"/>
        <w:rPr>
          <w:rFonts w:ascii="Times New Roman" w:hAnsi="Times New Roman" w:cs="Times New Roman"/>
          <w:sz w:val="24"/>
          <w:szCs w:val="24"/>
        </w:rPr>
      </w:pPr>
      <w:r w:rsidRPr="002F0482">
        <w:rPr>
          <w:rFonts w:ascii="Times New Roman" w:hAnsi="Times New Roman" w:cs="Times New Roman"/>
          <w:sz w:val="24"/>
          <w:szCs w:val="24"/>
        </w:rPr>
        <w:t>Samtidig med at Inatsisartutloven træder i kraft vil lov nr. 169 af 24. maj 1955 om euforis</w:t>
      </w:r>
      <w:r w:rsidRPr="002F0482">
        <w:rPr>
          <w:rFonts w:ascii="Times New Roman" w:hAnsi="Times New Roman" w:cs="Times New Roman"/>
          <w:sz w:val="24"/>
          <w:szCs w:val="24"/>
        </w:rPr>
        <w:t>e</w:t>
      </w:r>
      <w:r w:rsidRPr="002F0482">
        <w:rPr>
          <w:rFonts w:ascii="Times New Roman" w:hAnsi="Times New Roman" w:cs="Times New Roman"/>
          <w:sz w:val="24"/>
          <w:szCs w:val="24"/>
        </w:rPr>
        <w:t>rende stoffer ikke længere være gældende for Grønland.</w:t>
      </w:r>
    </w:p>
    <w:p w14:paraId="504D11FE" w14:textId="4CE109E2" w:rsidR="00B255B3" w:rsidRDefault="00247487" w:rsidP="008D5FF9">
      <w:pPr>
        <w:spacing w:line="276" w:lineRule="auto"/>
        <w:ind w:left="0"/>
        <w:jc w:val="both"/>
        <w:rPr>
          <w:rFonts w:ascii="Times New Roman" w:hAnsi="Times New Roman" w:cs="Times New Roman"/>
          <w:sz w:val="24"/>
          <w:szCs w:val="24"/>
        </w:rPr>
      </w:pPr>
      <w:r w:rsidRPr="002F0482">
        <w:rPr>
          <w:rFonts w:ascii="Times New Roman" w:hAnsi="Times New Roman" w:cs="Times New Roman"/>
          <w:sz w:val="24"/>
          <w:szCs w:val="24"/>
        </w:rPr>
        <w:t>Når hovedloven ikke længere er gælde</w:t>
      </w:r>
      <w:r w:rsidR="0030209C" w:rsidRPr="002F0482">
        <w:rPr>
          <w:rFonts w:ascii="Times New Roman" w:hAnsi="Times New Roman" w:cs="Times New Roman"/>
          <w:sz w:val="24"/>
          <w:szCs w:val="24"/>
        </w:rPr>
        <w:t>nde</w:t>
      </w:r>
      <w:r w:rsidRPr="002F0482">
        <w:rPr>
          <w:rFonts w:ascii="Times New Roman" w:hAnsi="Times New Roman" w:cs="Times New Roman"/>
          <w:sz w:val="24"/>
          <w:szCs w:val="24"/>
        </w:rPr>
        <w:t xml:space="preserve"> for Grønland</w:t>
      </w:r>
      <w:r w:rsidR="00534053">
        <w:rPr>
          <w:rFonts w:ascii="Times New Roman" w:hAnsi="Times New Roman" w:cs="Times New Roman"/>
          <w:sz w:val="24"/>
          <w:szCs w:val="24"/>
        </w:rPr>
        <w:t>,</w:t>
      </w:r>
      <w:r w:rsidRPr="002F0482">
        <w:rPr>
          <w:rFonts w:ascii="Times New Roman" w:hAnsi="Times New Roman" w:cs="Times New Roman"/>
          <w:sz w:val="24"/>
          <w:szCs w:val="24"/>
        </w:rPr>
        <w:t xml:space="preserve"> vil alle ændringslove og bekendtg</w:t>
      </w:r>
      <w:r w:rsidRPr="002F0482">
        <w:rPr>
          <w:rFonts w:ascii="Times New Roman" w:hAnsi="Times New Roman" w:cs="Times New Roman"/>
          <w:sz w:val="24"/>
          <w:szCs w:val="24"/>
        </w:rPr>
        <w:t>ø</w:t>
      </w:r>
      <w:r w:rsidRPr="002F0482">
        <w:rPr>
          <w:rFonts w:ascii="Times New Roman" w:hAnsi="Times New Roman" w:cs="Times New Roman"/>
          <w:sz w:val="24"/>
          <w:szCs w:val="24"/>
        </w:rPr>
        <w:t xml:space="preserve">relser </w:t>
      </w:r>
      <w:r w:rsidR="000C2CA2" w:rsidRPr="002F0482">
        <w:rPr>
          <w:rFonts w:ascii="Times New Roman" w:hAnsi="Times New Roman" w:cs="Times New Roman"/>
          <w:sz w:val="24"/>
          <w:szCs w:val="24"/>
        </w:rPr>
        <w:t xml:space="preserve">med hjemmel i </w:t>
      </w:r>
      <w:r w:rsidR="0030209C" w:rsidRPr="002F0482">
        <w:rPr>
          <w:rFonts w:ascii="Times New Roman" w:hAnsi="Times New Roman" w:cs="Times New Roman"/>
          <w:sz w:val="24"/>
          <w:szCs w:val="24"/>
        </w:rPr>
        <w:t>denne</w:t>
      </w:r>
      <w:r w:rsidR="000C2CA2" w:rsidRPr="002F0482">
        <w:rPr>
          <w:rFonts w:ascii="Times New Roman" w:hAnsi="Times New Roman" w:cs="Times New Roman"/>
          <w:sz w:val="24"/>
          <w:szCs w:val="24"/>
        </w:rPr>
        <w:t xml:space="preserve"> ligeledes ikke længere være gældende for Grønland. Den danske Lovbekendtgørelse nr. 391 af 21. juli 1969 om euforiserende stoffer vil derfor ej heller gælde for Grønland.</w:t>
      </w:r>
    </w:p>
    <w:p w14:paraId="55E2DA63" w14:textId="77777777" w:rsidR="00B255B3" w:rsidRDefault="00B255B3">
      <w:pPr>
        <w:rPr>
          <w:rFonts w:ascii="Times New Roman" w:hAnsi="Times New Roman" w:cs="Times New Roman"/>
          <w:sz w:val="24"/>
          <w:szCs w:val="24"/>
        </w:rPr>
      </w:pPr>
      <w:r>
        <w:rPr>
          <w:rFonts w:ascii="Times New Roman" w:hAnsi="Times New Roman" w:cs="Times New Roman"/>
          <w:sz w:val="24"/>
          <w:szCs w:val="24"/>
        </w:rPr>
        <w:br w:type="page"/>
      </w:r>
    </w:p>
    <w:p w14:paraId="7AE0DAE8" w14:textId="2329700C" w:rsidR="00B255B3" w:rsidRPr="00C818E4" w:rsidRDefault="00B255B3" w:rsidP="00C818E4">
      <w:pPr>
        <w:autoSpaceDE w:val="0"/>
        <w:autoSpaceDN w:val="0"/>
        <w:adjustRightInd w:val="0"/>
        <w:spacing w:line="276" w:lineRule="auto"/>
        <w:ind w:left="0"/>
        <w:jc w:val="right"/>
        <w:rPr>
          <w:rFonts w:ascii="Times New Roman" w:hAnsi="Times New Roman" w:cs="Times New Roman"/>
          <w:b/>
          <w:bCs/>
          <w:color w:val="000000"/>
          <w:sz w:val="24"/>
          <w:szCs w:val="24"/>
        </w:rPr>
      </w:pPr>
      <w:r w:rsidRPr="00C818E4">
        <w:rPr>
          <w:rFonts w:ascii="Times New Roman" w:hAnsi="Times New Roman" w:cs="Times New Roman"/>
          <w:b/>
          <w:bCs/>
          <w:color w:val="000000"/>
          <w:sz w:val="24"/>
          <w:szCs w:val="24"/>
        </w:rPr>
        <w:lastRenderedPageBreak/>
        <w:t>Bilag 1</w:t>
      </w:r>
    </w:p>
    <w:p w14:paraId="7CB85C09" w14:textId="77777777" w:rsidR="00B255B3" w:rsidRPr="002F0482" w:rsidRDefault="00B255B3" w:rsidP="00B255B3">
      <w:pPr>
        <w:autoSpaceDE w:val="0"/>
        <w:autoSpaceDN w:val="0"/>
        <w:adjustRightInd w:val="0"/>
        <w:spacing w:line="276" w:lineRule="auto"/>
        <w:ind w:left="0"/>
        <w:jc w:val="both"/>
        <w:rPr>
          <w:rFonts w:ascii="Times New Roman" w:hAnsi="Times New Roman" w:cs="Times New Roman"/>
          <w:color w:val="000000"/>
          <w:sz w:val="24"/>
          <w:szCs w:val="24"/>
        </w:rPr>
      </w:pPr>
    </w:p>
    <w:p w14:paraId="07CF17C8" w14:textId="7FD31557" w:rsidR="001418B7" w:rsidRDefault="0039792A" w:rsidP="0039792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Høringsnotat</w:t>
      </w:r>
      <w:r w:rsidR="001418B7">
        <w:rPr>
          <w:rFonts w:ascii="Times New Roman" w:hAnsi="Times New Roman" w:cs="Times New Roman"/>
          <w:b/>
          <w:bCs/>
          <w:color w:val="000000"/>
          <w:sz w:val="24"/>
          <w:szCs w:val="24"/>
        </w:rPr>
        <w:br w:type="page"/>
      </w:r>
    </w:p>
    <w:p w14:paraId="2D17EE96" w14:textId="57B0AA07" w:rsidR="001418B7" w:rsidRPr="00C818E4" w:rsidRDefault="001418B7" w:rsidP="001418B7">
      <w:pPr>
        <w:autoSpaceDE w:val="0"/>
        <w:autoSpaceDN w:val="0"/>
        <w:adjustRightInd w:val="0"/>
        <w:spacing w:line="276" w:lineRule="auto"/>
        <w:ind w:left="0"/>
        <w:jc w:val="right"/>
        <w:rPr>
          <w:rFonts w:ascii="Times New Roman" w:hAnsi="Times New Roman" w:cs="Times New Roman"/>
          <w:b/>
          <w:bCs/>
          <w:color w:val="000000"/>
          <w:sz w:val="24"/>
          <w:szCs w:val="24"/>
        </w:rPr>
      </w:pPr>
      <w:r w:rsidRPr="00C818E4">
        <w:rPr>
          <w:rFonts w:ascii="Times New Roman" w:hAnsi="Times New Roman" w:cs="Times New Roman"/>
          <w:b/>
          <w:bCs/>
          <w:color w:val="000000"/>
          <w:sz w:val="24"/>
          <w:szCs w:val="24"/>
        </w:rPr>
        <w:lastRenderedPageBreak/>
        <w:t xml:space="preserve">Bilag </w:t>
      </w:r>
      <w:r>
        <w:rPr>
          <w:rFonts w:ascii="Times New Roman" w:hAnsi="Times New Roman" w:cs="Times New Roman"/>
          <w:b/>
          <w:bCs/>
          <w:color w:val="000000"/>
          <w:sz w:val="24"/>
          <w:szCs w:val="24"/>
        </w:rPr>
        <w:t>2</w:t>
      </w:r>
    </w:p>
    <w:p w14:paraId="2B054C86" w14:textId="77777777" w:rsidR="001418B7" w:rsidRPr="0039792A" w:rsidRDefault="001418B7" w:rsidP="00875F54">
      <w:pPr>
        <w:jc w:val="center"/>
        <w:rPr>
          <w:rFonts w:ascii="Times New Roman" w:hAnsi="Times New Roman" w:cs="Times New Roman"/>
          <w:color w:val="000000"/>
          <w:sz w:val="24"/>
          <w:szCs w:val="24"/>
        </w:rPr>
      </w:pPr>
      <w:r w:rsidRPr="0039792A">
        <w:rPr>
          <w:rFonts w:ascii="Times New Roman" w:hAnsi="Times New Roman" w:cs="Times New Roman"/>
          <w:color w:val="000000"/>
          <w:sz w:val="24"/>
          <w:szCs w:val="24"/>
        </w:rPr>
        <w:t>Forslag til:</w:t>
      </w:r>
    </w:p>
    <w:p w14:paraId="0555867A" w14:textId="77777777" w:rsidR="001418B7" w:rsidRPr="0039792A" w:rsidRDefault="001418B7" w:rsidP="0039792A">
      <w:pPr>
        <w:jc w:val="center"/>
        <w:rPr>
          <w:rFonts w:ascii="Times New Roman" w:hAnsi="Times New Roman" w:cs="Times New Roman"/>
          <w:color w:val="000000"/>
          <w:sz w:val="24"/>
          <w:szCs w:val="24"/>
        </w:rPr>
      </w:pPr>
    </w:p>
    <w:p w14:paraId="3D14A8F9" w14:textId="3C34F106" w:rsidR="001418B7" w:rsidRPr="0039792A" w:rsidRDefault="001418B7" w:rsidP="0039792A">
      <w:pPr>
        <w:jc w:val="center"/>
        <w:rPr>
          <w:rFonts w:ascii="Times New Roman" w:hAnsi="Times New Roman" w:cs="Times New Roman"/>
          <w:color w:val="000000"/>
          <w:sz w:val="24"/>
          <w:szCs w:val="24"/>
        </w:rPr>
      </w:pPr>
      <w:r w:rsidRPr="0039792A">
        <w:rPr>
          <w:rFonts w:ascii="Times New Roman" w:hAnsi="Times New Roman" w:cs="Times New Roman"/>
          <w:color w:val="000000"/>
          <w:sz w:val="24"/>
          <w:szCs w:val="24"/>
        </w:rPr>
        <w:t>Bilag 2 til Inatsisartutlov</w:t>
      </w:r>
      <w:r w:rsidR="00875F54">
        <w:rPr>
          <w:rFonts w:ascii="Times New Roman" w:hAnsi="Times New Roman" w:cs="Times New Roman"/>
          <w:color w:val="000000"/>
          <w:sz w:val="24"/>
          <w:szCs w:val="24"/>
        </w:rPr>
        <w:t xml:space="preserve"> </w:t>
      </w:r>
      <w:r w:rsidRPr="0039792A">
        <w:rPr>
          <w:rFonts w:ascii="Times New Roman" w:hAnsi="Times New Roman" w:cs="Times New Roman"/>
          <w:color w:val="000000"/>
          <w:sz w:val="24"/>
          <w:szCs w:val="24"/>
        </w:rPr>
        <w:t>om euforiserende stoffer</w:t>
      </w:r>
    </w:p>
    <w:p w14:paraId="5CA32A34" w14:textId="77777777" w:rsidR="001418B7" w:rsidRPr="0039792A" w:rsidRDefault="001418B7" w:rsidP="00875F54">
      <w:pPr>
        <w:jc w:val="center"/>
        <w:rPr>
          <w:rFonts w:ascii="Times New Roman" w:hAnsi="Times New Roman" w:cs="Times New Roman"/>
          <w:color w:val="000000"/>
          <w:sz w:val="24"/>
          <w:szCs w:val="24"/>
        </w:rPr>
      </w:pPr>
    </w:p>
    <w:p w14:paraId="7A96ED3F" w14:textId="77777777" w:rsidR="001418B7" w:rsidRPr="0039792A" w:rsidRDefault="001418B7" w:rsidP="00875F54">
      <w:pPr>
        <w:jc w:val="center"/>
        <w:rPr>
          <w:rFonts w:ascii="Times New Roman" w:hAnsi="Times New Roman" w:cs="Times New Roman"/>
          <w:color w:val="000000"/>
          <w:sz w:val="24"/>
          <w:szCs w:val="24"/>
        </w:rPr>
      </w:pPr>
      <w:r w:rsidRPr="0039792A">
        <w:rPr>
          <w:rFonts w:ascii="Times New Roman" w:hAnsi="Times New Roman" w:cs="Times New Roman"/>
          <w:color w:val="000000"/>
          <w:sz w:val="24"/>
          <w:szCs w:val="24"/>
        </w:rPr>
        <w:t>Sanktionsskema</w:t>
      </w:r>
    </w:p>
    <w:p w14:paraId="0B187A5C" w14:textId="77777777" w:rsidR="001418B7" w:rsidRPr="0039792A" w:rsidRDefault="001418B7" w:rsidP="00875F54">
      <w:pPr>
        <w:rPr>
          <w:rFonts w:ascii="Times New Roman" w:hAnsi="Times New Roman" w:cs="Times New Roman"/>
          <w:i/>
          <w:sz w:val="24"/>
          <w:szCs w:val="24"/>
        </w:rPr>
      </w:pPr>
    </w:p>
    <w:p w14:paraId="451AC143" w14:textId="77777777" w:rsidR="001418B7" w:rsidRPr="0039792A" w:rsidRDefault="001418B7" w:rsidP="0039792A">
      <w:pPr>
        <w:pStyle w:val="Overskrift1"/>
        <w:spacing w:before="0"/>
        <w:rPr>
          <w:rFonts w:ascii="Times New Roman" w:hAnsi="Times New Roman" w:cs="Times New Roman"/>
          <w:sz w:val="24"/>
          <w:szCs w:val="24"/>
        </w:rPr>
      </w:pPr>
      <w:r w:rsidRPr="0039792A">
        <w:rPr>
          <w:rFonts w:ascii="Times New Roman" w:hAnsi="Times New Roman" w:cs="Times New Roman"/>
          <w:sz w:val="24"/>
          <w:szCs w:val="24"/>
        </w:rPr>
        <w:t>1. Indledning</w:t>
      </w:r>
    </w:p>
    <w:p w14:paraId="2E74F6C4" w14:textId="36A9C6EE" w:rsidR="001418B7" w:rsidRPr="0039792A" w:rsidRDefault="001418B7" w:rsidP="0039792A">
      <w:pPr>
        <w:rPr>
          <w:rFonts w:ascii="Times New Roman" w:hAnsi="Times New Roman" w:cs="Times New Roman"/>
          <w:color w:val="000000"/>
          <w:sz w:val="24"/>
          <w:szCs w:val="24"/>
        </w:rPr>
      </w:pPr>
      <w:r w:rsidRPr="0039792A">
        <w:rPr>
          <w:rFonts w:ascii="Times New Roman" w:hAnsi="Times New Roman" w:cs="Times New Roman"/>
          <w:color w:val="000000"/>
          <w:sz w:val="24"/>
          <w:szCs w:val="24"/>
        </w:rPr>
        <w:t>I henhold til § 1 kan Naalakkersuisut fastsætte regler</w:t>
      </w:r>
      <w:r w:rsidR="00861DEF">
        <w:rPr>
          <w:rFonts w:ascii="Times New Roman" w:hAnsi="Times New Roman" w:cs="Times New Roman"/>
          <w:color w:val="000000"/>
          <w:sz w:val="24"/>
          <w:szCs w:val="24"/>
        </w:rPr>
        <w:t xml:space="preserve">, om </w:t>
      </w:r>
      <w:r w:rsidR="00861DEF" w:rsidRPr="0039792A">
        <w:rPr>
          <w:rFonts w:ascii="Times New Roman" w:hAnsi="Times New Roman" w:cs="Times New Roman"/>
          <w:color w:val="000000"/>
          <w:sz w:val="24"/>
          <w:szCs w:val="24"/>
        </w:rPr>
        <w:t>at en række stoffer ikke må for</w:t>
      </w:r>
      <w:r w:rsidR="00861DEF" w:rsidRPr="0039792A">
        <w:rPr>
          <w:rFonts w:ascii="Times New Roman" w:hAnsi="Times New Roman" w:cs="Times New Roman"/>
          <w:color w:val="000000"/>
          <w:sz w:val="24"/>
          <w:szCs w:val="24"/>
        </w:rPr>
        <w:t>e</w:t>
      </w:r>
      <w:r w:rsidR="00861DEF" w:rsidRPr="0039792A">
        <w:rPr>
          <w:rFonts w:ascii="Times New Roman" w:hAnsi="Times New Roman" w:cs="Times New Roman"/>
          <w:color w:val="000000"/>
          <w:sz w:val="24"/>
          <w:szCs w:val="24"/>
        </w:rPr>
        <w:t>findes i landet eller kun må anvendes til i medicinske eller videnskabelige øjemed</w:t>
      </w:r>
      <w:r w:rsidR="00861DEF">
        <w:rPr>
          <w:rFonts w:ascii="Times New Roman" w:hAnsi="Times New Roman" w:cs="Times New Roman"/>
          <w:color w:val="000000"/>
          <w:sz w:val="24"/>
          <w:szCs w:val="24"/>
        </w:rPr>
        <w:t xml:space="preserve">. </w:t>
      </w:r>
      <w:r w:rsidR="00EC5BCF">
        <w:rPr>
          <w:rFonts w:ascii="Times New Roman" w:hAnsi="Times New Roman" w:cs="Times New Roman"/>
          <w:color w:val="000000"/>
          <w:sz w:val="24"/>
          <w:szCs w:val="24"/>
        </w:rPr>
        <w:t>Den nærmere regulering vedrørende</w:t>
      </w:r>
      <w:r w:rsidRPr="0039792A">
        <w:rPr>
          <w:rFonts w:ascii="Times New Roman" w:hAnsi="Times New Roman" w:cs="Times New Roman"/>
          <w:color w:val="000000"/>
          <w:sz w:val="24"/>
          <w:szCs w:val="24"/>
        </w:rPr>
        <w:t xml:space="preserve"> indførsel, udførsel, overdragelse, køb, salg, udlevering, modtagelse, fremstilling, forarbejdning eller besiddelse af euforiserende stoffer er</w:t>
      </w:r>
      <w:r w:rsidR="00EC5BCF">
        <w:rPr>
          <w:rFonts w:ascii="Times New Roman" w:hAnsi="Times New Roman" w:cs="Times New Roman"/>
          <w:color w:val="000000"/>
          <w:sz w:val="24"/>
          <w:szCs w:val="24"/>
        </w:rPr>
        <w:t xml:space="preserve"> således</w:t>
      </w:r>
      <w:r w:rsidRPr="0039792A">
        <w:rPr>
          <w:rFonts w:ascii="Times New Roman" w:hAnsi="Times New Roman" w:cs="Times New Roman"/>
          <w:color w:val="000000"/>
          <w:sz w:val="24"/>
          <w:szCs w:val="24"/>
        </w:rPr>
        <w:t xml:space="preserve"> fastsat i Selvstyrets bekendtgørelse om euforiserende stoffer.</w:t>
      </w:r>
    </w:p>
    <w:p w14:paraId="582B855C" w14:textId="77777777" w:rsidR="001418B7" w:rsidRPr="0039792A" w:rsidRDefault="001418B7" w:rsidP="0039792A">
      <w:pPr>
        <w:rPr>
          <w:rFonts w:ascii="Times New Roman" w:hAnsi="Times New Roman" w:cs="Times New Roman"/>
          <w:color w:val="000000"/>
          <w:sz w:val="24"/>
          <w:szCs w:val="24"/>
        </w:rPr>
      </w:pPr>
    </w:p>
    <w:p w14:paraId="18A7F131" w14:textId="2A4162B7" w:rsidR="001418B7" w:rsidRPr="0039792A" w:rsidRDefault="001418B7" w:rsidP="0039792A">
      <w:pPr>
        <w:rPr>
          <w:rFonts w:ascii="Times New Roman" w:hAnsi="Times New Roman" w:cs="Times New Roman"/>
          <w:color w:val="000000"/>
          <w:sz w:val="24"/>
          <w:szCs w:val="24"/>
        </w:rPr>
      </w:pPr>
      <w:r w:rsidRPr="0039792A">
        <w:rPr>
          <w:rFonts w:ascii="Times New Roman" w:hAnsi="Times New Roman" w:cs="Times New Roman"/>
          <w:color w:val="000000"/>
          <w:sz w:val="24"/>
          <w:szCs w:val="24"/>
        </w:rPr>
        <w:t>Overtrædelser af bestemmelserne i bekendtgørelsen kan medføre foranstaltninger efter re</w:t>
      </w:r>
      <w:r w:rsidRPr="0039792A">
        <w:rPr>
          <w:rFonts w:ascii="Times New Roman" w:hAnsi="Times New Roman" w:cs="Times New Roman"/>
          <w:color w:val="000000"/>
          <w:sz w:val="24"/>
          <w:szCs w:val="24"/>
        </w:rPr>
        <w:t>g</w:t>
      </w:r>
      <w:r w:rsidRPr="0039792A">
        <w:rPr>
          <w:rFonts w:ascii="Times New Roman" w:hAnsi="Times New Roman" w:cs="Times New Roman"/>
          <w:color w:val="000000"/>
          <w:sz w:val="24"/>
          <w:szCs w:val="24"/>
        </w:rPr>
        <w:t xml:space="preserve">lerne i Kriminallov for Grønland. Nedenfor beskrives et </w:t>
      </w:r>
      <w:r w:rsidR="009345C8">
        <w:rPr>
          <w:rFonts w:ascii="Times New Roman" w:hAnsi="Times New Roman" w:cs="Times New Roman"/>
          <w:color w:val="000000"/>
          <w:sz w:val="24"/>
          <w:szCs w:val="24"/>
        </w:rPr>
        <w:t xml:space="preserve">vejledende </w:t>
      </w:r>
      <w:r w:rsidRPr="0039792A">
        <w:rPr>
          <w:rFonts w:ascii="Times New Roman" w:hAnsi="Times New Roman" w:cs="Times New Roman"/>
          <w:color w:val="000000"/>
          <w:sz w:val="24"/>
          <w:szCs w:val="24"/>
        </w:rPr>
        <w:t>sanktionsskema, som</w:t>
      </w:r>
      <w:r w:rsidR="003945C2">
        <w:rPr>
          <w:rFonts w:ascii="Times New Roman" w:hAnsi="Times New Roman" w:cs="Times New Roman"/>
          <w:color w:val="000000"/>
          <w:sz w:val="24"/>
          <w:szCs w:val="24"/>
        </w:rPr>
        <w:t xml:space="preserve"> er udtryk for normal</w:t>
      </w:r>
      <w:r w:rsidR="00D639B3">
        <w:rPr>
          <w:rFonts w:ascii="Times New Roman" w:hAnsi="Times New Roman" w:cs="Times New Roman"/>
          <w:color w:val="000000"/>
          <w:sz w:val="24"/>
          <w:szCs w:val="24"/>
        </w:rPr>
        <w:t>niveauet</w:t>
      </w:r>
      <w:r w:rsidRPr="0039792A">
        <w:rPr>
          <w:rFonts w:ascii="Times New Roman" w:hAnsi="Times New Roman" w:cs="Times New Roman"/>
          <w:color w:val="000000"/>
          <w:sz w:val="24"/>
          <w:szCs w:val="24"/>
        </w:rPr>
        <w:t xml:space="preserve"> ved udmålingen af foranstaltningerne. </w:t>
      </w:r>
      <w:r w:rsidR="00D639B3">
        <w:rPr>
          <w:rFonts w:ascii="Times New Roman" w:hAnsi="Times New Roman" w:cs="Times New Roman"/>
          <w:color w:val="000000"/>
          <w:sz w:val="24"/>
          <w:szCs w:val="24"/>
        </w:rPr>
        <w:t xml:space="preserve">Der kan således tages udgangspunkt i dette, men det vil </w:t>
      </w:r>
      <w:r w:rsidR="00F43C6C">
        <w:rPr>
          <w:rFonts w:ascii="Times New Roman" w:hAnsi="Times New Roman" w:cs="Times New Roman"/>
          <w:color w:val="000000"/>
          <w:sz w:val="24"/>
          <w:szCs w:val="24"/>
        </w:rPr>
        <w:t xml:space="preserve">altid </w:t>
      </w:r>
      <w:r w:rsidR="00D639B3">
        <w:rPr>
          <w:rFonts w:ascii="Times New Roman" w:hAnsi="Times New Roman" w:cs="Times New Roman"/>
          <w:color w:val="000000"/>
          <w:sz w:val="24"/>
          <w:szCs w:val="24"/>
        </w:rPr>
        <w:t>være op til domstolene at afgøre sanktioneringsn</w:t>
      </w:r>
      <w:r w:rsidR="00D639B3">
        <w:rPr>
          <w:rFonts w:ascii="Times New Roman" w:hAnsi="Times New Roman" w:cs="Times New Roman"/>
          <w:color w:val="000000"/>
          <w:sz w:val="24"/>
          <w:szCs w:val="24"/>
        </w:rPr>
        <w:t>i</w:t>
      </w:r>
      <w:r w:rsidR="00D639B3">
        <w:rPr>
          <w:rFonts w:ascii="Times New Roman" w:hAnsi="Times New Roman" w:cs="Times New Roman"/>
          <w:color w:val="000000"/>
          <w:sz w:val="24"/>
          <w:szCs w:val="24"/>
        </w:rPr>
        <w:t xml:space="preserve">veauet i den konkrete sag ud fra sagens samlede omstændigheder. </w:t>
      </w:r>
      <w:r w:rsidRPr="0039792A">
        <w:rPr>
          <w:rFonts w:ascii="Times New Roman" w:hAnsi="Times New Roman" w:cs="Times New Roman"/>
          <w:color w:val="000000"/>
          <w:sz w:val="24"/>
          <w:szCs w:val="24"/>
        </w:rPr>
        <w:t>Bilaget indeholder yde</w:t>
      </w:r>
      <w:r w:rsidRPr="0039792A">
        <w:rPr>
          <w:rFonts w:ascii="Times New Roman" w:hAnsi="Times New Roman" w:cs="Times New Roman"/>
          <w:color w:val="000000"/>
          <w:sz w:val="24"/>
          <w:szCs w:val="24"/>
        </w:rPr>
        <w:t>r</w:t>
      </w:r>
      <w:r w:rsidRPr="0039792A">
        <w:rPr>
          <w:rFonts w:ascii="Times New Roman" w:hAnsi="Times New Roman" w:cs="Times New Roman"/>
          <w:color w:val="000000"/>
          <w:sz w:val="24"/>
          <w:szCs w:val="24"/>
        </w:rPr>
        <w:t>ligere en beskrivelse af en række omstændigheder, som kan</w:t>
      </w:r>
      <w:r w:rsidR="00D639B3">
        <w:rPr>
          <w:rFonts w:ascii="Times New Roman" w:hAnsi="Times New Roman" w:cs="Times New Roman"/>
          <w:color w:val="000000"/>
          <w:sz w:val="24"/>
          <w:szCs w:val="24"/>
        </w:rPr>
        <w:t xml:space="preserve"> inddrages i overvejelserne om hvorvidt udmålingen skal afvige fra normalniveauet i opad- eller nedadgående retning.</w:t>
      </w:r>
      <w:r w:rsidRPr="0039792A">
        <w:rPr>
          <w:rFonts w:ascii="Times New Roman" w:hAnsi="Times New Roman" w:cs="Times New Roman"/>
          <w:color w:val="000000"/>
          <w:sz w:val="24"/>
          <w:szCs w:val="24"/>
        </w:rPr>
        <w:t xml:space="preserve"> Der skal således altid foretages en individuel vurdering, hvor der lægges vægt på de relevante forhold i den enkelte sag. </w:t>
      </w:r>
    </w:p>
    <w:p w14:paraId="7DDCA550" w14:textId="77777777" w:rsidR="001418B7" w:rsidRPr="0039792A" w:rsidRDefault="001418B7" w:rsidP="0039792A">
      <w:pPr>
        <w:rPr>
          <w:rFonts w:ascii="Times New Roman" w:hAnsi="Times New Roman" w:cs="Times New Roman"/>
          <w:color w:val="000000"/>
          <w:sz w:val="24"/>
          <w:szCs w:val="24"/>
        </w:rPr>
      </w:pPr>
    </w:p>
    <w:p w14:paraId="14BED6F7" w14:textId="77777777" w:rsidR="001418B7" w:rsidRPr="0039792A" w:rsidRDefault="001418B7" w:rsidP="0039792A">
      <w:pPr>
        <w:rPr>
          <w:rFonts w:ascii="Times New Roman" w:hAnsi="Times New Roman" w:cs="Times New Roman"/>
          <w:b/>
          <w:bCs/>
          <w:kern w:val="28"/>
          <w:sz w:val="24"/>
          <w:szCs w:val="24"/>
        </w:rPr>
      </w:pPr>
      <w:r w:rsidRPr="0039792A">
        <w:rPr>
          <w:rFonts w:ascii="Times New Roman" w:hAnsi="Times New Roman" w:cs="Times New Roman"/>
          <w:sz w:val="24"/>
          <w:szCs w:val="24"/>
        </w:rPr>
        <w:br w:type="page"/>
      </w:r>
    </w:p>
    <w:p w14:paraId="78498098" w14:textId="77777777" w:rsidR="001418B7" w:rsidRPr="0039792A" w:rsidRDefault="001418B7" w:rsidP="0039792A">
      <w:pPr>
        <w:pStyle w:val="Overskrift1"/>
        <w:spacing w:before="0"/>
        <w:rPr>
          <w:rFonts w:ascii="Times New Roman" w:hAnsi="Times New Roman" w:cs="Times New Roman"/>
          <w:sz w:val="24"/>
          <w:szCs w:val="24"/>
        </w:rPr>
      </w:pPr>
      <w:r w:rsidRPr="0039792A">
        <w:rPr>
          <w:rFonts w:ascii="Times New Roman" w:hAnsi="Times New Roman" w:cs="Times New Roman"/>
          <w:sz w:val="24"/>
          <w:szCs w:val="24"/>
        </w:rPr>
        <w:lastRenderedPageBreak/>
        <w:t>2. Skærpende omstændigheder</w:t>
      </w:r>
    </w:p>
    <w:p w14:paraId="36D73045" w14:textId="2B79E38F" w:rsidR="001418B7" w:rsidRPr="0039792A" w:rsidRDefault="001418B7" w:rsidP="0039792A">
      <w:pPr>
        <w:rPr>
          <w:rFonts w:ascii="Times New Roman" w:hAnsi="Times New Roman" w:cs="Times New Roman"/>
          <w:color w:val="000000"/>
          <w:sz w:val="24"/>
          <w:szCs w:val="24"/>
        </w:rPr>
      </w:pPr>
      <w:r w:rsidRPr="0039792A">
        <w:rPr>
          <w:rFonts w:ascii="Times New Roman" w:hAnsi="Times New Roman" w:cs="Times New Roman"/>
          <w:color w:val="000000"/>
          <w:sz w:val="24"/>
          <w:szCs w:val="24"/>
        </w:rPr>
        <w:t>Ved udmålingen af foranstaltningerne kan de følgende momenter udgøre skærpende o</w:t>
      </w:r>
      <w:r w:rsidRPr="0039792A">
        <w:rPr>
          <w:rFonts w:ascii="Times New Roman" w:hAnsi="Times New Roman" w:cs="Times New Roman"/>
          <w:color w:val="000000"/>
          <w:sz w:val="24"/>
          <w:szCs w:val="24"/>
        </w:rPr>
        <w:t>m</w:t>
      </w:r>
      <w:r w:rsidRPr="0039792A">
        <w:rPr>
          <w:rFonts w:ascii="Times New Roman" w:hAnsi="Times New Roman" w:cs="Times New Roman"/>
          <w:color w:val="000000"/>
          <w:sz w:val="24"/>
          <w:szCs w:val="24"/>
        </w:rPr>
        <w:t xml:space="preserve">stændigheder, idet hensigten med lovgivningen er at begrænse adgangen til vanedannende stoffer og i særlig grad at </w:t>
      </w:r>
      <w:r w:rsidR="00993054">
        <w:rPr>
          <w:rFonts w:ascii="Times New Roman" w:hAnsi="Times New Roman" w:cs="Times New Roman"/>
          <w:color w:val="000000"/>
          <w:sz w:val="24"/>
          <w:szCs w:val="24"/>
        </w:rPr>
        <w:t>beskytte</w:t>
      </w:r>
      <w:r w:rsidR="00993054" w:rsidRPr="0039792A">
        <w:rPr>
          <w:rFonts w:ascii="Times New Roman" w:hAnsi="Times New Roman" w:cs="Times New Roman"/>
          <w:color w:val="000000"/>
          <w:sz w:val="24"/>
          <w:szCs w:val="24"/>
        </w:rPr>
        <w:t xml:space="preserve"> </w:t>
      </w:r>
      <w:r w:rsidRPr="0039792A">
        <w:rPr>
          <w:rFonts w:ascii="Times New Roman" w:hAnsi="Times New Roman" w:cs="Times New Roman"/>
          <w:color w:val="000000"/>
          <w:sz w:val="24"/>
          <w:szCs w:val="24"/>
        </w:rPr>
        <w:t>udsatte og let</w:t>
      </w:r>
      <w:r w:rsidR="008348A3" w:rsidRPr="0039792A">
        <w:rPr>
          <w:rFonts w:ascii="Times New Roman" w:hAnsi="Times New Roman" w:cs="Times New Roman"/>
          <w:color w:val="000000"/>
          <w:sz w:val="24"/>
          <w:szCs w:val="24"/>
        </w:rPr>
        <w:t>påvirkelige</w:t>
      </w:r>
      <w:r w:rsidRPr="0039792A">
        <w:rPr>
          <w:rFonts w:ascii="Times New Roman" w:hAnsi="Times New Roman" w:cs="Times New Roman"/>
          <w:color w:val="000000"/>
          <w:sz w:val="24"/>
          <w:szCs w:val="24"/>
        </w:rPr>
        <w:t xml:space="preserve"> samfundsgrupper såsom børn og unge. </w:t>
      </w:r>
    </w:p>
    <w:p w14:paraId="78639404" w14:textId="77777777" w:rsidR="001418B7" w:rsidRPr="0039792A" w:rsidRDefault="001418B7" w:rsidP="0039792A">
      <w:pPr>
        <w:rPr>
          <w:rFonts w:ascii="Times New Roman" w:hAnsi="Times New Roman" w:cs="Times New Roman"/>
          <w:color w:val="000000"/>
          <w:sz w:val="24"/>
          <w:szCs w:val="24"/>
        </w:rPr>
      </w:pPr>
    </w:p>
    <w:p w14:paraId="1F324C33" w14:textId="77777777" w:rsidR="001418B7" w:rsidRPr="0039792A" w:rsidRDefault="001418B7" w:rsidP="0039792A">
      <w:pPr>
        <w:pStyle w:val="Overskrift2"/>
        <w:spacing w:before="0"/>
        <w:rPr>
          <w:rFonts w:ascii="Times New Roman" w:hAnsi="Times New Roman" w:cs="Times New Roman"/>
          <w:sz w:val="24"/>
          <w:szCs w:val="24"/>
        </w:rPr>
      </w:pPr>
      <w:r w:rsidRPr="0039792A">
        <w:rPr>
          <w:rFonts w:ascii="Times New Roman" w:hAnsi="Times New Roman" w:cs="Times New Roman"/>
          <w:sz w:val="24"/>
          <w:szCs w:val="24"/>
        </w:rPr>
        <w:t>2.1. Stoffets art</w:t>
      </w:r>
    </w:p>
    <w:p w14:paraId="67A205FC" w14:textId="7E1BBFAF" w:rsidR="001418B7" w:rsidRPr="0039792A" w:rsidRDefault="001418B7" w:rsidP="00993054">
      <w:pPr>
        <w:rPr>
          <w:rFonts w:ascii="Times New Roman" w:hAnsi="Times New Roman" w:cs="Times New Roman"/>
          <w:color w:val="000000"/>
          <w:sz w:val="24"/>
          <w:szCs w:val="24"/>
        </w:rPr>
      </w:pPr>
      <w:r w:rsidRPr="0039792A">
        <w:rPr>
          <w:rFonts w:ascii="Times New Roman" w:hAnsi="Times New Roman" w:cs="Times New Roman"/>
          <w:color w:val="000000"/>
          <w:sz w:val="24"/>
          <w:szCs w:val="24"/>
        </w:rPr>
        <w:t xml:space="preserve">Ved udmålingen tages afgørende hensyn til stoffets art, således at stoffer, som i højere grad er afhængighedsskabende, har en større skadevirkning eller har et større økonomisk </w:t>
      </w:r>
      <w:proofErr w:type="spellStart"/>
      <w:r w:rsidRPr="0039792A">
        <w:rPr>
          <w:rFonts w:ascii="Times New Roman" w:hAnsi="Times New Roman" w:cs="Times New Roman"/>
          <w:color w:val="000000"/>
          <w:sz w:val="24"/>
          <w:szCs w:val="24"/>
        </w:rPr>
        <w:t>fortj</w:t>
      </w:r>
      <w:r w:rsidRPr="0039792A">
        <w:rPr>
          <w:rFonts w:ascii="Times New Roman" w:hAnsi="Times New Roman" w:cs="Times New Roman"/>
          <w:color w:val="000000"/>
          <w:sz w:val="24"/>
          <w:szCs w:val="24"/>
        </w:rPr>
        <w:t>e</w:t>
      </w:r>
      <w:r w:rsidRPr="0039792A">
        <w:rPr>
          <w:rFonts w:ascii="Times New Roman" w:hAnsi="Times New Roman" w:cs="Times New Roman"/>
          <w:color w:val="000000"/>
          <w:sz w:val="24"/>
          <w:szCs w:val="24"/>
        </w:rPr>
        <w:t>nestespotentiale</w:t>
      </w:r>
      <w:proofErr w:type="spellEnd"/>
      <w:r w:rsidRPr="0039792A">
        <w:rPr>
          <w:rFonts w:ascii="Times New Roman" w:hAnsi="Times New Roman" w:cs="Times New Roman"/>
          <w:color w:val="000000"/>
          <w:sz w:val="24"/>
          <w:szCs w:val="24"/>
        </w:rPr>
        <w:t>, udgør en skærpende omstændighed, som kan bevirke, at sanktionen afv</w:t>
      </w:r>
      <w:r w:rsidRPr="0039792A">
        <w:rPr>
          <w:rFonts w:ascii="Times New Roman" w:hAnsi="Times New Roman" w:cs="Times New Roman"/>
          <w:color w:val="000000"/>
          <w:sz w:val="24"/>
          <w:szCs w:val="24"/>
        </w:rPr>
        <w:t>i</w:t>
      </w:r>
      <w:r w:rsidRPr="0039792A">
        <w:rPr>
          <w:rFonts w:ascii="Times New Roman" w:hAnsi="Times New Roman" w:cs="Times New Roman"/>
          <w:color w:val="000000"/>
          <w:sz w:val="24"/>
          <w:szCs w:val="24"/>
        </w:rPr>
        <w:t>ger i opadgående retning</w:t>
      </w:r>
      <w:r w:rsidR="00993054">
        <w:rPr>
          <w:rFonts w:ascii="Times New Roman" w:hAnsi="Times New Roman" w:cs="Times New Roman"/>
          <w:color w:val="000000"/>
          <w:sz w:val="24"/>
          <w:szCs w:val="24"/>
        </w:rPr>
        <w:t xml:space="preserve"> i forhold til det beskrevne normalniveau</w:t>
      </w:r>
      <w:r w:rsidRPr="0039792A">
        <w:rPr>
          <w:rFonts w:ascii="Times New Roman" w:hAnsi="Times New Roman" w:cs="Times New Roman"/>
          <w:color w:val="000000"/>
          <w:sz w:val="24"/>
          <w:szCs w:val="24"/>
        </w:rPr>
        <w:t>.</w:t>
      </w:r>
    </w:p>
    <w:p w14:paraId="4DCC7CFF" w14:textId="77777777" w:rsidR="001418B7" w:rsidRPr="0039792A" w:rsidRDefault="001418B7" w:rsidP="00875F54">
      <w:pPr>
        <w:rPr>
          <w:rFonts w:ascii="Times New Roman" w:hAnsi="Times New Roman" w:cs="Times New Roman"/>
          <w:color w:val="000000"/>
          <w:sz w:val="24"/>
          <w:szCs w:val="24"/>
        </w:rPr>
      </w:pPr>
    </w:p>
    <w:p w14:paraId="38E4246B" w14:textId="77777777" w:rsidR="001418B7" w:rsidRPr="0039792A" w:rsidRDefault="001418B7" w:rsidP="00757CB2">
      <w:pPr>
        <w:pStyle w:val="Overskrift2"/>
        <w:spacing w:before="0"/>
        <w:ind w:left="0" w:firstLine="284"/>
        <w:rPr>
          <w:rFonts w:ascii="Times New Roman" w:hAnsi="Times New Roman" w:cs="Times New Roman"/>
          <w:i/>
          <w:iCs/>
          <w:color w:val="000000"/>
          <w:sz w:val="24"/>
          <w:szCs w:val="24"/>
        </w:rPr>
      </w:pPr>
      <w:r w:rsidRPr="0039792A">
        <w:rPr>
          <w:rFonts w:ascii="Times New Roman" w:hAnsi="Times New Roman" w:cs="Times New Roman"/>
          <w:sz w:val="24"/>
          <w:szCs w:val="24"/>
        </w:rPr>
        <w:t>2.2. Gentagelse af overtrædelsen</w:t>
      </w:r>
    </w:p>
    <w:p w14:paraId="2355F849" w14:textId="197B6685" w:rsidR="001418B7" w:rsidRPr="0039792A" w:rsidRDefault="001418B7" w:rsidP="00875F54">
      <w:pPr>
        <w:rPr>
          <w:rFonts w:ascii="Times New Roman" w:hAnsi="Times New Roman" w:cs="Times New Roman"/>
          <w:color w:val="000000"/>
          <w:sz w:val="24"/>
          <w:szCs w:val="24"/>
        </w:rPr>
      </w:pPr>
      <w:r w:rsidRPr="0039792A">
        <w:rPr>
          <w:rFonts w:ascii="Times New Roman" w:hAnsi="Times New Roman" w:cs="Times New Roman"/>
          <w:color w:val="000000"/>
          <w:sz w:val="24"/>
          <w:szCs w:val="24"/>
        </w:rPr>
        <w:t>Gentagne overtrædelser</w:t>
      </w:r>
      <w:r w:rsidR="00993054">
        <w:rPr>
          <w:rFonts w:ascii="Times New Roman" w:hAnsi="Times New Roman" w:cs="Times New Roman"/>
          <w:color w:val="000000"/>
          <w:sz w:val="24"/>
          <w:szCs w:val="24"/>
        </w:rPr>
        <w:t xml:space="preserve"> kan</w:t>
      </w:r>
      <w:r w:rsidRPr="0039792A">
        <w:rPr>
          <w:rFonts w:ascii="Times New Roman" w:hAnsi="Times New Roman" w:cs="Times New Roman"/>
          <w:color w:val="000000"/>
          <w:sz w:val="24"/>
          <w:szCs w:val="24"/>
        </w:rPr>
        <w:t xml:space="preserve"> anses som et skærpende moment, således at sanktioneringen</w:t>
      </w:r>
      <w:r w:rsidR="00993054">
        <w:rPr>
          <w:rFonts w:ascii="Times New Roman" w:hAnsi="Times New Roman" w:cs="Times New Roman"/>
          <w:color w:val="000000"/>
          <w:sz w:val="24"/>
          <w:szCs w:val="24"/>
        </w:rPr>
        <w:t>s</w:t>
      </w:r>
      <w:r w:rsidRPr="0039792A">
        <w:rPr>
          <w:rFonts w:ascii="Times New Roman" w:hAnsi="Times New Roman" w:cs="Times New Roman"/>
          <w:color w:val="000000"/>
          <w:sz w:val="24"/>
          <w:szCs w:val="24"/>
        </w:rPr>
        <w:t xml:space="preserve"> udmåling også afhænger af tidligere lignende overtrædelser</w:t>
      </w:r>
      <w:r w:rsidR="001563C5">
        <w:rPr>
          <w:rFonts w:ascii="Times New Roman" w:hAnsi="Times New Roman" w:cs="Times New Roman"/>
          <w:color w:val="000000"/>
          <w:sz w:val="24"/>
          <w:szCs w:val="24"/>
        </w:rPr>
        <w:t>, som den pågældende er dømt skyldig for</w:t>
      </w:r>
      <w:r w:rsidRPr="0039792A">
        <w:rPr>
          <w:rFonts w:ascii="Times New Roman" w:hAnsi="Times New Roman" w:cs="Times New Roman"/>
          <w:color w:val="000000"/>
          <w:sz w:val="24"/>
          <w:szCs w:val="24"/>
        </w:rPr>
        <w:t xml:space="preserve">. </w:t>
      </w:r>
    </w:p>
    <w:p w14:paraId="3422D313" w14:textId="77777777" w:rsidR="001418B7" w:rsidRPr="0039792A" w:rsidRDefault="001418B7" w:rsidP="00875F54">
      <w:pPr>
        <w:rPr>
          <w:rFonts w:ascii="Times New Roman" w:hAnsi="Times New Roman" w:cs="Times New Roman"/>
          <w:color w:val="000000"/>
          <w:sz w:val="24"/>
          <w:szCs w:val="24"/>
        </w:rPr>
      </w:pPr>
    </w:p>
    <w:p w14:paraId="37084F7A" w14:textId="77777777" w:rsidR="001418B7" w:rsidRPr="0039792A" w:rsidRDefault="001418B7" w:rsidP="00757CB2">
      <w:pPr>
        <w:pStyle w:val="Overskrift2"/>
        <w:spacing w:before="0"/>
        <w:ind w:left="0" w:firstLine="284"/>
        <w:rPr>
          <w:rFonts w:ascii="Times New Roman" w:hAnsi="Times New Roman" w:cs="Times New Roman"/>
          <w:sz w:val="24"/>
          <w:szCs w:val="24"/>
        </w:rPr>
      </w:pPr>
      <w:r w:rsidRPr="0039792A">
        <w:rPr>
          <w:rFonts w:ascii="Times New Roman" w:hAnsi="Times New Roman" w:cs="Times New Roman"/>
          <w:sz w:val="24"/>
          <w:szCs w:val="24"/>
        </w:rPr>
        <w:t xml:space="preserve">2.3. Besiddelse med henblik på overdragelse, herunder videresalg </w:t>
      </w:r>
    </w:p>
    <w:p w14:paraId="54DDD169" w14:textId="4CCB8F2D" w:rsidR="001418B7" w:rsidRPr="0039792A" w:rsidRDefault="001418B7" w:rsidP="00875F54">
      <w:pPr>
        <w:rPr>
          <w:rFonts w:ascii="Times New Roman" w:hAnsi="Times New Roman" w:cs="Times New Roman"/>
          <w:color w:val="000000"/>
          <w:sz w:val="24"/>
          <w:szCs w:val="24"/>
        </w:rPr>
      </w:pPr>
      <w:r w:rsidRPr="0039792A">
        <w:rPr>
          <w:rFonts w:ascii="Times New Roman" w:hAnsi="Times New Roman" w:cs="Times New Roman"/>
          <w:color w:val="000000"/>
          <w:sz w:val="24"/>
          <w:szCs w:val="24"/>
        </w:rPr>
        <w:t>Det</w:t>
      </w:r>
      <w:r w:rsidR="00993054">
        <w:rPr>
          <w:rFonts w:ascii="Times New Roman" w:hAnsi="Times New Roman" w:cs="Times New Roman"/>
          <w:color w:val="000000"/>
          <w:sz w:val="24"/>
          <w:szCs w:val="24"/>
        </w:rPr>
        <w:t xml:space="preserve"> kan</w:t>
      </w:r>
      <w:r w:rsidRPr="0039792A">
        <w:rPr>
          <w:rFonts w:ascii="Times New Roman" w:hAnsi="Times New Roman" w:cs="Times New Roman"/>
          <w:color w:val="000000"/>
          <w:sz w:val="24"/>
          <w:szCs w:val="24"/>
        </w:rPr>
        <w:t xml:space="preserve"> anses som en skærpende omstændighed, hvis en person er i ulovlig besiddelse af euforiserende stoffer med henblik på overdragelse, herunder videresalg. </w:t>
      </w:r>
    </w:p>
    <w:p w14:paraId="5CB79E08" w14:textId="03D71B14" w:rsidR="001418B7" w:rsidRPr="0039792A" w:rsidRDefault="001418B7" w:rsidP="00875F54">
      <w:pPr>
        <w:rPr>
          <w:rFonts w:ascii="Times New Roman" w:hAnsi="Times New Roman" w:cs="Times New Roman"/>
          <w:color w:val="000000"/>
          <w:sz w:val="24"/>
          <w:szCs w:val="24"/>
        </w:rPr>
      </w:pPr>
      <w:r w:rsidRPr="0039792A">
        <w:rPr>
          <w:rFonts w:ascii="Times New Roman" w:hAnsi="Times New Roman" w:cs="Times New Roman"/>
          <w:color w:val="000000"/>
          <w:sz w:val="24"/>
          <w:szCs w:val="24"/>
        </w:rPr>
        <w:t xml:space="preserve">Flere momenter kan </w:t>
      </w:r>
      <w:r w:rsidR="001563C5">
        <w:rPr>
          <w:rFonts w:ascii="Times New Roman" w:hAnsi="Times New Roman" w:cs="Times New Roman"/>
          <w:color w:val="000000"/>
          <w:sz w:val="24"/>
          <w:szCs w:val="24"/>
        </w:rPr>
        <w:t>indikere</w:t>
      </w:r>
      <w:r w:rsidR="006B47B3">
        <w:rPr>
          <w:rFonts w:ascii="Times New Roman" w:hAnsi="Times New Roman" w:cs="Times New Roman"/>
          <w:color w:val="000000"/>
          <w:sz w:val="24"/>
          <w:szCs w:val="24"/>
        </w:rPr>
        <w:t>, at der er tale om besiddelse med</w:t>
      </w:r>
      <w:r w:rsidRPr="0039792A">
        <w:rPr>
          <w:rFonts w:ascii="Times New Roman" w:hAnsi="Times New Roman" w:cs="Times New Roman"/>
          <w:color w:val="000000"/>
          <w:sz w:val="24"/>
          <w:szCs w:val="24"/>
        </w:rPr>
        <w:t xml:space="preserve"> henblik på </w:t>
      </w:r>
      <w:r w:rsidR="00FD2931" w:rsidRPr="0039792A">
        <w:rPr>
          <w:rFonts w:ascii="Times New Roman" w:hAnsi="Times New Roman" w:cs="Times New Roman"/>
          <w:color w:val="000000"/>
          <w:sz w:val="24"/>
          <w:szCs w:val="24"/>
        </w:rPr>
        <w:t>videre</w:t>
      </w:r>
      <w:r w:rsidR="00FD2931">
        <w:rPr>
          <w:rFonts w:ascii="Times New Roman" w:hAnsi="Times New Roman" w:cs="Times New Roman"/>
          <w:color w:val="000000"/>
          <w:sz w:val="24"/>
          <w:szCs w:val="24"/>
        </w:rPr>
        <w:t>overdr</w:t>
      </w:r>
      <w:r w:rsidR="00FD2931">
        <w:rPr>
          <w:rFonts w:ascii="Times New Roman" w:hAnsi="Times New Roman" w:cs="Times New Roman"/>
          <w:color w:val="000000"/>
          <w:sz w:val="24"/>
          <w:szCs w:val="24"/>
        </w:rPr>
        <w:t>a</w:t>
      </w:r>
      <w:r w:rsidR="00FD2931">
        <w:rPr>
          <w:rFonts w:ascii="Times New Roman" w:hAnsi="Times New Roman" w:cs="Times New Roman"/>
          <w:color w:val="000000"/>
          <w:sz w:val="24"/>
          <w:szCs w:val="24"/>
        </w:rPr>
        <w:t>gelse</w:t>
      </w:r>
      <w:r w:rsidRPr="0039792A">
        <w:rPr>
          <w:rFonts w:ascii="Times New Roman" w:hAnsi="Times New Roman" w:cs="Times New Roman"/>
          <w:color w:val="000000"/>
          <w:sz w:val="24"/>
          <w:szCs w:val="24"/>
        </w:rPr>
        <w:t>. Først og fremmest kan en betydelig mængde af det pågældende stof i sig være et a</w:t>
      </w:r>
      <w:r w:rsidRPr="0039792A">
        <w:rPr>
          <w:rFonts w:ascii="Times New Roman" w:hAnsi="Times New Roman" w:cs="Times New Roman"/>
          <w:color w:val="000000"/>
          <w:sz w:val="24"/>
          <w:szCs w:val="24"/>
        </w:rPr>
        <w:t>f</w:t>
      </w:r>
      <w:r w:rsidRPr="0039792A">
        <w:rPr>
          <w:rFonts w:ascii="Times New Roman" w:hAnsi="Times New Roman" w:cs="Times New Roman"/>
          <w:color w:val="000000"/>
          <w:sz w:val="24"/>
          <w:szCs w:val="24"/>
        </w:rPr>
        <w:t xml:space="preserve">gørende moment i vurdering. Nedenfor beskrives de øvre grænser af mængder, der som udgangspunkt må anses som værende til eget forbrug og således ikke beregnet til </w:t>
      </w:r>
      <w:r w:rsidR="00FD2931">
        <w:rPr>
          <w:rFonts w:ascii="Times New Roman" w:hAnsi="Times New Roman" w:cs="Times New Roman"/>
          <w:color w:val="000000"/>
          <w:sz w:val="24"/>
          <w:szCs w:val="24"/>
        </w:rPr>
        <w:t>overdr</w:t>
      </w:r>
      <w:r w:rsidR="00FD2931">
        <w:rPr>
          <w:rFonts w:ascii="Times New Roman" w:hAnsi="Times New Roman" w:cs="Times New Roman"/>
          <w:color w:val="000000"/>
          <w:sz w:val="24"/>
          <w:szCs w:val="24"/>
        </w:rPr>
        <w:t>a</w:t>
      </w:r>
      <w:r w:rsidR="00FD2931">
        <w:rPr>
          <w:rFonts w:ascii="Times New Roman" w:hAnsi="Times New Roman" w:cs="Times New Roman"/>
          <w:color w:val="000000"/>
          <w:sz w:val="24"/>
          <w:szCs w:val="24"/>
        </w:rPr>
        <w:t>gelse</w:t>
      </w:r>
      <w:r w:rsidRPr="0039792A">
        <w:rPr>
          <w:rFonts w:ascii="Times New Roman" w:hAnsi="Times New Roman" w:cs="Times New Roman"/>
          <w:color w:val="000000"/>
          <w:sz w:val="24"/>
          <w:szCs w:val="24"/>
        </w:rPr>
        <w:t>:</w:t>
      </w:r>
    </w:p>
    <w:p w14:paraId="46687484" w14:textId="3F759EB8" w:rsidR="00B9160E" w:rsidRPr="00B9160E" w:rsidRDefault="001418B7" w:rsidP="00B9160E">
      <w:pPr>
        <w:pStyle w:val="Listeafsnit"/>
        <w:numPr>
          <w:ilvl w:val="0"/>
          <w:numId w:val="4"/>
        </w:numPr>
        <w:rPr>
          <w:rFonts w:ascii="Times New Roman" w:hAnsi="Times New Roman" w:cs="Times New Roman"/>
          <w:color w:val="000000"/>
          <w:sz w:val="24"/>
          <w:szCs w:val="24"/>
        </w:rPr>
      </w:pPr>
      <w:r w:rsidRPr="00B9160E">
        <w:rPr>
          <w:rFonts w:ascii="Times New Roman" w:hAnsi="Times New Roman" w:cs="Times New Roman"/>
          <w:color w:val="000000"/>
          <w:sz w:val="24"/>
          <w:szCs w:val="24"/>
          <w:lang w:val="en-US"/>
        </w:rPr>
        <w:t xml:space="preserve">10 gr. </w:t>
      </w:r>
      <w:r w:rsidR="00B9160E" w:rsidRPr="00B9160E">
        <w:rPr>
          <w:rFonts w:ascii="Times New Roman" w:hAnsi="Times New Roman" w:cs="Times New Roman"/>
          <w:color w:val="000000"/>
          <w:sz w:val="24"/>
          <w:szCs w:val="24"/>
          <w:lang w:val="en-US"/>
        </w:rPr>
        <w:t>H</w:t>
      </w:r>
      <w:r w:rsidRPr="00B9160E">
        <w:rPr>
          <w:rFonts w:ascii="Times New Roman" w:hAnsi="Times New Roman" w:cs="Times New Roman"/>
          <w:color w:val="000000"/>
          <w:sz w:val="24"/>
          <w:szCs w:val="24"/>
          <w:lang w:val="en-US"/>
        </w:rPr>
        <w:t>ash</w:t>
      </w:r>
    </w:p>
    <w:p w14:paraId="05C8DF23" w14:textId="77777777" w:rsidR="00B9160E" w:rsidRPr="00B9160E" w:rsidRDefault="001418B7" w:rsidP="00B9160E">
      <w:pPr>
        <w:pStyle w:val="Listeafsnit"/>
        <w:numPr>
          <w:ilvl w:val="0"/>
          <w:numId w:val="4"/>
        </w:numPr>
        <w:rPr>
          <w:rFonts w:ascii="Times New Roman" w:hAnsi="Times New Roman" w:cs="Times New Roman"/>
          <w:color w:val="000000"/>
          <w:sz w:val="24"/>
          <w:szCs w:val="24"/>
        </w:rPr>
      </w:pPr>
      <w:r w:rsidRPr="00B9160E">
        <w:rPr>
          <w:rFonts w:ascii="Times New Roman" w:hAnsi="Times New Roman" w:cs="Times New Roman"/>
          <w:color w:val="000000"/>
          <w:sz w:val="24"/>
          <w:szCs w:val="24"/>
          <w:lang w:val="en-US"/>
        </w:rPr>
        <w:t xml:space="preserve">50 gr. marihuana </w:t>
      </w:r>
    </w:p>
    <w:p w14:paraId="56CA94AB" w14:textId="77777777" w:rsidR="00B9160E" w:rsidRDefault="001418B7" w:rsidP="00B9160E">
      <w:pPr>
        <w:pStyle w:val="Listeafsnit"/>
        <w:numPr>
          <w:ilvl w:val="0"/>
          <w:numId w:val="4"/>
        </w:numPr>
        <w:rPr>
          <w:rFonts w:ascii="Times New Roman" w:hAnsi="Times New Roman" w:cs="Times New Roman"/>
          <w:color w:val="000000"/>
          <w:sz w:val="24"/>
          <w:szCs w:val="24"/>
        </w:rPr>
      </w:pPr>
      <w:r w:rsidRPr="00B9160E">
        <w:rPr>
          <w:rFonts w:ascii="Times New Roman" w:hAnsi="Times New Roman" w:cs="Times New Roman"/>
          <w:color w:val="000000"/>
          <w:sz w:val="24"/>
          <w:szCs w:val="24"/>
          <w:lang w:val="en-US"/>
        </w:rPr>
        <w:t xml:space="preserve">100 gr. </w:t>
      </w:r>
      <w:r w:rsidRPr="00B9160E">
        <w:rPr>
          <w:rFonts w:ascii="Times New Roman" w:hAnsi="Times New Roman" w:cs="Times New Roman"/>
          <w:color w:val="000000"/>
          <w:sz w:val="24"/>
          <w:szCs w:val="24"/>
        </w:rPr>
        <w:t>Hampeplanter</w:t>
      </w:r>
    </w:p>
    <w:p w14:paraId="60EE3E6D" w14:textId="77777777" w:rsidR="00B9160E" w:rsidRDefault="001418B7" w:rsidP="00B9160E">
      <w:pPr>
        <w:pStyle w:val="Listeafsnit"/>
        <w:numPr>
          <w:ilvl w:val="0"/>
          <w:numId w:val="4"/>
        </w:numPr>
        <w:rPr>
          <w:rFonts w:ascii="Times New Roman" w:hAnsi="Times New Roman" w:cs="Times New Roman"/>
          <w:color w:val="000000"/>
          <w:sz w:val="24"/>
          <w:szCs w:val="24"/>
        </w:rPr>
      </w:pPr>
      <w:r w:rsidRPr="00B9160E">
        <w:rPr>
          <w:rFonts w:ascii="Times New Roman" w:hAnsi="Times New Roman" w:cs="Times New Roman"/>
          <w:color w:val="000000"/>
          <w:sz w:val="24"/>
          <w:szCs w:val="24"/>
        </w:rPr>
        <w:t xml:space="preserve">1 gr. </w:t>
      </w:r>
      <w:proofErr w:type="spellStart"/>
      <w:r w:rsidRPr="00B9160E">
        <w:rPr>
          <w:rFonts w:ascii="Times New Roman" w:hAnsi="Times New Roman" w:cs="Times New Roman"/>
          <w:color w:val="000000"/>
          <w:sz w:val="24"/>
          <w:szCs w:val="24"/>
        </w:rPr>
        <w:t>cannabiol</w:t>
      </w:r>
      <w:proofErr w:type="spellEnd"/>
      <w:r w:rsidRPr="00B9160E">
        <w:rPr>
          <w:rFonts w:ascii="Times New Roman" w:hAnsi="Times New Roman" w:cs="Times New Roman"/>
          <w:color w:val="000000"/>
          <w:sz w:val="24"/>
          <w:szCs w:val="24"/>
        </w:rPr>
        <w:t>/hasholie</w:t>
      </w:r>
    </w:p>
    <w:p w14:paraId="44EDC343" w14:textId="77777777" w:rsidR="001418B7" w:rsidRPr="0039792A" w:rsidRDefault="001418B7" w:rsidP="00875F54">
      <w:pPr>
        <w:rPr>
          <w:rFonts w:ascii="Times New Roman" w:hAnsi="Times New Roman" w:cs="Times New Roman"/>
          <w:color w:val="000000"/>
          <w:sz w:val="24"/>
          <w:szCs w:val="24"/>
        </w:rPr>
      </w:pPr>
    </w:p>
    <w:p w14:paraId="7068C3B8" w14:textId="16BE9563" w:rsidR="001418B7" w:rsidRPr="0039792A" w:rsidRDefault="001418B7" w:rsidP="00875F54">
      <w:pPr>
        <w:rPr>
          <w:rFonts w:ascii="Times New Roman" w:hAnsi="Times New Roman" w:cs="Times New Roman"/>
          <w:color w:val="000000"/>
          <w:sz w:val="24"/>
          <w:szCs w:val="24"/>
        </w:rPr>
      </w:pPr>
      <w:r w:rsidRPr="0039792A">
        <w:rPr>
          <w:rFonts w:ascii="Times New Roman" w:hAnsi="Times New Roman" w:cs="Times New Roman"/>
          <w:color w:val="000000"/>
          <w:sz w:val="24"/>
          <w:szCs w:val="24"/>
        </w:rPr>
        <w:t>En kombination af besiddelse af flere af ovenstående stoffer vil naturligvis kunne skærpe vurderingen, selvom de enkeltvis ikke overstiger ovenstående grænser.</w:t>
      </w:r>
      <w:r w:rsidR="00FD2931">
        <w:rPr>
          <w:rFonts w:ascii="Times New Roman" w:hAnsi="Times New Roman" w:cs="Times New Roman"/>
          <w:color w:val="000000"/>
          <w:sz w:val="24"/>
          <w:szCs w:val="24"/>
        </w:rPr>
        <w:t xml:space="preserve"> Gentagende ove</w:t>
      </w:r>
      <w:r w:rsidR="00FD2931">
        <w:rPr>
          <w:rFonts w:ascii="Times New Roman" w:hAnsi="Times New Roman" w:cs="Times New Roman"/>
          <w:color w:val="000000"/>
          <w:sz w:val="24"/>
          <w:szCs w:val="24"/>
        </w:rPr>
        <w:t>r</w:t>
      </w:r>
      <w:r w:rsidR="00FD2931">
        <w:rPr>
          <w:rFonts w:ascii="Times New Roman" w:hAnsi="Times New Roman" w:cs="Times New Roman"/>
          <w:color w:val="000000"/>
          <w:sz w:val="24"/>
          <w:szCs w:val="24"/>
        </w:rPr>
        <w:t xml:space="preserve">trædelser som beskrevet i afsnit 2.2. kan også efter omstændighederne indikere, at der er tale om besiddelse med henblik på overdragelse. </w:t>
      </w:r>
    </w:p>
    <w:p w14:paraId="7E2956A3" w14:textId="77777777" w:rsidR="001418B7" w:rsidRPr="0039792A" w:rsidRDefault="001418B7" w:rsidP="00875F54">
      <w:pPr>
        <w:rPr>
          <w:rFonts w:ascii="Times New Roman" w:hAnsi="Times New Roman" w:cs="Times New Roman"/>
          <w:color w:val="000000"/>
          <w:sz w:val="24"/>
          <w:szCs w:val="24"/>
        </w:rPr>
      </w:pPr>
    </w:p>
    <w:p w14:paraId="12EDA188" w14:textId="77777777" w:rsidR="001418B7" w:rsidRPr="0039792A" w:rsidRDefault="001418B7" w:rsidP="00875F54">
      <w:pPr>
        <w:rPr>
          <w:rFonts w:ascii="Times New Roman" w:hAnsi="Times New Roman" w:cs="Times New Roman"/>
          <w:color w:val="000000"/>
          <w:sz w:val="24"/>
          <w:szCs w:val="24"/>
        </w:rPr>
      </w:pPr>
      <w:r w:rsidRPr="0039792A">
        <w:rPr>
          <w:rFonts w:ascii="Times New Roman" w:hAnsi="Times New Roman" w:cs="Times New Roman"/>
          <w:color w:val="000000"/>
          <w:sz w:val="24"/>
          <w:szCs w:val="24"/>
        </w:rPr>
        <w:t xml:space="preserve">Uanset den samlede mængde, kan det ligeledes være et afgørende moment, at stofferne er pakket i mindre portioner til videresalg, eksempelvis i pølsemandsposer eller lignende. </w:t>
      </w:r>
    </w:p>
    <w:p w14:paraId="415A8AB0" w14:textId="580A90C2" w:rsidR="001418B7" w:rsidRDefault="001418B7" w:rsidP="00875F54">
      <w:pPr>
        <w:rPr>
          <w:rFonts w:ascii="Times New Roman" w:hAnsi="Times New Roman" w:cs="Times New Roman"/>
          <w:color w:val="000000"/>
          <w:sz w:val="24"/>
          <w:szCs w:val="24"/>
        </w:rPr>
      </w:pPr>
      <w:r w:rsidRPr="0039792A">
        <w:rPr>
          <w:rFonts w:ascii="Times New Roman" w:hAnsi="Times New Roman" w:cs="Times New Roman"/>
          <w:color w:val="000000"/>
          <w:sz w:val="24"/>
          <w:szCs w:val="24"/>
        </w:rPr>
        <w:t xml:space="preserve">Herudover kan det tages med i vurderingen, om den </w:t>
      </w:r>
      <w:r w:rsidR="00FD2931">
        <w:rPr>
          <w:rFonts w:ascii="Times New Roman" w:hAnsi="Times New Roman" w:cs="Times New Roman"/>
          <w:color w:val="000000"/>
          <w:sz w:val="24"/>
          <w:szCs w:val="24"/>
        </w:rPr>
        <w:t>tiltalte</w:t>
      </w:r>
      <w:r w:rsidR="00FD2931" w:rsidRPr="0039792A">
        <w:rPr>
          <w:rFonts w:ascii="Times New Roman" w:hAnsi="Times New Roman" w:cs="Times New Roman"/>
          <w:color w:val="000000"/>
          <w:sz w:val="24"/>
          <w:szCs w:val="24"/>
        </w:rPr>
        <w:t xml:space="preserve"> </w:t>
      </w:r>
      <w:r w:rsidRPr="0039792A">
        <w:rPr>
          <w:rFonts w:ascii="Times New Roman" w:hAnsi="Times New Roman" w:cs="Times New Roman"/>
          <w:color w:val="000000"/>
          <w:sz w:val="24"/>
          <w:szCs w:val="24"/>
        </w:rPr>
        <w:t>også er i besiddelse af relevant værktøj, fx en vægt, et regnskab eller større konta</w:t>
      </w:r>
      <w:r w:rsidR="005977E6">
        <w:rPr>
          <w:rFonts w:ascii="Times New Roman" w:hAnsi="Times New Roman" w:cs="Times New Roman"/>
          <w:color w:val="000000"/>
          <w:sz w:val="24"/>
          <w:szCs w:val="24"/>
        </w:rPr>
        <w:t>n</w:t>
      </w:r>
      <w:r w:rsidRPr="0039792A">
        <w:rPr>
          <w:rFonts w:ascii="Times New Roman" w:hAnsi="Times New Roman" w:cs="Times New Roman"/>
          <w:color w:val="000000"/>
          <w:sz w:val="24"/>
          <w:szCs w:val="24"/>
        </w:rPr>
        <w:t>tbeløb, som ikke står i rimeligt forhold til den pågældendes indkomst.</w:t>
      </w:r>
    </w:p>
    <w:p w14:paraId="749D9E5B" w14:textId="5DD10417" w:rsidR="00693418" w:rsidRDefault="00693418" w:rsidP="00875F54">
      <w:pPr>
        <w:rPr>
          <w:rFonts w:ascii="Times New Roman" w:hAnsi="Times New Roman" w:cs="Times New Roman"/>
          <w:color w:val="000000"/>
          <w:sz w:val="24"/>
          <w:szCs w:val="24"/>
        </w:rPr>
      </w:pPr>
    </w:p>
    <w:p w14:paraId="3696CA16" w14:textId="73FA36B9" w:rsidR="00693418" w:rsidRPr="0039792A" w:rsidRDefault="00693418" w:rsidP="00875F5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Det skal bemærkes, at der ikke er taget særskilt stilling til andre end de ovenfornævnte stoffer, herunder heroin, kokain, morfin og lignende, da disse </w:t>
      </w:r>
      <w:r w:rsidR="00C84701">
        <w:rPr>
          <w:rFonts w:ascii="Times New Roman" w:hAnsi="Times New Roman" w:cs="Times New Roman"/>
          <w:color w:val="000000"/>
          <w:sz w:val="24"/>
          <w:szCs w:val="24"/>
        </w:rPr>
        <w:t xml:space="preserve">ikke almindeligvis </w:t>
      </w:r>
      <w:r w:rsidR="0018795A">
        <w:rPr>
          <w:rFonts w:ascii="Times New Roman" w:hAnsi="Times New Roman" w:cs="Times New Roman"/>
          <w:color w:val="000000"/>
          <w:sz w:val="24"/>
          <w:szCs w:val="24"/>
        </w:rPr>
        <w:t>fore</w:t>
      </w:r>
      <w:r w:rsidR="00C84701">
        <w:rPr>
          <w:rFonts w:ascii="Times New Roman" w:hAnsi="Times New Roman" w:cs="Times New Roman"/>
          <w:color w:val="000000"/>
          <w:sz w:val="24"/>
          <w:szCs w:val="24"/>
        </w:rPr>
        <w:t>findes i Grønland.</w:t>
      </w:r>
      <w:r w:rsidR="0018795A">
        <w:rPr>
          <w:rFonts w:ascii="Times New Roman" w:hAnsi="Times New Roman" w:cs="Times New Roman"/>
          <w:color w:val="000000"/>
          <w:sz w:val="24"/>
          <w:szCs w:val="24"/>
        </w:rPr>
        <w:t xml:space="preserve"> </w:t>
      </w:r>
      <w:r w:rsidR="0018795A" w:rsidRPr="0039792A">
        <w:rPr>
          <w:rFonts w:ascii="Times New Roman" w:hAnsi="Times New Roman" w:cs="Times New Roman"/>
          <w:sz w:val="24"/>
          <w:szCs w:val="24"/>
        </w:rPr>
        <w:t>I sager om andre stoffer anbefales det, at strafudmålingen forhøjes proporti</w:t>
      </w:r>
      <w:r w:rsidR="0018795A" w:rsidRPr="0039792A">
        <w:rPr>
          <w:rFonts w:ascii="Times New Roman" w:hAnsi="Times New Roman" w:cs="Times New Roman"/>
          <w:sz w:val="24"/>
          <w:szCs w:val="24"/>
        </w:rPr>
        <w:t>o</w:t>
      </w:r>
      <w:r w:rsidR="0018795A" w:rsidRPr="0039792A">
        <w:rPr>
          <w:rFonts w:ascii="Times New Roman" w:hAnsi="Times New Roman" w:cs="Times New Roman"/>
          <w:sz w:val="24"/>
          <w:szCs w:val="24"/>
        </w:rPr>
        <w:t xml:space="preserve">nalt med den potentielle økonomiske gevinst ved salg af det pågældende stof </w:t>
      </w:r>
      <w:r w:rsidR="0018795A">
        <w:rPr>
          <w:rFonts w:ascii="Times New Roman" w:hAnsi="Times New Roman" w:cs="Times New Roman"/>
          <w:sz w:val="24"/>
          <w:szCs w:val="24"/>
        </w:rPr>
        <w:t xml:space="preserve">og </w:t>
      </w:r>
      <w:r w:rsidR="0018795A" w:rsidRPr="0039792A">
        <w:rPr>
          <w:rFonts w:ascii="Times New Roman" w:hAnsi="Times New Roman" w:cs="Times New Roman"/>
          <w:sz w:val="24"/>
          <w:szCs w:val="24"/>
        </w:rPr>
        <w:t xml:space="preserve">med </w:t>
      </w:r>
      <w:r w:rsidR="0018795A">
        <w:rPr>
          <w:rFonts w:ascii="Times New Roman" w:hAnsi="Times New Roman" w:cs="Times New Roman"/>
          <w:sz w:val="24"/>
          <w:szCs w:val="24"/>
        </w:rPr>
        <w:t>sæ</w:t>
      </w:r>
      <w:r w:rsidR="0018795A">
        <w:rPr>
          <w:rFonts w:ascii="Times New Roman" w:hAnsi="Times New Roman" w:cs="Times New Roman"/>
          <w:sz w:val="24"/>
          <w:szCs w:val="24"/>
        </w:rPr>
        <w:t>r</w:t>
      </w:r>
      <w:r w:rsidR="0018795A">
        <w:rPr>
          <w:rFonts w:ascii="Times New Roman" w:hAnsi="Times New Roman" w:cs="Times New Roman"/>
          <w:sz w:val="24"/>
          <w:szCs w:val="24"/>
        </w:rPr>
        <w:t xml:space="preserve">lig </w:t>
      </w:r>
      <w:r w:rsidR="0018795A" w:rsidRPr="0039792A">
        <w:rPr>
          <w:rFonts w:ascii="Times New Roman" w:hAnsi="Times New Roman" w:cs="Times New Roman"/>
          <w:sz w:val="24"/>
          <w:szCs w:val="24"/>
        </w:rPr>
        <w:t xml:space="preserve">hensyntagen til stoffets </w:t>
      </w:r>
      <w:r w:rsidR="00EC2066">
        <w:rPr>
          <w:rFonts w:ascii="Times New Roman" w:hAnsi="Times New Roman" w:cs="Times New Roman"/>
          <w:sz w:val="24"/>
          <w:szCs w:val="24"/>
        </w:rPr>
        <w:t xml:space="preserve">potentielle </w:t>
      </w:r>
      <w:r w:rsidR="0018795A" w:rsidRPr="0039792A">
        <w:rPr>
          <w:rFonts w:ascii="Times New Roman" w:hAnsi="Times New Roman" w:cs="Times New Roman"/>
          <w:sz w:val="24"/>
          <w:szCs w:val="24"/>
        </w:rPr>
        <w:t>skadevirkning</w:t>
      </w:r>
      <w:r w:rsidR="0018795A">
        <w:rPr>
          <w:rFonts w:ascii="Times New Roman" w:hAnsi="Times New Roman" w:cs="Times New Roman"/>
          <w:sz w:val="24"/>
          <w:szCs w:val="24"/>
        </w:rPr>
        <w:t>.</w:t>
      </w:r>
    </w:p>
    <w:p w14:paraId="49876930" w14:textId="77777777" w:rsidR="001418B7" w:rsidRPr="0039792A" w:rsidRDefault="001418B7" w:rsidP="00875F54">
      <w:pPr>
        <w:rPr>
          <w:rFonts w:ascii="Times New Roman" w:hAnsi="Times New Roman" w:cs="Times New Roman"/>
          <w:color w:val="000000"/>
          <w:sz w:val="24"/>
          <w:szCs w:val="24"/>
        </w:rPr>
      </w:pPr>
    </w:p>
    <w:p w14:paraId="6ADB3BD0" w14:textId="77777777" w:rsidR="001418B7" w:rsidRPr="0039792A" w:rsidRDefault="001418B7" w:rsidP="00757CB2">
      <w:pPr>
        <w:pStyle w:val="Overskrift2"/>
        <w:spacing w:before="0"/>
        <w:ind w:left="0" w:firstLine="284"/>
        <w:rPr>
          <w:rFonts w:ascii="Times New Roman" w:hAnsi="Times New Roman" w:cs="Times New Roman"/>
          <w:sz w:val="24"/>
          <w:szCs w:val="24"/>
        </w:rPr>
      </w:pPr>
      <w:r w:rsidRPr="0039792A">
        <w:rPr>
          <w:rFonts w:ascii="Times New Roman" w:hAnsi="Times New Roman" w:cs="Times New Roman"/>
          <w:sz w:val="24"/>
          <w:szCs w:val="24"/>
        </w:rPr>
        <w:t xml:space="preserve">2.4. Særlige steder </w:t>
      </w:r>
    </w:p>
    <w:p w14:paraId="7792918C" w14:textId="2860350D" w:rsidR="001418B7" w:rsidRPr="0039792A" w:rsidRDefault="001418B7" w:rsidP="00875F54">
      <w:pPr>
        <w:rPr>
          <w:rFonts w:ascii="Times New Roman" w:hAnsi="Times New Roman" w:cs="Times New Roman"/>
          <w:color w:val="000000"/>
          <w:sz w:val="24"/>
          <w:szCs w:val="24"/>
        </w:rPr>
      </w:pPr>
      <w:r w:rsidRPr="0039792A">
        <w:rPr>
          <w:rFonts w:ascii="Times New Roman" w:hAnsi="Times New Roman" w:cs="Times New Roman"/>
          <w:color w:val="000000"/>
          <w:sz w:val="24"/>
          <w:szCs w:val="24"/>
        </w:rPr>
        <w:t xml:space="preserve">Det </w:t>
      </w:r>
      <w:r w:rsidR="00FD2931">
        <w:rPr>
          <w:rFonts w:ascii="Times New Roman" w:hAnsi="Times New Roman" w:cs="Times New Roman"/>
          <w:color w:val="000000"/>
          <w:sz w:val="24"/>
          <w:szCs w:val="24"/>
        </w:rPr>
        <w:t>kan</w:t>
      </w:r>
      <w:r w:rsidR="00FD2931" w:rsidRPr="0039792A">
        <w:rPr>
          <w:rFonts w:ascii="Times New Roman" w:hAnsi="Times New Roman" w:cs="Times New Roman"/>
          <w:color w:val="000000"/>
          <w:sz w:val="24"/>
          <w:szCs w:val="24"/>
        </w:rPr>
        <w:t xml:space="preserve"> </w:t>
      </w:r>
      <w:r w:rsidRPr="0039792A">
        <w:rPr>
          <w:rFonts w:ascii="Times New Roman" w:hAnsi="Times New Roman" w:cs="Times New Roman"/>
          <w:color w:val="000000"/>
          <w:sz w:val="24"/>
          <w:szCs w:val="24"/>
        </w:rPr>
        <w:t>videre</w:t>
      </w:r>
      <w:r w:rsidR="00FD2931">
        <w:rPr>
          <w:rFonts w:ascii="Times New Roman" w:hAnsi="Times New Roman" w:cs="Times New Roman"/>
          <w:color w:val="000000"/>
          <w:sz w:val="24"/>
          <w:szCs w:val="24"/>
        </w:rPr>
        <w:t xml:space="preserve"> være</w:t>
      </w:r>
      <w:r w:rsidRPr="0039792A">
        <w:rPr>
          <w:rFonts w:ascii="Times New Roman" w:hAnsi="Times New Roman" w:cs="Times New Roman"/>
          <w:color w:val="000000"/>
          <w:sz w:val="24"/>
          <w:szCs w:val="24"/>
        </w:rPr>
        <w:t xml:space="preserve"> et særligt skærpende moment, såfremt videresalget er sket eller var planlagt til at ske på restaurationer, herunder diskoteker, ved koncerter og festivaler eller ved andre arrangementer, hvor det typisk hovedsageligt er børn eller unge mennesker, der deltager. </w:t>
      </w:r>
    </w:p>
    <w:p w14:paraId="4CE692C8" w14:textId="77777777" w:rsidR="001418B7" w:rsidRPr="0039792A" w:rsidRDefault="001418B7" w:rsidP="00875F54">
      <w:pPr>
        <w:rPr>
          <w:rFonts w:ascii="Times New Roman" w:hAnsi="Times New Roman" w:cs="Times New Roman"/>
          <w:color w:val="000000"/>
          <w:sz w:val="24"/>
          <w:szCs w:val="24"/>
        </w:rPr>
      </w:pPr>
    </w:p>
    <w:p w14:paraId="4499E44A" w14:textId="0DDFF91C" w:rsidR="001418B7" w:rsidRPr="0039792A" w:rsidRDefault="001418B7" w:rsidP="00875F54">
      <w:pPr>
        <w:rPr>
          <w:rFonts w:ascii="Times New Roman" w:hAnsi="Times New Roman" w:cs="Times New Roman"/>
          <w:color w:val="000000"/>
          <w:sz w:val="24"/>
          <w:szCs w:val="24"/>
        </w:rPr>
      </w:pPr>
      <w:r w:rsidRPr="0039792A">
        <w:rPr>
          <w:rFonts w:ascii="Times New Roman" w:hAnsi="Times New Roman" w:cs="Times New Roman"/>
          <w:color w:val="000000"/>
          <w:sz w:val="24"/>
          <w:szCs w:val="24"/>
        </w:rPr>
        <w:t xml:space="preserve">Det </w:t>
      </w:r>
      <w:r w:rsidR="00FD2931">
        <w:rPr>
          <w:rFonts w:ascii="Times New Roman" w:hAnsi="Times New Roman" w:cs="Times New Roman"/>
          <w:color w:val="000000"/>
          <w:sz w:val="24"/>
          <w:szCs w:val="24"/>
        </w:rPr>
        <w:t>kan</w:t>
      </w:r>
      <w:r w:rsidRPr="0039792A">
        <w:rPr>
          <w:rFonts w:ascii="Times New Roman" w:hAnsi="Times New Roman" w:cs="Times New Roman"/>
          <w:color w:val="000000"/>
          <w:sz w:val="24"/>
          <w:szCs w:val="24"/>
        </w:rPr>
        <w:t xml:space="preserve"> ligeledes</w:t>
      </w:r>
      <w:r w:rsidR="00FD2931">
        <w:rPr>
          <w:rFonts w:ascii="Times New Roman" w:hAnsi="Times New Roman" w:cs="Times New Roman"/>
          <w:color w:val="000000"/>
          <w:sz w:val="24"/>
          <w:szCs w:val="24"/>
        </w:rPr>
        <w:t xml:space="preserve"> være</w:t>
      </w:r>
      <w:r w:rsidRPr="0039792A">
        <w:rPr>
          <w:rFonts w:ascii="Times New Roman" w:hAnsi="Times New Roman" w:cs="Times New Roman"/>
          <w:color w:val="000000"/>
          <w:sz w:val="24"/>
          <w:szCs w:val="24"/>
        </w:rPr>
        <w:t xml:space="preserve"> et skærpende moment, såfremt besiddelsen af stofferne er sket i e</w:t>
      </w:r>
      <w:r w:rsidR="005977E6">
        <w:rPr>
          <w:rFonts w:ascii="Times New Roman" w:hAnsi="Times New Roman" w:cs="Times New Roman"/>
          <w:color w:val="000000"/>
          <w:sz w:val="24"/>
          <w:szCs w:val="24"/>
        </w:rPr>
        <w:t>n</w:t>
      </w:r>
      <w:r w:rsidRPr="0039792A">
        <w:rPr>
          <w:rFonts w:ascii="Times New Roman" w:hAnsi="Times New Roman" w:cs="Times New Roman"/>
          <w:color w:val="000000"/>
          <w:sz w:val="24"/>
          <w:szCs w:val="24"/>
        </w:rPr>
        <w:t xml:space="preserve">, anstalt eller andre af Kriminalforsorgens institutioner. </w:t>
      </w:r>
    </w:p>
    <w:p w14:paraId="5ED7B85B" w14:textId="77777777" w:rsidR="001418B7" w:rsidRPr="0039792A" w:rsidRDefault="001418B7" w:rsidP="00875F54">
      <w:pPr>
        <w:rPr>
          <w:rFonts w:ascii="Times New Roman" w:hAnsi="Times New Roman" w:cs="Times New Roman"/>
          <w:color w:val="000000"/>
          <w:sz w:val="24"/>
          <w:szCs w:val="24"/>
        </w:rPr>
      </w:pPr>
    </w:p>
    <w:p w14:paraId="14C87438" w14:textId="77777777" w:rsidR="001418B7" w:rsidRPr="0039792A" w:rsidRDefault="001418B7" w:rsidP="00757CB2">
      <w:pPr>
        <w:pStyle w:val="Overskrift2"/>
        <w:spacing w:before="0"/>
        <w:ind w:left="0" w:firstLine="284"/>
        <w:rPr>
          <w:rFonts w:ascii="Times New Roman" w:hAnsi="Times New Roman" w:cs="Times New Roman"/>
          <w:sz w:val="24"/>
          <w:szCs w:val="24"/>
        </w:rPr>
      </w:pPr>
      <w:r w:rsidRPr="0039792A">
        <w:rPr>
          <w:rFonts w:ascii="Times New Roman" w:hAnsi="Times New Roman" w:cs="Times New Roman"/>
          <w:sz w:val="24"/>
          <w:szCs w:val="24"/>
        </w:rPr>
        <w:t xml:space="preserve">2.5. Systematisk salg med større økonomisk fortjeneste </w:t>
      </w:r>
    </w:p>
    <w:p w14:paraId="691F572B" w14:textId="6464624A" w:rsidR="001418B7" w:rsidRPr="0039792A" w:rsidRDefault="001418B7" w:rsidP="00875F54">
      <w:pPr>
        <w:rPr>
          <w:rFonts w:ascii="Times New Roman" w:hAnsi="Times New Roman" w:cs="Times New Roman"/>
          <w:color w:val="000000"/>
          <w:sz w:val="24"/>
          <w:szCs w:val="24"/>
        </w:rPr>
      </w:pPr>
      <w:r w:rsidRPr="0039792A">
        <w:rPr>
          <w:rFonts w:ascii="Times New Roman" w:hAnsi="Times New Roman" w:cs="Times New Roman"/>
          <w:color w:val="000000"/>
          <w:sz w:val="24"/>
          <w:szCs w:val="24"/>
        </w:rPr>
        <w:t>Hvis mængden af det dokumenterede salg, fordeling, indførelse eller udførelse gør det t</w:t>
      </w:r>
      <w:r w:rsidRPr="0039792A">
        <w:rPr>
          <w:rFonts w:ascii="Times New Roman" w:hAnsi="Times New Roman" w:cs="Times New Roman"/>
          <w:color w:val="000000"/>
          <w:sz w:val="24"/>
          <w:szCs w:val="24"/>
        </w:rPr>
        <w:t>y</w:t>
      </w:r>
      <w:r w:rsidRPr="0039792A">
        <w:rPr>
          <w:rFonts w:ascii="Times New Roman" w:hAnsi="Times New Roman" w:cs="Times New Roman"/>
          <w:color w:val="000000"/>
          <w:sz w:val="24"/>
          <w:szCs w:val="24"/>
        </w:rPr>
        <w:t xml:space="preserve">deligt, at handlingen er systematisk, planlagt eller af større mængder, </w:t>
      </w:r>
      <w:r w:rsidR="00725FD3">
        <w:rPr>
          <w:rFonts w:ascii="Times New Roman" w:hAnsi="Times New Roman" w:cs="Times New Roman"/>
          <w:color w:val="000000"/>
          <w:sz w:val="24"/>
          <w:szCs w:val="24"/>
        </w:rPr>
        <w:t xml:space="preserve">eksempelvis som en del af bandekriminalitet eller lignende, </w:t>
      </w:r>
      <w:r w:rsidR="00993054">
        <w:rPr>
          <w:rFonts w:ascii="Times New Roman" w:hAnsi="Times New Roman" w:cs="Times New Roman"/>
          <w:color w:val="000000"/>
          <w:sz w:val="24"/>
          <w:szCs w:val="24"/>
        </w:rPr>
        <w:t xml:space="preserve">kan det </w:t>
      </w:r>
      <w:r w:rsidRPr="0039792A">
        <w:rPr>
          <w:rFonts w:ascii="Times New Roman" w:hAnsi="Times New Roman" w:cs="Times New Roman"/>
          <w:color w:val="000000"/>
          <w:sz w:val="24"/>
          <w:szCs w:val="24"/>
        </w:rPr>
        <w:t>anses som en yderligere skærpende o</w:t>
      </w:r>
      <w:r w:rsidRPr="0039792A">
        <w:rPr>
          <w:rFonts w:ascii="Times New Roman" w:hAnsi="Times New Roman" w:cs="Times New Roman"/>
          <w:color w:val="000000"/>
          <w:sz w:val="24"/>
          <w:szCs w:val="24"/>
        </w:rPr>
        <w:t>m</w:t>
      </w:r>
      <w:r w:rsidRPr="0039792A">
        <w:rPr>
          <w:rFonts w:ascii="Times New Roman" w:hAnsi="Times New Roman" w:cs="Times New Roman"/>
          <w:color w:val="000000"/>
          <w:sz w:val="24"/>
          <w:szCs w:val="24"/>
        </w:rPr>
        <w:t xml:space="preserve">stændighed, som </w:t>
      </w:r>
      <w:r w:rsidR="00725FD3">
        <w:rPr>
          <w:rFonts w:ascii="Times New Roman" w:hAnsi="Times New Roman" w:cs="Times New Roman"/>
          <w:color w:val="000000"/>
          <w:sz w:val="24"/>
          <w:szCs w:val="24"/>
        </w:rPr>
        <w:t>kan</w:t>
      </w:r>
      <w:r w:rsidR="00725FD3" w:rsidRPr="0039792A">
        <w:rPr>
          <w:rFonts w:ascii="Times New Roman" w:hAnsi="Times New Roman" w:cs="Times New Roman"/>
          <w:color w:val="000000"/>
          <w:sz w:val="24"/>
          <w:szCs w:val="24"/>
        </w:rPr>
        <w:t xml:space="preserve"> </w:t>
      </w:r>
      <w:r w:rsidRPr="0039792A">
        <w:rPr>
          <w:rFonts w:ascii="Times New Roman" w:hAnsi="Times New Roman" w:cs="Times New Roman"/>
          <w:color w:val="000000"/>
          <w:sz w:val="24"/>
          <w:szCs w:val="24"/>
        </w:rPr>
        <w:t xml:space="preserve">afspejles ved udmålingen af sanktionen. Bødesanktioner </w:t>
      </w:r>
      <w:r w:rsidR="00993054">
        <w:rPr>
          <w:rFonts w:ascii="Times New Roman" w:hAnsi="Times New Roman" w:cs="Times New Roman"/>
          <w:color w:val="000000"/>
          <w:sz w:val="24"/>
          <w:szCs w:val="24"/>
        </w:rPr>
        <w:t>kan</w:t>
      </w:r>
      <w:r w:rsidR="00993054" w:rsidRPr="0039792A">
        <w:rPr>
          <w:rFonts w:ascii="Times New Roman" w:hAnsi="Times New Roman" w:cs="Times New Roman"/>
          <w:color w:val="000000"/>
          <w:sz w:val="24"/>
          <w:szCs w:val="24"/>
        </w:rPr>
        <w:t xml:space="preserve"> </w:t>
      </w:r>
      <w:r w:rsidRPr="0039792A">
        <w:rPr>
          <w:rFonts w:ascii="Times New Roman" w:hAnsi="Times New Roman" w:cs="Times New Roman"/>
          <w:color w:val="000000"/>
          <w:sz w:val="24"/>
          <w:szCs w:val="24"/>
        </w:rPr>
        <w:t>videre afspejle den potentielle fortjeneste.</w:t>
      </w:r>
    </w:p>
    <w:p w14:paraId="725FE9C1" w14:textId="77777777" w:rsidR="001418B7" w:rsidRPr="0039792A" w:rsidRDefault="001418B7" w:rsidP="0039792A">
      <w:pPr>
        <w:rPr>
          <w:rFonts w:ascii="Times New Roman" w:hAnsi="Times New Roman" w:cs="Times New Roman"/>
          <w:b/>
          <w:bCs/>
          <w:kern w:val="28"/>
          <w:sz w:val="24"/>
          <w:szCs w:val="24"/>
        </w:rPr>
      </w:pPr>
      <w:r w:rsidRPr="0039792A">
        <w:rPr>
          <w:rFonts w:ascii="Times New Roman" w:hAnsi="Times New Roman" w:cs="Times New Roman"/>
          <w:sz w:val="24"/>
          <w:szCs w:val="24"/>
        </w:rPr>
        <w:br w:type="page"/>
      </w:r>
    </w:p>
    <w:p w14:paraId="649788D9" w14:textId="77777777" w:rsidR="001418B7" w:rsidRPr="0039792A" w:rsidRDefault="001418B7" w:rsidP="0039792A">
      <w:pPr>
        <w:pStyle w:val="Overskrift1"/>
        <w:spacing w:before="0"/>
        <w:rPr>
          <w:rFonts w:ascii="Times New Roman" w:hAnsi="Times New Roman" w:cs="Times New Roman"/>
          <w:sz w:val="24"/>
          <w:szCs w:val="24"/>
        </w:rPr>
      </w:pPr>
      <w:r w:rsidRPr="0039792A">
        <w:rPr>
          <w:rFonts w:ascii="Times New Roman" w:hAnsi="Times New Roman" w:cs="Times New Roman"/>
          <w:sz w:val="24"/>
          <w:szCs w:val="24"/>
        </w:rPr>
        <w:lastRenderedPageBreak/>
        <w:t>3. Formildende omstændigheder</w:t>
      </w:r>
    </w:p>
    <w:p w14:paraId="2469D0DD" w14:textId="315D660A" w:rsidR="001418B7" w:rsidRPr="0039792A" w:rsidRDefault="001418B7" w:rsidP="00875F54">
      <w:pPr>
        <w:rPr>
          <w:rFonts w:ascii="Times New Roman" w:hAnsi="Times New Roman" w:cs="Times New Roman"/>
          <w:color w:val="000000"/>
          <w:sz w:val="24"/>
          <w:szCs w:val="24"/>
        </w:rPr>
      </w:pPr>
      <w:r w:rsidRPr="0039792A">
        <w:rPr>
          <w:rFonts w:ascii="Times New Roman" w:hAnsi="Times New Roman" w:cs="Times New Roman"/>
          <w:color w:val="000000"/>
          <w:sz w:val="24"/>
          <w:szCs w:val="24"/>
        </w:rPr>
        <w:t>Ved udmålingen af foranstaltningerne kan de følgende momenter udgøre formildende o</w:t>
      </w:r>
      <w:r w:rsidRPr="0039792A">
        <w:rPr>
          <w:rFonts w:ascii="Times New Roman" w:hAnsi="Times New Roman" w:cs="Times New Roman"/>
          <w:color w:val="000000"/>
          <w:sz w:val="24"/>
          <w:szCs w:val="24"/>
        </w:rPr>
        <w:t>m</w:t>
      </w:r>
      <w:r w:rsidRPr="0039792A">
        <w:rPr>
          <w:rFonts w:ascii="Times New Roman" w:hAnsi="Times New Roman" w:cs="Times New Roman"/>
          <w:color w:val="000000"/>
          <w:sz w:val="24"/>
          <w:szCs w:val="24"/>
        </w:rPr>
        <w:t>stændigheder, idet de vurderes at have en væsentligt mindre skadevirkning i samfundet</w:t>
      </w:r>
      <w:r w:rsidR="002970D6">
        <w:rPr>
          <w:rFonts w:ascii="Times New Roman" w:hAnsi="Times New Roman" w:cs="Times New Roman"/>
          <w:color w:val="000000"/>
          <w:sz w:val="24"/>
          <w:szCs w:val="24"/>
        </w:rPr>
        <w:t xml:space="preserve"> og en sanktionering i overensstemmelse med normalniveauet eller hvor en skærpelse kan a</w:t>
      </w:r>
      <w:r w:rsidR="002970D6">
        <w:rPr>
          <w:rFonts w:ascii="Times New Roman" w:hAnsi="Times New Roman" w:cs="Times New Roman"/>
          <w:color w:val="000000"/>
          <w:sz w:val="24"/>
          <w:szCs w:val="24"/>
        </w:rPr>
        <w:t>n</w:t>
      </w:r>
      <w:r w:rsidR="002970D6">
        <w:rPr>
          <w:rFonts w:ascii="Times New Roman" w:hAnsi="Times New Roman" w:cs="Times New Roman"/>
          <w:color w:val="000000"/>
          <w:sz w:val="24"/>
          <w:szCs w:val="24"/>
        </w:rPr>
        <w:t>ses som formålsløs</w:t>
      </w:r>
      <w:r w:rsidRPr="0039792A">
        <w:rPr>
          <w:rFonts w:ascii="Times New Roman" w:hAnsi="Times New Roman" w:cs="Times New Roman"/>
          <w:color w:val="000000"/>
          <w:sz w:val="24"/>
          <w:szCs w:val="24"/>
        </w:rPr>
        <w:t>. Formildende omstændigheder kan både føre til en mindskelse af bød</w:t>
      </w:r>
      <w:r w:rsidRPr="0039792A">
        <w:rPr>
          <w:rFonts w:ascii="Times New Roman" w:hAnsi="Times New Roman" w:cs="Times New Roman"/>
          <w:color w:val="000000"/>
          <w:sz w:val="24"/>
          <w:szCs w:val="24"/>
        </w:rPr>
        <w:t>e</w:t>
      </w:r>
      <w:r w:rsidRPr="0039792A">
        <w:rPr>
          <w:rFonts w:ascii="Times New Roman" w:hAnsi="Times New Roman" w:cs="Times New Roman"/>
          <w:color w:val="000000"/>
          <w:sz w:val="24"/>
          <w:szCs w:val="24"/>
        </w:rPr>
        <w:t>satsen, men også at bødesanktionen bortfalder</w:t>
      </w:r>
      <w:r w:rsidR="00993054">
        <w:rPr>
          <w:rFonts w:ascii="Times New Roman" w:hAnsi="Times New Roman" w:cs="Times New Roman"/>
          <w:color w:val="000000"/>
          <w:sz w:val="24"/>
          <w:szCs w:val="24"/>
        </w:rPr>
        <w:t>,</w:t>
      </w:r>
      <w:r w:rsidRPr="0039792A">
        <w:rPr>
          <w:rFonts w:ascii="Times New Roman" w:hAnsi="Times New Roman" w:cs="Times New Roman"/>
          <w:color w:val="000000"/>
          <w:sz w:val="24"/>
          <w:szCs w:val="24"/>
        </w:rPr>
        <w:t xml:space="preserve"> og at der i stedet</w:t>
      </w:r>
      <w:r w:rsidR="004D5495">
        <w:rPr>
          <w:rFonts w:ascii="Times New Roman" w:hAnsi="Times New Roman" w:cs="Times New Roman"/>
          <w:color w:val="000000"/>
          <w:sz w:val="24"/>
          <w:szCs w:val="24"/>
        </w:rPr>
        <w:t xml:space="preserve"> kan</w:t>
      </w:r>
      <w:r w:rsidRPr="0039792A">
        <w:rPr>
          <w:rFonts w:ascii="Times New Roman" w:hAnsi="Times New Roman" w:cs="Times New Roman"/>
          <w:color w:val="000000"/>
          <w:sz w:val="24"/>
          <w:szCs w:val="24"/>
        </w:rPr>
        <w:t xml:space="preserve"> gives en advarsel i henhold til Kriminalloven. Ved advarsel forstås </w:t>
      </w:r>
      <w:r w:rsidR="006B47B3">
        <w:rPr>
          <w:rFonts w:ascii="Times New Roman" w:hAnsi="Times New Roman" w:cs="Times New Roman"/>
          <w:color w:val="000000"/>
          <w:sz w:val="24"/>
          <w:szCs w:val="24"/>
        </w:rPr>
        <w:t>både</w:t>
      </w:r>
      <w:r w:rsidR="006B47B3" w:rsidRPr="0039792A">
        <w:rPr>
          <w:rFonts w:ascii="Times New Roman" w:hAnsi="Times New Roman" w:cs="Times New Roman"/>
          <w:color w:val="000000"/>
          <w:sz w:val="24"/>
          <w:szCs w:val="24"/>
        </w:rPr>
        <w:t xml:space="preserve"> </w:t>
      </w:r>
      <w:r w:rsidRPr="0039792A">
        <w:rPr>
          <w:rFonts w:ascii="Times New Roman" w:hAnsi="Times New Roman" w:cs="Times New Roman"/>
          <w:color w:val="000000"/>
          <w:sz w:val="24"/>
          <w:szCs w:val="24"/>
        </w:rPr>
        <w:t>advarsel meddelt af politiet</w:t>
      </w:r>
      <w:r w:rsidR="006B47B3">
        <w:rPr>
          <w:rFonts w:ascii="Times New Roman" w:hAnsi="Times New Roman" w:cs="Times New Roman"/>
          <w:color w:val="000000"/>
          <w:sz w:val="24"/>
          <w:szCs w:val="24"/>
        </w:rPr>
        <w:t>,</w:t>
      </w:r>
      <w:r w:rsidRPr="0039792A">
        <w:rPr>
          <w:rFonts w:ascii="Times New Roman" w:hAnsi="Times New Roman" w:cs="Times New Roman"/>
          <w:color w:val="000000"/>
          <w:sz w:val="24"/>
          <w:szCs w:val="24"/>
        </w:rPr>
        <w:t xml:space="preserve"> ankl</w:t>
      </w:r>
      <w:r w:rsidRPr="0039792A">
        <w:rPr>
          <w:rFonts w:ascii="Times New Roman" w:hAnsi="Times New Roman" w:cs="Times New Roman"/>
          <w:color w:val="000000"/>
          <w:sz w:val="24"/>
          <w:szCs w:val="24"/>
        </w:rPr>
        <w:t>a</w:t>
      </w:r>
      <w:r w:rsidRPr="0039792A">
        <w:rPr>
          <w:rFonts w:ascii="Times New Roman" w:hAnsi="Times New Roman" w:cs="Times New Roman"/>
          <w:color w:val="000000"/>
          <w:sz w:val="24"/>
          <w:szCs w:val="24"/>
        </w:rPr>
        <w:t>gemyndigheden</w:t>
      </w:r>
      <w:r w:rsidR="0020494D">
        <w:rPr>
          <w:rFonts w:ascii="Times New Roman" w:hAnsi="Times New Roman" w:cs="Times New Roman"/>
          <w:color w:val="000000"/>
          <w:sz w:val="24"/>
          <w:szCs w:val="24"/>
        </w:rPr>
        <w:t xml:space="preserve"> i henhold til Retsplejelovens § 313</w:t>
      </w:r>
      <w:r w:rsidR="006B47B3">
        <w:rPr>
          <w:rFonts w:ascii="Times New Roman" w:hAnsi="Times New Roman" w:cs="Times New Roman"/>
          <w:color w:val="000000"/>
          <w:sz w:val="24"/>
          <w:szCs w:val="24"/>
        </w:rPr>
        <w:t xml:space="preserve"> eller</w:t>
      </w:r>
      <w:r w:rsidRPr="0039792A">
        <w:rPr>
          <w:rFonts w:ascii="Times New Roman" w:hAnsi="Times New Roman" w:cs="Times New Roman"/>
          <w:color w:val="000000"/>
          <w:sz w:val="24"/>
          <w:szCs w:val="24"/>
        </w:rPr>
        <w:t xml:space="preserve"> advarsler tildelt af retten i he</w:t>
      </w:r>
      <w:r w:rsidRPr="0039792A">
        <w:rPr>
          <w:rFonts w:ascii="Times New Roman" w:hAnsi="Times New Roman" w:cs="Times New Roman"/>
          <w:color w:val="000000"/>
          <w:sz w:val="24"/>
          <w:szCs w:val="24"/>
        </w:rPr>
        <w:t>n</w:t>
      </w:r>
      <w:r w:rsidRPr="0039792A">
        <w:rPr>
          <w:rFonts w:ascii="Times New Roman" w:hAnsi="Times New Roman" w:cs="Times New Roman"/>
          <w:color w:val="000000"/>
          <w:sz w:val="24"/>
          <w:szCs w:val="24"/>
        </w:rPr>
        <w:t xml:space="preserve">hold til </w:t>
      </w:r>
      <w:proofErr w:type="spellStart"/>
      <w:r w:rsidRPr="0039792A">
        <w:rPr>
          <w:rFonts w:ascii="Times New Roman" w:hAnsi="Times New Roman" w:cs="Times New Roman"/>
          <w:color w:val="000000"/>
          <w:sz w:val="24"/>
          <w:szCs w:val="24"/>
        </w:rPr>
        <w:t>Kriminallovens</w:t>
      </w:r>
      <w:proofErr w:type="spellEnd"/>
      <w:r w:rsidRPr="0039792A">
        <w:rPr>
          <w:rFonts w:ascii="Times New Roman" w:hAnsi="Times New Roman" w:cs="Times New Roman"/>
          <w:color w:val="000000"/>
          <w:sz w:val="24"/>
          <w:szCs w:val="24"/>
        </w:rPr>
        <w:t xml:space="preserve"> § 119.</w:t>
      </w:r>
      <w:r w:rsidR="002970D6">
        <w:rPr>
          <w:rFonts w:ascii="Times New Roman" w:hAnsi="Times New Roman" w:cs="Times New Roman"/>
          <w:color w:val="000000"/>
          <w:sz w:val="24"/>
          <w:szCs w:val="24"/>
        </w:rPr>
        <w:t xml:space="preserve"> Herudover kan formildende omstændigheder </w:t>
      </w:r>
      <w:r w:rsidR="005A01B0">
        <w:rPr>
          <w:rFonts w:ascii="Times New Roman" w:hAnsi="Times New Roman" w:cs="Times New Roman"/>
          <w:color w:val="000000"/>
          <w:sz w:val="24"/>
          <w:szCs w:val="24"/>
        </w:rPr>
        <w:t xml:space="preserve">ligeledes føre til en sanktionering i henhold til </w:t>
      </w:r>
      <w:proofErr w:type="spellStart"/>
      <w:r w:rsidR="005A01B0">
        <w:rPr>
          <w:rFonts w:ascii="Times New Roman" w:hAnsi="Times New Roman" w:cs="Times New Roman"/>
          <w:color w:val="000000"/>
          <w:sz w:val="24"/>
          <w:szCs w:val="24"/>
        </w:rPr>
        <w:t>Kriminallovens</w:t>
      </w:r>
      <w:proofErr w:type="spellEnd"/>
      <w:r w:rsidR="005A01B0">
        <w:rPr>
          <w:rFonts w:ascii="Times New Roman" w:hAnsi="Times New Roman" w:cs="Times New Roman"/>
          <w:color w:val="000000"/>
          <w:sz w:val="24"/>
          <w:szCs w:val="24"/>
        </w:rPr>
        <w:t xml:space="preserve"> §§ 135-136 om afvænningsbehandling e</w:t>
      </w:r>
      <w:r w:rsidR="005A01B0">
        <w:rPr>
          <w:rFonts w:ascii="Times New Roman" w:hAnsi="Times New Roman" w:cs="Times New Roman"/>
          <w:color w:val="000000"/>
          <w:sz w:val="24"/>
          <w:szCs w:val="24"/>
        </w:rPr>
        <w:t>l</w:t>
      </w:r>
      <w:r w:rsidR="005A01B0">
        <w:rPr>
          <w:rFonts w:ascii="Times New Roman" w:hAnsi="Times New Roman" w:cs="Times New Roman"/>
          <w:color w:val="000000"/>
          <w:sz w:val="24"/>
          <w:szCs w:val="24"/>
        </w:rPr>
        <w:t xml:space="preserve">ler lignende relevante vilkår. </w:t>
      </w:r>
    </w:p>
    <w:p w14:paraId="0A7E7492" w14:textId="77777777" w:rsidR="001418B7" w:rsidRPr="0039792A" w:rsidRDefault="001418B7" w:rsidP="00875F54">
      <w:pPr>
        <w:rPr>
          <w:rFonts w:ascii="Times New Roman" w:hAnsi="Times New Roman" w:cs="Times New Roman"/>
          <w:color w:val="000000"/>
          <w:sz w:val="24"/>
          <w:szCs w:val="24"/>
        </w:rPr>
      </w:pPr>
    </w:p>
    <w:p w14:paraId="304AC70D" w14:textId="1B4A75D3" w:rsidR="001418B7" w:rsidRPr="0039792A" w:rsidRDefault="001418B7" w:rsidP="00757CB2">
      <w:pPr>
        <w:pStyle w:val="Overskrift2"/>
        <w:spacing w:before="0"/>
        <w:ind w:left="0" w:firstLine="284"/>
        <w:rPr>
          <w:rFonts w:ascii="Times New Roman" w:hAnsi="Times New Roman" w:cs="Times New Roman"/>
          <w:sz w:val="24"/>
          <w:szCs w:val="24"/>
        </w:rPr>
      </w:pPr>
      <w:r w:rsidRPr="0039792A">
        <w:rPr>
          <w:rFonts w:ascii="Times New Roman" w:hAnsi="Times New Roman" w:cs="Times New Roman"/>
          <w:sz w:val="24"/>
          <w:szCs w:val="24"/>
        </w:rPr>
        <w:t>3.1</w:t>
      </w:r>
      <w:r w:rsidR="005E2409">
        <w:rPr>
          <w:rFonts w:ascii="Times New Roman" w:hAnsi="Times New Roman" w:cs="Times New Roman"/>
          <w:sz w:val="24"/>
          <w:szCs w:val="24"/>
        </w:rPr>
        <w:t>.</w:t>
      </w:r>
      <w:r w:rsidRPr="0039792A">
        <w:rPr>
          <w:rFonts w:ascii="Times New Roman" w:hAnsi="Times New Roman" w:cs="Times New Roman"/>
          <w:sz w:val="24"/>
          <w:szCs w:val="24"/>
        </w:rPr>
        <w:t xml:space="preserve"> Sociale forhold</w:t>
      </w:r>
    </w:p>
    <w:p w14:paraId="3FC31889" w14:textId="7713C226" w:rsidR="001418B7" w:rsidRPr="0039792A" w:rsidRDefault="001418B7" w:rsidP="00875F54">
      <w:pPr>
        <w:rPr>
          <w:rFonts w:ascii="Times New Roman" w:hAnsi="Times New Roman" w:cs="Times New Roman"/>
          <w:color w:val="000000"/>
          <w:sz w:val="24"/>
          <w:szCs w:val="24"/>
        </w:rPr>
      </w:pPr>
      <w:r w:rsidRPr="0039792A">
        <w:rPr>
          <w:rFonts w:ascii="Times New Roman" w:hAnsi="Times New Roman" w:cs="Times New Roman"/>
          <w:color w:val="000000"/>
          <w:sz w:val="24"/>
          <w:szCs w:val="24"/>
        </w:rPr>
        <w:t xml:space="preserve">Ved udmålingen af foranstaltningerne </w:t>
      </w:r>
      <w:r w:rsidR="007736EA">
        <w:rPr>
          <w:rFonts w:ascii="Times New Roman" w:hAnsi="Times New Roman" w:cs="Times New Roman"/>
          <w:color w:val="000000"/>
          <w:sz w:val="24"/>
          <w:szCs w:val="24"/>
        </w:rPr>
        <w:t>kan</w:t>
      </w:r>
      <w:r w:rsidR="007736EA" w:rsidRPr="0039792A">
        <w:rPr>
          <w:rFonts w:ascii="Times New Roman" w:hAnsi="Times New Roman" w:cs="Times New Roman"/>
          <w:color w:val="000000"/>
          <w:sz w:val="24"/>
          <w:szCs w:val="24"/>
        </w:rPr>
        <w:t xml:space="preserve"> </w:t>
      </w:r>
      <w:r w:rsidRPr="0039792A">
        <w:rPr>
          <w:rFonts w:ascii="Times New Roman" w:hAnsi="Times New Roman" w:cs="Times New Roman"/>
          <w:color w:val="000000"/>
          <w:sz w:val="24"/>
          <w:szCs w:val="24"/>
        </w:rPr>
        <w:t>personens sociale forhold indgå i vurderingen</w:t>
      </w:r>
      <w:r w:rsidR="005A01B0">
        <w:rPr>
          <w:rFonts w:ascii="Times New Roman" w:hAnsi="Times New Roman" w:cs="Times New Roman"/>
          <w:color w:val="000000"/>
          <w:sz w:val="24"/>
          <w:szCs w:val="24"/>
        </w:rPr>
        <w:t>, som nævnt ovenfor</w:t>
      </w:r>
      <w:r w:rsidRPr="0039792A">
        <w:rPr>
          <w:rFonts w:ascii="Times New Roman" w:hAnsi="Times New Roman" w:cs="Times New Roman"/>
          <w:color w:val="000000"/>
          <w:sz w:val="24"/>
          <w:szCs w:val="24"/>
        </w:rPr>
        <w:t xml:space="preserve">. Er besiddelsen og forbruget af de euforiserende stoffer udslag for af en stærk afhængighed som følge af et længere og vedvarende misbrug, </w:t>
      </w:r>
      <w:r w:rsidR="007736EA">
        <w:rPr>
          <w:rFonts w:ascii="Times New Roman" w:hAnsi="Times New Roman" w:cs="Times New Roman"/>
          <w:color w:val="000000"/>
          <w:sz w:val="24"/>
          <w:szCs w:val="24"/>
        </w:rPr>
        <w:t>kan</w:t>
      </w:r>
      <w:r w:rsidR="007736EA" w:rsidRPr="0039792A">
        <w:rPr>
          <w:rFonts w:ascii="Times New Roman" w:hAnsi="Times New Roman" w:cs="Times New Roman"/>
          <w:color w:val="000000"/>
          <w:sz w:val="24"/>
          <w:szCs w:val="24"/>
        </w:rPr>
        <w:t xml:space="preserve"> </w:t>
      </w:r>
      <w:r w:rsidRPr="0039792A">
        <w:rPr>
          <w:rFonts w:ascii="Times New Roman" w:hAnsi="Times New Roman" w:cs="Times New Roman"/>
          <w:color w:val="000000"/>
          <w:sz w:val="24"/>
          <w:szCs w:val="24"/>
        </w:rPr>
        <w:t>det anses som en formildende omstændighed.</w:t>
      </w:r>
    </w:p>
    <w:p w14:paraId="3A911F4E" w14:textId="77777777" w:rsidR="001418B7" w:rsidRPr="0039792A" w:rsidRDefault="001418B7" w:rsidP="00875F54">
      <w:pPr>
        <w:rPr>
          <w:rFonts w:ascii="Times New Roman" w:hAnsi="Times New Roman" w:cs="Times New Roman"/>
          <w:color w:val="000000"/>
          <w:sz w:val="24"/>
          <w:szCs w:val="24"/>
        </w:rPr>
      </w:pPr>
    </w:p>
    <w:p w14:paraId="6C6ABD83" w14:textId="775B2058" w:rsidR="001418B7" w:rsidRPr="0039792A" w:rsidRDefault="001418B7" w:rsidP="00887968">
      <w:pPr>
        <w:rPr>
          <w:rFonts w:ascii="Times New Roman" w:hAnsi="Times New Roman" w:cs="Times New Roman"/>
          <w:color w:val="000000"/>
          <w:sz w:val="24"/>
          <w:szCs w:val="24"/>
        </w:rPr>
      </w:pPr>
      <w:r w:rsidRPr="0039792A">
        <w:rPr>
          <w:rFonts w:ascii="Times New Roman" w:hAnsi="Times New Roman" w:cs="Times New Roman"/>
          <w:color w:val="000000"/>
          <w:sz w:val="24"/>
          <w:szCs w:val="24"/>
        </w:rPr>
        <w:t xml:space="preserve">Det </w:t>
      </w:r>
      <w:r w:rsidR="00C605F3">
        <w:rPr>
          <w:rFonts w:ascii="Times New Roman" w:hAnsi="Times New Roman" w:cs="Times New Roman"/>
          <w:color w:val="000000"/>
          <w:sz w:val="24"/>
          <w:szCs w:val="24"/>
        </w:rPr>
        <w:t>kan</w:t>
      </w:r>
      <w:r w:rsidR="00C605F3" w:rsidRPr="0039792A">
        <w:rPr>
          <w:rFonts w:ascii="Times New Roman" w:hAnsi="Times New Roman" w:cs="Times New Roman"/>
          <w:color w:val="000000"/>
          <w:sz w:val="24"/>
          <w:szCs w:val="24"/>
        </w:rPr>
        <w:t xml:space="preserve"> </w:t>
      </w:r>
      <w:r w:rsidRPr="0039792A">
        <w:rPr>
          <w:rFonts w:ascii="Times New Roman" w:hAnsi="Times New Roman" w:cs="Times New Roman"/>
          <w:color w:val="000000"/>
          <w:sz w:val="24"/>
          <w:szCs w:val="24"/>
        </w:rPr>
        <w:t>også indgå i vurderingen, om den pågældende ikke vil kun</w:t>
      </w:r>
      <w:r w:rsidR="005977E6">
        <w:rPr>
          <w:rFonts w:ascii="Times New Roman" w:hAnsi="Times New Roman" w:cs="Times New Roman"/>
          <w:color w:val="000000"/>
          <w:sz w:val="24"/>
          <w:szCs w:val="24"/>
        </w:rPr>
        <w:t>ne</w:t>
      </w:r>
      <w:r w:rsidRPr="0039792A">
        <w:rPr>
          <w:rFonts w:ascii="Times New Roman" w:hAnsi="Times New Roman" w:cs="Times New Roman"/>
          <w:color w:val="000000"/>
          <w:sz w:val="24"/>
          <w:szCs w:val="24"/>
        </w:rPr>
        <w:t xml:space="preserve"> </w:t>
      </w:r>
      <w:r w:rsidR="00057A8A">
        <w:rPr>
          <w:rFonts w:ascii="Times New Roman" w:hAnsi="Times New Roman" w:cs="Times New Roman"/>
          <w:color w:val="000000"/>
          <w:sz w:val="24"/>
          <w:szCs w:val="24"/>
        </w:rPr>
        <w:t>betale</w:t>
      </w:r>
      <w:r w:rsidR="00057A8A" w:rsidRPr="0039792A">
        <w:rPr>
          <w:rFonts w:ascii="Times New Roman" w:hAnsi="Times New Roman" w:cs="Times New Roman"/>
          <w:color w:val="000000"/>
          <w:sz w:val="24"/>
          <w:szCs w:val="24"/>
        </w:rPr>
        <w:t xml:space="preserve"> </w:t>
      </w:r>
      <w:r w:rsidRPr="0039792A">
        <w:rPr>
          <w:rFonts w:ascii="Times New Roman" w:hAnsi="Times New Roman" w:cs="Times New Roman"/>
          <w:color w:val="000000"/>
          <w:sz w:val="24"/>
          <w:szCs w:val="24"/>
        </w:rPr>
        <w:t>en bøde</w:t>
      </w:r>
      <w:r w:rsidR="005E4D3B">
        <w:rPr>
          <w:rFonts w:ascii="Times New Roman" w:hAnsi="Times New Roman" w:cs="Times New Roman"/>
          <w:color w:val="000000"/>
          <w:sz w:val="24"/>
          <w:szCs w:val="24"/>
        </w:rPr>
        <w:t xml:space="preserve">, idet den pågældende </w:t>
      </w:r>
      <w:r w:rsidR="00E37781">
        <w:rPr>
          <w:rFonts w:ascii="Times New Roman" w:hAnsi="Times New Roman" w:cs="Times New Roman"/>
          <w:color w:val="000000"/>
          <w:sz w:val="24"/>
          <w:szCs w:val="24"/>
        </w:rPr>
        <w:t>modtager offentlig forsørgelse, og således ikke har tilstrækkelig</w:t>
      </w:r>
      <w:r w:rsidR="00E37781" w:rsidRPr="0039792A">
        <w:rPr>
          <w:rFonts w:ascii="Times New Roman" w:hAnsi="Times New Roman" w:cs="Times New Roman"/>
          <w:color w:val="000000"/>
          <w:sz w:val="24"/>
          <w:szCs w:val="24"/>
        </w:rPr>
        <w:t xml:space="preserve"> betaling</w:t>
      </w:r>
      <w:r w:rsidR="00E37781" w:rsidRPr="0039792A">
        <w:rPr>
          <w:rFonts w:ascii="Times New Roman" w:hAnsi="Times New Roman" w:cs="Times New Roman"/>
          <w:color w:val="000000"/>
          <w:sz w:val="24"/>
          <w:szCs w:val="24"/>
        </w:rPr>
        <w:t>s</w:t>
      </w:r>
      <w:r w:rsidR="00E37781" w:rsidRPr="0039792A">
        <w:rPr>
          <w:rFonts w:ascii="Times New Roman" w:hAnsi="Times New Roman" w:cs="Times New Roman"/>
          <w:color w:val="000000"/>
          <w:sz w:val="24"/>
          <w:szCs w:val="24"/>
        </w:rPr>
        <w:t>evne</w:t>
      </w:r>
      <w:r w:rsidR="00E37781">
        <w:rPr>
          <w:rFonts w:ascii="Times New Roman" w:hAnsi="Times New Roman" w:cs="Times New Roman"/>
          <w:color w:val="000000"/>
          <w:sz w:val="24"/>
          <w:szCs w:val="24"/>
        </w:rPr>
        <w:t>.</w:t>
      </w:r>
      <w:r w:rsidR="000F537E">
        <w:rPr>
          <w:rFonts w:ascii="Times New Roman" w:hAnsi="Times New Roman" w:cs="Times New Roman"/>
          <w:color w:val="000000"/>
          <w:sz w:val="24"/>
          <w:szCs w:val="24"/>
        </w:rPr>
        <w:t xml:space="preserve"> </w:t>
      </w:r>
      <w:r w:rsidR="00E37781">
        <w:rPr>
          <w:rFonts w:ascii="Times New Roman" w:hAnsi="Times New Roman" w:cs="Times New Roman"/>
          <w:color w:val="000000"/>
          <w:sz w:val="24"/>
          <w:szCs w:val="24"/>
        </w:rPr>
        <w:t>Bødesanktioner</w:t>
      </w:r>
      <w:r w:rsidR="00E37781" w:rsidRPr="0039792A">
        <w:rPr>
          <w:rFonts w:ascii="Times New Roman" w:hAnsi="Times New Roman" w:cs="Times New Roman"/>
          <w:color w:val="000000"/>
          <w:sz w:val="24"/>
          <w:szCs w:val="24"/>
        </w:rPr>
        <w:t xml:space="preserve"> </w:t>
      </w:r>
      <w:r w:rsidRPr="0039792A">
        <w:rPr>
          <w:rFonts w:ascii="Times New Roman" w:hAnsi="Times New Roman" w:cs="Times New Roman"/>
          <w:color w:val="000000"/>
          <w:sz w:val="24"/>
          <w:szCs w:val="24"/>
        </w:rPr>
        <w:t>vil i praksis medføre, at</w:t>
      </w:r>
      <w:r w:rsidR="00E37781">
        <w:rPr>
          <w:rFonts w:ascii="Times New Roman" w:hAnsi="Times New Roman" w:cs="Times New Roman"/>
          <w:color w:val="000000"/>
          <w:sz w:val="24"/>
          <w:szCs w:val="24"/>
        </w:rPr>
        <w:t xml:space="preserve"> </w:t>
      </w:r>
      <w:r w:rsidRPr="0039792A">
        <w:rPr>
          <w:rFonts w:ascii="Times New Roman" w:hAnsi="Times New Roman" w:cs="Times New Roman"/>
          <w:color w:val="000000"/>
          <w:sz w:val="24"/>
          <w:szCs w:val="24"/>
        </w:rPr>
        <w:t>personer med en stærk afhængighed vil kunne oparbejde en stor gæld til det offentlige, som ikke kan inddrives. Dette er uhe</w:t>
      </w:r>
      <w:r w:rsidRPr="0039792A">
        <w:rPr>
          <w:rFonts w:ascii="Times New Roman" w:hAnsi="Times New Roman" w:cs="Times New Roman"/>
          <w:color w:val="000000"/>
          <w:sz w:val="24"/>
          <w:szCs w:val="24"/>
        </w:rPr>
        <w:t>n</w:t>
      </w:r>
      <w:r w:rsidRPr="0039792A">
        <w:rPr>
          <w:rFonts w:ascii="Times New Roman" w:hAnsi="Times New Roman" w:cs="Times New Roman"/>
          <w:color w:val="000000"/>
          <w:sz w:val="24"/>
          <w:szCs w:val="24"/>
        </w:rPr>
        <w:t xml:space="preserve">sigtsmæssigt </w:t>
      </w:r>
      <w:r w:rsidR="0020494D">
        <w:rPr>
          <w:rFonts w:ascii="Times New Roman" w:hAnsi="Times New Roman" w:cs="Times New Roman"/>
          <w:color w:val="000000"/>
          <w:sz w:val="24"/>
          <w:szCs w:val="24"/>
        </w:rPr>
        <w:t xml:space="preserve">for den enkelte borger </w:t>
      </w:r>
      <w:r w:rsidRPr="0039792A">
        <w:rPr>
          <w:rFonts w:ascii="Times New Roman" w:hAnsi="Times New Roman" w:cs="Times New Roman"/>
          <w:color w:val="000000"/>
          <w:sz w:val="24"/>
          <w:szCs w:val="24"/>
        </w:rPr>
        <w:t>og ikke i overensstemmelse med formål</w:t>
      </w:r>
      <w:r w:rsidR="00B73B9F">
        <w:rPr>
          <w:rFonts w:ascii="Times New Roman" w:hAnsi="Times New Roman" w:cs="Times New Roman"/>
          <w:color w:val="000000"/>
          <w:sz w:val="24"/>
          <w:szCs w:val="24"/>
        </w:rPr>
        <w:t>et for Inatsisartutloven</w:t>
      </w:r>
      <w:r w:rsidRPr="0039792A">
        <w:rPr>
          <w:rFonts w:ascii="Times New Roman" w:hAnsi="Times New Roman" w:cs="Times New Roman"/>
          <w:color w:val="000000"/>
          <w:sz w:val="24"/>
          <w:szCs w:val="24"/>
        </w:rPr>
        <w:t xml:space="preserve">. </w:t>
      </w:r>
    </w:p>
    <w:p w14:paraId="55F5440C" w14:textId="77777777" w:rsidR="001418B7" w:rsidRPr="0039792A" w:rsidRDefault="001418B7" w:rsidP="00875F54">
      <w:pPr>
        <w:rPr>
          <w:rFonts w:ascii="Times New Roman" w:hAnsi="Times New Roman" w:cs="Times New Roman"/>
          <w:color w:val="000000"/>
          <w:sz w:val="24"/>
          <w:szCs w:val="24"/>
        </w:rPr>
      </w:pPr>
    </w:p>
    <w:p w14:paraId="3D406B22" w14:textId="7DBD1523" w:rsidR="001418B7" w:rsidRDefault="001418B7" w:rsidP="00875F54">
      <w:pPr>
        <w:rPr>
          <w:rFonts w:ascii="Times New Roman" w:hAnsi="Times New Roman" w:cs="Times New Roman"/>
          <w:color w:val="000000"/>
          <w:sz w:val="24"/>
          <w:szCs w:val="24"/>
        </w:rPr>
      </w:pPr>
      <w:r w:rsidRPr="0039792A">
        <w:rPr>
          <w:rFonts w:ascii="Times New Roman" w:hAnsi="Times New Roman" w:cs="Times New Roman"/>
          <w:color w:val="000000"/>
          <w:sz w:val="24"/>
          <w:szCs w:val="24"/>
        </w:rPr>
        <w:t xml:space="preserve">Det </w:t>
      </w:r>
      <w:r w:rsidR="0020494D">
        <w:rPr>
          <w:rFonts w:ascii="Times New Roman" w:hAnsi="Times New Roman" w:cs="Times New Roman"/>
          <w:color w:val="000000"/>
          <w:sz w:val="24"/>
          <w:szCs w:val="24"/>
        </w:rPr>
        <w:t>kan</w:t>
      </w:r>
      <w:r w:rsidR="0020494D" w:rsidRPr="0039792A">
        <w:rPr>
          <w:rFonts w:ascii="Times New Roman" w:hAnsi="Times New Roman" w:cs="Times New Roman"/>
          <w:color w:val="000000"/>
          <w:sz w:val="24"/>
          <w:szCs w:val="24"/>
        </w:rPr>
        <w:t xml:space="preserve"> </w:t>
      </w:r>
      <w:r w:rsidRPr="0039792A">
        <w:rPr>
          <w:rFonts w:ascii="Times New Roman" w:hAnsi="Times New Roman" w:cs="Times New Roman"/>
          <w:color w:val="000000"/>
          <w:sz w:val="24"/>
          <w:szCs w:val="24"/>
        </w:rPr>
        <w:t>derfor overvejes, om det i de konkrete tilfælde er mest hensigtsmæssigt at give en advarsel</w:t>
      </w:r>
      <w:r w:rsidR="0020494D">
        <w:rPr>
          <w:rFonts w:ascii="Times New Roman" w:hAnsi="Times New Roman" w:cs="Times New Roman"/>
          <w:color w:val="000000"/>
          <w:sz w:val="24"/>
          <w:szCs w:val="24"/>
        </w:rPr>
        <w:t xml:space="preserve"> og tiltalefrafald i henhold til Retsplejelovens § 313,</w:t>
      </w:r>
      <w:r w:rsidRPr="0039792A">
        <w:rPr>
          <w:rFonts w:ascii="Times New Roman" w:hAnsi="Times New Roman" w:cs="Times New Roman"/>
          <w:color w:val="000000"/>
          <w:sz w:val="24"/>
          <w:szCs w:val="24"/>
        </w:rPr>
        <w:t xml:space="preserve"> fremfor en bødesanktion trods gentagelser. Det</w:t>
      </w:r>
      <w:r w:rsidR="0020494D">
        <w:rPr>
          <w:rFonts w:ascii="Times New Roman" w:hAnsi="Times New Roman" w:cs="Times New Roman"/>
          <w:color w:val="000000"/>
          <w:sz w:val="24"/>
          <w:szCs w:val="24"/>
        </w:rPr>
        <w:t xml:space="preserve">te kan </w:t>
      </w:r>
      <w:r w:rsidRPr="0039792A">
        <w:rPr>
          <w:rFonts w:ascii="Times New Roman" w:hAnsi="Times New Roman" w:cs="Times New Roman"/>
          <w:color w:val="000000"/>
          <w:sz w:val="24"/>
          <w:szCs w:val="24"/>
        </w:rPr>
        <w:t xml:space="preserve">være tilfældet, når den pågældende modtager offentlig forsørgelse, eksempelvis kontanthjælp eller førtidspension, og at den pågældende ikke har en anden indkomst eller opsparing af en vis størrelse. Det </w:t>
      </w:r>
      <w:r w:rsidR="0020494D">
        <w:rPr>
          <w:rFonts w:ascii="Times New Roman" w:hAnsi="Times New Roman" w:cs="Times New Roman"/>
          <w:color w:val="000000"/>
          <w:sz w:val="24"/>
          <w:szCs w:val="24"/>
        </w:rPr>
        <w:t>bø</w:t>
      </w:r>
      <w:r w:rsidRPr="0039792A">
        <w:rPr>
          <w:rFonts w:ascii="Times New Roman" w:hAnsi="Times New Roman" w:cs="Times New Roman"/>
          <w:color w:val="000000"/>
          <w:sz w:val="24"/>
          <w:szCs w:val="24"/>
        </w:rPr>
        <w:t xml:space="preserve">r desuden </w:t>
      </w:r>
      <w:r w:rsidR="0020494D">
        <w:rPr>
          <w:rFonts w:ascii="Times New Roman" w:hAnsi="Times New Roman" w:cs="Times New Roman"/>
          <w:color w:val="000000"/>
          <w:sz w:val="24"/>
          <w:szCs w:val="24"/>
        </w:rPr>
        <w:t xml:space="preserve">være </w:t>
      </w:r>
      <w:r w:rsidRPr="0039792A">
        <w:rPr>
          <w:rFonts w:ascii="Times New Roman" w:hAnsi="Times New Roman" w:cs="Times New Roman"/>
          <w:color w:val="000000"/>
          <w:sz w:val="24"/>
          <w:szCs w:val="24"/>
        </w:rPr>
        <w:t>afgørende at den pågæ</w:t>
      </w:r>
      <w:r w:rsidRPr="0039792A">
        <w:rPr>
          <w:rFonts w:ascii="Times New Roman" w:hAnsi="Times New Roman" w:cs="Times New Roman"/>
          <w:color w:val="000000"/>
          <w:sz w:val="24"/>
          <w:szCs w:val="24"/>
        </w:rPr>
        <w:t>l</w:t>
      </w:r>
      <w:r w:rsidRPr="0039792A">
        <w:rPr>
          <w:rFonts w:ascii="Times New Roman" w:hAnsi="Times New Roman" w:cs="Times New Roman"/>
          <w:color w:val="000000"/>
          <w:sz w:val="24"/>
          <w:szCs w:val="24"/>
        </w:rPr>
        <w:t>dende person har haft et længerevarende misbrug som følge af en stærk afhængighed og dagligt brug af euforiserende stoffer. Modtager en person derimod eksempelvis uddanne</w:t>
      </w:r>
      <w:r w:rsidRPr="0039792A">
        <w:rPr>
          <w:rFonts w:ascii="Times New Roman" w:hAnsi="Times New Roman" w:cs="Times New Roman"/>
          <w:color w:val="000000"/>
          <w:sz w:val="24"/>
          <w:szCs w:val="24"/>
        </w:rPr>
        <w:t>l</w:t>
      </w:r>
      <w:r w:rsidRPr="0039792A">
        <w:rPr>
          <w:rFonts w:ascii="Times New Roman" w:hAnsi="Times New Roman" w:cs="Times New Roman"/>
          <w:color w:val="000000"/>
          <w:sz w:val="24"/>
          <w:szCs w:val="24"/>
        </w:rPr>
        <w:t xml:space="preserve">sesstøtte og anvender euforiserende stoffer lejlighedsvist, eksempelvis i weekenderne, ville der således ikke være grundlag for at lempe sanktionen fra bødesanktion til en advarsel, da der ikke er tale om stærk </w:t>
      </w:r>
      <w:r w:rsidR="0020494D">
        <w:rPr>
          <w:rFonts w:ascii="Times New Roman" w:hAnsi="Times New Roman" w:cs="Times New Roman"/>
          <w:color w:val="000000"/>
          <w:sz w:val="24"/>
          <w:szCs w:val="24"/>
        </w:rPr>
        <w:t xml:space="preserve">og længerevarende </w:t>
      </w:r>
      <w:r w:rsidRPr="0039792A">
        <w:rPr>
          <w:rFonts w:ascii="Times New Roman" w:hAnsi="Times New Roman" w:cs="Times New Roman"/>
          <w:color w:val="000000"/>
          <w:sz w:val="24"/>
          <w:szCs w:val="24"/>
        </w:rPr>
        <w:t xml:space="preserve">afhængighed og dagligt </w:t>
      </w:r>
      <w:r w:rsidR="0020494D">
        <w:rPr>
          <w:rFonts w:ascii="Times New Roman" w:hAnsi="Times New Roman" w:cs="Times New Roman"/>
          <w:color w:val="000000"/>
          <w:sz w:val="24"/>
          <w:szCs w:val="24"/>
        </w:rPr>
        <w:t>mis</w:t>
      </w:r>
      <w:r w:rsidRPr="0039792A">
        <w:rPr>
          <w:rFonts w:ascii="Times New Roman" w:hAnsi="Times New Roman" w:cs="Times New Roman"/>
          <w:color w:val="000000"/>
          <w:sz w:val="24"/>
          <w:szCs w:val="24"/>
        </w:rPr>
        <w:t xml:space="preserve">brug. </w:t>
      </w:r>
    </w:p>
    <w:p w14:paraId="015DD925" w14:textId="787FB587" w:rsidR="00743F16" w:rsidRDefault="00743F16" w:rsidP="00875F54">
      <w:pPr>
        <w:rPr>
          <w:rFonts w:ascii="Times New Roman" w:hAnsi="Times New Roman" w:cs="Times New Roman"/>
          <w:color w:val="000000"/>
          <w:sz w:val="24"/>
          <w:szCs w:val="24"/>
        </w:rPr>
      </w:pPr>
    </w:p>
    <w:p w14:paraId="566404DC" w14:textId="4F01075A" w:rsidR="000F537E" w:rsidRDefault="000F537E" w:rsidP="00875F5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Det kan ligeledes overvejes, om det i konkrete tilfælde er mest hensigtsmæssigt at give en sanktionering i form af dom om afvænningsbehandling </w:t>
      </w:r>
      <w:r w:rsidR="00DE13B1">
        <w:rPr>
          <w:rFonts w:ascii="Times New Roman" w:hAnsi="Times New Roman" w:cs="Times New Roman"/>
          <w:color w:val="000000"/>
          <w:sz w:val="24"/>
          <w:szCs w:val="24"/>
        </w:rPr>
        <w:t xml:space="preserve">eller andre relevante </w:t>
      </w:r>
      <w:r w:rsidR="009156FE">
        <w:rPr>
          <w:rFonts w:ascii="Times New Roman" w:hAnsi="Times New Roman" w:cs="Times New Roman"/>
          <w:color w:val="000000"/>
          <w:sz w:val="24"/>
          <w:szCs w:val="24"/>
        </w:rPr>
        <w:t>vilkår i he</w:t>
      </w:r>
      <w:r w:rsidR="009156FE">
        <w:rPr>
          <w:rFonts w:ascii="Times New Roman" w:hAnsi="Times New Roman" w:cs="Times New Roman"/>
          <w:color w:val="000000"/>
          <w:sz w:val="24"/>
          <w:szCs w:val="24"/>
        </w:rPr>
        <w:t>n</w:t>
      </w:r>
      <w:r w:rsidR="009156FE">
        <w:rPr>
          <w:rFonts w:ascii="Times New Roman" w:hAnsi="Times New Roman" w:cs="Times New Roman"/>
          <w:color w:val="000000"/>
          <w:sz w:val="24"/>
          <w:szCs w:val="24"/>
        </w:rPr>
        <w:t xml:space="preserve">hold til </w:t>
      </w:r>
      <w:proofErr w:type="spellStart"/>
      <w:r w:rsidR="009156FE">
        <w:rPr>
          <w:rFonts w:ascii="Times New Roman" w:hAnsi="Times New Roman" w:cs="Times New Roman"/>
          <w:color w:val="000000"/>
          <w:sz w:val="24"/>
          <w:szCs w:val="24"/>
        </w:rPr>
        <w:t>Kriminallovens</w:t>
      </w:r>
      <w:proofErr w:type="spellEnd"/>
      <w:r w:rsidR="009156FE">
        <w:rPr>
          <w:rFonts w:ascii="Times New Roman" w:hAnsi="Times New Roman" w:cs="Times New Roman"/>
          <w:color w:val="000000"/>
          <w:sz w:val="24"/>
          <w:szCs w:val="24"/>
        </w:rPr>
        <w:t xml:space="preserve"> §§ 135-136.</w:t>
      </w:r>
    </w:p>
    <w:p w14:paraId="6AEA3845" w14:textId="0A8B4108" w:rsidR="00743F16" w:rsidRDefault="00743F16" w:rsidP="00743F16">
      <w:pPr>
        <w:pStyle w:val="Overskrift2"/>
        <w:spacing w:before="0"/>
        <w:ind w:left="0" w:firstLine="284"/>
        <w:rPr>
          <w:rFonts w:ascii="Times New Roman" w:hAnsi="Times New Roman" w:cs="Times New Roman"/>
          <w:sz w:val="24"/>
          <w:szCs w:val="24"/>
        </w:rPr>
      </w:pPr>
      <w:r w:rsidRPr="00875B9D">
        <w:rPr>
          <w:rFonts w:ascii="Times New Roman" w:hAnsi="Times New Roman" w:cs="Times New Roman"/>
          <w:sz w:val="24"/>
          <w:szCs w:val="24"/>
        </w:rPr>
        <w:lastRenderedPageBreak/>
        <w:t>3.2</w:t>
      </w:r>
      <w:r w:rsidR="005E2409">
        <w:rPr>
          <w:rFonts w:ascii="Times New Roman" w:hAnsi="Times New Roman" w:cs="Times New Roman"/>
          <w:sz w:val="24"/>
          <w:szCs w:val="24"/>
        </w:rPr>
        <w:t>.</w:t>
      </w:r>
      <w:r>
        <w:rPr>
          <w:rFonts w:ascii="Times New Roman" w:hAnsi="Times New Roman" w:cs="Times New Roman"/>
          <w:sz w:val="24"/>
          <w:szCs w:val="24"/>
        </w:rPr>
        <w:t xml:space="preserve"> Gentagelser</w:t>
      </w:r>
    </w:p>
    <w:p w14:paraId="11AA35D3" w14:textId="5E85629F" w:rsidR="00743F16" w:rsidRPr="00875B9D" w:rsidRDefault="00743F16" w:rsidP="0020494D">
      <w:r>
        <w:rPr>
          <w:rFonts w:ascii="Times New Roman" w:hAnsi="Times New Roman" w:cs="Times New Roman"/>
          <w:color w:val="000000"/>
          <w:sz w:val="24"/>
          <w:szCs w:val="24"/>
        </w:rPr>
        <w:t xml:space="preserve">Det skal bemærkes, at advarsler kun </w:t>
      </w:r>
      <w:r w:rsidR="009156FE">
        <w:rPr>
          <w:rFonts w:ascii="Times New Roman" w:hAnsi="Times New Roman" w:cs="Times New Roman"/>
          <w:color w:val="000000"/>
          <w:sz w:val="24"/>
          <w:szCs w:val="24"/>
        </w:rPr>
        <w:t xml:space="preserve">bør </w:t>
      </w:r>
      <w:r>
        <w:rPr>
          <w:rFonts w:ascii="Times New Roman" w:hAnsi="Times New Roman" w:cs="Times New Roman"/>
          <w:color w:val="000000"/>
          <w:sz w:val="24"/>
          <w:szCs w:val="24"/>
        </w:rPr>
        <w:t>gives et meget begrænset antal gange</w:t>
      </w:r>
      <w:r w:rsidR="00B73B9F">
        <w:rPr>
          <w:rFonts w:ascii="Times New Roman" w:hAnsi="Times New Roman" w:cs="Times New Roman"/>
          <w:color w:val="000000"/>
          <w:sz w:val="24"/>
          <w:szCs w:val="24"/>
        </w:rPr>
        <w:t xml:space="preserve"> inden for en længere periode</w:t>
      </w:r>
      <w:r>
        <w:rPr>
          <w:rFonts w:ascii="Times New Roman" w:hAnsi="Times New Roman" w:cs="Times New Roman"/>
          <w:color w:val="000000"/>
          <w:sz w:val="24"/>
          <w:szCs w:val="24"/>
        </w:rPr>
        <w:t xml:space="preserve">. Herefter vil en </w:t>
      </w:r>
      <w:r w:rsidR="008B1CC3">
        <w:rPr>
          <w:rFonts w:ascii="Times New Roman" w:hAnsi="Times New Roman" w:cs="Times New Roman"/>
          <w:color w:val="000000"/>
          <w:sz w:val="24"/>
          <w:szCs w:val="24"/>
        </w:rPr>
        <w:t xml:space="preserve">gentagelse af </w:t>
      </w:r>
      <w:r>
        <w:rPr>
          <w:rFonts w:ascii="Times New Roman" w:hAnsi="Times New Roman" w:cs="Times New Roman"/>
          <w:color w:val="000000"/>
          <w:sz w:val="24"/>
          <w:szCs w:val="24"/>
        </w:rPr>
        <w:t>overtrædelse</w:t>
      </w:r>
      <w:r w:rsidR="008B1CC3">
        <w:rPr>
          <w:rFonts w:ascii="Times New Roman" w:hAnsi="Times New Roman" w:cs="Times New Roman"/>
          <w:color w:val="000000"/>
          <w:sz w:val="24"/>
          <w:szCs w:val="24"/>
        </w:rPr>
        <w:t>n</w:t>
      </w:r>
      <w:r>
        <w:rPr>
          <w:rFonts w:ascii="Times New Roman" w:hAnsi="Times New Roman" w:cs="Times New Roman"/>
          <w:color w:val="000000"/>
          <w:sz w:val="24"/>
          <w:szCs w:val="24"/>
        </w:rPr>
        <w:t xml:space="preserve"> medføre bødesanktioner ua</w:t>
      </w:r>
      <w:r>
        <w:rPr>
          <w:rFonts w:ascii="Times New Roman" w:hAnsi="Times New Roman" w:cs="Times New Roman"/>
          <w:color w:val="000000"/>
          <w:sz w:val="24"/>
          <w:szCs w:val="24"/>
        </w:rPr>
        <w:t>n</w:t>
      </w:r>
      <w:r>
        <w:rPr>
          <w:rFonts w:ascii="Times New Roman" w:hAnsi="Times New Roman" w:cs="Times New Roman"/>
          <w:color w:val="000000"/>
          <w:sz w:val="24"/>
          <w:szCs w:val="24"/>
        </w:rPr>
        <w:t xml:space="preserve">set mængden af euforiserende stoffer samt den pågældendes sociale forhold. </w:t>
      </w:r>
      <w:r w:rsidR="00B73B9F">
        <w:rPr>
          <w:rFonts w:ascii="Times New Roman" w:hAnsi="Times New Roman" w:cs="Times New Roman"/>
          <w:color w:val="000000"/>
          <w:sz w:val="24"/>
          <w:szCs w:val="24"/>
        </w:rPr>
        <w:t xml:space="preserve">Således </w:t>
      </w:r>
      <w:r w:rsidR="008B1CC3">
        <w:rPr>
          <w:rFonts w:ascii="Times New Roman" w:hAnsi="Times New Roman" w:cs="Times New Roman"/>
          <w:color w:val="000000"/>
          <w:sz w:val="24"/>
          <w:szCs w:val="24"/>
        </w:rPr>
        <w:t>bør</w:t>
      </w:r>
      <w:r w:rsidR="00B73B9F">
        <w:rPr>
          <w:rFonts w:ascii="Times New Roman" w:hAnsi="Times New Roman" w:cs="Times New Roman"/>
          <w:color w:val="000000"/>
          <w:sz w:val="24"/>
          <w:szCs w:val="24"/>
        </w:rPr>
        <w:t xml:space="preserve"> </w:t>
      </w:r>
      <w:r w:rsidR="009345C8">
        <w:rPr>
          <w:rFonts w:ascii="Times New Roman" w:hAnsi="Times New Roman" w:cs="Times New Roman"/>
          <w:color w:val="000000"/>
          <w:sz w:val="24"/>
          <w:szCs w:val="24"/>
        </w:rPr>
        <w:t>2</w:t>
      </w:r>
      <w:r w:rsidR="00B73B9F">
        <w:rPr>
          <w:rFonts w:ascii="Times New Roman" w:hAnsi="Times New Roman" w:cs="Times New Roman"/>
          <w:color w:val="000000"/>
          <w:sz w:val="24"/>
          <w:szCs w:val="24"/>
        </w:rPr>
        <w:t xml:space="preserve"> advarsler </w:t>
      </w:r>
      <w:r w:rsidR="008B1CC3">
        <w:rPr>
          <w:rFonts w:ascii="Times New Roman" w:hAnsi="Times New Roman" w:cs="Times New Roman"/>
          <w:color w:val="000000"/>
          <w:sz w:val="24"/>
          <w:szCs w:val="24"/>
        </w:rPr>
        <w:t xml:space="preserve">på en kortere periode på eksempelvis </w:t>
      </w:r>
      <w:r w:rsidR="00B73B9F">
        <w:rPr>
          <w:rFonts w:ascii="Times New Roman" w:hAnsi="Times New Roman" w:cs="Times New Roman"/>
          <w:color w:val="000000"/>
          <w:sz w:val="24"/>
          <w:szCs w:val="24"/>
        </w:rPr>
        <w:t>en måned som udgangspunkt medføre b</w:t>
      </w:r>
      <w:r w:rsidR="00B73B9F">
        <w:rPr>
          <w:rFonts w:ascii="Times New Roman" w:hAnsi="Times New Roman" w:cs="Times New Roman"/>
          <w:color w:val="000000"/>
          <w:sz w:val="24"/>
          <w:szCs w:val="24"/>
        </w:rPr>
        <w:t>ø</w:t>
      </w:r>
      <w:r w:rsidR="00B73B9F">
        <w:rPr>
          <w:rFonts w:ascii="Times New Roman" w:hAnsi="Times New Roman" w:cs="Times New Roman"/>
          <w:color w:val="000000"/>
          <w:sz w:val="24"/>
          <w:szCs w:val="24"/>
        </w:rPr>
        <w:t xml:space="preserve">desanktioner, mens </w:t>
      </w:r>
      <w:r w:rsidR="009345C8">
        <w:rPr>
          <w:rFonts w:ascii="Times New Roman" w:hAnsi="Times New Roman" w:cs="Times New Roman"/>
          <w:color w:val="000000"/>
          <w:sz w:val="24"/>
          <w:szCs w:val="24"/>
        </w:rPr>
        <w:t>3</w:t>
      </w:r>
      <w:r w:rsidR="00B73B9F">
        <w:rPr>
          <w:rFonts w:ascii="Times New Roman" w:hAnsi="Times New Roman" w:cs="Times New Roman"/>
          <w:color w:val="000000"/>
          <w:sz w:val="24"/>
          <w:szCs w:val="24"/>
        </w:rPr>
        <w:t xml:space="preserve"> overtrædelser på en længere periode på </w:t>
      </w:r>
      <w:r w:rsidR="008B1CC3">
        <w:rPr>
          <w:rFonts w:ascii="Times New Roman" w:hAnsi="Times New Roman" w:cs="Times New Roman"/>
          <w:color w:val="000000"/>
          <w:sz w:val="24"/>
          <w:szCs w:val="24"/>
        </w:rPr>
        <w:t xml:space="preserve">eksempelvis </w:t>
      </w:r>
      <w:r w:rsidR="009345C8">
        <w:rPr>
          <w:rFonts w:ascii="Times New Roman" w:hAnsi="Times New Roman" w:cs="Times New Roman"/>
          <w:color w:val="000000"/>
          <w:sz w:val="24"/>
          <w:szCs w:val="24"/>
        </w:rPr>
        <w:t>2</w:t>
      </w:r>
      <w:r w:rsidR="00B73B9F">
        <w:rPr>
          <w:rFonts w:ascii="Times New Roman" w:hAnsi="Times New Roman" w:cs="Times New Roman"/>
          <w:color w:val="000000"/>
          <w:sz w:val="24"/>
          <w:szCs w:val="24"/>
        </w:rPr>
        <w:t xml:space="preserve"> år fortsat kan medføre en advarsel. De</w:t>
      </w:r>
      <w:r w:rsidR="00875B9D">
        <w:rPr>
          <w:rFonts w:ascii="Times New Roman" w:hAnsi="Times New Roman" w:cs="Times New Roman"/>
          <w:color w:val="000000"/>
          <w:sz w:val="24"/>
          <w:szCs w:val="24"/>
        </w:rPr>
        <w:t xml:space="preserve">r skal dermed altid ske en konkret vurdering af </w:t>
      </w:r>
      <w:r w:rsidR="00C11211">
        <w:rPr>
          <w:rFonts w:ascii="Times New Roman" w:hAnsi="Times New Roman" w:cs="Times New Roman"/>
          <w:color w:val="000000"/>
          <w:sz w:val="24"/>
          <w:szCs w:val="24"/>
        </w:rPr>
        <w:t>de konkrete o</w:t>
      </w:r>
      <w:r w:rsidR="00C11211">
        <w:rPr>
          <w:rFonts w:ascii="Times New Roman" w:hAnsi="Times New Roman" w:cs="Times New Roman"/>
          <w:color w:val="000000"/>
          <w:sz w:val="24"/>
          <w:szCs w:val="24"/>
        </w:rPr>
        <w:t>m</w:t>
      </w:r>
      <w:r w:rsidR="00C11211">
        <w:rPr>
          <w:rFonts w:ascii="Times New Roman" w:hAnsi="Times New Roman" w:cs="Times New Roman"/>
          <w:color w:val="000000"/>
          <w:sz w:val="24"/>
          <w:szCs w:val="24"/>
        </w:rPr>
        <w:t xml:space="preserve">stændigheder i sagen. </w:t>
      </w:r>
    </w:p>
    <w:p w14:paraId="6B5ACAF8" w14:textId="77777777" w:rsidR="001418B7" w:rsidRPr="0039792A" w:rsidRDefault="001418B7" w:rsidP="0039792A">
      <w:pPr>
        <w:rPr>
          <w:rFonts w:ascii="Times New Roman" w:hAnsi="Times New Roman" w:cs="Times New Roman"/>
          <w:b/>
          <w:bCs/>
          <w:kern w:val="28"/>
          <w:sz w:val="24"/>
          <w:szCs w:val="24"/>
        </w:rPr>
      </w:pPr>
      <w:r w:rsidRPr="0039792A">
        <w:rPr>
          <w:rFonts w:ascii="Times New Roman" w:hAnsi="Times New Roman" w:cs="Times New Roman"/>
          <w:sz w:val="24"/>
          <w:szCs w:val="24"/>
        </w:rPr>
        <w:br w:type="page"/>
      </w:r>
    </w:p>
    <w:p w14:paraId="15298136" w14:textId="77777777" w:rsidR="001418B7" w:rsidRPr="0039792A" w:rsidRDefault="001418B7" w:rsidP="00757CB2">
      <w:pPr>
        <w:pStyle w:val="Overskrift1"/>
        <w:spacing w:before="0"/>
        <w:ind w:left="0" w:firstLine="284"/>
        <w:rPr>
          <w:rFonts w:ascii="Times New Roman" w:hAnsi="Times New Roman" w:cs="Times New Roman"/>
          <w:sz w:val="24"/>
          <w:szCs w:val="24"/>
        </w:rPr>
      </w:pPr>
      <w:r w:rsidRPr="0039792A">
        <w:rPr>
          <w:rFonts w:ascii="Times New Roman" w:hAnsi="Times New Roman" w:cs="Times New Roman"/>
          <w:sz w:val="24"/>
          <w:szCs w:val="24"/>
        </w:rPr>
        <w:lastRenderedPageBreak/>
        <w:t>4. Foranstaltninger for ulovlig besiddelse</w:t>
      </w:r>
    </w:p>
    <w:p w14:paraId="744EA47E" w14:textId="7DF4BAF7" w:rsidR="001418B7" w:rsidRPr="0039792A" w:rsidRDefault="001418B7" w:rsidP="00875F54">
      <w:pPr>
        <w:rPr>
          <w:rFonts w:ascii="Times New Roman" w:hAnsi="Times New Roman" w:cs="Times New Roman"/>
          <w:sz w:val="24"/>
          <w:szCs w:val="24"/>
        </w:rPr>
      </w:pPr>
      <w:r w:rsidRPr="0039792A">
        <w:rPr>
          <w:rFonts w:ascii="Times New Roman" w:hAnsi="Times New Roman" w:cs="Times New Roman"/>
          <w:sz w:val="24"/>
          <w:szCs w:val="24"/>
        </w:rPr>
        <w:t>Erfaring fra ordensmagten i Grønland viser, at lovovertrædelserne</w:t>
      </w:r>
      <w:r w:rsidR="00B512B3">
        <w:rPr>
          <w:rFonts w:ascii="Times New Roman" w:hAnsi="Times New Roman" w:cs="Times New Roman"/>
          <w:sz w:val="24"/>
          <w:szCs w:val="24"/>
        </w:rPr>
        <w:t xml:space="preserve"> her</w:t>
      </w:r>
      <w:r w:rsidRPr="0039792A">
        <w:rPr>
          <w:rFonts w:ascii="Times New Roman" w:hAnsi="Times New Roman" w:cs="Times New Roman"/>
          <w:sz w:val="24"/>
          <w:szCs w:val="24"/>
        </w:rPr>
        <w:t xml:space="preserve"> i </w:t>
      </w:r>
      <w:r w:rsidR="00F53F6F">
        <w:rPr>
          <w:rFonts w:ascii="Times New Roman" w:hAnsi="Times New Roman" w:cs="Times New Roman"/>
          <w:sz w:val="24"/>
          <w:szCs w:val="24"/>
        </w:rPr>
        <w:t>landet</w:t>
      </w:r>
      <w:r w:rsidR="00F53F6F" w:rsidRPr="0039792A">
        <w:rPr>
          <w:rFonts w:ascii="Times New Roman" w:hAnsi="Times New Roman" w:cs="Times New Roman"/>
          <w:sz w:val="24"/>
          <w:szCs w:val="24"/>
        </w:rPr>
        <w:t xml:space="preserve"> </w:t>
      </w:r>
      <w:r w:rsidRPr="0039792A">
        <w:rPr>
          <w:rFonts w:ascii="Times New Roman" w:hAnsi="Times New Roman" w:cs="Times New Roman"/>
          <w:sz w:val="24"/>
          <w:szCs w:val="24"/>
        </w:rPr>
        <w:t xml:space="preserve">primært vedrører besiddelse, videreoverdragelse osv. af hash. Beskrivelserne nedenfor angår derfor kun hash. I sager om andre stoffer anbefales det, at strafudmålingen forhøjes proportionalt med den potentielle økonomiske gevinst ved salg af det pågældende stof </w:t>
      </w:r>
      <w:r w:rsidR="00D76D8C">
        <w:rPr>
          <w:rFonts w:ascii="Times New Roman" w:hAnsi="Times New Roman" w:cs="Times New Roman"/>
          <w:sz w:val="24"/>
          <w:szCs w:val="24"/>
        </w:rPr>
        <w:t xml:space="preserve">og </w:t>
      </w:r>
      <w:r w:rsidRPr="0039792A">
        <w:rPr>
          <w:rFonts w:ascii="Times New Roman" w:hAnsi="Times New Roman" w:cs="Times New Roman"/>
          <w:sz w:val="24"/>
          <w:szCs w:val="24"/>
        </w:rPr>
        <w:t xml:space="preserve">med </w:t>
      </w:r>
      <w:r w:rsidR="00D76D8C">
        <w:rPr>
          <w:rFonts w:ascii="Times New Roman" w:hAnsi="Times New Roman" w:cs="Times New Roman"/>
          <w:sz w:val="24"/>
          <w:szCs w:val="24"/>
        </w:rPr>
        <w:t xml:space="preserve">særlig </w:t>
      </w:r>
      <w:r w:rsidR="00D76D8C" w:rsidRPr="0039792A">
        <w:rPr>
          <w:rFonts w:ascii="Times New Roman" w:hAnsi="Times New Roman" w:cs="Times New Roman"/>
          <w:sz w:val="24"/>
          <w:szCs w:val="24"/>
        </w:rPr>
        <w:t>hensyntagen</w:t>
      </w:r>
      <w:r w:rsidRPr="0039792A">
        <w:rPr>
          <w:rFonts w:ascii="Times New Roman" w:hAnsi="Times New Roman" w:cs="Times New Roman"/>
          <w:sz w:val="24"/>
          <w:szCs w:val="24"/>
        </w:rPr>
        <w:t xml:space="preserve"> til stoffets </w:t>
      </w:r>
      <w:r w:rsidR="00D76D8C" w:rsidRPr="0039792A">
        <w:rPr>
          <w:rFonts w:ascii="Times New Roman" w:hAnsi="Times New Roman" w:cs="Times New Roman"/>
          <w:sz w:val="24"/>
          <w:szCs w:val="24"/>
        </w:rPr>
        <w:t>skadevirkning</w:t>
      </w:r>
      <w:r w:rsidR="00EB230E">
        <w:rPr>
          <w:rFonts w:ascii="Times New Roman" w:hAnsi="Times New Roman" w:cs="Times New Roman"/>
          <w:sz w:val="24"/>
          <w:szCs w:val="24"/>
        </w:rPr>
        <w:t xml:space="preserve">. </w:t>
      </w:r>
    </w:p>
    <w:p w14:paraId="75EA8350" w14:textId="77777777" w:rsidR="00C11211" w:rsidRDefault="00C11211" w:rsidP="00C11211">
      <w:pPr>
        <w:rPr>
          <w:rFonts w:ascii="Times New Roman" w:hAnsi="Times New Roman" w:cs="Times New Roman"/>
          <w:sz w:val="24"/>
          <w:szCs w:val="24"/>
        </w:rPr>
      </w:pPr>
    </w:p>
    <w:p w14:paraId="40BC81D6" w14:textId="7AF774A2" w:rsidR="00C11211" w:rsidRDefault="00C11211" w:rsidP="00C11211">
      <w:pPr>
        <w:rPr>
          <w:rFonts w:ascii="Times New Roman" w:hAnsi="Times New Roman" w:cs="Times New Roman"/>
          <w:sz w:val="24"/>
          <w:szCs w:val="24"/>
        </w:rPr>
      </w:pPr>
      <w:r>
        <w:rPr>
          <w:rFonts w:ascii="Times New Roman" w:hAnsi="Times New Roman" w:cs="Times New Roman"/>
          <w:sz w:val="24"/>
          <w:szCs w:val="24"/>
        </w:rPr>
        <w:t>Som nævnt ovenfor</w:t>
      </w:r>
      <w:r w:rsidR="00F53F6F">
        <w:rPr>
          <w:rFonts w:ascii="Times New Roman" w:hAnsi="Times New Roman" w:cs="Times New Roman"/>
          <w:sz w:val="24"/>
          <w:szCs w:val="24"/>
        </w:rPr>
        <w:t xml:space="preserve"> i afsnit 2.3.</w:t>
      </w:r>
      <w:r>
        <w:rPr>
          <w:rFonts w:ascii="Times New Roman" w:hAnsi="Times New Roman" w:cs="Times New Roman"/>
          <w:sz w:val="24"/>
          <w:szCs w:val="24"/>
        </w:rPr>
        <w:t>, anses besiddelse af mængder på 10 gram og derunder som udgangspunkt til eget brug, mens besiddelse af mængder på 50 gram og derover som u</w:t>
      </w:r>
      <w:r>
        <w:rPr>
          <w:rFonts w:ascii="Times New Roman" w:hAnsi="Times New Roman" w:cs="Times New Roman"/>
          <w:sz w:val="24"/>
          <w:szCs w:val="24"/>
        </w:rPr>
        <w:t>d</w:t>
      </w:r>
      <w:r>
        <w:rPr>
          <w:rFonts w:ascii="Times New Roman" w:hAnsi="Times New Roman" w:cs="Times New Roman"/>
          <w:sz w:val="24"/>
          <w:szCs w:val="24"/>
        </w:rPr>
        <w:t>gangspunkt anses som besiddelse med henblik på videresalg. I sager, hvor der er tale om besiddelse på mellem 10 og 50 gram, skal de konkrete omstændigheder danne grundlag for en vurdering af om der er tale om besiddelse med henblik på eget brug eller videreoverdr</w:t>
      </w:r>
      <w:r>
        <w:rPr>
          <w:rFonts w:ascii="Times New Roman" w:hAnsi="Times New Roman" w:cs="Times New Roman"/>
          <w:sz w:val="24"/>
          <w:szCs w:val="24"/>
        </w:rPr>
        <w:t>a</w:t>
      </w:r>
      <w:r>
        <w:rPr>
          <w:rFonts w:ascii="Times New Roman" w:hAnsi="Times New Roman" w:cs="Times New Roman"/>
          <w:sz w:val="24"/>
          <w:szCs w:val="24"/>
        </w:rPr>
        <w:t xml:space="preserve">gelse. </w:t>
      </w:r>
    </w:p>
    <w:p w14:paraId="0809789A" w14:textId="77777777" w:rsidR="001418B7" w:rsidRPr="0039792A" w:rsidRDefault="001418B7" w:rsidP="00875F54">
      <w:pPr>
        <w:rPr>
          <w:rFonts w:ascii="Times New Roman" w:hAnsi="Times New Roman" w:cs="Times New Roman"/>
          <w:sz w:val="24"/>
          <w:szCs w:val="24"/>
        </w:rPr>
      </w:pPr>
    </w:p>
    <w:p w14:paraId="6E64651D" w14:textId="0A0513A8" w:rsidR="001418B7" w:rsidRDefault="00F53F6F" w:rsidP="00875F54">
      <w:pPr>
        <w:rPr>
          <w:rFonts w:ascii="Times New Roman" w:hAnsi="Times New Roman" w:cs="Times New Roman"/>
          <w:sz w:val="24"/>
          <w:szCs w:val="24"/>
        </w:rPr>
      </w:pPr>
      <w:r>
        <w:rPr>
          <w:rFonts w:ascii="Times New Roman" w:hAnsi="Times New Roman" w:cs="Times New Roman"/>
          <w:sz w:val="24"/>
          <w:szCs w:val="24"/>
        </w:rPr>
        <w:t>Ved udmåling af bødesanktioner kan der tages udgangspunkt i n</w:t>
      </w:r>
      <w:r w:rsidR="001418B7" w:rsidRPr="0039792A">
        <w:rPr>
          <w:rFonts w:ascii="Times New Roman" w:hAnsi="Times New Roman" w:cs="Times New Roman"/>
          <w:sz w:val="24"/>
          <w:szCs w:val="24"/>
        </w:rPr>
        <w:t>edenstående forslag til b</w:t>
      </w:r>
      <w:r w:rsidR="001418B7" w:rsidRPr="0039792A">
        <w:rPr>
          <w:rFonts w:ascii="Times New Roman" w:hAnsi="Times New Roman" w:cs="Times New Roman"/>
          <w:sz w:val="24"/>
          <w:szCs w:val="24"/>
        </w:rPr>
        <w:t>ø</w:t>
      </w:r>
      <w:r w:rsidR="001418B7" w:rsidRPr="0039792A">
        <w:rPr>
          <w:rFonts w:ascii="Times New Roman" w:hAnsi="Times New Roman" w:cs="Times New Roman"/>
          <w:sz w:val="24"/>
          <w:szCs w:val="24"/>
        </w:rPr>
        <w:t>destørrelser</w:t>
      </w:r>
      <w:r>
        <w:rPr>
          <w:rFonts w:ascii="Times New Roman" w:hAnsi="Times New Roman" w:cs="Times New Roman"/>
          <w:sz w:val="24"/>
          <w:szCs w:val="24"/>
        </w:rPr>
        <w:t xml:space="preserve">. Bødestørrelserne </w:t>
      </w:r>
      <w:r w:rsidR="001418B7" w:rsidRPr="0039792A">
        <w:rPr>
          <w:rFonts w:ascii="Times New Roman" w:hAnsi="Times New Roman" w:cs="Times New Roman"/>
          <w:sz w:val="24"/>
          <w:szCs w:val="24"/>
        </w:rPr>
        <w:t>bør</w:t>
      </w:r>
      <w:r>
        <w:rPr>
          <w:rFonts w:ascii="Times New Roman" w:hAnsi="Times New Roman" w:cs="Times New Roman"/>
          <w:sz w:val="24"/>
          <w:szCs w:val="24"/>
        </w:rPr>
        <w:t xml:space="preserve"> dog</w:t>
      </w:r>
      <w:r w:rsidR="001418B7" w:rsidRPr="0039792A">
        <w:rPr>
          <w:rFonts w:ascii="Times New Roman" w:hAnsi="Times New Roman" w:cs="Times New Roman"/>
          <w:sz w:val="24"/>
          <w:szCs w:val="24"/>
        </w:rPr>
        <w:t xml:space="preserve"> satsreguleres mindst hvert </w:t>
      </w:r>
      <w:r w:rsidR="007C35BA">
        <w:rPr>
          <w:rFonts w:ascii="Times New Roman" w:hAnsi="Times New Roman" w:cs="Times New Roman"/>
          <w:sz w:val="24"/>
          <w:szCs w:val="24"/>
        </w:rPr>
        <w:t>5</w:t>
      </w:r>
      <w:r w:rsidR="001418B7" w:rsidRPr="0039792A">
        <w:rPr>
          <w:rFonts w:ascii="Times New Roman" w:hAnsi="Times New Roman" w:cs="Times New Roman"/>
          <w:sz w:val="24"/>
          <w:szCs w:val="24"/>
        </w:rPr>
        <w:t>. år efter forbruger- og prisindekset, således at satserne afspejler et ensartet sanktionsniveau.</w:t>
      </w:r>
      <w:r>
        <w:rPr>
          <w:rFonts w:ascii="Times New Roman" w:hAnsi="Times New Roman" w:cs="Times New Roman"/>
          <w:sz w:val="24"/>
          <w:szCs w:val="24"/>
        </w:rPr>
        <w:t xml:space="preserve"> Satsreguleringen bør ske første gang senest i </w:t>
      </w:r>
      <w:r w:rsidR="004723B5">
        <w:rPr>
          <w:rFonts w:ascii="Times New Roman" w:hAnsi="Times New Roman" w:cs="Times New Roman"/>
          <w:sz w:val="24"/>
          <w:szCs w:val="24"/>
        </w:rPr>
        <w:t xml:space="preserve">år </w:t>
      </w:r>
      <w:r>
        <w:rPr>
          <w:rFonts w:ascii="Times New Roman" w:hAnsi="Times New Roman" w:cs="Times New Roman"/>
          <w:sz w:val="24"/>
          <w:szCs w:val="24"/>
        </w:rPr>
        <w:t xml:space="preserve">2028. </w:t>
      </w:r>
    </w:p>
    <w:p w14:paraId="214662EB" w14:textId="19A08A59" w:rsidR="004723B5" w:rsidRDefault="004723B5" w:rsidP="00875F54">
      <w:pPr>
        <w:rPr>
          <w:rFonts w:ascii="Times New Roman" w:hAnsi="Times New Roman" w:cs="Times New Roman"/>
          <w:sz w:val="24"/>
          <w:szCs w:val="24"/>
        </w:rPr>
      </w:pPr>
    </w:p>
    <w:p w14:paraId="3EE8339A" w14:textId="7C35AF3E" w:rsidR="005E2409" w:rsidRPr="0039792A" w:rsidRDefault="005E2409" w:rsidP="005E2409">
      <w:pPr>
        <w:pStyle w:val="Overskrift1"/>
        <w:spacing w:before="0"/>
        <w:ind w:left="0" w:firstLine="284"/>
        <w:rPr>
          <w:rFonts w:ascii="Times New Roman" w:hAnsi="Times New Roman" w:cs="Times New Roman"/>
          <w:sz w:val="24"/>
          <w:szCs w:val="24"/>
        </w:rPr>
      </w:pPr>
      <w:r>
        <w:rPr>
          <w:rFonts w:ascii="Times New Roman" w:hAnsi="Times New Roman" w:cs="Times New Roman"/>
          <w:sz w:val="24"/>
          <w:szCs w:val="24"/>
        </w:rPr>
        <w:t>4.1. Ændring af tidligere praksis</w:t>
      </w:r>
    </w:p>
    <w:p w14:paraId="377EAA8F" w14:textId="7B73D8D4" w:rsidR="002400E0" w:rsidRDefault="004723B5" w:rsidP="002400E0">
      <w:pPr>
        <w:rPr>
          <w:rFonts w:ascii="Times New Roman" w:hAnsi="Times New Roman" w:cs="Times New Roman"/>
          <w:sz w:val="24"/>
          <w:szCs w:val="24"/>
        </w:rPr>
      </w:pPr>
      <w:r>
        <w:rPr>
          <w:rFonts w:ascii="Times New Roman" w:hAnsi="Times New Roman" w:cs="Times New Roman"/>
          <w:sz w:val="24"/>
          <w:szCs w:val="24"/>
        </w:rPr>
        <w:t xml:space="preserve">Forslagene til bødestørrelserne, som beskrevet nedenfor, tager udgangspunkt i de </w:t>
      </w:r>
      <w:r w:rsidR="00C7105A">
        <w:rPr>
          <w:rFonts w:ascii="Times New Roman" w:hAnsi="Times New Roman" w:cs="Times New Roman"/>
          <w:sz w:val="24"/>
          <w:szCs w:val="24"/>
        </w:rPr>
        <w:t>bødesa</w:t>
      </w:r>
      <w:r w:rsidR="00C7105A">
        <w:rPr>
          <w:rFonts w:ascii="Times New Roman" w:hAnsi="Times New Roman" w:cs="Times New Roman"/>
          <w:sz w:val="24"/>
          <w:szCs w:val="24"/>
        </w:rPr>
        <w:t>t</w:t>
      </w:r>
      <w:r w:rsidR="00C7105A">
        <w:rPr>
          <w:rFonts w:ascii="Times New Roman" w:hAnsi="Times New Roman" w:cs="Times New Roman"/>
          <w:sz w:val="24"/>
          <w:szCs w:val="24"/>
        </w:rPr>
        <w:t xml:space="preserve">ser, som beskrives i </w:t>
      </w:r>
      <w:r w:rsidR="00B8729E">
        <w:rPr>
          <w:rFonts w:ascii="Times New Roman" w:hAnsi="Times New Roman" w:cs="Times New Roman"/>
          <w:sz w:val="24"/>
          <w:szCs w:val="24"/>
        </w:rPr>
        <w:t>P</w:t>
      </w:r>
      <w:r w:rsidR="00C7105A">
        <w:rPr>
          <w:rFonts w:ascii="Times New Roman" w:hAnsi="Times New Roman" w:cs="Times New Roman"/>
          <w:sz w:val="24"/>
          <w:szCs w:val="24"/>
        </w:rPr>
        <w:t>olitiets dagsbefalinger vedrørende overtrædelser af gældende regler vedrørende euforiserende stoffer</w:t>
      </w:r>
      <w:r w:rsidR="002400E0">
        <w:rPr>
          <w:rFonts w:ascii="Times New Roman" w:hAnsi="Times New Roman" w:cs="Times New Roman"/>
          <w:sz w:val="24"/>
          <w:szCs w:val="24"/>
        </w:rPr>
        <w:t>. I</w:t>
      </w:r>
      <w:r w:rsidR="00C7105A">
        <w:rPr>
          <w:rFonts w:ascii="Times New Roman" w:hAnsi="Times New Roman" w:cs="Times New Roman"/>
          <w:sz w:val="24"/>
          <w:szCs w:val="24"/>
        </w:rPr>
        <w:t xml:space="preserve">ntervallerne som angiver mængden af det euforiserende stof er </w:t>
      </w:r>
      <w:r w:rsidR="002400E0">
        <w:rPr>
          <w:rFonts w:ascii="Times New Roman" w:hAnsi="Times New Roman" w:cs="Times New Roman"/>
          <w:sz w:val="24"/>
          <w:szCs w:val="24"/>
        </w:rPr>
        <w:t xml:space="preserve">dog </w:t>
      </w:r>
      <w:r w:rsidR="00C7105A">
        <w:rPr>
          <w:rFonts w:ascii="Times New Roman" w:hAnsi="Times New Roman" w:cs="Times New Roman"/>
          <w:sz w:val="24"/>
          <w:szCs w:val="24"/>
        </w:rPr>
        <w:t>mindsket</w:t>
      </w:r>
      <w:r w:rsidR="002400E0">
        <w:rPr>
          <w:rFonts w:ascii="Times New Roman" w:hAnsi="Times New Roman" w:cs="Times New Roman"/>
          <w:sz w:val="24"/>
          <w:szCs w:val="24"/>
        </w:rPr>
        <w:t xml:space="preserve"> i forslagene</w:t>
      </w:r>
      <w:r w:rsidR="00C7105A">
        <w:rPr>
          <w:rFonts w:ascii="Times New Roman" w:hAnsi="Times New Roman" w:cs="Times New Roman"/>
          <w:sz w:val="24"/>
          <w:szCs w:val="24"/>
        </w:rPr>
        <w:t xml:space="preserve">. Mens dagsbefalingerne </w:t>
      </w:r>
      <w:r w:rsidR="002400E0">
        <w:rPr>
          <w:rFonts w:ascii="Times New Roman" w:hAnsi="Times New Roman" w:cs="Times New Roman"/>
          <w:sz w:val="24"/>
          <w:szCs w:val="24"/>
        </w:rPr>
        <w:t xml:space="preserve">anvender </w:t>
      </w:r>
      <w:r w:rsidR="00C7105A">
        <w:rPr>
          <w:rFonts w:ascii="Times New Roman" w:hAnsi="Times New Roman" w:cs="Times New Roman"/>
          <w:sz w:val="24"/>
          <w:szCs w:val="24"/>
        </w:rPr>
        <w:t xml:space="preserve">intervallerne ”Under 10 gr.”, ”10-49,9 gr.” og ”50-99,9 gr.”, anvendes nedenfor intervallerne ”Under 10 gr.”, ”10-24,9 gr.” og ”25-49,9 gr.”. </w:t>
      </w:r>
    </w:p>
    <w:p w14:paraId="2652294A" w14:textId="77777777" w:rsidR="00887968" w:rsidRDefault="00887968" w:rsidP="00887968">
      <w:pPr>
        <w:rPr>
          <w:rFonts w:ascii="Times New Roman" w:hAnsi="Times New Roman" w:cs="Times New Roman"/>
          <w:sz w:val="24"/>
          <w:szCs w:val="24"/>
        </w:rPr>
      </w:pPr>
    </w:p>
    <w:p w14:paraId="33AEC6DE" w14:textId="6BBF41A5" w:rsidR="00C7105A" w:rsidRDefault="002400E0" w:rsidP="00875F54">
      <w:pPr>
        <w:rPr>
          <w:rFonts w:ascii="Times New Roman" w:hAnsi="Times New Roman" w:cs="Times New Roman"/>
          <w:sz w:val="24"/>
          <w:szCs w:val="24"/>
        </w:rPr>
      </w:pPr>
      <w:r>
        <w:rPr>
          <w:rFonts w:ascii="Times New Roman" w:hAnsi="Times New Roman" w:cs="Times New Roman"/>
          <w:sz w:val="24"/>
          <w:szCs w:val="24"/>
        </w:rPr>
        <w:t>Hertil kommer at bødes</w:t>
      </w:r>
      <w:r w:rsidR="003E0162">
        <w:rPr>
          <w:rFonts w:ascii="Times New Roman" w:hAnsi="Times New Roman" w:cs="Times New Roman"/>
          <w:sz w:val="24"/>
          <w:szCs w:val="24"/>
        </w:rPr>
        <w:t>tørrelserne proportionalitet</w:t>
      </w:r>
      <w:r>
        <w:rPr>
          <w:rFonts w:ascii="Times New Roman" w:hAnsi="Times New Roman" w:cs="Times New Roman"/>
          <w:sz w:val="24"/>
          <w:szCs w:val="24"/>
        </w:rPr>
        <w:t xml:space="preserve"> er justeret, således at bødestørrelsen for et 2. gangstilfælde er 150 % af bødestørrelsen for et 1. gangstilfælde, og bødestørrelsen for et 3. gangstilfælde er 200 % af bødestørrelsen for et 1. gangstilfælde. </w:t>
      </w:r>
      <w:r w:rsidR="003E0162">
        <w:rPr>
          <w:rFonts w:ascii="Times New Roman" w:hAnsi="Times New Roman" w:cs="Times New Roman"/>
          <w:sz w:val="24"/>
          <w:szCs w:val="24"/>
        </w:rPr>
        <w:t>Selve bødestørrelse</w:t>
      </w:r>
      <w:r w:rsidR="003E0162">
        <w:rPr>
          <w:rFonts w:ascii="Times New Roman" w:hAnsi="Times New Roman" w:cs="Times New Roman"/>
          <w:sz w:val="24"/>
          <w:szCs w:val="24"/>
        </w:rPr>
        <w:t>r</w:t>
      </w:r>
      <w:r w:rsidR="003E0162">
        <w:rPr>
          <w:rFonts w:ascii="Times New Roman" w:hAnsi="Times New Roman" w:cs="Times New Roman"/>
          <w:sz w:val="24"/>
          <w:szCs w:val="24"/>
        </w:rPr>
        <w:t>ne er også forhøjet ca. 75 % for intervallet ”Under 10 gr.”. Bødestørrelsen for 1. gangsti</w:t>
      </w:r>
      <w:r w:rsidR="003E0162">
        <w:rPr>
          <w:rFonts w:ascii="Times New Roman" w:hAnsi="Times New Roman" w:cs="Times New Roman"/>
          <w:sz w:val="24"/>
          <w:szCs w:val="24"/>
        </w:rPr>
        <w:t>l</w:t>
      </w:r>
      <w:r w:rsidR="003E0162">
        <w:rPr>
          <w:rFonts w:ascii="Times New Roman" w:hAnsi="Times New Roman" w:cs="Times New Roman"/>
          <w:sz w:val="24"/>
          <w:szCs w:val="24"/>
        </w:rPr>
        <w:t>fælde for det mellemste interval (10-24,9 gr.) er identisk med bødestørrelsen for 2. gang</w:t>
      </w:r>
      <w:r w:rsidR="003E0162">
        <w:rPr>
          <w:rFonts w:ascii="Times New Roman" w:hAnsi="Times New Roman" w:cs="Times New Roman"/>
          <w:sz w:val="24"/>
          <w:szCs w:val="24"/>
        </w:rPr>
        <w:t>s</w:t>
      </w:r>
      <w:r w:rsidR="003E0162">
        <w:rPr>
          <w:rFonts w:ascii="Times New Roman" w:hAnsi="Times New Roman" w:cs="Times New Roman"/>
          <w:sz w:val="24"/>
          <w:szCs w:val="24"/>
        </w:rPr>
        <w:t>tilfælde for det laveste interval (under 10 gr.), mens 1. gangstilfælde for det højeste interval (25-49,9 gr.) er identisk med bødestørrelsen for 3. gangstilfælde for det laveste interval (under 10 gr.)</w:t>
      </w:r>
      <w:r w:rsidR="00887968">
        <w:rPr>
          <w:rFonts w:ascii="Times New Roman" w:hAnsi="Times New Roman" w:cs="Times New Roman"/>
          <w:sz w:val="24"/>
          <w:szCs w:val="24"/>
        </w:rPr>
        <w:t>.</w:t>
      </w:r>
    </w:p>
    <w:p w14:paraId="5339CECC" w14:textId="77777777" w:rsidR="00887968" w:rsidRPr="0039792A" w:rsidRDefault="00887968" w:rsidP="00875F54">
      <w:pPr>
        <w:rPr>
          <w:rFonts w:ascii="Times New Roman" w:hAnsi="Times New Roman" w:cs="Times New Roman"/>
          <w:sz w:val="24"/>
          <w:szCs w:val="24"/>
        </w:rPr>
      </w:pPr>
    </w:p>
    <w:p w14:paraId="2791A483" w14:textId="7FCFBEBD" w:rsidR="001418B7" w:rsidRPr="0039792A" w:rsidRDefault="001418B7" w:rsidP="00757CB2">
      <w:pPr>
        <w:pStyle w:val="Overskrift2"/>
        <w:spacing w:before="0"/>
        <w:ind w:left="0" w:firstLine="284"/>
        <w:rPr>
          <w:rFonts w:ascii="Times New Roman" w:hAnsi="Times New Roman" w:cs="Times New Roman"/>
          <w:sz w:val="24"/>
          <w:szCs w:val="24"/>
        </w:rPr>
      </w:pPr>
      <w:r w:rsidRPr="0039792A">
        <w:rPr>
          <w:rFonts w:ascii="Times New Roman" w:hAnsi="Times New Roman" w:cs="Times New Roman"/>
          <w:sz w:val="24"/>
          <w:szCs w:val="24"/>
        </w:rPr>
        <w:t>4.</w:t>
      </w:r>
      <w:r w:rsidR="005E2409">
        <w:rPr>
          <w:rFonts w:ascii="Times New Roman" w:hAnsi="Times New Roman" w:cs="Times New Roman"/>
          <w:sz w:val="24"/>
          <w:szCs w:val="24"/>
        </w:rPr>
        <w:t>2.</w:t>
      </w:r>
      <w:r w:rsidRPr="0039792A">
        <w:rPr>
          <w:rFonts w:ascii="Times New Roman" w:hAnsi="Times New Roman" w:cs="Times New Roman"/>
          <w:sz w:val="24"/>
          <w:szCs w:val="24"/>
        </w:rPr>
        <w:t xml:space="preserve"> Besiddelse med henblik på eget forbrug</w:t>
      </w:r>
    </w:p>
    <w:p w14:paraId="196107DD" w14:textId="673357F4" w:rsidR="001418B7" w:rsidRPr="0039792A" w:rsidRDefault="00A92A08" w:rsidP="00A92A08">
      <w:pPr>
        <w:rPr>
          <w:rFonts w:ascii="Times New Roman" w:hAnsi="Times New Roman" w:cs="Times New Roman"/>
          <w:sz w:val="24"/>
          <w:szCs w:val="24"/>
        </w:rPr>
      </w:pPr>
      <w:r>
        <w:rPr>
          <w:rFonts w:ascii="Times New Roman" w:hAnsi="Times New Roman" w:cs="Times New Roman"/>
          <w:sz w:val="24"/>
          <w:szCs w:val="24"/>
        </w:rPr>
        <w:t xml:space="preserve">I sager hvor der er tale om </w:t>
      </w:r>
      <w:r w:rsidR="001418B7" w:rsidRPr="0039792A">
        <w:rPr>
          <w:rFonts w:ascii="Times New Roman" w:hAnsi="Times New Roman" w:cs="Times New Roman"/>
          <w:sz w:val="24"/>
          <w:szCs w:val="24"/>
        </w:rPr>
        <w:t>hashmængder på under 50 gr. med henblik på eget brug</w:t>
      </w:r>
      <w:r w:rsidR="00D639B3">
        <w:rPr>
          <w:rFonts w:ascii="Times New Roman" w:hAnsi="Times New Roman" w:cs="Times New Roman"/>
          <w:sz w:val="24"/>
          <w:szCs w:val="24"/>
        </w:rPr>
        <w:t xml:space="preserve"> kan der</w:t>
      </w:r>
      <w:r w:rsidR="001418B7" w:rsidRPr="0039792A">
        <w:rPr>
          <w:rFonts w:ascii="Times New Roman" w:hAnsi="Times New Roman" w:cs="Times New Roman"/>
          <w:sz w:val="24"/>
          <w:szCs w:val="24"/>
        </w:rPr>
        <w:t xml:space="preserve"> foranstaltes</w:t>
      </w:r>
      <w:r>
        <w:rPr>
          <w:rFonts w:ascii="Times New Roman" w:hAnsi="Times New Roman" w:cs="Times New Roman"/>
          <w:sz w:val="24"/>
          <w:szCs w:val="24"/>
        </w:rPr>
        <w:t xml:space="preserve"> </w:t>
      </w:r>
      <w:r w:rsidR="001418B7" w:rsidRPr="0039792A">
        <w:rPr>
          <w:rFonts w:ascii="Times New Roman" w:hAnsi="Times New Roman" w:cs="Times New Roman"/>
          <w:sz w:val="24"/>
          <w:szCs w:val="24"/>
        </w:rPr>
        <w:t>med bøde som beskrevet i retningslinjerne nedenfor:</w:t>
      </w:r>
    </w:p>
    <w:p w14:paraId="3A776DB2" w14:textId="77777777" w:rsidR="001418B7" w:rsidRPr="0039792A" w:rsidRDefault="001418B7" w:rsidP="00875F54">
      <w:pPr>
        <w:rPr>
          <w:rFonts w:ascii="Times New Roman" w:hAnsi="Times New Roman" w:cs="Times New Roman"/>
          <w:sz w:val="24"/>
          <w:szCs w:val="24"/>
        </w:rPr>
      </w:pPr>
    </w:p>
    <w:tbl>
      <w:tblPr>
        <w:tblStyle w:val="Lysskygge-fremhvningsfarve5"/>
        <w:tblW w:w="0" w:type="auto"/>
        <w:tblLook w:val="04A0" w:firstRow="1" w:lastRow="0" w:firstColumn="1" w:lastColumn="0" w:noHBand="0" w:noVBand="1"/>
      </w:tblPr>
      <w:tblGrid>
        <w:gridCol w:w="2301"/>
        <w:gridCol w:w="2301"/>
        <w:gridCol w:w="2301"/>
        <w:gridCol w:w="2301"/>
      </w:tblGrid>
      <w:tr w:rsidR="001418B7" w:rsidRPr="00875F54" w14:paraId="1FCD1A64" w14:textId="77777777" w:rsidTr="00757C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12B8194A" w14:textId="3882A696" w:rsidR="001418B7" w:rsidRPr="0039792A" w:rsidRDefault="00B9160E" w:rsidP="0039792A">
            <w:pPr>
              <w:spacing w:line="288" w:lineRule="auto"/>
              <w:jc w:val="center"/>
              <w:rPr>
                <w:sz w:val="24"/>
                <w:szCs w:val="24"/>
                <w:lang w:eastAsia="en-US"/>
              </w:rPr>
            </w:pPr>
            <w:r>
              <w:rPr>
                <w:sz w:val="24"/>
                <w:szCs w:val="24"/>
                <w:lang w:eastAsia="en-US"/>
              </w:rPr>
              <w:lastRenderedPageBreak/>
              <w:t>Mængde</w:t>
            </w:r>
          </w:p>
        </w:tc>
        <w:tc>
          <w:tcPr>
            <w:tcW w:w="2301" w:type="dxa"/>
          </w:tcPr>
          <w:p w14:paraId="3BAED445" w14:textId="77777777" w:rsidR="001418B7" w:rsidRPr="0039792A" w:rsidRDefault="001418B7" w:rsidP="00B9160E">
            <w:pPr>
              <w:jc w:val="center"/>
              <w:cnfStyle w:val="100000000000" w:firstRow="1" w:lastRow="0" w:firstColumn="0" w:lastColumn="0" w:oddVBand="0" w:evenVBand="0" w:oddHBand="0" w:evenHBand="0" w:firstRowFirstColumn="0" w:firstRowLastColumn="0" w:lastRowFirstColumn="0" w:lastRowLastColumn="0"/>
              <w:rPr>
                <w:b w:val="0"/>
                <w:sz w:val="24"/>
                <w:szCs w:val="24"/>
                <w:lang w:eastAsia="en-US"/>
              </w:rPr>
            </w:pPr>
            <w:r w:rsidRPr="0039792A">
              <w:rPr>
                <w:sz w:val="24"/>
                <w:szCs w:val="24"/>
                <w:lang w:eastAsia="en-US"/>
              </w:rPr>
              <w:t>1. gangstilfælde</w:t>
            </w:r>
          </w:p>
        </w:tc>
        <w:tc>
          <w:tcPr>
            <w:tcW w:w="2301" w:type="dxa"/>
          </w:tcPr>
          <w:p w14:paraId="3D12313C" w14:textId="77777777" w:rsidR="001418B7" w:rsidRPr="0039792A" w:rsidRDefault="001418B7" w:rsidP="0039792A">
            <w:pPr>
              <w:spacing w:line="288" w:lineRule="auto"/>
              <w:jc w:val="center"/>
              <w:cnfStyle w:val="100000000000" w:firstRow="1" w:lastRow="0" w:firstColumn="0" w:lastColumn="0" w:oddVBand="0" w:evenVBand="0" w:oddHBand="0" w:evenHBand="0" w:firstRowFirstColumn="0" w:firstRowLastColumn="0" w:lastRowFirstColumn="0" w:lastRowLastColumn="0"/>
              <w:rPr>
                <w:sz w:val="24"/>
                <w:szCs w:val="24"/>
                <w:lang w:eastAsia="en-US"/>
              </w:rPr>
            </w:pPr>
            <w:r w:rsidRPr="0039792A">
              <w:rPr>
                <w:sz w:val="24"/>
                <w:szCs w:val="24"/>
              </w:rPr>
              <w:t>2. gangstilfælde</w:t>
            </w:r>
          </w:p>
        </w:tc>
        <w:tc>
          <w:tcPr>
            <w:tcW w:w="2301" w:type="dxa"/>
          </w:tcPr>
          <w:p w14:paraId="7DF7A049" w14:textId="77777777" w:rsidR="001418B7" w:rsidRPr="0039792A" w:rsidRDefault="001418B7" w:rsidP="0039792A">
            <w:pPr>
              <w:spacing w:line="288" w:lineRule="auto"/>
              <w:jc w:val="center"/>
              <w:cnfStyle w:val="100000000000" w:firstRow="1" w:lastRow="0" w:firstColumn="0" w:lastColumn="0" w:oddVBand="0" w:evenVBand="0" w:oddHBand="0" w:evenHBand="0" w:firstRowFirstColumn="0" w:firstRowLastColumn="0" w:lastRowFirstColumn="0" w:lastRowLastColumn="0"/>
              <w:rPr>
                <w:sz w:val="24"/>
                <w:szCs w:val="24"/>
                <w:lang w:eastAsia="en-US"/>
              </w:rPr>
            </w:pPr>
            <w:r w:rsidRPr="0039792A">
              <w:rPr>
                <w:sz w:val="24"/>
                <w:szCs w:val="24"/>
              </w:rPr>
              <w:t>3. gangstilfælde</w:t>
            </w:r>
          </w:p>
        </w:tc>
      </w:tr>
      <w:tr w:rsidR="001418B7" w:rsidRPr="00875F54" w14:paraId="38C20335" w14:textId="77777777" w:rsidTr="00757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1A7A2A33" w14:textId="77777777" w:rsidR="001418B7" w:rsidRPr="0039792A" w:rsidRDefault="001418B7" w:rsidP="0039792A">
            <w:pPr>
              <w:spacing w:line="288" w:lineRule="auto"/>
              <w:jc w:val="center"/>
              <w:rPr>
                <w:sz w:val="24"/>
                <w:szCs w:val="24"/>
                <w:lang w:eastAsia="en-US"/>
              </w:rPr>
            </w:pPr>
            <w:r w:rsidRPr="0039792A">
              <w:rPr>
                <w:sz w:val="24"/>
                <w:szCs w:val="24"/>
              </w:rPr>
              <w:t>-9,9 gram</w:t>
            </w:r>
          </w:p>
        </w:tc>
        <w:tc>
          <w:tcPr>
            <w:tcW w:w="2301" w:type="dxa"/>
          </w:tcPr>
          <w:p w14:paraId="5BB19F06" w14:textId="77777777" w:rsidR="001418B7" w:rsidRPr="0039792A" w:rsidRDefault="001418B7" w:rsidP="0039792A">
            <w:pPr>
              <w:spacing w:line="288" w:lineRule="auto"/>
              <w:jc w:val="center"/>
              <w:cnfStyle w:val="000000100000" w:firstRow="0" w:lastRow="0" w:firstColumn="0" w:lastColumn="0" w:oddVBand="0" w:evenVBand="0" w:oddHBand="1" w:evenHBand="0" w:firstRowFirstColumn="0" w:firstRowLastColumn="0" w:lastRowFirstColumn="0" w:lastRowLastColumn="0"/>
              <w:rPr>
                <w:sz w:val="24"/>
                <w:szCs w:val="24"/>
                <w:lang w:eastAsia="en-US"/>
              </w:rPr>
            </w:pPr>
            <w:r w:rsidRPr="0039792A">
              <w:rPr>
                <w:sz w:val="24"/>
                <w:szCs w:val="24"/>
              </w:rPr>
              <w:t>3.500 kr.</w:t>
            </w:r>
          </w:p>
        </w:tc>
        <w:tc>
          <w:tcPr>
            <w:tcW w:w="2301" w:type="dxa"/>
          </w:tcPr>
          <w:p w14:paraId="482E815F" w14:textId="518FD18D" w:rsidR="001418B7" w:rsidRPr="0039792A" w:rsidRDefault="00B9160E" w:rsidP="00B9160E">
            <w:pPr>
              <w:spacing w:line="288" w:lineRule="auto"/>
              <w:jc w:val="center"/>
              <w:cnfStyle w:val="000000100000" w:firstRow="0" w:lastRow="0" w:firstColumn="0" w:lastColumn="0" w:oddVBand="0" w:evenVBand="0" w:oddHBand="1" w:evenHBand="0" w:firstRowFirstColumn="0" w:firstRowLastColumn="0" w:lastRowFirstColumn="0" w:lastRowLastColumn="0"/>
              <w:rPr>
                <w:sz w:val="24"/>
                <w:szCs w:val="24"/>
                <w:lang w:eastAsia="en-US"/>
              </w:rPr>
            </w:pPr>
            <w:r>
              <w:rPr>
                <w:sz w:val="24"/>
                <w:szCs w:val="24"/>
              </w:rPr>
              <w:t>5.</w:t>
            </w:r>
            <w:r w:rsidR="00A92A08">
              <w:rPr>
                <w:sz w:val="24"/>
                <w:szCs w:val="24"/>
              </w:rPr>
              <w:t>5</w:t>
            </w:r>
            <w:r>
              <w:rPr>
                <w:sz w:val="24"/>
                <w:szCs w:val="24"/>
              </w:rPr>
              <w:t>0</w:t>
            </w:r>
            <w:r w:rsidR="001418B7" w:rsidRPr="0039792A">
              <w:rPr>
                <w:sz w:val="24"/>
                <w:szCs w:val="24"/>
              </w:rPr>
              <w:t>0 kr.</w:t>
            </w:r>
          </w:p>
        </w:tc>
        <w:tc>
          <w:tcPr>
            <w:tcW w:w="2301" w:type="dxa"/>
          </w:tcPr>
          <w:p w14:paraId="3B25EB56" w14:textId="77777777" w:rsidR="001418B7" w:rsidRPr="0039792A" w:rsidRDefault="001418B7" w:rsidP="0039792A">
            <w:pPr>
              <w:spacing w:line="288" w:lineRule="auto"/>
              <w:jc w:val="center"/>
              <w:cnfStyle w:val="000000100000" w:firstRow="0" w:lastRow="0" w:firstColumn="0" w:lastColumn="0" w:oddVBand="0" w:evenVBand="0" w:oddHBand="1" w:evenHBand="0" w:firstRowFirstColumn="0" w:firstRowLastColumn="0" w:lastRowFirstColumn="0" w:lastRowLastColumn="0"/>
              <w:rPr>
                <w:sz w:val="24"/>
                <w:szCs w:val="24"/>
                <w:lang w:eastAsia="en-US"/>
              </w:rPr>
            </w:pPr>
            <w:r w:rsidRPr="0039792A">
              <w:rPr>
                <w:sz w:val="24"/>
                <w:szCs w:val="24"/>
              </w:rPr>
              <w:t>7.000 kr.</w:t>
            </w:r>
          </w:p>
        </w:tc>
      </w:tr>
      <w:tr w:rsidR="001418B7" w:rsidRPr="00875F54" w14:paraId="7C569B94" w14:textId="77777777" w:rsidTr="00757CB2">
        <w:tc>
          <w:tcPr>
            <w:cnfStyle w:val="001000000000" w:firstRow="0" w:lastRow="0" w:firstColumn="1" w:lastColumn="0" w:oddVBand="0" w:evenVBand="0" w:oddHBand="0" w:evenHBand="0" w:firstRowFirstColumn="0" w:firstRowLastColumn="0" w:lastRowFirstColumn="0" w:lastRowLastColumn="0"/>
            <w:tcW w:w="2301" w:type="dxa"/>
          </w:tcPr>
          <w:p w14:paraId="0601CE3E" w14:textId="77777777" w:rsidR="001418B7" w:rsidRPr="0039792A" w:rsidRDefault="001418B7" w:rsidP="0039792A">
            <w:pPr>
              <w:spacing w:line="288" w:lineRule="auto"/>
              <w:jc w:val="center"/>
              <w:rPr>
                <w:sz w:val="24"/>
                <w:szCs w:val="24"/>
                <w:lang w:eastAsia="en-US"/>
              </w:rPr>
            </w:pPr>
            <w:r w:rsidRPr="0039792A">
              <w:rPr>
                <w:sz w:val="24"/>
                <w:szCs w:val="24"/>
              </w:rPr>
              <w:t>10-24,9 gram</w:t>
            </w:r>
          </w:p>
        </w:tc>
        <w:tc>
          <w:tcPr>
            <w:tcW w:w="2301" w:type="dxa"/>
          </w:tcPr>
          <w:p w14:paraId="0E51C6AA" w14:textId="2B76763B" w:rsidR="001418B7" w:rsidRPr="0039792A" w:rsidRDefault="00B9160E" w:rsidP="00B9160E">
            <w:pPr>
              <w:spacing w:line="288" w:lineRule="auto"/>
              <w:jc w:val="center"/>
              <w:cnfStyle w:val="000000000000" w:firstRow="0" w:lastRow="0" w:firstColumn="0" w:lastColumn="0" w:oddVBand="0" w:evenVBand="0" w:oddHBand="0" w:evenHBand="0" w:firstRowFirstColumn="0" w:firstRowLastColumn="0" w:lastRowFirstColumn="0" w:lastRowLastColumn="0"/>
              <w:rPr>
                <w:sz w:val="24"/>
                <w:szCs w:val="24"/>
                <w:lang w:eastAsia="en-US"/>
              </w:rPr>
            </w:pPr>
            <w:r>
              <w:rPr>
                <w:sz w:val="24"/>
                <w:szCs w:val="24"/>
              </w:rPr>
              <w:t>5.</w:t>
            </w:r>
            <w:r w:rsidR="00A92A08">
              <w:rPr>
                <w:sz w:val="24"/>
                <w:szCs w:val="24"/>
              </w:rPr>
              <w:t>5</w:t>
            </w:r>
            <w:r>
              <w:rPr>
                <w:sz w:val="24"/>
                <w:szCs w:val="24"/>
              </w:rPr>
              <w:t>0</w:t>
            </w:r>
            <w:r w:rsidR="001418B7" w:rsidRPr="0039792A">
              <w:rPr>
                <w:sz w:val="24"/>
                <w:szCs w:val="24"/>
              </w:rPr>
              <w:t>0 kr.</w:t>
            </w:r>
          </w:p>
        </w:tc>
        <w:tc>
          <w:tcPr>
            <w:tcW w:w="2301" w:type="dxa"/>
          </w:tcPr>
          <w:p w14:paraId="723F2CB0" w14:textId="7AA2848E" w:rsidR="001418B7" w:rsidRPr="0039792A" w:rsidRDefault="00A92A08" w:rsidP="0039792A">
            <w:pPr>
              <w:spacing w:line="288" w:lineRule="auto"/>
              <w:jc w:val="center"/>
              <w:cnfStyle w:val="000000000000" w:firstRow="0" w:lastRow="0" w:firstColumn="0" w:lastColumn="0" w:oddVBand="0" w:evenVBand="0" w:oddHBand="0" w:evenHBand="0" w:firstRowFirstColumn="0" w:firstRowLastColumn="0" w:lastRowFirstColumn="0" w:lastRowLastColumn="0"/>
              <w:rPr>
                <w:sz w:val="24"/>
                <w:szCs w:val="24"/>
                <w:lang w:eastAsia="en-US"/>
              </w:rPr>
            </w:pPr>
            <w:r>
              <w:rPr>
                <w:sz w:val="24"/>
                <w:szCs w:val="24"/>
              </w:rPr>
              <w:t>7.0</w:t>
            </w:r>
            <w:r w:rsidR="001418B7" w:rsidRPr="0039792A">
              <w:rPr>
                <w:sz w:val="24"/>
                <w:szCs w:val="24"/>
              </w:rPr>
              <w:t>00 kr.</w:t>
            </w:r>
          </w:p>
        </w:tc>
        <w:tc>
          <w:tcPr>
            <w:tcW w:w="2301" w:type="dxa"/>
          </w:tcPr>
          <w:p w14:paraId="7CA26055" w14:textId="47C43498" w:rsidR="001418B7" w:rsidRPr="0039792A" w:rsidRDefault="001418B7" w:rsidP="0039792A">
            <w:pPr>
              <w:spacing w:line="288" w:lineRule="auto"/>
              <w:jc w:val="center"/>
              <w:cnfStyle w:val="000000000000" w:firstRow="0" w:lastRow="0" w:firstColumn="0" w:lastColumn="0" w:oddVBand="0" w:evenVBand="0" w:oddHBand="0" w:evenHBand="0" w:firstRowFirstColumn="0" w:firstRowLastColumn="0" w:lastRowFirstColumn="0" w:lastRowLastColumn="0"/>
              <w:rPr>
                <w:sz w:val="24"/>
                <w:szCs w:val="24"/>
                <w:lang w:eastAsia="en-US"/>
              </w:rPr>
            </w:pPr>
            <w:r w:rsidRPr="0039792A">
              <w:rPr>
                <w:sz w:val="24"/>
                <w:szCs w:val="24"/>
              </w:rPr>
              <w:t>1</w:t>
            </w:r>
            <w:r w:rsidR="00A92A08">
              <w:rPr>
                <w:sz w:val="24"/>
                <w:szCs w:val="24"/>
              </w:rPr>
              <w:t>1.0</w:t>
            </w:r>
            <w:r w:rsidRPr="0039792A">
              <w:rPr>
                <w:sz w:val="24"/>
                <w:szCs w:val="24"/>
              </w:rPr>
              <w:t>00 kr.</w:t>
            </w:r>
          </w:p>
        </w:tc>
      </w:tr>
      <w:tr w:rsidR="001418B7" w:rsidRPr="00875F54" w14:paraId="101CBAE4" w14:textId="77777777" w:rsidTr="00757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219B82F7" w14:textId="77777777" w:rsidR="001418B7" w:rsidRPr="0039792A" w:rsidRDefault="001418B7" w:rsidP="0039792A">
            <w:pPr>
              <w:spacing w:line="288" w:lineRule="auto"/>
              <w:jc w:val="center"/>
              <w:rPr>
                <w:sz w:val="24"/>
                <w:szCs w:val="24"/>
                <w:lang w:eastAsia="en-US"/>
              </w:rPr>
            </w:pPr>
            <w:r w:rsidRPr="0039792A">
              <w:rPr>
                <w:sz w:val="24"/>
                <w:szCs w:val="24"/>
              </w:rPr>
              <w:t>25-49,9 gram</w:t>
            </w:r>
          </w:p>
        </w:tc>
        <w:tc>
          <w:tcPr>
            <w:tcW w:w="2301" w:type="dxa"/>
          </w:tcPr>
          <w:p w14:paraId="65FBFD7E" w14:textId="425CCAD8" w:rsidR="001418B7" w:rsidRPr="0039792A" w:rsidRDefault="0008124F" w:rsidP="00B9160E">
            <w:pPr>
              <w:spacing w:line="288" w:lineRule="auto"/>
              <w:jc w:val="center"/>
              <w:cnfStyle w:val="000000100000" w:firstRow="0" w:lastRow="0" w:firstColumn="0" w:lastColumn="0" w:oddVBand="0" w:evenVBand="0" w:oddHBand="1" w:evenHBand="0" w:firstRowFirstColumn="0" w:firstRowLastColumn="0" w:lastRowFirstColumn="0" w:lastRowLastColumn="0"/>
              <w:rPr>
                <w:sz w:val="24"/>
                <w:szCs w:val="24"/>
                <w:lang w:eastAsia="en-US"/>
              </w:rPr>
            </w:pPr>
            <w:r>
              <w:rPr>
                <w:sz w:val="24"/>
                <w:szCs w:val="24"/>
              </w:rPr>
              <w:t>7.000</w:t>
            </w:r>
            <w:r w:rsidR="001418B7" w:rsidRPr="0039792A">
              <w:rPr>
                <w:sz w:val="24"/>
                <w:szCs w:val="24"/>
              </w:rPr>
              <w:t xml:space="preserve"> kr.</w:t>
            </w:r>
          </w:p>
        </w:tc>
        <w:tc>
          <w:tcPr>
            <w:tcW w:w="2301" w:type="dxa"/>
          </w:tcPr>
          <w:p w14:paraId="0F38BAB8" w14:textId="00D2F165" w:rsidR="001418B7" w:rsidRPr="0039792A" w:rsidRDefault="0008124F" w:rsidP="00B9160E">
            <w:pPr>
              <w:spacing w:line="288" w:lineRule="auto"/>
              <w:jc w:val="center"/>
              <w:cnfStyle w:val="000000100000" w:firstRow="0" w:lastRow="0" w:firstColumn="0" w:lastColumn="0" w:oddVBand="0" w:evenVBand="0" w:oddHBand="1" w:evenHBand="0" w:firstRowFirstColumn="0" w:firstRowLastColumn="0" w:lastRowFirstColumn="0" w:lastRowLastColumn="0"/>
              <w:rPr>
                <w:sz w:val="24"/>
                <w:szCs w:val="24"/>
                <w:lang w:eastAsia="en-US"/>
              </w:rPr>
            </w:pPr>
            <w:r>
              <w:rPr>
                <w:sz w:val="24"/>
                <w:szCs w:val="24"/>
              </w:rPr>
              <w:t>1</w:t>
            </w:r>
            <w:r w:rsidR="00A92A08">
              <w:rPr>
                <w:sz w:val="24"/>
                <w:szCs w:val="24"/>
              </w:rPr>
              <w:t>1</w:t>
            </w:r>
            <w:r>
              <w:rPr>
                <w:sz w:val="24"/>
                <w:szCs w:val="24"/>
              </w:rPr>
              <w:t>.</w:t>
            </w:r>
            <w:r w:rsidR="00A92A08">
              <w:rPr>
                <w:sz w:val="24"/>
                <w:szCs w:val="24"/>
              </w:rPr>
              <w:t>0</w:t>
            </w:r>
            <w:r>
              <w:rPr>
                <w:sz w:val="24"/>
                <w:szCs w:val="24"/>
              </w:rPr>
              <w:t>00</w:t>
            </w:r>
            <w:r w:rsidR="001418B7" w:rsidRPr="0039792A">
              <w:rPr>
                <w:sz w:val="24"/>
                <w:szCs w:val="24"/>
              </w:rPr>
              <w:t xml:space="preserve"> kr.</w:t>
            </w:r>
          </w:p>
        </w:tc>
        <w:tc>
          <w:tcPr>
            <w:tcW w:w="2301" w:type="dxa"/>
          </w:tcPr>
          <w:p w14:paraId="0E5FE68F" w14:textId="3783675D" w:rsidR="001418B7" w:rsidRPr="0039792A" w:rsidRDefault="0008124F" w:rsidP="0039792A">
            <w:pPr>
              <w:spacing w:line="288" w:lineRule="auto"/>
              <w:jc w:val="center"/>
              <w:cnfStyle w:val="000000100000" w:firstRow="0" w:lastRow="0" w:firstColumn="0" w:lastColumn="0" w:oddVBand="0" w:evenVBand="0" w:oddHBand="1" w:evenHBand="0" w:firstRowFirstColumn="0" w:firstRowLastColumn="0" w:lastRowFirstColumn="0" w:lastRowLastColumn="0"/>
              <w:rPr>
                <w:sz w:val="24"/>
                <w:szCs w:val="24"/>
                <w:lang w:eastAsia="en-US"/>
              </w:rPr>
            </w:pPr>
            <w:r>
              <w:rPr>
                <w:sz w:val="24"/>
                <w:szCs w:val="24"/>
              </w:rPr>
              <w:t>14.000</w:t>
            </w:r>
            <w:r w:rsidR="001418B7" w:rsidRPr="0039792A">
              <w:rPr>
                <w:sz w:val="24"/>
                <w:szCs w:val="24"/>
              </w:rPr>
              <w:t xml:space="preserve"> kr.</w:t>
            </w:r>
          </w:p>
        </w:tc>
      </w:tr>
    </w:tbl>
    <w:p w14:paraId="393A867C" w14:textId="77777777" w:rsidR="001418B7" w:rsidRPr="0039792A" w:rsidRDefault="001418B7" w:rsidP="00875F54">
      <w:pPr>
        <w:jc w:val="center"/>
        <w:rPr>
          <w:rFonts w:ascii="Times New Roman" w:hAnsi="Times New Roman" w:cs="Times New Roman"/>
          <w:sz w:val="24"/>
          <w:szCs w:val="24"/>
        </w:rPr>
      </w:pPr>
    </w:p>
    <w:p w14:paraId="15460BBB" w14:textId="5FD54707" w:rsidR="001418B7" w:rsidRPr="0039792A" w:rsidRDefault="001418B7" w:rsidP="00757CB2">
      <w:pPr>
        <w:pStyle w:val="Overskrift2"/>
        <w:spacing w:before="0"/>
        <w:ind w:left="0" w:firstLine="284"/>
        <w:rPr>
          <w:rFonts w:ascii="Times New Roman" w:hAnsi="Times New Roman" w:cs="Times New Roman"/>
          <w:sz w:val="24"/>
          <w:szCs w:val="24"/>
        </w:rPr>
      </w:pPr>
      <w:r w:rsidRPr="0039792A">
        <w:rPr>
          <w:rFonts w:ascii="Times New Roman" w:hAnsi="Times New Roman" w:cs="Times New Roman"/>
          <w:sz w:val="24"/>
          <w:szCs w:val="24"/>
        </w:rPr>
        <w:t>4.</w:t>
      </w:r>
      <w:r w:rsidR="005E2409">
        <w:rPr>
          <w:rFonts w:ascii="Times New Roman" w:hAnsi="Times New Roman" w:cs="Times New Roman"/>
          <w:sz w:val="24"/>
          <w:szCs w:val="24"/>
        </w:rPr>
        <w:t>3.</w:t>
      </w:r>
      <w:r w:rsidRPr="0039792A">
        <w:rPr>
          <w:rFonts w:ascii="Times New Roman" w:hAnsi="Times New Roman" w:cs="Times New Roman"/>
          <w:sz w:val="24"/>
          <w:szCs w:val="24"/>
        </w:rPr>
        <w:t xml:space="preserve"> Besiddelse med henblik på videreoverdragelse</w:t>
      </w:r>
    </w:p>
    <w:p w14:paraId="636FC4A2" w14:textId="7F4C6C7C" w:rsidR="00FA71C1" w:rsidRDefault="001418B7" w:rsidP="00875F54">
      <w:pPr>
        <w:rPr>
          <w:rFonts w:ascii="Times New Roman" w:hAnsi="Times New Roman" w:cs="Times New Roman"/>
          <w:sz w:val="24"/>
          <w:szCs w:val="24"/>
        </w:rPr>
      </w:pPr>
      <w:r w:rsidRPr="0039792A">
        <w:rPr>
          <w:rFonts w:ascii="Times New Roman" w:hAnsi="Times New Roman" w:cs="Times New Roman"/>
          <w:sz w:val="24"/>
          <w:szCs w:val="24"/>
        </w:rPr>
        <w:t>Besiddelse af hashmængder med henblik på videreoverdragelse</w:t>
      </w:r>
      <w:r w:rsidR="00D639B3">
        <w:rPr>
          <w:rFonts w:ascii="Times New Roman" w:hAnsi="Times New Roman" w:cs="Times New Roman"/>
          <w:sz w:val="24"/>
          <w:szCs w:val="24"/>
        </w:rPr>
        <w:t xml:space="preserve"> kan</w:t>
      </w:r>
      <w:r w:rsidRPr="0039792A">
        <w:rPr>
          <w:rFonts w:ascii="Times New Roman" w:hAnsi="Times New Roman" w:cs="Times New Roman"/>
          <w:sz w:val="24"/>
          <w:szCs w:val="24"/>
        </w:rPr>
        <w:t xml:space="preserve"> foranstaltes med b</w:t>
      </w:r>
      <w:r w:rsidRPr="0039792A">
        <w:rPr>
          <w:rFonts w:ascii="Times New Roman" w:hAnsi="Times New Roman" w:cs="Times New Roman"/>
          <w:sz w:val="24"/>
          <w:szCs w:val="24"/>
        </w:rPr>
        <w:t>e</w:t>
      </w:r>
      <w:r w:rsidRPr="0039792A">
        <w:rPr>
          <w:rFonts w:ascii="Times New Roman" w:hAnsi="Times New Roman" w:cs="Times New Roman"/>
          <w:sz w:val="24"/>
          <w:szCs w:val="24"/>
        </w:rPr>
        <w:t>tinget anstaltsanbringelse og bøde eller med anstaltsanbringelse</w:t>
      </w:r>
      <w:r w:rsidR="00FA71C1">
        <w:rPr>
          <w:rFonts w:ascii="Times New Roman" w:hAnsi="Times New Roman" w:cs="Times New Roman"/>
          <w:sz w:val="24"/>
          <w:szCs w:val="24"/>
        </w:rPr>
        <w:t>, som beskrevet nedenfor. Sanktionsstørrelserne tager udgangspunkt i sanktionsstørrelserne som beskrevet i politiets dagsbefalinger. Intervallerne for mængderne af hash er dog gjort bredere, og der er derfor kun 8 forskellige intervaller i stedet for 9. Hertil kommer at bødestørrelsen</w:t>
      </w:r>
      <w:r w:rsidR="00462FDC">
        <w:rPr>
          <w:rFonts w:ascii="Times New Roman" w:hAnsi="Times New Roman" w:cs="Times New Roman"/>
          <w:sz w:val="24"/>
          <w:szCs w:val="24"/>
        </w:rPr>
        <w:t xml:space="preserve"> i de intervaller, hvor der også gives bøder,</w:t>
      </w:r>
      <w:r w:rsidR="00FA71C1">
        <w:rPr>
          <w:rFonts w:ascii="Times New Roman" w:hAnsi="Times New Roman" w:cs="Times New Roman"/>
          <w:sz w:val="24"/>
          <w:szCs w:val="24"/>
        </w:rPr>
        <w:t xml:space="preserve"> er ændret fra 100 kr. pr. gr. til 250 kr. pr. gr, og er således </w:t>
      </w:r>
      <w:r w:rsidR="00462FDC">
        <w:rPr>
          <w:rFonts w:ascii="Times New Roman" w:hAnsi="Times New Roman" w:cs="Times New Roman"/>
          <w:sz w:val="24"/>
          <w:szCs w:val="24"/>
        </w:rPr>
        <w:t>fo</w:t>
      </w:r>
      <w:r w:rsidR="00462FDC">
        <w:rPr>
          <w:rFonts w:ascii="Times New Roman" w:hAnsi="Times New Roman" w:cs="Times New Roman"/>
          <w:sz w:val="24"/>
          <w:szCs w:val="24"/>
        </w:rPr>
        <w:t>r</w:t>
      </w:r>
      <w:r w:rsidR="00462FDC">
        <w:rPr>
          <w:rFonts w:ascii="Times New Roman" w:hAnsi="Times New Roman" w:cs="Times New Roman"/>
          <w:sz w:val="24"/>
          <w:szCs w:val="24"/>
        </w:rPr>
        <w:t xml:space="preserve">højet </w:t>
      </w:r>
      <w:r w:rsidR="00FA71C1">
        <w:rPr>
          <w:rFonts w:ascii="Times New Roman" w:hAnsi="Times New Roman" w:cs="Times New Roman"/>
          <w:sz w:val="24"/>
          <w:szCs w:val="24"/>
        </w:rPr>
        <w:t xml:space="preserve">med 150 %. </w:t>
      </w:r>
    </w:p>
    <w:p w14:paraId="4F1D81D9" w14:textId="77777777" w:rsidR="00FA71C1" w:rsidRDefault="00FA71C1" w:rsidP="00875F54">
      <w:pPr>
        <w:rPr>
          <w:rFonts w:ascii="Times New Roman" w:hAnsi="Times New Roman" w:cs="Times New Roman"/>
          <w:sz w:val="24"/>
          <w:szCs w:val="24"/>
        </w:rPr>
      </w:pPr>
    </w:p>
    <w:p w14:paraId="3B3CBFC1" w14:textId="5A3F798C" w:rsidR="001418B7" w:rsidRPr="0039792A" w:rsidRDefault="001418B7" w:rsidP="00875F54">
      <w:pPr>
        <w:rPr>
          <w:rFonts w:ascii="Times New Roman" w:hAnsi="Times New Roman" w:cs="Times New Roman"/>
          <w:sz w:val="24"/>
          <w:szCs w:val="24"/>
        </w:rPr>
      </w:pPr>
      <w:r w:rsidRPr="0039792A">
        <w:rPr>
          <w:rFonts w:ascii="Times New Roman" w:hAnsi="Times New Roman" w:cs="Times New Roman"/>
          <w:sz w:val="24"/>
          <w:szCs w:val="24"/>
        </w:rPr>
        <w:t>Ved vurderingen af om der kan være tale om besiddelse af hash med henblik på vider</w:t>
      </w:r>
      <w:r w:rsidRPr="0039792A">
        <w:rPr>
          <w:rFonts w:ascii="Times New Roman" w:hAnsi="Times New Roman" w:cs="Times New Roman"/>
          <w:sz w:val="24"/>
          <w:szCs w:val="24"/>
        </w:rPr>
        <w:t>e</w:t>
      </w:r>
      <w:r w:rsidRPr="0039792A">
        <w:rPr>
          <w:rFonts w:ascii="Times New Roman" w:hAnsi="Times New Roman" w:cs="Times New Roman"/>
          <w:sz w:val="24"/>
          <w:szCs w:val="24"/>
        </w:rPr>
        <w:t xml:space="preserve">overdragelse, </w:t>
      </w:r>
      <w:r w:rsidR="00D639B3">
        <w:rPr>
          <w:rFonts w:ascii="Times New Roman" w:hAnsi="Times New Roman" w:cs="Times New Roman"/>
          <w:sz w:val="24"/>
          <w:szCs w:val="24"/>
        </w:rPr>
        <w:t xml:space="preserve">kan </w:t>
      </w:r>
      <w:r w:rsidRPr="0039792A">
        <w:rPr>
          <w:rFonts w:ascii="Times New Roman" w:hAnsi="Times New Roman" w:cs="Times New Roman"/>
          <w:sz w:val="24"/>
          <w:szCs w:val="24"/>
        </w:rPr>
        <w:t xml:space="preserve">der blandt andet </w:t>
      </w:r>
      <w:r w:rsidR="00D639B3">
        <w:rPr>
          <w:rFonts w:ascii="Times New Roman" w:hAnsi="Times New Roman" w:cs="Times New Roman"/>
          <w:sz w:val="24"/>
          <w:szCs w:val="24"/>
        </w:rPr>
        <w:t xml:space="preserve">lægges </w:t>
      </w:r>
      <w:r w:rsidRPr="0039792A">
        <w:rPr>
          <w:rFonts w:ascii="Times New Roman" w:hAnsi="Times New Roman" w:cs="Times New Roman"/>
          <w:sz w:val="24"/>
          <w:szCs w:val="24"/>
        </w:rPr>
        <w:t xml:space="preserve">vægt på mængden. </w:t>
      </w:r>
      <w:r w:rsidR="00C11211">
        <w:rPr>
          <w:rFonts w:ascii="Times New Roman" w:hAnsi="Times New Roman" w:cs="Times New Roman"/>
          <w:sz w:val="24"/>
          <w:szCs w:val="24"/>
        </w:rPr>
        <w:t>Som nævnt ovenfor er h</w:t>
      </w:r>
      <w:r w:rsidRPr="0039792A">
        <w:rPr>
          <w:rFonts w:ascii="Times New Roman" w:hAnsi="Times New Roman" w:cs="Times New Roman"/>
          <w:sz w:val="24"/>
          <w:szCs w:val="24"/>
        </w:rPr>
        <w:t>o</w:t>
      </w:r>
      <w:r w:rsidRPr="0039792A">
        <w:rPr>
          <w:rFonts w:ascii="Times New Roman" w:hAnsi="Times New Roman" w:cs="Times New Roman"/>
          <w:sz w:val="24"/>
          <w:szCs w:val="24"/>
        </w:rPr>
        <w:t xml:space="preserve">vedreglen, at besiddelse af ca. 50 gram hash og derover i sagens natur </w:t>
      </w:r>
      <w:r w:rsidR="00887968">
        <w:rPr>
          <w:rFonts w:ascii="Times New Roman" w:hAnsi="Times New Roman" w:cs="Times New Roman"/>
          <w:sz w:val="24"/>
          <w:szCs w:val="24"/>
        </w:rPr>
        <w:t>ikke</w:t>
      </w:r>
      <w:r w:rsidR="00887968" w:rsidRPr="0039792A">
        <w:rPr>
          <w:rFonts w:ascii="Times New Roman" w:hAnsi="Times New Roman" w:cs="Times New Roman"/>
          <w:sz w:val="24"/>
          <w:szCs w:val="24"/>
        </w:rPr>
        <w:t xml:space="preserve"> </w:t>
      </w:r>
      <w:r w:rsidRPr="0039792A">
        <w:rPr>
          <w:rFonts w:ascii="Times New Roman" w:hAnsi="Times New Roman" w:cs="Times New Roman"/>
          <w:sz w:val="24"/>
          <w:szCs w:val="24"/>
        </w:rPr>
        <w:t>kan være til eget forbrug, medmindre der ligger helt særlige oplysninger herom.</w:t>
      </w:r>
    </w:p>
    <w:p w14:paraId="24951925" w14:textId="77777777" w:rsidR="001418B7" w:rsidRPr="0039792A" w:rsidRDefault="001418B7" w:rsidP="00875F54">
      <w:pPr>
        <w:rPr>
          <w:rFonts w:ascii="Times New Roman" w:hAnsi="Times New Roman" w:cs="Times New Roman"/>
          <w:sz w:val="24"/>
          <w:szCs w:val="24"/>
        </w:rPr>
      </w:pPr>
    </w:p>
    <w:p w14:paraId="06F2659B" w14:textId="1451D43E" w:rsidR="001418B7" w:rsidRPr="0039792A" w:rsidRDefault="00887968" w:rsidP="00875F54">
      <w:pPr>
        <w:rPr>
          <w:rFonts w:ascii="Times New Roman" w:hAnsi="Times New Roman" w:cs="Times New Roman"/>
          <w:sz w:val="24"/>
          <w:szCs w:val="24"/>
        </w:rPr>
      </w:pPr>
      <w:r>
        <w:rPr>
          <w:rFonts w:ascii="Times New Roman" w:hAnsi="Times New Roman" w:cs="Times New Roman"/>
          <w:sz w:val="24"/>
          <w:szCs w:val="24"/>
        </w:rPr>
        <w:t>I henhold til beskrivelserne af normalniveauet for sanktionering nedenfor er</w:t>
      </w:r>
      <w:r w:rsidRPr="0039792A">
        <w:rPr>
          <w:rFonts w:ascii="Times New Roman" w:hAnsi="Times New Roman" w:cs="Times New Roman"/>
          <w:sz w:val="24"/>
          <w:szCs w:val="24"/>
        </w:rPr>
        <w:t xml:space="preserve"> </w:t>
      </w:r>
      <w:r w:rsidR="001418B7" w:rsidRPr="0039792A">
        <w:rPr>
          <w:rFonts w:ascii="Times New Roman" w:hAnsi="Times New Roman" w:cs="Times New Roman"/>
          <w:sz w:val="24"/>
          <w:szCs w:val="24"/>
        </w:rPr>
        <w:t>udgangspun</w:t>
      </w:r>
      <w:r w:rsidR="001418B7" w:rsidRPr="0039792A">
        <w:rPr>
          <w:rFonts w:ascii="Times New Roman" w:hAnsi="Times New Roman" w:cs="Times New Roman"/>
          <w:sz w:val="24"/>
          <w:szCs w:val="24"/>
        </w:rPr>
        <w:t>k</w:t>
      </w:r>
      <w:r w:rsidR="001418B7" w:rsidRPr="0039792A">
        <w:rPr>
          <w:rFonts w:ascii="Times New Roman" w:hAnsi="Times New Roman" w:cs="Times New Roman"/>
          <w:sz w:val="24"/>
          <w:szCs w:val="24"/>
        </w:rPr>
        <w:t>tet, at alene besiddelse af hashmængder på 500 gram og derover medfører anstaltsanbri</w:t>
      </w:r>
      <w:r w:rsidR="001418B7" w:rsidRPr="0039792A">
        <w:rPr>
          <w:rFonts w:ascii="Times New Roman" w:hAnsi="Times New Roman" w:cs="Times New Roman"/>
          <w:sz w:val="24"/>
          <w:szCs w:val="24"/>
        </w:rPr>
        <w:t>n</w:t>
      </w:r>
      <w:r w:rsidR="001418B7" w:rsidRPr="0039792A">
        <w:rPr>
          <w:rFonts w:ascii="Times New Roman" w:hAnsi="Times New Roman" w:cs="Times New Roman"/>
          <w:sz w:val="24"/>
          <w:szCs w:val="24"/>
        </w:rPr>
        <w:t>gelse</w:t>
      </w:r>
      <w:r>
        <w:rPr>
          <w:rFonts w:ascii="Times New Roman" w:hAnsi="Times New Roman" w:cs="Times New Roman"/>
          <w:sz w:val="24"/>
          <w:szCs w:val="24"/>
        </w:rPr>
        <w:t xml:space="preserve">. </w:t>
      </w:r>
      <w:r w:rsidR="002E1C53">
        <w:rPr>
          <w:rFonts w:ascii="Times New Roman" w:hAnsi="Times New Roman" w:cs="Times New Roman"/>
          <w:sz w:val="24"/>
          <w:szCs w:val="24"/>
        </w:rPr>
        <w:t xml:space="preserve">Det skal dog bemærkes, </w:t>
      </w:r>
      <w:r w:rsidR="001418B7" w:rsidRPr="0039792A">
        <w:rPr>
          <w:rFonts w:ascii="Times New Roman" w:hAnsi="Times New Roman" w:cs="Times New Roman"/>
          <w:sz w:val="24"/>
          <w:szCs w:val="24"/>
        </w:rPr>
        <w:t xml:space="preserve">at </w:t>
      </w:r>
      <w:r w:rsidR="00C11211">
        <w:rPr>
          <w:rFonts w:ascii="Times New Roman" w:hAnsi="Times New Roman" w:cs="Times New Roman"/>
          <w:sz w:val="24"/>
          <w:szCs w:val="24"/>
        </w:rPr>
        <w:t>anstaltsanbringelse</w:t>
      </w:r>
      <w:r w:rsidR="00C11211" w:rsidRPr="0039792A">
        <w:rPr>
          <w:rFonts w:ascii="Times New Roman" w:hAnsi="Times New Roman" w:cs="Times New Roman"/>
          <w:sz w:val="24"/>
          <w:szCs w:val="24"/>
        </w:rPr>
        <w:t xml:space="preserve"> </w:t>
      </w:r>
      <w:r w:rsidR="001418B7" w:rsidRPr="0039792A">
        <w:rPr>
          <w:rFonts w:ascii="Times New Roman" w:hAnsi="Times New Roman" w:cs="Times New Roman"/>
          <w:sz w:val="24"/>
          <w:szCs w:val="24"/>
        </w:rPr>
        <w:t>efter en konkret vurdering</w:t>
      </w:r>
      <w:r w:rsidR="002E1C53">
        <w:rPr>
          <w:rFonts w:ascii="Times New Roman" w:hAnsi="Times New Roman" w:cs="Times New Roman"/>
          <w:sz w:val="24"/>
          <w:szCs w:val="24"/>
        </w:rPr>
        <w:t xml:space="preserve"> af de ko</w:t>
      </w:r>
      <w:r w:rsidR="002E1C53">
        <w:rPr>
          <w:rFonts w:ascii="Times New Roman" w:hAnsi="Times New Roman" w:cs="Times New Roman"/>
          <w:sz w:val="24"/>
          <w:szCs w:val="24"/>
        </w:rPr>
        <w:t>n</w:t>
      </w:r>
      <w:r w:rsidR="002E1C53">
        <w:rPr>
          <w:rFonts w:ascii="Times New Roman" w:hAnsi="Times New Roman" w:cs="Times New Roman"/>
          <w:sz w:val="24"/>
          <w:szCs w:val="24"/>
        </w:rPr>
        <w:t>krete omstændigheder bør kunne</w:t>
      </w:r>
      <w:r w:rsidR="001418B7" w:rsidRPr="0039792A">
        <w:rPr>
          <w:rFonts w:ascii="Times New Roman" w:hAnsi="Times New Roman" w:cs="Times New Roman"/>
          <w:sz w:val="24"/>
          <w:szCs w:val="24"/>
        </w:rPr>
        <w:t xml:space="preserve"> komme på tale selv for mængder under 500 gram. Dette er for at undgå, at man ved indførsel af hash indretter sig efter en bestemt grænse og de</w:t>
      </w:r>
      <w:r w:rsidR="001418B7" w:rsidRPr="0039792A">
        <w:rPr>
          <w:rFonts w:ascii="Times New Roman" w:hAnsi="Times New Roman" w:cs="Times New Roman"/>
          <w:sz w:val="24"/>
          <w:szCs w:val="24"/>
        </w:rPr>
        <w:t>r</w:t>
      </w:r>
      <w:r w:rsidR="001418B7" w:rsidRPr="0039792A">
        <w:rPr>
          <w:rFonts w:ascii="Times New Roman" w:hAnsi="Times New Roman" w:cs="Times New Roman"/>
          <w:sz w:val="24"/>
          <w:szCs w:val="24"/>
        </w:rPr>
        <w:t xml:space="preserve">ved kan kalkulere strafudmålingen. Anstaltsanbringelse </w:t>
      </w:r>
      <w:r w:rsidR="002E1C53">
        <w:rPr>
          <w:rFonts w:ascii="Times New Roman" w:hAnsi="Times New Roman" w:cs="Times New Roman"/>
          <w:sz w:val="24"/>
          <w:szCs w:val="24"/>
        </w:rPr>
        <w:t>bør</w:t>
      </w:r>
      <w:r w:rsidR="002E1C53" w:rsidRPr="0039792A">
        <w:rPr>
          <w:rFonts w:ascii="Times New Roman" w:hAnsi="Times New Roman" w:cs="Times New Roman"/>
          <w:sz w:val="24"/>
          <w:szCs w:val="24"/>
        </w:rPr>
        <w:t xml:space="preserve"> </w:t>
      </w:r>
      <w:r w:rsidR="001418B7" w:rsidRPr="0039792A">
        <w:rPr>
          <w:rFonts w:ascii="Times New Roman" w:hAnsi="Times New Roman" w:cs="Times New Roman"/>
          <w:sz w:val="24"/>
          <w:szCs w:val="24"/>
        </w:rPr>
        <w:t xml:space="preserve">ligeledes </w:t>
      </w:r>
      <w:r w:rsidR="002E1C53">
        <w:rPr>
          <w:rFonts w:ascii="Times New Roman" w:hAnsi="Times New Roman" w:cs="Times New Roman"/>
          <w:sz w:val="24"/>
          <w:szCs w:val="24"/>
        </w:rPr>
        <w:t xml:space="preserve">kunne </w:t>
      </w:r>
      <w:r w:rsidR="001418B7" w:rsidRPr="0039792A">
        <w:rPr>
          <w:rFonts w:ascii="Times New Roman" w:hAnsi="Times New Roman" w:cs="Times New Roman"/>
          <w:sz w:val="24"/>
          <w:szCs w:val="24"/>
        </w:rPr>
        <w:t>komme på t</w:t>
      </w:r>
      <w:r w:rsidR="001418B7" w:rsidRPr="0039792A">
        <w:rPr>
          <w:rFonts w:ascii="Times New Roman" w:hAnsi="Times New Roman" w:cs="Times New Roman"/>
          <w:sz w:val="24"/>
          <w:szCs w:val="24"/>
        </w:rPr>
        <w:t>a</w:t>
      </w:r>
      <w:r w:rsidR="001418B7" w:rsidRPr="0039792A">
        <w:rPr>
          <w:rFonts w:ascii="Times New Roman" w:hAnsi="Times New Roman" w:cs="Times New Roman"/>
          <w:sz w:val="24"/>
          <w:szCs w:val="24"/>
        </w:rPr>
        <w:t xml:space="preserve">le, såfremt </w:t>
      </w:r>
      <w:r w:rsidR="002E1C53">
        <w:rPr>
          <w:rFonts w:ascii="Times New Roman" w:hAnsi="Times New Roman" w:cs="Times New Roman"/>
          <w:sz w:val="24"/>
          <w:szCs w:val="24"/>
        </w:rPr>
        <w:t>den tiltalte</w:t>
      </w:r>
      <w:r w:rsidR="002E1C53" w:rsidRPr="0039792A">
        <w:rPr>
          <w:rFonts w:ascii="Times New Roman" w:hAnsi="Times New Roman" w:cs="Times New Roman"/>
          <w:sz w:val="24"/>
          <w:szCs w:val="24"/>
        </w:rPr>
        <w:t xml:space="preserve"> </w:t>
      </w:r>
      <w:r w:rsidR="001418B7" w:rsidRPr="0039792A">
        <w:rPr>
          <w:rFonts w:ascii="Times New Roman" w:hAnsi="Times New Roman" w:cs="Times New Roman"/>
          <w:sz w:val="24"/>
          <w:szCs w:val="24"/>
        </w:rPr>
        <w:t xml:space="preserve">tidligere er foranstaltet </w:t>
      </w:r>
      <w:r w:rsidR="002E1C53">
        <w:rPr>
          <w:rFonts w:ascii="Times New Roman" w:hAnsi="Times New Roman" w:cs="Times New Roman"/>
          <w:sz w:val="24"/>
          <w:szCs w:val="24"/>
        </w:rPr>
        <w:t xml:space="preserve">for </w:t>
      </w:r>
      <w:proofErr w:type="spellStart"/>
      <w:r w:rsidR="001418B7" w:rsidRPr="0039792A">
        <w:rPr>
          <w:rFonts w:ascii="Times New Roman" w:hAnsi="Times New Roman" w:cs="Times New Roman"/>
          <w:sz w:val="24"/>
          <w:szCs w:val="24"/>
        </w:rPr>
        <w:t>ligeartet</w:t>
      </w:r>
      <w:proofErr w:type="spellEnd"/>
      <w:r w:rsidR="001418B7" w:rsidRPr="0039792A">
        <w:rPr>
          <w:rFonts w:ascii="Times New Roman" w:hAnsi="Times New Roman" w:cs="Times New Roman"/>
          <w:sz w:val="24"/>
          <w:szCs w:val="24"/>
        </w:rPr>
        <w:t xml:space="preserve"> kriminalitet. </w:t>
      </w:r>
    </w:p>
    <w:p w14:paraId="1C309186" w14:textId="77777777" w:rsidR="001418B7" w:rsidRPr="0039792A" w:rsidRDefault="001418B7" w:rsidP="00875F54">
      <w:pPr>
        <w:rPr>
          <w:rFonts w:ascii="Times New Roman" w:hAnsi="Times New Roman" w:cs="Times New Roman"/>
          <w:sz w:val="24"/>
          <w:szCs w:val="24"/>
        </w:rPr>
      </w:pPr>
    </w:p>
    <w:p w14:paraId="0E4B8D96" w14:textId="2B363BE4" w:rsidR="001418B7" w:rsidRPr="0039792A" w:rsidRDefault="001418B7" w:rsidP="00875F54">
      <w:pPr>
        <w:rPr>
          <w:rFonts w:ascii="Times New Roman" w:hAnsi="Times New Roman" w:cs="Times New Roman"/>
          <w:sz w:val="24"/>
          <w:szCs w:val="24"/>
        </w:rPr>
      </w:pPr>
      <w:r w:rsidRPr="0039792A">
        <w:rPr>
          <w:rFonts w:ascii="Times New Roman" w:hAnsi="Times New Roman" w:cs="Times New Roman"/>
          <w:sz w:val="24"/>
          <w:szCs w:val="24"/>
        </w:rPr>
        <w:t xml:space="preserve">Herudover </w:t>
      </w:r>
      <w:r w:rsidR="00D639B3">
        <w:rPr>
          <w:rFonts w:ascii="Times New Roman" w:hAnsi="Times New Roman" w:cs="Times New Roman"/>
          <w:sz w:val="24"/>
          <w:szCs w:val="24"/>
        </w:rPr>
        <w:t xml:space="preserve">kan </w:t>
      </w:r>
      <w:r w:rsidRPr="0039792A">
        <w:rPr>
          <w:rFonts w:ascii="Times New Roman" w:hAnsi="Times New Roman" w:cs="Times New Roman"/>
          <w:sz w:val="24"/>
          <w:szCs w:val="24"/>
        </w:rPr>
        <w:t>der</w:t>
      </w:r>
      <w:r w:rsidR="00D639B3">
        <w:rPr>
          <w:rFonts w:ascii="Times New Roman" w:hAnsi="Times New Roman" w:cs="Times New Roman"/>
          <w:sz w:val="24"/>
          <w:szCs w:val="24"/>
        </w:rPr>
        <w:t xml:space="preserve"> lægges</w:t>
      </w:r>
      <w:r w:rsidRPr="0039792A">
        <w:rPr>
          <w:rFonts w:ascii="Times New Roman" w:hAnsi="Times New Roman" w:cs="Times New Roman"/>
          <w:sz w:val="24"/>
          <w:szCs w:val="24"/>
        </w:rPr>
        <w:t xml:space="preserve"> vægt på forholdets grovhed og karakter, herunder hvorvidt der er tale om organiseret og systematisk indsmugling, eventuelt begået med mellemrum og over længere tid, eller om der eksempelvis er anvendt særlige midler, herunder transpor</w:t>
      </w:r>
      <w:r w:rsidRPr="0039792A">
        <w:rPr>
          <w:rFonts w:ascii="Times New Roman" w:hAnsi="Times New Roman" w:cs="Times New Roman"/>
          <w:sz w:val="24"/>
          <w:szCs w:val="24"/>
        </w:rPr>
        <w:t>t</w:t>
      </w:r>
      <w:r w:rsidRPr="0039792A">
        <w:rPr>
          <w:rFonts w:ascii="Times New Roman" w:hAnsi="Times New Roman" w:cs="Times New Roman"/>
          <w:sz w:val="24"/>
          <w:szCs w:val="24"/>
        </w:rPr>
        <w:t>midler til indsmugling eller lignende.</w:t>
      </w:r>
    </w:p>
    <w:p w14:paraId="0383670C" w14:textId="77777777" w:rsidR="001418B7" w:rsidRPr="0039792A" w:rsidRDefault="001418B7" w:rsidP="00875F54">
      <w:pPr>
        <w:rPr>
          <w:rFonts w:ascii="Times New Roman" w:hAnsi="Times New Roman" w:cs="Times New Roman"/>
          <w:sz w:val="24"/>
          <w:szCs w:val="24"/>
        </w:rPr>
      </w:pPr>
    </w:p>
    <w:p w14:paraId="6314E9A2" w14:textId="77777777" w:rsidR="001418B7" w:rsidRPr="00B9160E" w:rsidRDefault="001418B7" w:rsidP="00B9160E">
      <w:pPr>
        <w:pStyle w:val="Listeafsnit"/>
        <w:numPr>
          <w:ilvl w:val="0"/>
          <w:numId w:val="5"/>
        </w:numPr>
        <w:rPr>
          <w:rFonts w:ascii="Times New Roman" w:hAnsi="Times New Roman" w:cs="Times New Roman"/>
          <w:sz w:val="24"/>
          <w:szCs w:val="24"/>
        </w:rPr>
      </w:pPr>
      <w:r w:rsidRPr="00B9160E">
        <w:rPr>
          <w:rFonts w:ascii="Times New Roman" w:hAnsi="Times New Roman" w:cs="Times New Roman"/>
          <w:sz w:val="24"/>
          <w:szCs w:val="24"/>
        </w:rPr>
        <w:t>op til 24 gram: 14 dages betinget i 1 år + bøde udmålt til 250 kr. pr. gram</w:t>
      </w:r>
    </w:p>
    <w:p w14:paraId="3453E77C" w14:textId="77777777" w:rsidR="001418B7" w:rsidRPr="00B9160E" w:rsidRDefault="001418B7" w:rsidP="00B9160E">
      <w:pPr>
        <w:pStyle w:val="Listeafsnit"/>
        <w:numPr>
          <w:ilvl w:val="0"/>
          <w:numId w:val="5"/>
        </w:numPr>
        <w:rPr>
          <w:rFonts w:ascii="Times New Roman" w:hAnsi="Times New Roman" w:cs="Times New Roman"/>
          <w:sz w:val="24"/>
          <w:szCs w:val="24"/>
        </w:rPr>
      </w:pPr>
      <w:r w:rsidRPr="00B9160E">
        <w:rPr>
          <w:rFonts w:ascii="Times New Roman" w:hAnsi="Times New Roman" w:cs="Times New Roman"/>
          <w:sz w:val="24"/>
          <w:szCs w:val="24"/>
        </w:rPr>
        <w:t>25-49 gram: 20 dages betinget i 1 år + bøde udmålt til 250 kr. pr. gram</w:t>
      </w:r>
    </w:p>
    <w:p w14:paraId="11E44EA6" w14:textId="77777777" w:rsidR="001418B7" w:rsidRPr="00B9160E" w:rsidRDefault="001418B7" w:rsidP="00B9160E">
      <w:pPr>
        <w:pStyle w:val="Listeafsnit"/>
        <w:numPr>
          <w:ilvl w:val="0"/>
          <w:numId w:val="5"/>
        </w:numPr>
        <w:rPr>
          <w:rFonts w:ascii="Times New Roman" w:hAnsi="Times New Roman" w:cs="Times New Roman"/>
          <w:sz w:val="24"/>
          <w:szCs w:val="24"/>
        </w:rPr>
      </w:pPr>
      <w:r w:rsidRPr="00B9160E">
        <w:rPr>
          <w:rFonts w:ascii="Times New Roman" w:hAnsi="Times New Roman" w:cs="Times New Roman"/>
          <w:sz w:val="24"/>
          <w:szCs w:val="24"/>
        </w:rPr>
        <w:t>50-74 gram: 30 dages betinget i 1 år + bøde udmålt til 250 kr. pr. gram</w:t>
      </w:r>
    </w:p>
    <w:p w14:paraId="7EA9FE88" w14:textId="77777777" w:rsidR="001418B7" w:rsidRPr="00B9160E" w:rsidRDefault="001418B7" w:rsidP="00B9160E">
      <w:pPr>
        <w:pStyle w:val="Listeafsnit"/>
        <w:numPr>
          <w:ilvl w:val="0"/>
          <w:numId w:val="5"/>
        </w:numPr>
        <w:rPr>
          <w:rFonts w:ascii="Times New Roman" w:hAnsi="Times New Roman" w:cs="Times New Roman"/>
          <w:sz w:val="24"/>
          <w:szCs w:val="24"/>
        </w:rPr>
      </w:pPr>
      <w:r w:rsidRPr="00B9160E">
        <w:rPr>
          <w:rFonts w:ascii="Times New Roman" w:hAnsi="Times New Roman" w:cs="Times New Roman"/>
          <w:sz w:val="24"/>
          <w:szCs w:val="24"/>
        </w:rPr>
        <w:t>75-99 gram: 40 dages betinget i 1 år + bøde udmålt til 250 kr. pr. gram</w:t>
      </w:r>
    </w:p>
    <w:p w14:paraId="5A96AB81" w14:textId="77777777" w:rsidR="001418B7" w:rsidRPr="00B9160E" w:rsidRDefault="001418B7" w:rsidP="00B9160E">
      <w:pPr>
        <w:pStyle w:val="Listeafsnit"/>
        <w:numPr>
          <w:ilvl w:val="0"/>
          <w:numId w:val="5"/>
        </w:numPr>
        <w:rPr>
          <w:rFonts w:ascii="Times New Roman" w:hAnsi="Times New Roman" w:cs="Times New Roman"/>
          <w:sz w:val="24"/>
          <w:szCs w:val="24"/>
        </w:rPr>
      </w:pPr>
      <w:r w:rsidRPr="00B9160E">
        <w:rPr>
          <w:rFonts w:ascii="Times New Roman" w:hAnsi="Times New Roman" w:cs="Times New Roman"/>
          <w:sz w:val="24"/>
          <w:szCs w:val="24"/>
        </w:rPr>
        <w:t>100-249 gram: 60 dages betinget i 2 år + bøde udmålt til 250 kr. pr. gram</w:t>
      </w:r>
    </w:p>
    <w:p w14:paraId="613E56B1" w14:textId="77777777" w:rsidR="001418B7" w:rsidRPr="00B9160E" w:rsidRDefault="001418B7" w:rsidP="00B9160E">
      <w:pPr>
        <w:pStyle w:val="Listeafsnit"/>
        <w:numPr>
          <w:ilvl w:val="0"/>
          <w:numId w:val="5"/>
        </w:numPr>
        <w:rPr>
          <w:rFonts w:ascii="Times New Roman" w:hAnsi="Times New Roman" w:cs="Times New Roman"/>
          <w:sz w:val="24"/>
          <w:szCs w:val="24"/>
        </w:rPr>
      </w:pPr>
      <w:r w:rsidRPr="00B9160E">
        <w:rPr>
          <w:rFonts w:ascii="Times New Roman" w:hAnsi="Times New Roman" w:cs="Times New Roman"/>
          <w:sz w:val="24"/>
          <w:szCs w:val="24"/>
        </w:rPr>
        <w:t>250-499 gram: 60 dage – 4 måneder betinget i 2 år + bøde udmålt til 250 kr. pr. gram</w:t>
      </w:r>
    </w:p>
    <w:p w14:paraId="2F90B48B" w14:textId="77777777" w:rsidR="001418B7" w:rsidRPr="00B9160E" w:rsidRDefault="001418B7" w:rsidP="00B9160E">
      <w:pPr>
        <w:pStyle w:val="Listeafsnit"/>
        <w:numPr>
          <w:ilvl w:val="0"/>
          <w:numId w:val="5"/>
        </w:numPr>
        <w:rPr>
          <w:rFonts w:ascii="Times New Roman" w:hAnsi="Times New Roman" w:cs="Times New Roman"/>
          <w:sz w:val="24"/>
          <w:szCs w:val="24"/>
        </w:rPr>
      </w:pPr>
      <w:r w:rsidRPr="00B9160E">
        <w:rPr>
          <w:rFonts w:ascii="Times New Roman" w:hAnsi="Times New Roman" w:cs="Times New Roman"/>
          <w:sz w:val="24"/>
          <w:szCs w:val="24"/>
        </w:rPr>
        <w:t>500-749 gram: 3 måneders anstaltsanbringelse</w:t>
      </w:r>
    </w:p>
    <w:p w14:paraId="5D6B1614" w14:textId="77777777" w:rsidR="001418B7" w:rsidRPr="00B9160E" w:rsidRDefault="001418B7" w:rsidP="00B9160E">
      <w:pPr>
        <w:pStyle w:val="Listeafsnit"/>
        <w:numPr>
          <w:ilvl w:val="0"/>
          <w:numId w:val="5"/>
        </w:numPr>
        <w:rPr>
          <w:rFonts w:ascii="Times New Roman" w:hAnsi="Times New Roman" w:cs="Times New Roman"/>
          <w:sz w:val="24"/>
          <w:szCs w:val="24"/>
        </w:rPr>
      </w:pPr>
      <w:r w:rsidRPr="00B9160E">
        <w:rPr>
          <w:rFonts w:ascii="Times New Roman" w:hAnsi="Times New Roman" w:cs="Times New Roman"/>
          <w:sz w:val="24"/>
          <w:szCs w:val="24"/>
        </w:rPr>
        <w:lastRenderedPageBreak/>
        <w:t>750-999 gram: 4 måneders anstaltsanbringelse</w:t>
      </w:r>
    </w:p>
    <w:p w14:paraId="703AF872" w14:textId="77777777" w:rsidR="001418B7" w:rsidRPr="0039792A" w:rsidRDefault="001418B7" w:rsidP="00875F54">
      <w:pPr>
        <w:rPr>
          <w:rFonts w:ascii="Times New Roman" w:hAnsi="Times New Roman" w:cs="Times New Roman"/>
          <w:sz w:val="24"/>
          <w:szCs w:val="24"/>
        </w:rPr>
      </w:pPr>
    </w:p>
    <w:p w14:paraId="215A1EEF" w14:textId="77777777" w:rsidR="001418B7" w:rsidRPr="0039792A" w:rsidRDefault="001418B7" w:rsidP="00875F54">
      <w:pPr>
        <w:rPr>
          <w:rFonts w:ascii="Times New Roman" w:hAnsi="Times New Roman" w:cs="Times New Roman"/>
          <w:sz w:val="24"/>
          <w:szCs w:val="24"/>
        </w:rPr>
      </w:pPr>
      <w:r w:rsidRPr="0039792A">
        <w:rPr>
          <w:rFonts w:ascii="Times New Roman" w:hAnsi="Times New Roman" w:cs="Times New Roman"/>
          <w:sz w:val="24"/>
          <w:szCs w:val="24"/>
        </w:rPr>
        <w:t>Er der tale om mængder på 1 kg eller derover, kan der foranstaltes efter følgende retning</w:t>
      </w:r>
      <w:r w:rsidRPr="0039792A">
        <w:rPr>
          <w:rFonts w:ascii="Times New Roman" w:hAnsi="Times New Roman" w:cs="Times New Roman"/>
          <w:sz w:val="24"/>
          <w:szCs w:val="24"/>
        </w:rPr>
        <w:t>s</w:t>
      </w:r>
      <w:r w:rsidRPr="0039792A">
        <w:rPr>
          <w:rFonts w:ascii="Times New Roman" w:hAnsi="Times New Roman" w:cs="Times New Roman"/>
          <w:sz w:val="24"/>
          <w:szCs w:val="24"/>
        </w:rPr>
        <w:t>linjer:</w:t>
      </w:r>
    </w:p>
    <w:p w14:paraId="1961717F" w14:textId="77777777" w:rsidR="001418B7" w:rsidRPr="00B9160E" w:rsidRDefault="001418B7" w:rsidP="00B9160E">
      <w:pPr>
        <w:pStyle w:val="Listeafsnit"/>
        <w:numPr>
          <w:ilvl w:val="0"/>
          <w:numId w:val="6"/>
        </w:numPr>
        <w:rPr>
          <w:rFonts w:ascii="Times New Roman" w:hAnsi="Times New Roman" w:cs="Times New Roman"/>
          <w:sz w:val="24"/>
          <w:szCs w:val="24"/>
        </w:rPr>
      </w:pPr>
      <w:r w:rsidRPr="00B9160E">
        <w:rPr>
          <w:rFonts w:ascii="Times New Roman" w:hAnsi="Times New Roman" w:cs="Times New Roman"/>
          <w:sz w:val="24"/>
          <w:szCs w:val="24"/>
        </w:rPr>
        <w:t>1-1,499 kg: 5 måneders anstaltsanbringelse</w:t>
      </w:r>
    </w:p>
    <w:p w14:paraId="4A4BD13B" w14:textId="77777777" w:rsidR="001418B7" w:rsidRPr="00B9160E" w:rsidRDefault="001418B7" w:rsidP="00B9160E">
      <w:pPr>
        <w:pStyle w:val="Listeafsnit"/>
        <w:numPr>
          <w:ilvl w:val="0"/>
          <w:numId w:val="6"/>
        </w:numPr>
        <w:rPr>
          <w:rFonts w:ascii="Times New Roman" w:hAnsi="Times New Roman" w:cs="Times New Roman"/>
          <w:sz w:val="24"/>
          <w:szCs w:val="24"/>
        </w:rPr>
      </w:pPr>
      <w:r w:rsidRPr="00B9160E">
        <w:rPr>
          <w:rFonts w:ascii="Times New Roman" w:hAnsi="Times New Roman" w:cs="Times New Roman"/>
          <w:sz w:val="24"/>
          <w:szCs w:val="24"/>
        </w:rPr>
        <w:t>1,5-1,999 kg: 5-8 måneders anstaltsanbringelse</w:t>
      </w:r>
    </w:p>
    <w:p w14:paraId="59A691D5" w14:textId="77777777" w:rsidR="001418B7" w:rsidRPr="00B9160E" w:rsidRDefault="001418B7" w:rsidP="00B9160E">
      <w:pPr>
        <w:pStyle w:val="Listeafsnit"/>
        <w:numPr>
          <w:ilvl w:val="0"/>
          <w:numId w:val="6"/>
        </w:numPr>
        <w:rPr>
          <w:rFonts w:ascii="Times New Roman" w:hAnsi="Times New Roman" w:cs="Times New Roman"/>
          <w:sz w:val="24"/>
          <w:szCs w:val="24"/>
        </w:rPr>
      </w:pPr>
      <w:r w:rsidRPr="00B9160E">
        <w:rPr>
          <w:rFonts w:ascii="Times New Roman" w:hAnsi="Times New Roman" w:cs="Times New Roman"/>
          <w:sz w:val="24"/>
          <w:szCs w:val="24"/>
        </w:rPr>
        <w:t>2-2,999 kg: 8-12 måneders anstaltsanbringelse</w:t>
      </w:r>
    </w:p>
    <w:p w14:paraId="66358A91" w14:textId="77777777" w:rsidR="001418B7" w:rsidRPr="00B9160E" w:rsidRDefault="001418B7" w:rsidP="00B9160E">
      <w:pPr>
        <w:pStyle w:val="Listeafsnit"/>
        <w:numPr>
          <w:ilvl w:val="0"/>
          <w:numId w:val="6"/>
        </w:numPr>
        <w:rPr>
          <w:rFonts w:ascii="Times New Roman" w:hAnsi="Times New Roman" w:cs="Times New Roman"/>
          <w:sz w:val="24"/>
          <w:szCs w:val="24"/>
        </w:rPr>
      </w:pPr>
      <w:r w:rsidRPr="00B9160E">
        <w:rPr>
          <w:rFonts w:ascii="Times New Roman" w:hAnsi="Times New Roman" w:cs="Times New Roman"/>
          <w:sz w:val="24"/>
          <w:szCs w:val="24"/>
        </w:rPr>
        <w:t>3-4,999 kg: 12-18 måneders anstaltsanbringelse</w:t>
      </w:r>
    </w:p>
    <w:p w14:paraId="2F11D5FC" w14:textId="77777777" w:rsidR="001418B7" w:rsidRPr="00B9160E" w:rsidRDefault="001418B7" w:rsidP="00B9160E">
      <w:pPr>
        <w:pStyle w:val="Listeafsnit"/>
        <w:numPr>
          <w:ilvl w:val="0"/>
          <w:numId w:val="6"/>
        </w:numPr>
        <w:rPr>
          <w:rFonts w:ascii="Times New Roman" w:hAnsi="Times New Roman" w:cs="Times New Roman"/>
          <w:sz w:val="24"/>
          <w:szCs w:val="24"/>
        </w:rPr>
      </w:pPr>
      <w:r w:rsidRPr="00B9160E">
        <w:rPr>
          <w:rFonts w:ascii="Times New Roman" w:hAnsi="Times New Roman" w:cs="Times New Roman"/>
          <w:sz w:val="24"/>
          <w:szCs w:val="24"/>
        </w:rPr>
        <w:t>5-7,999 kg: 1,5-2 års anstaltsanbringelse</w:t>
      </w:r>
    </w:p>
    <w:p w14:paraId="5A4B014F" w14:textId="77777777" w:rsidR="001418B7" w:rsidRPr="00B9160E" w:rsidRDefault="001418B7" w:rsidP="00B9160E">
      <w:pPr>
        <w:pStyle w:val="Listeafsnit"/>
        <w:numPr>
          <w:ilvl w:val="0"/>
          <w:numId w:val="6"/>
        </w:numPr>
        <w:rPr>
          <w:rFonts w:ascii="Times New Roman" w:hAnsi="Times New Roman" w:cs="Times New Roman"/>
          <w:sz w:val="24"/>
          <w:szCs w:val="24"/>
        </w:rPr>
      </w:pPr>
      <w:r w:rsidRPr="00B9160E">
        <w:rPr>
          <w:rFonts w:ascii="Times New Roman" w:hAnsi="Times New Roman" w:cs="Times New Roman"/>
          <w:sz w:val="24"/>
          <w:szCs w:val="24"/>
        </w:rPr>
        <w:t>8-9,999 kg: 2-2,5 års anstaltsanbringelse</w:t>
      </w:r>
    </w:p>
    <w:p w14:paraId="0A7E0899" w14:textId="77777777" w:rsidR="001418B7" w:rsidRPr="00B9160E" w:rsidRDefault="001418B7" w:rsidP="00B9160E">
      <w:pPr>
        <w:pStyle w:val="Listeafsnit"/>
        <w:numPr>
          <w:ilvl w:val="0"/>
          <w:numId w:val="6"/>
        </w:numPr>
        <w:rPr>
          <w:rFonts w:ascii="Times New Roman" w:hAnsi="Times New Roman" w:cs="Times New Roman"/>
          <w:sz w:val="24"/>
          <w:szCs w:val="24"/>
        </w:rPr>
      </w:pPr>
      <w:r w:rsidRPr="00B9160E">
        <w:rPr>
          <w:rFonts w:ascii="Times New Roman" w:hAnsi="Times New Roman" w:cs="Times New Roman"/>
          <w:sz w:val="24"/>
          <w:szCs w:val="24"/>
        </w:rPr>
        <w:t>10-19,999 kg: 2,5-3,5 års anstaltsanbringelse</w:t>
      </w:r>
    </w:p>
    <w:p w14:paraId="201C8158" w14:textId="77777777" w:rsidR="001418B7" w:rsidRPr="00B9160E" w:rsidRDefault="001418B7" w:rsidP="00B9160E">
      <w:pPr>
        <w:pStyle w:val="Listeafsnit"/>
        <w:numPr>
          <w:ilvl w:val="0"/>
          <w:numId w:val="6"/>
        </w:numPr>
        <w:rPr>
          <w:rFonts w:ascii="Times New Roman" w:hAnsi="Times New Roman" w:cs="Times New Roman"/>
          <w:sz w:val="24"/>
          <w:szCs w:val="24"/>
        </w:rPr>
      </w:pPr>
      <w:r w:rsidRPr="00B9160E">
        <w:rPr>
          <w:rFonts w:ascii="Times New Roman" w:hAnsi="Times New Roman" w:cs="Times New Roman"/>
          <w:sz w:val="24"/>
          <w:szCs w:val="24"/>
        </w:rPr>
        <w:t>20-49,999 kg: 3,5-4,5 års anstaltsanbringelse</w:t>
      </w:r>
    </w:p>
    <w:p w14:paraId="009AC372" w14:textId="77777777" w:rsidR="001418B7" w:rsidRPr="00B9160E" w:rsidRDefault="001418B7" w:rsidP="00B9160E">
      <w:pPr>
        <w:pStyle w:val="Listeafsnit"/>
        <w:numPr>
          <w:ilvl w:val="0"/>
          <w:numId w:val="6"/>
        </w:numPr>
        <w:rPr>
          <w:rFonts w:ascii="Times New Roman" w:hAnsi="Times New Roman" w:cs="Times New Roman"/>
          <w:sz w:val="24"/>
          <w:szCs w:val="24"/>
        </w:rPr>
      </w:pPr>
      <w:r w:rsidRPr="00B9160E">
        <w:rPr>
          <w:rFonts w:ascii="Times New Roman" w:hAnsi="Times New Roman" w:cs="Times New Roman"/>
          <w:sz w:val="24"/>
          <w:szCs w:val="24"/>
        </w:rPr>
        <w:t>50 kg og derover: 4,5 års anstaltsanbringelse og derover</w:t>
      </w:r>
    </w:p>
    <w:p w14:paraId="4C48A1EA" w14:textId="77777777" w:rsidR="001418B7" w:rsidRPr="0039792A" w:rsidRDefault="001418B7" w:rsidP="00875F54">
      <w:pPr>
        <w:rPr>
          <w:rFonts w:ascii="Times New Roman" w:hAnsi="Times New Roman" w:cs="Times New Roman"/>
          <w:sz w:val="24"/>
          <w:szCs w:val="24"/>
        </w:rPr>
      </w:pPr>
    </w:p>
    <w:p w14:paraId="19785C03" w14:textId="77777777" w:rsidR="001418B7" w:rsidRPr="0039792A" w:rsidRDefault="001418B7" w:rsidP="00875F54">
      <w:pPr>
        <w:rPr>
          <w:rFonts w:ascii="Times New Roman" w:hAnsi="Times New Roman" w:cs="Times New Roman"/>
          <w:sz w:val="24"/>
          <w:szCs w:val="24"/>
        </w:rPr>
      </w:pPr>
    </w:p>
    <w:p w14:paraId="242A1B83" w14:textId="224809CC" w:rsidR="00247487" w:rsidRDefault="00A92A08" w:rsidP="00A92A08">
      <w:pPr>
        <w:pStyle w:val="Overskrift2"/>
        <w:spacing w:before="0"/>
        <w:ind w:left="0" w:firstLine="284"/>
        <w:rPr>
          <w:rFonts w:ascii="Times New Roman" w:hAnsi="Times New Roman" w:cs="Times New Roman"/>
          <w:sz w:val="24"/>
          <w:szCs w:val="24"/>
        </w:rPr>
      </w:pPr>
      <w:r>
        <w:rPr>
          <w:rFonts w:ascii="Times New Roman" w:hAnsi="Times New Roman" w:cs="Times New Roman"/>
          <w:sz w:val="24"/>
          <w:szCs w:val="24"/>
        </w:rPr>
        <w:t>4.</w:t>
      </w:r>
      <w:r w:rsidR="005E2409">
        <w:rPr>
          <w:rFonts w:ascii="Times New Roman" w:hAnsi="Times New Roman" w:cs="Times New Roman"/>
          <w:sz w:val="24"/>
          <w:szCs w:val="24"/>
        </w:rPr>
        <w:t>4.</w:t>
      </w:r>
      <w:r>
        <w:rPr>
          <w:rFonts w:ascii="Times New Roman" w:hAnsi="Times New Roman" w:cs="Times New Roman"/>
          <w:sz w:val="24"/>
          <w:szCs w:val="24"/>
        </w:rPr>
        <w:t xml:space="preserve"> Gentagelse i betingelsesperioden</w:t>
      </w:r>
    </w:p>
    <w:p w14:paraId="30653AFA" w14:textId="30B57E42" w:rsidR="00EB230E" w:rsidRPr="00C11211" w:rsidRDefault="00A92A08" w:rsidP="00757CB2">
      <w:pPr>
        <w:rPr>
          <w:rFonts w:ascii="Times New Roman" w:hAnsi="Times New Roman" w:cs="Times New Roman"/>
          <w:sz w:val="24"/>
          <w:szCs w:val="24"/>
        </w:rPr>
      </w:pPr>
      <w:r w:rsidRPr="00C11211">
        <w:rPr>
          <w:rFonts w:ascii="Times New Roman" w:hAnsi="Times New Roman" w:cs="Times New Roman"/>
          <w:sz w:val="24"/>
          <w:szCs w:val="24"/>
        </w:rPr>
        <w:t>Den hidtidige praksis</w:t>
      </w:r>
      <w:r w:rsidR="0061762F" w:rsidRPr="00C11211">
        <w:rPr>
          <w:rFonts w:ascii="Times New Roman" w:hAnsi="Times New Roman" w:cs="Times New Roman"/>
          <w:sz w:val="24"/>
          <w:szCs w:val="24"/>
        </w:rPr>
        <w:t xml:space="preserve"> i forbindelse med gentag</w:t>
      </w:r>
      <w:r w:rsidR="00CB0F72">
        <w:rPr>
          <w:rFonts w:ascii="Times New Roman" w:hAnsi="Times New Roman" w:cs="Times New Roman"/>
          <w:sz w:val="24"/>
          <w:szCs w:val="24"/>
        </w:rPr>
        <w:t>ne</w:t>
      </w:r>
      <w:r w:rsidR="0061762F" w:rsidRPr="00C11211">
        <w:rPr>
          <w:rFonts w:ascii="Times New Roman" w:hAnsi="Times New Roman" w:cs="Times New Roman"/>
          <w:sz w:val="24"/>
          <w:szCs w:val="24"/>
        </w:rPr>
        <w:t xml:space="preserve"> overtrædelser i betingelsesperioden o</w:t>
      </w:r>
      <w:r w:rsidR="0061762F" w:rsidRPr="00C11211">
        <w:rPr>
          <w:rFonts w:ascii="Times New Roman" w:hAnsi="Times New Roman" w:cs="Times New Roman"/>
          <w:sz w:val="24"/>
          <w:szCs w:val="24"/>
        </w:rPr>
        <w:t>p</w:t>
      </w:r>
      <w:r w:rsidR="0061762F" w:rsidRPr="00C11211">
        <w:rPr>
          <w:rFonts w:ascii="Times New Roman" w:hAnsi="Times New Roman" w:cs="Times New Roman"/>
          <w:sz w:val="24"/>
          <w:szCs w:val="24"/>
        </w:rPr>
        <w:t>retholdes</w:t>
      </w:r>
      <w:r w:rsidR="00EB230E" w:rsidRPr="00C11211">
        <w:rPr>
          <w:rFonts w:ascii="Times New Roman" w:hAnsi="Times New Roman" w:cs="Times New Roman"/>
          <w:sz w:val="24"/>
          <w:szCs w:val="24"/>
        </w:rPr>
        <w:t>, således at sanktionen for både den oprindelige overtrædelse samt gentagelsen skal afsones.</w:t>
      </w:r>
    </w:p>
    <w:sectPr w:rsidR="00EB230E" w:rsidRPr="00C11211" w:rsidSect="007A26BB">
      <w:footerReference w:type="default" r:id="rId10"/>
      <w:headerReference w:type="first" r:id="rId11"/>
      <w:footerReference w:type="first" r:id="rId12"/>
      <w:pgSz w:w="11906" w:h="16838"/>
      <w:pgMar w:top="1701" w:right="1416" w:bottom="1701" w:left="1418" w:header="708" w:footer="708"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AB79B8" w15:done="0"/>
  <w15:commentEx w15:paraId="33282721" w15:paraIdParent="2DAB79B8" w15:done="0"/>
  <w15:commentEx w15:paraId="11B75454" w15:paraIdParent="2DAB79B8" w15:done="0"/>
  <w15:commentEx w15:paraId="3461EB63" w15:done="0"/>
  <w15:commentEx w15:paraId="0877382E" w15:done="0"/>
  <w15:commentEx w15:paraId="04268A65" w15:done="0"/>
  <w15:commentEx w15:paraId="4DA57F1B" w15:done="0"/>
  <w15:commentEx w15:paraId="768813A1" w15:done="0"/>
  <w15:commentEx w15:paraId="5187035A" w15:done="0"/>
  <w15:commentEx w15:paraId="42202852" w15:done="0"/>
  <w15:commentEx w15:paraId="06EA7445" w15:done="0"/>
  <w15:commentEx w15:paraId="2D9E75E6" w15:paraIdParent="06EA74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8B1B2" w16cex:dateUtc="2022-02-08T15:55:00Z"/>
  <w16cex:commentExtensible w16cex:durableId="25C0BE6C" w16cex:dateUtc="2022-02-23T17:08:00Z"/>
  <w16cex:commentExtensible w16cex:durableId="25ED667E" w16cex:dateUtc="2022-03-29T13:05:00Z"/>
  <w16cex:commentExtensible w16cex:durableId="25EC281C" w16cex:dateUtc="2022-03-28T14:27:00Z"/>
  <w16cex:commentExtensible w16cex:durableId="25EC33C0" w16cex:dateUtc="2022-03-28T15:16:00Z"/>
  <w16cex:commentExtensible w16cex:durableId="25EC33DA" w16cex:dateUtc="2022-03-28T15:17:00Z"/>
  <w16cex:commentExtensible w16cex:durableId="25BF6FE4" w16cex:dateUtc="2022-02-22T17:21:00Z"/>
  <w16cex:commentExtensible w16cex:durableId="25ED625C" w16cex:dateUtc="2022-03-29T12:47:00Z"/>
  <w16cex:commentExtensible w16cex:durableId="260116AD" w16cex:dateUtc="2022-04-13T11:30:00Z"/>
  <w16cex:commentExtensible w16cex:durableId="25BF623A" w16cex:dateUtc="2022-02-22T16:23:00Z"/>
  <w16cex:commentExtensible w16cex:durableId="25B8B1BD" w16cex:dateUtc="2022-02-16T14:38:00Z"/>
  <w16cex:commentExtensible w16cex:durableId="25B8B268" w16cex:dateUtc="2022-02-17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AB79B8" w16cid:durableId="25B8B1B2"/>
  <w16cid:commentId w16cid:paraId="33282721" w16cid:durableId="25C0BE6C"/>
  <w16cid:commentId w16cid:paraId="11B75454" w16cid:durableId="25ED667E"/>
  <w16cid:commentId w16cid:paraId="3461EB63" w16cid:durableId="25EC281C"/>
  <w16cid:commentId w16cid:paraId="0877382E" w16cid:durableId="25EC33C0"/>
  <w16cid:commentId w16cid:paraId="04268A65" w16cid:durableId="25EC33DA"/>
  <w16cid:commentId w16cid:paraId="4DA57F1B" w16cid:durableId="25BF6FE4"/>
  <w16cid:commentId w16cid:paraId="768813A1" w16cid:durableId="25ED625C"/>
  <w16cid:commentId w16cid:paraId="5187035A" w16cid:durableId="260116AD"/>
  <w16cid:commentId w16cid:paraId="42202852" w16cid:durableId="25BF623A"/>
  <w16cid:commentId w16cid:paraId="06EA7445" w16cid:durableId="25B8B1BD"/>
  <w16cid:commentId w16cid:paraId="2D9E75E6" w16cid:durableId="25B8B26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24958" w14:textId="77777777" w:rsidR="0054103A" w:rsidRDefault="0054103A" w:rsidP="001B36E0">
      <w:pPr>
        <w:spacing w:line="240" w:lineRule="auto"/>
      </w:pPr>
      <w:r>
        <w:separator/>
      </w:r>
    </w:p>
  </w:endnote>
  <w:endnote w:type="continuationSeparator" w:id="0">
    <w:p w14:paraId="26E13B28" w14:textId="77777777" w:rsidR="0054103A" w:rsidRDefault="0054103A" w:rsidP="001B36E0">
      <w:pPr>
        <w:spacing w:line="240" w:lineRule="auto"/>
      </w:pPr>
      <w:r>
        <w:continuationSeparator/>
      </w:r>
    </w:p>
  </w:endnote>
  <w:endnote w:type="continuationNotice" w:id="1">
    <w:p w14:paraId="0D39A96D" w14:textId="77777777" w:rsidR="0054103A" w:rsidRDefault="0054103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997098"/>
      <w:docPartObj>
        <w:docPartGallery w:val="Page Numbers (Bottom of Page)"/>
        <w:docPartUnique/>
      </w:docPartObj>
    </w:sdtPr>
    <w:sdtEndPr>
      <w:rPr>
        <w:rFonts w:ascii="Times New Roman" w:hAnsi="Times New Roman" w:cs="Times New Roman"/>
        <w:sz w:val="24"/>
      </w:rPr>
    </w:sdtEndPr>
    <w:sdtContent>
      <w:p w14:paraId="3DF0CC0F" w14:textId="53B211C8" w:rsidR="0015378F" w:rsidRDefault="0015378F" w:rsidP="008A28CD">
        <w:pPr>
          <w:pStyle w:val="Sidefod"/>
          <w:jc w:val="center"/>
        </w:pPr>
        <w:r w:rsidRPr="008A28CD">
          <w:rPr>
            <w:rFonts w:ascii="Times New Roman" w:hAnsi="Times New Roman" w:cs="Times New Roman"/>
            <w:sz w:val="24"/>
          </w:rPr>
          <w:fldChar w:fldCharType="begin"/>
        </w:r>
        <w:r w:rsidRPr="008A28CD">
          <w:rPr>
            <w:rFonts w:ascii="Times New Roman" w:hAnsi="Times New Roman" w:cs="Times New Roman"/>
            <w:sz w:val="24"/>
          </w:rPr>
          <w:instrText>PAGE   \* MERGEFORMAT</w:instrText>
        </w:r>
        <w:r w:rsidRPr="008A28CD">
          <w:rPr>
            <w:rFonts w:ascii="Times New Roman" w:hAnsi="Times New Roman" w:cs="Times New Roman"/>
            <w:sz w:val="24"/>
          </w:rPr>
          <w:fldChar w:fldCharType="separate"/>
        </w:r>
        <w:r w:rsidR="002A4928">
          <w:rPr>
            <w:rFonts w:ascii="Times New Roman" w:hAnsi="Times New Roman" w:cs="Times New Roman"/>
            <w:noProof/>
            <w:sz w:val="24"/>
          </w:rPr>
          <w:t>17</w:t>
        </w:r>
        <w:r w:rsidRPr="008A28CD">
          <w:rPr>
            <w:rFonts w:ascii="Times New Roman" w:hAnsi="Times New Roman" w:cs="Times New Roman"/>
            <w:sz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E0859" w14:textId="4DEF9F23" w:rsidR="0015378F" w:rsidRDefault="0015378F" w:rsidP="00B82A1D">
    <w:pPr>
      <w:pStyle w:val="Sidefod"/>
      <w:jc w:val="both"/>
      <w:rPr>
        <w:rFonts w:ascii="Times New Roman" w:hAnsi="Times New Roman" w:cs="Times New Roman"/>
        <w:sz w:val="24"/>
        <w:szCs w:val="24"/>
      </w:rPr>
    </w:pPr>
    <w:r>
      <w:rPr>
        <w:rFonts w:ascii="Times New Roman" w:hAnsi="Times New Roman" w:cs="Times New Roman"/>
        <w:sz w:val="24"/>
        <w:szCs w:val="24"/>
      </w:rPr>
      <w:t>__________________</w:t>
    </w:r>
  </w:p>
  <w:p w14:paraId="4170E400" w14:textId="4EF2940C" w:rsidR="0015378F" w:rsidRDefault="0015378F" w:rsidP="00B82A1D">
    <w:pPr>
      <w:pStyle w:val="Sidefod"/>
      <w:jc w:val="both"/>
      <w:rPr>
        <w:rFonts w:ascii="Times New Roman" w:hAnsi="Times New Roman" w:cs="Times New Roman"/>
        <w:sz w:val="24"/>
        <w:szCs w:val="24"/>
      </w:rPr>
    </w:pPr>
    <w:r>
      <w:rPr>
        <w:rFonts w:ascii="Times New Roman" w:hAnsi="Times New Roman" w:cs="Times New Roman"/>
        <w:sz w:val="24"/>
        <w:szCs w:val="24"/>
      </w:rPr>
      <w:t>E</w:t>
    </w:r>
    <w:r w:rsidRPr="00881BFE">
      <w:rPr>
        <w:rFonts w:ascii="Times New Roman" w:hAnsi="Times New Roman" w:cs="Times New Roman"/>
        <w:sz w:val="24"/>
        <w:szCs w:val="24"/>
      </w:rPr>
      <w:t>M20</w:t>
    </w:r>
    <w:r>
      <w:rPr>
        <w:rFonts w:ascii="Times New Roman" w:hAnsi="Times New Roman" w:cs="Times New Roman"/>
        <w:sz w:val="24"/>
        <w:szCs w:val="24"/>
      </w:rPr>
      <w:t>22</w:t>
    </w:r>
    <w:r w:rsidRPr="00881BFE">
      <w:rPr>
        <w:rFonts w:ascii="Times New Roman" w:hAnsi="Times New Roman" w:cs="Times New Roman"/>
        <w:sz w:val="24"/>
        <w:szCs w:val="24"/>
      </w:rPr>
      <w:t>/</w:t>
    </w:r>
    <w:r>
      <w:rPr>
        <w:rFonts w:ascii="Times New Roman" w:hAnsi="Times New Roman" w:cs="Times New Roman"/>
        <w:sz w:val="24"/>
        <w:szCs w:val="24"/>
      </w:rPr>
      <w:t>xx</w:t>
    </w:r>
    <w:r w:rsidRPr="00881BFE">
      <w:rPr>
        <w:rFonts w:ascii="Times New Roman" w:hAnsi="Times New Roman" w:cs="Times New Roman"/>
        <w:sz w:val="24"/>
        <w:szCs w:val="24"/>
      </w:rPr>
      <w:t xml:space="preserve"> </w:t>
    </w:r>
  </w:p>
  <w:p w14:paraId="2AAC71F7" w14:textId="786E2353" w:rsidR="0015378F" w:rsidRDefault="0015378F" w:rsidP="00B82A1D">
    <w:pPr>
      <w:pStyle w:val="Sidefod"/>
    </w:pPr>
    <w:r>
      <w:rPr>
        <w:rFonts w:ascii="Times New Roman" w:hAnsi="Times New Roman" w:cs="Times New Roman"/>
        <w:sz w:val="24"/>
        <w:szCs w:val="24"/>
      </w:rPr>
      <w:t>PN</w:t>
    </w:r>
    <w:r w:rsidRPr="00881BFE">
      <w:rPr>
        <w:rFonts w:ascii="Times New Roman" w:hAnsi="Times New Roman" w:cs="Times New Roman"/>
        <w:sz w:val="24"/>
        <w:szCs w:val="24"/>
      </w:rPr>
      <w:t xml:space="preserve"> sagsnr. 201</w:t>
    </w:r>
    <w:r>
      <w:rPr>
        <w:rFonts w:ascii="Times New Roman" w:hAnsi="Times New Roman" w:cs="Times New Roman"/>
        <w:sz w:val="24"/>
        <w:szCs w:val="24"/>
      </w:rPr>
      <w:t>9</w:t>
    </w:r>
    <w:r w:rsidRPr="00881BFE">
      <w:rPr>
        <w:rFonts w:ascii="Times New Roman" w:hAnsi="Times New Roman" w:cs="Times New Roman"/>
        <w:sz w:val="24"/>
        <w:szCs w:val="24"/>
      </w:rPr>
      <w:t>-</w:t>
    </w:r>
    <w:r>
      <w:rPr>
        <w:rFonts w:ascii="Times New Roman" w:hAnsi="Times New Roman" w:cs="Times New Roman"/>
        <w:sz w:val="24"/>
        <w:szCs w:val="24"/>
      </w:rPr>
      <w:t>23741</w:t>
    </w:r>
    <w:r>
      <w:rPr>
        <w:rFonts w:ascii="Times New Roman" w:hAnsi="Times New Roman" w:cs="Times New Roman"/>
        <w:sz w:val="24"/>
        <w:szCs w:val="24"/>
      </w:rPr>
      <w:tab/>
    </w:r>
    <w:r w:rsidRPr="00B82A1D">
      <w:rPr>
        <w:rFonts w:ascii="Times New Roman" w:hAnsi="Times New Roman" w:cs="Times New Roman"/>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FF1F2" w14:textId="77777777" w:rsidR="0054103A" w:rsidRDefault="0054103A" w:rsidP="001B36E0">
      <w:pPr>
        <w:spacing w:line="240" w:lineRule="auto"/>
      </w:pPr>
      <w:r>
        <w:separator/>
      </w:r>
    </w:p>
  </w:footnote>
  <w:footnote w:type="continuationSeparator" w:id="0">
    <w:p w14:paraId="2A5D44A5" w14:textId="77777777" w:rsidR="0054103A" w:rsidRDefault="0054103A" w:rsidP="001B36E0">
      <w:pPr>
        <w:spacing w:line="240" w:lineRule="auto"/>
      </w:pPr>
      <w:r>
        <w:continuationSeparator/>
      </w:r>
    </w:p>
  </w:footnote>
  <w:footnote w:type="continuationNotice" w:id="1">
    <w:p w14:paraId="63CA0F94" w14:textId="77777777" w:rsidR="0054103A" w:rsidRDefault="0054103A">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830D3" w14:textId="0D81E2F3" w:rsidR="0015378F" w:rsidRPr="008A28CD" w:rsidRDefault="00143AC3" w:rsidP="0069356D">
    <w:pPr>
      <w:pStyle w:val="Sidehoved"/>
      <w:ind w:left="0"/>
      <w:rPr>
        <w:rFonts w:ascii="Times New Roman" w:hAnsi="Times New Roman" w:cs="Times New Roman"/>
        <w:sz w:val="24"/>
      </w:rPr>
    </w:pPr>
    <w:r>
      <w:rPr>
        <w:rFonts w:ascii="Times New Roman" w:hAnsi="Times New Roman" w:cs="Times New Roman"/>
        <w:sz w:val="24"/>
      </w:rPr>
      <w:t>13</w:t>
    </w:r>
    <w:r w:rsidR="0015378F">
      <w:rPr>
        <w:rFonts w:ascii="Times New Roman" w:hAnsi="Times New Roman" w:cs="Times New Roman"/>
        <w:sz w:val="24"/>
      </w:rPr>
      <w:t xml:space="preserve">. </w:t>
    </w:r>
    <w:r w:rsidR="00A03D1A">
      <w:rPr>
        <w:rFonts w:ascii="Times New Roman" w:hAnsi="Times New Roman" w:cs="Times New Roman"/>
        <w:sz w:val="24"/>
      </w:rPr>
      <w:t xml:space="preserve">april </w:t>
    </w:r>
    <w:r w:rsidR="0015378F">
      <w:rPr>
        <w:rFonts w:ascii="Times New Roman" w:hAnsi="Times New Roman" w:cs="Times New Roman"/>
        <w:sz w:val="24"/>
      </w:rPr>
      <w:t>2022</w:t>
    </w:r>
    <w:r w:rsidR="0015378F" w:rsidRPr="008A28CD">
      <w:rPr>
        <w:rFonts w:ascii="Times New Roman" w:hAnsi="Times New Roman" w:cs="Times New Roman"/>
        <w:sz w:val="24"/>
      </w:rPr>
      <w:tab/>
    </w:r>
    <w:r w:rsidR="0015378F" w:rsidRPr="008A28CD">
      <w:rPr>
        <w:rFonts w:ascii="Times New Roman" w:hAnsi="Times New Roman" w:cs="Times New Roman"/>
        <w:sz w:val="24"/>
      </w:rPr>
      <w:tab/>
    </w:r>
    <w:r w:rsidR="0015378F">
      <w:rPr>
        <w:rFonts w:ascii="Times New Roman" w:hAnsi="Times New Roman" w:cs="Times New Roman"/>
        <w:sz w:val="24"/>
      </w:rPr>
      <w:t>E</w:t>
    </w:r>
    <w:r w:rsidR="0015378F" w:rsidRPr="008A28CD">
      <w:rPr>
        <w:rFonts w:ascii="Times New Roman" w:hAnsi="Times New Roman" w:cs="Times New Roman"/>
        <w:sz w:val="24"/>
      </w:rPr>
      <w:t>M 202</w:t>
    </w:r>
    <w:r w:rsidR="0015378F">
      <w:rPr>
        <w:rFonts w:ascii="Times New Roman" w:hAnsi="Times New Roman" w:cs="Times New Roman"/>
        <w:sz w:val="24"/>
      </w:rPr>
      <w:t>2</w:t>
    </w:r>
    <w:r w:rsidR="0015378F" w:rsidRPr="008A28CD">
      <w:rPr>
        <w:rFonts w:ascii="Times New Roman" w:hAnsi="Times New Roman" w:cs="Times New Roman"/>
        <w:sz w:val="24"/>
      </w:rPr>
      <w:t>/</w:t>
    </w:r>
    <w:r w:rsidR="0015378F">
      <w:rPr>
        <w:rFonts w:ascii="Times New Roman" w:hAnsi="Times New Roman" w:cs="Times New Roman"/>
        <w:sz w:val="24"/>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730B3"/>
    <w:multiLevelType w:val="hybridMultilevel"/>
    <w:tmpl w:val="12406B48"/>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1">
    <w:nsid w:val="442B5743"/>
    <w:multiLevelType w:val="hybridMultilevel"/>
    <w:tmpl w:val="6D0CFC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518645AE"/>
    <w:multiLevelType w:val="hybridMultilevel"/>
    <w:tmpl w:val="ACD28F7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
    <w:nsid w:val="5B36727F"/>
    <w:multiLevelType w:val="hybridMultilevel"/>
    <w:tmpl w:val="6512BF4E"/>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4">
    <w:nsid w:val="5EF46F6A"/>
    <w:multiLevelType w:val="hybridMultilevel"/>
    <w:tmpl w:val="FA9CE586"/>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 Paninnguaq Lundblad">
    <w15:presenceInfo w15:providerId="AD" w15:userId="S-1-5-21-704993628-2552359410-1315452390-25219"/>
  </w15:person>
  <w15:person w15:author="Zaynab Naji">
    <w15:presenceInfo w15:providerId="AD" w15:userId="S::zana@nanoq.gl::2fc8df98-a1af-4fb9-9539-d66a9ee5b87c"/>
  </w15:person>
  <w15:person w15:author="Martin Pedersen">
    <w15:presenceInfo w15:providerId="AD" w15:userId="S::mrpd@nanoq.gl::d841d02d-058a-4817-9d85-abd727574e42"/>
  </w15:person>
  <w15:person w15:author="Jógvan Svabo Samuelsen">
    <w15:presenceInfo w15:providerId="AD" w15:userId="S-1-5-21-704993628-2552359410-1315452390-23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1304"/>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E08"/>
    <w:rsid w:val="000021F9"/>
    <w:rsid w:val="000026E0"/>
    <w:rsid w:val="0000312E"/>
    <w:rsid w:val="000068E5"/>
    <w:rsid w:val="000073D0"/>
    <w:rsid w:val="00014CE7"/>
    <w:rsid w:val="000156BF"/>
    <w:rsid w:val="000206A1"/>
    <w:rsid w:val="00020E26"/>
    <w:rsid w:val="00022C38"/>
    <w:rsid w:val="0002551E"/>
    <w:rsid w:val="00035202"/>
    <w:rsid w:val="00041A8D"/>
    <w:rsid w:val="0004428F"/>
    <w:rsid w:val="00051F35"/>
    <w:rsid w:val="000566E8"/>
    <w:rsid w:val="00057643"/>
    <w:rsid w:val="00057A8A"/>
    <w:rsid w:val="00067A12"/>
    <w:rsid w:val="00074E3A"/>
    <w:rsid w:val="000769ED"/>
    <w:rsid w:val="0008124F"/>
    <w:rsid w:val="00087260"/>
    <w:rsid w:val="000901AB"/>
    <w:rsid w:val="00090F1E"/>
    <w:rsid w:val="00091D46"/>
    <w:rsid w:val="00093B16"/>
    <w:rsid w:val="000A1592"/>
    <w:rsid w:val="000A3323"/>
    <w:rsid w:val="000A3750"/>
    <w:rsid w:val="000A558A"/>
    <w:rsid w:val="000A7397"/>
    <w:rsid w:val="000B1D5D"/>
    <w:rsid w:val="000B1EA9"/>
    <w:rsid w:val="000B7F80"/>
    <w:rsid w:val="000C173D"/>
    <w:rsid w:val="000C2CA2"/>
    <w:rsid w:val="000D2EE0"/>
    <w:rsid w:val="000E0D83"/>
    <w:rsid w:val="000E14B6"/>
    <w:rsid w:val="000E2530"/>
    <w:rsid w:val="000E3E74"/>
    <w:rsid w:val="000E5736"/>
    <w:rsid w:val="000F537E"/>
    <w:rsid w:val="000F5388"/>
    <w:rsid w:val="00103EE2"/>
    <w:rsid w:val="0010536C"/>
    <w:rsid w:val="00110274"/>
    <w:rsid w:val="0011415E"/>
    <w:rsid w:val="00114D92"/>
    <w:rsid w:val="001162C7"/>
    <w:rsid w:val="00117FF6"/>
    <w:rsid w:val="0012136F"/>
    <w:rsid w:val="001371DC"/>
    <w:rsid w:val="0014161D"/>
    <w:rsid w:val="001418B7"/>
    <w:rsid w:val="00143AC3"/>
    <w:rsid w:val="0014657F"/>
    <w:rsid w:val="001474F6"/>
    <w:rsid w:val="00151A9D"/>
    <w:rsid w:val="00152C30"/>
    <w:rsid w:val="0015378F"/>
    <w:rsid w:val="001563C5"/>
    <w:rsid w:val="001649B9"/>
    <w:rsid w:val="00167EC9"/>
    <w:rsid w:val="00172014"/>
    <w:rsid w:val="00172F52"/>
    <w:rsid w:val="0017589E"/>
    <w:rsid w:val="0018089E"/>
    <w:rsid w:val="0018795A"/>
    <w:rsid w:val="00195CDB"/>
    <w:rsid w:val="001A1284"/>
    <w:rsid w:val="001A1922"/>
    <w:rsid w:val="001A23B9"/>
    <w:rsid w:val="001A243E"/>
    <w:rsid w:val="001A3525"/>
    <w:rsid w:val="001A3840"/>
    <w:rsid w:val="001A6209"/>
    <w:rsid w:val="001A7177"/>
    <w:rsid w:val="001A76DC"/>
    <w:rsid w:val="001B0A37"/>
    <w:rsid w:val="001B0E49"/>
    <w:rsid w:val="001B36E0"/>
    <w:rsid w:val="001B4925"/>
    <w:rsid w:val="001B4E8B"/>
    <w:rsid w:val="001B615A"/>
    <w:rsid w:val="001B6E40"/>
    <w:rsid w:val="001B7D27"/>
    <w:rsid w:val="001C0BF8"/>
    <w:rsid w:val="001C40F0"/>
    <w:rsid w:val="001C6BFD"/>
    <w:rsid w:val="001D0F8F"/>
    <w:rsid w:val="001D4682"/>
    <w:rsid w:val="001E0404"/>
    <w:rsid w:val="001E07A5"/>
    <w:rsid w:val="001E38C8"/>
    <w:rsid w:val="001F1A37"/>
    <w:rsid w:val="001F508B"/>
    <w:rsid w:val="001F7B7F"/>
    <w:rsid w:val="00204123"/>
    <w:rsid w:val="0020494D"/>
    <w:rsid w:val="00206F71"/>
    <w:rsid w:val="00210D99"/>
    <w:rsid w:val="00211193"/>
    <w:rsid w:val="00212257"/>
    <w:rsid w:val="00213517"/>
    <w:rsid w:val="002137CF"/>
    <w:rsid w:val="00215F72"/>
    <w:rsid w:val="002207CB"/>
    <w:rsid w:val="00221339"/>
    <w:rsid w:val="00222EC7"/>
    <w:rsid w:val="00222F82"/>
    <w:rsid w:val="00236BB4"/>
    <w:rsid w:val="00237970"/>
    <w:rsid w:val="002400E0"/>
    <w:rsid w:val="002414D6"/>
    <w:rsid w:val="002425D3"/>
    <w:rsid w:val="002430FB"/>
    <w:rsid w:val="00247487"/>
    <w:rsid w:val="002475A0"/>
    <w:rsid w:val="00254208"/>
    <w:rsid w:val="0025538C"/>
    <w:rsid w:val="00256F5E"/>
    <w:rsid w:val="00270458"/>
    <w:rsid w:val="00272A37"/>
    <w:rsid w:val="002731CF"/>
    <w:rsid w:val="00274E69"/>
    <w:rsid w:val="00286771"/>
    <w:rsid w:val="00286E33"/>
    <w:rsid w:val="00293C00"/>
    <w:rsid w:val="00295A46"/>
    <w:rsid w:val="002970D6"/>
    <w:rsid w:val="002A0D02"/>
    <w:rsid w:val="002A4928"/>
    <w:rsid w:val="002A723B"/>
    <w:rsid w:val="002B4470"/>
    <w:rsid w:val="002C136D"/>
    <w:rsid w:val="002C4955"/>
    <w:rsid w:val="002C5C4F"/>
    <w:rsid w:val="002C7123"/>
    <w:rsid w:val="002E1610"/>
    <w:rsid w:val="002E1909"/>
    <w:rsid w:val="002E1C53"/>
    <w:rsid w:val="002E2010"/>
    <w:rsid w:val="002E2E20"/>
    <w:rsid w:val="002E58BD"/>
    <w:rsid w:val="002F0482"/>
    <w:rsid w:val="002F1FF6"/>
    <w:rsid w:val="002F3812"/>
    <w:rsid w:val="002F41A9"/>
    <w:rsid w:val="002F6860"/>
    <w:rsid w:val="00300F6F"/>
    <w:rsid w:val="0030209C"/>
    <w:rsid w:val="00303DDF"/>
    <w:rsid w:val="0030421D"/>
    <w:rsid w:val="0031778E"/>
    <w:rsid w:val="0032018A"/>
    <w:rsid w:val="00322926"/>
    <w:rsid w:val="00323C4F"/>
    <w:rsid w:val="00331C35"/>
    <w:rsid w:val="00336A6D"/>
    <w:rsid w:val="00340F9C"/>
    <w:rsid w:val="0034315E"/>
    <w:rsid w:val="003431DF"/>
    <w:rsid w:val="0034484A"/>
    <w:rsid w:val="00347175"/>
    <w:rsid w:val="00350E4B"/>
    <w:rsid w:val="0035469A"/>
    <w:rsid w:val="00356EB4"/>
    <w:rsid w:val="00357522"/>
    <w:rsid w:val="00361C26"/>
    <w:rsid w:val="00364EAA"/>
    <w:rsid w:val="00371422"/>
    <w:rsid w:val="00372ADB"/>
    <w:rsid w:val="0037453B"/>
    <w:rsid w:val="003763E4"/>
    <w:rsid w:val="003803DF"/>
    <w:rsid w:val="00386044"/>
    <w:rsid w:val="0038679E"/>
    <w:rsid w:val="0038698B"/>
    <w:rsid w:val="00387438"/>
    <w:rsid w:val="003901AA"/>
    <w:rsid w:val="00390D96"/>
    <w:rsid w:val="00392EE4"/>
    <w:rsid w:val="003945C2"/>
    <w:rsid w:val="0039584B"/>
    <w:rsid w:val="003962A5"/>
    <w:rsid w:val="0039792A"/>
    <w:rsid w:val="00397F4A"/>
    <w:rsid w:val="003A1110"/>
    <w:rsid w:val="003B029F"/>
    <w:rsid w:val="003B03E5"/>
    <w:rsid w:val="003C134F"/>
    <w:rsid w:val="003D1992"/>
    <w:rsid w:val="003D1C04"/>
    <w:rsid w:val="003D7803"/>
    <w:rsid w:val="003E0162"/>
    <w:rsid w:val="003E3B12"/>
    <w:rsid w:val="003F1631"/>
    <w:rsid w:val="003F5C6F"/>
    <w:rsid w:val="004014EB"/>
    <w:rsid w:val="004015AB"/>
    <w:rsid w:val="00402116"/>
    <w:rsid w:val="004034B9"/>
    <w:rsid w:val="00405BDD"/>
    <w:rsid w:val="00412395"/>
    <w:rsid w:val="00421561"/>
    <w:rsid w:val="00422DA3"/>
    <w:rsid w:val="00422E97"/>
    <w:rsid w:val="00423F49"/>
    <w:rsid w:val="00425382"/>
    <w:rsid w:val="00431B3C"/>
    <w:rsid w:val="00432290"/>
    <w:rsid w:val="004340E5"/>
    <w:rsid w:val="0043755C"/>
    <w:rsid w:val="004376A0"/>
    <w:rsid w:val="00443CB0"/>
    <w:rsid w:val="004478EA"/>
    <w:rsid w:val="00455417"/>
    <w:rsid w:val="00455697"/>
    <w:rsid w:val="00455E14"/>
    <w:rsid w:val="004573EB"/>
    <w:rsid w:val="00457416"/>
    <w:rsid w:val="00457B16"/>
    <w:rsid w:val="00461A83"/>
    <w:rsid w:val="00462FDC"/>
    <w:rsid w:val="00467A17"/>
    <w:rsid w:val="004723B5"/>
    <w:rsid w:val="00473731"/>
    <w:rsid w:val="004758F5"/>
    <w:rsid w:val="00481BED"/>
    <w:rsid w:val="0048297D"/>
    <w:rsid w:val="0048311E"/>
    <w:rsid w:val="00485B0B"/>
    <w:rsid w:val="004867FB"/>
    <w:rsid w:val="0048693A"/>
    <w:rsid w:val="0049007D"/>
    <w:rsid w:val="00494E64"/>
    <w:rsid w:val="004A32D2"/>
    <w:rsid w:val="004A456D"/>
    <w:rsid w:val="004B249F"/>
    <w:rsid w:val="004B2AD2"/>
    <w:rsid w:val="004C0C65"/>
    <w:rsid w:val="004D0FAD"/>
    <w:rsid w:val="004D0FE1"/>
    <w:rsid w:val="004D4561"/>
    <w:rsid w:val="004D5495"/>
    <w:rsid w:val="004D6A0E"/>
    <w:rsid w:val="004E240D"/>
    <w:rsid w:val="004E3771"/>
    <w:rsid w:val="004E49F9"/>
    <w:rsid w:val="004F0B89"/>
    <w:rsid w:val="004F12BE"/>
    <w:rsid w:val="00502B73"/>
    <w:rsid w:val="00503BEE"/>
    <w:rsid w:val="0050545C"/>
    <w:rsid w:val="005059C7"/>
    <w:rsid w:val="00506CD6"/>
    <w:rsid w:val="00511A79"/>
    <w:rsid w:val="00513606"/>
    <w:rsid w:val="0051658F"/>
    <w:rsid w:val="00520D62"/>
    <w:rsid w:val="00522BDD"/>
    <w:rsid w:val="00524B99"/>
    <w:rsid w:val="005256EE"/>
    <w:rsid w:val="005268E4"/>
    <w:rsid w:val="00534053"/>
    <w:rsid w:val="00534D83"/>
    <w:rsid w:val="00535579"/>
    <w:rsid w:val="005374A3"/>
    <w:rsid w:val="00537F80"/>
    <w:rsid w:val="0054103A"/>
    <w:rsid w:val="00542639"/>
    <w:rsid w:val="0054392A"/>
    <w:rsid w:val="00546D22"/>
    <w:rsid w:val="00552B3C"/>
    <w:rsid w:val="00555D39"/>
    <w:rsid w:val="00556EA1"/>
    <w:rsid w:val="005600B1"/>
    <w:rsid w:val="00561C7B"/>
    <w:rsid w:val="0056295C"/>
    <w:rsid w:val="00565E3E"/>
    <w:rsid w:val="00572E89"/>
    <w:rsid w:val="00573CF9"/>
    <w:rsid w:val="00574185"/>
    <w:rsid w:val="00577C08"/>
    <w:rsid w:val="005805EF"/>
    <w:rsid w:val="00581890"/>
    <w:rsid w:val="00583ADB"/>
    <w:rsid w:val="005907C9"/>
    <w:rsid w:val="00590F67"/>
    <w:rsid w:val="00595D63"/>
    <w:rsid w:val="005977E6"/>
    <w:rsid w:val="005A01B0"/>
    <w:rsid w:val="005A0447"/>
    <w:rsid w:val="005A3B93"/>
    <w:rsid w:val="005B3DE6"/>
    <w:rsid w:val="005B51A7"/>
    <w:rsid w:val="005B68F8"/>
    <w:rsid w:val="005C0C5F"/>
    <w:rsid w:val="005C4603"/>
    <w:rsid w:val="005C5E11"/>
    <w:rsid w:val="005C683D"/>
    <w:rsid w:val="005D1345"/>
    <w:rsid w:val="005D525B"/>
    <w:rsid w:val="005D6AA1"/>
    <w:rsid w:val="005E2409"/>
    <w:rsid w:val="005E2718"/>
    <w:rsid w:val="005E4D3B"/>
    <w:rsid w:val="005E6420"/>
    <w:rsid w:val="005F5857"/>
    <w:rsid w:val="00600847"/>
    <w:rsid w:val="006060C4"/>
    <w:rsid w:val="0061762F"/>
    <w:rsid w:val="006177C9"/>
    <w:rsid w:val="00623CCE"/>
    <w:rsid w:val="006312E3"/>
    <w:rsid w:val="006332DB"/>
    <w:rsid w:val="00635776"/>
    <w:rsid w:val="0064037F"/>
    <w:rsid w:val="00644987"/>
    <w:rsid w:val="00646167"/>
    <w:rsid w:val="00650338"/>
    <w:rsid w:val="00653E6E"/>
    <w:rsid w:val="006567E0"/>
    <w:rsid w:val="00656D06"/>
    <w:rsid w:val="006610DA"/>
    <w:rsid w:val="00663500"/>
    <w:rsid w:val="006654A2"/>
    <w:rsid w:val="0066666A"/>
    <w:rsid w:val="00666E08"/>
    <w:rsid w:val="00667651"/>
    <w:rsid w:val="0068438F"/>
    <w:rsid w:val="0068487D"/>
    <w:rsid w:val="00684C12"/>
    <w:rsid w:val="00687A40"/>
    <w:rsid w:val="00690CCF"/>
    <w:rsid w:val="00691033"/>
    <w:rsid w:val="00693418"/>
    <w:rsid w:val="0069356D"/>
    <w:rsid w:val="006945CA"/>
    <w:rsid w:val="0069498B"/>
    <w:rsid w:val="00695125"/>
    <w:rsid w:val="00697894"/>
    <w:rsid w:val="006A037B"/>
    <w:rsid w:val="006A4BFB"/>
    <w:rsid w:val="006A5235"/>
    <w:rsid w:val="006A5E98"/>
    <w:rsid w:val="006B2285"/>
    <w:rsid w:val="006B478B"/>
    <w:rsid w:val="006B47B3"/>
    <w:rsid w:val="006C1866"/>
    <w:rsid w:val="006C65C0"/>
    <w:rsid w:val="006C76F1"/>
    <w:rsid w:val="006D29E1"/>
    <w:rsid w:val="006D3147"/>
    <w:rsid w:val="006D31FF"/>
    <w:rsid w:val="006D33DB"/>
    <w:rsid w:val="006F03F4"/>
    <w:rsid w:val="006F1FD0"/>
    <w:rsid w:val="006F249C"/>
    <w:rsid w:val="006F705F"/>
    <w:rsid w:val="007004BC"/>
    <w:rsid w:val="0070111B"/>
    <w:rsid w:val="0070360E"/>
    <w:rsid w:val="0071217C"/>
    <w:rsid w:val="007134EC"/>
    <w:rsid w:val="007151B9"/>
    <w:rsid w:val="0071582A"/>
    <w:rsid w:val="00716DFF"/>
    <w:rsid w:val="00725EB8"/>
    <w:rsid w:val="00725FD3"/>
    <w:rsid w:val="00730AE2"/>
    <w:rsid w:val="00731C02"/>
    <w:rsid w:val="00732586"/>
    <w:rsid w:val="00733B58"/>
    <w:rsid w:val="00735D7A"/>
    <w:rsid w:val="00737800"/>
    <w:rsid w:val="00742D80"/>
    <w:rsid w:val="00743F16"/>
    <w:rsid w:val="0074534F"/>
    <w:rsid w:val="007456C7"/>
    <w:rsid w:val="007510EF"/>
    <w:rsid w:val="00753311"/>
    <w:rsid w:val="00753ABE"/>
    <w:rsid w:val="00754663"/>
    <w:rsid w:val="00754FB4"/>
    <w:rsid w:val="00755AC0"/>
    <w:rsid w:val="00757CB2"/>
    <w:rsid w:val="00760585"/>
    <w:rsid w:val="007620EC"/>
    <w:rsid w:val="00767366"/>
    <w:rsid w:val="00770318"/>
    <w:rsid w:val="00772366"/>
    <w:rsid w:val="007736EA"/>
    <w:rsid w:val="00775995"/>
    <w:rsid w:val="0078667B"/>
    <w:rsid w:val="007A050B"/>
    <w:rsid w:val="007A26BB"/>
    <w:rsid w:val="007A7246"/>
    <w:rsid w:val="007A72D7"/>
    <w:rsid w:val="007B4ED4"/>
    <w:rsid w:val="007B55C3"/>
    <w:rsid w:val="007B594C"/>
    <w:rsid w:val="007C33F1"/>
    <w:rsid w:val="007C35BA"/>
    <w:rsid w:val="007C38BF"/>
    <w:rsid w:val="007C4AA4"/>
    <w:rsid w:val="007D02C1"/>
    <w:rsid w:val="007D235C"/>
    <w:rsid w:val="007E0E88"/>
    <w:rsid w:val="007E23D5"/>
    <w:rsid w:val="007E4F86"/>
    <w:rsid w:val="007E6246"/>
    <w:rsid w:val="007F282E"/>
    <w:rsid w:val="007F3D2B"/>
    <w:rsid w:val="007F5162"/>
    <w:rsid w:val="007F6829"/>
    <w:rsid w:val="00802A86"/>
    <w:rsid w:val="00805CC8"/>
    <w:rsid w:val="00806679"/>
    <w:rsid w:val="00806E04"/>
    <w:rsid w:val="00810ABC"/>
    <w:rsid w:val="0081139D"/>
    <w:rsid w:val="008119A3"/>
    <w:rsid w:val="00813274"/>
    <w:rsid w:val="00813779"/>
    <w:rsid w:val="00813875"/>
    <w:rsid w:val="00815135"/>
    <w:rsid w:val="008170F7"/>
    <w:rsid w:val="00823992"/>
    <w:rsid w:val="00826BE3"/>
    <w:rsid w:val="0083009E"/>
    <w:rsid w:val="008313C1"/>
    <w:rsid w:val="00833E19"/>
    <w:rsid w:val="008348A3"/>
    <w:rsid w:val="00837F67"/>
    <w:rsid w:val="0084046D"/>
    <w:rsid w:val="00843326"/>
    <w:rsid w:val="00845FDD"/>
    <w:rsid w:val="0084708A"/>
    <w:rsid w:val="00857500"/>
    <w:rsid w:val="00857A75"/>
    <w:rsid w:val="00860970"/>
    <w:rsid w:val="00861DEF"/>
    <w:rsid w:val="00862E6A"/>
    <w:rsid w:val="008675B1"/>
    <w:rsid w:val="00870AA0"/>
    <w:rsid w:val="0087185B"/>
    <w:rsid w:val="00874445"/>
    <w:rsid w:val="00875B9D"/>
    <w:rsid w:val="00875F54"/>
    <w:rsid w:val="008816E3"/>
    <w:rsid w:val="00884679"/>
    <w:rsid w:val="00884EA3"/>
    <w:rsid w:val="008867F3"/>
    <w:rsid w:val="00887968"/>
    <w:rsid w:val="00890179"/>
    <w:rsid w:val="008933F2"/>
    <w:rsid w:val="00893ED3"/>
    <w:rsid w:val="00897336"/>
    <w:rsid w:val="008A103A"/>
    <w:rsid w:val="008A28CD"/>
    <w:rsid w:val="008A4588"/>
    <w:rsid w:val="008B1CC3"/>
    <w:rsid w:val="008B274C"/>
    <w:rsid w:val="008B6C34"/>
    <w:rsid w:val="008C1AEC"/>
    <w:rsid w:val="008C35D5"/>
    <w:rsid w:val="008D5FF9"/>
    <w:rsid w:val="008D6C11"/>
    <w:rsid w:val="008E763F"/>
    <w:rsid w:val="008E7F24"/>
    <w:rsid w:val="008F40FC"/>
    <w:rsid w:val="008F60EE"/>
    <w:rsid w:val="008F6BE7"/>
    <w:rsid w:val="008F75F8"/>
    <w:rsid w:val="008F7BF5"/>
    <w:rsid w:val="0090162A"/>
    <w:rsid w:val="009063B4"/>
    <w:rsid w:val="009074FC"/>
    <w:rsid w:val="009121D1"/>
    <w:rsid w:val="00913608"/>
    <w:rsid w:val="00913E5C"/>
    <w:rsid w:val="009156FE"/>
    <w:rsid w:val="0091576E"/>
    <w:rsid w:val="00916BFA"/>
    <w:rsid w:val="009171DC"/>
    <w:rsid w:val="00922A13"/>
    <w:rsid w:val="00923DDA"/>
    <w:rsid w:val="00932AD6"/>
    <w:rsid w:val="009345C8"/>
    <w:rsid w:val="00935B83"/>
    <w:rsid w:val="00943B3A"/>
    <w:rsid w:val="00943F08"/>
    <w:rsid w:val="00950105"/>
    <w:rsid w:val="009526C1"/>
    <w:rsid w:val="009528B4"/>
    <w:rsid w:val="00953C65"/>
    <w:rsid w:val="00955006"/>
    <w:rsid w:val="00956395"/>
    <w:rsid w:val="009578A7"/>
    <w:rsid w:val="00961CF9"/>
    <w:rsid w:val="00964B2F"/>
    <w:rsid w:val="0096533C"/>
    <w:rsid w:val="009678DF"/>
    <w:rsid w:val="00967D4A"/>
    <w:rsid w:val="009716EE"/>
    <w:rsid w:val="00971F19"/>
    <w:rsid w:val="00973E1A"/>
    <w:rsid w:val="00975C9F"/>
    <w:rsid w:val="0097628B"/>
    <w:rsid w:val="00980EB8"/>
    <w:rsid w:val="00981432"/>
    <w:rsid w:val="00986011"/>
    <w:rsid w:val="00987E08"/>
    <w:rsid w:val="009912D8"/>
    <w:rsid w:val="00993054"/>
    <w:rsid w:val="0099408D"/>
    <w:rsid w:val="00995D88"/>
    <w:rsid w:val="00996824"/>
    <w:rsid w:val="00997B50"/>
    <w:rsid w:val="009A3ACC"/>
    <w:rsid w:val="009B32A5"/>
    <w:rsid w:val="009B46B1"/>
    <w:rsid w:val="009C0EB8"/>
    <w:rsid w:val="009C1945"/>
    <w:rsid w:val="009D5496"/>
    <w:rsid w:val="009E71D4"/>
    <w:rsid w:val="009E730D"/>
    <w:rsid w:val="009F2ABF"/>
    <w:rsid w:val="00A002A4"/>
    <w:rsid w:val="00A03D1A"/>
    <w:rsid w:val="00A0715C"/>
    <w:rsid w:val="00A11789"/>
    <w:rsid w:val="00A125EA"/>
    <w:rsid w:val="00A17942"/>
    <w:rsid w:val="00A24274"/>
    <w:rsid w:val="00A26832"/>
    <w:rsid w:val="00A27E97"/>
    <w:rsid w:val="00A312F2"/>
    <w:rsid w:val="00A402DD"/>
    <w:rsid w:val="00A45044"/>
    <w:rsid w:val="00A451D0"/>
    <w:rsid w:val="00A54599"/>
    <w:rsid w:val="00A651ED"/>
    <w:rsid w:val="00A73A8F"/>
    <w:rsid w:val="00A76850"/>
    <w:rsid w:val="00A775E0"/>
    <w:rsid w:val="00A80796"/>
    <w:rsid w:val="00A80A36"/>
    <w:rsid w:val="00A81849"/>
    <w:rsid w:val="00A82C0C"/>
    <w:rsid w:val="00A85005"/>
    <w:rsid w:val="00A86134"/>
    <w:rsid w:val="00A87ACA"/>
    <w:rsid w:val="00A92A08"/>
    <w:rsid w:val="00A97AC0"/>
    <w:rsid w:val="00A97B03"/>
    <w:rsid w:val="00AA1310"/>
    <w:rsid w:val="00AA3948"/>
    <w:rsid w:val="00AA4BCE"/>
    <w:rsid w:val="00AA6109"/>
    <w:rsid w:val="00AB7829"/>
    <w:rsid w:val="00AC0350"/>
    <w:rsid w:val="00AC24A4"/>
    <w:rsid w:val="00AC5883"/>
    <w:rsid w:val="00AD1AF1"/>
    <w:rsid w:val="00AD1E66"/>
    <w:rsid w:val="00AD5F9E"/>
    <w:rsid w:val="00AE12A6"/>
    <w:rsid w:val="00AE1399"/>
    <w:rsid w:val="00AE1A3A"/>
    <w:rsid w:val="00AE6C7B"/>
    <w:rsid w:val="00AE76AE"/>
    <w:rsid w:val="00AF027F"/>
    <w:rsid w:val="00AF65D0"/>
    <w:rsid w:val="00AF683F"/>
    <w:rsid w:val="00AF6D1F"/>
    <w:rsid w:val="00AF7C18"/>
    <w:rsid w:val="00AF7FB2"/>
    <w:rsid w:val="00B03422"/>
    <w:rsid w:val="00B054E2"/>
    <w:rsid w:val="00B063B3"/>
    <w:rsid w:val="00B0767B"/>
    <w:rsid w:val="00B10F0B"/>
    <w:rsid w:val="00B12808"/>
    <w:rsid w:val="00B137A6"/>
    <w:rsid w:val="00B13F8C"/>
    <w:rsid w:val="00B16499"/>
    <w:rsid w:val="00B236A4"/>
    <w:rsid w:val="00B255B3"/>
    <w:rsid w:val="00B312AA"/>
    <w:rsid w:val="00B3309A"/>
    <w:rsid w:val="00B41FDD"/>
    <w:rsid w:val="00B46409"/>
    <w:rsid w:val="00B47DFC"/>
    <w:rsid w:val="00B512B3"/>
    <w:rsid w:val="00B52149"/>
    <w:rsid w:val="00B61B72"/>
    <w:rsid w:val="00B61F38"/>
    <w:rsid w:val="00B66F3C"/>
    <w:rsid w:val="00B67002"/>
    <w:rsid w:val="00B67443"/>
    <w:rsid w:val="00B67CF0"/>
    <w:rsid w:val="00B716C1"/>
    <w:rsid w:val="00B73B9F"/>
    <w:rsid w:val="00B8040F"/>
    <w:rsid w:val="00B82A1D"/>
    <w:rsid w:val="00B83C0B"/>
    <w:rsid w:val="00B8729E"/>
    <w:rsid w:val="00B90FF3"/>
    <w:rsid w:val="00B9160E"/>
    <w:rsid w:val="00B93527"/>
    <w:rsid w:val="00B977DD"/>
    <w:rsid w:val="00BA3E7A"/>
    <w:rsid w:val="00BA6B99"/>
    <w:rsid w:val="00BA6EA9"/>
    <w:rsid w:val="00BB040E"/>
    <w:rsid w:val="00BB5CCD"/>
    <w:rsid w:val="00BC04DA"/>
    <w:rsid w:val="00BD16CC"/>
    <w:rsid w:val="00BE1702"/>
    <w:rsid w:val="00BE2365"/>
    <w:rsid w:val="00BE5E2A"/>
    <w:rsid w:val="00BE5E54"/>
    <w:rsid w:val="00BE6B93"/>
    <w:rsid w:val="00BF13B4"/>
    <w:rsid w:val="00BF2A9A"/>
    <w:rsid w:val="00BF2D65"/>
    <w:rsid w:val="00BF5FE2"/>
    <w:rsid w:val="00BF6BE8"/>
    <w:rsid w:val="00C00958"/>
    <w:rsid w:val="00C11211"/>
    <w:rsid w:val="00C17916"/>
    <w:rsid w:val="00C20256"/>
    <w:rsid w:val="00C23A6C"/>
    <w:rsid w:val="00C25682"/>
    <w:rsid w:val="00C25DB6"/>
    <w:rsid w:val="00C26129"/>
    <w:rsid w:val="00C3229F"/>
    <w:rsid w:val="00C37901"/>
    <w:rsid w:val="00C403E4"/>
    <w:rsid w:val="00C420C6"/>
    <w:rsid w:val="00C42A8A"/>
    <w:rsid w:val="00C44D51"/>
    <w:rsid w:val="00C47FCC"/>
    <w:rsid w:val="00C50B8E"/>
    <w:rsid w:val="00C52143"/>
    <w:rsid w:val="00C53E03"/>
    <w:rsid w:val="00C57972"/>
    <w:rsid w:val="00C605F3"/>
    <w:rsid w:val="00C63031"/>
    <w:rsid w:val="00C63F0B"/>
    <w:rsid w:val="00C6466D"/>
    <w:rsid w:val="00C668A0"/>
    <w:rsid w:val="00C70EB3"/>
    <w:rsid w:val="00C7105A"/>
    <w:rsid w:val="00C7333B"/>
    <w:rsid w:val="00C73F7B"/>
    <w:rsid w:val="00C763AC"/>
    <w:rsid w:val="00C818E4"/>
    <w:rsid w:val="00C8363F"/>
    <w:rsid w:val="00C83DB0"/>
    <w:rsid w:val="00C84701"/>
    <w:rsid w:val="00C85CC2"/>
    <w:rsid w:val="00C876A3"/>
    <w:rsid w:val="00C87EC8"/>
    <w:rsid w:val="00C92755"/>
    <w:rsid w:val="00C95833"/>
    <w:rsid w:val="00C96203"/>
    <w:rsid w:val="00C9780B"/>
    <w:rsid w:val="00CA19A6"/>
    <w:rsid w:val="00CA4C6C"/>
    <w:rsid w:val="00CA5104"/>
    <w:rsid w:val="00CA58AC"/>
    <w:rsid w:val="00CA677F"/>
    <w:rsid w:val="00CB0148"/>
    <w:rsid w:val="00CB0352"/>
    <w:rsid w:val="00CB0F72"/>
    <w:rsid w:val="00CB355F"/>
    <w:rsid w:val="00CB493D"/>
    <w:rsid w:val="00CB560D"/>
    <w:rsid w:val="00CC119B"/>
    <w:rsid w:val="00CC6FA7"/>
    <w:rsid w:val="00CD06AE"/>
    <w:rsid w:val="00CD1DDF"/>
    <w:rsid w:val="00CD5C60"/>
    <w:rsid w:val="00CE037E"/>
    <w:rsid w:val="00CE29A3"/>
    <w:rsid w:val="00CE40B7"/>
    <w:rsid w:val="00CE4AD0"/>
    <w:rsid w:val="00CF16CE"/>
    <w:rsid w:val="00CF5FFE"/>
    <w:rsid w:val="00CF7961"/>
    <w:rsid w:val="00D02228"/>
    <w:rsid w:val="00D049B6"/>
    <w:rsid w:val="00D10ED1"/>
    <w:rsid w:val="00D11647"/>
    <w:rsid w:val="00D122F0"/>
    <w:rsid w:val="00D14C7A"/>
    <w:rsid w:val="00D15114"/>
    <w:rsid w:val="00D20F8C"/>
    <w:rsid w:val="00D24D39"/>
    <w:rsid w:val="00D3013A"/>
    <w:rsid w:val="00D31059"/>
    <w:rsid w:val="00D357B6"/>
    <w:rsid w:val="00D36BD8"/>
    <w:rsid w:val="00D476BB"/>
    <w:rsid w:val="00D47AD3"/>
    <w:rsid w:val="00D56F58"/>
    <w:rsid w:val="00D57232"/>
    <w:rsid w:val="00D57364"/>
    <w:rsid w:val="00D639B3"/>
    <w:rsid w:val="00D650AA"/>
    <w:rsid w:val="00D665E3"/>
    <w:rsid w:val="00D75046"/>
    <w:rsid w:val="00D758CD"/>
    <w:rsid w:val="00D769E7"/>
    <w:rsid w:val="00D76C67"/>
    <w:rsid w:val="00D76D8C"/>
    <w:rsid w:val="00D80638"/>
    <w:rsid w:val="00D81CEC"/>
    <w:rsid w:val="00D8661D"/>
    <w:rsid w:val="00D96859"/>
    <w:rsid w:val="00D97154"/>
    <w:rsid w:val="00DA14B5"/>
    <w:rsid w:val="00DA4049"/>
    <w:rsid w:val="00DA701B"/>
    <w:rsid w:val="00DB2EED"/>
    <w:rsid w:val="00DB46FF"/>
    <w:rsid w:val="00DC1AB6"/>
    <w:rsid w:val="00DC1CF6"/>
    <w:rsid w:val="00DC4F17"/>
    <w:rsid w:val="00DD1EE7"/>
    <w:rsid w:val="00DD4D6E"/>
    <w:rsid w:val="00DD4E9E"/>
    <w:rsid w:val="00DD58E4"/>
    <w:rsid w:val="00DD6545"/>
    <w:rsid w:val="00DE13B1"/>
    <w:rsid w:val="00DE14F6"/>
    <w:rsid w:val="00DE2DB6"/>
    <w:rsid w:val="00DE5C93"/>
    <w:rsid w:val="00DE66EA"/>
    <w:rsid w:val="00DF0450"/>
    <w:rsid w:val="00DF632D"/>
    <w:rsid w:val="00DF6BB5"/>
    <w:rsid w:val="00E01165"/>
    <w:rsid w:val="00E04039"/>
    <w:rsid w:val="00E048A4"/>
    <w:rsid w:val="00E06F54"/>
    <w:rsid w:val="00E148C3"/>
    <w:rsid w:val="00E14ADD"/>
    <w:rsid w:val="00E1577A"/>
    <w:rsid w:val="00E1659B"/>
    <w:rsid w:val="00E16C15"/>
    <w:rsid w:val="00E23705"/>
    <w:rsid w:val="00E237BE"/>
    <w:rsid w:val="00E306F7"/>
    <w:rsid w:val="00E308EF"/>
    <w:rsid w:val="00E37643"/>
    <w:rsid w:val="00E37781"/>
    <w:rsid w:val="00E419AF"/>
    <w:rsid w:val="00E45065"/>
    <w:rsid w:val="00E45406"/>
    <w:rsid w:val="00E463E3"/>
    <w:rsid w:val="00E4683C"/>
    <w:rsid w:val="00E47B4D"/>
    <w:rsid w:val="00E517D0"/>
    <w:rsid w:val="00E530CD"/>
    <w:rsid w:val="00E562AC"/>
    <w:rsid w:val="00E56B45"/>
    <w:rsid w:val="00E56E3D"/>
    <w:rsid w:val="00E60004"/>
    <w:rsid w:val="00E619C8"/>
    <w:rsid w:val="00E63383"/>
    <w:rsid w:val="00E63AE5"/>
    <w:rsid w:val="00E77AC7"/>
    <w:rsid w:val="00E82E5B"/>
    <w:rsid w:val="00E83FFF"/>
    <w:rsid w:val="00E84BC6"/>
    <w:rsid w:val="00E91073"/>
    <w:rsid w:val="00E920AB"/>
    <w:rsid w:val="00E97C03"/>
    <w:rsid w:val="00EA20AE"/>
    <w:rsid w:val="00EB230E"/>
    <w:rsid w:val="00EC007E"/>
    <w:rsid w:val="00EC2066"/>
    <w:rsid w:val="00EC5BCF"/>
    <w:rsid w:val="00ED1D20"/>
    <w:rsid w:val="00ED4BF6"/>
    <w:rsid w:val="00ED54CF"/>
    <w:rsid w:val="00EE62D3"/>
    <w:rsid w:val="00EF0181"/>
    <w:rsid w:val="00EF3DBC"/>
    <w:rsid w:val="00EF46B1"/>
    <w:rsid w:val="00EF7A2E"/>
    <w:rsid w:val="00F00A69"/>
    <w:rsid w:val="00F02A16"/>
    <w:rsid w:val="00F02DE5"/>
    <w:rsid w:val="00F05F14"/>
    <w:rsid w:val="00F10601"/>
    <w:rsid w:val="00F12DF8"/>
    <w:rsid w:val="00F1704B"/>
    <w:rsid w:val="00F2329B"/>
    <w:rsid w:val="00F23505"/>
    <w:rsid w:val="00F24571"/>
    <w:rsid w:val="00F26324"/>
    <w:rsid w:val="00F27589"/>
    <w:rsid w:val="00F33ECE"/>
    <w:rsid w:val="00F372C0"/>
    <w:rsid w:val="00F3730B"/>
    <w:rsid w:val="00F43C6C"/>
    <w:rsid w:val="00F45EF4"/>
    <w:rsid w:val="00F474D8"/>
    <w:rsid w:val="00F534E1"/>
    <w:rsid w:val="00F53F6F"/>
    <w:rsid w:val="00F553F7"/>
    <w:rsid w:val="00F57549"/>
    <w:rsid w:val="00F60D31"/>
    <w:rsid w:val="00F623D1"/>
    <w:rsid w:val="00F72281"/>
    <w:rsid w:val="00F73950"/>
    <w:rsid w:val="00F74B38"/>
    <w:rsid w:val="00F74F52"/>
    <w:rsid w:val="00F75D6E"/>
    <w:rsid w:val="00F76382"/>
    <w:rsid w:val="00F823D7"/>
    <w:rsid w:val="00F8689E"/>
    <w:rsid w:val="00F87B1A"/>
    <w:rsid w:val="00F91072"/>
    <w:rsid w:val="00F91DC1"/>
    <w:rsid w:val="00F92814"/>
    <w:rsid w:val="00F976E1"/>
    <w:rsid w:val="00FA2CC5"/>
    <w:rsid w:val="00FA326C"/>
    <w:rsid w:val="00FA62A8"/>
    <w:rsid w:val="00FA6607"/>
    <w:rsid w:val="00FA6844"/>
    <w:rsid w:val="00FA71C1"/>
    <w:rsid w:val="00FA7BE6"/>
    <w:rsid w:val="00FB0983"/>
    <w:rsid w:val="00FB20A0"/>
    <w:rsid w:val="00FB48D2"/>
    <w:rsid w:val="00FB4F1E"/>
    <w:rsid w:val="00FB7652"/>
    <w:rsid w:val="00FB77C6"/>
    <w:rsid w:val="00FC27C1"/>
    <w:rsid w:val="00FD2931"/>
    <w:rsid w:val="00FD3A04"/>
    <w:rsid w:val="00FD4F70"/>
    <w:rsid w:val="00FD54F2"/>
    <w:rsid w:val="00FD591B"/>
    <w:rsid w:val="00FD5F34"/>
    <w:rsid w:val="00FE07D3"/>
    <w:rsid w:val="00FE0FE5"/>
    <w:rsid w:val="00FE28B3"/>
    <w:rsid w:val="00FE63FC"/>
    <w:rsid w:val="00FF1BA3"/>
    <w:rsid w:val="00FF70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E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line="288" w:lineRule="auto"/>
        <w:ind w:lef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1418B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semiHidden/>
    <w:unhideWhenUsed/>
    <w:qFormat/>
    <w:rsid w:val="001418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autoRedefine/>
    <w:uiPriority w:val="9"/>
    <w:unhideWhenUsed/>
    <w:qFormat/>
    <w:rsid w:val="00813875"/>
    <w:pPr>
      <w:keepNext/>
      <w:keepLines/>
      <w:spacing w:before="200" w:line="276" w:lineRule="auto"/>
      <w:ind w:left="0"/>
      <w:outlineLvl w:val="2"/>
    </w:pPr>
    <w:rPr>
      <w:rFonts w:asciiTheme="majorHAnsi" w:eastAsiaTheme="majorEastAsia" w:hAnsiTheme="majorHAnsi" w:cstheme="majorBidi"/>
      <w:b/>
      <w:bCs/>
    </w:rPr>
  </w:style>
  <w:style w:type="paragraph" w:styleId="Overskrift5">
    <w:name w:val="heading 5"/>
    <w:basedOn w:val="Normal"/>
    <w:next w:val="Normal"/>
    <w:link w:val="Overskrift5Tegn"/>
    <w:uiPriority w:val="9"/>
    <w:semiHidden/>
    <w:unhideWhenUsed/>
    <w:qFormat/>
    <w:rsid w:val="001418B7"/>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B36E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B36E0"/>
  </w:style>
  <w:style w:type="paragraph" w:styleId="Sidefod">
    <w:name w:val="footer"/>
    <w:basedOn w:val="Normal"/>
    <w:link w:val="SidefodTegn"/>
    <w:uiPriority w:val="99"/>
    <w:unhideWhenUsed/>
    <w:rsid w:val="001B36E0"/>
    <w:pPr>
      <w:tabs>
        <w:tab w:val="center" w:pos="4819"/>
        <w:tab w:val="right" w:pos="9638"/>
      </w:tabs>
      <w:spacing w:line="240" w:lineRule="auto"/>
    </w:pPr>
  </w:style>
  <w:style w:type="character" w:customStyle="1" w:styleId="SidefodTegn">
    <w:name w:val="Sidefod Tegn"/>
    <w:basedOn w:val="Standardskrifttypeiafsnit"/>
    <w:link w:val="Sidefod"/>
    <w:uiPriority w:val="99"/>
    <w:rsid w:val="001B36E0"/>
  </w:style>
  <w:style w:type="paragraph" w:customStyle="1" w:styleId="normalind9">
    <w:name w:val="normalind9"/>
    <w:basedOn w:val="Normal"/>
    <w:rsid w:val="000E14B6"/>
    <w:pPr>
      <w:spacing w:before="60" w:line="240" w:lineRule="auto"/>
      <w:ind w:left="0" w:firstLine="170"/>
      <w:jc w:val="both"/>
    </w:pPr>
    <w:rPr>
      <w:rFonts w:ascii="Tahoma" w:eastAsia="Times New Roman" w:hAnsi="Tahoma" w:cs="Tahoma"/>
      <w:color w:val="000000"/>
      <w:sz w:val="24"/>
      <w:szCs w:val="24"/>
      <w:lang w:eastAsia="da-DK"/>
    </w:rPr>
  </w:style>
  <w:style w:type="paragraph" w:customStyle="1" w:styleId="tekstoverskriftvk9">
    <w:name w:val="tekstoverskriftvk9"/>
    <w:basedOn w:val="Normal"/>
    <w:rsid w:val="000E14B6"/>
    <w:pPr>
      <w:spacing w:before="100" w:beforeAutospacing="1" w:after="100" w:afterAutospacing="1" w:line="240" w:lineRule="auto"/>
      <w:ind w:left="0"/>
    </w:pPr>
    <w:rPr>
      <w:rFonts w:ascii="Tahoma" w:eastAsia="Times New Roman" w:hAnsi="Tahoma" w:cs="Tahoma"/>
      <w:color w:val="000000"/>
      <w:sz w:val="24"/>
      <w:szCs w:val="24"/>
      <w:lang w:eastAsia="da-DK"/>
    </w:rPr>
  </w:style>
  <w:style w:type="paragraph" w:customStyle="1" w:styleId="normalind">
    <w:name w:val="normalind"/>
    <w:basedOn w:val="Normal"/>
    <w:rsid w:val="006D33DB"/>
    <w:pPr>
      <w:spacing w:before="60" w:line="240" w:lineRule="auto"/>
      <w:ind w:left="0" w:firstLine="170"/>
      <w:jc w:val="both"/>
    </w:pPr>
    <w:rPr>
      <w:rFonts w:ascii="Tahoma" w:eastAsia="Times New Roman" w:hAnsi="Tahoma" w:cs="Tahoma"/>
      <w:color w:val="000000"/>
      <w:sz w:val="24"/>
      <w:szCs w:val="24"/>
      <w:lang w:eastAsia="da-DK"/>
    </w:rPr>
  </w:style>
  <w:style w:type="character" w:customStyle="1" w:styleId="italic1">
    <w:name w:val="italic1"/>
    <w:basedOn w:val="Standardskrifttypeiafsnit"/>
    <w:rsid w:val="006D33DB"/>
    <w:rPr>
      <w:rFonts w:ascii="Tahoma" w:hAnsi="Tahoma" w:cs="Tahoma" w:hint="default"/>
      <w:i/>
      <w:iCs/>
      <w:color w:val="000000"/>
      <w:sz w:val="24"/>
      <w:szCs w:val="24"/>
      <w:shd w:val="clear" w:color="auto" w:fill="auto"/>
    </w:rPr>
  </w:style>
  <w:style w:type="character" w:styleId="Sidetal">
    <w:name w:val="page number"/>
    <w:basedOn w:val="Standardskrifttypeiafsnit"/>
    <w:uiPriority w:val="99"/>
    <w:semiHidden/>
    <w:unhideWhenUsed/>
    <w:rsid w:val="00DC1CF6"/>
    <w:rPr>
      <w:rFonts w:ascii="Tahoma" w:hAnsi="Tahoma" w:cs="Tahoma" w:hint="default"/>
      <w:color w:val="000000"/>
      <w:sz w:val="24"/>
      <w:szCs w:val="24"/>
      <w:shd w:val="clear" w:color="auto" w:fill="auto"/>
    </w:rPr>
  </w:style>
  <w:style w:type="paragraph" w:styleId="Markeringsbobletekst">
    <w:name w:val="Balloon Text"/>
    <w:basedOn w:val="Normal"/>
    <w:link w:val="MarkeringsbobletekstTegn"/>
    <w:uiPriority w:val="99"/>
    <w:semiHidden/>
    <w:unhideWhenUsed/>
    <w:rsid w:val="00C17916"/>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17916"/>
    <w:rPr>
      <w:rFonts w:ascii="Segoe UI" w:hAnsi="Segoe UI" w:cs="Segoe UI"/>
      <w:sz w:val="18"/>
      <w:szCs w:val="18"/>
    </w:rPr>
  </w:style>
  <w:style w:type="character" w:styleId="Kommentarhenvisning">
    <w:name w:val="annotation reference"/>
    <w:basedOn w:val="Standardskrifttypeiafsnit"/>
    <w:uiPriority w:val="99"/>
    <w:semiHidden/>
    <w:unhideWhenUsed/>
    <w:rsid w:val="001A6209"/>
    <w:rPr>
      <w:sz w:val="16"/>
      <w:szCs w:val="16"/>
    </w:rPr>
  </w:style>
  <w:style w:type="paragraph" w:styleId="Kommentartekst">
    <w:name w:val="annotation text"/>
    <w:basedOn w:val="Normal"/>
    <w:link w:val="KommentartekstTegn"/>
    <w:uiPriority w:val="99"/>
    <w:unhideWhenUsed/>
    <w:rsid w:val="001A6209"/>
    <w:pPr>
      <w:spacing w:line="240" w:lineRule="auto"/>
    </w:pPr>
    <w:rPr>
      <w:sz w:val="20"/>
      <w:szCs w:val="20"/>
    </w:rPr>
  </w:style>
  <w:style w:type="character" w:customStyle="1" w:styleId="KommentartekstTegn">
    <w:name w:val="Kommentartekst Tegn"/>
    <w:basedOn w:val="Standardskrifttypeiafsnit"/>
    <w:link w:val="Kommentartekst"/>
    <w:uiPriority w:val="99"/>
    <w:rsid w:val="001A6209"/>
    <w:rPr>
      <w:sz w:val="20"/>
      <w:szCs w:val="20"/>
    </w:rPr>
  </w:style>
  <w:style w:type="paragraph" w:styleId="Kommentaremne">
    <w:name w:val="annotation subject"/>
    <w:basedOn w:val="Kommentartekst"/>
    <w:next w:val="Kommentartekst"/>
    <w:link w:val="KommentaremneTegn"/>
    <w:uiPriority w:val="99"/>
    <w:semiHidden/>
    <w:unhideWhenUsed/>
    <w:rsid w:val="001A6209"/>
    <w:rPr>
      <w:b/>
      <w:bCs/>
    </w:rPr>
  </w:style>
  <w:style w:type="character" w:customStyle="1" w:styleId="KommentaremneTegn">
    <w:name w:val="Kommentaremne Tegn"/>
    <w:basedOn w:val="KommentartekstTegn"/>
    <w:link w:val="Kommentaremne"/>
    <w:uiPriority w:val="99"/>
    <w:semiHidden/>
    <w:rsid w:val="001A6209"/>
    <w:rPr>
      <w:b/>
      <w:bCs/>
      <w:sz w:val="20"/>
      <w:szCs w:val="20"/>
    </w:rPr>
  </w:style>
  <w:style w:type="character" w:styleId="Hyperlink">
    <w:name w:val="Hyperlink"/>
    <w:basedOn w:val="Standardskrifttypeiafsnit"/>
    <w:uiPriority w:val="99"/>
    <w:unhideWhenUsed/>
    <w:rsid w:val="0068487D"/>
    <w:rPr>
      <w:color w:val="0563C1" w:themeColor="hyperlink"/>
      <w:u w:val="single"/>
    </w:rPr>
  </w:style>
  <w:style w:type="character" w:styleId="Kraftigfremhvning">
    <w:name w:val="Intense Emphasis"/>
    <w:basedOn w:val="Standardskrifttypeiafsnit"/>
    <w:uiPriority w:val="21"/>
    <w:qFormat/>
    <w:rsid w:val="00735D7A"/>
    <w:rPr>
      <w:i/>
      <w:iCs/>
      <w:color w:val="5B9BD5" w:themeColor="accent1"/>
    </w:rPr>
  </w:style>
  <w:style w:type="paragraph" w:styleId="Listeafsnit">
    <w:name w:val="List Paragraph"/>
    <w:basedOn w:val="Normal"/>
    <w:uiPriority w:val="34"/>
    <w:qFormat/>
    <w:rsid w:val="002C136D"/>
    <w:pPr>
      <w:ind w:left="720"/>
      <w:contextualSpacing/>
    </w:pPr>
  </w:style>
  <w:style w:type="character" w:customStyle="1" w:styleId="Ulstomtale1">
    <w:name w:val="Uløst omtale1"/>
    <w:basedOn w:val="Standardskrifttypeiafsnit"/>
    <w:uiPriority w:val="99"/>
    <w:semiHidden/>
    <w:unhideWhenUsed/>
    <w:rsid w:val="00F372C0"/>
    <w:rPr>
      <w:color w:val="605E5C"/>
      <w:shd w:val="clear" w:color="auto" w:fill="E1DFDD"/>
    </w:rPr>
  </w:style>
  <w:style w:type="character" w:customStyle="1" w:styleId="Overskrift3Tegn">
    <w:name w:val="Overskrift 3 Tegn"/>
    <w:basedOn w:val="Standardskrifttypeiafsnit"/>
    <w:link w:val="Overskrift3"/>
    <w:uiPriority w:val="9"/>
    <w:rsid w:val="00813875"/>
    <w:rPr>
      <w:rFonts w:asciiTheme="majorHAnsi" w:eastAsiaTheme="majorEastAsia" w:hAnsiTheme="majorHAnsi" w:cstheme="majorBidi"/>
      <w:b/>
      <w:bCs/>
    </w:rPr>
  </w:style>
  <w:style w:type="paragraph" w:styleId="NormalWeb">
    <w:name w:val="Normal (Web)"/>
    <w:basedOn w:val="Normal"/>
    <w:uiPriority w:val="99"/>
    <w:semiHidden/>
    <w:unhideWhenUsed/>
    <w:rsid w:val="00221339"/>
    <w:pPr>
      <w:spacing w:before="100" w:beforeAutospacing="1" w:after="100" w:afterAutospacing="1" w:line="240" w:lineRule="auto"/>
      <w:ind w:left="0"/>
    </w:pPr>
    <w:rPr>
      <w:rFonts w:ascii="Times New Roman" w:eastAsia="Times New Roman" w:hAnsi="Times New Roman" w:cs="Times New Roman"/>
      <w:sz w:val="24"/>
      <w:szCs w:val="24"/>
      <w:lang w:eastAsia="da-DK"/>
    </w:rPr>
  </w:style>
  <w:style w:type="paragraph" w:styleId="Korrektur">
    <w:name w:val="Revision"/>
    <w:hidden/>
    <w:uiPriority w:val="99"/>
    <w:semiHidden/>
    <w:rsid w:val="009578A7"/>
    <w:pPr>
      <w:spacing w:line="240" w:lineRule="auto"/>
      <w:ind w:left="0"/>
    </w:pPr>
  </w:style>
  <w:style w:type="character" w:customStyle="1" w:styleId="Overskrift1Tegn">
    <w:name w:val="Overskrift 1 Tegn"/>
    <w:basedOn w:val="Standardskrifttypeiafsnit"/>
    <w:link w:val="Overskrift1"/>
    <w:uiPriority w:val="9"/>
    <w:rsid w:val="001418B7"/>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semiHidden/>
    <w:rsid w:val="001418B7"/>
    <w:rPr>
      <w:rFonts w:asciiTheme="majorHAnsi" w:eastAsiaTheme="majorEastAsia" w:hAnsiTheme="majorHAnsi" w:cstheme="majorBidi"/>
      <w:color w:val="2E74B5" w:themeColor="accent1" w:themeShade="BF"/>
      <w:sz w:val="26"/>
      <w:szCs w:val="26"/>
    </w:rPr>
  </w:style>
  <w:style w:type="character" w:customStyle="1" w:styleId="Overskrift5Tegn">
    <w:name w:val="Overskrift 5 Tegn"/>
    <w:basedOn w:val="Standardskrifttypeiafsnit"/>
    <w:link w:val="Overskrift5"/>
    <w:uiPriority w:val="9"/>
    <w:semiHidden/>
    <w:rsid w:val="001418B7"/>
    <w:rPr>
      <w:rFonts w:asciiTheme="majorHAnsi" w:eastAsiaTheme="majorEastAsia" w:hAnsiTheme="majorHAnsi" w:cstheme="majorBidi"/>
      <w:color w:val="2E74B5" w:themeColor="accent1" w:themeShade="BF"/>
    </w:rPr>
  </w:style>
  <w:style w:type="table" w:styleId="Lysskygge-fremhvningsfarve5">
    <w:name w:val="Light Shading Accent 5"/>
    <w:basedOn w:val="Tabel-Normal"/>
    <w:uiPriority w:val="60"/>
    <w:rsid w:val="001418B7"/>
    <w:pPr>
      <w:spacing w:line="240" w:lineRule="auto"/>
      <w:ind w:left="0"/>
    </w:pPr>
    <w:rPr>
      <w:rFonts w:ascii="Times New Roman" w:eastAsia="Times New Roman" w:hAnsi="Times New Roman" w:cs="Times New Roman"/>
      <w:color w:val="2F5496" w:themeColor="accent5" w:themeShade="BF"/>
      <w:sz w:val="20"/>
      <w:szCs w:val="20"/>
      <w:lang w:eastAsia="da-DK"/>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customStyle="1" w:styleId="Ulstomtale2">
    <w:name w:val="Uløst omtale2"/>
    <w:basedOn w:val="Standardskrifttypeiafsnit"/>
    <w:uiPriority w:val="99"/>
    <w:semiHidden/>
    <w:unhideWhenUsed/>
    <w:rsid w:val="00F75D6E"/>
    <w:rPr>
      <w:color w:val="605E5C"/>
      <w:shd w:val="clear" w:color="auto" w:fill="E1DFDD"/>
    </w:rPr>
  </w:style>
  <w:style w:type="character" w:customStyle="1" w:styleId="Ulstomtale3">
    <w:name w:val="Uløst omtale3"/>
    <w:basedOn w:val="Standardskrifttypeiafsnit"/>
    <w:uiPriority w:val="99"/>
    <w:semiHidden/>
    <w:unhideWhenUsed/>
    <w:rsid w:val="00757CB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line="288" w:lineRule="auto"/>
        <w:ind w:lef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1418B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semiHidden/>
    <w:unhideWhenUsed/>
    <w:qFormat/>
    <w:rsid w:val="001418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autoRedefine/>
    <w:uiPriority w:val="9"/>
    <w:unhideWhenUsed/>
    <w:qFormat/>
    <w:rsid w:val="00813875"/>
    <w:pPr>
      <w:keepNext/>
      <w:keepLines/>
      <w:spacing w:before="200" w:line="276" w:lineRule="auto"/>
      <w:ind w:left="0"/>
      <w:outlineLvl w:val="2"/>
    </w:pPr>
    <w:rPr>
      <w:rFonts w:asciiTheme="majorHAnsi" w:eastAsiaTheme="majorEastAsia" w:hAnsiTheme="majorHAnsi" w:cstheme="majorBidi"/>
      <w:b/>
      <w:bCs/>
    </w:rPr>
  </w:style>
  <w:style w:type="paragraph" w:styleId="Overskrift5">
    <w:name w:val="heading 5"/>
    <w:basedOn w:val="Normal"/>
    <w:next w:val="Normal"/>
    <w:link w:val="Overskrift5Tegn"/>
    <w:uiPriority w:val="9"/>
    <w:semiHidden/>
    <w:unhideWhenUsed/>
    <w:qFormat/>
    <w:rsid w:val="001418B7"/>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B36E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B36E0"/>
  </w:style>
  <w:style w:type="paragraph" w:styleId="Sidefod">
    <w:name w:val="footer"/>
    <w:basedOn w:val="Normal"/>
    <w:link w:val="SidefodTegn"/>
    <w:uiPriority w:val="99"/>
    <w:unhideWhenUsed/>
    <w:rsid w:val="001B36E0"/>
    <w:pPr>
      <w:tabs>
        <w:tab w:val="center" w:pos="4819"/>
        <w:tab w:val="right" w:pos="9638"/>
      </w:tabs>
      <w:spacing w:line="240" w:lineRule="auto"/>
    </w:pPr>
  </w:style>
  <w:style w:type="character" w:customStyle="1" w:styleId="SidefodTegn">
    <w:name w:val="Sidefod Tegn"/>
    <w:basedOn w:val="Standardskrifttypeiafsnit"/>
    <w:link w:val="Sidefod"/>
    <w:uiPriority w:val="99"/>
    <w:rsid w:val="001B36E0"/>
  </w:style>
  <w:style w:type="paragraph" w:customStyle="1" w:styleId="normalind9">
    <w:name w:val="normalind9"/>
    <w:basedOn w:val="Normal"/>
    <w:rsid w:val="000E14B6"/>
    <w:pPr>
      <w:spacing w:before="60" w:line="240" w:lineRule="auto"/>
      <w:ind w:left="0" w:firstLine="170"/>
      <w:jc w:val="both"/>
    </w:pPr>
    <w:rPr>
      <w:rFonts w:ascii="Tahoma" w:eastAsia="Times New Roman" w:hAnsi="Tahoma" w:cs="Tahoma"/>
      <w:color w:val="000000"/>
      <w:sz w:val="24"/>
      <w:szCs w:val="24"/>
      <w:lang w:eastAsia="da-DK"/>
    </w:rPr>
  </w:style>
  <w:style w:type="paragraph" w:customStyle="1" w:styleId="tekstoverskriftvk9">
    <w:name w:val="tekstoverskriftvk9"/>
    <w:basedOn w:val="Normal"/>
    <w:rsid w:val="000E14B6"/>
    <w:pPr>
      <w:spacing w:before="100" w:beforeAutospacing="1" w:after="100" w:afterAutospacing="1" w:line="240" w:lineRule="auto"/>
      <w:ind w:left="0"/>
    </w:pPr>
    <w:rPr>
      <w:rFonts w:ascii="Tahoma" w:eastAsia="Times New Roman" w:hAnsi="Tahoma" w:cs="Tahoma"/>
      <w:color w:val="000000"/>
      <w:sz w:val="24"/>
      <w:szCs w:val="24"/>
      <w:lang w:eastAsia="da-DK"/>
    </w:rPr>
  </w:style>
  <w:style w:type="paragraph" w:customStyle="1" w:styleId="normalind">
    <w:name w:val="normalind"/>
    <w:basedOn w:val="Normal"/>
    <w:rsid w:val="006D33DB"/>
    <w:pPr>
      <w:spacing w:before="60" w:line="240" w:lineRule="auto"/>
      <w:ind w:left="0" w:firstLine="170"/>
      <w:jc w:val="both"/>
    </w:pPr>
    <w:rPr>
      <w:rFonts w:ascii="Tahoma" w:eastAsia="Times New Roman" w:hAnsi="Tahoma" w:cs="Tahoma"/>
      <w:color w:val="000000"/>
      <w:sz w:val="24"/>
      <w:szCs w:val="24"/>
      <w:lang w:eastAsia="da-DK"/>
    </w:rPr>
  </w:style>
  <w:style w:type="character" w:customStyle="1" w:styleId="italic1">
    <w:name w:val="italic1"/>
    <w:basedOn w:val="Standardskrifttypeiafsnit"/>
    <w:rsid w:val="006D33DB"/>
    <w:rPr>
      <w:rFonts w:ascii="Tahoma" w:hAnsi="Tahoma" w:cs="Tahoma" w:hint="default"/>
      <w:i/>
      <w:iCs/>
      <w:color w:val="000000"/>
      <w:sz w:val="24"/>
      <w:szCs w:val="24"/>
      <w:shd w:val="clear" w:color="auto" w:fill="auto"/>
    </w:rPr>
  </w:style>
  <w:style w:type="character" w:styleId="Sidetal">
    <w:name w:val="page number"/>
    <w:basedOn w:val="Standardskrifttypeiafsnit"/>
    <w:uiPriority w:val="99"/>
    <w:semiHidden/>
    <w:unhideWhenUsed/>
    <w:rsid w:val="00DC1CF6"/>
    <w:rPr>
      <w:rFonts w:ascii="Tahoma" w:hAnsi="Tahoma" w:cs="Tahoma" w:hint="default"/>
      <w:color w:val="000000"/>
      <w:sz w:val="24"/>
      <w:szCs w:val="24"/>
      <w:shd w:val="clear" w:color="auto" w:fill="auto"/>
    </w:rPr>
  </w:style>
  <w:style w:type="paragraph" w:styleId="Markeringsbobletekst">
    <w:name w:val="Balloon Text"/>
    <w:basedOn w:val="Normal"/>
    <w:link w:val="MarkeringsbobletekstTegn"/>
    <w:uiPriority w:val="99"/>
    <w:semiHidden/>
    <w:unhideWhenUsed/>
    <w:rsid w:val="00C17916"/>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17916"/>
    <w:rPr>
      <w:rFonts w:ascii="Segoe UI" w:hAnsi="Segoe UI" w:cs="Segoe UI"/>
      <w:sz w:val="18"/>
      <w:szCs w:val="18"/>
    </w:rPr>
  </w:style>
  <w:style w:type="character" w:styleId="Kommentarhenvisning">
    <w:name w:val="annotation reference"/>
    <w:basedOn w:val="Standardskrifttypeiafsnit"/>
    <w:uiPriority w:val="99"/>
    <w:semiHidden/>
    <w:unhideWhenUsed/>
    <w:rsid w:val="001A6209"/>
    <w:rPr>
      <w:sz w:val="16"/>
      <w:szCs w:val="16"/>
    </w:rPr>
  </w:style>
  <w:style w:type="paragraph" w:styleId="Kommentartekst">
    <w:name w:val="annotation text"/>
    <w:basedOn w:val="Normal"/>
    <w:link w:val="KommentartekstTegn"/>
    <w:uiPriority w:val="99"/>
    <w:unhideWhenUsed/>
    <w:rsid w:val="001A6209"/>
    <w:pPr>
      <w:spacing w:line="240" w:lineRule="auto"/>
    </w:pPr>
    <w:rPr>
      <w:sz w:val="20"/>
      <w:szCs w:val="20"/>
    </w:rPr>
  </w:style>
  <w:style w:type="character" w:customStyle="1" w:styleId="KommentartekstTegn">
    <w:name w:val="Kommentartekst Tegn"/>
    <w:basedOn w:val="Standardskrifttypeiafsnit"/>
    <w:link w:val="Kommentartekst"/>
    <w:uiPriority w:val="99"/>
    <w:rsid w:val="001A6209"/>
    <w:rPr>
      <w:sz w:val="20"/>
      <w:szCs w:val="20"/>
    </w:rPr>
  </w:style>
  <w:style w:type="paragraph" w:styleId="Kommentaremne">
    <w:name w:val="annotation subject"/>
    <w:basedOn w:val="Kommentartekst"/>
    <w:next w:val="Kommentartekst"/>
    <w:link w:val="KommentaremneTegn"/>
    <w:uiPriority w:val="99"/>
    <w:semiHidden/>
    <w:unhideWhenUsed/>
    <w:rsid w:val="001A6209"/>
    <w:rPr>
      <w:b/>
      <w:bCs/>
    </w:rPr>
  </w:style>
  <w:style w:type="character" w:customStyle="1" w:styleId="KommentaremneTegn">
    <w:name w:val="Kommentaremne Tegn"/>
    <w:basedOn w:val="KommentartekstTegn"/>
    <w:link w:val="Kommentaremne"/>
    <w:uiPriority w:val="99"/>
    <w:semiHidden/>
    <w:rsid w:val="001A6209"/>
    <w:rPr>
      <w:b/>
      <w:bCs/>
      <w:sz w:val="20"/>
      <w:szCs w:val="20"/>
    </w:rPr>
  </w:style>
  <w:style w:type="character" w:styleId="Hyperlink">
    <w:name w:val="Hyperlink"/>
    <w:basedOn w:val="Standardskrifttypeiafsnit"/>
    <w:uiPriority w:val="99"/>
    <w:unhideWhenUsed/>
    <w:rsid w:val="0068487D"/>
    <w:rPr>
      <w:color w:val="0563C1" w:themeColor="hyperlink"/>
      <w:u w:val="single"/>
    </w:rPr>
  </w:style>
  <w:style w:type="character" w:styleId="Kraftigfremhvning">
    <w:name w:val="Intense Emphasis"/>
    <w:basedOn w:val="Standardskrifttypeiafsnit"/>
    <w:uiPriority w:val="21"/>
    <w:qFormat/>
    <w:rsid w:val="00735D7A"/>
    <w:rPr>
      <w:i/>
      <w:iCs/>
      <w:color w:val="5B9BD5" w:themeColor="accent1"/>
    </w:rPr>
  </w:style>
  <w:style w:type="paragraph" w:styleId="Listeafsnit">
    <w:name w:val="List Paragraph"/>
    <w:basedOn w:val="Normal"/>
    <w:uiPriority w:val="34"/>
    <w:qFormat/>
    <w:rsid w:val="002C136D"/>
    <w:pPr>
      <w:ind w:left="720"/>
      <w:contextualSpacing/>
    </w:pPr>
  </w:style>
  <w:style w:type="character" w:customStyle="1" w:styleId="Ulstomtale1">
    <w:name w:val="Uløst omtale1"/>
    <w:basedOn w:val="Standardskrifttypeiafsnit"/>
    <w:uiPriority w:val="99"/>
    <w:semiHidden/>
    <w:unhideWhenUsed/>
    <w:rsid w:val="00F372C0"/>
    <w:rPr>
      <w:color w:val="605E5C"/>
      <w:shd w:val="clear" w:color="auto" w:fill="E1DFDD"/>
    </w:rPr>
  </w:style>
  <w:style w:type="character" w:customStyle="1" w:styleId="Overskrift3Tegn">
    <w:name w:val="Overskrift 3 Tegn"/>
    <w:basedOn w:val="Standardskrifttypeiafsnit"/>
    <w:link w:val="Overskrift3"/>
    <w:uiPriority w:val="9"/>
    <w:rsid w:val="00813875"/>
    <w:rPr>
      <w:rFonts w:asciiTheme="majorHAnsi" w:eastAsiaTheme="majorEastAsia" w:hAnsiTheme="majorHAnsi" w:cstheme="majorBidi"/>
      <w:b/>
      <w:bCs/>
    </w:rPr>
  </w:style>
  <w:style w:type="paragraph" w:styleId="NormalWeb">
    <w:name w:val="Normal (Web)"/>
    <w:basedOn w:val="Normal"/>
    <w:uiPriority w:val="99"/>
    <w:semiHidden/>
    <w:unhideWhenUsed/>
    <w:rsid w:val="00221339"/>
    <w:pPr>
      <w:spacing w:before="100" w:beforeAutospacing="1" w:after="100" w:afterAutospacing="1" w:line="240" w:lineRule="auto"/>
      <w:ind w:left="0"/>
    </w:pPr>
    <w:rPr>
      <w:rFonts w:ascii="Times New Roman" w:eastAsia="Times New Roman" w:hAnsi="Times New Roman" w:cs="Times New Roman"/>
      <w:sz w:val="24"/>
      <w:szCs w:val="24"/>
      <w:lang w:eastAsia="da-DK"/>
    </w:rPr>
  </w:style>
  <w:style w:type="paragraph" w:styleId="Korrektur">
    <w:name w:val="Revision"/>
    <w:hidden/>
    <w:uiPriority w:val="99"/>
    <w:semiHidden/>
    <w:rsid w:val="009578A7"/>
    <w:pPr>
      <w:spacing w:line="240" w:lineRule="auto"/>
      <w:ind w:left="0"/>
    </w:pPr>
  </w:style>
  <w:style w:type="character" w:customStyle="1" w:styleId="Overskrift1Tegn">
    <w:name w:val="Overskrift 1 Tegn"/>
    <w:basedOn w:val="Standardskrifttypeiafsnit"/>
    <w:link w:val="Overskrift1"/>
    <w:uiPriority w:val="9"/>
    <w:rsid w:val="001418B7"/>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semiHidden/>
    <w:rsid w:val="001418B7"/>
    <w:rPr>
      <w:rFonts w:asciiTheme="majorHAnsi" w:eastAsiaTheme="majorEastAsia" w:hAnsiTheme="majorHAnsi" w:cstheme="majorBidi"/>
      <w:color w:val="2E74B5" w:themeColor="accent1" w:themeShade="BF"/>
      <w:sz w:val="26"/>
      <w:szCs w:val="26"/>
    </w:rPr>
  </w:style>
  <w:style w:type="character" w:customStyle="1" w:styleId="Overskrift5Tegn">
    <w:name w:val="Overskrift 5 Tegn"/>
    <w:basedOn w:val="Standardskrifttypeiafsnit"/>
    <w:link w:val="Overskrift5"/>
    <w:uiPriority w:val="9"/>
    <w:semiHidden/>
    <w:rsid w:val="001418B7"/>
    <w:rPr>
      <w:rFonts w:asciiTheme="majorHAnsi" w:eastAsiaTheme="majorEastAsia" w:hAnsiTheme="majorHAnsi" w:cstheme="majorBidi"/>
      <w:color w:val="2E74B5" w:themeColor="accent1" w:themeShade="BF"/>
    </w:rPr>
  </w:style>
  <w:style w:type="table" w:styleId="Lysskygge-fremhvningsfarve5">
    <w:name w:val="Light Shading Accent 5"/>
    <w:basedOn w:val="Tabel-Normal"/>
    <w:uiPriority w:val="60"/>
    <w:rsid w:val="001418B7"/>
    <w:pPr>
      <w:spacing w:line="240" w:lineRule="auto"/>
      <w:ind w:left="0"/>
    </w:pPr>
    <w:rPr>
      <w:rFonts w:ascii="Times New Roman" w:eastAsia="Times New Roman" w:hAnsi="Times New Roman" w:cs="Times New Roman"/>
      <w:color w:val="2F5496" w:themeColor="accent5" w:themeShade="BF"/>
      <w:sz w:val="20"/>
      <w:szCs w:val="20"/>
      <w:lang w:eastAsia="da-DK"/>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customStyle="1" w:styleId="Ulstomtale2">
    <w:name w:val="Uløst omtale2"/>
    <w:basedOn w:val="Standardskrifttypeiafsnit"/>
    <w:uiPriority w:val="99"/>
    <w:semiHidden/>
    <w:unhideWhenUsed/>
    <w:rsid w:val="00F75D6E"/>
    <w:rPr>
      <w:color w:val="605E5C"/>
      <w:shd w:val="clear" w:color="auto" w:fill="E1DFDD"/>
    </w:rPr>
  </w:style>
  <w:style w:type="character" w:customStyle="1" w:styleId="Ulstomtale3">
    <w:name w:val="Uløst omtale3"/>
    <w:basedOn w:val="Standardskrifttypeiafsnit"/>
    <w:uiPriority w:val="99"/>
    <w:semiHidden/>
    <w:unhideWhenUsed/>
    <w:rsid w:val="00757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5146">
      <w:bodyDiv w:val="1"/>
      <w:marLeft w:val="0"/>
      <w:marRight w:val="0"/>
      <w:marTop w:val="0"/>
      <w:marBottom w:val="0"/>
      <w:divBdr>
        <w:top w:val="none" w:sz="0" w:space="0" w:color="auto"/>
        <w:left w:val="none" w:sz="0" w:space="0" w:color="auto"/>
        <w:bottom w:val="none" w:sz="0" w:space="0" w:color="auto"/>
        <w:right w:val="none" w:sz="0" w:space="0" w:color="auto"/>
      </w:divBdr>
      <w:divsChild>
        <w:div w:id="381755905">
          <w:marLeft w:val="0"/>
          <w:marRight w:val="0"/>
          <w:marTop w:val="0"/>
          <w:marBottom w:val="300"/>
          <w:divBdr>
            <w:top w:val="none" w:sz="0" w:space="0" w:color="auto"/>
            <w:left w:val="none" w:sz="0" w:space="0" w:color="auto"/>
            <w:bottom w:val="none" w:sz="0" w:space="0" w:color="auto"/>
            <w:right w:val="none" w:sz="0" w:space="0" w:color="auto"/>
          </w:divBdr>
          <w:divsChild>
            <w:div w:id="1160342483">
              <w:marLeft w:val="0"/>
              <w:marRight w:val="0"/>
              <w:marTop w:val="0"/>
              <w:marBottom w:val="0"/>
              <w:divBdr>
                <w:top w:val="none" w:sz="0" w:space="0" w:color="auto"/>
                <w:left w:val="single" w:sz="6" w:space="1" w:color="FFFFFF"/>
                <w:bottom w:val="none" w:sz="0" w:space="0" w:color="auto"/>
                <w:right w:val="single" w:sz="6" w:space="1" w:color="FFFFFF"/>
              </w:divBdr>
              <w:divsChild>
                <w:div w:id="1792826169">
                  <w:marLeft w:val="0"/>
                  <w:marRight w:val="0"/>
                  <w:marTop w:val="0"/>
                  <w:marBottom w:val="0"/>
                  <w:divBdr>
                    <w:top w:val="none" w:sz="0" w:space="0" w:color="auto"/>
                    <w:left w:val="none" w:sz="0" w:space="0" w:color="auto"/>
                    <w:bottom w:val="none" w:sz="0" w:space="0" w:color="auto"/>
                    <w:right w:val="none" w:sz="0" w:space="0" w:color="auto"/>
                  </w:divBdr>
                  <w:divsChild>
                    <w:div w:id="1629043822">
                      <w:marLeft w:val="0"/>
                      <w:marRight w:val="0"/>
                      <w:marTop w:val="0"/>
                      <w:marBottom w:val="0"/>
                      <w:divBdr>
                        <w:top w:val="none" w:sz="0" w:space="0" w:color="auto"/>
                        <w:left w:val="none" w:sz="0" w:space="0" w:color="auto"/>
                        <w:bottom w:val="none" w:sz="0" w:space="0" w:color="auto"/>
                        <w:right w:val="none" w:sz="0" w:space="0" w:color="auto"/>
                      </w:divBdr>
                      <w:divsChild>
                        <w:div w:id="1599562645">
                          <w:marLeft w:val="0"/>
                          <w:marRight w:val="0"/>
                          <w:marTop w:val="0"/>
                          <w:marBottom w:val="0"/>
                          <w:divBdr>
                            <w:top w:val="none" w:sz="0" w:space="0" w:color="auto"/>
                            <w:left w:val="none" w:sz="0" w:space="0" w:color="auto"/>
                            <w:bottom w:val="none" w:sz="0" w:space="0" w:color="auto"/>
                            <w:right w:val="none" w:sz="0" w:space="0" w:color="auto"/>
                          </w:divBdr>
                          <w:divsChild>
                            <w:div w:id="1681855241">
                              <w:marLeft w:val="0"/>
                              <w:marRight w:val="0"/>
                              <w:marTop w:val="0"/>
                              <w:marBottom w:val="0"/>
                              <w:divBdr>
                                <w:top w:val="none" w:sz="0" w:space="0" w:color="auto"/>
                                <w:left w:val="none" w:sz="0" w:space="0" w:color="auto"/>
                                <w:bottom w:val="none" w:sz="0" w:space="0" w:color="auto"/>
                                <w:right w:val="none" w:sz="0" w:space="0" w:color="auto"/>
                              </w:divBdr>
                              <w:divsChild>
                                <w:div w:id="1052000180">
                                  <w:marLeft w:val="0"/>
                                  <w:marRight w:val="0"/>
                                  <w:marTop w:val="0"/>
                                  <w:marBottom w:val="0"/>
                                  <w:divBdr>
                                    <w:top w:val="none" w:sz="0" w:space="0" w:color="auto"/>
                                    <w:left w:val="none" w:sz="0" w:space="0" w:color="auto"/>
                                    <w:bottom w:val="none" w:sz="0" w:space="0" w:color="auto"/>
                                    <w:right w:val="none" w:sz="0" w:space="0" w:color="auto"/>
                                  </w:divBdr>
                                  <w:divsChild>
                                    <w:div w:id="1879850383">
                                      <w:marLeft w:val="0"/>
                                      <w:marRight w:val="0"/>
                                      <w:marTop w:val="0"/>
                                      <w:marBottom w:val="0"/>
                                      <w:divBdr>
                                        <w:top w:val="none" w:sz="0" w:space="0" w:color="auto"/>
                                        <w:left w:val="none" w:sz="0" w:space="0" w:color="auto"/>
                                        <w:bottom w:val="none" w:sz="0" w:space="0" w:color="auto"/>
                                        <w:right w:val="none" w:sz="0" w:space="0" w:color="auto"/>
                                      </w:divBdr>
                                      <w:divsChild>
                                        <w:div w:id="13318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439073">
      <w:bodyDiv w:val="1"/>
      <w:marLeft w:val="0"/>
      <w:marRight w:val="0"/>
      <w:marTop w:val="0"/>
      <w:marBottom w:val="0"/>
      <w:divBdr>
        <w:top w:val="none" w:sz="0" w:space="0" w:color="auto"/>
        <w:left w:val="none" w:sz="0" w:space="0" w:color="auto"/>
        <w:bottom w:val="none" w:sz="0" w:space="0" w:color="auto"/>
        <w:right w:val="none" w:sz="0" w:space="0" w:color="auto"/>
      </w:divBdr>
    </w:div>
    <w:div w:id="723531854">
      <w:bodyDiv w:val="1"/>
      <w:marLeft w:val="0"/>
      <w:marRight w:val="0"/>
      <w:marTop w:val="0"/>
      <w:marBottom w:val="0"/>
      <w:divBdr>
        <w:top w:val="none" w:sz="0" w:space="0" w:color="auto"/>
        <w:left w:val="none" w:sz="0" w:space="0" w:color="auto"/>
        <w:bottom w:val="none" w:sz="0" w:space="0" w:color="auto"/>
        <w:right w:val="none" w:sz="0" w:space="0" w:color="auto"/>
      </w:divBdr>
      <w:divsChild>
        <w:div w:id="2045254689">
          <w:marLeft w:val="0"/>
          <w:marRight w:val="0"/>
          <w:marTop w:val="0"/>
          <w:marBottom w:val="300"/>
          <w:divBdr>
            <w:top w:val="none" w:sz="0" w:space="0" w:color="auto"/>
            <w:left w:val="none" w:sz="0" w:space="0" w:color="auto"/>
            <w:bottom w:val="none" w:sz="0" w:space="0" w:color="auto"/>
            <w:right w:val="none" w:sz="0" w:space="0" w:color="auto"/>
          </w:divBdr>
          <w:divsChild>
            <w:div w:id="1621649362">
              <w:marLeft w:val="0"/>
              <w:marRight w:val="0"/>
              <w:marTop w:val="0"/>
              <w:marBottom w:val="0"/>
              <w:divBdr>
                <w:top w:val="none" w:sz="0" w:space="0" w:color="auto"/>
                <w:left w:val="single" w:sz="6" w:space="1" w:color="FFFFFF"/>
                <w:bottom w:val="none" w:sz="0" w:space="0" w:color="auto"/>
                <w:right w:val="single" w:sz="6" w:space="1" w:color="FFFFFF"/>
              </w:divBdr>
              <w:divsChild>
                <w:div w:id="26370181">
                  <w:marLeft w:val="0"/>
                  <w:marRight w:val="0"/>
                  <w:marTop w:val="0"/>
                  <w:marBottom w:val="0"/>
                  <w:divBdr>
                    <w:top w:val="none" w:sz="0" w:space="0" w:color="auto"/>
                    <w:left w:val="none" w:sz="0" w:space="0" w:color="auto"/>
                    <w:bottom w:val="none" w:sz="0" w:space="0" w:color="auto"/>
                    <w:right w:val="none" w:sz="0" w:space="0" w:color="auto"/>
                  </w:divBdr>
                  <w:divsChild>
                    <w:div w:id="1053698871">
                      <w:marLeft w:val="0"/>
                      <w:marRight w:val="0"/>
                      <w:marTop w:val="0"/>
                      <w:marBottom w:val="0"/>
                      <w:divBdr>
                        <w:top w:val="none" w:sz="0" w:space="0" w:color="auto"/>
                        <w:left w:val="none" w:sz="0" w:space="0" w:color="auto"/>
                        <w:bottom w:val="none" w:sz="0" w:space="0" w:color="auto"/>
                        <w:right w:val="none" w:sz="0" w:space="0" w:color="auto"/>
                      </w:divBdr>
                      <w:divsChild>
                        <w:div w:id="297691445">
                          <w:marLeft w:val="0"/>
                          <w:marRight w:val="0"/>
                          <w:marTop w:val="0"/>
                          <w:marBottom w:val="0"/>
                          <w:divBdr>
                            <w:top w:val="none" w:sz="0" w:space="0" w:color="auto"/>
                            <w:left w:val="none" w:sz="0" w:space="0" w:color="auto"/>
                            <w:bottom w:val="none" w:sz="0" w:space="0" w:color="auto"/>
                            <w:right w:val="none" w:sz="0" w:space="0" w:color="auto"/>
                          </w:divBdr>
                          <w:divsChild>
                            <w:div w:id="878784719">
                              <w:marLeft w:val="0"/>
                              <w:marRight w:val="0"/>
                              <w:marTop w:val="0"/>
                              <w:marBottom w:val="0"/>
                              <w:divBdr>
                                <w:top w:val="none" w:sz="0" w:space="0" w:color="auto"/>
                                <w:left w:val="none" w:sz="0" w:space="0" w:color="auto"/>
                                <w:bottom w:val="none" w:sz="0" w:space="0" w:color="auto"/>
                                <w:right w:val="none" w:sz="0" w:space="0" w:color="auto"/>
                              </w:divBdr>
                              <w:divsChild>
                                <w:div w:id="381442022">
                                  <w:marLeft w:val="0"/>
                                  <w:marRight w:val="0"/>
                                  <w:marTop w:val="0"/>
                                  <w:marBottom w:val="0"/>
                                  <w:divBdr>
                                    <w:top w:val="none" w:sz="0" w:space="0" w:color="auto"/>
                                    <w:left w:val="none" w:sz="0" w:space="0" w:color="auto"/>
                                    <w:bottom w:val="none" w:sz="0" w:space="0" w:color="auto"/>
                                    <w:right w:val="none" w:sz="0" w:space="0" w:color="auto"/>
                                  </w:divBdr>
                                  <w:divsChild>
                                    <w:div w:id="138116028">
                                      <w:marLeft w:val="0"/>
                                      <w:marRight w:val="0"/>
                                      <w:marTop w:val="0"/>
                                      <w:marBottom w:val="0"/>
                                      <w:divBdr>
                                        <w:top w:val="none" w:sz="0" w:space="0" w:color="auto"/>
                                        <w:left w:val="none" w:sz="0" w:space="0" w:color="auto"/>
                                        <w:bottom w:val="none" w:sz="0" w:space="0" w:color="auto"/>
                                        <w:right w:val="none" w:sz="0" w:space="0" w:color="auto"/>
                                      </w:divBdr>
                                      <w:divsChild>
                                        <w:div w:id="98724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751463">
      <w:bodyDiv w:val="1"/>
      <w:marLeft w:val="0"/>
      <w:marRight w:val="0"/>
      <w:marTop w:val="0"/>
      <w:marBottom w:val="0"/>
      <w:divBdr>
        <w:top w:val="none" w:sz="0" w:space="0" w:color="auto"/>
        <w:left w:val="none" w:sz="0" w:space="0" w:color="auto"/>
        <w:bottom w:val="none" w:sz="0" w:space="0" w:color="auto"/>
        <w:right w:val="none" w:sz="0" w:space="0" w:color="auto"/>
      </w:divBdr>
      <w:divsChild>
        <w:div w:id="1667630005">
          <w:marLeft w:val="0"/>
          <w:marRight w:val="0"/>
          <w:marTop w:val="0"/>
          <w:marBottom w:val="300"/>
          <w:divBdr>
            <w:top w:val="none" w:sz="0" w:space="0" w:color="auto"/>
            <w:left w:val="none" w:sz="0" w:space="0" w:color="auto"/>
            <w:bottom w:val="none" w:sz="0" w:space="0" w:color="auto"/>
            <w:right w:val="none" w:sz="0" w:space="0" w:color="auto"/>
          </w:divBdr>
          <w:divsChild>
            <w:div w:id="1710757555">
              <w:marLeft w:val="0"/>
              <w:marRight w:val="0"/>
              <w:marTop w:val="0"/>
              <w:marBottom w:val="0"/>
              <w:divBdr>
                <w:top w:val="none" w:sz="0" w:space="0" w:color="auto"/>
                <w:left w:val="single" w:sz="6" w:space="1" w:color="FFFFFF"/>
                <w:bottom w:val="none" w:sz="0" w:space="0" w:color="auto"/>
                <w:right w:val="single" w:sz="6" w:space="1" w:color="FFFFFF"/>
              </w:divBdr>
              <w:divsChild>
                <w:div w:id="90395306">
                  <w:marLeft w:val="0"/>
                  <w:marRight w:val="0"/>
                  <w:marTop w:val="0"/>
                  <w:marBottom w:val="0"/>
                  <w:divBdr>
                    <w:top w:val="none" w:sz="0" w:space="0" w:color="auto"/>
                    <w:left w:val="none" w:sz="0" w:space="0" w:color="auto"/>
                    <w:bottom w:val="none" w:sz="0" w:space="0" w:color="auto"/>
                    <w:right w:val="none" w:sz="0" w:space="0" w:color="auto"/>
                  </w:divBdr>
                  <w:divsChild>
                    <w:div w:id="276300804">
                      <w:marLeft w:val="0"/>
                      <w:marRight w:val="0"/>
                      <w:marTop w:val="0"/>
                      <w:marBottom w:val="0"/>
                      <w:divBdr>
                        <w:top w:val="none" w:sz="0" w:space="0" w:color="auto"/>
                        <w:left w:val="none" w:sz="0" w:space="0" w:color="auto"/>
                        <w:bottom w:val="none" w:sz="0" w:space="0" w:color="auto"/>
                        <w:right w:val="none" w:sz="0" w:space="0" w:color="auto"/>
                      </w:divBdr>
                      <w:divsChild>
                        <w:div w:id="1342123188">
                          <w:marLeft w:val="0"/>
                          <w:marRight w:val="0"/>
                          <w:marTop w:val="0"/>
                          <w:marBottom w:val="0"/>
                          <w:divBdr>
                            <w:top w:val="none" w:sz="0" w:space="0" w:color="auto"/>
                            <w:left w:val="none" w:sz="0" w:space="0" w:color="auto"/>
                            <w:bottom w:val="none" w:sz="0" w:space="0" w:color="auto"/>
                            <w:right w:val="none" w:sz="0" w:space="0" w:color="auto"/>
                          </w:divBdr>
                          <w:divsChild>
                            <w:div w:id="1055615933">
                              <w:marLeft w:val="0"/>
                              <w:marRight w:val="0"/>
                              <w:marTop w:val="0"/>
                              <w:marBottom w:val="0"/>
                              <w:divBdr>
                                <w:top w:val="none" w:sz="0" w:space="0" w:color="auto"/>
                                <w:left w:val="none" w:sz="0" w:space="0" w:color="auto"/>
                                <w:bottom w:val="none" w:sz="0" w:space="0" w:color="auto"/>
                                <w:right w:val="none" w:sz="0" w:space="0" w:color="auto"/>
                              </w:divBdr>
                              <w:divsChild>
                                <w:div w:id="931357504">
                                  <w:marLeft w:val="0"/>
                                  <w:marRight w:val="0"/>
                                  <w:marTop w:val="0"/>
                                  <w:marBottom w:val="0"/>
                                  <w:divBdr>
                                    <w:top w:val="none" w:sz="0" w:space="0" w:color="auto"/>
                                    <w:left w:val="none" w:sz="0" w:space="0" w:color="auto"/>
                                    <w:bottom w:val="none" w:sz="0" w:space="0" w:color="auto"/>
                                    <w:right w:val="none" w:sz="0" w:space="0" w:color="auto"/>
                                  </w:divBdr>
                                  <w:divsChild>
                                    <w:div w:id="86560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750853">
      <w:bodyDiv w:val="1"/>
      <w:marLeft w:val="0"/>
      <w:marRight w:val="0"/>
      <w:marTop w:val="0"/>
      <w:marBottom w:val="0"/>
      <w:divBdr>
        <w:top w:val="none" w:sz="0" w:space="0" w:color="auto"/>
        <w:left w:val="none" w:sz="0" w:space="0" w:color="auto"/>
        <w:bottom w:val="none" w:sz="0" w:space="0" w:color="auto"/>
        <w:right w:val="none" w:sz="0" w:space="0" w:color="auto"/>
      </w:divBdr>
      <w:divsChild>
        <w:div w:id="1848902185">
          <w:marLeft w:val="0"/>
          <w:marRight w:val="0"/>
          <w:marTop w:val="0"/>
          <w:marBottom w:val="300"/>
          <w:divBdr>
            <w:top w:val="none" w:sz="0" w:space="0" w:color="auto"/>
            <w:left w:val="none" w:sz="0" w:space="0" w:color="auto"/>
            <w:bottom w:val="none" w:sz="0" w:space="0" w:color="auto"/>
            <w:right w:val="none" w:sz="0" w:space="0" w:color="auto"/>
          </w:divBdr>
          <w:divsChild>
            <w:div w:id="810708355">
              <w:marLeft w:val="0"/>
              <w:marRight w:val="0"/>
              <w:marTop w:val="0"/>
              <w:marBottom w:val="0"/>
              <w:divBdr>
                <w:top w:val="none" w:sz="0" w:space="0" w:color="auto"/>
                <w:left w:val="single" w:sz="6" w:space="1" w:color="FFFFFF"/>
                <w:bottom w:val="none" w:sz="0" w:space="0" w:color="auto"/>
                <w:right w:val="single" w:sz="6" w:space="1" w:color="FFFFFF"/>
              </w:divBdr>
              <w:divsChild>
                <w:div w:id="824784961">
                  <w:marLeft w:val="0"/>
                  <w:marRight w:val="0"/>
                  <w:marTop w:val="0"/>
                  <w:marBottom w:val="0"/>
                  <w:divBdr>
                    <w:top w:val="none" w:sz="0" w:space="0" w:color="auto"/>
                    <w:left w:val="none" w:sz="0" w:space="0" w:color="auto"/>
                    <w:bottom w:val="none" w:sz="0" w:space="0" w:color="auto"/>
                    <w:right w:val="none" w:sz="0" w:space="0" w:color="auto"/>
                  </w:divBdr>
                  <w:divsChild>
                    <w:div w:id="827984224">
                      <w:marLeft w:val="0"/>
                      <w:marRight w:val="0"/>
                      <w:marTop w:val="0"/>
                      <w:marBottom w:val="0"/>
                      <w:divBdr>
                        <w:top w:val="none" w:sz="0" w:space="0" w:color="auto"/>
                        <w:left w:val="none" w:sz="0" w:space="0" w:color="auto"/>
                        <w:bottom w:val="none" w:sz="0" w:space="0" w:color="auto"/>
                        <w:right w:val="none" w:sz="0" w:space="0" w:color="auto"/>
                      </w:divBdr>
                      <w:divsChild>
                        <w:div w:id="96676785">
                          <w:marLeft w:val="0"/>
                          <w:marRight w:val="0"/>
                          <w:marTop w:val="0"/>
                          <w:marBottom w:val="0"/>
                          <w:divBdr>
                            <w:top w:val="none" w:sz="0" w:space="0" w:color="auto"/>
                            <w:left w:val="none" w:sz="0" w:space="0" w:color="auto"/>
                            <w:bottom w:val="none" w:sz="0" w:space="0" w:color="auto"/>
                            <w:right w:val="none" w:sz="0" w:space="0" w:color="auto"/>
                          </w:divBdr>
                          <w:divsChild>
                            <w:div w:id="2049064057">
                              <w:marLeft w:val="0"/>
                              <w:marRight w:val="0"/>
                              <w:marTop w:val="0"/>
                              <w:marBottom w:val="0"/>
                              <w:divBdr>
                                <w:top w:val="none" w:sz="0" w:space="0" w:color="auto"/>
                                <w:left w:val="none" w:sz="0" w:space="0" w:color="auto"/>
                                <w:bottom w:val="none" w:sz="0" w:space="0" w:color="auto"/>
                                <w:right w:val="none" w:sz="0" w:space="0" w:color="auto"/>
                              </w:divBdr>
                              <w:divsChild>
                                <w:div w:id="1615669798">
                                  <w:marLeft w:val="0"/>
                                  <w:marRight w:val="0"/>
                                  <w:marTop w:val="0"/>
                                  <w:marBottom w:val="0"/>
                                  <w:divBdr>
                                    <w:top w:val="none" w:sz="0" w:space="0" w:color="auto"/>
                                    <w:left w:val="none" w:sz="0" w:space="0" w:color="auto"/>
                                    <w:bottom w:val="none" w:sz="0" w:space="0" w:color="auto"/>
                                    <w:right w:val="none" w:sz="0" w:space="0" w:color="auto"/>
                                  </w:divBdr>
                                  <w:divsChild>
                                    <w:div w:id="760106352">
                                      <w:marLeft w:val="0"/>
                                      <w:marRight w:val="0"/>
                                      <w:marTop w:val="0"/>
                                      <w:marBottom w:val="0"/>
                                      <w:divBdr>
                                        <w:top w:val="none" w:sz="0" w:space="0" w:color="auto"/>
                                        <w:left w:val="none" w:sz="0" w:space="0" w:color="auto"/>
                                        <w:bottom w:val="none" w:sz="0" w:space="0" w:color="auto"/>
                                        <w:right w:val="none" w:sz="0" w:space="0" w:color="auto"/>
                                      </w:divBdr>
                                      <w:divsChild>
                                        <w:div w:id="101804092">
                                          <w:marLeft w:val="0"/>
                                          <w:marRight w:val="0"/>
                                          <w:marTop w:val="0"/>
                                          <w:marBottom w:val="0"/>
                                          <w:divBdr>
                                            <w:top w:val="none" w:sz="0" w:space="0" w:color="auto"/>
                                            <w:left w:val="none" w:sz="0" w:space="0" w:color="auto"/>
                                            <w:bottom w:val="none" w:sz="0" w:space="0" w:color="auto"/>
                                            <w:right w:val="none" w:sz="0" w:space="0" w:color="auto"/>
                                          </w:divBdr>
                                        </w:div>
                                        <w:div w:id="104886964">
                                          <w:marLeft w:val="0"/>
                                          <w:marRight w:val="0"/>
                                          <w:marTop w:val="0"/>
                                          <w:marBottom w:val="0"/>
                                          <w:divBdr>
                                            <w:top w:val="none" w:sz="0" w:space="0" w:color="auto"/>
                                            <w:left w:val="none" w:sz="0" w:space="0" w:color="auto"/>
                                            <w:bottom w:val="none" w:sz="0" w:space="0" w:color="auto"/>
                                            <w:right w:val="none" w:sz="0" w:space="0" w:color="auto"/>
                                          </w:divBdr>
                                        </w:div>
                                        <w:div w:id="144470694">
                                          <w:marLeft w:val="0"/>
                                          <w:marRight w:val="0"/>
                                          <w:marTop w:val="0"/>
                                          <w:marBottom w:val="0"/>
                                          <w:divBdr>
                                            <w:top w:val="none" w:sz="0" w:space="0" w:color="auto"/>
                                            <w:left w:val="none" w:sz="0" w:space="0" w:color="auto"/>
                                            <w:bottom w:val="none" w:sz="0" w:space="0" w:color="auto"/>
                                            <w:right w:val="none" w:sz="0" w:space="0" w:color="auto"/>
                                          </w:divBdr>
                                        </w:div>
                                        <w:div w:id="410615721">
                                          <w:marLeft w:val="0"/>
                                          <w:marRight w:val="0"/>
                                          <w:marTop w:val="0"/>
                                          <w:marBottom w:val="0"/>
                                          <w:divBdr>
                                            <w:top w:val="none" w:sz="0" w:space="0" w:color="auto"/>
                                            <w:left w:val="none" w:sz="0" w:space="0" w:color="auto"/>
                                            <w:bottom w:val="none" w:sz="0" w:space="0" w:color="auto"/>
                                            <w:right w:val="none" w:sz="0" w:space="0" w:color="auto"/>
                                          </w:divBdr>
                                        </w:div>
                                        <w:div w:id="202967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23"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aalakkersuisut.gl" TargetMode="External"/><Relationship Id="rId14" Type="http://schemas.openxmlformats.org/officeDocument/2006/relationships/theme" Target="theme/theme1.xml"/><Relationship Id="rId22" Type="http://schemas.microsoft.com/office/2016/09/relationships/commentsIds" Target="commentsId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84598-6A9B-4997-9FD2-170394973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4502</Words>
  <Characters>27469</Characters>
  <Application>Microsoft Office Word</Application>
  <DocSecurity>0</DocSecurity>
  <Lines>228</Lines>
  <Paragraphs>63</Paragraphs>
  <ScaleCrop>false</ScaleCrop>
  <HeadingPairs>
    <vt:vector size="2" baseType="variant">
      <vt:variant>
        <vt:lpstr>Titel</vt:lpstr>
      </vt:variant>
      <vt:variant>
        <vt:i4>1</vt:i4>
      </vt:variant>
    </vt:vector>
  </HeadingPairs>
  <TitlesOfParts>
    <vt:vector size="1" baseType="lpstr">
      <vt:lpstr/>
    </vt:vector>
  </TitlesOfParts>
  <Company>Naalakkersuisut</Company>
  <LinksUpToDate>false</LinksUpToDate>
  <CharactersWithSpaces>31908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Steen Jonssen</dc:creator>
  <cp:lastModifiedBy>Zaynab Naji</cp:lastModifiedBy>
  <cp:revision>11</cp:revision>
  <cp:lastPrinted>2022-02-25T21:43:00Z</cp:lastPrinted>
  <dcterms:created xsi:type="dcterms:W3CDTF">2022-03-28T12:04:00Z</dcterms:created>
  <dcterms:modified xsi:type="dcterms:W3CDTF">2022-04-13T14:10:00Z</dcterms:modified>
</cp:coreProperties>
</file>