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CF665" w14:textId="3F36C894" w:rsidR="00D419FD" w:rsidRDefault="000176F3">
      <w:pPr>
        <w:pStyle w:val="FrontPageSmall"/>
      </w:pPr>
      <w:r>
        <w:t xml:space="preserve">Maj </w:t>
      </w:r>
      <w:r w:rsidR="00C55948">
        <w:t>201</w:t>
      </w:r>
      <w:r w:rsidR="00E94EEA">
        <w:t>9</w:t>
      </w:r>
    </w:p>
    <w:p w14:paraId="7D6CF666" w14:textId="0E2893D8" w:rsidR="00D419FD" w:rsidRDefault="00E94EEA">
      <w:pPr>
        <w:pStyle w:val="FrontPageSmall"/>
      </w:pPr>
      <w:r>
        <w:t>DEPARTEMENTET FOR NATUR</w:t>
      </w:r>
      <w:r w:rsidR="00435173">
        <w:t xml:space="preserve"> og</w:t>
      </w:r>
      <w:r>
        <w:t xml:space="preserve"> MILJØ</w:t>
      </w:r>
      <w:r w:rsidR="000014F9">
        <w:t>, Grønlands Selvstyre</w:t>
      </w:r>
    </w:p>
    <w:tbl>
      <w:tblPr>
        <w:tblStyle w:val="Tabel-Git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67" w:type="dxa"/>
        </w:tblCellMar>
        <w:tblLook w:val="04A0" w:firstRow="1" w:lastRow="0" w:firstColumn="1" w:lastColumn="0" w:noHBand="0" w:noVBand="1"/>
      </w:tblPr>
      <w:tblGrid>
        <w:gridCol w:w="2722"/>
        <w:gridCol w:w="2722"/>
        <w:gridCol w:w="2722"/>
        <w:gridCol w:w="2835"/>
      </w:tblGrid>
      <w:tr w:rsidR="00D419FD" w14:paraId="7D6CF66B" w14:textId="77777777">
        <w:trPr>
          <w:trHeight w:hRule="exact" w:val="652"/>
          <w:jc w:val="right"/>
        </w:trPr>
        <w:tc>
          <w:tcPr>
            <w:tcW w:w="2722" w:type="dxa"/>
          </w:tcPr>
          <w:p w14:paraId="7D6CF667" w14:textId="77777777" w:rsidR="00D419FD" w:rsidRDefault="00D419FD">
            <w:pPr>
              <w:pStyle w:val="FooterCowiLogo"/>
              <w:framePr w:wrap="around" w:x="886" w:y="15480" w:anchorLock="1"/>
              <w:jc w:val="right"/>
            </w:pPr>
          </w:p>
        </w:tc>
        <w:tc>
          <w:tcPr>
            <w:tcW w:w="2722" w:type="dxa"/>
          </w:tcPr>
          <w:p w14:paraId="7D6CF668" w14:textId="77777777" w:rsidR="00D419FD" w:rsidRDefault="00D419FD">
            <w:pPr>
              <w:pStyle w:val="FooterCowiLogo"/>
              <w:framePr w:wrap="around" w:x="886" w:y="15480" w:anchorLock="1"/>
              <w:jc w:val="right"/>
            </w:pPr>
          </w:p>
        </w:tc>
        <w:tc>
          <w:tcPr>
            <w:tcW w:w="2722" w:type="dxa"/>
          </w:tcPr>
          <w:p w14:paraId="7D6CF669" w14:textId="77777777" w:rsidR="00D419FD" w:rsidRDefault="00D419FD">
            <w:pPr>
              <w:pStyle w:val="FooterCowiLogo"/>
              <w:framePr w:wrap="around" w:x="886" w:y="15480" w:anchorLock="1"/>
              <w:jc w:val="right"/>
            </w:pPr>
          </w:p>
        </w:tc>
        <w:tc>
          <w:tcPr>
            <w:tcW w:w="2835" w:type="dxa"/>
            <w:tcMar>
              <w:right w:w="680" w:type="dxa"/>
            </w:tcMar>
          </w:tcPr>
          <w:p w14:paraId="7D6CF66A" w14:textId="77777777" w:rsidR="00D419FD" w:rsidRDefault="002F6DF0">
            <w:pPr>
              <w:pStyle w:val="FooterCowiLogo"/>
              <w:framePr w:wrap="around" w:x="886" w:y="15480" w:anchorLock="1"/>
              <w:jc w:val="right"/>
            </w:pPr>
            <w:r>
              <w:rPr>
                <w:lang w:val="kl-GL" w:eastAsia="kl-GL"/>
              </w:rPr>
              <w:drawing>
                <wp:inline distT="0" distB="0" distL="0" distR="0" wp14:anchorId="7D6CF81C" wp14:editId="7D6CF81D">
                  <wp:extent cx="1360800" cy="41040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iGreen.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0800" cy="410400"/>
                          </a:xfrm>
                          <a:prstGeom prst="rect">
                            <a:avLst/>
                          </a:prstGeom>
                        </pic:spPr>
                      </pic:pic>
                    </a:graphicData>
                  </a:graphic>
                </wp:inline>
              </w:drawing>
            </w:r>
          </w:p>
        </w:tc>
      </w:tr>
    </w:tbl>
    <w:p w14:paraId="7D6CF66C" w14:textId="77777777" w:rsidR="00D419FD" w:rsidRDefault="00D419FD">
      <w:pPr>
        <w:pStyle w:val="FooterCowiLogo"/>
        <w:framePr w:wrap="around" w:x="886" w:y="15480" w:anchorLock="1"/>
      </w:pPr>
    </w:p>
    <w:p w14:paraId="7D6CF66D" w14:textId="77777777" w:rsidR="00D419FD" w:rsidRDefault="000014F9" w:rsidP="004D57DA">
      <w:pPr>
        <w:pStyle w:val="FrontPage"/>
        <w:ind w:right="-1134"/>
      </w:pPr>
      <w:r>
        <w:t xml:space="preserve">Konsekvenser af </w:t>
      </w:r>
      <w:r w:rsidR="004D57DA">
        <w:t>tilbagekaldelse</w:t>
      </w:r>
      <w:r>
        <w:t xml:space="preserve"> af territorialt forbehold for Grønland i relation til Stockholmkonventionen</w:t>
      </w:r>
    </w:p>
    <w:p w14:paraId="7D6CF66F" w14:textId="79186E28" w:rsidR="00D419FD" w:rsidRDefault="0043287E">
      <w:pPr>
        <w:pStyle w:val="FrontPageSmall"/>
      </w:pPr>
      <w:r>
        <w:t>Teknisk Baggrundsrapport</w:t>
      </w:r>
    </w:p>
    <w:p w14:paraId="2CF77F2C" w14:textId="1ADF2F3C" w:rsidR="00C451B7" w:rsidRDefault="00C451B7">
      <w:pPr>
        <w:pStyle w:val="FrontPageSmall"/>
      </w:pPr>
    </w:p>
    <w:p w14:paraId="50EDF090" w14:textId="77777777" w:rsidR="00C451B7" w:rsidRDefault="00C451B7">
      <w:pPr>
        <w:pStyle w:val="FrontPageSmall"/>
      </w:pPr>
    </w:p>
    <w:p w14:paraId="5A20EB31" w14:textId="77777777" w:rsidR="00EE6FFF" w:rsidRDefault="00C451B7">
      <w:pPr>
        <w:pStyle w:val="FrontPageSmall"/>
      </w:pPr>
      <w:r>
        <w:t>Carsten Lassen, Mette Norengaard og Jesper Kjølholt</w:t>
      </w:r>
    </w:p>
    <w:p w14:paraId="5A3CC57A" w14:textId="77777777" w:rsidR="00EE6FFF" w:rsidRDefault="00EE6FFF">
      <w:pPr>
        <w:pStyle w:val="FrontPageSmall"/>
      </w:pPr>
    </w:p>
    <w:p w14:paraId="76F472A6" w14:textId="4559AC30" w:rsidR="00C451B7" w:rsidRDefault="00C451B7" w:rsidP="00EE6FFF">
      <w:pPr>
        <w:pStyle w:val="FrontPageSmall"/>
      </w:pPr>
    </w:p>
    <w:p w14:paraId="7D6CF670" w14:textId="77777777" w:rsidR="00D419FD" w:rsidRDefault="00D419FD">
      <w:pPr>
        <w:pStyle w:val="FrontPageImage"/>
      </w:pPr>
    </w:p>
    <w:p w14:paraId="7D6CF671" w14:textId="77777777" w:rsidR="00D419FD" w:rsidRDefault="00D419FD">
      <w:pPr>
        <w:pStyle w:val="FrontPageImage"/>
        <w:sectPr w:rsidR="00D419FD">
          <w:headerReference w:type="default" r:id="rId12"/>
          <w:type w:val="oddPage"/>
          <w:pgSz w:w="11907" w:h="16840" w:code="9"/>
          <w:pgMar w:top="1134" w:right="2552" w:bottom="2041" w:left="1418" w:header="851" w:footer="369" w:gutter="0"/>
          <w:pgNumType w:start="1"/>
          <w:cols w:space="708"/>
        </w:sectPr>
      </w:pPr>
    </w:p>
    <w:p w14:paraId="7D6CF672" w14:textId="77777777" w:rsidR="00D419FD" w:rsidRPr="00C64430" w:rsidRDefault="002F6DF0">
      <w:pPr>
        <w:pStyle w:val="HeaderCowiLogo"/>
        <w:framePr w:wrap="around"/>
        <w:rPr>
          <w:lang w:val="en-US"/>
        </w:rPr>
      </w:pPr>
      <w:r>
        <w:rPr>
          <w:lang w:val="kl-GL" w:eastAsia="kl-GL"/>
        </w:rPr>
        <w:lastRenderedPageBreak/>
        <w:drawing>
          <wp:inline distT="0" distB="0" distL="0" distR="0" wp14:anchorId="7D6CF81E" wp14:editId="7D6CF81F">
            <wp:extent cx="1360831" cy="41004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iGreen.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0831" cy="410040"/>
                    </a:xfrm>
                    <a:prstGeom prst="rect">
                      <a:avLst/>
                    </a:prstGeom>
                  </pic:spPr>
                </pic:pic>
              </a:graphicData>
            </a:graphic>
          </wp:inline>
        </w:drawing>
      </w:r>
      <w:r w:rsidRPr="00C64430">
        <w:rPr>
          <w:lang w:val="en-US"/>
        </w:rPr>
        <w:t xml:space="preserve"> </w:t>
      </w:r>
    </w:p>
    <w:p w14:paraId="7D6CF673" w14:textId="77777777" w:rsidR="00D419FD" w:rsidRDefault="000014F9">
      <w:pPr>
        <w:pStyle w:val="HeaderCowiAddress"/>
        <w:framePr w:wrap="around"/>
      </w:pPr>
      <w:r w:rsidRPr="00C64430">
        <w:rPr>
          <w:rStyle w:val="CowiLabel"/>
          <w:lang w:val="en-US"/>
        </w:rPr>
        <w:tab/>
      </w:r>
      <w:r w:rsidRPr="00F63968">
        <w:rPr>
          <w:rStyle w:val="CowiLabel"/>
          <w:lang w:val="en-US"/>
        </w:rPr>
        <w:t>Adresse</w:t>
      </w:r>
      <w:r w:rsidRPr="00F63968">
        <w:rPr>
          <w:lang w:val="en-US"/>
        </w:rPr>
        <w:tab/>
        <w:t>COWI A/S</w:t>
      </w:r>
      <w:r w:rsidRPr="00F63968">
        <w:rPr>
          <w:lang w:val="en-US"/>
        </w:rPr>
        <w:br/>
        <w:t xml:space="preserve">Jens Chr. </w:t>
      </w:r>
      <w:r>
        <w:t>Skous Vej 9</w:t>
      </w:r>
      <w:r>
        <w:br/>
        <w:t>8000 Aarhus C</w:t>
      </w:r>
    </w:p>
    <w:p w14:paraId="7D6CF674" w14:textId="77777777" w:rsidR="000014F9" w:rsidRDefault="000014F9">
      <w:pPr>
        <w:pStyle w:val="HeaderCowiAddress"/>
        <w:framePr w:wrap="around"/>
      </w:pPr>
    </w:p>
    <w:p w14:paraId="7D6CF675" w14:textId="77777777" w:rsidR="000014F9" w:rsidRDefault="000014F9">
      <w:pPr>
        <w:pStyle w:val="HeaderCowiAddress"/>
        <w:framePr w:wrap="around"/>
      </w:pPr>
      <w:r w:rsidRPr="000014F9">
        <w:rPr>
          <w:rStyle w:val="CowiLabel"/>
        </w:rPr>
        <w:tab/>
        <w:t>Tlf</w:t>
      </w:r>
      <w:r w:rsidRPr="000014F9">
        <w:tab/>
        <w:t>+45 56 40 00 00</w:t>
      </w:r>
    </w:p>
    <w:p w14:paraId="7D6CF676" w14:textId="77777777" w:rsidR="000014F9" w:rsidRDefault="000014F9">
      <w:pPr>
        <w:pStyle w:val="HeaderCowiAddress"/>
        <w:framePr w:wrap="around"/>
      </w:pPr>
      <w:r w:rsidRPr="000014F9">
        <w:rPr>
          <w:rStyle w:val="CowiLabel"/>
        </w:rPr>
        <w:tab/>
        <w:t>Fax</w:t>
      </w:r>
      <w:r w:rsidRPr="000014F9">
        <w:tab/>
        <w:t>+45 56 40 99 99</w:t>
      </w:r>
    </w:p>
    <w:p w14:paraId="7D6CF677" w14:textId="77777777" w:rsidR="000014F9" w:rsidRDefault="000014F9">
      <w:pPr>
        <w:pStyle w:val="HeaderCowiAddress"/>
        <w:framePr w:wrap="around"/>
      </w:pPr>
      <w:r w:rsidRPr="000014F9">
        <w:rPr>
          <w:rStyle w:val="CowiLabel"/>
        </w:rPr>
        <w:tab/>
        <w:t>www</w:t>
      </w:r>
      <w:r w:rsidRPr="000014F9">
        <w:tab/>
        <w:t>cowi.dk</w:t>
      </w:r>
    </w:p>
    <w:p w14:paraId="7D6CF697" w14:textId="33B9A557" w:rsidR="00D419FD" w:rsidRDefault="000176F3">
      <w:pPr>
        <w:pStyle w:val="FrontPageSmall"/>
      </w:pPr>
      <w:r>
        <w:t xml:space="preserve">Maj </w:t>
      </w:r>
      <w:r w:rsidR="00C55948">
        <w:t>201</w:t>
      </w:r>
      <w:r w:rsidR="00115B38">
        <w:t>9</w:t>
      </w:r>
    </w:p>
    <w:p w14:paraId="7D6CF698" w14:textId="113B318E" w:rsidR="00D419FD" w:rsidRDefault="0018052A">
      <w:pPr>
        <w:pStyle w:val="FrontPageSmall"/>
      </w:pPr>
      <w:r w:rsidRPr="0018052A">
        <w:t xml:space="preserve">Departementet for </w:t>
      </w:r>
      <w:r>
        <w:t>Natur</w:t>
      </w:r>
      <w:r w:rsidR="00526E09">
        <w:t xml:space="preserve"> og</w:t>
      </w:r>
      <w:r w:rsidR="00E94EEA">
        <w:t xml:space="preserve"> </w:t>
      </w:r>
      <w:r>
        <w:t>Miljø</w:t>
      </w:r>
      <w:r w:rsidR="00781582">
        <w:t>,</w:t>
      </w:r>
      <w:r w:rsidR="004D57DA">
        <w:t xml:space="preserve"> Grønlands Selvstyre</w:t>
      </w:r>
      <w:r w:rsidR="00E96B53">
        <w:t xml:space="preserve"> </w:t>
      </w:r>
    </w:p>
    <w:p w14:paraId="7D6CF699" w14:textId="77777777" w:rsidR="00D419FD" w:rsidRDefault="000014F9">
      <w:pPr>
        <w:pStyle w:val="CowiTitle"/>
      </w:pPr>
      <w:r>
        <w:t xml:space="preserve">Konsekvenser af </w:t>
      </w:r>
      <w:r w:rsidR="004D57DA">
        <w:t>tilbagekaldelse</w:t>
      </w:r>
      <w:r>
        <w:t xml:space="preserve"> af territorialt forbehold for Grønland i relation til Stockholmkonventionen</w:t>
      </w:r>
    </w:p>
    <w:p w14:paraId="7D6CF69B" w14:textId="63BC2FA1" w:rsidR="00D419FD" w:rsidRDefault="0043287E">
      <w:pPr>
        <w:pStyle w:val="FrontPageSmall"/>
      </w:pPr>
      <w:r>
        <w:t>Teknisk Baggrundsrapport</w:t>
      </w:r>
    </w:p>
    <w:p w14:paraId="7D6CF69C" w14:textId="77777777" w:rsidR="00D419FD" w:rsidRDefault="00D419FD">
      <w:pPr>
        <w:pStyle w:val="Brdtekst"/>
      </w:pPr>
    </w:p>
    <w:p w14:paraId="7D6CF69D" w14:textId="77777777" w:rsidR="00D419FD" w:rsidRDefault="00D419FD">
      <w:pPr>
        <w:pStyle w:val="Brdtekst"/>
        <w:sectPr w:rsidR="00D419FD">
          <w:headerReference w:type="default" r:id="rId13"/>
          <w:footerReference w:type="default" r:id="rId14"/>
          <w:type w:val="oddPage"/>
          <w:pgSz w:w="11907" w:h="16840" w:code="9"/>
          <w:pgMar w:top="4820" w:right="2552" w:bottom="1134" w:left="1418" w:header="567" w:footer="369" w:gutter="0"/>
          <w:cols w:space="708"/>
          <w:docGrid w:linePitch="299"/>
        </w:sectPr>
      </w:pPr>
    </w:p>
    <w:p w14:paraId="7D6CF69E" w14:textId="77777777" w:rsidR="00D419FD" w:rsidRDefault="000014F9">
      <w:pPr>
        <w:pStyle w:val="ContentsPage"/>
      </w:pPr>
      <w:r>
        <w:lastRenderedPageBreak/>
        <w:t>Indhold</w:t>
      </w:r>
    </w:p>
    <w:p w14:paraId="0A0B208E" w14:textId="77777777" w:rsidR="00C64430" w:rsidRDefault="001257BF" w:rsidP="00C64430">
      <w:pPr>
        <w:pStyle w:val="Indholdsfortegnelse1"/>
      </w:pPr>
      <w:r>
        <w:rPr>
          <w:sz w:val="24"/>
        </w:rPr>
        <w:tab/>
      </w:r>
      <w:r w:rsidR="00C64430">
        <w:rPr>
          <w:sz w:val="24"/>
        </w:rPr>
        <w:fldChar w:fldCharType="begin"/>
      </w:r>
      <w:r w:rsidR="00C64430">
        <w:rPr>
          <w:sz w:val="24"/>
        </w:rPr>
        <w:instrText xml:space="preserve"> TOC \o "1-2" \h \z \u </w:instrText>
      </w:r>
      <w:r w:rsidR="00C64430">
        <w:rPr>
          <w:sz w:val="24"/>
        </w:rPr>
        <w:fldChar w:fldCharType="separate"/>
      </w:r>
    </w:p>
    <w:p w14:paraId="67EC8B53" w14:textId="799C2D39" w:rsidR="00C64430" w:rsidRDefault="00432B8C">
      <w:pPr>
        <w:pStyle w:val="Indholdsfortegnelse1"/>
        <w:rPr>
          <w:rFonts w:asciiTheme="minorHAnsi" w:eastAsiaTheme="minorEastAsia" w:hAnsiTheme="minorHAnsi" w:cstheme="minorBidi"/>
          <w:szCs w:val="22"/>
        </w:rPr>
      </w:pPr>
      <w:hyperlink w:anchor="_Toc10205701" w:history="1">
        <w:r w:rsidR="00C64430" w:rsidRPr="007C6674">
          <w:rPr>
            <w:rStyle w:val="Hyperlink"/>
          </w:rPr>
          <w:t>Forord</w:t>
        </w:r>
        <w:r w:rsidR="00C64430">
          <w:rPr>
            <w:webHidden/>
          </w:rPr>
          <w:tab/>
        </w:r>
        <w:r w:rsidR="00C64430">
          <w:rPr>
            <w:webHidden/>
          </w:rPr>
          <w:tab/>
        </w:r>
        <w:r w:rsidR="00C64430">
          <w:rPr>
            <w:webHidden/>
          </w:rPr>
          <w:fldChar w:fldCharType="begin"/>
        </w:r>
        <w:r w:rsidR="00C64430">
          <w:rPr>
            <w:webHidden/>
          </w:rPr>
          <w:instrText xml:space="preserve"> PAGEREF _Toc10205701 \h </w:instrText>
        </w:r>
        <w:r w:rsidR="00C64430">
          <w:rPr>
            <w:webHidden/>
          </w:rPr>
        </w:r>
        <w:r w:rsidR="00C64430">
          <w:rPr>
            <w:webHidden/>
          </w:rPr>
          <w:fldChar w:fldCharType="separate"/>
        </w:r>
        <w:r>
          <w:rPr>
            <w:webHidden/>
          </w:rPr>
          <w:t>7</w:t>
        </w:r>
        <w:r w:rsidR="00C64430">
          <w:rPr>
            <w:webHidden/>
          </w:rPr>
          <w:fldChar w:fldCharType="end"/>
        </w:r>
      </w:hyperlink>
    </w:p>
    <w:p w14:paraId="78A9E1A4" w14:textId="185C7BA1" w:rsidR="00C64430" w:rsidRDefault="00432B8C">
      <w:pPr>
        <w:pStyle w:val="Indholdsfortegnelse1"/>
        <w:rPr>
          <w:rFonts w:asciiTheme="minorHAnsi" w:eastAsiaTheme="minorEastAsia" w:hAnsiTheme="minorHAnsi" w:cstheme="minorBidi"/>
          <w:szCs w:val="22"/>
        </w:rPr>
      </w:pPr>
      <w:hyperlink w:anchor="_Toc10205702" w:history="1">
        <w:r w:rsidR="00C64430" w:rsidRPr="007C6674">
          <w:rPr>
            <w:rStyle w:val="Hyperlink"/>
          </w:rPr>
          <w:t>Sammenfatning</w:t>
        </w:r>
        <w:r w:rsidR="00C64430">
          <w:rPr>
            <w:webHidden/>
          </w:rPr>
          <w:tab/>
        </w:r>
        <w:r w:rsidR="00C64430">
          <w:rPr>
            <w:webHidden/>
          </w:rPr>
          <w:fldChar w:fldCharType="begin"/>
        </w:r>
        <w:r w:rsidR="00C64430">
          <w:rPr>
            <w:webHidden/>
          </w:rPr>
          <w:instrText xml:space="preserve"> PAGEREF _Toc10205702 \h </w:instrText>
        </w:r>
        <w:r w:rsidR="00C64430">
          <w:rPr>
            <w:webHidden/>
          </w:rPr>
        </w:r>
        <w:r w:rsidR="00C64430">
          <w:rPr>
            <w:webHidden/>
          </w:rPr>
          <w:fldChar w:fldCharType="separate"/>
        </w:r>
        <w:r>
          <w:rPr>
            <w:webHidden/>
          </w:rPr>
          <w:t>9</w:t>
        </w:r>
        <w:r w:rsidR="00C64430">
          <w:rPr>
            <w:webHidden/>
          </w:rPr>
          <w:fldChar w:fldCharType="end"/>
        </w:r>
      </w:hyperlink>
    </w:p>
    <w:p w14:paraId="28423F66" w14:textId="1A78791B" w:rsidR="00C64430" w:rsidRDefault="00432B8C">
      <w:pPr>
        <w:pStyle w:val="Indholdsfortegnelse1"/>
        <w:rPr>
          <w:rFonts w:asciiTheme="minorHAnsi" w:eastAsiaTheme="minorEastAsia" w:hAnsiTheme="minorHAnsi" w:cstheme="minorBidi"/>
          <w:szCs w:val="22"/>
        </w:rPr>
      </w:pPr>
      <w:hyperlink w:anchor="_Toc10205703" w:history="1">
        <w:r w:rsidR="00C64430" w:rsidRPr="007C6674">
          <w:rPr>
            <w:rStyle w:val="Hyperlink"/>
          </w:rPr>
          <w:t>1</w:t>
        </w:r>
        <w:r w:rsidR="00C64430">
          <w:rPr>
            <w:rFonts w:asciiTheme="minorHAnsi" w:eastAsiaTheme="minorEastAsia" w:hAnsiTheme="minorHAnsi" w:cstheme="minorBidi"/>
            <w:szCs w:val="22"/>
          </w:rPr>
          <w:tab/>
        </w:r>
        <w:r w:rsidR="00C64430" w:rsidRPr="007C6674">
          <w:rPr>
            <w:rStyle w:val="Hyperlink"/>
          </w:rPr>
          <w:t>Baggrund</w:t>
        </w:r>
        <w:r w:rsidR="00C64430">
          <w:rPr>
            <w:webHidden/>
          </w:rPr>
          <w:tab/>
        </w:r>
        <w:r w:rsidR="00C64430">
          <w:rPr>
            <w:webHidden/>
          </w:rPr>
          <w:fldChar w:fldCharType="begin"/>
        </w:r>
        <w:r w:rsidR="00C64430">
          <w:rPr>
            <w:webHidden/>
          </w:rPr>
          <w:instrText xml:space="preserve"> PAGEREF _Toc10205703 \h </w:instrText>
        </w:r>
        <w:r w:rsidR="00C64430">
          <w:rPr>
            <w:webHidden/>
          </w:rPr>
        </w:r>
        <w:r w:rsidR="00C64430">
          <w:rPr>
            <w:webHidden/>
          </w:rPr>
          <w:fldChar w:fldCharType="separate"/>
        </w:r>
        <w:r>
          <w:rPr>
            <w:webHidden/>
          </w:rPr>
          <w:t>18</w:t>
        </w:r>
        <w:r w:rsidR="00C64430">
          <w:rPr>
            <w:webHidden/>
          </w:rPr>
          <w:fldChar w:fldCharType="end"/>
        </w:r>
      </w:hyperlink>
    </w:p>
    <w:p w14:paraId="1086F869" w14:textId="6DB54337" w:rsidR="00C64430" w:rsidRDefault="00432B8C">
      <w:pPr>
        <w:pStyle w:val="Indholdsfortegnelse2"/>
        <w:rPr>
          <w:rFonts w:asciiTheme="minorHAnsi" w:eastAsiaTheme="minorEastAsia" w:hAnsiTheme="minorHAnsi" w:cstheme="minorBidi"/>
          <w:szCs w:val="22"/>
        </w:rPr>
      </w:pPr>
      <w:hyperlink w:anchor="_Toc10205704" w:history="1">
        <w:r w:rsidR="00C64430" w:rsidRPr="007C6674">
          <w:rPr>
            <w:rStyle w:val="Hyperlink"/>
          </w:rPr>
          <w:t>1.1</w:t>
        </w:r>
        <w:r w:rsidR="00C64430">
          <w:rPr>
            <w:rFonts w:asciiTheme="minorHAnsi" w:eastAsiaTheme="minorEastAsia" w:hAnsiTheme="minorHAnsi" w:cstheme="minorBidi"/>
            <w:szCs w:val="22"/>
          </w:rPr>
          <w:tab/>
        </w:r>
        <w:r w:rsidR="00C64430" w:rsidRPr="007C6674">
          <w:rPr>
            <w:rStyle w:val="Hyperlink"/>
          </w:rPr>
          <w:t>Tidligere vurdering af konsekvenserne</w:t>
        </w:r>
        <w:r w:rsidR="00C64430">
          <w:rPr>
            <w:webHidden/>
          </w:rPr>
          <w:tab/>
        </w:r>
        <w:r w:rsidR="00C64430">
          <w:rPr>
            <w:webHidden/>
          </w:rPr>
          <w:fldChar w:fldCharType="begin"/>
        </w:r>
        <w:r w:rsidR="00C64430">
          <w:rPr>
            <w:webHidden/>
          </w:rPr>
          <w:instrText xml:space="preserve"> PAGEREF _Toc10205704 \h </w:instrText>
        </w:r>
        <w:r w:rsidR="00C64430">
          <w:rPr>
            <w:webHidden/>
          </w:rPr>
        </w:r>
        <w:r w:rsidR="00C64430">
          <w:rPr>
            <w:webHidden/>
          </w:rPr>
          <w:fldChar w:fldCharType="separate"/>
        </w:r>
        <w:r>
          <w:rPr>
            <w:webHidden/>
          </w:rPr>
          <w:t>18</w:t>
        </w:r>
        <w:r w:rsidR="00C64430">
          <w:rPr>
            <w:webHidden/>
          </w:rPr>
          <w:fldChar w:fldCharType="end"/>
        </w:r>
      </w:hyperlink>
    </w:p>
    <w:p w14:paraId="24F48B25" w14:textId="0901FDB1" w:rsidR="00C64430" w:rsidRDefault="00432B8C">
      <w:pPr>
        <w:pStyle w:val="Indholdsfortegnelse2"/>
        <w:rPr>
          <w:rFonts w:asciiTheme="minorHAnsi" w:eastAsiaTheme="minorEastAsia" w:hAnsiTheme="minorHAnsi" w:cstheme="minorBidi"/>
          <w:szCs w:val="22"/>
        </w:rPr>
      </w:pPr>
      <w:hyperlink w:anchor="_Toc10205705" w:history="1">
        <w:r w:rsidR="00C64430" w:rsidRPr="007C6674">
          <w:rPr>
            <w:rStyle w:val="Hyperlink"/>
          </w:rPr>
          <w:t>1.2</w:t>
        </w:r>
        <w:r w:rsidR="00C64430">
          <w:rPr>
            <w:rFonts w:asciiTheme="minorHAnsi" w:eastAsiaTheme="minorEastAsia" w:hAnsiTheme="minorHAnsi" w:cstheme="minorBidi"/>
            <w:szCs w:val="22"/>
          </w:rPr>
          <w:tab/>
        </w:r>
        <w:r w:rsidR="00C64430" w:rsidRPr="007C6674">
          <w:rPr>
            <w:rStyle w:val="Hyperlink"/>
          </w:rPr>
          <w:t>Grønland og POP-protokollen</w:t>
        </w:r>
        <w:r w:rsidR="00C64430">
          <w:rPr>
            <w:webHidden/>
          </w:rPr>
          <w:tab/>
        </w:r>
        <w:r w:rsidR="00C64430">
          <w:rPr>
            <w:webHidden/>
          </w:rPr>
          <w:fldChar w:fldCharType="begin"/>
        </w:r>
        <w:r w:rsidR="00C64430">
          <w:rPr>
            <w:webHidden/>
          </w:rPr>
          <w:instrText xml:space="preserve"> PAGEREF _Toc10205705 \h </w:instrText>
        </w:r>
        <w:r w:rsidR="00C64430">
          <w:rPr>
            <w:webHidden/>
          </w:rPr>
        </w:r>
        <w:r w:rsidR="00C64430">
          <w:rPr>
            <w:webHidden/>
          </w:rPr>
          <w:fldChar w:fldCharType="separate"/>
        </w:r>
        <w:r>
          <w:rPr>
            <w:webHidden/>
          </w:rPr>
          <w:t>19</w:t>
        </w:r>
        <w:r w:rsidR="00C64430">
          <w:rPr>
            <w:webHidden/>
          </w:rPr>
          <w:fldChar w:fldCharType="end"/>
        </w:r>
      </w:hyperlink>
    </w:p>
    <w:p w14:paraId="548ACA5B" w14:textId="1B387B70" w:rsidR="00C64430" w:rsidRDefault="00432B8C">
      <w:pPr>
        <w:pStyle w:val="Indholdsfortegnelse2"/>
        <w:rPr>
          <w:rFonts w:asciiTheme="minorHAnsi" w:eastAsiaTheme="minorEastAsia" w:hAnsiTheme="minorHAnsi" w:cstheme="minorBidi"/>
          <w:szCs w:val="22"/>
        </w:rPr>
      </w:pPr>
      <w:hyperlink w:anchor="_Toc10205706" w:history="1">
        <w:r w:rsidR="00C64430" w:rsidRPr="007C6674">
          <w:rPr>
            <w:rStyle w:val="Hyperlink"/>
          </w:rPr>
          <w:t>1.3</w:t>
        </w:r>
        <w:r w:rsidR="00C64430">
          <w:rPr>
            <w:rFonts w:asciiTheme="minorHAnsi" w:eastAsiaTheme="minorEastAsia" w:hAnsiTheme="minorHAnsi" w:cstheme="minorBidi"/>
            <w:szCs w:val="22"/>
          </w:rPr>
          <w:tab/>
        </w:r>
        <w:r w:rsidR="00C64430" w:rsidRPr="007C6674">
          <w:rPr>
            <w:rStyle w:val="Hyperlink"/>
          </w:rPr>
          <w:t>Tidligere beslutningsforslag om tiltræde konventionen</w:t>
        </w:r>
        <w:r w:rsidR="00C64430">
          <w:rPr>
            <w:webHidden/>
          </w:rPr>
          <w:tab/>
        </w:r>
        <w:r w:rsidR="00C64430">
          <w:rPr>
            <w:webHidden/>
          </w:rPr>
          <w:fldChar w:fldCharType="begin"/>
        </w:r>
        <w:r w:rsidR="00C64430">
          <w:rPr>
            <w:webHidden/>
          </w:rPr>
          <w:instrText xml:space="preserve"> PAGEREF _Toc10205706 \h </w:instrText>
        </w:r>
        <w:r w:rsidR="00C64430">
          <w:rPr>
            <w:webHidden/>
          </w:rPr>
        </w:r>
        <w:r w:rsidR="00C64430">
          <w:rPr>
            <w:webHidden/>
          </w:rPr>
          <w:fldChar w:fldCharType="separate"/>
        </w:r>
        <w:r>
          <w:rPr>
            <w:webHidden/>
          </w:rPr>
          <w:t>20</w:t>
        </w:r>
        <w:r w:rsidR="00C64430">
          <w:rPr>
            <w:webHidden/>
          </w:rPr>
          <w:fldChar w:fldCharType="end"/>
        </w:r>
      </w:hyperlink>
    </w:p>
    <w:p w14:paraId="6B81DC93" w14:textId="2E1C07A0" w:rsidR="00C64430" w:rsidRDefault="00432B8C">
      <w:pPr>
        <w:pStyle w:val="Indholdsfortegnelse2"/>
        <w:rPr>
          <w:rFonts w:asciiTheme="minorHAnsi" w:eastAsiaTheme="minorEastAsia" w:hAnsiTheme="minorHAnsi" w:cstheme="minorBidi"/>
          <w:szCs w:val="22"/>
        </w:rPr>
      </w:pPr>
      <w:hyperlink w:anchor="_Toc10205707" w:history="1">
        <w:r w:rsidR="00C64430" w:rsidRPr="007C6674">
          <w:rPr>
            <w:rStyle w:val="Hyperlink"/>
          </w:rPr>
          <w:t>1.4</w:t>
        </w:r>
        <w:r w:rsidR="00C64430">
          <w:rPr>
            <w:rFonts w:asciiTheme="minorHAnsi" w:eastAsiaTheme="minorEastAsia" w:hAnsiTheme="minorHAnsi" w:cstheme="minorBidi"/>
            <w:szCs w:val="22"/>
          </w:rPr>
          <w:tab/>
        </w:r>
        <w:r w:rsidR="00C64430" w:rsidRPr="007C6674">
          <w:rPr>
            <w:rStyle w:val="Hyperlink"/>
          </w:rPr>
          <w:t>Vejledning om PCB i byggematerialer</w:t>
        </w:r>
        <w:r w:rsidR="00C64430">
          <w:rPr>
            <w:webHidden/>
          </w:rPr>
          <w:tab/>
        </w:r>
        <w:r w:rsidR="00C64430">
          <w:rPr>
            <w:webHidden/>
          </w:rPr>
          <w:fldChar w:fldCharType="begin"/>
        </w:r>
        <w:r w:rsidR="00C64430">
          <w:rPr>
            <w:webHidden/>
          </w:rPr>
          <w:instrText xml:space="preserve"> PAGEREF _Toc10205707 \h </w:instrText>
        </w:r>
        <w:r w:rsidR="00C64430">
          <w:rPr>
            <w:webHidden/>
          </w:rPr>
        </w:r>
        <w:r w:rsidR="00C64430">
          <w:rPr>
            <w:webHidden/>
          </w:rPr>
          <w:fldChar w:fldCharType="separate"/>
        </w:r>
        <w:r>
          <w:rPr>
            <w:webHidden/>
          </w:rPr>
          <w:t>20</w:t>
        </w:r>
        <w:r w:rsidR="00C64430">
          <w:rPr>
            <w:webHidden/>
          </w:rPr>
          <w:fldChar w:fldCharType="end"/>
        </w:r>
      </w:hyperlink>
    </w:p>
    <w:p w14:paraId="6FF7D33C" w14:textId="0DC61342" w:rsidR="00C64430" w:rsidRDefault="00432B8C">
      <w:pPr>
        <w:pStyle w:val="Indholdsfortegnelse2"/>
        <w:rPr>
          <w:rFonts w:asciiTheme="minorHAnsi" w:eastAsiaTheme="minorEastAsia" w:hAnsiTheme="minorHAnsi" w:cstheme="minorBidi"/>
          <w:szCs w:val="22"/>
        </w:rPr>
      </w:pPr>
      <w:hyperlink w:anchor="_Toc10205708" w:history="1">
        <w:r w:rsidR="00C64430" w:rsidRPr="007C6674">
          <w:rPr>
            <w:rStyle w:val="Hyperlink"/>
          </w:rPr>
          <w:t>1.5</w:t>
        </w:r>
        <w:r w:rsidR="00C64430">
          <w:rPr>
            <w:rFonts w:asciiTheme="minorHAnsi" w:eastAsiaTheme="minorEastAsia" w:hAnsiTheme="minorHAnsi" w:cstheme="minorBidi"/>
            <w:szCs w:val="22"/>
          </w:rPr>
          <w:tab/>
        </w:r>
        <w:r w:rsidR="00C64430" w:rsidRPr="007C6674">
          <w:rPr>
            <w:rStyle w:val="Hyperlink"/>
          </w:rPr>
          <w:t>Anlægssektorplan for affaldsområdet</w:t>
        </w:r>
        <w:r w:rsidR="00C64430">
          <w:rPr>
            <w:webHidden/>
          </w:rPr>
          <w:tab/>
        </w:r>
        <w:r w:rsidR="00C64430">
          <w:rPr>
            <w:webHidden/>
          </w:rPr>
          <w:fldChar w:fldCharType="begin"/>
        </w:r>
        <w:r w:rsidR="00C64430">
          <w:rPr>
            <w:webHidden/>
          </w:rPr>
          <w:instrText xml:space="preserve"> PAGEREF _Toc10205708 \h </w:instrText>
        </w:r>
        <w:r w:rsidR="00C64430">
          <w:rPr>
            <w:webHidden/>
          </w:rPr>
        </w:r>
        <w:r w:rsidR="00C64430">
          <w:rPr>
            <w:webHidden/>
          </w:rPr>
          <w:fldChar w:fldCharType="separate"/>
        </w:r>
        <w:r>
          <w:rPr>
            <w:webHidden/>
          </w:rPr>
          <w:t>20</w:t>
        </w:r>
        <w:r w:rsidR="00C64430">
          <w:rPr>
            <w:webHidden/>
          </w:rPr>
          <w:fldChar w:fldCharType="end"/>
        </w:r>
      </w:hyperlink>
    </w:p>
    <w:p w14:paraId="116F8AED" w14:textId="078DCB34" w:rsidR="00C64430" w:rsidRDefault="00432B8C">
      <w:pPr>
        <w:pStyle w:val="Indholdsfortegnelse1"/>
        <w:rPr>
          <w:rFonts w:asciiTheme="minorHAnsi" w:eastAsiaTheme="minorEastAsia" w:hAnsiTheme="minorHAnsi" w:cstheme="minorBidi"/>
          <w:szCs w:val="22"/>
        </w:rPr>
      </w:pPr>
      <w:hyperlink w:anchor="_Toc10205709" w:history="1">
        <w:r w:rsidR="00C64430" w:rsidRPr="007C6674">
          <w:rPr>
            <w:rStyle w:val="Hyperlink"/>
          </w:rPr>
          <w:t>2</w:t>
        </w:r>
        <w:r w:rsidR="00C64430">
          <w:rPr>
            <w:rFonts w:asciiTheme="minorHAnsi" w:eastAsiaTheme="minorEastAsia" w:hAnsiTheme="minorHAnsi" w:cstheme="minorBidi"/>
            <w:szCs w:val="22"/>
          </w:rPr>
          <w:tab/>
        </w:r>
        <w:r w:rsidR="00C64430" w:rsidRPr="007C6674">
          <w:rPr>
            <w:rStyle w:val="Hyperlink"/>
          </w:rPr>
          <w:t>Introduktion til Stockholmkonventionen og de omfattede stoffer</w:t>
        </w:r>
        <w:r w:rsidR="00C64430">
          <w:rPr>
            <w:webHidden/>
          </w:rPr>
          <w:tab/>
        </w:r>
        <w:r w:rsidR="00C64430">
          <w:rPr>
            <w:webHidden/>
          </w:rPr>
          <w:fldChar w:fldCharType="begin"/>
        </w:r>
        <w:r w:rsidR="00C64430">
          <w:rPr>
            <w:webHidden/>
          </w:rPr>
          <w:instrText xml:space="preserve"> PAGEREF _Toc10205709 \h </w:instrText>
        </w:r>
        <w:r w:rsidR="00C64430">
          <w:rPr>
            <w:webHidden/>
          </w:rPr>
        </w:r>
        <w:r w:rsidR="00C64430">
          <w:rPr>
            <w:webHidden/>
          </w:rPr>
          <w:fldChar w:fldCharType="separate"/>
        </w:r>
        <w:r>
          <w:rPr>
            <w:webHidden/>
          </w:rPr>
          <w:t>22</w:t>
        </w:r>
        <w:r w:rsidR="00C64430">
          <w:rPr>
            <w:webHidden/>
          </w:rPr>
          <w:fldChar w:fldCharType="end"/>
        </w:r>
      </w:hyperlink>
    </w:p>
    <w:p w14:paraId="7F316FC0" w14:textId="0D96D1C6" w:rsidR="00C64430" w:rsidRDefault="00432B8C">
      <w:pPr>
        <w:pStyle w:val="Indholdsfortegnelse2"/>
        <w:rPr>
          <w:rFonts w:asciiTheme="minorHAnsi" w:eastAsiaTheme="minorEastAsia" w:hAnsiTheme="minorHAnsi" w:cstheme="minorBidi"/>
          <w:szCs w:val="22"/>
        </w:rPr>
      </w:pPr>
      <w:hyperlink w:anchor="_Toc10205710" w:history="1">
        <w:r w:rsidR="00C64430" w:rsidRPr="007C6674">
          <w:rPr>
            <w:rStyle w:val="Hyperlink"/>
          </w:rPr>
          <w:t>2.1</w:t>
        </w:r>
        <w:r w:rsidR="00C64430">
          <w:rPr>
            <w:rFonts w:asciiTheme="minorHAnsi" w:eastAsiaTheme="minorEastAsia" w:hAnsiTheme="minorHAnsi" w:cstheme="minorBidi"/>
            <w:szCs w:val="22"/>
          </w:rPr>
          <w:tab/>
        </w:r>
        <w:r w:rsidR="00C64430" w:rsidRPr="007C6674">
          <w:rPr>
            <w:rStyle w:val="Hyperlink"/>
          </w:rPr>
          <w:t>De omfattede stoffer</w:t>
        </w:r>
        <w:r w:rsidR="00C64430">
          <w:rPr>
            <w:webHidden/>
          </w:rPr>
          <w:tab/>
        </w:r>
        <w:r w:rsidR="00C64430">
          <w:rPr>
            <w:webHidden/>
          </w:rPr>
          <w:fldChar w:fldCharType="begin"/>
        </w:r>
        <w:r w:rsidR="00C64430">
          <w:rPr>
            <w:webHidden/>
          </w:rPr>
          <w:instrText xml:space="preserve"> PAGEREF _Toc10205710 \h </w:instrText>
        </w:r>
        <w:r w:rsidR="00C64430">
          <w:rPr>
            <w:webHidden/>
          </w:rPr>
        </w:r>
        <w:r w:rsidR="00C64430">
          <w:rPr>
            <w:webHidden/>
          </w:rPr>
          <w:fldChar w:fldCharType="separate"/>
        </w:r>
        <w:r>
          <w:rPr>
            <w:webHidden/>
          </w:rPr>
          <w:t>22</w:t>
        </w:r>
        <w:r w:rsidR="00C64430">
          <w:rPr>
            <w:webHidden/>
          </w:rPr>
          <w:fldChar w:fldCharType="end"/>
        </w:r>
      </w:hyperlink>
    </w:p>
    <w:p w14:paraId="269907CC" w14:textId="39E9DA12" w:rsidR="00C64430" w:rsidRDefault="00432B8C">
      <w:pPr>
        <w:pStyle w:val="Indholdsfortegnelse2"/>
        <w:rPr>
          <w:rFonts w:asciiTheme="minorHAnsi" w:eastAsiaTheme="minorEastAsia" w:hAnsiTheme="minorHAnsi" w:cstheme="minorBidi"/>
          <w:szCs w:val="22"/>
        </w:rPr>
      </w:pPr>
      <w:hyperlink w:anchor="_Toc10205711" w:history="1">
        <w:r w:rsidR="00C64430" w:rsidRPr="007C6674">
          <w:rPr>
            <w:rStyle w:val="Hyperlink"/>
          </w:rPr>
          <w:t>2.2</w:t>
        </w:r>
        <w:r w:rsidR="00C64430">
          <w:rPr>
            <w:rFonts w:asciiTheme="minorHAnsi" w:eastAsiaTheme="minorEastAsia" w:hAnsiTheme="minorHAnsi" w:cstheme="minorBidi"/>
            <w:szCs w:val="22"/>
          </w:rPr>
          <w:tab/>
        </w:r>
        <w:r w:rsidR="00C64430" w:rsidRPr="007C6674">
          <w:rPr>
            <w:rStyle w:val="Hyperlink"/>
          </w:rPr>
          <w:t>Implementering i Danmark</w:t>
        </w:r>
        <w:r w:rsidR="00C64430">
          <w:rPr>
            <w:webHidden/>
          </w:rPr>
          <w:tab/>
        </w:r>
        <w:r w:rsidR="00C64430">
          <w:rPr>
            <w:webHidden/>
          </w:rPr>
          <w:fldChar w:fldCharType="begin"/>
        </w:r>
        <w:r w:rsidR="00C64430">
          <w:rPr>
            <w:webHidden/>
          </w:rPr>
          <w:instrText xml:space="preserve"> PAGEREF _Toc10205711 \h </w:instrText>
        </w:r>
        <w:r w:rsidR="00C64430">
          <w:rPr>
            <w:webHidden/>
          </w:rPr>
        </w:r>
        <w:r w:rsidR="00C64430">
          <w:rPr>
            <w:webHidden/>
          </w:rPr>
          <w:fldChar w:fldCharType="separate"/>
        </w:r>
        <w:r>
          <w:rPr>
            <w:webHidden/>
          </w:rPr>
          <w:t>25</w:t>
        </w:r>
        <w:r w:rsidR="00C64430">
          <w:rPr>
            <w:webHidden/>
          </w:rPr>
          <w:fldChar w:fldCharType="end"/>
        </w:r>
      </w:hyperlink>
    </w:p>
    <w:p w14:paraId="57CCD814" w14:textId="00E3FA43" w:rsidR="00C64430" w:rsidRDefault="00432B8C">
      <w:pPr>
        <w:pStyle w:val="Indholdsfortegnelse1"/>
        <w:rPr>
          <w:rFonts w:asciiTheme="minorHAnsi" w:eastAsiaTheme="minorEastAsia" w:hAnsiTheme="minorHAnsi" w:cstheme="minorBidi"/>
          <w:szCs w:val="22"/>
        </w:rPr>
      </w:pPr>
      <w:hyperlink w:anchor="_Toc10205712" w:history="1">
        <w:r w:rsidR="00C64430" w:rsidRPr="007C6674">
          <w:rPr>
            <w:rStyle w:val="Hyperlink"/>
          </w:rPr>
          <w:t>3</w:t>
        </w:r>
        <w:r w:rsidR="00C64430">
          <w:rPr>
            <w:rFonts w:asciiTheme="minorHAnsi" w:eastAsiaTheme="minorEastAsia" w:hAnsiTheme="minorHAnsi" w:cstheme="minorBidi"/>
            <w:szCs w:val="22"/>
          </w:rPr>
          <w:tab/>
        </w:r>
        <w:r w:rsidR="00C64430" w:rsidRPr="007C6674">
          <w:rPr>
            <w:rStyle w:val="Hyperlink"/>
          </w:rPr>
          <w:t>Eksponering af mennesker og miljø i Grønland for POP-stoffer</w:t>
        </w:r>
        <w:r w:rsidR="00C64430">
          <w:rPr>
            <w:webHidden/>
          </w:rPr>
          <w:tab/>
        </w:r>
        <w:r w:rsidR="00C64430">
          <w:rPr>
            <w:webHidden/>
          </w:rPr>
          <w:fldChar w:fldCharType="begin"/>
        </w:r>
        <w:r w:rsidR="00C64430">
          <w:rPr>
            <w:webHidden/>
          </w:rPr>
          <w:instrText xml:space="preserve"> PAGEREF _Toc10205712 \h </w:instrText>
        </w:r>
        <w:r w:rsidR="00C64430">
          <w:rPr>
            <w:webHidden/>
          </w:rPr>
        </w:r>
        <w:r w:rsidR="00C64430">
          <w:rPr>
            <w:webHidden/>
          </w:rPr>
          <w:fldChar w:fldCharType="separate"/>
        </w:r>
        <w:r>
          <w:rPr>
            <w:webHidden/>
          </w:rPr>
          <w:t>26</w:t>
        </w:r>
        <w:r w:rsidR="00C64430">
          <w:rPr>
            <w:webHidden/>
          </w:rPr>
          <w:fldChar w:fldCharType="end"/>
        </w:r>
      </w:hyperlink>
    </w:p>
    <w:p w14:paraId="688A4F3B" w14:textId="5B4D53C1" w:rsidR="00C64430" w:rsidRDefault="00432B8C">
      <w:pPr>
        <w:pStyle w:val="Indholdsfortegnelse2"/>
        <w:rPr>
          <w:rFonts w:asciiTheme="minorHAnsi" w:eastAsiaTheme="minorEastAsia" w:hAnsiTheme="minorHAnsi" w:cstheme="minorBidi"/>
          <w:szCs w:val="22"/>
        </w:rPr>
      </w:pPr>
      <w:hyperlink w:anchor="_Toc10205713" w:history="1">
        <w:r w:rsidR="00C64430" w:rsidRPr="007C6674">
          <w:rPr>
            <w:rStyle w:val="Hyperlink"/>
          </w:rPr>
          <w:t>3.1</w:t>
        </w:r>
        <w:r w:rsidR="00C64430">
          <w:rPr>
            <w:rFonts w:asciiTheme="minorHAnsi" w:eastAsiaTheme="minorEastAsia" w:hAnsiTheme="minorHAnsi" w:cstheme="minorBidi"/>
            <w:szCs w:val="22"/>
          </w:rPr>
          <w:tab/>
        </w:r>
        <w:r w:rsidR="00C64430" w:rsidRPr="007C6674">
          <w:rPr>
            <w:rStyle w:val="Hyperlink"/>
          </w:rPr>
          <w:t>Eksponering af mennesker og tilhørende risiko</w:t>
        </w:r>
        <w:r w:rsidR="00C64430">
          <w:rPr>
            <w:webHidden/>
          </w:rPr>
          <w:tab/>
        </w:r>
        <w:r w:rsidR="00C64430">
          <w:rPr>
            <w:webHidden/>
          </w:rPr>
          <w:fldChar w:fldCharType="begin"/>
        </w:r>
        <w:r w:rsidR="00C64430">
          <w:rPr>
            <w:webHidden/>
          </w:rPr>
          <w:instrText xml:space="preserve"> PAGEREF _Toc10205713 \h </w:instrText>
        </w:r>
        <w:r w:rsidR="00C64430">
          <w:rPr>
            <w:webHidden/>
          </w:rPr>
        </w:r>
        <w:r w:rsidR="00C64430">
          <w:rPr>
            <w:webHidden/>
          </w:rPr>
          <w:fldChar w:fldCharType="separate"/>
        </w:r>
        <w:r>
          <w:rPr>
            <w:webHidden/>
          </w:rPr>
          <w:t>26</w:t>
        </w:r>
        <w:r w:rsidR="00C64430">
          <w:rPr>
            <w:webHidden/>
          </w:rPr>
          <w:fldChar w:fldCharType="end"/>
        </w:r>
      </w:hyperlink>
    </w:p>
    <w:p w14:paraId="1D0E6DB7" w14:textId="5F29035B" w:rsidR="00C64430" w:rsidRDefault="00432B8C">
      <w:pPr>
        <w:pStyle w:val="Indholdsfortegnelse2"/>
        <w:rPr>
          <w:rFonts w:asciiTheme="minorHAnsi" w:eastAsiaTheme="minorEastAsia" w:hAnsiTheme="minorHAnsi" w:cstheme="minorBidi"/>
          <w:szCs w:val="22"/>
        </w:rPr>
      </w:pPr>
      <w:hyperlink w:anchor="_Toc10205714" w:history="1">
        <w:r w:rsidR="00C64430" w:rsidRPr="007C6674">
          <w:rPr>
            <w:rStyle w:val="Hyperlink"/>
          </w:rPr>
          <w:t>3.2</w:t>
        </w:r>
        <w:r w:rsidR="00C64430">
          <w:rPr>
            <w:rFonts w:asciiTheme="minorHAnsi" w:eastAsiaTheme="minorEastAsia" w:hAnsiTheme="minorHAnsi" w:cstheme="minorBidi"/>
            <w:szCs w:val="22"/>
          </w:rPr>
          <w:tab/>
        </w:r>
        <w:r w:rsidR="00C64430" w:rsidRPr="007C6674">
          <w:rPr>
            <w:rStyle w:val="Hyperlink"/>
          </w:rPr>
          <w:t>Eksponering af organismer i miljøet og tilhørende risiko</w:t>
        </w:r>
        <w:r w:rsidR="00C64430">
          <w:rPr>
            <w:webHidden/>
          </w:rPr>
          <w:tab/>
        </w:r>
        <w:r w:rsidR="00C64430">
          <w:rPr>
            <w:webHidden/>
          </w:rPr>
          <w:fldChar w:fldCharType="begin"/>
        </w:r>
        <w:r w:rsidR="00C64430">
          <w:rPr>
            <w:webHidden/>
          </w:rPr>
          <w:instrText xml:space="preserve"> PAGEREF _Toc10205714 \h </w:instrText>
        </w:r>
        <w:r w:rsidR="00C64430">
          <w:rPr>
            <w:webHidden/>
          </w:rPr>
        </w:r>
        <w:r w:rsidR="00C64430">
          <w:rPr>
            <w:webHidden/>
          </w:rPr>
          <w:fldChar w:fldCharType="separate"/>
        </w:r>
        <w:r>
          <w:rPr>
            <w:webHidden/>
          </w:rPr>
          <w:t>28</w:t>
        </w:r>
        <w:r w:rsidR="00C64430">
          <w:rPr>
            <w:webHidden/>
          </w:rPr>
          <w:fldChar w:fldCharType="end"/>
        </w:r>
      </w:hyperlink>
    </w:p>
    <w:p w14:paraId="4D93D2CE" w14:textId="1EA64476" w:rsidR="00C64430" w:rsidRDefault="00432B8C">
      <w:pPr>
        <w:pStyle w:val="Indholdsfortegnelse1"/>
        <w:rPr>
          <w:rFonts w:asciiTheme="minorHAnsi" w:eastAsiaTheme="minorEastAsia" w:hAnsiTheme="minorHAnsi" w:cstheme="minorBidi"/>
          <w:szCs w:val="22"/>
        </w:rPr>
      </w:pPr>
      <w:hyperlink w:anchor="_Toc10205715" w:history="1">
        <w:r w:rsidR="00C64430" w:rsidRPr="007C6674">
          <w:rPr>
            <w:rStyle w:val="Hyperlink"/>
          </w:rPr>
          <w:t>4</w:t>
        </w:r>
        <w:r w:rsidR="00C64430">
          <w:rPr>
            <w:rFonts w:asciiTheme="minorHAnsi" w:eastAsiaTheme="minorEastAsia" w:hAnsiTheme="minorHAnsi" w:cstheme="minorBidi"/>
            <w:szCs w:val="22"/>
          </w:rPr>
          <w:tab/>
        </w:r>
        <w:r w:rsidR="00C64430" w:rsidRPr="007C6674">
          <w:rPr>
            <w:rStyle w:val="Hyperlink"/>
          </w:rPr>
          <w:t>Konsekvenser for Grønland i relation til de enkelte stoffer</w:t>
        </w:r>
        <w:r w:rsidR="00C64430">
          <w:rPr>
            <w:webHidden/>
          </w:rPr>
          <w:tab/>
        </w:r>
        <w:r w:rsidR="00C64430">
          <w:rPr>
            <w:webHidden/>
          </w:rPr>
          <w:fldChar w:fldCharType="begin"/>
        </w:r>
        <w:r w:rsidR="00C64430">
          <w:rPr>
            <w:webHidden/>
          </w:rPr>
          <w:instrText xml:space="preserve"> PAGEREF _Toc10205715 \h </w:instrText>
        </w:r>
        <w:r w:rsidR="00C64430">
          <w:rPr>
            <w:webHidden/>
          </w:rPr>
        </w:r>
        <w:r w:rsidR="00C64430">
          <w:rPr>
            <w:webHidden/>
          </w:rPr>
          <w:fldChar w:fldCharType="separate"/>
        </w:r>
        <w:r>
          <w:rPr>
            <w:webHidden/>
          </w:rPr>
          <w:t>30</w:t>
        </w:r>
        <w:r w:rsidR="00C64430">
          <w:rPr>
            <w:webHidden/>
          </w:rPr>
          <w:fldChar w:fldCharType="end"/>
        </w:r>
      </w:hyperlink>
    </w:p>
    <w:p w14:paraId="3B0B140F" w14:textId="05A8518C" w:rsidR="00C64430" w:rsidRDefault="00432B8C">
      <w:pPr>
        <w:pStyle w:val="Indholdsfortegnelse2"/>
        <w:rPr>
          <w:rFonts w:asciiTheme="minorHAnsi" w:eastAsiaTheme="minorEastAsia" w:hAnsiTheme="minorHAnsi" w:cstheme="minorBidi"/>
          <w:szCs w:val="22"/>
        </w:rPr>
      </w:pPr>
      <w:hyperlink w:anchor="_Toc10205716" w:history="1">
        <w:r w:rsidR="00C64430" w:rsidRPr="007C6674">
          <w:rPr>
            <w:rStyle w:val="Hyperlink"/>
          </w:rPr>
          <w:t>4.1</w:t>
        </w:r>
        <w:r w:rsidR="00C64430">
          <w:rPr>
            <w:rFonts w:asciiTheme="minorHAnsi" w:eastAsiaTheme="minorEastAsia" w:hAnsiTheme="minorHAnsi" w:cstheme="minorBidi"/>
            <w:szCs w:val="22"/>
          </w:rPr>
          <w:tab/>
        </w:r>
        <w:r w:rsidR="00C64430" w:rsidRPr="007C6674">
          <w:rPr>
            <w:rStyle w:val="Hyperlink"/>
          </w:rPr>
          <w:t>Dioxiner/furaner og andre utilsigtet dannede POP-stoffer</w:t>
        </w:r>
        <w:r w:rsidR="00C64430">
          <w:rPr>
            <w:webHidden/>
          </w:rPr>
          <w:tab/>
        </w:r>
        <w:r w:rsidR="00C64430">
          <w:rPr>
            <w:webHidden/>
          </w:rPr>
          <w:fldChar w:fldCharType="begin"/>
        </w:r>
        <w:r w:rsidR="00C64430">
          <w:rPr>
            <w:webHidden/>
          </w:rPr>
          <w:instrText xml:space="preserve"> PAGEREF _Toc10205716 \h </w:instrText>
        </w:r>
        <w:r w:rsidR="00C64430">
          <w:rPr>
            <w:webHidden/>
          </w:rPr>
        </w:r>
        <w:r w:rsidR="00C64430">
          <w:rPr>
            <w:webHidden/>
          </w:rPr>
          <w:fldChar w:fldCharType="separate"/>
        </w:r>
        <w:r>
          <w:rPr>
            <w:webHidden/>
          </w:rPr>
          <w:t>30</w:t>
        </w:r>
        <w:r w:rsidR="00C64430">
          <w:rPr>
            <w:webHidden/>
          </w:rPr>
          <w:fldChar w:fldCharType="end"/>
        </w:r>
      </w:hyperlink>
    </w:p>
    <w:p w14:paraId="330D5A84" w14:textId="1BBC714B" w:rsidR="00C64430" w:rsidRDefault="00432B8C">
      <w:pPr>
        <w:pStyle w:val="Indholdsfortegnelse2"/>
        <w:rPr>
          <w:rFonts w:asciiTheme="minorHAnsi" w:eastAsiaTheme="minorEastAsia" w:hAnsiTheme="minorHAnsi" w:cstheme="minorBidi"/>
          <w:szCs w:val="22"/>
        </w:rPr>
      </w:pPr>
      <w:hyperlink w:anchor="_Toc10205717" w:history="1">
        <w:r w:rsidR="00C64430" w:rsidRPr="007C6674">
          <w:rPr>
            <w:rStyle w:val="Hyperlink"/>
          </w:rPr>
          <w:t>4.2</w:t>
        </w:r>
        <w:r w:rsidR="00C64430">
          <w:rPr>
            <w:rFonts w:asciiTheme="minorHAnsi" w:eastAsiaTheme="minorEastAsia" w:hAnsiTheme="minorHAnsi" w:cstheme="minorBidi"/>
            <w:szCs w:val="22"/>
          </w:rPr>
          <w:tab/>
        </w:r>
        <w:r w:rsidR="00C64430" w:rsidRPr="007C6674">
          <w:rPr>
            <w:rStyle w:val="Hyperlink"/>
          </w:rPr>
          <w:t>PCB</w:t>
        </w:r>
        <w:r w:rsidR="00C64430">
          <w:rPr>
            <w:webHidden/>
          </w:rPr>
          <w:tab/>
        </w:r>
        <w:r w:rsidR="00C64430">
          <w:rPr>
            <w:webHidden/>
          </w:rPr>
          <w:fldChar w:fldCharType="begin"/>
        </w:r>
        <w:r w:rsidR="00C64430">
          <w:rPr>
            <w:webHidden/>
          </w:rPr>
          <w:instrText xml:space="preserve"> PAGEREF _Toc10205717 \h </w:instrText>
        </w:r>
        <w:r w:rsidR="00C64430">
          <w:rPr>
            <w:webHidden/>
          </w:rPr>
        </w:r>
        <w:r w:rsidR="00C64430">
          <w:rPr>
            <w:webHidden/>
          </w:rPr>
          <w:fldChar w:fldCharType="separate"/>
        </w:r>
        <w:r>
          <w:rPr>
            <w:webHidden/>
          </w:rPr>
          <w:t>38</w:t>
        </w:r>
        <w:r w:rsidR="00C64430">
          <w:rPr>
            <w:webHidden/>
          </w:rPr>
          <w:fldChar w:fldCharType="end"/>
        </w:r>
      </w:hyperlink>
    </w:p>
    <w:p w14:paraId="22565658" w14:textId="38D9117B" w:rsidR="00C64430" w:rsidRDefault="00432B8C">
      <w:pPr>
        <w:pStyle w:val="Indholdsfortegnelse2"/>
        <w:rPr>
          <w:rFonts w:asciiTheme="minorHAnsi" w:eastAsiaTheme="minorEastAsia" w:hAnsiTheme="minorHAnsi" w:cstheme="minorBidi"/>
          <w:szCs w:val="22"/>
        </w:rPr>
      </w:pPr>
      <w:hyperlink w:anchor="_Toc10205718" w:history="1">
        <w:r w:rsidR="00C64430" w:rsidRPr="007C6674">
          <w:rPr>
            <w:rStyle w:val="Hyperlink"/>
          </w:rPr>
          <w:t>4.3</w:t>
        </w:r>
        <w:r w:rsidR="00C64430">
          <w:rPr>
            <w:rFonts w:asciiTheme="minorHAnsi" w:eastAsiaTheme="minorEastAsia" w:hAnsiTheme="minorHAnsi" w:cstheme="minorBidi"/>
            <w:szCs w:val="22"/>
          </w:rPr>
          <w:tab/>
        </w:r>
        <w:r w:rsidR="00C64430" w:rsidRPr="007C6674">
          <w:rPr>
            <w:rStyle w:val="Hyperlink"/>
          </w:rPr>
          <w:t>PFOS og relaterede stoffer</w:t>
        </w:r>
        <w:r w:rsidR="00C64430">
          <w:rPr>
            <w:webHidden/>
          </w:rPr>
          <w:tab/>
        </w:r>
        <w:r w:rsidR="00C64430">
          <w:rPr>
            <w:webHidden/>
          </w:rPr>
          <w:fldChar w:fldCharType="begin"/>
        </w:r>
        <w:r w:rsidR="00C64430">
          <w:rPr>
            <w:webHidden/>
          </w:rPr>
          <w:instrText xml:space="preserve"> PAGEREF _Toc10205718 \h </w:instrText>
        </w:r>
        <w:r w:rsidR="00C64430">
          <w:rPr>
            <w:webHidden/>
          </w:rPr>
        </w:r>
        <w:r w:rsidR="00C64430">
          <w:rPr>
            <w:webHidden/>
          </w:rPr>
          <w:fldChar w:fldCharType="separate"/>
        </w:r>
        <w:r>
          <w:rPr>
            <w:webHidden/>
          </w:rPr>
          <w:t>41</w:t>
        </w:r>
        <w:r w:rsidR="00C64430">
          <w:rPr>
            <w:webHidden/>
          </w:rPr>
          <w:fldChar w:fldCharType="end"/>
        </w:r>
      </w:hyperlink>
    </w:p>
    <w:p w14:paraId="653B2005" w14:textId="29CB0E27" w:rsidR="00C64430" w:rsidRDefault="00432B8C">
      <w:pPr>
        <w:pStyle w:val="Indholdsfortegnelse2"/>
        <w:rPr>
          <w:rFonts w:asciiTheme="minorHAnsi" w:eastAsiaTheme="minorEastAsia" w:hAnsiTheme="minorHAnsi" w:cstheme="minorBidi"/>
          <w:szCs w:val="22"/>
        </w:rPr>
      </w:pPr>
      <w:hyperlink w:anchor="_Toc10205719" w:history="1">
        <w:r w:rsidR="00C64430" w:rsidRPr="007C6674">
          <w:rPr>
            <w:rStyle w:val="Hyperlink"/>
          </w:rPr>
          <w:t>4.4</w:t>
        </w:r>
        <w:r w:rsidR="00C64430">
          <w:rPr>
            <w:rFonts w:asciiTheme="minorHAnsi" w:eastAsiaTheme="minorEastAsia" w:hAnsiTheme="minorHAnsi" w:cstheme="minorBidi"/>
            <w:szCs w:val="22"/>
          </w:rPr>
          <w:tab/>
        </w:r>
        <w:r w:rsidR="00C64430" w:rsidRPr="007C6674">
          <w:rPr>
            <w:rStyle w:val="Hyperlink"/>
          </w:rPr>
          <w:t>Bromerede flammehæmmere</w:t>
        </w:r>
        <w:r w:rsidR="00C64430">
          <w:rPr>
            <w:webHidden/>
          </w:rPr>
          <w:tab/>
        </w:r>
        <w:r w:rsidR="00C64430">
          <w:rPr>
            <w:webHidden/>
          </w:rPr>
          <w:fldChar w:fldCharType="begin"/>
        </w:r>
        <w:r w:rsidR="00C64430">
          <w:rPr>
            <w:webHidden/>
          </w:rPr>
          <w:instrText xml:space="preserve"> PAGEREF _Toc10205719 \h </w:instrText>
        </w:r>
        <w:r w:rsidR="00C64430">
          <w:rPr>
            <w:webHidden/>
          </w:rPr>
        </w:r>
        <w:r w:rsidR="00C64430">
          <w:rPr>
            <w:webHidden/>
          </w:rPr>
          <w:fldChar w:fldCharType="separate"/>
        </w:r>
        <w:r>
          <w:rPr>
            <w:webHidden/>
          </w:rPr>
          <w:t>45</w:t>
        </w:r>
        <w:r w:rsidR="00C64430">
          <w:rPr>
            <w:webHidden/>
          </w:rPr>
          <w:fldChar w:fldCharType="end"/>
        </w:r>
      </w:hyperlink>
    </w:p>
    <w:p w14:paraId="2848468B" w14:textId="5E89FA21" w:rsidR="00C64430" w:rsidRDefault="00432B8C">
      <w:pPr>
        <w:pStyle w:val="Indholdsfortegnelse2"/>
        <w:rPr>
          <w:rFonts w:asciiTheme="minorHAnsi" w:eastAsiaTheme="minorEastAsia" w:hAnsiTheme="minorHAnsi" w:cstheme="minorBidi"/>
          <w:szCs w:val="22"/>
        </w:rPr>
      </w:pPr>
      <w:hyperlink w:anchor="_Toc10205720" w:history="1">
        <w:r w:rsidR="00C64430" w:rsidRPr="007C6674">
          <w:rPr>
            <w:rStyle w:val="Hyperlink"/>
          </w:rPr>
          <w:t>4.5</w:t>
        </w:r>
        <w:r w:rsidR="00C64430">
          <w:rPr>
            <w:rFonts w:asciiTheme="minorHAnsi" w:eastAsiaTheme="minorEastAsia" w:hAnsiTheme="minorHAnsi" w:cstheme="minorBidi"/>
            <w:szCs w:val="22"/>
          </w:rPr>
          <w:tab/>
        </w:r>
        <w:r w:rsidR="00C64430" w:rsidRPr="007C6674">
          <w:rPr>
            <w:rStyle w:val="Hyperlink"/>
          </w:rPr>
          <w:t>Kortkædede chlorparaffiner</w:t>
        </w:r>
        <w:r w:rsidR="00C64430">
          <w:rPr>
            <w:webHidden/>
          </w:rPr>
          <w:tab/>
        </w:r>
        <w:r w:rsidR="00C64430">
          <w:rPr>
            <w:webHidden/>
          </w:rPr>
          <w:fldChar w:fldCharType="begin"/>
        </w:r>
        <w:r w:rsidR="00C64430">
          <w:rPr>
            <w:webHidden/>
          </w:rPr>
          <w:instrText xml:space="preserve"> PAGEREF _Toc10205720 \h </w:instrText>
        </w:r>
        <w:r w:rsidR="00C64430">
          <w:rPr>
            <w:webHidden/>
          </w:rPr>
        </w:r>
        <w:r w:rsidR="00C64430">
          <w:rPr>
            <w:webHidden/>
          </w:rPr>
          <w:fldChar w:fldCharType="separate"/>
        </w:r>
        <w:r>
          <w:rPr>
            <w:webHidden/>
          </w:rPr>
          <w:t>51</w:t>
        </w:r>
        <w:r w:rsidR="00C64430">
          <w:rPr>
            <w:webHidden/>
          </w:rPr>
          <w:fldChar w:fldCharType="end"/>
        </w:r>
      </w:hyperlink>
    </w:p>
    <w:p w14:paraId="77C71D75" w14:textId="32732246" w:rsidR="00C64430" w:rsidRDefault="00432B8C">
      <w:pPr>
        <w:pStyle w:val="Indholdsfortegnelse2"/>
        <w:rPr>
          <w:rFonts w:asciiTheme="minorHAnsi" w:eastAsiaTheme="minorEastAsia" w:hAnsiTheme="minorHAnsi" w:cstheme="minorBidi"/>
          <w:szCs w:val="22"/>
        </w:rPr>
      </w:pPr>
      <w:hyperlink w:anchor="_Toc10205721" w:history="1">
        <w:r w:rsidR="00C64430" w:rsidRPr="007C6674">
          <w:rPr>
            <w:rStyle w:val="Hyperlink"/>
          </w:rPr>
          <w:t>4.6</w:t>
        </w:r>
        <w:r w:rsidR="00C64430">
          <w:rPr>
            <w:rFonts w:asciiTheme="minorHAnsi" w:eastAsiaTheme="minorEastAsia" w:hAnsiTheme="minorHAnsi" w:cstheme="minorBidi"/>
            <w:szCs w:val="22"/>
          </w:rPr>
          <w:tab/>
        </w:r>
        <w:r w:rsidR="00C64430" w:rsidRPr="007C6674">
          <w:rPr>
            <w:rStyle w:val="Hyperlink"/>
          </w:rPr>
          <w:t>Andre stoffer</w:t>
        </w:r>
        <w:r w:rsidR="00C64430">
          <w:rPr>
            <w:webHidden/>
          </w:rPr>
          <w:tab/>
        </w:r>
        <w:r w:rsidR="00C64430">
          <w:rPr>
            <w:webHidden/>
          </w:rPr>
          <w:fldChar w:fldCharType="begin"/>
        </w:r>
        <w:r w:rsidR="00C64430">
          <w:rPr>
            <w:webHidden/>
          </w:rPr>
          <w:instrText xml:space="preserve"> PAGEREF _Toc10205721 \h </w:instrText>
        </w:r>
        <w:r w:rsidR="00C64430">
          <w:rPr>
            <w:webHidden/>
          </w:rPr>
        </w:r>
        <w:r w:rsidR="00C64430">
          <w:rPr>
            <w:webHidden/>
          </w:rPr>
          <w:fldChar w:fldCharType="separate"/>
        </w:r>
        <w:r>
          <w:rPr>
            <w:webHidden/>
          </w:rPr>
          <w:t>54</w:t>
        </w:r>
        <w:r w:rsidR="00C64430">
          <w:rPr>
            <w:webHidden/>
          </w:rPr>
          <w:fldChar w:fldCharType="end"/>
        </w:r>
      </w:hyperlink>
    </w:p>
    <w:p w14:paraId="2CC1FEFA" w14:textId="64CA6C6D" w:rsidR="00C64430" w:rsidRDefault="00432B8C">
      <w:pPr>
        <w:pStyle w:val="Indholdsfortegnelse1"/>
        <w:rPr>
          <w:rFonts w:asciiTheme="minorHAnsi" w:eastAsiaTheme="minorEastAsia" w:hAnsiTheme="minorHAnsi" w:cstheme="minorBidi"/>
          <w:szCs w:val="22"/>
        </w:rPr>
      </w:pPr>
      <w:hyperlink w:anchor="_Toc10205722" w:history="1">
        <w:r w:rsidR="00C64430" w:rsidRPr="007C6674">
          <w:rPr>
            <w:rStyle w:val="Hyperlink"/>
          </w:rPr>
          <w:t>5</w:t>
        </w:r>
        <w:r w:rsidR="00C64430">
          <w:rPr>
            <w:rFonts w:asciiTheme="minorHAnsi" w:eastAsiaTheme="minorEastAsia" w:hAnsiTheme="minorHAnsi" w:cstheme="minorBidi"/>
            <w:szCs w:val="22"/>
          </w:rPr>
          <w:tab/>
        </w:r>
        <w:r w:rsidR="00C64430" w:rsidRPr="007C6674">
          <w:rPr>
            <w:rStyle w:val="Hyperlink"/>
          </w:rPr>
          <w:t>Andre konsekvenser</w:t>
        </w:r>
        <w:r w:rsidR="00C64430">
          <w:rPr>
            <w:webHidden/>
          </w:rPr>
          <w:tab/>
        </w:r>
        <w:r w:rsidR="00C64430">
          <w:rPr>
            <w:webHidden/>
          </w:rPr>
          <w:fldChar w:fldCharType="begin"/>
        </w:r>
        <w:r w:rsidR="00C64430">
          <w:rPr>
            <w:webHidden/>
          </w:rPr>
          <w:instrText xml:space="preserve"> PAGEREF _Toc10205722 \h </w:instrText>
        </w:r>
        <w:r w:rsidR="00C64430">
          <w:rPr>
            <w:webHidden/>
          </w:rPr>
        </w:r>
        <w:r w:rsidR="00C64430">
          <w:rPr>
            <w:webHidden/>
          </w:rPr>
          <w:fldChar w:fldCharType="separate"/>
        </w:r>
        <w:r>
          <w:rPr>
            <w:webHidden/>
          </w:rPr>
          <w:t>58</w:t>
        </w:r>
        <w:r w:rsidR="00C64430">
          <w:rPr>
            <w:webHidden/>
          </w:rPr>
          <w:fldChar w:fldCharType="end"/>
        </w:r>
      </w:hyperlink>
    </w:p>
    <w:p w14:paraId="295F7ED5" w14:textId="73D2288B" w:rsidR="00C64430" w:rsidRDefault="00432B8C">
      <w:pPr>
        <w:pStyle w:val="Indholdsfortegnelse2"/>
        <w:rPr>
          <w:rFonts w:asciiTheme="minorHAnsi" w:eastAsiaTheme="minorEastAsia" w:hAnsiTheme="minorHAnsi" w:cstheme="minorBidi"/>
          <w:szCs w:val="22"/>
        </w:rPr>
      </w:pPr>
      <w:hyperlink w:anchor="_Toc10205723" w:history="1">
        <w:r w:rsidR="00C64430" w:rsidRPr="007C6674">
          <w:rPr>
            <w:rStyle w:val="Hyperlink"/>
          </w:rPr>
          <w:t>5.1</w:t>
        </w:r>
        <w:r w:rsidR="00C64430">
          <w:rPr>
            <w:rFonts w:asciiTheme="minorHAnsi" w:eastAsiaTheme="minorEastAsia" w:hAnsiTheme="minorHAnsi" w:cstheme="minorBidi"/>
            <w:szCs w:val="22"/>
          </w:rPr>
          <w:tab/>
        </w:r>
        <w:r w:rsidR="00C64430" w:rsidRPr="007C6674">
          <w:rPr>
            <w:rStyle w:val="Hyperlink"/>
          </w:rPr>
          <w:t>Rapporteringsforpligtelser</w:t>
        </w:r>
        <w:r w:rsidR="00C64430">
          <w:rPr>
            <w:webHidden/>
          </w:rPr>
          <w:tab/>
        </w:r>
        <w:r w:rsidR="00C64430">
          <w:rPr>
            <w:webHidden/>
          </w:rPr>
          <w:fldChar w:fldCharType="begin"/>
        </w:r>
        <w:r w:rsidR="00C64430">
          <w:rPr>
            <w:webHidden/>
          </w:rPr>
          <w:instrText xml:space="preserve"> PAGEREF _Toc10205723 \h </w:instrText>
        </w:r>
        <w:r w:rsidR="00C64430">
          <w:rPr>
            <w:webHidden/>
          </w:rPr>
        </w:r>
        <w:r w:rsidR="00C64430">
          <w:rPr>
            <w:webHidden/>
          </w:rPr>
          <w:fldChar w:fldCharType="separate"/>
        </w:r>
        <w:r>
          <w:rPr>
            <w:webHidden/>
          </w:rPr>
          <w:t>58</w:t>
        </w:r>
        <w:r w:rsidR="00C64430">
          <w:rPr>
            <w:webHidden/>
          </w:rPr>
          <w:fldChar w:fldCharType="end"/>
        </w:r>
      </w:hyperlink>
    </w:p>
    <w:p w14:paraId="4F918C31" w14:textId="6B958F38" w:rsidR="00C64430" w:rsidRDefault="00432B8C">
      <w:pPr>
        <w:pStyle w:val="Indholdsfortegnelse2"/>
        <w:rPr>
          <w:rFonts w:asciiTheme="minorHAnsi" w:eastAsiaTheme="minorEastAsia" w:hAnsiTheme="minorHAnsi" w:cstheme="minorBidi"/>
          <w:szCs w:val="22"/>
        </w:rPr>
      </w:pPr>
      <w:hyperlink w:anchor="_Toc10205724" w:history="1">
        <w:r w:rsidR="00C64430" w:rsidRPr="007C6674">
          <w:rPr>
            <w:rStyle w:val="Hyperlink"/>
          </w:rPr>
          <w:t>5.2</w:t>
        </w:r>
        <w:r w:rsidR="00C64430">
          <w:rPr>
            <w:rFonts w:asciiTheme="minorHAnsi" w:eastAsiaTheme="minorEastAsia" w:hAnsiTheme="minorHAnsi" w:cstheme="minorBidi"/>
            <w:szCs w:val="22"/>
          </w:rPr>
          <w:tab/>
        </w:r>
        <w:r w:rsidR="00C64430" w:rsidRPr="007C6674">
          <w:rPr>
            <w:rStyle w:val="Hyperlink"/>
          </w:rPr>
          <w:t>Tilsynsmyndighed</w:t>
        </w:r>
        <w:r w:rsidR="00C64430">
          <w:rPr>
            <w:webHidden/>
          </w:rPr>
          <w:tab/>
        </w:r>
        <w:r w:rsidR="00C64430">
          <w:rPr>
            <w:webHidden/>
          </w:rPr>
          <w:fldChar w:fldCharType="begin"/>
        </w:r>
        <w:r w:rsidR="00C64430">
          <w:rPr>
            <w:webHidden/>
          </w:rPr>
          <w:instrText xml:space="preserve"> PAGEREF _Toc10205724 \h </w:instrText>
        </w:r>
        <w:r w:rsidR="00C64430">
          <w:rPr>
            <w:webHidden/>
          </w:rPr>
        </w:r>
        <w:r w:rsidR="00C64430">
          <w:rPr>
            <w:webHidden/>
          </w:rPr>
          <w:fldChar w:fldCharType="separate"/>
        </w:r>
        <w:r>
          <w:rPr>
            <w:webHidden/>
          </w:rPr>
          <w:t>59</w:t>
        </w:r>
        <w:r w:rsidR="00C64430">
          <w:rPr>
            <w:webHidden/>
          </w:rPr>
          <w:fldChar w:fldCharType="end"/>
        </w:r>
      </w:hyperlink>
    </w:p>
    <w:p w14:paraId="1DBC1356" w14:textId="32100F92" w:rsidR="00C64430" w:rsidRDefault="00432B8C">
      <w:pPr>
        <w:pStyle w:val="Indholdsfortegnelse2"/>
        <w:rPr>
          <w:rFonts w:asciiTheme="minorHAnsi" w:eastAsiaTheme="minorEastAsia" w:hAnsiTheme="minorHAnsi" w:cstheme="minorBidi"/>
          <w:szCs w:val="22"/>
        </w:rPr>
      </w:pPr>
      <w:hyperlink w:anchor="_Toc10205725" w:history="1">
        <w:r w:rsidR="00C64430" w:rsidRPr="007C6674">
          <w:rPr>
            <w:rStyle w:val="Hyperlink"/>
          </w:rPr>
          <w:t>5.3</w:t>
        </w:r>
        <w:r w:rsidR="00C64430">
          <w:rPr>
            <w:rFonts w:asciiTheme="minorHAnsi" w:eastAsiaTheme="minorEastAsia" w:hAnsiTheme="minorHAnsi" w:cstheme="minorBidi"/>
            <w:szCs w:val="22"/>
          </w:rPr>
          <w:tab/>
        </w:r>
        <w:r w:rsidR="00C64430" w:rsidRPr="007C6674">
          <w:rPr>
            <w:rStyle w:val="Hyperlink"/>
          </w:rPr>
          <w:t>Monitering og forskning</w:t>
        </w:r>
        <w:r w:rsidR="00C64430">
          <w:rPr>
            <w:webHidden/>
          </w:rPr>
          <w:tab/>
        </w:r>
        <w:r w:rsidR="00C64430">
          <w:rPr>
            <w:webHidden/>
          </w:rPr>
          <w:fldChar w:fldCharType="begin"/>
        </w:r>
        <w:r w:rsidR="00C64430">
          <w:rPr>
            <w:webHidden/>
          </w:rPr>
          <w:instrText xml:space="preserve"> PAGEREF _Toc10205725 \h </w:instrText>
        </w:r>
        <w:r w:rsidR="00C64430">
          <w:rPr>
            <w:webHidden/>
          </w:rPr>
        </w:r>
        <w:r w:rsidR="00C64430">
          <w:rPr>
            <w:webHidden/>
          </w:rPr>
          <w:fldChar w:fldCharType="separate"/>
        </w:r>
        <w:r>
          <w:rPr>
            <w:webHidden/>
          </w:rPr>
          <w:t>60</w:t>
        </w:r>
        <w:r w:rsidR="00C64430">
          <w:rPr>
            <w:webHidden/>
          </w:rPr>
          <w:fldChar w:fldCharType="end"/>
        </w:r>
      </w:hyperlink>
    </w:p>
    <w:p w14:paraId="533E946C" w14:textId="788A08BE" w:rsidR="00C64430" w:rsidRDefault="00432B8C">
      <w:pPr>
        <w:pStyle w:val="Indholdsfortegnelse2"/>
        <w:rPr>
          <w:rFonts w:asciiTheme="minorHAnsi" w:eastAsiaTheme="minorEastAsia" w:hAnsiTheme="minorHAnsi" w:cstheme="minorBidi"/>
          <w:szCs w:val="22"/>
        </w:rPr>
      </w:pPr>
      <w:hyperlink w:anchor="_Toc10205726" w:history="1">
        <w:r w:rsidR="00C64430" w:rsidRPr="007C6674">
          <w:rPr>
            <w:rStyle w:val="Hyperlink"/>
          </w:rPr>
          <w:t>5.4</w:t>
        </w:r>
        <w:r w:rsidR="00C64430">
          <w:rPr>
            <w:rFonts w:asciiTheme="minorHAnsi" w:eastAsiaTheme="minorEastAsia" w:hAnsiTheme="minorHAnsi" w:cstheme="minorBidi"/>
            <w:szCs w:val="22"/>
          </w:rPr>
          <w:tab/>
        </w:r>
        <w:r w:rsidR="00C64430" w:rsidRPr="007C6674">
          <w:rPr>
            <w:rStyle w:val="Hyperlink"/>
          </w:rPr>
          <w:t>Oplysning til borgerne</w:t>
        </w:r>
        <w:r w:rsidR="00C64430">
          <w:rPr>
            <w:webHidden/>
          </w:rPr>
          <w:tab/>
        </w:r>
        <w:r w:rsidR="00C64430">
          <w:rPr>
            <w:webHidden/>
          </w:rPr>
          <w:fldChar w:fldCharType="begin"/>
        </w:r>
        <w:r w:rsidR="00C64430">
          <w:rPr>
            <w:webHidden/>
          </w:rPr>
          <w:instrText xml:space="preserve"> PAGEREF _Toc10205726 \h </w:instrText>
        </w:r>
        <w:r w:rsidR="00C64430">
          <w:rPr>
            <w:webHidden/>
          </w:rPr>
        </w:r>
        <w:r w:rsidR="00C64430">
          <w:rPr>
            <w:webHidden/>
          </w:rPr>
          <w:fldChar w:fldCharType="separate"/>
        </w:r>
        <w:r>
          <w:rPr>
            <w:webHidden/>
          </w:rPr>
          <w:t>60</w:t>
        </w:r>
        <w:r w:rsidR="00C64430">
          <w:rPr>
            <w:webHidden/>
          </w:rPr>
          <w:fldChar w:fldCharType="end"/>
        </w:r>
      </w:hyperlink>
    </w:p>
    <w:p w14:paraId="22D0C655" w14:textId="26D78F10" w:rsidR="00C64430" w:rsidRDefault="00432B8C">
      <w:pPr>
        <w:pStyle w:val="Indholdsfortegnelse1"/>
        <w:rPr>
          <w:rFonts w:asciiTheme="minorHAnsi" w:eastAsiaTheme="minorEastAsia" w:hAnsiTheme="minorHAnsi" w:cstheme="minorBidi"/>
          <w:szCs w:val="22"/>
        </w:rPr>
      </w:pPr>
      <w:hyperlink w:anchor="_Toc10205727" w:history="1">
        <w:r w:rsidR="00C64430" w:rsidRPr="007C6674">
          <w:rPr>
            <w:rStyle w:val="Hyperlink"/>
          </w:rPr>
          <w:t>6</w:t>
        </w:r>
        <w:r w:rsidR="00C64430">
          <w:rPr>
            <w:rFonts w:asciiTheme="minorHAnsi" w:eastAsiaTheme="minorEastAsia" w:hAnsiTheme="minorHAnsi" w:cstheme="minorBidi"/>
            <w:szCs w:val="22"/>
          </w:rPr>
          <w:tab/>
        </w:r>
        <w:r w:rsidR="00C64430" w:rsidRPr="007C6674">
          <w:rPr>
            <w:rStyle w:val="Hyperlink"/>
          </w:rPr>
          <w:t>Juridiske og teknisk/administrative forhold</w:t>
        </w:r>
        <w:r w:rsidR="00C64430">
          <w:rPr>
            <w:webHidden/>
          </w:rPr>
          <w:tab/>
        </w:r>
        <w:r w:rsidR="00C64430">
          <w:rPr>
            <w:webHidden/>
          </w:rPr>
          <w:fldChar w:fldCharType="begin"/>
        </w:r>
        <w:r w:rsidR="00C64430">
          <w:rPr>
            <w:webHidden/>
          </w:rPr>
          <w:instrText xml:space="preserve"> PAGEREF _Toc10205727 \h </w:instrText>
        </w:r>
        <w:r w:rsidR="00C64430">
          <w:rPr>
            <w:webHidden/>
          </w:rPr>
        </w:r>
        <w:r w:rsidR="00C64430">
          <w:rPr>
            <w:webHidden/>
          </w:rPr>
          <w:fldChar w:fldCharType="separate"/>
        </w:r>
        <w:r>
          <w:rPr>
            <w:webHidden/>
          </w:rPr>
          <w:t>62</w:t>
        </w:r>
        <w:r w:rsidR="00C64430">
          <w:rPr>
            <w:webHidden/>
          </w:rPr>
          <w:fldChar w:fldCharType="end"/>
        </w:r>
      </w:hyperlink>
    </w:p>
    <w:p w14:paraId="3E556F37" w14:textId="02DCDBE5" w:rsidR="00C64430" w:rsidRDefault="00432B8C">
      <w:pPr>
        <w:pStyle w:val="Indholdsfortegnelse2"/>
        <w:rPr>
          <w:rFonts w:asciiTheme="minorHAnsi" w:eastAsiaTheme="minorEastAsia" w:hAnsiTheme="minorHAnsi" w:cstheme="minorBidi"/>
          <w:szCs w:val="22"/>
        </w:rPr>
      </w:pPr>
      <w:hyperlink w:anchor="_Toc10205728" w:history="1">
        <w:r w:rsidR="00C64430" w:rsidRPr="007C6674">
          <w:rPr>
            <w:rStyle w:val="Hyperlink"/>
          </w:rPr>
          <w:t>6.1</w:t>
        </w:r>
        <w:r w:rsidR="00C64430">
          <w:rPr>
            <w:rFonts w:asciiTheme="minorHAnsi" w:eastAsiaTheme="minorEastAsia" w:hAnsiTheme="minorHAnsi" w:cstheme="minorBidi"/>
            <w:szCs w:val="22"/>
          </w:rPr>
          <w:tab/>
        </w:r>
        <w:r w:rsidR="00C64430" w:rsidRPr="007C6674">
          <w:rPr>
            <w:rStyle w:val="Hyperlink"/>
          </w:rPr>
          <w:t>Forbud mod eller begrænsning af indførsel, udførsel, fremstilling, anvendelse mm</w:t>
        </w:r>
        <w:r w:rsidR="00C64430">
          <w:rPr>
            <w:webHidden/>
          </w:rPr>
          <w:tab/>
        </w:r>
        <w:r w:rsidR="00C64430">
          <w:rPr>
            <w:webHidden/>
          </w:rPr>
          <w:fldChar w:fldCharType="begin"/>
        </w:r>
        <w:r w:rsidR="00C64430">
          <w:rPr>
            <w:webHidden/>
          </w:rPr>
          <w:instrText xml:space="preserve"> PAGEREF _Toc10205728 \h </w:instrText>
        </w:r>
        <w:r w:rsidR="00C64430">
          <w:rPr>
            <w:webHidden/>
          </w:rPr>
        </w:r>
        <w:r w:rsidR="00C64430">
          <w:rPr>
            <w:webHidden/>
          </w:rPr>
          <w:fldChar w:fldCharType="separate"/>
        </w:r>
        <w:r>
          <w:rPr>
            <w:webHidden/>
          </w:rPr>
          <w:t>62</w:t>
        </w:r>
        <w:r w:rsidR="00C64430">
          <w:rPr>
            <w:webHidden/>
          </w:rPr>
          <w:fldChar w:fldCharType="end"/>
        </w:r>
      </w:hyperlink>
    </w:p>
    <w:p w14:paraId="6E985DA1" w14:textId="26B646A3" w:rsidR="00C64430" w:rsidRDefault="00432B8C">
      <w:pPr>
        <w:pStyle w:val="Indholdsfortegnelse2"/>
        <w:rPr>
          <w:rFonts w:asciiTheme="minorHAnsi" w:eastAsiaTheme="minorEastAsia" w:hAnsiTheme="minorHAnsi" w:cstheme="minorBidi"/>
          <w:szCs w:val="22"/>
        </w:rPr>
      </w:pPr>
      <w:hyperlink w:anchor="_Toc10205729" w:history="1">
        <w:r w:rsidR="00C64430" w:rsidRPr="007C6674">
          <w:rPr>
            <w:rStyle w:val="Hyperlink"/>
          </w:rPr>
          <w:t>6.2</w:t>
        </w:r>
        <w:r w:rsidR="00C64430">
          <w:rPr>
            <w:rFonts w:asciiTheme="minorHAnsi" w:eastAsiaTheme="minorEastAsia" w:hAnsiTheme="minorHAnsi" w:cstheme="minorBidi"/>
            <w:szCs w:val="22"/>
          </w:rPr>
          <w:tab/>
        </w:r>
        <w:r w:rsidR="00C64430" w:rsidRPr="007C6674">
          <w:rPr>
            <w:rStyle w:val="Hyperlink"/>
          </w:rPr>
          <w:t>Begrænsning af emissioner</w:t>
        </w:r>
        <w:r w:rsidR="00C64430">
          <w:rPr>
            <w:webHidden/>
          </w:rPr>
          <w:tab/>
        </w:r>
        <w:r w:rsidR="00C64430">
          <w:rPr>
            <w:webHidden/>
          </w:rPr>
          <w:fldChar w:fldCharType="begin"/>
        </w:r>
        <w:r w:rsidR="00C64430">
          <w:rPr>
            <w:webHidden/>
          </w:rPr>
          <w:instrText xml:space="preserve"> PAGEREF _Toc10205729 \h </w:instrText>
        </w:r>
        <w:r w:rsidR="00C64430">
          <w:rPr>
            <w:webHidden/>
          </w:rPr>
        </w:r>
        <w:r w:rsidR="00C64430">
          <w:rPr>
            <w:webHidden/>
          </w:rPr>
          <w:fldChar w:fldCharType="separate"/>
        </w:r>
        <w:r>
          <w:rPr>
            <w:webHidden/>
          </w:rPr>
          <w:t>63</w:t>
        </w:r>
        <w:r w:rsidR="00C64430">
          <w:rPr>
            <w:webHidden/>
          </w:rPr>
          <w:fldChar w:fldCharType="end"/>
        </w:r>
      </w:hyperlink>
    </w:p>
    <w:p w14:paraId="664CE2B8" w14:textId="2BA7A88B" w:rsidR="00C64430" w:rsidRDefault="00432B8C">
      <w:pPr>
        <w:pStyle w:val="Indholdsfortegnelse1"/>
        <w:rPr>
          <w:rFonts w:asciiTheme="minorHAnsi" w:eastAsiaTheme="minorEastAsia" w:hAnsiTheme="minorHAnsi" w:cstheme="minorBidi"/>
          <w:szCs w:val="22"/>
        </w:rPr>
      </w:pPr>
      <w:hyperlink w:anchor="_Toc10205730" w:history="1">
        <w:r w:rsidR="00C64430" w:rsidRPr="007C6674">
          <w:rPr>
            <w:rStyle w:val="Hyperlink"/>
          </w:rPr>
          <w:t>7</w:t>
        </w:r>
        <w:r w:rsidR="00C64430">
          <w:rPr>
            <w:rFonts w:asciiTheme="minorHAnsi" w:eastAsiaTheme="minorEastAsia" w:hAnsiTheme="minorHAnsi" w:cstheme="minorBidi"/>
            <w:szCs w:val="22"/>
          </w:rPr>
          <w:tab/>
        </w:r>
        <w:r w:rsidR="00C64430" w:rsidRPr="007C6674">
          <w:rPr>
            <w:rStyle w:val="Hyperlink"/>
          </w:rPr>
          <w:t>Erfaringer fra Færøerne</w:t>
        </w:r>
        <w:r w:rsidR="00C64430">
          <w:rPr>
            <w:webHidden/>
          </w:rPr>
          <w:tab/>
        </w:r>
        <w:r w:rsidR="00C64430">
          <w:rPr>
            <w:webHidden/>
          </w:rPr>
          <w:fldChar w:fldCharType="begin"/>
        </w:r>
        <w:r w:rsidR="00C64430">
          <w:rPr>
            <w:webHidden/>
          </w:rPr>
          <w:instrText xml:space="preserve"> PAGEREF _Toc10205730 \h </w:instrText>
        </w:r>
        <w:r w:rsidR="00C64430">
          <w:rPr>
            <w:webHidden/>
          </w:rPr>
        </w:r>
        <w:r w:rsidR="00C64430">
          <w:rPr>
            <w:webHidden/>
          </w:rPr>
          <w:fldChar w:fldCharType="separate"/>
        </w:r>
        <w:r>
          <w:rPr>
            <w:webHidden/>
          </w:rPr>
          <w:t>65</w:t>
        </w:r>
        <w:r w:rsidR="00C64430">
          <w:rPr>
            <w:webHidden/>
          </w:rPr>
          <w:fldChar w:fldCharType="end"/>
        </w:r>
      </w:hyperlink>
    </w:p>
    <w:p w14:paraId="2EA2A927" w14:textId="58D27592" w:rsidR="00C64430" w:rsidRDefault="00432B8C">
      <w:pPr>
        <w:pStyle w:val="Indholdsfortegnelse1"/>
        <w:rPr>
          <w:rFonts w:asciiTheme="minorHAnsi" w:eastAsiaTheme="minorEastAsia" w:hAnsiTheme="minorHAnsi" w:cstheme="minorBidi"/>
          <w:szCs w:val="22"/>
        </w:rPr>
      </w:pPr>
      <w:hyperlink w:anchor="_Toc10205731" w:history="1">
        <w:r w:rsidR="00C64430" w:rsidRPr="007C6674">
          <w:rPr>
            <w:rStyle w:val="Hyperlink"/>
          </w:rPr>
          <w:t>8</w:t>
        </w:r>
        <w:r w:rsidR="00C64430">
          <w:rPr>
            <w:rFonts w:asciiTheme="minorHAnsi" w:eastAsiaTheme="minorEastAsia" w:hAnsiTheme="minorHAnsi" w:cstheme="minorBidi"/>
            <w:szCs w:val="22"/>
          </w:rPr>
          <w:tab/>
        </w:r>
        <w:r w:rsidR="00C64430" w:rsidRPr="007C6674">
          <w:rPr>
            <w:rStyle w:val="Hyperlink"/>
          </w:rPr>
          <w:t>Samlede omkostninger</w:t>
        </w:r>
        <w:r w:rsidR="00C64430">
          <w:rPr>
            <w:webHidden/>
          </w:rPr>
          <w:tab/>
        </w:r>
        <w:r w:rsidR="00C64430">
          <w:rPr>
            <w:webHidden/>
          </w:rPr>
          <w:fldChar w:fldCharType="begin"/>
        </w:r>
        <w:r w:rsidR="00C64430">
          <w:rPr>
            <w:webHidden/>
          </w:rPr>
          <w:instrText xml:space="preserve"> PAGEREF _Toc10205731 \h </w:instrText>
        </w:r>
        <w:r w:rsidR="00C64430">
          <w:rPr>
            <w:webHidden/>
          </w:rPr>
        </w:r>
        <w:r w:rsidR="00C64430">
          <w:rPr>
            <w:webHidden/>
          </w:rPr>
          <w:fldChar w:fldCharType="separate"/>
        </w:r>
        <w:r>
          <w:rPr>
            <w:webHidden/>
          </w:rPr>
          <w:t>67</w:t>
        </w:r>
        <w:r w:rsidR="00C64430">
          <w:rPr>
            <w:webHidden/>
          </w:rPr>
          <w:fldChar w:fldCharType="end"/>
        </w:r>
      </w:hyperlink>
    </w:p>
    <w:p w14:paraId="313FFDC2" w14:textId="0B7F04F1" w:rsidR="00C64430" w:rsidRDefault="00432B8C">
      <w:pPr>
        <w:pStyle w:val="Indholdsfortegnelse1"/>
        <w:rPr>
          <w:rFonts w:asciiTheme="minorHAnsi" w:eastAsiaTheme="minorEastAsia" w:hAnsiTheme="minorHAnsi" w:cstheme="minorBidi"/>
          <w:szCs w:val="22"/>
        </w:rPr>
      </w:pPr>
      <w:hyperlink w:anchor="_Toc10205732" w:history="1">
        <w:r w:rsidR="00C64430" w:rsidRPr="007C6674">
          <w:rPr>
            <w:rStyle w:val="Hyperlink"/>
          </w:rPr>
          <w:t>9</w:t>
        </w:r>
        <w:r w:rsidR="00C64430">
          <w:rPr>
            <w:rFonts w:asciiTheme="minorHAnsi" w:eastAsiaTheme="minorEastAsia" w:hAnsiTheme="minorHAnsi" w:cstheme="minorBidi"/>
            <w:szCs w:val="22"/>
          </w:rPr>
          <w:tab/>
        </w:r>
        <w:r w:rsidR="00C64430" w:rsidRPr="007C6674">
          <w:rPr>
            <w:rStyle w:val="Hyperlink"/>
          </w:rPr>
          <w:t>Forkortelser og akronymer</w:t>
        </w:r>
        <w:r w:rsidR="00C64430">
          <w:rPr>
            <w:webHidden/>
          </w:rPr>
          <w:tab/>
        </w:r>
        <w:r w:rsidR="00C64430">
          <w:rPr>
            <w:webHidden/>
          </w:rPr>
          <w:fldChar w:fldCharType="begin"/>
        </w:r>
        <w:r w:rsidR="00C64430">
          <w:rPr>
            <w:webHidden/>
          </w:rPr>
          <w:instrText xml:space="preserve"> PAGEREF _Toc10205732 \h </w:instrText>
        </w:r>
        <w:r w:rsidR="00C64430">
          <w:rPr>
            <w:webHidden/>
          </w:rPr>
        </w:r>
        <w:r w:rsidR="00C64430">
          <w:rPr>
            <w:webHidden/>
          </w:rPr>
          <w:fldChar w:fldCharType="separate"/>
        </w:r>
        <w:r>
          <w:rPr>
            <w:webHidden/>
          </w:rPr>
          <w:t>70</w:t>
        </w:r>
        <w:r w:rsidR="00C64430">
          <w:rPr>
            <w:webHidden/>
          </w:rPr>
          <w:fldChar w:fldCharType="end"/>
        </w:r>
      </w:hyperlink>
    </w:p>
    <w:p w14:paraId="7EF6C4FA" w14:textId="04D6DFB3" w:rsidR="00C64430" w:rsidRDefault="00432B8C">
      <w:pPr>
        <w:pStyle w:val="Indholdsfortegnelse1"/>
        <w:rPr>
          <w:rFonts w:asciiTheme="minorHAnsi" w:eastAsiaTheme="minorEastAsia" w:hAnsiTheme="minorHAnsi" w:cstheme="minorBidi"/>
          <w:szCs w:val="22"/>
        </w:rPr>
      </w:pPr>
      <w:hyperlink w:anchor="_Toc10205733" w:history="1">
        <w:r w:rsidR="00C64430" w:rsidRPr="007C6674">
          <w:rPr>
            <w:rStyle w:val="Hyperlink"/>
          </w:rPr>
          <w:t>10</w:t>
        </w:r>
        <w:r w:rsidR="00C64430">
          <w:rPr>
            <w:rFonts w:asciiTheme="minorHAnsi" w:eastAsiaTheme="minorEastAsia" w:hAnsiTheme="minorHAnsi" w:cstheme="minorBidi"/>
            <w:szCs w:val="22"/>
          </w:rPr>
          <w:tab/>
        </w:r>
        <w:r w:rsidR="00C64430" w:rsidRPr="007C6674">
          <w:rPr>
            <w:rStyle w:val="Hyperlink"/>
          </w:rPr>
          <w:t>Referencer</w:t>
        </w:r>
        <w:r w:rsidR="00C64430">
          <w:rPr>
            <w:webHidden/>
          </w:rPr>
          <w:tab/>
        </w:r>
        <w:r w:rsidR="00C64430">
          <w:rPr>
            <w:webHidden/>
          </w:rPr>
          <w:fldChar w:fldCharType="begin"/>
        </w:r>
        <w:r w:rsidR="00C64430">
          <w:rPr>
            <w:webHidden/>
          </w:rPr>
          <w:instrText xml:space="preserve"> PAGEREF _Toc10205733 \h </w:instrText>
        </w:r>
        <w:r w:rsidR="00C64430">
          <w:rPr>
            <w:webHidden/>
          </w:rPr>
        </w:r>
        <w:r w:rsidR="00C64430">
          <w:rPr>
            <w:webHidden/>
          </w:rPr>
          <w:fldChar w:fldCharType="separate"/>
        </w:r>
        <w:r>
          <w:rPr>
            <w:webHidden/>
          </w:rPr>
          <w:t>72</w:t>
        </w:r>
        <w:r w:rsidR="00C64430">
          <w:rPr>
            <w:webHidden/>
          </w:rPr>
          <w:fldChar w:fldCharType="end"/>
        </w:r>
      </w:hyperlink>
    </w:p>
    <w:p w14:paraId="7D6CF6BA" w14:textId="04CEBBE6" w:rsidR="00D419FD" w:rsidRDefault="00C64430" w:rsidP="00C64430">
      <w:pPr>
        <w:pStyle w:val="Indholdsfortegnelse1"/>
      </w:pPr>
      <w:r>
        <w:rPr>
          <w:sz w:val="24"/>
        </w:rPr>
        <w:fldChar w:fldCharType="end"/>
      </w:r>
    </w:p>
    <w:p w14:paraId="7D6CF6BB" w14:textId="77777777" w:rsidR="005B6C1C" w:rsidRDefault="005B6C1C">
      <w:pPr>
        <w:pStyle w:val="Brdtekst"/>
        <w:sectPr w:rsidR="005B6C1C">
          <w:headerReference w:type="even" r:id="rId15"/>
          <w:headerReference w:type="default" r:id="rId16"/>
          <w:footerReference w:type="even" r:id="rId17"/>
          <w:footerReference w:type="default" r:id="rId18"/>
          <w:headerReference w:type="first" r:id="rId19"/>
          <w:type w:val="oddPage"/>
          <w:pgSz w:w="11907" w:h="16840" w:code="9"/>
          <w:pgMar w:top="1701" w:right="851" w:bottom="1134" w:left="3119" w:header="851" w:footer="369" w:gutter="567"/>
          <w:cols w:space="708"/>
          <w:docGrid w:linePitch="360"/>
        </w:sectPr>
      </w:pPr>
    </w:p>
    <w:p w14:paraId="7D6CF6BC" w14:textId="77777777" w:rsidR="004D57DA" w:rsidRDefault="004D57DA" w:rsidP="004D57DA">
      <w:pPr>
        <w:pStyle w:val="Overskrift1"/>
        <w:numPr>
          <w:ilvl w:val="0"/>
          <w:numId w:val="0"/>
        </w:numPr>
      </w:pPr>
      <w:bookmarkStart w:id="0" w:name="_Toc469053528"/>
      <w:bookmarkStart w:id="1" w:name="_Toc469057809"/>
      <w:bookmarkStart w:id="2" w:name="_Toc469304907"/>
      <w:bookmarkStart w:id="3" w:name="_Toc10205701"/>
      <w:r>
        <w:lastRenderedPageBreak/>
        <w:t>Forord</w:t>
      </w:r>
      <w:bookmarkEnd w:id="0"/>
      <w:bookmarkEnd w:id="1"/>
      <w:bookmarkEnd w:id="2"/>
      <w:bookmarkEnd w:id="3"/>
    </w:p>
    <w:p w14:paraId="61541073" w14:textId="2E8B3A79" w:rsidR="00EC76CA" w:rsidRDefault="00EC76CA" w:rsidP="00D636B2">
      <w:pPr>
        <w:pStyle w:val="Brdtekst"/>
      </w:pPr>
      <w:r w:rsidRPr="00A56CDB">
        <w:t xml:space="preserve">Nærværende projekt er igangsat med det formål at afklare konsekvenserne af at ophæve Danmarks territoriale forbehold </w:t>
      </w:r>
      <w:r w:rsidR="00526E09">
        <w:t>for</w:t>
      </w:r>
      <w:r w:rsidR="00526E09" w:rsidRPr="00A56CDB">
        <w:t xml:space="preserve"> Grønland</w:t>
      </w:r>
      <w:r w:rsidR="00526E09" w:rsidRPr="00A56CDB" w:rsidDel="00526E09">
        <w:t xml:space="preserve"> </w:t>
      </w:r>
      <w:r w:rsidR="00526E09">
        <w:t>i relation til</w:t>
      </w:r>
      <w:r w:rsidRPr="00A56CDB">
        <w:t xml:space="preserve"> Stockholmkonventionen om </w:t>
      </w:r>
      <w:proofErr w:type="spellStart"/>
      <w:r w:rsidRPr="00A56CDB">
        <w:t>persistente</w:t>
      </w:r>
      <w:proofErr w:type="spellEnd"/>
      <w:r w:rsidRPr="00A56CDB">
        <w:t xml:space="preserve"> organiske miljøgifte. </w:t>
      </w:r>
    </w:p>
    <w:p w14:paraId="7D6CF6BD" w14:textId="7107E491" w:rsidR="00D636B2" w:rsidRDefault="00D636B2" w:rsidP="00D636B2">
      <w:pPr>
        <w:pStyle w:val="Brdtekst"/>
      </w:pPr>
      <w:r w:rsidRPr="00300738">
        <w:t xml:space="preserve">Danmark ratificerede Stockholmkonventionen om </w:t>
      </w:r>
      <w:proofErr w:type="spellStart"/>
      <w:r w:rsidRPr="00300738">
        <w:t>persistente</w:t>
      </w:r>
      <w:proofErr w:type="spellEnd"/>
      <w:r w:rsidRPr="00300738">
        <w:t xml:space="preserve"> organiske miljøgifte (POP-stoffer) i december 2003, men med et territorialt forbehold for Færøerne og Grønland. Forbeholdet for Færøerne blev tilbagekaldt i 2012, mens der stadig tages territorialt forbehold for Grønland. </w:t>
      </w:r>
    </w:p>
    <w:p w14:paraId="7D6CF6BF" w14:textId="0D5923C2" w:rsidR="00A56CDB" w:rsidRDefault="00D636B2" w:rsidP="00D636B2">
      <w:pPr>
        <w:pStyle w:val="Brdtekst"/>
      </w:pPr>
      <w:r w:rsidRPr="004D57DA">
        <w:t>Det fremgår af Kongeriget Danmarks (Danmark, Grønland og Færøerne) Strategi for Arktis 2011– 2020</w:t>
      </w:r>
      <w:r>
        <w:rPr>
          <w:rStyle w:val="Fodnotehenvisning"/>
          <w:rFonts w:ascii="Times New Roman" w:hAnsi="Times New Roman" w:cs="Times New Roman"/>
          <w:sz w:val="24"/>
        </w:rPr>
        <w:footnoteReference w:id="2"/>
      </w:r>
      <w:r w:rsidRPr="004D57DA">
        <w:t xml:space="preserve">, at den nyeste viden om miljøgifte i Arktis skal gøres tilgængelig </w:t>
      </w:r>
      <w:r w:rsidR="00A56CDB">
        <w:t>og anvendes progressivt bl.a. i forbindelse med</w:t>
      </w:r>
      <w:r w:rsidRPr="004D57DA">
        <w:t xml:space="preserve"> globale forhandlinger af aftaler som </w:t>
      </w:r>
      <w:r w:rsidR="00A56CDB" w:rsidRPr="004D57DA">
        <w:t xml:space="preserve">Stockholmkonventionen </w:t>
      </w:r>
      <w:r w:rsidR="00A56CDB">
        <w:t>og den nye</w:t>
      </w:r>
      <w:r w:rsidRPr="004D57DA">
        <w:t xml:space="preserve"> globale kviksølvkonvention</w:t>
      </w:r>
      <w:r w:rsidR="00A56CDB">
        <w:t xml:space="preserve"> (</w:t>
      </w:r>
      <w:proofErr w:type="spellStart"/>
      <w:r w:rsidR="00A56CDB">
        <w:t>Minamatakonventionen</w:t>
      </w:r>
      <w:proofErr w:type="spellEnd"/>
      <w:r w:rsidR="00A56CDB">
        <w:t>)</w:t>
      </w:r>
      <w:r w:rsidRPr="004D57DA">
        <w:t xml:space="preserve"> samt andre relevante aftaler om </w:t>
      </w:r>
      <w:r w:rsidR="00A56CDB">
        <w:t>POP-stoffer.</w:t>
      </w:r>
      <w:r w:rsidR="00781582">
        <w:t xml:space="preserve"> </w:t>
      </w:r>
    </w:p>
    <w:p w14:paraId="15B069E7" w14:textId="61A4883E" w:rsidR="00526E09" w:rsidRDefault="00526E09" w:rsidP="00D636B2">
      <w:pPr>
        <w:pStyle w:val="Brdtekst"/>
        <w:rPr>
          <w:i/>
        </w:rPr>
      </w:pPr>
      <w:bookmarkStart w:id="4" w:name="_Hlk8632987"/>
      <w:r w:rsidRPr="005A79D6">
        <w:t xml:space="preserve">Ministrene fra de otte arktiske lande, sammen med delegerede for seks organisationer af oprindelige folk i Arktis, </w:t>
      </w:r>
      <w:r w:rsidR="00236DEC">
        <w:t>hilser</w:t>
      </w:r>
      <w:r w:rsidRPr="005A79D6">
        <w:t xml:space="preserve"> i </w:t>
      </w:r>
      <w:proofErr w:type="spellStart"/>
      <w:r w:rsidRPr="005A79D6">
        <w:t>Fairbanks</w:t>
      </w:r>
      <w:proofErr w:type="spellEnd"/>
      <w:r w:rsidRPr="005A79D6">
        <w:t xml:space="preserve"> Deklarationen fra 2017 </w:t>
      </w:r>
      <w:r w:rsidRPr="00526E09">
        <w:t>fortsatte fremskridt i gennemførelsen af Stockholmkonventionen</w:t>
      </w:r>
      <w:r>
        <w:t xml:space="preserve"> velkommen</w:t>
      </w:r>
      <w:r w:rsidRPr="005A79D6">
        <w:t>:</w:t>
      </w:r>
      <w:r w:rsidRPr="00F63968">
        <w:t xml:space="preserve"> </w:t>
      </w:r>
      <w:r w:rsidRPr="00F63968">
        <w:rPr>
          <w:i/>
        </w:rPr>
        <w:t>”...</w:t>
      </w:r>
      <w:r w:rsidRPr="00526E09">
        <w:t xml:space="preserve"> </w:t>
      </w:r>
      <w:proofErr w:type="spellStart"/>
      <w:r w:rsidRPr="00F63968">
        <w:rPr>
          <w:i/>
        </w:rPr>
        <w:t>welcome</w:t>
      </w:r>
      <w:proofErr w:type="spellEnd"/>
      <w:r w:rsidRPr="00F63968">
        <w:rPr>
          <w:i/>
        </w:rPr>
        <w:t xml:space="preserve"> </w:t>
      </w:r>
      <w:proofErr w:type="spellStart"/>
      <w:r w:rsidRPr="00F63968">
        <w:rPr>
          <w:i/>
        </w:rPr>
        <w:t>continued</w:t>
      </w:r>
      <w:proofErr w:type="spellEnd"/>
      <w:r w:rsidRPr="00F63968">
        <w:rPr>
          <w:i/>
        </w:rPr>
        <w:t xml:space="preserve"> </w:t>
      </w:r>
      <w:proofErr w:type="spellStart"/>
      <w:r w:rsidRPr="00F63968">
        <w:rPr>
          <w:i/>
        </w:rPr>
        <w:t>progress</w:t>
      </w:r>
      <w:proofErr w:type="spellEnd"/>
      <w:r w:rsidRPr="00F63968">
        <w:rPr>
          <w:i/>
        </w:rPr>
        <w:t xml:space="preserve"> in the </w:t>
      </w:r>
      <w:proofErr w:type="spellStart"/>
      <w:r w:rsidRPr="00F63968">
        <w:rPr>
          <w:i/>
        </w:rPr>
        <w:t>implementation</w:t>
      </w:r>
      <w:proofErr w:type="spellEnd"/>
      <w:r w:rsidRPr="00F63968">
        <w:rPr>
          <w:i/>
        </w:rPr>
        <w:t xml:space="preserve"> of the Stockholm </w:t>
      </w:r>
      <w:proofErr w:type="spellStart"/>
      <w:r w:rsidRPr="00F63968">
        <w:rPr>
          <w:i/>
        </w:rPr>
        <w:t>Convention</w:t>
      </w:r>
      <w:proofErr w:type="spellEnd"/>
      <w:r w:rsidR="008C2FAF" w:rsidRPr="00F63968">
        <w:rPr>
          <w:i/>
        </w:rPr>
        <w:t xml:space="preserve"> </w:t>
      </w:r>
      <w:r w:rsidRPr="00F63968">
        <w:rPr>
          <w:i/>
        </w:rPr>
        <w:t xml:space="preserve">on Persistent </w:t>
      </w:r>
      <w:proofErr w:type="spellStart"/>
      <w:r w:rsidRPr="00F63968">
        <w:rPr>
          <w:i/>
        </w:rPr>
        <w:t>Organic</w:t>
      </w:r>
      <w:proofErr w:type="spellEnd"/>
      <w:r w:rsidRPr="00F63968">
        <w:rPr>
          <w:i/>
        </w:rPr>
        <w:t xml:space="preserve"> </w:t>
      </w:r>
      <w:proofErr w:type="spellStart"/>
      <w:r w:rsidRPr="00F63968">
        <w:rPr>
          <w:i/>
        </w:rPr>
        <w:t>Pollutants</w:t>
      </w:r>
      <w:proofErr w:type="spellEnd"/>
      <w:r w:rsidR="008C2FAF" w:rsidRPr="00F63968">
        <w:rPr>
          <w:i/>
        </w:rPr>
        <w:t>...</w:t>
      </w:r>
      <w:r w:rsidRPr="00F63968">
        <w:rPr>
          <w:i/>
        </w:rPr>
        <w:t>”</w:t>
      </w:r>
      <w:bookmarkEnd w:id="4"/>
      <w:r w:rsidRPr="00F63968">
        <w:rPr>
          <w:i/>
        </w:rPr>
        <w:t>.</w:t>
      </w:r>
      <w:r w:rsidRPr="00447366">
        <w:rPr>
          <w:rStyle w:val="Fodnotehenvisning"/>
          <w:i/>
          <w:lang w:val="en-GB"/>
        </w:rPr>
        <w:footnoteReference w:id="3"/>
      </w:r>
      <w:r w:rsidR="008C2FAF" w:rsidRPr="00F63968">
        <w:rPr>
          <w:i/>
        </w:rPr>
        <w:t xml:space="preserve"> </w:t>
      </w:r>
      <w:bookmarkStart w:id="5" w:name="_Hlk8301888"/>
      <w:r w:rsidR="008C2FAF" w:rsidRPr="00C64430">
        <w:rPr>
          <w:i/>
        </w:rPr>
        <w:t>s. 7</w:t>
      </w:r>
      <w:bookmarkEnd w:id="5"/>
    </w:p>
    <w:p w14:paraId="5FCF72C5" w14:textId="2425919A" w:rsidR="007A7373" w:rsidRDefault="007A7373" w:rsidP="00A56CDB">
      <w:pPr>
        <w:pStyle w:val="Brdtekst"/>
      </w:pPr>
      <w:r>
        <w:t xml:space="preserve">Danmark har 18. maj </w:t>
      </w:r>
      <w:r w:rsidRPr="00EC76CA">
        <w:t xml:space="preserve">2017 </w:t>
      </w:r>
      <w:r>
        <w:t xml:space="preserve">har ratificeret </w:t>
      </w:r>
      <w:proofErr w:type="spellStart"/>
      <w:r>
        <w:t>Minamatakonventionen</w:t>
      </w:r>
      <w:proofErr w:type="spellEnd"/>
      <w:r>
        <w:t xml:space="preserve"> med et territorialt forbehold for Grønland og Færøerne</w:t>
      </w:r>
      <w:r>
        <w:rPr>
          <w:rStyle w:val="Fodnotehenvisning"/>
        </w:rPr>
        <w:footnoteReference w:id="4"/>
      </w:r>
      <w:r>
        <w:t>. Departementet for Natur og Miljø, Grønlands Selvstyre, har foråret 2019 igangsat en undersøgelse af konsekvenserne af at ophæve det territoriale forbehold for Grønland.</w:t>
      </w:r>
    </w:p>
    <w:p w14:paraId="7D6CF6C1" w14:textId="1B8BDDFA" w:rsidR="00A56CDB" w:rsidRDefault="00EC76CA" w:rsidP="00A56CDB">
      <w:pPr>
        <w:pStyle w:val="Brdtekst"/>
      </w:pPr>
      <w:r w:rsidRPr="00A56CDB">
        <w:lastRenderedPageBreak/>
        <w:t xml:space="preserve">Projektet er finansieret med midler fra </w:t>
      </w:r>
      <w:r w:rsidR="00E94EEA">
        <w:t>Departementet for Natur</w:t>
      </w:r>
      <w:r w:rsidR="00435173">
        <w:t xml:space="preserve"> og </w:t>
      </w:r>
      <w:r w:rsidR="00E94EEA">
        <w:t>Miljø</w:t>
      </w:r>
      <w:r w:rsidRPr="00A56CDB">
        <w:t>, Grønlands Selvstyre og Miljøstyrelsens or</w:t>
      </w:r>
      <w:r>
        <w:t>d</w:t>
      </w:r>
      <w:r w:rsidRPr="00A56CDB">
        <w:t>ning for Miljøstøtte til Arktis</w:t>
      </w:r>
      <w:r>
        <w:t xml:space="preserve"> (</w:t>
      </w:r>
      <w:proofErr w:type="spellStart"/>
      <w:r>
        <w:t>Dancea</w:t>
      </w:r>
      <w:proofErr w:type="spellEnd"/>
      <w:r>
        <w:t>)</w:t>
      </w:r>
      <w:r w:rsidRPr="00A56CDB">
        <w:t>.</w:t>
      </w:r>
      <w:r>
        <w:t xml:space="preserve"> </w:t>
      </w:r>
    </w:p>
    <w:p w14:paraId="7D6CF6C2" w14:textId="0E4CE4FD" w:rsidR="00D636B2" w:rsidRPr="00236DEC" w:rsidRDefault="004C3E0A" w:rsidP="001C7DA0">
      <w:pPr>
        <w:pStyle w:val="Brdtekst"/>
      </w:pPr>
      <w:r w:rsidRPr="00236DEC">
        <w:t>Hvis andet ikke er angivet</w:t>
      </w:r>
      <w:r w:rsidR="00236DEC">
        <w:t>,</w:t>
      </w:r>
      <w:r w:rsidRPr="00236DEC">
        <w:t xml:space="preserve"> er alle estimater og vurderinger i rapporten </w:t>
      </w:r>
      <w:r>
        <w:t xml:space="preserve">udarbejdet af forfatterne af rapporten og </w:t>
      </w:r>
      <w:r w:rsidR="00236DEC">
        <w:t xml:space="preserve">er </w:t>
      </w:r>
      <w:r>
        <w:t>udtryk for forfatternes bedste vurderinger på det foreliggende grundlag. Hverken Grønlands Selvstyre eller Miljø- og Fødevareministeriet i Danmark kan gøres ansvarlige for disse</w:t>
      </w:r>
      <w:r w:rsidR="00D357AC">
        <w:t xml:space="preserve"> estimater</w:t>
      </w:r>
      <w:r>
        <w:t xml:space="preserve"> </w:t>
      </w:r>
      <w:r w:rsidR="00D357AC">
        <w:t xml:space="preserve">og </w:t>
      </w:r>
      <w:r>
        <w:t>vurderinge</w:t>
      </w:r>
      <w:r w:rsidR="00D357AC">
        <w:t>r</w:t>
      </w:r>
      <w:r>
        <w:t>.</w:t>
      </w:r>
      <w:r w:rsidR="009E5ECE">
        <w:t xml:space="preserve"> </w:t>
      </w:r>
    </w:p>
    <w:p w14:paraId="7D6CF6C4" w14:textId="77777777" w:rsidR="004D57DA" w:rsidRDefault="004D57DA" w:rsidP="004D57DA">
      <w:pPr>
        <w:pStyle w:val="Brdtekst"/>
      </w:pPr>
      <w:r>
        <w:t>Projektet er blevet overvåget af en styregruppe bestående af:</w:t>
      </w:r>
    </w:p>
    <w:p w14:paraId="7D6CF6C5" w14:textId="4B7C3B60" w:rsidR="004D57DA" w:rsidRDefault="004D57DA" w:rsidP="001C7DA0">
      <w:pPr>
        <w:pStyle w:val="Opstilling-punkttegn"/>
      </w:pPr>
      <w:r>
        <w:t xml:space="preserve">Per Ravn </w:t>
      </w:r>
      <w:r w:rsidR="001C7DA0">
        <w:t xml:space="preserve">Hermansen og Anne Rasmussen, </w:t>
      </w:r>
      <w:r w:rsidR="00E94EEA">
        <w:t>Departementet for Natur</w:t>
      </w:r>
      <w:r w:rsidR="00435173">
        <w:t xml:space="preserve"> og</w:t>
      </w:r>
      <w:r w:rsidR="00E94EEA">
        <w:t xml:space="preserve"> Miljø</w:t>
      </w:r>
      <w:r w:rsidR="00A56CDB">
        <w:t>, Grønlands Selvstyre</w:t>
      </w:r>
    </w:p>
    <w:p w14:paraId="7D6CF6C6" w14:textId="6927DA3D" w:rsidR="004D57DA" w:rsidRDefault="004D57DA" w:rsidP="001C7DA0">
      <w:pPr>
        <w:pStyle w:val="Opstilling-punkttegn"/>
      </w:pPr>
      <w:r>
        <w:t>Mikala Klint</w:t>
      </w:r>
      <w:r w:rsidR="00FD3903">
        <w:t xml:space="preserve">, </w:t>
      </w:r>
      <w:r w:rsidR="00435173">
        <w:t>Departementet, Milj</w:t>
      </w:r>
      <w:r w:rsidR="004C3E0A">
        <w:t>ø</w:t>
      </w:r>
      <w:r w:rsidR="00435173">
        <w:t>- og Fødevareministeriet</w:t>
      </w:r>
      <w:r w:rsidR="008704EA">
        <w:t xml:space="preserve"> (MFVM)</w:t>
      </w:r>
    </w:p>
    <w:p w14:paraId="7D6CF6C7" w14:textId="77777777" w:rsidR="004D57DA" w:rsidRPr="004D57DA" w:rsidRDefault="004D57DA" w:rsidP="001C7DA0">
      <w:pPr>
        <w:pStyle w:val="Opstilling-punkttegn"/>
      </w:pPr>
      <w:r>
        <w:t>Carsten Lassen, COWI</w:t>
      </w:r>
    </w:p>
    <w:p w14:paraId="7D6CF6C8" w14:textId="066BE5F5" w:rsidR="004D57DA" w:rsidRPr="004D57DA" w:rsidRDefault="001C7DA0" w:rsidP="004D57DA">
      <w:pPr>
        <w:pStyle w:val="Brdtekst"/>
      </w:pPr>
      <w:r>
        <w:t xml:space="preserve">Projektet er gennemført af COWI A/S i perioden juni </w:t>
      </w:r>
      <w:r w:rsidR="00EC76CA">
        <w:t xml:space="preserve">2016 </w:t>
      </w:r>
      <w:r>
        <w:t xml:space="preserve">til </w:t>
      </w:r>
      <w:r w:rsidR="00115B38">
        <w:t xml:space="preserve">maj </w:t>
      </w:r>
      <w:r w:rsidR="00EC76CA">
        <w:t>201</w:t>
      </w:r>
      <w:r w:rsidR="00115B38">
        <w:t>9</w:t>
      </w:r>
      <w:r>
        <w:t>. Arbejdsgruppen har bestået af Carsten Lassen</w:t>
      </w:r>
      <w:r w:rsidR="00F16ACB">
        <w:t xml:space="preserve"> (projektleder)</w:t>
      </w:r>
      <w:r>
        <w:t xml:space="preserve">, Mette </w:t>
      </w:r>
      <w:proofErr w:type="spellStart"/>
      <w:r>
        <w:t>Nore</w:t>
      </w:r>
      <w:r w:rsidR="00D42DE7">
        <w:t>n</w:t>
      </w:r>
      <w:r>
        <w:t>gaard</w:t>
      </w:r>
      <w:proofErr w:type="spellEnd"/>
      <w:r>
        <w:t xml:space="preserve"> og </w:t>
      </w:r>
      <w:proofErr w:type="spellStart"/>
      <w:r>
        <w:t>Jes</w:t>
      </w:r>
      <w:r w:rsidR="007A7373">
        <w:t>-</w:t>
      </w:r>
      <w:r>
        <w:t>per</w:t>
      </w:r>
      <w:proofErr w:type="spellEnd"/>
      <w:r>
        <w:t xml:space="preserve"> </w:t>
      </w:r>
      <w:proofErr w:type="spellStart"/>
      <w:r>
        <w:t>Kjølholt</w:t>
      </w:r>
      <w:proofErr w:type="spellEnd"/>
      <w:r>
        <w:t>.</w:t>
      </w:r>
    </w:p>
    <w:p w14:paraId="7D6CF6C9" w14:textId="77777777" w:rsidR="00D419FD" w:rsidRDefault="004D57DA" w:rsidP="004D57DA">
      <w:pPr>
        <w:pStyle w:val="Overskrift1"/>
        <w:numPr>
          <w:ilvl w:val="0"/>
          <w:numId w:val="0"/>
        </w:numPr>
      </w:pPr>
      <w:bookmarkStart w:id="6" w:name="_Toc469053529"/>
      <w:bookmarkStart w:id="7" w:name="_Toc469057810"/>
      <w:bookmarkStart w:id="8" w:name="_Toc469304908"/>
      <w:bookmarkStart w:id="9" w:name="_Toc10205702"/>
      <w:r>
        <w:lastRenderedPageBreak/>
        <w:t>Sammenfatning</w:t>
      </w:r>
      <w:bookmarkEnd w:id="6"/>
      <w:bookmarkEnd w:id="7"/>
      <w:bookmarkEnd w:id="8"/>
      <w:bookmarkEnd w:id="9"/>
    </w:p>
    <w:p w14:paraId="4F4DED81" w14:textId="77777777" w:rsidR="005A0556" w:rsidRDefault="005A0556" w:rsidP="005A0556">
      <w:pPr>
        <w:pStyle w:val="Brdtekst"/>
      </w:pPr>
      <w:r w:rsidRPr="00300738">
        <w:t xml:space="preserve">Danmark ratificerede Stockholmkonventionen om </w:t>
      </w:r>
      <w:proofErr w:type="spellStart"/>
      <w:r w:rsidRPr="00300738">
        <w:t>persistente</w:t>
      </w:r>
      <w:proofErr w:type="spellEnd"/>
      <w:r w:rsidRPr="00300738">
        <w:t xml:space="preserve"> organiske miljøgifte (POP-stoffer) i december 2003, men med et territorialt forbehold for Færøerne og Grønland. Forbeholdet for Færøerne blev tilbagekaldt i 2012, mens der stadig tages territorialt forbehold for Grønland. </w:t>
      </w:r>
    </w:p>
    <w:p w14:paraId="79BFC4FE" w14:textId="38EC3253" w:rsidR="005A0556" w:rsidRDefault="005A0556" w:rsidP="005A0556">
      <w:pPr>
        <w:pStyle w:val="Brdtekst"/>
      </w:pPr>
      <w:r w:rsidRPr="004D57DA">
        <w:t>E</w:t>
      </w:r>
      <w:r w:rsidR="00236DEC">
        <w:t>t</w:t>
      </w:r>
      <w:r w:rsidRPr="004D57DA">
        <w:t xml:space="preserve"> international </w:t>
      </w:r>
      <w:r w:rsidR="00236DEC">
        <w:t>ønske</w:t>
      </w:r>
      <w:r w:rsidR="00236DEC" w:rsidRPr="004D57DA">
        <w:t xml:space="preserve"> </w:t>
      </w:r>
      <w:r w:rsidRPr="004D57DA">
        <w:t xml:space="preserve">om at mindske forureningen af Arktis med POP-stoffer og at mindske den markante eksponering af mennesker i Arktis for disse stoffer har været en væsentlig drivkraft i arbejdet med at </w:t>
      </w:r>
      <w:r w:rsidR="00930892">
        <w:t xml:space="preserve">etablere </w:t>
      </w:r>
      <w:r>
        <w:t>Stockholmkonventionen</w:t>
      </w:r>
      <w:r w:rsidRPr="004D57DA">
        <w:t xml:space="preserve">. </w:t>
      </w:r>
      <w:r>
        <w:t>Der står således i forordet til konventionen</w:t>
      </w:r>
      <w:r w:rsidR="00930892">
        <w:t>,</w:t>
      </w:r>
      <w:r>
        <w:t xml:space="preserve"> at parterne erkender</w:t>
      </w:r>
      <w:r w:rsidRPr="005A0556">
        <w:t>, at de arktiske økosystemer og oprindelige folk er særligt udsatte</w:t>
      </w:r>
      <w:r w:rsidR="002C2919">
        <w:t>,</w:t>
      </w:r>
      <w:r w:rsidRPr="005A0556">
        <w:t xml:space="preserve"> </w:t>
      </w:r>
      <w:r w:rsidR="00574747">
        <w:t>fordi POP-stofferne</w:t>
      </w:r>
      <w:r w:rsidRPr="005A0556">
        <w:t xml:space="preserve"> </w:t>
      </w:r>
      <w:proofErr w:type="spellStart"/>
      <w:r w:rsidR="00574747">
        <w:t>opkoncentreres</w:t>
      </w:r>
      <w:proofErr w:type="spellEnd"/>
      <w:r w:rsidR="00574747">
        <w:t xml:space="preserve"> i fødekæderne</w:t>
      </w:r>
      <w:r w:rsidRPr="005A0556">
        <w:t xml:space="preserve">, og at forurening af traditionelle fødevarer </w:t>
      </w:r>
      <w:r w:rsidR="00EB2D6A">
        <w:t>er en trussel mod folkesundhed</w:t>
      </w:r>
      <w:r w:rsidR="00574747">
        <w:t>en</w:t>
      </w:r>
      <w:r w:rsidR="00EB2D6A">
        <w:t>.</w:t>
      </w:r>
    </w:p>
    <w:p w14:paraId="76600C35" w14:textId="58535DA9" w:rsidR="000F74B8" w:rsidRDefault="005A0556" w:rsidP="004D57DA">
      <w:pPr>
        <w:pStyle w:val="Brdtekst"/>
      </w:pPr>
      <w:r w:rsidRPr="004D57DA">
        <w:t xml:space="preserve">Der er </w:t>
      </w:r>
      <w:r w:rsidR="00236DEC">
        <w:t xml:space="preserve">per </w:t>
      </w:r>
      <w:r w:rsidR="001E5359">
        <w:t>maj</w:t>
      </w:r>
      <w:r w:rsidR="00A354B8">
        <w:t xml:space="preserve"> 201</w:t>
      </w:r>
      <w:r w:rsidR="00115B38">
        <w:t>9</w:t>
      </w:r>
      <w:r w:rsidR="00A354B8">
        <w:t xml:space="preserve"> </w:t>
      </w:r>
      <w:r w:rsidR="00A354B8" w:rsidRPr="004D57DA">
        <w:t>1</w:t>
      </w:r>
      <w:r w:rsidR="00A354B8">
        <w:t>82</w:t>
      </w:r>
      <w:r w:rsidR="00A354B8" w:rsidRPr="004D57DA">
        <w:t xml:space="preserve"> </w:t>
      </w:r>
      <w:r w:rsidR="00173242">
        <w:t xml:space="preserve">parter til </w:t>
      </w:r>
      <w:r w:rsidRPr="004D57DA">
        <w:t>konventionen</w:t>
      </w:r>
      <w:r>
        <w:t>,</w:t>
      </w:r>
      <w:r w:rsidRPr="004D57DA">
        <w:t xml:space="preserve"> og der arbejdes intensivt med at gøre konventionen så globalt </w:t>
      </w:r>
      <w:r w:rsidR="00F23A61">
        <w:t>dækkende</w:t>
      </w:r>
      <w:r w:rsidR="00F23A61" w:rsidRPr="004D57DA">
        <w:t xml:space="preserve"> </w:t>
      </w:r>
      <w:r w:rsidRPr="004D57DA">
        <w:t xml:space="preserve">som muligt. </w:t>
      </w:r>
      <w:r w:rsidR="00B8368E">
        <w:t>Jo mere globalt dækkende konvention</w:t>
      </w:r>
      <w:r w:rsidR="007A7373">
        <w:t>en</w:t>
      </w:r>
      <w:r w:rsidR="00B8368E">
        <w:t xml:space="preserve"> er, jo mere pres vil der kunne lægges på de lande, som producerer POP-stoffer og sender dem ud på det globale marked.</w:t>
      </w:r>
      <w:r w:rsidR="00EA3829">
        <w:t xml:space="preserve"> </w:t>
      </w:r>
    </w:p>
    <w:p w14:paraId="0C2AB776" w14:textId="6DF19322" w:rsidR="005A0556" w:rsidRDefault="000F74B8" w:rsidP="004D57DA">
      <w:pPr>
        <w:pStyle w:val="Brdtekst"/>
      </w:pPr>
      <w:r>
        <w:t>Der er allerede i Grønland en stor opmærksomhed omkring udledninger af de vigtigste af POP-stofferne, som eksempelvis dioxiner</w:t>
      </w:r>
      <w:r w:rsidR="00601EAD">
        <w:rPr>
          <w:rStyle w:val="Fodnotehenvisning"/>
        </w:rPr>
        <w:footnoteReference w:id="5"/>
      </w:r>
      <w:r w:rsidR="00601EAD">
        <w:t xml:space="preserve"> </w:t>
      </w:r>
      <w:r>
        <w:t>og PCB</w:t>
      </w:r>
      <w:r w:rsidR="00601EAD">
        <w:t xml:space="preserve"> (</w:t>
      </w:r>
      <w:proofErr w:type="spellStart"/>
      <w:r w:rsidR="00601EAD">
        <w:t>polychlorerede</w:t>
      </w:r>
      <w:proofErr w:type="spellEnd"/>
      <w:r w:rsidR="00601EAD">
        <w:t xml:space="preserve"> </w:t>
      </w:r>
      <w:proofErr w:type="spellStart"/>
      <w:r w:rsidR="00601EAD">
        <w:t>biphenyler</w:t>
      </w:r>
      <w:proofErr w:type="spellEnd"/>
      <w:r w:rsidR="00601EAD">
        <w:t>),</w:t>
      </w:r>
      <w:r>
        <w:t xml:space="preserve"> og der er taget en række initiativer med henblik på at mindske udledninger af disse stoffer.</w:t>
      </w:r>
    </w:p>
    <w:p w14:paraId="6AF52758" w14:textId="3C372DD2" w:rsidR="003C2CD2" w:rsidRDefault="003C2CD2" w:rsidP="004D57DA">
      <w:pPr>
        <w:pStyle w:val="Brdtekst"/>
      </w:pPr>
      <w:r>
        <w:t xml:space="preserve">Nærværende undersøgelse er igangsat </w:t>
      </w:r>
      <w:r w:rsidR="00601EAD">
        <w:t xml:space="preserve">af Departementet for Natur og Miljø </w:t>
      </w:r>
      <w:r>
        <w:t xml:space="preserve">for at </w:t>
      </w:r>
      <w:r w:rsidR="00601EAD">
        <w:t>belyse,</w:t>
      </w:r>
      <w:r>
        <w:t xml:space="preserve"> </w:t>
      </w:r>
      <w:r w:rsidR="00601EAD">
        <w:t>hvilke</w:t>
      </w:r>
      <w:r>
        <w:t xml:space="preserve"> konsekvenser </w:t>
      </w:r>
      <w:r w:rsidR="00601EAD">
        <w:t xml:space="preserve">det vil have for Grønland, hvis det territoriale forbehold hæves, og Grønland dermed tiltræder konventionen. </w:t>
      </w:r>
    </w:p>
    <w:p w14:paraId="07113CD6" w14:textId="3A9566BE" w:rsidR="00EB2D6A" w:rsidRPr="00C2293C" w:rsidRDefault="00EB2D6A" w:rsidP="00EB2D6A">
      <w:pPr>
        <w:pStyle w:val="Overskrift4"/>
      </w:pPr>
      <w:r>
        <w:t>Påvirkning</w:t>
      </w:r>
      <w:r w:rsidRPr="00C2293C">
        <w:t xml:space="preserve"> af menn</w:t>
      </w:r>
      <w:r>
        <w:t>esker og miljø i Grønland</w:t>
      </w:r>
    </w:p>
    <w:p w14:paraId="3B57A347" w14:textId="127C17CA" w:rsidR="00EB2D6A" w:rsidRDefault="00EB2D6A" w:rsidP="00EB2D6A">
      <w:pPr>
        <w:pStyle w:val="Brdtekst"/>
      </w:pPr>
      <w:r>
        <w:t>Forekomsten af POP-stoffer i det arktiske miljø og mulige effekter på mennesker og miljøet i Arktis har som nævnt været en af drivkræfterne bag etableringen af konventionen</w:t>
      </w:r>
      <w:r w:rsidR="001E5359">
        <w:t>. Vi</w:t>
      </w:r>
      <w:r>
        <w:t xml:space="preserve">denskabelige resultater fra Arktis udgør til stadighed vigtige bidrag til arbejdet med vurdering af nye POP-stoffer, som foreslås optaget under konventionen. Det </w:t>
      </w:r>
      <w:r w:rsidR="00323FAF">
        <w:t>A</w:t>
      </w:r>
      <w:r>
        <w:t xml:space="preserve">rktiske </w:t>
      </w:r>
      <w:r w:rsidR="00323FAF">
        <w:t>M</w:t>
      </w:r>
      <w:r>
        <w:t xml:space="preserve">oniterings- og </w:t>
      </w:r>
      <w:r w:rsidR="00323FAF">
        <w:t>V</w:t>
      </w:r>
      <w:r>
        <w:t xml:space="preserve">urderingsprogram, AMAP, blev etableret i 1991 for bedre at kunne følge med i de mulige påvirkninger af mennesker og miljø i det arktiske område forårsaget af langtransporterede forureninger fra den industrialiserede del af kloden. POP-stofferne er et af de centrale overvågningsområder i AMAP. </w:t>
      </w:r>
    </w:p>
    <w:p w14:paraId="2C1FA3D9" w14:textId="2E234619" w:rsidR="00EB2D6A" w:rsidRDefault="00EB2D6A" w:rsidP="00EB2D6A">
      <w:pPr>
        <w:pStyle w:val="Brdtekst"/>
      </w:pPr>
      <w:r>
        <w:t xml:space="preserve">POP-stoffer er karakteriseret ved meget langsom nedbrydning i miljøet </w:t>
      </w:r>
      <w:r w:rsidR="007A7373">
        <w:t xml:space="preserve">(de er </w:t>
      </w:r>
      <w:proofErr w:type="spellStart"/>
      <w:r w:rsidR="007A7373">
        <w:t>persistente</w:t>
      </w:r>
      <w:proofErr w:type="spellEnd"/>
      <w:r w:rsidR="007A7373">
        <w:t xml:space="preserve">) </w:t>
      </w:r>
      <w:r>
        <w:t xml:space="preserve">og ophobning gennem fødekæderne, dvs. at de højeste </w:t>
      </w:r>
      <w:r w:rsidR="001E5359">
        <w:t xml:space="preserve">koncentrationer </w:t>
      </w:r>
      <w:r>
        <w:t xml:space="preserve">typisk forekommer hos </w:t>
      </w:r>
      <w:r w:rsidR="00601EAD">
        <w:t>hav</w:t>
      </w:r>
      <w:r>
        <w:t xml:space="preserve">pattedyr, </w:t>
      </w:r>
      <w:r w:rsidR="00601EAD">
        <w:t>hav</w:t>
      </w:r>
      <w:r>
        <w:t>fugle og fisk,</w:t>
      </w:r>
      <w:r w:rsidR="00601EAD">
        <w:t xml:space="preserve"> som er vigtige, traditionelle fødeemner for de oprindelige befolkninger f.eks. i Grønland</w:t>
      </w:r>
      <w:r>
        <w:t xml:space="preserve">. Disse vil derfor i særlig grad være udsat for eksponering for POP-stoffer, der kan have </w:t>
      </w:r>
      <w:r>
        <w:lastRenderedPageBreak/>
        <w:t>kræftfremkaldende egenskaber og indvirke på mennesker og dyrs forplantning og udvikling.</w:t>
      </w:r>
    </w:p>
    <w:p w14:paraId="54DD997E" w14:textId="6BC4FD8F" w:rsidR="00EB2D6A" w:rsidRDefault="00601EAD" w:rsidP="00EB2D6A">
      <w:pPr>
        <w:pStyle w:val="Brdtekst"/>
      </w:pPr>
      <w:r>
        <w:t>Det konkluderes i det Arktiske Overvågnings- og Vurderingsprograms (</w:t>
      </w:r>
      <w:proofErr w:type="spellStart"/>
      <w:r>
        <w:t>AMAPs</w:t>
      </w:r>
      <w:proofErr w:type="spellEnd"/>
      <w:r>
        <w:t>) seneste sundhedsvurderingsrapport fra 2015, at koncentrationen af mange af POP-stofferne i miljøet er faldende som resultat af de seneste årtiers internationale arbejde på området.</w:t>
      </w:r>
      <w:r w:rsidR="001E5359">
        <w:t xml:space="preserve"> Her har </w:t>
      </w:r>
      <w:r w:rsidR="00E72ED2">
        <w:t>Stockholmkonventionen spillet en hel</w:t>
      </w:r>
      <w:r w:rsidR="005B7616">
        <w:t>t</w:t>
      </w:r>
      <w:r w:rsidR="00E72ED2">
        <w:t xml:space="preserve"> central</w:t>
      </w:r>
      <w:r w:rsidR="005B7616">
        <w:t xml:space="preserve"> </w:t>
      </w:r>
      <w:r w:rsidR="00E72ED2">
        <w:t>rolle</w:t>
      </w:r>
      <w:r w:rsidR="00EB2D6A">
        <w:t xml:space="preserve">. </w:t>
      </w:r>
      <w:r>
        <w:t>Der er dog stadig visse befolkningsgrupper, heriblandt inuitter i Grønland og Canada, som indtager bekymrende mængder af stofferne, og koncentrationen i miljøet er faktisk stigende for enkelte POP-stoffer.</w:t>
      </w:r>
      <w:r w:rsidR="00EB2D6A">
        <w:t xml:space="preserve"> Der er derfor fortsat behov for at overvåge POP-stoffer mv. i det arktiske område, herunder også nogle nye forurenende stoffer, der endnu ikke har opnået status som POP</w:t>
      </w:r>
      <w:r w:rsidR="00E72ED2">
        <w:t>-stoffe</w:t>
      </w:r>
      <w:r w:rsidR="00EB2D6A">
        <w:t>r</w:t>
      </w:r>
      <w:r w:rsidR="001E5359">
        <w:t>. Dette omfatter bl.a.</w:t>
      </w:r>
      <w:r w:rsidR="00EB2D6A">
        <w:t xml:space="preserve"> en række </w:t>
      </w:r>
      <w:proofErr w:type="spellStart"/>
      <w:r w:rsidR="00EB2D6A">
        <w:t>perfluorerede</w:t>
      </w:r>
      <w:proofErr w:type="spellEnd"/>
      <w:r w:rsidR="00EB2D6A">
        <w:t xml:space="preserve"> </w:t>
      </w:r>
      <w:r w:rsidR="005B7616">
        <w:t xml:space="preserve">og </w:t>
      </w:r>
      <w:proofErr w:type="spellStart"/>
      <w:r w:rsidR="005B7616">
        <w:t>bromerede</w:t>
      </w:r>
      <w:proofErr w:type="spellEnd"/>
      <w:r w:rsidR="005B7616">
        <w:t xml:space="preserve"> </w:t>
      </w:r>
      <w:r w:rsidR="00EB2D6A">
        <w:t>forbindelser.</w:t>
      </w:r>
    </w:p>
    <w:p w14:paraId="5456528F" w14:textId="189FA4B7" w:rsidR="00EB2D6A" w:rsidRDefault="00EB2D6A" w:rsidP="00EB2D6A">
      <w:pPr>
        <w:pStyle w:val="Brdtekst"/>
      </w:pPr>
      <w:r>
        <w:t xml:space="preserve">I AMAP-rapporten konkluderes det endvidere, at man fortsat anbefaler indtagelse af </w:t>
      </w:r>
      <w:r w:rsidR="00EC76CA">
        <w:t>traditionel kost som</w:t>
      </w:r>
      <w:r>
        <w:t xml:space="preserve"> et sundt fødevalg</w:t>
      </w:r>
      <w:r w:rsidR="00EC35BB">
        <w:t>,</w:t>
      </w:r>
      <w:r>
        <w:t xml:space="preserve"> idet de</w:t>
      </w:r>
      <w:r w:rsidR="00EC35BB">
        <w:t>nne kost</w:t>
      </w:r>
      <w:r>
        <w:t xml:space="preserve"> bl.a. indeholder </w:t>
      </w:r>
      <w:r w:rsidR="00F23A61">
        <w:t xml:space="preserve">forskellige </w:t>
      </w:r>
      <w:r>
        <w:t xml:space="preserve">sporstoffer og antioxidanter, som modvirker risikoen for effekter </w:t>
      </w:r>
      <w:r w:rsidR="00E72ED2">
        <w:t xml:space="preserve">af POP-stoffer </w:t>
      </w:r>
      <w:r>
        <w:t>på de niveauer, hvor man normalt ville forvente en effekt. Dette bevirker omvendt, at effekter på befolkningsniveau, som resultat af den påviste eksponering, er vanskelig at dokumentere, et fænomen kendt som det "arktiske dilemma". AMAP anbefaler dog</w:t>
      </w:r>
      <w:r w:rsidR="002C2919">
        <w:t>,</w:t>
      </w:r>
      <w:r>
        <w:t xml:space="preserve"> at der indtages relativt mere af de </w:t>
      </w:r>
      <w:r w:rsidR="00EC76CA">
        <w:t>kostemner</w:t>
      </w:r>
      <w:r>
        <w:t xml:space="preserve">, der er placeret lavere i fødekæderne og dermed indeholder lavere koncentrationer af POP-stoffer og andre forureninger. </w:t>
      </w:r>
    </w:p>
    <w:p w14:paraId="0EAA2559" w14:textId="6228873E" w:rsidR="00EB2D6A" w:rsidRDefault="00EB2D6A" w:rsidP="00EB2D6A">
      <w:pPr>
        <w:pStyle w:val="Brdtekst"/>
      </w:pPr>
      <w:r>
        <w:t xml:space="preserve">Hvad angår miljøet har den grønlandske del af AMAP-programmet dokumenteret nedadgående </w:t>
      </w:r>
      <w:r w:rsidR="007A7373">
        <w:t xml:space="preserve">koncentrationsniveauer i miljøet </w:t>
      </w:r>
      <w:r>
        <w:t>for de fleste gamle POP-stoffer i grønlandske dyr, fugle og fisk. Dog har niveauerne for en stofgruppe som PCB ligget på et ret stabilt niveau gennem de seneste 10-15 år. Globalt set er isbjørne og ringsæler fra Østgrønland blandt de pattedyr, hvor man finder de højeste</w:t>
      </w:r>
      <w:r w:rsidR="00E72ED2">
        <w:t xml:space="preserve"> koncentrationer af POP-stoffer</w:t>
      </w:r>
      <w:r>
        <w:t>, ofte over en generel "bekymringsgrænse" på 1 mg/kg i vævsprøver. Da der imidlertid er mange andre variable, der indvirker på dyrenes levevilkår og sundhedstilstand, er det dog i praksis vanskeligt entydigt at relatere effekter specifikt til eksponering for POP</w:t>
      </w:r>
      <w:r w:rsidR="000F74B8">
        <w:t>-stoffer</w:t>
      </w:r>
      <w:r>
        <w:t>.</w:t>
      </w:r>
    </w:p>
    <w:p w14:paraId="438E43A5" w14:textId="6433E2FE" w:rsidR="00EB2D6A" w:rsidRDefault="00E72ED2" w:rsidP="004D57DA">
      <w:pPr>
        <w:pStyle w:val="Brdtekst"/>
      </w:pPr>
      <w:r>
        <w:t xml:space="preserve">De foreliggende resultater viser tydeligt, </w:t>
      </w:r>
      <w:r w:rsidR="002C2919">
        <w:t xml:space="preserve">at </w:t>
      </w:r>
      <w:r>
        <w:t xml:space="preserve">det internationale arbejde i tilknytning til </w:t>
      </w:r>
      <w:r w:rsidR="00020F71">
        <w:t>Stockholmkonventionen</w:t>
      </w:r>
      <w:r>
        <w:t xml:space="preserve"> har </w:t>
      </w:r>
      <w:r w:rsidR="00C82AE7">
        <w:t xml:space="preserve">haft </w:t>
      </w:r>
      <w:r>
        <w:t xml:space="preserve">en positiv effekt på </w:t>
      </w:r>
      <w:r w:rsidR="00C82AE7">
        <w:t>eksponeringen</w:t>
      </w:r>
      <w:r>
        <w:t xml:space="preserve"> af den grønlandske befolkning og det grønlandske miljø for POP-stoffer, men også at der er behov for løbende at sætte ind over for nye POP-stoffer eller eksisterende POP-stoffer, hvis farlighed hidtil ikke har været erkendt</w:t>
      </w:r>
      <w:r w:rsidR="00EC35BB">
        <w:t>.</w:t>
      </w:r>
    </w:p>
    <w:p w14:paraId="2DD138FA" w14:textId="66462420" w:rsidR="00EE7564" w:rsidRDefault="0042440E" w:rsidP="0042440E">
      <w:pPr>
        <w:pStyle w:val="Overskrift4"/>
      </w:pPr>
      <w:r>
        <w:t>Om konventionen</w:t>
      </w:r>
    </w:p>
    <w:p w14:paraId="79F37F37" w14:textId="3FEAD247" w:rsidR="00EC35BB" w:rsidRDefault="00E72ED2" w:rsidP="004D57DA">
      <w:pPr>
        <w:pStyle w:val="Brdtekst"/>
      </w:pPr>
      <w:r>
        <w:t xml:space="preserve">Konventionen </w:t>
      </w:r>
      <w:r w:rsidR="008F4162" w:rsidRPr="008F4162">
        <w:t>omfatte</w:t>
      </w:r>
      <w:r w:rsidR="008F4162">
        <w:t>de fra starten 12 stoffer</w:t>
      </w:r>
      <w:r w:rsidR="009E1AE5">
        <w:t xml:space="preserve"> </w:t>
      </w:r>
      <w:r w:rsidR="009E1AE5">
        <w:rPr>
          <w:rStyle w:val="Fodnotehenvisning"/>
        </w:rPr>
        <w:footnoteReference w:id="6"/>
      </w:r>
      <w:r w:rsidR="008F4162" w:rsidRPr="008F4162">
        <w:t xml:space="preserve"> (ofte omtalt som det beskidte dusin</w:t>
      </w:r>
      <w:r w:rsidR="00CB4076">
        <w:t xml:space="preserve"> eller "gamle POP-stoffer"</w:t>
      </w:r>
      <w:r w:rsidR="008F4162" w:rsidRPr="008F4162">
        <w:t xml:space="preserve">), men er senere blevet udvidet med </w:t>
      </w:r>
      <w:r w:rsidR="008F4162">
        <w:t>1</w:t>
      </w:r>
      <w:r w:rsidR="00EC76CA">
        <w:t>6</w:t>
      </w:r>
      <w:r w:rsidR="00CB4076">
        <w:t xml:space="preserve"> nye</w:t>
      </w:r>
      <w:r w:rsidR="008F4162">
        <w:t xml:space="preserve"> stoffer, så konventio</w:t>
      </w:r>
      <w:r w:rsidR="008F4162" w:rsidRPr="008F4162">
        <w:t xml:space="preserve">nen i dag omfatter </w:t>
      </w:r>
      <w:r w:rsidR="00781582" w:rsidRPr="008F4162">
        <w:t>2</w:t>
      </w:r>
      <w:r w:rsidR="00781582">
        <w:t>8</w:t>
      </w:r>
      <w:r w:rsidR="00781582" w:rsidRPr="008F4162">
        <w:t xml:space="preserve"> </w:t>
      </w:r>
      <w:r w:rsidR="008F4162" w:rsidRPr="008F4162">
        <w:t xml:space="preserve">stoffer. </w:t>
      </w:r>
      <w:r w:rsidR="008F4162">
        <w:t xml:space="preserve">Der er yderligere </w:t>
      </w:r>
      <w:r w:rsidR="00EC76CA">
        <w:t xml:space="preserve">tre </w:t>
      </w:r>
      <w:r w:rsidR="008F4162">
        <w:t xml:space="preserve">stoffer under vurdering for optagelse. De oprindelige </w:t>
      </w:r>
      <w:r w:rsidR="002853A7">
        <w:t xml:space="preserve">12 </w:t>
      </w:r>
      <w:r w:rsidR="008F4162">
        <w:t>stoffer og en del af de y</w:t>
      </w:r>
      <w:r w:rsidR="002853A7">
        <w:t>derligere stoffer er omfattet af den såkaldte</w:t>
      </w:r>
      <w:r w:rsidR="008F4162">
        <w:t xml:space="preserve"> </w:t>
      </w:r>
      <w:r w:rsidR="002853A7">
        <w:t>POP-protokol, som er en protokol til 1979-</w:t>
      </w:r>
      <w:r w:rsidR="002853A7">
        <w:lastRenderedPageBreak/>
        <w:t xml:space="preserve">konventionen om langtrækkende, grænseoverskridende luftforurening (LRTAP). </w:t>
      </w:r>
      <w:r w:rsidR="004C3E0A">
        <w:t xml:space="preserve">Danmark </w:t>
      </w:r>
      <w:r w:rsidR="002853A7">
        <w:t>har til</w:t>
      </w:r>
      <w:r w:rsidR="004C3E0A">
        <w:t>trådt</w:t>
      </w:r>
      <w:r w:rsidR="002853A7">
        <w:t xml:space="preserve"> POP-protokollen</w:t>
      </w:r>
      <w:r w:rsidR="00EC35BB">
        <w:t xml:space="preserve"> </w:t>
      </w:r>
      <w:r w:rsidR="004C3E0A">
        <w:t>uden forbehold for Grønland, der</w:t>
      </w:r>
      <w:r w:rsidR="00EC35BB">
        <w:t xml:space="preserve"> dermed </w:t>
      </w:r>
      <w:r w:rsidR="004C3E0A">
        <w:t xml:space="preserve">har </w:t>
      </w:r>
      <w:r w:rsidR="00EC35BB">
        <w:t>forpligtet sig til at gøre en indsats i relation til disse stoffer</w:t>
      </w:r>
      <w:r w:rsidR="002853A7">
        <w:t>. Vedr</w:t>
      </w:r>
      <w:r w:rsidR="00AA15C8">
        <w:t>ørende</w:t>
      </w:r>
      <w:r w:rsidR="002853A7">
        <w:t xml:space="preserve"> de betydeligste stof</w:t>
      </w:r>
      <w:r w:rsidR="00AA15C8">
        <w:t>grupper</w:t>
      </w:r>
      <w:r w:rsidR="002853A7">
        <w:t xml:space="preserve"> som dioxiner</w:t>
      </w:r>
      <w:r w:rsidR="00AF5F74">
        <w:rPr>
          <w:rStyle w:val="Fodnotehenvisning"/>
        </w:rPr>
        <w:footnoteReference w:id="7"/>
      </w:r>
      <w:r w:rsidR="000F74B8">
        <w:t>,</w:t>
      </w:r>
      <w:r w:rsidR="002853A7">
        <w:t xml:space="preserve"> PCB (</w:t>
      </w:r>
      <w:proofErr w:type="spellStart"/>
      <w:r w:rsidR="002853A7">
        <w:t>polychlorerede</w:t>
      </w:r>
      <w:proofErr w:type="spellEnd"/>
      <w:r w:rsidR="002853A7">
        <w:t xml:space="preserve"> </w:t>
      </w:r>
      <w:proofErr w:type="spellStart"/>
      <w:r w:rsidR="002853A7">
        <w:t>biphenyler</w:t>
      </w:r>
      <w:proofErr w:type="spellEnd"/>
      <w:r w:rsidR="002853A7">
        <w:t>)</w:t>
      </w:r>
      <w:r w:rsidR="000F74B8">
        <w:t>,</w:t>
      </w:r>
      <w:r w:rsidR="002853A7">
        <w:t xml:space="preserve"> </w:t>
      </w:r>
      <w:r w:rsidR="000F74B8">
        <w:t xml:space="preserve">PFOS og </w:t>
      </w:r>
      <w:r w:rsidR="00FD250B">
        <w:t>kort</w:t>
      </w:r>
      <w:r w:rsidR="000F74B8">
        <w:t xml:space="preserve">kædede </w:t>
      </w:r>
      <w:proofErr w:type="spellStart"/>
      <w:r w:rsidR="000F74B8">
        <w:t>chlorparaffiner</w:t>
      </w:r>
      <w:proofErr w:type="spellEnd"/>
      <w:r w:rsidR="000F74B8">
        <w:t xml:space="preserve"> (SCCP) </w:t>
      </w:r>
      <w:r w:rsidR="002853A7">
        <w:t>indeholder protokollen krav</w:t>
      </w:r>
      <w:r w:rsidR="00754975">
        <w:t>,</w:t>
      </w:r>
      <w:r w:rsidR="002853A7">
        <w:t xml:space="preserve"> som er meget lig kravene i Stockholmkonventionen.</w:t>
      </w:r>
    </w:p>
    <w:p w14:paraId="1AE701F4" w14:textId="4B7378C0" w:rsidR="008F4162" w:rsidRDefault="008F4162" w:rsidP="008F4162">
      <w:pPr>
        <w:pStyle w:val="Brdtekst"/>
      </w:pPr>
      <w:r>
        <w:t xml:space="preserve">Stofferne er under </w:t>
      </w:r>
      <w:r w:rsidR="00C82AE7">
        <w:t>S</w:t>
      </w:r>
      <w:r w:rsidR="002853A7">
        <w:t>tockholm</w:t>
      </w:r>
      <w:r>
        <w:t>konventionen oplistede i tre bilag:</w:t>
      </w:r>
    </w:p>
    <w:p w14:paraId="7CD818F9" w14:textId="2E5C4934" w:rsidR="002853A7" w:rsidRDefault="008F4162" w:rsidP="00020F71">
      <w:pPr>
        <w:pStyle w:val="Opstilling-punkttegn"/>
      </w:pPr>
      <w:r>
        <w:t xml:space="preserve">Bilag A: </w:t>
      </w:r>
      <w:r>
        <w:tab/>
        <w:t xml:space="preserve">Stoffer, som parterne skal forbyde </w:t>
      </w:r>
      <w:r w:rsidR="00284698">
        <w:t>(</w:t>
      </w:r>
      <w:r w:rsidR="00966EA1">
        <w:t>krav angivet i Artikel 3</w:t>
      </w:r>
      <w:r w:rsidR="00284698">
        <w:t>)</w:t>
      </w:r>
      <w:r w:rsidR="00F512F1">
        <w:t>.</w:t>
      </w:r>
      <w:r w:rsidR="00284698">
        <w:t xml:space="preserve"> </w:t>
      </w:r>
    </w:p>
    <w:p w14:paraId="3A535DB8" w14:textId="6FD2AE7D" w:rsidR="008F4162" w:rsidRDefault="008F4162" w:rsidP="00020F71">
      <w:pPr>
        <w:pStyle w:val="Opstilling-punkttegn"/>
      </w:pPr>
      <w:r>
        <w:t xml:space="preserve">Bilag B: </w:t>
      </w:r>
      <w:r>
        <w:tab/>
        <w:t>Stoffer, som parterne skal begrænse</w:t>
      </w:r>
      <w:r w:rsidR="00284698">
        <w:t xml:space="preserve"> (</w:t>
      </w:r>
      <w:r w:rsidR="00966EA1">
        <w:t>krav angivet i Artikel 3</w:t>
      </w:r>
      <w:r w:rsidR="00284698">
        <w:t>)</w:t>
      </w:r>
      <w:r w:rsidR="00F512F1">
        <w:t>.</w:t>
      </w:r>
    </w:p>
    <w:p w14:paraId="78DC06CE" w14:textId="2E91B5F3" w:rsidR="008F4162" w:rsidRDefault="008F4162" w:rsidP="002853A7">
      <w:pPr>
        <w:pStyle w:val="Opstilling-punkttegn"/>
      </w:pPr>
      <w:r>
        <w:t xml:space="preserve">Bilag C: </w:t>
      </w:r>
      <w:r>
        <w:tab/>
        <w:t>Stoffer, som dannes utilsigtet, og hvis dannelse parterne skal begrænse eller om muligt eliminere</w:t>
      </w:r>
      <w:r w:rsidR="00284698">
        <w:t xml:space="preserve"> (</w:t>
      </w:r>
      <w:r w:rsidR="00966EA1">
        <w:t>krav angivet i Artikel 5</w:t>
      </w:r>
      <w:r w:rsidR="00284698">
        <w:t>)</w:t>
      </w:r>
      <w:r w:rsidR="00F512F1">
        <w:t>.</w:t>
      </w:r>
    </w:p>
    <w:p w14:paraId="25ADF677" w14:textId="196BE09D" w:rsidR="00C2293C" w:rsidRDefault="002853A7" w:rsidP="002853A7">
      <w:pPr>
        <w:pStyle w:val="Overskrift4"/>
      </w:pPr>
      <w:r>
        <w:t>Forbyde fremstilling, import, eksport og brug af stoffer</w:t>
      </w:r>
    </w:p>
    <w:p w14:paraId="1F405B13" w14:textId="47D93369" w:rsidR="00B80C01" w:rsidRDefault="002853A7" w:rsidP="004D57DA">
      <w:pPr>
        <w:pStyle w:val="Brdtekst"/>
      </w:pPr>
      <w:r>
        <w:t>For en lang række af stofferne er der krav om at f</w:t>
      </w:r>
      <w:r w:rsidRPr="002853A7">
        <w:t xml:space="preserve">orbyde </w:t>
      </w:r>
      <w:r w:rsidR="00C82AE7">
        <w:t xml:space="preserve">eller </w:t>
      </w:r>
      <w:r w:rsidR="00574747">
        <w:t>begrænse</w:t>
      </w:r>
      <w:r w:rsidR="00C82AE7">
        <w:t xml:space="preserve"> </w:t>
      </w:r>
      <w:r w:rsidRPr="002853A7">
        <w:t>fremstill</w:t>
      </w:r>
      <w:r>
        <w:t>ing, import, eksport og brug. Det gæl</w:t>
      </w:r>
      <w:r w:rsidR="00FB1C24">
        <w:t>d</w:t>
      </w:r>
      <w:r>
        <w:t>er eksempelvis en lang række pesticider</w:t>
      </w:r>
      <w:r w:rsidR="00FB1C24">
        <w:t>,</w:t>
      </w:r>
      <w:r>
        <w:t xml:space="preserve"> som aldrig har væ</w:t>
      </w:r>
      <w:r w:rsidR="00FB1C24">
        <w:t>ret anvendt i Grønland. Det vurderes, at der ikke er nogen produktion af stofferne i Grønland eller særlige anvendelser</w:t>
      </w:r>
      <w:r w:rsidR="00C82AE7">
        <w:t>,</w:t>
      </w:r>
      <w:r w:rsidR="00FB1C24">
        <w:t xml:space="preserve"> som ville kræve</w:t>
      </w:r>
      <w:r w:rsidR="00115B38">
        <w:t>,</w:t>
      </w:r>
      <w:r w:rsidR="00FB1C24">
        <w:t xml:space="preserve"> </w:t>
      </w:r>
      <w:r w:rsidR="00C82AE7">
        <w:t xml:space="preserve">at Grønland søger om </w:t>
      </w:r>
      <w:r w:rsidR="00FB1C24">
        <w:t>undtagelse</w:t>
      </w:r>
      <w:r w:rsidR="00C82AE7">
        <w:t xml:space="preserve">r. Det vurderes ikke at have nogen konsekvenser at </w:t>
      </w:r>
      <w:r w:rsidR="003C2CD2">
        <w:t>tiltræde konventionen</w:t>
      </w:r>
      <w:r w:rsidR="00EF6E14">
        <w:t>,</w:t>
      </w:r>
      <w:r w:rsidR="00C82AE7">
        <w:t xml:space="preserve"> hvad angår </w:t>
      </w:r>
      <w:r w:rsidR="00FB1C24">
        <w:t>fremstilling, import, eksport og brug af stofferne.</w:t>
      </w:r>
    </w:p>
    <w:p w14:paraId="1001D00F" w14:textId="7ED9616E" w:rsidR="00B80C01" w:rsidRDefault="002853A7" w:rsidP="002853A7">
      <w:pPr>
        <w:pStyle w:val="Overskrift4"/>
      </w:pPr>
      <w:r>
        <w:t xml:space="preserve">De vigtigste problemstillinger </w:t>
      </w:r>
      <w:r w:rsidR="00147F2D">
        <w:t>i relation til</w:t>
      </w:r>
      <w:r>
        <w:t xml:space="preserve"> Grønland</w:t>
      </w:r>
    </w:p>
    <w:p w14:paraId="111BB7EA" w14:textId="022BBB72" w:rsidR="00147F2D" w:rsidRDefault="00FB1C24" w:rsidP="00FB1C24">
      <w:pPr>
        <w:pStyle w:val="Brdtekst"/>
      </w:pPr>
      <w:r>
        <w:t xml:space="preserve">De vigtigste problemstillinger </w:t>
      </w:r>
      <w:r w:rsidR="00147F2D">
        <w:t>i relation til Grønland vurderes at knytte sig til:</w:t>
      </w:r>
    </w:p>
    <w:p w14:paraId="2F2439D6" w14:textId="43B7DC0D" w:rsidR="00147F2D" w:rsidRDefault="00147F2D" w:rsidP="00147F2D">
      <w:pPr>
        <w:pStyle w:val="Opstilling-punkttegn"/>
      </w:pPr>
      <w:r>
        <w:t xml:space="preserve">Affaldsforbrænding, hvor de </w:t>
      </w:r>
      <w:r w:rsidR="002C2919">
        <w:t>g</w:t>
      </w:r>
      <w:r>
        <w:t xml:space="preserve">rønlandske forbrændingsanlæg har relativt </w:t>
      </w:r>
      <w:r w:rsidR="00EA3829">
        <w:t>store udledninger af dioxiner og</w:t>
      </w:r>
      <w:r>
        <w:t xml:space="preserve"> andre POP-stoffer</w:t>
      </w:r>
      <w:r w:rsidR="00EA3829">
        <w:t>,</w:t>
      </w:r>
      <w:r>
        <w:t xml:space="preserve"> og deres effektivitet i relation til at destruere POP-stoffer formodentlig er relativt ringe</w:t>
      </w:r>
      <w:r w:rsidR="00462A3E">
        <w:t>.</w:t>
      </w:r>
      <w:r w:rsidR="00E96B53">
        <w:t xml:space="preserve"> </w:t>
      </w:r>
    </w:p>
    <w:p w14:paraId="32252AC4" w14:textId="74B8A7B6" w:rsidR="002853A7" w:rsidRDefault="00E00814" w:rsidP="00147F2D">
      <w:pPr>
        <w:pStyle w:val="Opstilling-punkttegn"/>
      </w:pPr>
      <w:r>
        <w:t>Forekomsten af</w:t>
      </w:r>
      <w:r w:rsidR="00FB1C24">
        <w:t xml:space="preserve"> PCB</w:t>
      </w:r>
      <w:r w:rsidR="009E1AE5">
        <w:t xml:space="preserve"> og kortkædede </w:t>
      </w:r>
      <w:proofErr w:type="spellStart"/>
      <w:r w:rsidR="009E1AE5">
        <w:t>c</w:t>
      </w:r>
      <w:r w:rsidR="00EF6E14">
        <w:t>h</w:t>
      </w:r>
      <w:r w:rsidR="009E1AE5">
        <w:t>lorparaffiner</w:t>
      </w:r>
      <w:proofErr w:type="spellEnd"/>
      <w:r w:rsidR="00147F2D">
        <w:t xml:space="preserve"> </w:t>
      </w:r>
      <w:r>
        <w:t>i</w:t>
      </w:r>
      <w:r w:rsidR="00147F2D">
        <w:t xml:space="preserve"> byg</w:t>
      </w:r>
      <w:r w:rsidR="00EA3829">
        <w:t>ninger</w:t>
      </w:r>
      <w:r w:rsidR="00462A3E">
        <w:t>.</w:t>
      </w:r>
    </w:p>
    <w:p w14:paraId="2880E67D" w14:textId="0B8E63ED" w:rsidR="00C55948" w:rsidRDefault="00C55948" w:rsidP="00147F2D">
      <w:pPr>
        <w:pStyle w:val="Opstilling-punkttegn"/>
      </w:pPr>
      <w:r>
        <w:t xml:space="preserve">Mulig </w:t>
      </w:r>
      <w:r w:rsidR="00EC35BB">
        <w:t>forurening af brandøvelsespladser med</w:t>
      </w:r>
      <w:r>
        <w:t xml:space="preserve"> PFOS-</w:t>
      </w:r>
      <w:proofErr w:type="spellStart"/>
      <w:r>
        <w:t>holdige</w:t>
      </w:r>
      <w:proofErr w:type="spellEnd"/>
      <w:r>
        <w:t xml:space="preserve"> brandslukningsskum</w:t>
      </w:r>
      <w:r w:rsidR="00462A3E">
        <w:t>.</w:t>
      </w:r>
    </w:p>
    <w:p w14:paraId="5F3D348E" w14:textId="26FE020C" w:rsidR="00E00814" w:rsidRDefault="00E00814" w:rsidP="00147F2D">
      <w:pPr>
        <w:pStyle w:val="Opstilling-punkttegn"/>
      </w:pPr>
      <w:r>
        <w:t>Juridisk/administrative konsekvenser og omkostninger ved at</w:t>
      </w:r>
      <w:r w:rsidR="00462A3E">
        <w:t xml:space="preserve"> tiltræde</w:t>
      </w:r>
      <w:r>
        <w:t xml:space="preserve"> konventionen</w:t>
      </w:r>
      <w:r w:rsidR="00930892">
        <w:t>.</w:t>
      </w:r>
    </w:p>
    <w:p w14:paraId="54F92738" w14:textId="19C231E0" w:rsidR="00A14842" w:rsidRDefault="00C82AE7" w:rsidP="00147F2D">
      <w:pPr>
        <w:pStyle w:val="Brdtekst"/>
      </w:pPr>
      <w:r>
        <w:lastRenderedPageBreak/>
        <w:t>Der er</w:t>
      </w:r>
      <w:r w:rsidR="007F0F64">
        <w:t xml:space="preserve"> </w:t>
      </w:r>
      <w:r w:rsidR="007A7373">
        <w:t xml:space="preserve">allerede </w:t>
      </w:r>
      <w:r w:rsidR="00EC35BB">
        <w:t xml:space="preserve">taget </w:t>
      </w:r>
      <w:r w:rsidR="007A7373">
        <w:t xml:space="preserve">en række </w:t>
      </w:r>
      <w:r w:rsidR="00EC35BB">
        <w:t xml:space="preserve">initiativer </w:t>
      </w:r>
      <w:r>
        <w:t xml:space="preserve">i relation til </w:t>
      </w:r>
      <w:r w:rsidR="007F0F64">
        <w:t xml:space="preserve">at mindske udslip af </w:t>
      </w:r>
      <w:r>
        <w:t>stoffern</w:t>
      </w:r>
      <w:r w:rsidR="007A7373">
        <w:t>e. E</w:t>
      </w:r>
      <w:r>
        <w:t xml:space="preserve">t væsentligt spørgsmål er derfor, i hvilket omfang en ophævelse af forbeholdet vil resultere i ekstra omkostninger i forhold til de </w:t>
      </w:r>
      <w:r w:rsidR="0027071B">
        <w:t>omkostninger</w:t>
      </w:r>
      <w:r w:rsidR="00EC35BB">
        <w:t>,</w:t>
      </w:r>
      <w:r>
        <w:t xml:space="preserve"> som </w:t>
      </w:r>
      <w:r w:rsidR="0027071B">
        <w:t xml:space="preserve">der </w:t>
      </w:r>
      <w:r>
        <w:t xml:space="preserve">- uanset konventionens bestemmelser - </w:t>
      </w:r>
      <w:r w:rsidR="000575A1">
        <w:t xml:space="preserve">kan forventes. </w:t>
      </w:r>
    </w:p>
    <w:p w14:paraId="1893278E" w14:textId="2928C3C2" w:rsidR="002853A7" w:rsidRDefault="00147F2D" w:rsidP="00147F2D">
      <w:pPr>
        <w:pStyle w:val="Brdtekst"/>
      </w:pPr>
      <w:r>
        <w:t xml:space="preserve">Disse problemstillinger opsummeres kort i det </w:t>
      </w:r>
      <w:r w:rsidR="00124378">
        <w:t>følgende.</w:t>
      </w:r>
    </w:p>
    <w:p w14:paraId="4177D965" w14:textId="6755254E" w:rsidR="00B80C01" w:rsidRDefault="00B80C01" w:rsidP="007F5779">
      <w:pPr>
        <w:pStyle w:val="Overskrift4"/>
      </w:pPr>
      <w:r>
        <w:t>Affaldsforbrænding</w:t>
      </w:r>
    </w:p>
    <w:p w14:paraId="540E6246" w14:textId="3C7D32C7" w:rsidR="00426E3F" w:rsidRDefault="00B80C01" w:rsidP="004D57DA">
      <w:pPr>
        <w:pStyle w:val="Brdtekst"/>
      </w:pPr>
      <w:r>
        <w:t xml:space="preserve">Affaldsforbrænding er den væsentligste kilde til udslip af dioxiner, men </w:t>
      </w:r>
      <w:r w:rsidR="007171DA">
        <w:t>ud</w:t>
      </w:r>
      <w:r w:rsidR="007F5779">
        <w:t xml:space="preserve"> over dioxiner</w:t>
      </w:r>
      <w:r w:rsidR="00574747">
        <w:t xml:space="preserve"> </w:t>
      </w:r>
      <w:r w:rsidR="007F5779">
        <w:t>vil aff</w:t>
      </w:r>
      <w:r>
        <w:t>a</w:t>
      </w:r>
      <w:r w:rsidR="007F5779">
        <w:t>l</w:t>
      </w:r>
      <w:r>
        <w:t xml:space="preserve">dsforbrænding også være den væsentligste kilde til utilsigtet dannelse af andre stoffer på bilag C til konventionen: </w:t>
      </w:r>
      <w:proofErr w:type="spellStart"/>
      <w:r w:rsidRPr="00B80C01">
        <w:t>Hexachlorbenzen</w:t>
      </w:r>
      <w:proofErr w:type="spellEnd"/>
      <w:r w:rsidRPr="00B80C01">
        <w:t xml:space="preserve">, </w:t>
      </w:r>
      <w:proofErr w:type="spellStart"/>
      <w:r>
        <w:t>p</w:t>
      </w:r>
      <w:r w:rsidRPr="00B80C01">
        <w:t>entachlorbenzen</w:t>
      </w:r>
      <w:proofErr w:type="spellEnd"/>
      <w:r w:rsidRPr="00B80C01">
        <w:t xml:space="preserve">, </w:t>
      </w:r>
      <w:proofErr w:type="spellStart"/>
      <w:r>
        <w:t>p</w:t>
      </w:r>
      <w:r w:rsidRPr="00B80C01">
        <w:t>olychlorerede</w:t>
      </w:r>
      <w:proofErr w:type="spellEnd"/>
      <w:r w:rsidRPr="00B80C01">
        <w:t xml:space="preserve"> </w:t>
      </w:r>
      <w:proofErr w:type="spellStart"/>
      <w:r w:rsidRPr="00B80C01">
        <w:t>naphthalener</w:t>
      </w:r>
      <w:proofErr w:type="spellEnd"/>
      <w:r w:rsidR="005F2B72">
        <w:t xml:space="preserve">, </w:t>
      </w:r>
      <w:proofErr w:type="spellStart"/>
      <w:r w:rsidR="005F2B72">
        <w:t>h</w:t>
      </w:r>
      <w:r w:rsidR="005F2B72" w:rsidRPr="0062571E">
        <w:t>exachlorbutadien</w:t>
      </w:r>
      <w:proofErr w:type="spellEnd"/>
      <w:r w:rsidR="007F5779">
        <w:t xml:space="preserve"> og</w:t>
      </w:r>
      <w:r w:rsidRPr="00B80C01">
        <w:t xml:space="preserve"> PCB</w:t>
      </w:r>
      <w:r>
        <w:t xml:space="preserve">. Derudover er </w:t>
      </w:r>
      <w:r w:rsidR="00B115C1">
        <w:t xml:space="preserve">der </w:t>
      </w:r>
      <w:r>
        <w:t>en række stoffer omfattet af konventionen</w:t>
      </w:r>
      <w:r w:rsidR="007F5779">
        <w:t>,</w:t>
      </w:r>
      <w:r>
        <w:t xml:space="preserve"> som kan danne andre</w:t>
      </w:r>
      <w:r w:rsidR="007F5779">
        <w:t xml:space="preserve"> </w:t>
      </w:r>
      <w:r w:rsidR="00AF5F74">
        <w:t>og giftigere</w:t>
      </w:r>
      <w:r w:rsidR="007F5779">
        <w:t xml:space="preserve"> </w:t>
      </w:r>
      <w:r w:rsidRPr="00B80C01">
        <w:t>POP-st</w:t>
      </w:r>
      <w:r>
        <w:t>offer</w:t>
      </w:r>
      <w:r w:rsidR="00BE4977">
        <w:t>,</w:t>
      </w:r>
      <w:r>
        <w:t xml:space="preserve"> </w:t>
      </w:r>
      <w:r w:rsidR="00AF5F74">
        <w:t>når de indgår i affald, som bortskaffes ved</w:t>
      </w:r>
      <w:r>
        <w:t xml:space="preserve"> affaldsforbrænding</w:t>
      </w:r>
      <w:r w:rsidR="007F5779">
        <w:t>. Stoffer</w:t>
      </w:r>
      <w:r w:rsidR="00AF5F74">
        <w:t>,</w:t>
      </w:r>
      <w:r w:rsidR="007F5779">
        <w:t xml:space="preserve"> som vil</w:t>
      </w:r>
      <w:r w:rsidR="00AF5F74">
        <w:t xml:space="preserve"> kunne</w:t>
      </w:r>
      <w:r w:rsidR="007F5779">
        <w:t xml:space="preserve"> optræde i et vist omfang i affaldsstrømmen i Grønland</w:t>
      </w:r>
      <w:r w:rsidR="00AF5F74">
        <w:t>,</w:t>
      </w:r>
      <w:r w:rsidR="007F5779">
        <w:t xml:space="preserve"> omfatter PCB, </w:t>
      </w:r>
      <w:proofErr w:type="spellStart"/>
      <w:r w:rsidR="007F5779">
        <w:t>pentachlorphenol</w:t>
      </w:r>
      <w:proofErr w:type="spellEnd"/>
      <w:r w:rsidR="00B115C1">
        <w:t xml:space="preserve">, kortkædede </w:t>
      </w:r>
      <w:proofErr w:type="spellStart"/>
      <w:r w:rsidR="00B115C1">
        <w:t>chlorparaffiner</w:t>
      </w:r>
      <w:proofErr w:type="spellEnd"/>
      <w:r w:rsidR="007F5779">
        <w:t xml:space="preserve"> og seks </w:t>
      </w:r>
      <w:proofErr w:type="spellStart"/>
      <w:r w:rsidR="007F5779">
        <w:t>bromerede</w:t>
      </w:r>
      <w:proofErr w:type="spellEnd"/>
      <w:r w:rsidR="007F5779">
        <w:t xml:space="preserve"> </w:t>
      </w:r>
      <w:proofErr w:type="spellStart"/>
      <w:r w:rsidR="007F5779">
        <w:t>flammehæmmere</w:t>
      </w:r>
      <w:proofErr w:type="spellEnd"/>
      <w:r w:rsidR="007F5779">
        <w:t xml:space="preserve">. </w:t>
      </w:r>
    </w:p>
    <w:p w14:paraId="62D6FEA2" w14:textId="47D82906" w:rsidR="0042440E" w:rsidRDefault="00AF5F74" w:rsidP="00AF5F74">
      <w:pPr>
        <w:pStyle w:val="Brdtekst"/>
      </w:pPr>
      <w:r>
        <w:t>De målinger</w:t>
      </w:r>
      <w:r w:rsidR="00EA16D0">
        <w:t>,</w:t>
      </w:r>
      <w:r>
        <w:t xml:space="preserve"> der er foretaget af udledninger fra forbrændingsanlæg</w:t>
      </w:r>
      <w:r w:rsidR="00C65853">
        <w:t>,</w:t>
      </w:r>
      <w:r>
        <w:t xml:space="preserve"> viser koncentrationer af dioxiner</w:t>
      </w:r>
      <w:r w:rsidR="00EA16D0">
        <w:t xml:space="preserve"> i røggassen</w:t>
      </w:r>
      <w:r w:rsidR="00C65853">
        <w:t>,</w:t>
      </w:r>
      <w:r>
        <w:t xml:space="preserve"> der er i størrelsen 100 til 1000 gange højere end grænseværdierne i EU</w:t>
      </w:r>
      <w:r w:rsidR="00462A3E">
        <w:t>. Grænseværdierne i EU</w:t>
      </w:r>
      <w:r w:rsidR="002C2919">
        <w:t>,</w:t>
      </w:r>
      <w:r w:rsidR="00462A3E">
        <w:t xml:space="preserve"> svarer til udledninger fra </w:t>
      </w:r>
      <w:r w:rsidR="00EA16D0">
        <w:t>anlæg</w:t>
      </w:r>
      <w:r w:rsidR="00F23A61">
        <w:t>,</w:t>
      </w:r>
      <w:r w:rsidR="00EA16D0">
        <w:t xml:space="preserve"> der i følge Stockholmkonventionen kan betragtes at leve op BAT</w:t>
      </w:r>
      <w:r>
        <w:t xml:space="preserve"> (bedste tilgængelige teknik). Udledninger af dioxiner fra affaldsforbrænding</w:t>
      </w:r>
      <w:r w:rsidR="00426E3F">
        <w:t xml:space="preserve"> per person i Grønland </w:t>
      </w:r>
      <w:r>
        <w:t>er mere end 100 gange større end udledningerne per person i Danmark</w:t>
      </w:r>
      <w:r w:rsidR="00426E3F">
        <w:t>.</w:t>
      </w:r>
    </w:p>
    <w:p w14:paraId="5F9AA777" w14:textId="4A0C0F42" w:rsidR="00C409D2" w:rsidRDefault="00EF6E14" w:rsidP="004D57DA">
      <w:pPr>
        <w:pStyle w:val="Brdtekst"/>
      </w:pPr>
      <w:r w:rsidRPr="00F23A61">
        <w:rPr>
          <w:color w:val="000000" w:themeColor="text1"/>
        </w:rPr>
        <w:t xml:space="preserve">Der er i de seneste år sat en række initiativer i gang </w:t>
      </w:r>
      <w:r w:rsidR="00894591" w:rsidRPr="00F23A61">
        <w:rPr>
          <w:color w:val="000000" w:themeColor="text1"/>
        </w:rPr>
        <w:t>med henblik på</w:t>
      </w:r>
      <w:r w:rsidR="00971221" w:rsidRPr="00F23A61">
        <w:rPr>
          <w:color w:val="000000" w:themeColor="text1"/>
        </w:rPr>
        <w:t>,</w:t>
      </w:r>
      <w:r w:rsidR="00894591" w:rsidRPr="00F23A61">
        <w:rPr>
          <w:color w:val="000000" w:themeColor="text1"/>
        </w:rPr>
        <w:t xml:space="preserve"> at afbrænding af affald på sigt skal ske i overensstemmelse </w:t>
      </w:r>
      <w:r w:rsidR="00930892" w:rsidRPr="00F23A61">
        <w:rPr>
          <w:color w:val="000000" w:themeColor="text1"/>
        </w:rPr>
        <w:t>m</w:t>
      </w:r>
      <w:r w:rsidR="00894591" w:rsidRPr="00F23A61">
        <w:rPr>
          <w:color w:val="000000" w:themeColor="text1"/>
        </w:rPr>
        <w:t>ed BAT-princippet.</w:t>
      </w:r>
      <w:r w:rsidRPr="00F23A61">
        <w:rPr>
          <w:color w:val="000000" w:themeColor="text1"/>
        </w:rPr>
        <w:t xml:space="preserve"> </w:t>
      </w:r>
      <w:r w:rsidR="00C409D2" w:rsidRPr="00F23A61">
        <w:rPr>
          <w:color w:val="000000" w:themeColor="text1"/>
        </w:rPr>
        <w:t xml:space="preserve">Anlægssektorplan for affaldsområdet </w:t>
      </w:r>
      <w:r w:rsidR="00894591" w:rsidRPr="00F23A61">
        <w:rPr>
          <w:color w:val="000000" w:themeColor="text1"/>
        </w:rPr>
        <w:t>fra 2015 beskriver</w:t>
      </w:r>
      <w:r w:rsidR="00B115C1" w:rsidRPr="00F23A61">
        <w:rPr>
          <w:color w:val="000000" w:themeColor="text1"/>
        </w:rPr>
        <w:t xml:space="preserve"> endvidere</w:t>
      </w:r>
      <w:r w:rsidR="00894591" w:rsidRPr="00F23A61">
        <w:rPr>
          <w:color w:val="000000" w:themeColor="text1"/>
        </w:rPr>
        <w:t xml:space="preserve">, </w:t>
      </w:r>
      <w:r w:rsidR="00C409D2" w:rsidRPr="00F23A61">
        <w:rPr>
          <w:color w:val="000000" w:themeColor="text1"/>
        </w:rPr>
        <w:t>hvilke anlægsi</w:t>
      </w:r>
      <w:r w:rsidR="00894591" w:rsidRPr="00F23A61">
        <w:rPr>
          <w:color w:val="000000" w:themeColor="text1"/>
        </w:rPr>
        <w:t>nvesteringer på affaldsområdet</w:t>
      </w:r>
      <w:r w:rsidR="00930892" w:rsidRPr="00F23A61">
        <w:rPr>
          <w:color w:val="000000" w:themeColor="text1"/>
        </w:rPr>
        <w:t>,</w:t>
      </w:r>
      <w:r w:rsidR="00894591" w:rsidRPr="00F23A61">
        <w:rPr>
          <w:color w:val="000000" w:themeColor="text1"/>
        </w:rPr>
        <w:t xml:space="preserve"> der kan forventes, hvis</w:t>
      </w:r>
      <w:r w:rsidR="00C409D2" w:rsidRPr="00F23A61">
        <w:rPr>
          <w:color w:val="000000" w:themeColor="text1"/>
        </w:rPr>
        <w:t xml:space="preserve"> anlæggene fremadrettet vil </w:t>
      </w:r>
      <w:r w:rsidR="00894591" w:rsidRPr="00F23A61">
        <w:rPr>
          <w:color w:val="000000" w:themeColor="text1"/>
        </w:rPr>
        <w:t>skulle</w:t>
      </w:r>
      <w:r w:rsidR="00C409D2" w:rsidRPr="00F23A61">
        <w:rPr>
          <w:color w:val="000000" w:themeColor="text1"/>
        </w:rPr>
        <w:t xml:space="preserve"> overholde EU’s grænseværdier for dioxin</w:t>
      </w:r>
      <w:r w:rsidR="00894591" w:rsidRPr="00F23A61">
        <w:rPr>
          <w:color w:val="000000" w:themeColor="text1"/>
        </w:rPr>
        <w:t>er</w:t>
      </w:r>
      <w:r w:rsidR="00C409D2" w:rsidRPr="00F23A61">
        <w:rPr>
          <w:color w:val="000000" w:themeColor="text1"/>
        </w:rPr>
        <w:t xml:space="preserve"> og tungmetaller. </w:t>
      </w:r>
    </w:p>
    <w:p w14:paraId="4D4825AE" w14:textId="4A002123" w:rsidR="00C001E0" w:rsidRPr="00AE652F" w:rsidRDefault="00F63968" w:rsidP="00C001E0">
      <w:pPr>
        <w:pStyle w:val="Brdtekst"/>
        <w:rPr>
          <w:rFonts w:ascii="Open Sans" w:hAnsi="Open Sans" w:cs="Times New Roman"/>
          <w:sz w:val="21"/>
          <w:szCs w:val="21"/>
        </w:rPr>
      </w:pPr>
      <w:bookmarkStart w:id="10" w:name="_Hlk8633581"/>
      <w:r>
        <w:t>Kommunerne</w:t>
      </w:r>
      <w:r w:rsidR="00C001E0" w:rsidRPr="00B41C36">
        <w:t xml:space="preserve"> har i foråret 2019 sammen </w:t>
      </w:r>
      <w:r w:rsidR="00F23A61">
        <w:t>ind</w:t>
      </w:r>
      <w:r w:rsidR="00C001E0" w:rsidRPr="00B41C36">
        <w:t>skudt startkapital i et nyt affaldsselskab</w:t>
      </w:r>
      <w:r w:rsidR="00F23A61">
        <w:t>,</w:t>
      </w:r>
      <w:r w:rsidR="00C001E0" w:rsidRPr="00B41C36">
        <w:t xml:space="preserve"> ESANI A/S, der skal drive og etablere to</w:t>
      </w:r>
      <w:r w:rsidR="00C001E0" w:rsidRPr="00B41C36">
        <w:rPr>
          <w:rFonts w:hint="eastAsia"/>
        </w:rPr>
        <w:t> </w:t>
      </w:r>
      <w:r w:rsidR="00C001E0" w:rsidRPr="00B41C36">
        <w:t>forbr</w:t>
      </w:r>
      <w:r w:rsidR="00C001E0" w:rsidRPr="00B41C36">
        <w:rPr>
          <w:rFonts w:hint="eastAsia"/>
        </w:rPr>
        <w:t>æ</w:t>
      </w:r>
      <w:r w:rsidR="00C001E0" w:rsidRPr="00B41C36">
        <w:t>ndingsanl</w:t>
      </w:r>
      <w:r w:rsidR="00C001E0" w:rsidRPr="00B41C36">
        <w:rPr>
          <w:rFonts w:hint="eastAsia"/>
        </w:rPr>
        <w:t>æ</w:t>
      </w:r>
      <w:r w:rsidR="00C001E0" w:rsidRPr="00B41C36">
        <w:t>g i</w:t>
      </w:r>
      <w:r w:rsidR="00C001E0" w:rsidRPr="00B41C36">
        <w:rPr>
          <w:rFonts w:hint="eastAsia"/>
        </w:rPr>
        <w:t> </w:t>
      </w:r>
      <w:r w:rsidR="00F23A61">
        <w:t xml:space="preserve">henholdsvis </w:t>
      </w:r>
      <w:r w:rsidR="00C001E0" w:rsidRPr="00B41C36">
        <w:t>Nuuk og Sisimiut</w:t>
      </w:r>
      <w:r w:rsidR="00C001E0" w:rsidRPr="00C721BB">
        <w:rPr>
          <w:vertAlign w:val="superscript"/>
        </w:rPr>
        <w:t xml:space="preserve"> </w:t>
      </w:r>
      <w:r w:rsidR="00C001E0" w:rsidRPr="00C721BB">
        <w:rPr>
          <w:vertAlign w:val="superscript"/>
        </w:rPr>
        <w:footnoteReference w:id="8"/>
      </w:r>
      <w:r w:rsidR="00C001E0">
        <w:t>.</w:t>
      </w:r>
      <w:r w:rsidR="00C001E0" w:rsidRPr="00B41C36">
        <w:t xml:space="preserve"> </w:t>
      </w:r>
      <w:r>
        <w:t xml:space="preserve">De to landsdækkende forbrændingsanlæg skal fremover modtage affald fra alle byer og bygder. </w:t>
      </w:r>
      <w:r w:rsidR="00C001E0" w:rsidRPr="00B41C36">
        <w:t>Der regnes med en samlet investering p</w:t>
      </w:r>
      <w:r w:rsidR="00C001E0" w:rsidRPr="00B41C36">
        <w:rPr>
          <w:rFonts w:hint="eastAsia"/>
        </w:rPr>
        <w:t>å</w:t>
      </w:r>
      <w:r w:rsidR="00C001E0" w:rsidRPr="00B41C36">
        <w:t xml:space="preserve"> omkring 400 millioner kroner i anl</w:t>
      </w:r>
      <w:r w:rsidR="00C001E0" w:rsidRPr="00B41C36">
        <w:rPr>
          <w:rFonts w:hint="eastAsia"/>
        </w:rPr>
        <w:t>æ</w:t>
      </w:r>
      <w:r w:rsidR="00C001E0" w:rsidRPr="00B41C36">
        <w:t>gsomkostninger til de to forbr</w:t>
      </w:r>
      <w:r w:rsidR="00C001E0" w:rsidRPr="00B41C36">
        <w:rPr>
          <w:rFonts w:hint="eastAsia"/>
        </w:rPr>
        <w:t>æ</w:t>
      </w:r>
      <w:r w:rsidR="00C001E0" w:rsidRPr="00B41C36">
        <w:t>ndingsanl</w:t>
      </w:r>
      <w:r w:rsidR="00C001E0" w:rsidRPr="00B41C36">
        <w:rPr>
          <w:rFonts w:hint="eastAsia"/>
        </w:rPr>
        <w:t>æ</w:t>
      </w:r>
      <w:r w:rsidR="00C001E0" w:rsidRPr="00B41C36">
        <w:t>g plus tre mindre spildolieanl</w:t>
      </w:r>
      <w:r w:rsidR="00C001E0" w:rsidRPr="00B41C36">
        <w:rPr>
          <w:rFonts w:hint="eastAsia"/>
        </w:rPr>
        <w:t>æ</w:t>
      </w:r>
      <w:r w:rsidR="00C001E0" w:rsidRPr="00B41C36">
        <w:t xml:space="preserve">g. </w:t>
      </w:r>
    </w:p>
    <w:p w14:paraId="63DA6EAF" w14:textId="02040F7D" w:rsidR="00C001E0" w:rsidRDefault="00C001E0" w:rsidP="00C001E0">
      <w:pPr>
        <w:pStyle w:val="Brdtekst"/>
      </w:pPr>
      <w:r w:rsidRPr="00AE652F">
        <w:t xml:space="preserve">De to nye </w:t>
      </w:r>
      <w:r>
        <w:t>forbrændings</w:t>
      </w:r>
      <w:r w:rsidRPr="00AE652F">
        <w:t>anlæg forventes færdige i henholdsvis 2022 og 2023</w:t>
      </w:r>
      <w:r>
        <w:t>. D</w:t>
      </w:r>
      <w:r w:rsidRPr="00AE652F">
        <w:t>e to nye anlæg kommer til at være mere eller mindre ens og vil have en kapacitet på to tons br</w:t>
      </w:r>
      <w:r w:rsidR="00F23A61">
        <w:t>æ</w:t>
      </w:r>
      <w:r w:rsidRPr="00AE652F">
        <w:t>ndbart affald i timen.</w:t>
      </w:r>
      <w:r>
        <w:t xml:space="preserve"> Med de nye anlæg, der vil få etableret røggasrensning</w:t>
      </w:r>
      <w:r w:rsidR="00757E15">
        <w:t>,</w:t>
      </w:r>
      <w:r>
        <w:t xml:space="preserve"> der </w:t>
      </w:r>
      <w:r w:rsidR="00F23A61">
        <w:t>lever op</w:t>
      </w:r>
      <w:r>
        <w:t xml:space="preserve"> til BAT, vil emissionerne af dioxiner og POP-stoffer blive betydeligt reduceret og forventes at komme ned på et niveau </w:t>
      </w:r>
      <w:bookmarkEnd w:id="10"/>
      <w:r w:rsidR="007A7373">
        <w:t>under grænseværdierne i EU</w:t>
      </w:r>
      <w:r>
        <w:t>.</w:t>
      </w:r>
      <w:r w:rsidR="009E5ECE">
        <w:t xml:space="preserve"> </w:t>
      </w:r>
      <w:r w:rsidRPr="00AE652F">
        <w:t xml:space="preserve"> </w:t>
      </w:r>
    </w:p>
    <w:p w14:paraId="0A0A7B65" w14:textId="39B3B09D" w:rsidR="00A6725E" w:rsidRDefault="00A6725E" w:rsidP="00A6725E">
      <w:pPr>
        <w:pStyle w:val="Brdtekst"/>
      </w:pPr>
      <w:r>
        <w:lastRenderedPageBreak/>
        <w:t xml:space="preserve">Stockholmkonventionen indeholder </w:t>
      </w:r>
      <w:r w:rsidR="007A7373">
        <w:t xml:space="preserve">for eksisterende anlæg </w:t>
      </w:r>
      <w:r>
        <w:t>ikke konkrete grænseværdier for emission af POP-stoffer</w:t>
      </w:r>
      <w:r w:rsidR="001E500E">
        <w:t>,</w:t>
      </w:r>
      <w:r>
        <w:t xml:space="preserve"> men mere bløde formuleringer om at</w:t>
      </w:r>
      <w:r w:rsidRPr="00AE53EA">
        <w:t xml:space="preserve"> fremme bru</w:t>
      </w:r>
      <w:r w:rsidR="007171DA">
        <w:t>gen af tilgængelige og praktisk</w:t>
      </w:r>
      <w:r w:rsidRPr="00AE53EA">
        <w:t xml:space="preserve"> mulige foranstaltninger, der hurtigt kan resultere i en realistisk og signifikant reduktion af udslip eller </w:t>
      </w:r>
      <w:r>
        <w:t xml:space="preserve">eliminering af kilder. For nye forbrændingsanlæg er der krav om anvendelse af BAT </w:t>
      </w:r>
      <w:r w:rsidRPr="00C368EB">
        <w:t xml:space="preserve">senest fire år efter konventionens ikrafttræden for den </w:t>
      </w:r>
      <w:r>
        <w:t>enkelte</w:t>
      </w:r>
      <w:r w:rsidRPr="00C368EB">
        <w:t xml:space="preserve"> par</w:t>
      </w:r>
      <w:r>
        <w:t xml:space="preserve">t. POP-protokollen, som Grønland allerede har </w:t>
      </w:r>
      <w:r w:rsidR="00853C12">
        <w:t>tiltrådt</w:t>
      </w:r>
      <w:r>
        <w:t>, indeholder tilsvarende krav til nye anlæg.</w:t>
      </w:r>
    </w:p>
    <w:p w14:paraId="7975926E" w14:textId="25B5C705" w:rsidR="00A6725E" w:rsidRDefault="007171DA" w:rsidP="00A6725E">
      <w:pPr>
        <w:pStyle w:val="Brdtekst"/>
      </w:pPr>
      <w:r>
        <w:t>Det</w:t>
      </w:r>
      <w:r w:rsidR="00A6725E">
        <w:t xml:space="preserve"> vurderes, at en </w:t>
      </w:r>
      <w:r w:rsidR="003C2CD2">
        <w:t xml:space="preserve">tiltrædelse af konventionen </w:t>
      </w:r>
      <w:r>
        <w:t xml:space="preserve">ikke </w:t>
      </w:r>
      <w:r w:rsidR="00A6725E">
        <w:t xml:space="preserve">vil </w:t>
      </w:r>
      <w:r w:rsidR="001E500E">
        <w:t xml:space="preserve">resultere i </w:t>
      </w:r>
      <w:r w:rsidR="00A6725E">
        <w:t>krav om</w:t>
      </w:r>
      <w:r w:rsidR="001E500E">
        <w:t>,</w:t>
      </w:r>
      <w:r w:rsidR="00A6725E">
        <w:t xml:space="preserve"> at Grønland etablerer anlæg, der lever op til BAT, på et bestemt tidspunkt</w:t>
      </w:r>
      <w:r w:rsidR="002C2919">
        <w:t>,</w:t>
      </w:r>
      <w:r w:rsidR="00A6725E">
        <w:t xml:space="preserve"> og der vurderes ikke at være omkostninger til etablering af anlæg ud over de</w:t>
      </w:r>
      <w:r w:rsidR="001E500E">
        <w:t>,</w:t>
      </w:r>
      <w:r w:rsidR="00A6725E">
        <w:t xml:space="preserve"> som </w:t>
      </w:r>
      <w:r w:rsidR="00F63968">
        <w:t xml:space="preserve">allerede </w:t>
      </w:r>
      <w:r w:rsidR="00C001E0">
        <w:t>er planlagt.</w:t>
      </w:r>
    </w:p>
    <w:p w14:paraId="0BF40397" w14:textId="022D4433" w:rsidR="003F14A3" w:rsidRDefault="003F14A3" w:rsidP="003F14A3">
      <w:pPr>
        <w:pStyle w:val="Brdtekst"/>
      </w:pPr>
      <w:r>
        <w:t xml:space="preserve">Måling af udledninger af dioxiner og evt. andre POP-stoffer fra nye anlæg vurderes under alle omstændigheder at skulle </w:t>
      </w:r>
      <w:r w:rsidR="00BE4977">
        <w:t xml:space="preserve">foretages </w:t>
      </w:r>
      <w:r>
        <w:t xml:space="preserve">som led i dokumentationen </w:t>
      </w:r>
      <w:r w:rsidR="000C4E53">
        <w:t>for,</w:t>
      </w:r>
      <w:r>
        <w:t xml:space="preserve"> at anlæggene lever op til specifikationerne. </w:t>
      </w:r>
      <w:r w:rsidR="00F63968">
        <w:t>Det vil indgå som vilkår i miljøgodkendelsen af de nye forbrændingsanlæg.</w:t>
      </w:r>
    </w:p>
    <w:p w14:paraId="2A3EDB9E" w14:textId="4E1ED5A0" w:rsidR="00003CBA" w:rsidRDefault="00A6725E" w:rsidP="004D57DA">
      <w:pPr>
        <w:pStyle w:val="Brdtekst"/>
      </w:pPr>
      <w:r>
        <w:t>Den eneste ekstra omkostning vurderes at være forbundet med</w:t>
      </w:r>
      <w:r w:rsidR="00982A8A">
        <w:t>,</w:t>
      </w:r>
      <w:r>
        <w:t xml:space="preserve"> at der under konventionen stilles krav til parterne om at udarbejde en handlingsplan for </w:t>
      </w:r>
      <w:r w:rsidR="00982A8A">
        <w:t>utilsigtet dannede POP-stoffer. Omkostningerne indgår under "juridisk/administrative" konsekvenser angivet nedenfor.</w:t>
      </w:r>
    </w:p>
    <w:p w14:paraId="39EE7791" w14:textId="37D0C924" w:rsidR="0042440E" w:rsidRDefault="0042440E" w:rsidP="00C65853">
      <w:pPr>
        <w:pStyle w:val="Overskrift4"/>
      </w:pPr>
      <w:r w:rsidRPr="0042440E">
        <w:t>PCB</w:t>
      </w:r>
      <w:r w:rsidR="00E00814">
        <w:t xml:space="preserve"> og </w:t>
      </w:r>
      <w:r w:rsidR="00EF6E14">
        <w:t xml:space="preserve">kortkædede </w:t>
      </w:r>
      <w:proofErr w:type="spellStart"/>
      <w:r w:rsidR="00EF6E14">
        <w:t>chlorparaffiner</w:t>
      </w:r>
      <w:proofErr w:type="spellEnd"/>
      <w:r w:rsidR="00FD7CF7">
        <w:t xml:space="preserve"> anvendt i byggeriet</w:t>
      </w:r>
    </w:p>
    <w:p w14:paraId="2E39EFDD" w14:textId="3C6DF2D5" w:rsidR="00EA3829" w:rsidRPr="00EA3829" w:rsidRDefault="00EA3829" w:rsidP="00EA3829">
      <w:pPr>
        <w:pStyle w:val="Brdtekst"/>
      </w:pPr>
      <w:r w:rsidRPr="00EA3829">
        <w:t xml:space="preserve">Der er i </w:t>
      </w:r>
      <w:r w:rsidR="00F63968" w:rsidRPr="00EA3829">
        <w:t>201</w:t>
      </w:r>
      <w:r w:rsidR="00F63968">
        <w:t>4</w:t>
      </w:r>
      <w:r w:rsidR="00757E15">
        <w:t xml:space="preserve"> </w:t>
      </w:r>
      <w:r w:rsidRPr="00EA3829">
        <w:t xml:space="preserve">udarbejdet en </w:t>
      </w:r>
      <w:r w:rsidR="00EF6E14">
        <w:t>vejledning</w:t>
      </w:r>
      <w:r w:rsidR="00EF6E14" w:rsidRPr="00EA3829">
        <w:t xml:space="preserve"> </w:t>
      </w:r>
      <w:r w:rsidR="00EF6E14">
        <w:t>om håndtering af</w:t>
      </w:r>
      <w:r w:rsidR="00EF6E14" w:rsidRPr="00EA3829">
        <w:t xml:space="preserve"> </w:t>
      </w:r>
      <w:r w:rsidRPr="00EA3829">
        <w:t xml:space="preserve">PCB i Grønland og udarbejdet et notat med overslag over omkostninger knyttet til </w:t>
      </w:r>
      <w:r w:rsidR="00EF6E14">
        <w:t>de</w:t>
      </w:r>
      <w:r w:rsidR="00EF6E14" w:rsidRPr="00EA3829">
        <w:t xml:space="preserve"> </w:t>
      </w:r>
      <w:r w:rsidRPr="00EA3829">
        <w:t xml:space="preserve">enkelte </w:t>
      </w:r>
      <w:r w:rsidR="00EF6E14">
        <w:t>dele af vejledningen</w:t>
      </w:r>
      <w:r w:rsidRPr="00EA3829">
        <w:t xml:space="preserve">. </w:t>
      </w:r>
      <w:r w:rsidR="00EF6E14">
        <w:t>Vejledningen</w:t>
      </w:r>
      <w:r w:rsidR="00EF6E14" w:rsidRPr="00EA3829">
        <w:t xml:space="preserve"> </w:t>
      </w:r>
      <w:r w:rsidRPr="00EA3829">
        <w:t>omfatter følgende elementer:</w:t>
      </w:r>
    </w:p>
    <w:p w14:paraId="7FB3B71D" w14:textId="13D75475" w:rsidR="00EA3829" w:rsidRPr="00EA3829" w:rsidRDefault="00EA3829" w:rsidP="00EA3829">
      <w:pPr>
        <w:pStyle w:val="Opstilling-punkttegn"/>
      </w:pPr>
      <w:r w:rsidRPr="00EA3829">
        <w:t xml:space="preserve">Etablering af grænseværdier for PCB i affald og jord samt </w:t>
      </w:r>
      <w:r w:rsidR="00EF6E14">
        <w:t>retningslinjer for</w:t>
      </w:r>
      <w:r w:rsidRPr="00EA3829">
        <w:t xml:space="preserve"> miljøkortlægning af PCB ved renovering og nedrivning</w:t>
      </w:r>
      <w:r w:rsidR="00966EA1">
        <w:t>.</w:t>
      </w:r>
    </w:p>
    <w:p w14:paraId="2C84DED4" w14:textId="0C29A136" w:rsidR="00EA3829" w:rsidRPr="00EA3829" w:rsidRDefault="00EA3829" w:rsidP="00EA3829">
      <w:pPr>
        <w:pStyle w:val="Opstilling-punkttegn"/>
      </w:pPr>
      <w:r w:rsidRPr="00EA3829">
        <w:t xml:space="preserve">Vejledning om håndtering af </w:t>
      </w:r>
      <w:proofErr w:type="spellStart"/>
      <w:r w:rsidRPr="00EA3829">
        <w:t>PCB-holdige</w:t>
      </w:r>
      <w:proofErr w:type="spellEnd"/>
      <w:r w:rsidRPr="00EA3829">
        <w:t xml:space="preserve"> byggematerialer</w:t>
      </w:r>
      <w:r w:rsidR="00966EA1">
        <w:t>.</w:t>
      </w:r>
    </w:p>
    <w:p w14:paraId="2334D8F3" w14:textId="075D60EB" w:rsidR="00FD7CF7" w:rsidRDefault="00EA3829">
      <w:pPr>
        <w:pStyle w:val="Opstilling-punkttegn"/>
      </w:pPr>
      <w:r w:rsidRPr="00EA3829">
        <w:t xml:space="preserve">Udfasning af </w:t>
      </w:r>
      <w:proofErr w:type="spellStart"/>
      <w:r w:rsidRPr="00EA3829">
        <w:t>PCB-</w:t>
      </w:r>
      <w:r w:rsidR="00EF6E14">
        <w:t>holdigt</w:t>
      </w:r>
      <w:proofErr w:type="spellEnd"/>
      <w:r w:rsidR="00EF6E14" w:rsidRPr="00EA3829">
        <w:t xml:space="preserve"> </w:t>
      </w:r>
      <w:r w:rsidRPr="00EA3829">
        <w:t>elektrisk udstyr</w:t>
      </w:r>
      <w:r w:rsidR="00966EA1">
        <w:t>.</w:t>
      </w:r>
    </w:p>
    <w:p w14:paraId="583B5406" w14:textId="7904C1A0" w:rsidR="00AB6E10" w:rsidRDefault="00EA3829" w:rsidP="00AB6E10">
      <w:pPr>
        <w:pStyle w:val="Brdtekst"/>
      </w:pPr>
      <w:r>
        <w:t>Omk</w:t>
      </w:r>
      <w:r w:rsidRPr="008B1B83">
        <w:t xml:space="preserve">ostningerne </w:t>
      </w:r>
      <w:r w:rsidR="001E500E" w:rsidRPr="008B1B83">
        <w:t xml:space="preserve">ved </w:t>
      </w:r>
      <w:r w:rsidR="00EF6E14" w:rsidRPr="008B1B83">
        <w:t xml:space="preserve">at følge </w:t>
      </w:r>
      <w:r w:rsidRPr="008B1B83">
        <w:t>PCB</w:t>
      </w:r>
      <w:r w:rsidR="001E500E" w:rsidRPr="008B1B83">
        <w:t>-</w:t>
      </w:r>
      <w:r w:rsidR="00EF6E14" w:rsidRPr="008B1B83">
        <w:t>vejledningens anvisninger</w:t>
      </w:r>
      <w:r w:rsidRPr="008B1B83">
        <w:t xml:space="preserve"> er </w:t>
      </w:r>
      <w:r w:rsidR="00566B5A" w:rsidRPr="008B1B83">
        <w:t xml:space="preserve">i 2014 </w:t>
      </w:r>
      <w:r w:rsidRPr="008B1B83">
        <w:t>anslået til samlet</w:t>
      </w:r>
      <w:r w:rsidR="00EF6E14" w:rsidRPr="008B1B83">
        <w:t xml:space="preserve"> </w:t>
      </w:r>
      <w:r w:rsidRPr="008B1B83">
        <w:t>1</w:t>
      </w:r>
      <w:r w:rsidR="008B1B83" w:rsidRPr="0062571E">
        <w:t>15</w:t>
      </w:r>
      <w:r w:rsidRPr="008B1B83">
        <w:t xml:space="preserve"> - </w:t>
      </w:r>
      <w:r w:rsidR="008B1B83" w:rsidRPr="008B1B83">
        <w:t>4</w:t>
      </w:r>
      <w:r w:rsidR="008B1B83" w:rsidRPr="0062571E">
        <w:t>47</w:t>
      </w:r>
      <w:r w:rsidR="008B1B83" w:rsidRPr="008B1B83">
        <w:t xml:space="preserve"> </w:t>
      </w:r>
      <w:r w:rsidRPr="008B1B83">
        <w:t>mio.</w:t>
      </w:r>
      <w:r>
        <w:t xml:space="preserve"> kr</w:t>
      </w:r>
      <w:r w:rsidR="001E500E">
        <w:t>.</w:t>
      </w:r>
      <w:r>
        <w:t xml:space="preserve">, hvoraf langt hovedparten vedrører bortskaffelse af </w:t>
      </w:r>
      <w:proofErr w:type="spellStart"/>
      <w:r>
        <w:t>PCB-holdigt</w:t>
      </w:r>
      <w:proofErr w:type="spellEnd"/>
      <w:r>
        <w:t xml:space="preserve"> byggeaffald. </w:t>
      </w:r>
      <w:r w:rsidR="00E90B68" w:rsidRPr="00E90B68">
        <w:t xml:space="preserve">Omkostningerne </w:t>
      </w:r>
      <w:r w:rsidR="00E90B68">
        <w:t xml:space="preserve">til håndtering af </w:t>
      </w:r>
      <w:proofErr w:type="spellStart"/>
      <w:r w:rsidR="00E90B68">
        <w:t>PCB-holdigt</w:t>
      </w:r>
      <w:proofErr w:type="spellEnd"/>
      <w:r w:rsidR="00E90B68">
        <w:t xml:space="preserve"> byggeaffald </w:t>
      </w:r>
      <w:r w:rsidR="00E90B68" w:rsidRPr="00E90B68">
        <w:t xml:space="preserve">er i høj grad baseret på erfaringerne med omkostningerne ved nedrivning af Blok P i Nuuk. </w:t>
      </w:r>
      <w:r w:rsidR="00E66204">
        <w:t xml:space="preserve">Med </w:t>
      </w:r>
      <w:r w:rsidR="00EF6E14">
        <w:t>vejledningen</w:t>
      </w:r>
      <w:r w:rsidR="00F63968">
        <w:t xml:space="preserve"> fra 2014</w:t>
      </w:r>
      <w:r>
        <w:t xml:space="preserve"> vurderes </w:t>
      </w:r>
      <w:r w:rsidR="00E66204">
        <w:t>det,</w:t>
      </w:r>
      <w:r w:rsidR="00E90B68">
        <w:t xml:space="preserve"> </w:t>
      </w:r>
      <w:r w:rsidR="00E66204">
        <w:t>at Grønland lever op til konventionens forpligtelser</w:t>
      </w:r>
      <w:r w:rsidR="00C65853">
        <w:t xml:space="preserve"> vedrørende PCB. </w:t>
      </w:r>
      <w:r w:rsidR="00E85693" w:rsidRPr="00E85693">
        <w:t xml:space="preserve">Vejledningen om håndtering af PCB </w:t>
      </w:r>
      <w:proofErr w:type="spellStart"/>
      <w:r w:rsidR="00E85693" w:rsidRPr="00E85693">
        <w:t>holdigt</w:t>
      </w:r>
      <w:proofErr w:type="spellEnd"/>
      <w:r w:rsidR="00E85693" w:rsidRPr="00E85693">
        <w:t xml:space="preserve"> affald i byggeriet anvendes i dag ved planlægning og sagsbehandling af saneringsopgaver og beskriver krav til kortlægning</w:t>
      </w:r>
      <w:r w:rsidR="00AC6FA1">
        <w:t xml:space="preserve"> af PCB i materialer</w:t>
      </w:r>
      <w:r w:rsidR="00E85693" w:rsidRPr="00E85693">
        <w:t>, affaldskortlægning</w:t>
      </w:r>
      <w:r w:rsidR="00AC6FA1">
        <w:t xml:space="preserve"> og</w:t>
      </w:r>
      <w:r w:rsidR="00E85693" w:rsidRPr="00E85693">
        <w:t xml:space="preserve"> affaldshåndtering af </w:t>
      </w:r>
      <w:proofErr w:type="spellStart"/>
      <w:r w:rsidR="00E85693" w:rsidRPr="00E85693">
        <w:t>PCB-holdigt</w:t>
      </w:r>
      <w:proofErr w:type="spellEnd"/>
      <w:r w:rsidR="00E85693" w:rsidRPr="00E85693">
        <w:t xml:space="preserve"> affald.</w:t>
      </w:r>
      <w:r w:rsidR="00757E15">
        <w:t xml:space="preserve"> </w:t>
      </w:r>
      <w:r w:rsidR="00C65853">
        <w:t xml:space="preserve">Der vurderes </w:t>
      </w:r>
      <w:r w:rsidR="00B02C92">
        <w:t xml:space="preserve">at </w:t>
      </w:r>
      <w:r w:rsidR="00C65853">
        <w:t xml:space="preserve">være behov for at tilføje information om forekomsten af </w:t>
      </w:r>
      <w:r w:rsidR="00B02C92">
        <w:t xml:space="preserve">kortkædede </w:t>
      </w:r>
      <w:proofErr w:type="spellStart"/>
      <w:r w:rsidR="00B02C92">
        <w:t>chlorparaffiner</w:t>
      </w:r>
      <w:proofErr w:type="spellEnd"/>
      <w:r w:rsidR="00B02C92">
        <w:t xml:space="preserve"> i byggematerialer og håndteringen af disse. Da kortkædede </w:t>
      </w:r>
      <w:proofErr w:type="spellStart"/>
      <w:r w:rsidR="00B02C92">
        <w:t>chlorparaffiner</w:t>
      </w:r>
      <w:proofErr w:type="spellEnd"/>
      <w:r w:rsidR="00B02C92">
        <w:t xml:space="preserve"> er kræftfremkaldende og omfattet af Arbejdstilsynets bekendtgørelse om arbejde med kræftfremkaldende stoffer er der allerede i dag krav om</w:t>
      </w:r>
      <w:r w:rsidR="00AB6E10">
        <w:t>,</w:t>
      </w:r>
      <w:r w:rsidR="00B02C92">
        <w:t xml:space="preserve"> at der skal tages særlige arbejdsmiljømæssige forholdsreg</w:t>
      </w:r>
      <w:r w:rsidR="00FD250B">
        <w:t>l</w:t>
      </w:r>
      <w:r w:rsidR="00B02C92">
        <w:t xml:space="preserve">er ved renovering og nedrivning af </w:t>
      </w:r>
      <w:r w:rsidR="00B02C92">
        <w:lastRenderedPageBreak/>
        <w:t xml:space="preserve">bygninger med materialer, der indeholder kortkædede </w:t>
      </w:r>
      <w:proofErr w:type="spellStart"/>
      <w:r w:rsidR="00B02C92">
        <w:t>chlorparaffiner</w:t>
      </w:r>
      <w:proofErr w:type="spellEnd"/>
      <w:r w:rsidR="00B02C92">
        <w:t xml:space="preserve">. </w:t>
      </w:r>
      <w:r w:rsidR="00AB6E10">
        <w:t>Der vurderes på det foreliggende grundlag at kunne være ekstraomkostninger til bortskaffelse af</w:t>
      </w:r>
      <w:r w:rsidR="00FD250B">
        <w:t xml:space="preserve"> sådant affald på </w:t>
      </w:r>
      <w:r w:rsidR="00BE4977">
        <w:t xml:space="preserve">samlet </w:t>
      </w:r>
      <w:r w:rsidR="00FD250B">
        <w:t>i størrelsen</w:t>
      </w:r>
      <w:r w:rsidR="00E66204">
        <w:t xml:space="preserve"> </w:t>
      </w:r>
      <w:r w:rsidR="00AB6E10">
        <w:rPr>
          <w:bCs/>
          <w:iCs/>
        </w:rPr>
        <w:t xml:space="preserve">0,5 -2 </w:t>
      </w:r>
      <w:r w:rsidR="00AB6E10" w:rsidRPr="00DE65E6">
        <w:t>mio. kr</w:t>
      </w:r>
      <w:r w:rsidR="00F23A61">
        <w:t>.</w:t>
      </w:r>
      <w:r w:rsidR="00BE4977">
        <w:t>, som vil påhvile bygningsejerne</w:t>
      </w:r>
      <w:r w:rsidR="00FD250B">
        <w:t>.</w:t>
      </w:r>
    </w:p>
    <w:p w14:paraId="116E3463" w14:textId="77134DD5" w:rsidR="00EA3829" w:rsidRDefault="00E66204" w:rsidP="00E66204">
      <w:pPr>
        <w:pStyle w:val="Brdtekst"/>
      </w:pPr>
      <w:r>
        <w:t>Ud over de planlagte aktiviteter vil der kunne være mindre omkostninger til udarbejdelse af be</w:t>
      </w:r>
      <w:r w:rsidRPr="00E66204">
        <w:t>kendtgørelse og oplysni</w:t>
      </w:r>
      <w:r>
        <w:t>ngsmateriale</w:t>
      </w:r>
      <w:r w:rsidR="00E90B68">
        <w:t>,</w:t>
      </w:r>
      <w:r>
        <w:t xml:space="preserve"> som er indregnet under disse aktiviteter.</w:t>
      </w:r>
    </w:p>
    <w:p w14:paraId="121FA0D4" w14:textId="3D89A253" w:rsidR="00C55948" w:rsidRDefault="00C55948" w:rsidP="00C55948">
      <w:pPr>
        <w:pStyle w:val="Overskrift4"/>
      </w:pPr>
      <w:r>
        <w:t>PFOS-</w:t>
      </w:r>
      <w:proofErr w:type="spellStart"/>
      <w:r>
        <w:t>holdig</w:t>
      </w:r>
      <w:r w:rsidR="00FD250B">
        <w:t>t</w:t>
      </w:r>
      <w:proofErr w:type="spellEnd"/>
      <w:r>
        <w:t xml:space="preserve"> brandslukningsskum</w:t>
      </w:r>
    </w:p>
    <w:p w14:paraId="2E84A2DF" w14:textId="46851C7F" w:rsidR="00C55948" w:rsidRPr="00C55948" w:rsidRDefault="00C55948" w:rsidP="00C55948">
      <w:pPr>
        <w:pStyle w:val="Brdtekst"/>
      </w:pPr>
      <w:r>
        <w:t>Stockholm-konventionen indeholder krav om</w:t>
      </w:r>
      <w:r w:rsidR="001848A1">
        <w:t>,</w:t>
      </w:r>
      <w:r>
        <w:t xml:space="preserve"> at der udarbejdes en handlingsplan </w:t>
      </w:r>
      <w:r w:rsidRPr="00DE65E6">
        <w:t>for PFOS og relaterede stoffer. PFOS og relaterede stoffer er en stofgruppe</w:t>
      </w:r>
      <w:r w:rsidR="001848A1">
        <w:t>,</w:t>
      </w:r>
      <w:r w:rsidRPr="00DE65E6">
        <w:t xml:space="preserve"> s</w:t>
      </w:r>
      <w:r w:rsidR="00DE65E6">
        <w:t xml:space="preserve">om omfatter </w:t>
      </w:r>
      <w:proofErr w:type="spellStart"/>
      <w:r w:rsidR="00DE65E6">
        <w:t>perfluoroctansulfon</w:t>
      </w:r>
      <w:r w:rsidRPr="00DE65E6">
        <w:t>syre</w:t>
      </w:r>
      <w:proofErr w:type="spellEnd"/>
      <w:r w:rsidRPr="00DE65E6">
        <w:t xml:space="preserve"> (PFOS) og dets salte og </w:t>
      </w:r>
      <w:proofErr w:type="spellStart"/>
      <w:r w:rsidRPr="00DE65E6">
        <w:t>perfluoroctansulfonyl</w:t>
      </w:r>
      <w:proofErr w:type="spellEnd"/>
      <w:r w:rsidRPr="00DE65E6">
        <w:t xml:space="preserve"> fluorid (PFOSF). Stofferne har blandt andet fundet anvendelse som flydende brandslukningsskum, som især har været anvendt til slukning af oliebrande. Problemstillinger i relation til PFOS vurderes primært at kunne knytte sig til forurening af brandøvelsespladser i tilknytning til lufthavne.</w:t>
      </w:r>
      <w:r w:rsidR="00DE65E6">
        <w:t xml:space="preserve"> Der er fundet forurening med PFOS ved brandøvelsespladser i Danmark og mange andre lande.</w:t>
      </w:r>
      <w:r w:rsidRPr="00DE65E6">
        <w:t xml:space="preserve"> En henvendelse til de 13 grønlandske lufthavne har ikke </w:t>
      </w:r>
      <w:r w:rsidR="00B43143">
        <w:t>resulteret i</w:t>
      </w:r>
      <w:r w:rsidR="00B43143" w:rsidRPr="00DE65E6">
        <w:t xml:space="preserve"> </w:t>
      </w:r>
      <w:r w:rsidRPr="00DE65E6">
        <w:t xml:space="preserve">eksempler på, at der tidligere </w:t>
      </w:r>
      <w:r w:rsidR="00B43143">
        <w:t>skulle være</w:t>
      </w:r>
      <w:r w:rsidR="00B43143" w:rsidRPr="00DE65E6">
        <w:t xml:space="preserve"> </w:t>
      </w:r>
      <w:r w:rsidRPr="00DE65E6">
        <w:t>anvendt væsker med PFOS-relaterede stoffer</w:t>
      </w:r>
      <w:r w:rsidR="00B43143">
        <w:t>. D</w:t>
      </w:r>
      <w:r w:rsidRPr="00DE65E6">
        <w:t xml:space="preserve">er er </w:t>
      </w:r>
      <w:r w:rsidR="00B43143">
        <w:t xml:space="preserve">dog </w:t>
      </w:r>
      <w:r w:rsidRPr="00DE65E6">
        <w:t>begrænset viden om, hvad der kan være anvendt</w:t>
      </w:r>
      <w:r w:rsidR="00B02C92">
        <w:t>,</w:t>
      </w:r>
      <w:r w:rsidR="001848A1">
        <w:t xml:space="preserve"> hvis man går mere end 7-10 år tilbage</w:t>
      </w:r>
      <w:r w:rsidR="00B43143">
        <w:t xml:space="preserve"> i tiden</w:t>
      </w:r>
      <w:r w:rsidRPr="00DE65E6">
        <w:t>. Det vil derfor kunne være relevant i første omgang at undersøge, om stofferne kan findes i jorden omkring enkelte brandøvelsespladser i Grønland</w:t>
      </w:r>
      <w:r w:rsidR="00966EA1">
        <w:t>. H</w:t>
      </w:r>
      <w:r w:rsidRPr="00DE65E6">
        <w:t xml:space="preserve">vis de findes, </w:t>
      </w:r>
      <w:r w:rsidR="00966EA1">
        <w:t xml:space="preserve">skal det </w:t>
      </w:r>
      <w:r w:rsidRPr="00DE65E6">
        <w:t>vurdere</w:t>
      </w:r>
      <w:r w:rsidR="00B43143">
        <w:t>s</w:t>
      </w:r>
      <w:r w:rsidRPr="00DE65E6">
        <w:t xml:space="preserve">, </w:t>
      </w:r>
      <w:r w:rsidR="00DE65E6" w:rsidRPr="00DE65E6">
        <w:t>om</w:t>
      </w:r>
      <w:r w:rsidRPr="00DE65E6">
        <w:t xml:space="preserve"> </w:t>
      </w:r>
      <w:r w:rsidR="00966EA1">
        <w:t>forekomsten</w:t>
      </w:r>
      <w:r w:rsidR="00966EA1" w:rsidRPr="00DE65E6">
        <w:t xml:space="preserve"> </w:t>
      </w:r>
      <w:r w:rsidRPr="00DE65E6">
        <w:t>vil kunne have miljømæssige konsekvenser</w:t>
      </w:r>
      <w:r w:rsidR="00BE4977">
        <w:t>,</w:t>
      </w:r>
      <w:r w:rsidR="00DE65E6" w:rsidRPr="00DE65E6">
        <w:t xml:space="preserve"> og hvad der kan gøres for at afværge yderligere forurening</w:t>
      </w:r>
      <w:r w:rsidRPr="00DE65E6">
        <w:t>. Omkostninger vurderes i første omgang at kunne udgøre i størrelsen 0,3-0,6 mio. kr</w:t>
      </w:r>
      <w:r w:rsidR="00FD250B">
        <w:t>.</w:t>
      </w:r>
      <w:r w:rsidRPr="00DE65E6">
        <w:t xml:space="preserve"> til en forundersøgelse</w:t>
      </w:r>
      <w:r w:rsidR="001848A1">
        <w:t xml:space="preserve"> ved Kangerlussuaq</w:t>
      </w:r>
      <w:r w:rsidRPr="00DE65E6">
        <w:t>.</w:t>
      </w:r>
      <w:r w:rsidR="00BE4977">
        <w:t xml:space="preserve"> Udgifterne vil påhvile Grønlands Lufthavne og dermed </w:t>
      </w:r>
      <w:r w:rsidR="007A7373">
        <w:t xml:space="preserve">Grønlands </w:t>
      </w:r>
      <w:r w:rsidR="00BE4977">
        <w:t xml:space="preserve">Selvstyre. </w:t>
      </w:r>
    </w:p>
    <w:p w14:paraId="304A43D5" w14:textId="40978C5E" w:rsidR="0042440E" w:rsidRDefault="0042440E" w:rsidP="00E66204">
      <w:pPr>
        <w:pStyle w:val="Overskrift4"/>
      </w:pPr>
      <w:r>
        <w:t>Juridisk/administrative konsekvenser</w:t>
      </w:r>
      <w:r w:rsidR="00F1207A">
        <w:t xml:space="preserve"> og omkostninger</w:t>
      </w:r>
    </w:p>
    <w:p w14:paraId="26186E2A" w14:textId="1B8C2DAD" w:rsidR="000575A1" w:rsidRDefault="000575A1" w:rsidP="000575A1">
      <w:pPr>
        <w:pStyle w:val="Brdtekst"/>
      </w:pPr>
      <w:r w:rsidRPr="000575A1">
        <w:t>Der vurderes</w:t>
      </w:r>
      <w:r w:rsidR="00BE4977">
        <w:t>,</w:t>
      </w:r>
      <w:r w:rsidRPr="000575A1">
        <w:t xml:space="preserve"> at være behov for en bekendtgørelse</w:t>
      </w:r>
      <w:r w:rsidR="001E500E">
        <w:t>,</w:t>
      </w:r>
      <w:r w:rsidRPr="000575A1">
        <w:t xml:space="preserve"> der gennemfører konventionens begrænsning af indførsel, udførsel, fremstilling, anvendelse mm. af de </w:t>
      </w:r>
      <w:r w:rsidR="007A7373" w:rsidRPr="000575A1">
        <w:t>POP-stoffer</w:t>
      </w:r>
      <w:r w:rsidR="007A7373">
        <w:t xml:space="preserve">, som er opført </w:t>
      </w:r>
      <w:r w:rsidRPr="000575A1">
        <w:t xml:space="preserve">i </w:t>
      </w:r>
      <w:proofErr w:type="spellStart"/>
      <w:r w:rsidRPr="000575A1">
        <w:t>Annex</w:t>
      </w:r>
      <w:proofErr w:type="spellEnd"/>
      <w:r w:rsidRPr="000575A1">
        <w:t xml:space="preserve"> 1 og 2 </w:t>
      </w:r>
      <w:r w:rsidR="00BE4977">
        <w:t>til konventionen</w:t>
      </w:r>
      <w:r w:rsidRPr="000575A1">
        <w:t>.</w:t>
      </w:r>
      <w:r>
        <w:t xml:space="preserve"> Bekendtgørelsen vil også kunne indeholde krav til håndtering af affald med PCB og andre POP-stoffer.</w:t>
      </w:r>
      <w:r w:rsidRPr="000575A1">
        <w:t xml:space="preserve"> En lignende bekendtgørelse er tidligere udarb</w:t>
      </w:r>
      <w:r>
        <w:t>ejdet ved gennemførelse af Mont</w:t>
      </w:r>
      <w:r w:rsidR="00F1207A">
        <w:t>real</w:t>
      </w:r>
      <w:r w:rsidR="00B43143">
        <w:t>-</w:t>
      </w:r>
      <w:r w:rsidR="00F1207A">
        <w:t>protokollens</w:t>
      </w:r>
      <w:r w:rsidRPr="000575A1">
        <w:t xml:space="preserve"> krav vedrørende ozonlagsnedbrydende stoffer</w:t>
      </w:r>
      <w:r>
        <w:t>.</w:t>
      </w:r>
      <w:r w:rsidR="00F1207A">
        <w:t xml:space="preserve"> </w:t>
      </w:r>
      <w:r w:rsidR="00020F71">
        <w:t>Hvis der i bekendtgørelsen laves en henvisning til konventionens bilag</w:t>
      </w:r>
      <w:r w:rsidR="002C2919">
        <w:t>,</w:t>
      </w:r>
      <w:r w:rsidR="00020F71">
        <w:t xml:space="preserve"> vil det kunne undgås løbende at skulle udarbejde tilføjelser, når nye stoffer optages under konventionen. </w:t>
      </w:r>
      <w:r w:rsidR="00223210">
        <w:t xml:space="preserve">Hvis det besluttes at ophæve </w:t>
      </w:r>
      <w:r w:rsidR="00966EA1">
        <w:t xml:space="preserve">det territoriale </w:t>
      </w:r>
      <w:r w:rsidR="00223210">
        <w:t>forbehold for</w:t>
      </w:r>
      <w:r w:rsidR="000C4E53">
        <w:t xml:space="preserve"> </w:t>
      </w:r>
      <w:proofErr w:type="spellStart"/>
      <w:r w:rsidR="000C4E53">
        <w:t>Minamatakonventionen</w:t>
      </w:r>
      <w:proofErr w:type="spellEnd"/>
      <w:r w:rsidR="000C4E53">
        <w:t xml:space="preserve"> om kviksølv</w:t>
      </w:r>
      <w:r w:rsidR="00966EA1">
        <w:t>,</w:t>
      </w:r>
      <w:r w:rsidR="000C4E53">
        <w:t xml:space="preserve"> kan </w:t>
      </w:r>
      <w:r w:rsidR="00223210">
        <w:t xml:space="preserve">det </w:t>
      </w:r>
      <w:r w:rsidR="000C4E53">
        <w:t xml:space="preserve">muligvis være hensigtsmæssigt at udarbejde en samlet bekendtgørelse for de to konventioners krav. </w:t>
      </w:r>
      <w:r w:rsidR="00F1207A">
        <w:t>De samlede omkostninger</w:t>
      </w:r>
      <w:r w:rsidR="00020F71">
        <w:t xml:space="preserve"> til udarbejdelse af bekendtgørelse</w:t>
      </w:r>
      <w:r w:rsidR="00F1207A">
        <w:t xml:space="preserve"> vurderes at være </w:t>
      </w:r>
      <w:r w:rsidR="00D357AC" w:rsidRPr="007879D8">
        <w:rPr>
          <w:bCs/>
          <w:iCs/>
          <w:color w:val="000000" w:themeColor="text1"/>
        </w:rPr>
        <w:t>0,</w:t>
      </w:r>
      <w:r w:rsidR="00827779">
        <w:rPr>
          <w:bCs/>
          <w:iCs/>
          <w:color w:val="000000" w:themeColor="text1"/>
        </w:rPr>
        <w:t>1</w:t>
      </w:r>
      <w:r w:rsidR="00D357AC" w:rsidRPr="007879D8">
        <w:rPr>
          <w:bCs/>
          <w:iCs/>
          <w:color w:val="000000" w:themeColor="text1"/>
        </w:rPr>
        <w:t>-0,</w:t>
      </w:r>
      <w:r w:rsidR="00827779">
        <w:rPr>
          <w:bCs/>
          <w:iCs/>
          <w:color w:val="000000" w:themeColor="text1"/>
        </w:rPr>
        <w:t>2</w:t>
      </w:r>
      <w:r w:rsidR="00827779" w:rsidDel="00D357AC">
        <w:t xml:space="preserve"> </w:t>
      </w:r>
      <w:r w:rsidR="00D357AC" w:rsidRPr="000050A7">
        <w:t>mio</w:t>
      </w:r>
      <w:r w:rsidR="00D357AC">
        <w:t>.</w:t>
      </w:r>
      <w:r w:rsidR="00D357AC" w:rsidRPr="000050A7">
        <w:t xml:space="preserve"> kr</w:t>
      </w:r>
      <w:r w:rsidR="00F1207A" w:rsidRPr="000050A7">
        <w:t>.</w:t>
      </w:r>
      <w:r w:rsidR="00BE4977" w:rsidRPr="000050A7">
        <w:t xml:space="preserve"> Ud</w:t>
      </w:r>
      <w:r w:rsidR="00BE4977">
        <w:t xml:space="preserve">gifterne vil påhvile </w:t>
      </w:r>
      <w:r w:rsidR="00827779">
        <w:t xml:space="preserve">Grønlands </w:t>
      </w:r>
      <w:r w:rsidR="00BE4977">
        <w:t>Selvstyre.</w:t>
      </w:r>
      <w:r w:rsidR="00020F71">
        <w:t xml:space="preserve"> </w:t>
      </w:r>
    </w:p>
    <w:p w14:paraId="0D1DA37D" w14:textId="688DCFC4" w:rsidR="000575A1" w:rsidRDefault="000575A1" w:rsidP="000575A1">
      <w:pPr>
        <w:pStyle w:val="Brdtekst"/>
      </w:pPr>
      <w:r>
        <w:t xml:space="preserve">Danmark udarbejder hver </w:t>
      </w:r>
      <w:r w:rsidR="00DD5B6A">
        <w:t xml:space="preserve">sjette </w:t>
      </w:r>
      <w:r>
        <w:t xml:space="preserve">år en opdateret implementeringsplan og rapporterer hver </w:t>
      </w:r>
      <w:r w:rsidR="001E500E">
        <w:t>fjerde</w:t>
      </w:r>
      <w:r>
        <w:t xml:space="preserve"> år om status for implementering af konventionen. </w:t>
      </w:r>
      <w:r w:rsidR="00966EA1">
        <w:t xml:space="preserve">Den seneste </w:t>
      </w:r>
      <w:r w:rsidR="00BA46F8">
        <w:t>implementeringsplan</w:t>
      </w:r>
      <w:r w:rsidR="00F41B31">
        <w:t xml:space="preserve"> </w:t>
      </w:r>
      <w:r w:rsidR="00B43143">
        <w:t>fra</w:t>
      </w:r>
      <w:r w:rsidR="00F41B31">
        <w:t xml:space="preserve"> 2018 </w:t>
      </w:r>
      <w:r w:rsidR="00966EA1">
        <w:t>omfatter ikke Færøerne, selvom det territoriale forbehold for</w:t>
      </w:r>
      <w:r w:rsidR="00966EA1" w:rsidRPr="00966EA1">
        <w:t xml:space="preserve"> </w:t>
      </w:r>
      <w:r w:rsidR="00966EA1">
        <w:t xml:space="preserve">Færøerne er </w:t>
      </w:r>
      <w:r w:rsidR="00B43143">
        <w:t>op</w:t>
      </w:r>
      <w:r w:rsidR="00966EA1">
        <w:t xml:space="preserve">hævet for flere år siden. </w:t>
      </w:r>
      <w:r w:rsidR="00032091">
        <w:t>De</w:t>
      </w:r>
      <w:r w:rsidR="00966EA1">
        <w:t>t er uklart</w:t>
      </w:r>
      <w:r w:rsidR="00ED08BE">
        <w:t>,</w:t>
      </w:r>
      <w:r w:rsidR="00966EA1">
        <w:t xml:space="preserve"> om de</w:t>
      </w:r>
      <w:r w:rsidR="00ED08BE">
        <w:t xml:space="preserve">t </w:t>
      </w:r>
      <w:r w:rsidR="00ED08BE">
        <w:lastRenderedPageBreak/>
        <w:t>fra dansk side</w:t>
      </w:r>
      <w:r w:rsidR="00966EA1">
        <w:t xml:space="preserve"> vil forventes</w:t>
      </w:r>
      <w:r w:rsidR="00B43143">
        <w:t>,</w:t>
      </w:r>
      <w:r w:rsidR="00966EA1">
        <w:t xml:space="preserve"> at Grønland </w:t>
      </w:r>
      <w:r w:rsidR="00ED08BE">
        <w:t>bidrager til kommende planer,</w:t>
      </w:r>
      <w:r w:rsidR="00966EA1">
        <w:t xml:space="preserve"> hvis forbeholdet </w:t>
      </w:r>
      <w:r w:rsidR="00B43143">
        <w:t>op</w:t>
      </w:r>
      <w:r w:rsidR="00ED08BE">
        <w:t xml:space="preserve">hæves. På basis af erfaringerne fra den foregående plan må det forventes, at der ikke vil stilles et sådant krav, men situationen kan have ændret sig inden </w:t>
      </w:r>
      <w:r w:rsidR="00BA46F8" w:rsidRPr="00BA46F8">
        <w:t>næste implementeringsplan</w:t>
      </w:r>
      <w:r w:rsidR="00032091">
        <w:t xml:space="preserve"> </w:t>
      </w:r>
      <w:r w:rsidR="00ED08BE">
        <w:t xml:space="preserve">skal udarbejdes </w:t>
      </w:r>
      <w:r w:rsidR="00032091">
        <w:t>i 2024</w:t>
      </w:r>
      <w:r w:rsidR="00ED08BE">
        <w:t>. H</w:t>
      </w:r>
      <w:r w:rsidR="00032091">
        <w:t xml:space="preserve">vis der </w:t>
      </w:r>
      <w:r w:rsidR="00F63968">
        <w:t xml:space="preserve">i fremtiden </w:t>
      </w:r>
      <w:r w:rsidR="00032091">
        <w:t xml:space="preserve">bliver stillet krav om </w:t>
      </w:r>
      <w:r w:rsidR="00ED08BE">
        <w:t>et bidrag til implementeringsplanen</w:t>
      </w:r>
      <w:r w:rsidR="00032091">
        <w:t>,</w:t>
      </w:r>
      <w:r w:rsidR="00BA46F8" w:rsidRPr="00BA46F8">
        <w:t xml:space="preserve"> </w:t>
      </w:r>
      <w:r w:rsidR="00ED08BE" w:rsidRPr="00BA46F8">
        <w:t xml:space="preserve">vurderes </w:t>
      </w:r>
      <w:r w:rsidR="00F1207A">
        <w:t>bidrag til</w:t>
      </w:r>
      <w:r w:rsidR="00ED08BE">
        <w:t xml:space="preserve"> implementeringsplan </w:t>
      </w:r>
      <w:r w:rsidR="00BA46F8" w:rsidRPr="00BA46F8">
        <w:t xml:space="preserve">at være </w:t>
      </w:r>
      <w:r w:rsidR="00D357AC" w:rsidRPr="007879D8">
        <w:rPr>
          <w:bCs/>
          <w:iCs/>
          <w:color w:val="000000" w:themeColor="text1"/>
        </w:rPr>
        <w:t>0,025-0,05</w:t>
      </w:r>
      <w:r w:rsidR="00D357AC">
        <w:rPr>
          <w:bCs/>
          <w:iCs/>
          <w:color w:val="000000" w:themeColor="text1"/>
        </w:rPr>
        <w:t xml:space="preserve"> mio. kr.</w:t>
      </w:r>
      <w:r w:rsidR="00BA46F8" w:rsidRPr="00BA46F8">
        <w:t xml:space="preserve"> </w:t>
      </w:r>
      <w:r w:rsidR="00ED08BE">
        <w:t>til den første plan</w:t>
      </w:r>
      <w:r w:rsidR="00BA46F8" w:rsidRPr="00BA46F8">
        <w:t xml:space="preserve">, og </w:t>
      </w:r>
      <w:r w:rsidR="00ED08BE">
        <w:t xml:space="preserve">mindre end </w:t>
      </w:r>
      <w:r w:rsidR="00D357AC">
        <w:t xml:space="preserve">0,013 mio. kr. </w:t>
      </w:r>
      <w:r w:rsidR="00BA46F8" w:rsidRPr="00BA46F8">
        <w:t xml:space="preserve">hver </w:t>
      </w:r>
      <w:r w:rsidR="00ED08BE">
        <w:t>sjette</w:t>
      </w:r>
      <w:r w:rsidR="00ED08BE" w:rsidRPr="00BA46F8">
        <w:t xml:space="preserve"> </w:t>
      </w:r>
      <w:r w:rsidR="00BA46F8" w:rsidRPr="00BA46F8">
        <w:t>år til efterfølgende implementeringsplaner</w:t>
      </w:r>
      <w:r w:rsidR="00BA46F8">
        <w:t>. Omkostninger til bidrag til statusrapporterne</w:t>
      </w:r>
      <w:r w:rsidR="00BA46F8" w:rsidRPr="00BA46F8">
        <w:t xml:space="preserve"> </w:t>
      </w:r>
      <w:r w:rsidR="00D357AC" w:rsidRPr="00BA46F8">
        <w:t>hver</w:t>
      </w:r>
      <w:r w:rsidR="00D357AC">
        <w:t>t</w:t>
      </w:r>
      <w:r w:rsidR="00D357AC" w:rsidRPr="00BA46F8">
        <w:t xml:space="preserve"> fjerde år </w:t>
      </w:r>
      <w:r w:rsidR="00BA46F8" w:rsidRPr="00BA46F8">
        <w:t xml:space="preserve">vurderes at være </w:t>
      </w:r>
      <w:r w:rsidR="00D357AC">
        <w:t>ubetydelige</w:t>
      </w:r>
      <w:r w:rsidR="00BA46F8" w:rsidRPr="00BA46F8">
        <w:t xml:space="preserve">. </w:t>
      </w:r>
      <w:r w:rsidR="00BE4977">
        <w:t xml:space="preserve">Udgifterne vil påhvile </w:t>
      </w:r>
      <w:r w:rsidR="001960AC">
        <w:t xml:space="preserve">Grønlands </w:t>
      </w:r>
      <w:r w:rsidR="00BE4977">
        <w:t>Selvstyre.</w:t>
      </w:r>
    </w:p>
    <w:p w14:paraId="4126DC42" w14:textId="58854A5B" w:rsidR="00F1207A" w:rsidRDefault="00032091" w:rsidP="000575A1">
      <w:pPr>
        <w:pStyle w:val="Brdtekst"/>
      </w:pPr>
      <w:r w:rsidRPr="00032091">
        <w:t>I følge artikel 17 i konventionen skal partskonferencen hurtigst muligt udarbejde og vedtage procedurer og institutionelle mekanismer til konstatering af mangelfuld overholdelse af bestemmelserne i konventionen</w:t>
      </w:r>
      <w:r w:rsidR="00F512F1">
        <w:t>.</w:t>
      </w:r>
      <w:r w:rsidRPr="00032091">
        <w:t xml:space="preserve"> Der er endnu ikke etableret en såkaldt </w:t>
      </w:r>
      <w:proofErr w:type="spellStart"/>
      <w:r w:rsidRPr="00032091">
        <w:t>Compliance</w:t>
      </w:r>
      <w:proofErr w:type="spellEnd"/>
      <w:r w:rsidRPr="00032091">
        <w:t xml:space="preserve"> </w:t>
      </w:r>
      <w:proofErr w:type="spellStart"/>
      <w:r w:rsidRPr="00032091">
        <w:t>Committee</w:t>
      </w:r>
      <w:proofErr w:type="spellEnd"/>
      <w:r w:rsidRPr="00032091">
        <w:t>, som eksempelvis kendes fra Basel-konventionen.</w:t>
      </w:r>
      <w:r w:rsidR="00F1207A">
        <w:t xml:space="preserve"> </w:t>
      </w:r>
      <w:r w:rsidR="00F1207A" w:rsidRPr="00F1207A">
        <w:t xml:space="preserve">I følge </w:t>
      </w:r>
      <w:r w:rsidR="00BE4977" w:rsidRPr="00F1207A">
        <w:t>Miljø</w:t>
      </w:r>
      <w:r w:rsidR="00BE4977">
        <w:t>- og Fø</w:t>
      </w:r>
      <w:r w:rsidR="0005783A">
        <w:t>de</w:t>
      </w:r>
      <w:r w:rsidR="00BE4977">
        <w:t>vareministeriet i Danmark</w:t>
      </w:r>
      <w:r w:rsidR="00BE4977" w:rsidRPr="00F1207A">
        <w:t xml:space="preserve"> </w:t>
      </w:r>
      <w:r w:rsidR="00F1207A" w:rsidRPr="00F1207A">
        <w:t>vil Danmark ikke føre tilsyn med Grønlands overholdelse af konventionen</w:t>
      </w:r>
      <w:r w:rsidR="00F1207A">
        <w:t>.</w:t>
      </w:r>
    </w:p>
    <w:p w14:paraId="60B2731C" w14:textId="30C5A250" w:rsidR="00F1207A" w:rsidRDefault="00F1207A" w:rsidP="00F1207A">
      <w:pPr>
        <w:pStyle w:val="Overskrift4"/>
      </w:pPr>
      <w:r>
        <w:t>Monitering og folkeoplysning</w:t>
      </w:r>
    </w:p>
    <w:p w14:paraId="30EEDE73" w14:textId="23688106" w:rsidR="000575A1" w:rsidRDefault="00FC2C05" w:rsidP="004D57DA">
      <w:pPr>
        <w:pStyle w:val="Brdtekst"/>
      </w:pPr>
      <w:r>
        <w:t>Det</w:t>
      </w:r>
      <w:r w:rsidR="00F1207A">
        <w:t xml:space="preserve"> vurderes ikke</w:t>
      </w:r>
      <w:r w:rsidR="0051367F">
        <w:t>,</w:t>
      </w:r>
      <w:r w:rsidR="00F1207A">
        <w:t xml:space="preserve"> at </w:t>
      </w:r>
      <w:r w:rsidR="0051367F">
        <w:t xml:space="preserve">en </w:t>
      </w:r>
      <w:r w:rsidR="003C2CD2">
        <w:t>tiltrædelse af konventionen</w:t>
      </w:r>
      <w:r w:rsidR="0051367F">
        <w:t xml:space="preserve"> </w:t>
      </w:r>
      <w:r w:rsidR="00323FAF">
        <w:t>vil</w:t>
      </w:r>
      <w:r w:rsidR="00F1207A">
        <w:t xml:space="preserve"> </w:t>
      </w:r>
      <w:r w:rsidR="0051367F">
        <w:t>indebære et behov</w:t>
      </w:r>
      <w:r w:rsidR="00F1207A">
        <w:t xml:space="preserve"> for monitering </w:t>
      </w:r>
      <w:r w:rsidR="00CA219F">
        <w:t xml:space="preserve">af POP-stoffer i miljøet og i befolkningen </w:t>
      </w:r>
      <w:r w:rsidR="00F1207A">
        <w:t>ud over det</w:t>
      </w:r>
      <w:r w:rsidR="002846B8">
        <w:t>,</w:t>
      </w:r>
      <w:r w:rsidR="00F1207A">
        <w:t xml:space="preserve"> s</w:t>
      </w:r>
      <w:r w:rsidR="00CA219F">
        <w:t>om allerede foregår i AMAP regi</w:t>
      </w:r>
      <w:r w:rsidR="00F1207A">
        <w:t>.</w:t>
      </w:r>
    </w:p>
    <w:p w14:paraId="70610C33" w14:textId="7DD0BCCA" w:rsidR="00CA219F" w:rsidRDefault="00CA219F" w:rsidP="004D57DA">
      <w:pPr>
        <w:pStyle w:val="Brdtekst"/>
      </w:pPr>
      <w:r>
        <w:t>Der foreligger målinger af emissioner af dioxiner fra affaldsforbrænding i Grønland, som demonstrerer høje niveauer</w:t>
      </w:r>
      <w:r w:rsidR="0005783A">
        <w:t>. Ud over målinger af dioxiner findes der få målinger af emission af PCB</w:t>
      </w:r>
      <w:r>
        <w:t>. Da niveauerne for dioxiner er langt over niveauerne for BAT, vil målinger af øvrige stoffer eller fornyede målinger af dioxiner/furaner næppe have nogen</w:t>
      </w:r>
      <w:r w:rsidR="0028585D">
        <w:t xml:space="preserve"> indflydelse </w:t>
      </w:r>
      <w:r w:rsidR="002C2919">
        <w:t xml:space="preserve">på </w:t>
      </w:r>
      <w:r w:rsidR="0028585D">
        <w:t>vurderingerne af den aktuelle affaldsforbrænding. Ved etablering af nye anlæg eller renovering af eksisterende vil det under alle omstændigheder være relevant at foretage målinger</w:t>
      </w:r>
      <w:r w:rsidR="00FB2A5D">
        <w:t>,</w:t>
      </w:r>
      <w:r w:rsidR="0028585D">
        <w:t xml:space="preserve"> for at demonstrere om anlæggene lever op til kravene for BAT.</w:t>
      </w:r>
    </w:p>
    <w:p w14:paraId="67E7B8DA" w14:textId="117AEFB4" w:rsidR="0042440E" w:rsidRPr="00B02C92" w:rsidRDefault="00F1207A" w:rsidP="00F1207A">
      <w:pPr>
        <w:pStyle w:val="Brdtekst"/>
      </w:pPr>
      <w:r w:rsidRPr="00F1207A">
        <w:t xml:space="preserve">Konventionen indeholder et krav om, at parterne skal </w:t>
      </w:r>
      <w:r w:rsidR="00440463">
        <w:t>iværksætte</w:t>
      </w:r>
      <w:r w:rsidR="00440463" w:rsidRPr="00F1207A">
        <w:t xml:space="preserve"> </w:t>
      </w:r>
      <w:r w:rsidRPr="00F1207A">
        <w:t>forskellige tiltag med henblik på at oplyse befolkningen om POP-stoffer</w:t>
      </w:r>
      <w:r>
        <w:t>.</w:t>
      </w:r>
      <w:r w:rsidR="00D357AC">
        <w:t xml:space="preserve"> Der findes allerede en del oplysningsmateriale om POP-stoffer i fødevarer, og hvorledes man kan mindske indtaget af POP-stoffer. Det kan dog muligvis være relevant at udvide denne information. Omkostningerne vurderes at kunne være af størrelsen </w:t>
      </w:r>
      <w:r w:rsidR="00D357AC" w:rsidRPr="007879D8">
        <w:rPr>
          <w:bCs/>
          <w:iCs/>
          <w:color w:val="000000" w:themeColor="text1"/>
        </w:rPr>
        <w:t>0,025 - 0,1</w:t>
      </w:r>
      <w:r w:rsidR="00D357AC">
        <w:rPr>
          <w:bCs/>
          <w:iCs/>
          <w:color w:val="000000" w:themeColor="text1"/>
        </w:rPr>
        <w:t xml:space="preserve"> mio. kr.</w:t>
      </w:r>
      <w:r w:rsidR="00ED08BE">
        <w:t xml:space="preserve"> </w:t>
      </w:r>
    </w:p>
    <w:p w14:paraId="27CCB483" w14:textId="0283CA9F" w:rsidR="00FD7CF7" w:rsidRDefault="00FD7CF7" w:rsidP="00FD7CF7">
      <w:pPr>
        <w:pStyle w:val="Overskrift4"/>
      </w:pPr>
      <w:r w:rsidRPr="0062571E">
        <w:t>Samlede omkostninger</w:t>
      </w:r>
    </w:p>
    <w:p w14:paraId="1E64E12C" w14:textId="5ADB5FDE" w:rsidR="00AC6FA1" w:rsidRDefault="00F63968" w:rsidP="0097584A">
      <w:pPr>
        <w:pStyle w:val="Brdtekst"/>
      </w:pPr>
      <w:r w:rsidRPr="00AC6FA1">
        <w:t>Grønland har allerede igangsat en</w:t>
      </w:r>
      <w:r w:rsidR="00627CAC" w:rsidRPr="00AC6FA1">
        <w:t xml:space="preserve"> lang</w:t>
      </w:r>
      <w:r w:rsidRPr="00AC6FA1">
        <w:t xml:space="preserve"> række tiltag i forhold til PCB og dioxin. Der tages i dag hånd om </w:t>
      </w:r>
      <w:proofErr w:type="spellStart"/>
      <w:r w:rsidRPr="00AC6FA1">
        <w:t>PCB-holdigt</w:t>
      </w:r>
      <w:proofErr w:type="spellEnd"/>
      <w:r w:rsidRPr="00AC6FA1">
        <w:t xml:space="preserve"> affald og </w:t>
      </w:r>
      <w:r w:rsidR="00AC6FA1">
        <w:t>med</w:t>
      </w:r>
      <w:r w:rsidRPr="00AC6FA1">
        <w:t xml:space="preserve"> planerne om at etablere to nye forbrændingsanlæg, som skal modtage affald fra alle byer og bygder, er det begrænset</w:t>
      </w:r>
      <w:r w:rsidR="00627CAC" w:rsidRPr="00AC6FA1">
        <w:t>,</w:t>
      </w:r>
      <w:r w:rsidRPr="00AC6FA1">
        <w:t xml:space="preserve"> hvilke nye ekstra omkostninger der vil være </w:t>
      </w:r>
      <w:r w:rsidR="00AC6FA1">
        <w:t>som</w:t>
      </w:r>
      <w:r w:rsidRPr="00AC6FA1">
        <w:t xml:space="preserve"> følge af </w:t>
      </w:r>
      <w:r w:rsidR="003C2CD2">
        <w:t>at tiltræde konventionen</w:t>
      </w:r>
      <w:r w:rsidRPr="00AC6FA1">
        <w:t xml:space="preserve">. </w:t>
      </w:r>
      <w:r w:rsidR="00AC6FA1">
        <w:t xml:space="preserve">I tabel 1 er omkostningerne til </w:t>
      </w:r>
      <w:r w:rsidR="00827779">
        <w:t>allerede vedtagne</w:t>
      </w:r>
      <w:r w:rsidR="00AC6FA1">
        <w:t xml:space="preserve"> tiltag anført med henblik på at perspektivere </w:t>
      </w:r>
      <w:r w:rsidR="00827779">
        <w:t xml:space="preserve">de ekstra </w:t>
      </w:r>
      <w:r w:rsidR="00AC6FA1">
        <w:t>omkostninger</w:t>
      </w:r>
      <w:r w:rsidR="00827779">
        <w:t>,</w:t>
      </w:r>
      <w:r w:rsidR="00AC6FA1">
        <w:t xml:space="preserve"> som vil være en følge af at tiltræde konventionen. Som det fremgår</w:t>
      </w:r>
      <w:r w:rsidR="00827779">
        <w:t>,</w:t>
      </w:r>
      <w:r w:rsidR="00AC6FA1">
        <w:t xml:space="preserve"> er omkostningerne af tiltag som allerede er vedtaget - og som altså er uafhængige af</w:t>
      </w:r>
      <w:r w:rsidR="00827779">
        <w:t xml:space="preserve"> om</w:t>
      </w:r>
      <w:r w:rsidR="00AC6FA1">
        <w:t xml:space="preserve"> konventionen tiltrædes - meget større end de ekstra omkostninger</w:t>
      </w:r>
      <w:r w:rsidR="006475F0">
        <w:t>,</w:t>
      </w:r>
      <w:r w:rsidR="00AC6FA1">
        <w:t xml:space="preserve"> der kan følge af at tiltræde konventionen.</w:t>
      </w:r>
    </w:p>
    <w:p w14:paraId="3BF72191" w14:textId="5DABB6A7" w:rsidR="0005783A" w:rsidRDefault="00F63968" w:rsidP="0097584A">
      <w:pPr>
        <w:pStyle w:val="Brdtekst"/>
        <w:rPr>
          <w:sz w:val="16"/>
        </w:rPr>
      </w:pPr>
      <w:r w:rsidRPr="00AC6FA1">
        <w:lastRenderedPageBreak/>
        <w:t>Foruden de tiltag</w:t>
      </w:r>
      <w:r w:rsidR="00827779">
        <w:t>,</w:t>
      </w:r>
      <w:r w:rsidRPr="00AC6FA1">
        <w:t xml:space="preserve"> der allerede er igangsat</w:t>
      </w:r>
      <w:r w:rsidR="00827779">
        <w:t>,</w:t>
      </w:r>
      <w:r w:rsidRPr="00AC6FA1">
        <w:t xml:space="preserve"> vurderes en </w:t>
      </w:r>
      <w:r w:rsidR="003C2CD2">
        <w:t xml:space="preserve">tiltrædelse af konventionen </w:t>
      </w:r>
      <w:r w:rsidRPr="00AC6FA1">
        <w:t>at medføre ekstra omkostninger</w:t>
      </w:r>
      <w:r w:rsidR="00AC6FA1">
        <w:t xml:space="preserve"> i størrelsen</w:t>
      </w:r>
      <w:r w:rsidRPr="00AC6FA1">
        <w:t xml:space="preserve"> </w:t>
      </w:r>
      <w:r w:rsidR="00A6746D" w:rsidRPr="00AC6FA1">
        <w:rPr>
          <w:bCs/>
          <w:iCs/>
          <w:color w:val="000000" w:themeColor="text1"/>
        </w:rPr>
        <w:t>1,</w:t>
      </w:r>
      <w:r w:rsidR="00DD34B3">
        <w:rPr>
          <w:bCs/>
          <w:iCs/>
          <w:color w:val="000000" w:themeColor="text1"/>
        </w:rPr>
        <w:t>1</w:t>
      </w:r>
      <w:r w:rsidR="00DD34B3" w:rsidRPr="00AC6FA1">
        <w:rPr>
          <w:bCs/>
          <w:iCs/>
          <w:color w:val="000000" w:themeColor="text1"/>
        </w:rPr>
        <w:t xml:space="preserve"> </w:t>
      </w:r>
      <w:r w:rsidR="00A6746D" w:rsidRPr="00AC6FA1">
        <w:rPr>
          <w:bCs/>
          <w:iCs/>
          <w:color w:val="000000" w:themeColor="text1"/>
        </w:rPr>
        <w:t>- 3,</w:t>
      </w:r>
      <w:r w:rsidR="00DD34B3">
        <w:rPr>
          <w:bCs/>
          <w:iCs/>
          <w:color w:val="000000" w:themeColor="text1"/>
        </w:rPr>
        <w:t>1</w:t>
      </w:r>
      <w:r w:rsidR="00DD34B3" w:rsidRPr="00AC6FA1">
        <w:rPr>
          <w:bCs/>
          <w:iCs/>
          <w:color w:val="000000" w:themeColor="text1"/>
        </w:rPr>
        <w:t xml:space="preserve"> </w:t>
      </w:r>
      <w:r w:rsidR="00A6746D" w:rsidRPr="00AC6FA1">
        <w:rPr>
          <w:bCs/>
          <w:iCs/>
          <w:color w:val="000000" w:themeColor="text1"/>
        </w:rPr>
        <w:t>mio. kr. De største udgifter vurderes at</w:t>
      </w:r>
      <w:r w:rsidR="00AC6FA1">
        <w:rPr>
          <w:bCs/>
          <w:iCs/>
          <w:color w:val="000000" w:themeColor="text1"/>
        </w:rPr>
        <w:t xml:space="preserve"> være</w:t>
      </w:r>
      <w:r w:rsidR="00A6746D" w:rsidRPr="00AC6FA1">
        <w:rPr>
          <w:bCs/>
          <w:iCs/>
          <w:color w:val="000000" w:themeColor="text1"/>
        </w:rPr>
        <w:t xml:space="preserve"> </w:t>
      </w:r>
      <w:r w:rsidR="00197C49" w:rsidRPr="00AC6FA1">
        <w:rPr>
          <w:bCs/>
          <w:iCs/>
          <w:color w:val="000000" w:themeColor="text1"/>
        </w:rPr>
        <w:t>0,3 - 0,6 mio. kr.</w:t>
      </w:r>
      <w:r w:rsidR="00A6746D" w:rsidRPr="00AC6FA1">
        <w:rPr>
          <w:bCs/>
          <w:iCs/>
          <w:color w:val="000000" w:themeColor="text1"/>
        </w:rPr>
        <w:t xml:space="preserve"> knyttet til en</w:t>
      </w:r>
      <w:r w:rsidR="00197C49" w:rsidRPr="00AC6FA1">
        <w:rPr>
          <w:bCs/>
          <w:iCs/>
          <w:color w:val="000000" w:themeColor="text1"/>
        </w:rPr>
        <w:t xml:space="preserve"> </w:t>
      </w:r>
      <w:r w:rsidR="00A6746D" w:rsidRPr="00AC6FA1">
        <w:rPr>
          <w:bCs/>
          <w:iCs/>
          <w:color w:val="000000" w:themeColor="text1"/>
        </w:rPr>
        <w:t xml:space="preserve">forundersøgelse af PFOS på brandøvelsespladser og </w:t>
      </w:r>
      <w:r w:rsidR="00A6746D" w:rsidRPr="00AC6FA1">
        <w:rPr>
          <w:bCs/>
          <w:iCs/>
        </w:rPr>
        <w:t>0,5 - 2</w:t>
      </w:r>
      <w:r w:rsidR="00A6746D" w:rsidRPr="00AC6FA1">
        <w:t>,0 mi</w:t>
      </w:r>
      <w:r w:rsidR="00AC46CD" w:rsidRPr="00AC6FA1">
        <w:t>o.</w:t>
      </w:r>
      <w:r w:rsidR="00A6746D" w:rsidRPr="00AC6FA1">
        <w:t xml:space="preserve"> kr. til e</w:t>
      </w:r>
      <w:r w:rsidR="00A6746D" w:rsidRPr="00AC6FA1">
        <w:rPr>
          <w:bCs/>
          <w:iCs/>
          <w:color w:val="000000" w:themeColor="text1"/>
        </w:rPr>
        <w:t xml:space="preserve">kstraomkostninger til kortlægning og håndtering af </w:t>
      </w:r>
      <w:r w:rsidR="00827779">
        <w:rPr>
          <w:bCs/>
          <w:iCs/>
          <w:color w:val="000000" w:themeColor="text1"/>
        </w:rPr>
        <w:t xml:space="preserve">kortkædede </w:t>
      </w:r>
      <w:proofErr w:type="spellStart"/>
      <w:r w:rsidR="00827779">
        <w:rPr>
          <w:bCs/>
          <w:iCs/>
          <w:color w:val="000000" w:themeColor="text1"/>
        </w:rPr>
        <w:t>chlorparaffiner</w:t>
      </w:r>
      <w:proofErr w:type="spellEnd"/>
      <w:r w:rsidR="00827779" w:rsidRPr="00AC6FA1">
        <w:rPr>
          <w:bCs/>
          <w:iCs/>
          <w:color w:val="000000" w:themeColor="text1"/>
        </w:rPr>
        <w:t xml:space="preserve"> </w:t>
      </w:r>
      <w:r w:rsidR="00A6746D" w:rsidRPr="00AC6FA1">
        <w:rPr>
          <w:bCs/>
          <w:iCs/>
          <w:color w:val="000000" w:themeColor="text1"/>
        </w:rPr>
        <w:t>i byggeriet.</w:t>
      </w:r>
      <w:r w:rsidR="00827779">
        <w:rPr>
          <w:bCs/>
          <w:iCs/>
          <w:color w:val="000000" w:themeColor="text1"/>
        </w:rPr>
        <w:t xml:space="preserve"> Det skal bemærkes, at der senere kan komme yderligere omkostninger vedrørende PFOS, hvis forundersøgelsen viser omfattende forurening.</w:t>
      </w:r>
      <w:r w:rsidR="00A6746D" w:rsidRPr="00AC6FA1">
        <w:rPr>
          <w:bCs/>
          <w:iCs/>
          <w:color w:val="000000" w:themeColor="text1"/>
        </w:rPr>
        <w:t xml:space="preserve"> </w:t>
      </w:r>
      <w:r w:rsidR="00827779">
        <w:rPr>
          <w:bCs/>
          <w:iCs/>
          <w:color w:val="000000" w:themeColor="text1"/>
        </w:rPr>
        <w:t>A</w:t>
      </w:r>
      <w:r w:rsidR="00AC6FA1">
        <w:rPr>
          <w:bCs/>
          <w:iCs/>
          <w:color w:val="000000" w:themeColor="text1"/>
        </w:rPr>
        <w:t xml:space="preserve">f </w:t>
      </w:r>
      <w:r w:rsidR="00A6746D" w:rsidRPr="00AC6FA1">
        <w:rPr>
          <w:bCs/>
          <w:iCs/>
          <w:color w:val="000000" w:themeColor="text1"/>
        </w:rPr>
        <w:t>arbejdsmiljømæssige hensyn</w:t>
      </w:r>
      <w:r w:rsidR="00827779">
        <w:rPr>
          <w:bCs/>
          <w:iCs/>
          <w:color w:val="000000" w:themeColor="text1"/>
        </w:rPr>
        <w:t xml:space="preserve"> vil der </w:t>
      </w:r>
      <w:r w:rsidR="00A6746D" w:rsidRPr="00AC6FA1">
        <w:rPr>
          <w:bCs/>
          <w:iCs/>
          <w:color w:val="000000" w:themeColor="text1"/>
        </w:rPr>
        <w:t>allerede vil være krav til registrer</w:t>
      </w:r>
      <w:r w:rsidR="00440463" w:rsidRPr="00AC6FA1">
        <w:rPr>
          <w:bCs/>
          <w:iCs/>
          <w:color w:val="000000" w:themeColor="text1"/>
        </w:rPr>
        <w:t>ing af</w:t>
      </w:r>
      <w:r w:rsidR="00A6746D" w:rsidRPr="00AC6FA1">
        <w:rPr>
          <w:bCs/>
          <w:iCs/>
          <w:color w:val="000000" w:themeColor="text1"/>
        </w:rPr>
        <w:t xml:space="preserve"> forekomsten af </w:t>
      </w:r>
      <w:r w:rsidR="00827779">
        <w:rPr>
          <w:bCs/>
          <w:iCs/>
          <w:color w:val="000000" w:themeColor="text1"/>
        </w:rPr>
        <w:t xml:space="preserve">kortkædede </w:t>
      </w:r>
      <w:proofErr w:type="spellStart"/>
      <w:r w:rsidR="00827779">
        <w:rPr>
          <w:bCs/>
          <w:iCs/>
          <w:color w:val="000000" w:themeColor="text1"/>
        </w:rPr>
        <w:t>chlorparaffiner</w:t>
      </w:r>
      <w:proofErr w:type="spellEnd"/>
      <w:r w:rsidR="00827779" w:rsidRPr="00AC6FA1" w:rsidDel="00827779">
        <w:rPr>
          <w:bCs/>
          <w:iCs/>
          <w:color w:val="000000" w:themeColor="text1"/>
        </w:rPr>
        <w:t xml:space="preserve"> </w:t>
      </w:r>
      <w:r w:rsidR="00A6746D" w:rsidRPr="00AC6FA1">
        <w:t>ved renovering og nedrivning af bygninger</w:t>
      </w:r>
      <w:r w:rsidR="00827779">
        <w:t xml:space="preserve"> og de ekstra omkostninger vedrører kun affaldsbortskaffelse</w:t>
      </w:r>
      <w:r w:rsidR="00A6746D" w:rsidRPr="00AC6FA1">
        <w:t>. De største administrative omkostninger vil være knyttet til udarbejdelse af en bekendtgørelse, der regulerer produktion, brug, import og eksport af POP-stoffer</w:t>
      </w:r>
      <w:r w:rsidR="00197C49" w:rsidRPr="00AC6FA1">
        <w:t xml:space="preserve"> samt eventuel udarbejdelse af oplysningsmateriale</w:t>
      </w:r>
      <w:r w:rsidR="00A6746D" w:rsidRPr="00AC6FA1">
        <w:t>.</w:t>
      </w:r>
      <w:r w:rsidR="00A6746D">
        <w:t xml:space="preserve"> </w:t>
      </w:r>
    </w:p>
    <w:p w14:paraId="320B1B5A" w14:textId="361C7295" w:rsidR="0005783A" w:rsidRDefault="00B02C92">
      <w:pPr>
        <w:pStyle w:val="Billedtekst"/>
        <w:keepNext/>
      </w:pPr>
      <w:r>
        <w:t xml:space="preserve">Tabel </w:t>
      </w:r>
      <w:r w:rsidR="00DA1BEC">
        <w:rPr>
          <w:noProof/>
        </w:rPr>
        <w:fldChar w:fldCharType="begin"/>
      </w:r>
      <w:r w:rsidR="00DA1BEC">
        <w:rPr>
          <w:noProof/>
        </w:rPr>
        <w:instrText xml:space="preserve"> SEQ Tabel \* ARABIC </w:instrText>
      </w:r>
      <w:r w:rsidR="00DA1BEC">
        <w:rPr>
          <w:noProof/>
        </w:rPr>
        <w:fldChar w:fldCharType="separate"/>
      </w:r>
      <w:r w:rsidR="00432B8C">
        <w:rPr>
          <w:noProof/>
        </w:rPr>
        <w:t>1</w:t>
      </w:r>
      <w:r w:rsidR="00DA1BEC">
        <w:rPr>
          <w:noProof/>
        </w:rPr>
        <w:fldChar w:fldCharType="end"/>
      </w:r>
      <w:r>
        <w:tab/>
      </w:r>
      <w:r w:rsidRPr="00172F5A">
        <w:t>Overslag over omkostninger af planlagte og forventede aktiviteter</w:t>
      </w:r>
      <w:r w:rsidR="006F7A6B">
        <w:t>.</w:t>
      </w:r>
    </w:p>
    <w:tbl>
      <w:tblPr>
        <w:tblStyle w:val="Tabel-Klassisk4"/>
        <w:tblW w:w="9463" w:type="dxa"/>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94"/>
        <w:gridCol w:w="3197"/>
        <w:gridCol w:w="1808"/>
        <w:gridCol w:w="1532"/>
        <w:gridCol w:w="1532"/>
      </w:tblGrid>
      <w:tr w:rsidR="0005783A" w:rsidRPr="008B1B83" w14:paraId="2B2B7BE9" w14:textId="22A651A5" w:rsidTr="0097584A">
        <w:trPr>
          <w:cnfStyle w:val="100000000000" w:firstRow="1" w:lastRow="0" w:firstColumn="0" w:lastColumn="0" w:oddVBand="0" w:evenVBand="0" w:oddHBand="0" w:evenHBand="0" w:firstRowFirstColumn="0" w:firstRowLastColumn="0" w:lastRowFirstColumn="0" w:lastRowLastColumn="0"/>
          <w:tblHeader/>
        </w:trPr>
        <w:tc>
          <w:tcPr>
            <w:tcW w:w="1394" w:type="dxa"/>
            <w:shd w:val="clear" w:color="auto" w:fill="F2F2F2" w:themeFill="background1" w:themeFillShade="F2"/>
          </w:tcPr>
          <w:p w14:paraId="19A2F74F" w14:textId="1F9897FA" w:rsidR="0005783A" w:rsidRPr="0062571E" w:rsidRDefault="0005783A" w:rsidP="000050A7">
            <w:pPr>
              <w:pStyle w:val="Table"/>
              <w:rPr>
                <w:bCs w:val="0"/>
                <w:i w:val="0"/>
                <w:iCs w:val="0"/>
                <w:color w:val="000000" w:themeColor="text1"/>
              </w:rPr>
            </w:pPr>
            <w:r w:rsidRPr="0062571E">
              <w:rPr>
                <w:color w:val="000000" w:themeColor="text1"/>
              </w:rPr>
              <w:t>Stoffer</w:t>
            </w:r>
          </w:p>
        </w:tc>
        <w:tc>
          <w:tcPr>
            <w:tcW w:w="3197" w:type="dxa"/>
            <w:shd w:val="clear" w:color="auto" w:fill="F2F2F2" w:themeFill="background1" w:themeFillShade="F2"/>
            <w:hideMark/>
          </w:tcPr>
          <w:p w14:paraId="6F2521C9" w14:textId="6D05FC0A" w:rsidR="0005783A" w:rsidRPr="0062571E" w:rsidRDefault="0005783A" w:rsidP="000050A7">
            <w:pPr>
              <w:pStyle w:val="Table"/>
              <w:rPr>
                <w:bCs w:val="0"/>
                <w:i w:val="0"/>
                <w:iCs w:val="0"/>
                <w:color w:val="000000" w:themeColor="text1"/>
              </w:rPr>
            </w:pPr>
            <w:r w:rsidRPr="0062571E">
              <w:rPr>
                <w:color w:val="000000" w:themeColor="text1"/>
              </w:rPr>
              <w:t>Aktivitet</w:t>
            </w:r>
          </w:p>
        </w:tc>
        <w:tc>
          <w:tcPr>
            <w:tcW w:w="1808" w:type="dxa"/>
            <w:shd w:val="clear" w:color="auto" w:fill="F2F2F2" w:themeFill="background1" w:themeFillShade="F2"/>
            <w:hideMark/>
          </w:tcPr>
          <w:p w14:paraId="7E8E10E7" w14:textId="358B8DC8" w:rsidR="0005783A" w:rsidRPr="0062571E" w:rsidRDefault="0005783A" w:rsidP="000050A7">
            <w:pPr>
              <w:pStyle w:val="Table"/>
              <w:rPr>
                <w:bCs w:val="0"/>
                <w:i w:val="0"/>
                <w:iCs w:val="0"/>
                <w:color w:val="000000" w:themeColor="text1"/>
              </w:rPr>
            </w:pPr>
            <w:r w:rsidRPr="0062571E">
              <w:rPr>
                <w:color w:val="000000" w:themeColor="text1"/>
              </w:rPr>
              <w:t xml:space="preserve">Anslåede omkostninger, </w:t>
            </w:r>
            <w:r w:rsidR="00627CAC">
              <w:rPr>
                <w:color w:val="000000" w:themeColor="text1"/>
              </w:rPr>
              <w:t>for aktiviteter, som der allerede er taget beslutning om (uafhængig</w:t>
            </w:r>
            <w:r w:rsidR="00AC6FA1">
              <w:rPr>
                <w:color w:val="000000" w:themeColor="text1"/>
              </w:rPr>
              <w:t>e</w:t>
            </w:r>
            <w:r w:rsidR="00627CAC">
              <w:rPr>
                <w:color w:val="000000" w:themeColor="text1"/>
              </w:rPr>
              <w:t xml:space="preserve"> af at forbeholdet hæves) </w:t>
            </w:r>
          </w:p>
        </w:tc>
        <w:tc>
          <w:tcPr>
            <w:tcW w:w="1532" w:type="dxa"/>
            <w:shd w:val="clear" w:color="auto" w:fill="F2F2F2" w:themeFill="background1" w:themeFillShade="F2"/>
          </w:tcPr>
          <w:p w14:paraId="7410E3C3" w14:textId="11CD0A5F" w:rsidR="0005783A" w:rsidRPr="0062571E" w:rsidRDefault="0005783A" w:rsidP="000050A7">
            <w:pPr>
              <w:pStyle w:val="Table"/>
              <w:rPr>
                <w:bCs w:val="0"/>
                <w:i w:val="0"/>
                <w:iCs w:val="0"/>
                <w:color w:val="000000" w:themeColor="text1"/>
              </w:rPr>
            </w:pPr>
            <w:r w:rsidRPr="0062571E">
              <w:rPr>
                <w:color w:val="000000" w:themeColor="text1"/>
              </w:rPr>
              <w:t xml:space="preserve">Anslåede omkostninger </w:t>
            </w:r>
            <w:r>
              <w:rPr>
                <w:color w:val="000000" w:themeColor="text1"/>
              </w:rPr>
              <w:t>ved</w:t>
            </w:r>
            <w:r w:rsidRPr="0062571E">
              <w:rPr>
                <w:color w:val="000000" w:themeColor="text1"/>
              </w:rPr>
              <w:t xml:space="preserve"> </w:t>
            </w:r>
            <w:r w:rsidRPr="00C64430">
              <w:rPr>
                <w:color w:val="000000" w:themeColor="text1"/>
                <w:u w:val="single"/>
              </w:rPr>
              <w:t>ekstra</w:t>
            </w:r>
            <w:r w:rsidRPr="0062571E">
              <w:rPr>
                <w:color w:val="000000" w:themeColor="text1"/>
              </w:rPr>
              <w:t xml:space="preserve"> aktiviteter, hvis forbeholdet hæves</w:t>
            </w:r>
            <w:r w:rsidR="00ED3D86">
              <w:rPr>
                <w:color w:val="000000" w:themeColor="text1"/>
              </w:rPr>
              <w:t xml:space="preserve">, mio. </w:t>
            </w:r>
            <w:proofErr w:type="spellStart"/>
            <w:r w:rsidR="00ED3D86">
              <w:rPr>
                <w:color w:val="000000" w:themeColor="text1"/>
              </w:rPr>
              <w:t>kr</w:t>
            </w:r>
            <w:proofErr w:type="spellEnd"/>
          </w:p>
        </w:tc>
        <w:tc>
          <w:tcPr>
            <w:tcW w:w="1532" w:type="dxa"/>
            <w:shd w:val="clear" w:color="auto" w:fill="F2F2F2" w:themeFill="background1" w:themeFillShade="F2"/>
          </w:tcPr>
          <w:p w14:paraId="6196F6F7" w14:textId="6C5B2FE1" w:rsidR="0005783A" w:rsidRPr="0062571E" w:rsidRDefault="0005783A" w:rsidP="000050A7">
            <w:pPr>
              <w:pStyle w:val="Table"/>
              <w:rPr>
                <w:color w:val="000000" w:themeColor="text1"/>
              </w:rPr>
            </w:pPr>
            <w:r>
              <w:rPr>
                <w:color w:val="000000" w:themeColor="text1"/>
              </w:rPr>
              <w:t>Aktører som ekstra omkostninger påhviler</w:t>
            </w:r>
          </w:p>
        </w:tc>
      </w:tr>
      <w:tr w:rsidR="0005783A" w:rsidRPr="00222C65" w14:paraId="0C761C88" w14:textId="4ABFE3D6" w:rsidTr="0097584A">
        <w:tc>
          <w:tcPr>
            <w:tcW w:w="1394" w:type="dxa"/>
          </w:tcPr>
          <w:p w14:paraId="4DB99646" w14:textId="32E18A12" w:rsidR="0005783A" w:rsidRPr="00AB6E10" w:rsidRDefault="00A6746D" w:rsidP="000050A7">
            <w:pPr>
              <w:pStyle w:val="Table"/>
              <w:rPr>
                <w:b/>
              </w:rPr>
            </w:pPr>
            <w:r w:rsidRPr="0062571E">
              <w:rPr>
                <w:b/>
              </w:rPr>
              <w:t>Dioxiner</w:t>
            </w:r>
          </w:p>
        </w:tc>
        <w:tc>
          <w:tcPr>
            <w:tcW w:w="3197" w:type="dxa"/>
          </w:tcPr>
          <w:p w14:paraId="63C6D4BE" w14:textId="7378576D" w:rsidR="0005783A" w:rsidRDefault="00A6746D" w:rsidP="000050A7">
            <w:pPr>
              <w:pStyle w:val="Table"/>
            </w:pPr>
            <w:r>
              <w:t>Etablering af 2 nye forbrændingsanlæg og spildolieanlæg (en lille del af omkostning knyttet til rensning for dioxiner)</w:t>
            </w:r>
          </w:p>
        </w:tc>
        <w:tc>
          <w:tcPr>
            <w:tcW w:w="1808" w:type="dxa"/>
          </w:tcPr>
          <w:p w14:paraId="5DDC6AA4" w14:textId="6ABEEB41" w:rsidR="0005783A" w:rsidRDefault="00A6746D" w:rsidP="000050A7">
            <w:pPr>
              <w:pStyle w:val="Table"/>
            </w:pPr>
            <w:r>
              <w:t>400</w:t>
            </w:r>
            <w:r w:rsidR="0005783A">
              <w:t xml:space="preserve"> mio. kr.</w:t>
            </w:r>
          </w:p>
        </w:tc>
        <w:tc>
          <w:tcPr>
            <w:tcW w:w="1532" w:type="dxa"/>
          </w:tcPr>
          <w:p w14:paraId="6BF40BD0" w14:textId="45CB1190" w:rsidR="0005783A" w:rsidRDefault="00627CAC" w:rsidP="000050A7">
            <w:pPr>
              <w:pStyle w:val="Table"/>
            </w:pPr>
            <w:r>
              <w:t>Ingen</w:t>
            </w:r>
          </w:p>
        </w:tc>
        <w:tc>
          <w:tcPr>
            <w:tcW w:w="1532" w:type="dxa"/>
          </w:tcPr>
          <w:p w14:paraId="3E946CB2" w14:textId="3B8954BD" w:rsidR="0005783A" w:rsidRDefault="0005783A" w:rsidP="000050A7">
            <w:pPr>
              <w:pStyle w:val="Table"/>
            </w:pPr>
            <w:r>
              <w:t>-</w:t>
            </w:r>
          </w:p>
        </w:tc>
      </w:tr>
      <w:tr w:rsidR="0005783A" w:rsidRPr="00222C65" w14:paraId="01A299DD" w14:textId="7624DBE1" w:rsidTr="0097584A">
        <w:tc>
          <w:tcPr>
            <w:tcW w:w="1394" w:type="dxa"/>
            <w:vMerge w:val="restart"/>
          </w:tcPr>
          <w:p w14:paraId="51E55FBA" w14:textId="2DF26CFB" w:rsidR="0005783A" w:rsidRPr="0062571E" w:rsidRDefault="0005783A" w:rsidP="000050A7">
            <w:pPr>
              <w:pStyle w:val="Table"/>
              <w:rPr>
                <w:b/>
              </w:rPr>
            </w:pPr>
            <w:r w:rsidRPr="0062571E">
              <w:rPr>
                <w:b/>
              </w:rPr>
              <w:t>PCB</w:t>
            </w:r>
            <w:r>
              <w:rPr>
                <w:b/>
              </w:rPr>
              <w:t xml:space="preserve"> </w:t>
            </w:r>
            <w:r w:rsidRPr="0062571E">
              <w:t>(konsekvenser af anvisninger i PCB vejledning</w:t>
            </w:r>
            <w:r w:rsidR="00F53024">
              <w:t xml:space="preserve"> 2014</w:t>
            </w:r>
            <w:r w:rsidRPr="0062571E">
              <w:t>)</w:t>
            </w:r>
          </w:p>
        </w:tc>
        <w:tc>
          <w:tcPr>
            <w:tcW w:w="3197" w:type="dxa"/>
            <w:hideMark/>
          </w:tcPr>
          <w:p w14:paraId="20BBA968" w14:textId="1BF645ED" w:rsidR="0005783A" w:rsidRPr="00045909" w:rsidRDefault="0005783A" w:rsidP="000050A7">
            <w:pPr>
              <w:pStyle w:val="Table"/>
            </w:pPr>
            <w:r w:rsidRPr="00045909">
              <w:t xml:space="preserve">Kortlægning af PCB i byggematerialer </w:t>
            </w:r>
          </w:p>
        </w:tc>
        <w:tc>
          <w:tcPr>
            <w:tcW w:w="1808" w:type="dxa"/>
            <w:hideMark/>
          </w:tcPr>
          <w:p w14:paraId="5A5ECB1A" w14:textId="77777777" w:rsidR="0005783A" w:rsidRPr="00045909" w:rsidRDefault="0005783A" w:rsidP="000050A7">
            <w:pPr>
              <w:pStyle w:val="Table"/>
            </w:pPr>
            <w:r w:rsidRPr="00045909">
              <w:t>8-20 mio. kr.</w:t>
            </w:r>
          </w:p>
        </w:tc>
        <w:tc>
          <w:tcPr>
            <w:tcW w:w="1532" w:type="dxa"/>
          </w:tcPr>
          <w:p w14:paraId="3E31E65F" w14:textId="1A6DAE56" w:rsidR="0005783A" w:rsidRPr="00045909" w:rsidRDefault="00627CAC" w:rsidP="000050A7">
            <w:pPr>
              <w:pStyle w:val="Table"/>
            </w:pPr>
            <w:r>
              <w:t>Ingen</w:t>
            </w:r>
          </w:p>
        </w:tc>
        <w:tc>
          <w:tcPr>
            <w:tcW w:w="1532" w:type="dxa"/>
          </w:tcPr>
          <w:p w14:paraId="7F145027" w14:textId="2C74C3BC" w:rsidR="0005783A" w:rsidRDefault="0005783A" w:rsidP="000050A7">
            <w:pPr>
              <w:pStyle w:val="Table"/>
            </w:pPr>
            <w:r>
              <w:t>-</w:t>
            </w:r>
          </w:p>
        </w:tc>
      </w:tr>
      <w:tr w:rsidR="0005783A" w:rsidRPr="00222C65" w14:paraId="255A2B4D" w14:textId="5FDC22E6" w:rsidTr="0097584A">
        <w:tc>
          <w:tcPr>
            <w:tcW w:w="1394" w:type="dxa"/>
            <w:vMerge/>
          </w:tcPr>
          <w:p w14:paraId="0919DF83" w14:textId="77777777" w:rsidR="0005783A" w:rsidRPr="00045909" w:rsidRDefault="0005783A" w:rsidP="000050A7">
            <w:pPr>
              <w:pStyle w:val="Table"/>
            </w:pPr>
          </w:p>
        </w:tc>
        <w:tc>
          <w:tcPr>
            <w:tcW w:w="3197" w:type="dxa"/>
            <w:hideMark/>
          </w:tcPr>
          <w:p w14:paraId="55F55899" w14:textId="6796391C" w:rsidR="0005783A" w:rsidRPr="00045909" w:rsidRDefault="0005783A" w:rsidP="000050A7">
            <w:pPr>
              <w:pStyle w:val="Table"/>
            </w:pPr>
            <w:r w:rsidRPr="00045909">
              <w:t>Udarbejdelse af affaldshåndteringsplaner og myndighedsbehandling (me</w:t>
            </w:r>
            <w:r>
              <w:t>r</w:t>
            </w:r>
            <w:r w:rsidRPr="00045909">
              <w:t>udgift for miljøfarlige stoffer)</w:t>
            </w:r>
          </w:p>
        </w:tc>
        <w:tc>
          <w:tcPr>
            <w:tcW w:w="1808" w:type="dxa"/>
            <w:hideMark/>
          </w:tcPr>
          <w:p w14:paraId="4054D0F5" w14:textId="2EEE5144" w:rsidR="0005783A" w:rsidRPr="00045909" w:rsidRDefault="0005783A" w:rsidP="000050A7">
            <w:pPr>
              <w:pStyle w:val="Table"/>
            </w:pPr>
            <w:r w:rsidRPr="00045909">
              <w:t xml:space="preserve">5-20 mio. kr. </w:t>
            </w:r>
            <w:r>
              <w:br/>
            </w:r>
            <w:r w:rsidRPr="00045909">
              <w:t>(bygherre)</w:t>
            </w:r>
          </w:p>
          <w:p w14:paraId="10E1111C" w14:textId="71B9A516" w:rsidR="0005783A" w:rsidRPr="00045909" w:rsidRDefault="0005783A" w:rsidP="000050A7">
            <w:pPr>
              <w:pStyle w:val="Table"/>
            </w:pPr>
            <w:r w:rsidRPr="00045909">
              <w:t xml:space="preserve">1,5-6 mio. kr. </w:t>
            </w:r>
            <w:r>
              <w:br/>
            </w:r>
            <w:r w:rsidRPr="00045909">
              <w:t>(kommune)</w:t>
            </w:r>
          </w:p>
        </w:tc>
        <w:tc>
          <w:tcPr>
            <w:tcW w:w="1532" w:type="dxa"/>
          </w:tcPr>
          <w:p w14:paraId="3C0926B5" w14:textId="7CC5D7BB" w:rsidR="0005783A" w:rsidRPr="00045909" w:rsidRDefault="00627CAC" w:rsidP="000050A7">
            <w:pPr>
              <w:pStyle w:val="Table"/>
            </w:pPr>
            <w:r>
              <w:t>Ingen</w:t>
            </w:r>
          </w:p>
        </w:tc>
        <w:tc>
          <w:tcPr>
            <w:tcW w:w="1532" w:type="dxa"/>
          </w:tcPr>
          <w:p w14:paraId="1B33B523" w14:textId="1685C982" w:rsidR="0005783A" w:rsidRDefault="0005783A" w:rsidP="000050A7">
            <w:pPr>
              <w:pStyle w:val="Table"/>
            </w:pPr>
            <w:r>
              <w:t>-</w:t>
            </w:r>
          </w:p>
        </w:tc>
      </w:tr>
      <w:tr w:rsidR="0005783A" w:rsidRPr="00222C65" w14:paraId="53665B8D" w14:textId="691636EE" w:rsidTr="0097584A">
        <w:tc>
          <w:tcPr>
            <w:tcW w:w="1394" w:type="dxa"/>
            <w:vMerge/>
          </w:tcPr>
          <w:p w14:paraId="60BBA8BA" w14:textId="77777777" w:rsidR="0005783A" w:rsidRPr="00045909" w:rsidRDefault="0005783A" w:rsidP="000050A7">
            <w:pPr>
              <w:pStyle w:val="Table"/>
            </w:pPr>
          </w:p>
        </w:tc>
        <w:tc>
          <w:tcPr>
            <w:tcW w:w="3197" w:type="dxa"/>
            <w:hideMark/>
          </w:tcPr>
          <w:p w14:paraId="0F3BF16E" w14:textId="6F92B10B" w:rsidR="0005783A" w:rsidRPr="00045909" w:rsidRDefault="0005783A" w:rsidP="000050A7">
            <w:pPr>
              <w:pStyle w:val="Table"/>
            </w:pPr>
            <w:r w:rsidRPr="00045909">
              <w:t xml:space="preserve">Håndtering og bortskaffelse af </w:t>
            </w:r>
            <w:proofErr w:type="spellStart"/>
            <w:r w:rsidRPr="00045909">
              <w:t>PCB-holdigt</w:t>
            </w:r>
            <w:proofErr w:type="spellEnd"/>
            <w:r w:rsidRPr="00045909">
              <w:t xml:space="preserve"> byggeaffald</w:t>
            </w:r>
          </w:p>
        </w:tc>
        <w:tc>
          <w:tcPr>
            <w:tcW w:w="1808" w:type="dxa"/>
            <w:hideMark/>
          </w:tcPr>
          <w:p w14:paraId="09A9D53E" w14:textId="77777777" w:rsidR="0005783A" w:rsidRPr="00045909" w:rsidRDefault="0005783A" w:rsidP="000050A7">
            <w:pPr>
              <w:pStyle w:val="Table"/>
            </w:pPr>
            <w:r w:rsidRPr="00045909">
              <w:t>100-400 mio. kr.</w:t>
            </w:r>
          </w:p>
        </w:tc>
        <w:tc>
          <w:tcPr>
            <w:tcW w:w="1532" w:type="dxa"/>
          </w:tcPr>
          <w:p w14:paraId="26DBB862" w14:textId="4CF20D81" w:rsidR="0005783A" w:rsidRPr="00045909" w:rsidRDefault="00627CAC" w:rsidP="000050A7">
            <w:pPr>
              <w:pStyle w:val="Table"/>
            </w:pPr>
            <w:r>
              <w:t>Ingen</w:t>
            </w:r>
          </w:p>
        </w:tc>
        <w:tc>
          <w:tcPr>
            <w:tcW w:w="1532" w:type="dxa"/>
          </w:tcPr>
          <w:p w14:paraId="14463D21" w14:textId="25903B46" w:rsidR="0005783A" w:rsidRDefault="0005783A" w:rsidP="000050A7">
            <w:pPr>
              <w:pStyle w:val="Table"/>
            </w:pPr>
            <w:r>
              <w:t>-</w:t>
            </w:r>
          </w:p>
        </w:tc>
      </w:tr>
      <w:tr w:rsidR="0005783A" w:rsidRPr="00222C65" w14:paraId="26AEAD46" w14:textId="048737B3" w:rsidTr="0097584A">
        <w:tc>
          <w:tcPr>
            <w:tcW w:w="1394" w:type="dxa"/>
            <w:vMerge/>
          </w:tcPr>
          <w:p w14:paraId="5E997E54" w14:textId="77777777" w:rsidR="0005783A" w:rsidRPr="00045909" w:rsidRDefault="0005783A" w:rsidP="000050A7">
            <w:pPr>
              <w:pStyle w:val="Table"/>
            </w:pPr>
          </w:p>
        </w:tc>
        <w:tc>
          <w:tcPr>
            <w:tcW w:w="3197" w:type="dxa"/>
            <w:hideMark/>
          </w:tcPr>
          <w:p w14:paraId="18D31AA0" w14:textId="1A44DB30" w:rsidR="0005783A" w:rsidRPr="00045909" w:rsidRDefault="0005783A" w:rsidP="000050A7">
            <w:pPr>
              <w:pStyle w:val="Table"/>
            </w:pPr>
            <w:r w:rsidRPr="00045909">
              <w:t xml:space="preserve">Håndtering og bortskaffelse af </w:t>
            </w:r>
            <w:proofErr w:type="spellStart"/>
            <w:r w:rsidRPr="00045909">
              <w:t>PCB-holdige</w:t>
            </w:r>
            <w:proofErr w:type="spellEnd"/>
            <w:r w:rsidRPr="00045909">
              <w:t xml:space="preserve"> termoruder og kondensatorer</w:t>
            </w:r>
          </w:p>
        </w:tc>
        <w:tc>
          <w:tcPr>
            <w:tcW w:w="1808" w:type="dxa"/>
            <w:hideMark/>
          </w:tcPr>
          <w:p w14:paraId="75B11CE6" w14:textId="77777777" w:rsidR="0005783A" w:rsidRPr="00045909" w:rsidRDefault="0005783A" w:rsidP="000050A7">
            <w:pPr>
              <w:pStyle w:val="Table"/>
            </w:pPr>
            <w:r w:rsidRPr="00045909">
              <w:t xml:space="preserve">0,1-1,0 mio. kr. </w:t>
            </w:r>
          </w:p>
        </w:tc>
        <w:tc>
          <w:tcPr>
            <w:tcW w:w="1532" w:type="dxa"/>
          </w:tcPr>
          <w:p w14:paraId="0885C39E" w14:textId="7CFCEF57" w:rsidR="0005783A" w:rsidRPr="00045909" w:rsidRDefault="00627CAC" w:rsidP="000050A7">
            <w:pPr>
              <w:pStyle w:val="Table"/>
            </w:pPr>
            <w:r>
              <w:t>Ingen</w:t>
            </w:r>
          </w:p>
        </w:tc>
        <w:tc>
          <w:tcPr>
            <w:tcW w:w="1532" w:type="dxa"/>
          </w:tcPr>
          <w:p w14:paraId="527078A9" w14:textId="293EA501" w:rsidR="0005783A" w:rsidRDefault="0005783A" w:rsidP="000050A7">
            <w:pPr>
              <w:pStyle w:val="Table"/>
            </w:pPr>
            <w:r>
              <w:t>-</w:t>
            </w:r>
          </w:p>
        </w:tc>
      </w:tr>
      <w:tr w:rsidR="0005783A" w:rsidRPr="00222C65" w14:paraId="526E8659" w14:textId="1BB29332" w:rsidTr="0097584A">
        <w:tc>
          <w:tcPr>
            <w:tcW w:w="1394" w:type="dxa"/>
            <w:vMerge/>
          </w:tcPr>
          <w:p w14:paraId="54B5D067" w14:textId="77777777" w:rsidR="0005783A" w:rsidRPr="00045909" w:rsidRDefault="0005783A" w:rsidP="000050A7">
            <w:pPr>
              <w:pStyle w:val="Table"/>
            </w:pPr>
          </w:p>
        </w:tc>
        <w:tc>
          <w:tcPr>
            <w:tcW w:w="3197" w:type="dxa"/>
            <w:hideMark/>
          </w:tcPr>
          <w:p w14:paraId="163A2AE0" w14:textId="44A491B6" w:rsidR="0005783A" w:rsidRPr="00045909" w:rsidRDefault="0005783A" w:rsidP="000050A7">
            <w:pPr>
              <w:pStyle w:val="Table"/>
            </w:pPr>
            <w:r>
              <w:t>Kortlægning</w:t>
            </w:r>
            <w:r w:rsidRPr="00045909">
              <w:t xml:space="preserve"> af </w:t>
            </w:r>
            <w:proofErr w:type="spellStart"/>
            <w:r w:rsidRPr="00045909">
              <w:t>PCB-holdigt</w:t>
            </w:r>
            <w:proofErr w:type="spellEnd"/>
            <w:r w:rsidRPr="00045909">
              <w:t xml:space="preserve"> udstyr</w:t>
            </w:r>
            <w:r>
              <w:t xml:space="preserve"> i </w:t>
            </w:r>
            <w:proofErr w:type="spellStart"/>
            <w:r>
              <w:t>elnettet</w:t>
            </w:r>
            <w:proofErr w:type="spellEnd"/>
          </w:p>
        </w:tc>
        <w:tc>
          <w:tcPr>
            <w:tcW w:w="1808" w:type="dxa"/>
            <w:hideMark/>
          </w:tcPr>
          <w:p w14:paraId="17D49BED" w14:textId="5E77EF7A" w:rsidR="0005783A" w:rsidRPr="00045909" w:rsidRDefault="0005783A" w:rsidP="000050A7">
            <w:pPr>
              <w:pStyle w:val="Table"/>
            </w:pPr>
            <w:r w:rsidRPr="00045909">
              <w:t>Kortlægning &lt;0,05 mio. kr</w:t>
            </w:r>
            <w:r>
              <w:t>.</w:t>
            </w:r>
            <w:r w:rsidRPr="00045909">
              <w:t xml:space="preserve"> </w:t>
            </w:r>
          </w:p>
        </w:tc>
        <w:tc>
          <w:tcPr>
            <w:tcW w:w="1532" w:type="dxa"/>
          </w:tcPr>
          <w:p w14:paraId="4F4B9F65" w14:textId="0E76E8E0" w:rsidR="0005783A" w:rsidRPr="00045909" w:rsidRDefault="00627CAC" w:rsidP="000050A7">
            <w:pPr>
              <w:pStyle w:val="Table"/>
            </w:pPr>
            <w:r>
              <w:t>Ingen</w:t>
            </w:r>
          </w:p>
        </w:tc>
        <w:tc>
          <w:tcPr>
            <w:tcW w:w="1532" w:type="dxa"/>
          </w:tcPr>
          <w:p w14:paraId="2CC5AAA0" w14:textId="634CD028" w:rsidR="0005783A" w:rsidRPr="00045909" w:rsidRDefault="0005783A" w:rsidP="000050A7">
            <w:pPr>
              <w:pStyle w:val="Table"/>
            </w:pPr>
            <w:r>
              <w:t>-</w:t>
            </w:r>
          </w:p>
        </w:tc>
      </w:tr>
      <w:tr w:rsidR="0005783A" w:rsidRPr="00222C65" w14:paraId="40F93F37" w14:textId="2C008778" w:rsidTr="0097584A">
        <w:tc>
          <w:tcPr>
            <w:tcW w:w="1394" w:type="dxa"/>
            <w:vMerge/>
          </w:tcPr>
          <w:p w14:paraId="50BC7FD0" w14:textId="77777777" w:rsidR="0005783A" w:rsidRPr="00045909" w:rsidRDefault="0005783A" w:rsidP="000050A7">
            <w:pPr>
              <w:pStyle w:val="Table"/>
            </w:pPr>
          </w:p>
        </w:tc>
        <w:tc>
          <w:tcPr>
            <w:tcW w:w="3197" w:type="dxa"/>
          </w:tcPr>
          <w:p w14:paraId="6A802314" w14:textId="4AC3856D" w:rsidR="0005783A" w:rsidRPr="00045909" w:rsidRDefault="0005783A" w:rsidP="000050A7">
            <w:pPr>
              <w:pStyle w:val="Table"/>
            </w:pPr>
            <w:r>
              <w:t>Udfasning af udstyr, hvis det stadig findes (s</w:t>
            </w:r>
            <w:r w:rsidRPr="00045909">
              <w:t>andsynligvis vil udstyr</w:t>
            </w:r>
            <w:r>
              <w:t xml:space="preserve"> med PCB</w:t>
            </w:r>
            <w:r w:rsidRPr="00045909">
              <w:t xml:space="preserve"> være udfaset</w:t>
            </w:r>
            <w:r>
              <w:t>)</w:t>
            </w:r>
          </w:p>
        </w:tc>
        <w:tc>
          <w:tcPr>
            <w:tcW w:w="1808" w:type="dxa"/>
          </w:tcPr>
          <w:p w14:paraId="50CEB245" w14:textId="324025AB" w:rsidR="0005783A" w:rsidRPr="00045909" w:rsidRDefault="0005783A" w:rsidP="000050A7">
            <w:pPr>
              <w:pStyle w:val="Table"/>
            </w:pPr>
            <w:r>
              <w:t>A</w:t>
            </w:r>
            <w:r w:rsidRPr="00045909">
              <w:t xml:space="preserve">fhænger af resultat af kortlægning. </w:t>
            </w:r>
          </w:p>
        </w:tc>
        <w:tc>
          <w:tcPr>
            <w:tcW w:w="1532" w:type="dxa"/>
          </w:tcPr>
          <w:p w14:paraId="2499F283" w14:textId="02D08E0E" w:rsidR="0005783A" w:rsidRPr="00045909" w:rsidRDefault="00627CAC" w:rsidP="000050A7">
            <w:pPr>
              <w:pStyle w:val="Table"/>
            </w:pPr>
            <w:r>
              <w:t>Ingen</w:t>
            </w:r>
          </w:p>
        </w:tc>
        <w:tc>
          <w:tcPr>
            <w:tcW w:w="1532" w:type="dxa"/>
          </w:tcPr>
          <w:p w14:paraId="2B59D126" w14:textId="5C9E246C" w:rsidR="0005783A" w:rsidRDefault="0005783A" w:rsidP="000050A7">
            <w:pPr>
              <w:pStyle w:val="Table"/>
            </w:pPr>
            <w:r>
              <w:t>-</w:t>
            </w:r>
          </w:p>
        </w:tc>
      </w:tr>
      <w:tr w:rsidR="0005783A" w:rsidRPr="00222C65" w14:paraId="4C325CD5" w14:textId="74F26C67" w:rsidTr="0097584A">
        <w:tc>
          <w:tcPr>
            <w:tcW w:w="1394" w:type="dxa"/>
            <w:vMerge w:val="restart"/>
          </w:tcPr>
          <w:p w14:paraId="38913CAB" w14:textId="4AA01F58" w:rsidR="0005783A" w:rsidRPr="006B1699" w:rsidRDefault="0005783A" w:rsidP="000050A7">
            <w:pPr>
              <w:pStyle w:val="Table"/>
              <w:rPr>
                <w:b/>
                <w:bCs/>
                <w:iCs/>
              </w:rPr>
            </w:pPr>
            <w:r w:rsidRPr="004E612D">
              <w:rPr>
                <w:b/>
                <w:bCs/>
                <w:iCs/>
              </w:rPr>
              <w:t>PFOS</w:t>
            </w:r>
          </w:p>
        </w:tc>
        <w:tc>
          <w:tcPr>
            <w:tcW w:w="3197" w:type="dxa"/>
          </w:tcPr>
          <w:p w14:paraId="36D14151" w14:textId="2C54D718" w:rsidR="0005783A" w:rsidRDefault="0005783A" w:rsidP="000050A7">
            <w:pPr>
              <w:pStyle w:val="Table"/>
              <w:rPr>
                <w:bCs/>
                <w:iCs/>
              </w:rPr>
            </w:pPr>
            <w:r>
              <w:rPr>
                <w:bCs/>
                <w:iCs/>
              </w:rPr>
              <w:t>Forundersøgelse af mulig forekomst af PFOS på brandøvelsespladser</w:t>
            </w:r>
          </w:p>
        </w:tc>
        <w:tc>
          <w:tcPr>
            <w:tcW w:w="1808" w:type="dxa"/>
          </w:tcPr>
          <w:p w14:paraId="14C3880F" w14:textId="11034321" w:rsidR="0005783A" w:rsidRDefault="0005783A" w:rsidP="000050A7">
            <w:pPr>
              <w:pStyle w:val="Table"/>
              <w:rPr>
                <w:bCs/>
                <w:iCs/>
              </w:rPr>
            </w:pPr>
            <w:r>
              <w:rPr>
                <w:bCs/>
                <w:iCs/>
              </w:rPr>
              <w:t>-</w:t>
            </w:r>
          </w:p>
        </w:tc>
        <w:tc>
          <w:tcPr>
            <w:tcW w:w="1532" w:type="dxa"/>
          </w:tcPr>
          <w:p w14:paraId="2C4773CD" w14:textId="2736527E" w:rsidR="0005783A" w:rsidRDefault="0005783A" w:rsidP="000050A7">
            <w:pPr>
              <w:pStyle w:val="Table"/>
              <w:rPr>
                <w:bCs/>
                <w:iCs/>
              </w:rPr>
            </w:pPr>
            <w:r w:rsidRPr="00DE65E6">
              <w:t>0,3</w:t>
            </w:r>
            <w:r w:rsidR="00ED3D86">
              <w:t xml:space="preserve"> </w:t>
            </w:r>
            <w:r w:rsidRPr="00DE65E6">
              <w:t>-</w:t>
            </w:r>
            <w:r w:rsidR="00ED3D86">
              <w:t xml:space="preserve"> </w:t>
            </w:r>
            <w:r w:rsidRPr="00DE65E6">
              <w:t>0,6</w:t>
            </w:r>
          </w:p>
        </w:tc>
        <w:tc>
          <w:tcPr>
            <w:tcW w:w="1532" w:type="dxa"/>
          </w:tcPr>
          <w:p w14:paraId="1335930C" w14:textId="409CB44B" w:rsidR="0005783A" w:rsidRPr="00DE65E6" w:rsidRDefault="00F53024" w:rsidP="000050A7">
            <w:pPr>
              <w:pStyle w:val="Table"/>
            </w:pPr>
            <w:r w:rsidRPr="00F53024">
              <w:t xml:space="preserve">Grønlands Selvstyre </w:t>
            </w:r>
            <w:r w:rsidR="0045083C">
              <w:t>(</w:t>
            </w:r>
            <w:proofErr w:type="spellStart"/>
            <w:r w:rsidR="0045083C" w:rsidRPr="000050A7">
              <w:t>Mittarfeqarfiit</w:t>
            </w:r>
            <w:proofErr w:type="spellEnd"/>
            <w:r w:rsidR="00ED08BE">
              <w:t>)</w:t>
            </w:r>
          </w:p>
        </w:tc>
      </w:tr>
      <w:tr w:rsidR="0005783A" w:rsidRPr="00222C65" w14:paraId="73B91129" w14:textId="40DA7517" w:rsidTr="0097584A">
        <w:tc>
          <w:tcPr>
            <w:tcW w:w="1394" w:type="dxa"/>
            <w:vMerge/>
          </w:tcPr>
          <w:p w14:paraId="07F658EE" w14:textId="77777777" w:rsidR="0005783A" w:rsidRPr="006B1699" w:rsidRDefault="0005783A" w:rsidP="000050A7">
            <w:pPr>
              <w:pStyle w:val="Table"/>
              <w:rPr>
                <w:b/>
                <w:bCs/>
                <w:iCs/>
              </w:rPr>
            </w:pPr>
          </w:p>
        </w:tc>
        <w:tc>
          <w:tcPr>
            <w:tcW w:w="3197" w:type="dxa"/>
          </w:tcPr>
          <w:p w14:paraId="10BE5EB5" w14:textId="720B49C7" w:rsidR="0005783A" w:rsidRDefault="0005783A" w:rsidP="000050A7">
            <w:pPr>
              <w:pStyle w:val="Table"/>
              <w:rPr>
                <w:bCs/>
                <w:iCs/>
              </w:rPr>
            </w:pPr>
            <w:r>
              <w:rPr>
                <w:bCs/>
                <w:iCs/>
              </w:rPr>
              <w:t>Eventuel oprydning eller yderligere undersøgelser af brandøvelsespladser</w:t>
            </w:r>
          </w:p>
        </w:tc>
        <w:tc>
          <w:tcPr>
            <w:tcW w:w="1808" w:type="dxa"/>
          </w:tcPr>
          <w:p w14:paraId="7243FABA" w14:textId="6F752979" w:rsidR="0005783A" w:rsidRDefault="0005783A" w:rsidP="000050A7">
            <w:pPr>
              <w:pStyle w:val="Table"/>
              <w:rPr>
                <w:bCs/>
                <w:iCs/>
              </w:rPr>
            </w:pPr>
            <w:r>
              <w:rPr>
                <w:bCs/>
                <w:iCs/>
              </w:rPr>
              <w:t>-</w:t>
            </w:r>
          </w:p>
        </w:tc>
        <w:tc>
          <w:tcPr>
            <w:tcW w:w="1532" w:type="dxa"/>
          </w:tcPr>
          <w:p w14:paraId="34F69B85" w14:textId="648E3775" w:rsidR="0005783A" w:rsidRDefault="0005783A" w:rsidP="000050A7">
            <w:pPr>
              <w:pStyle w:val="Table"/>
              <w:rPr>
                <w:bCs/>
                <w:iCs/>
              </w:rPr>
            </w:pPr>
            <w:r>
              <w:rPr>
                <w:bCs/>
                <w:iCs/>
              </w:rPr>
              <w:t>Afhænger af resultater af forundersøgelse</w:t>
            </w:r>
          </w:p>
        </w:tc>
        <w:tc>
          <w:tcPr>
            <w:tcW w:w="1532" w:type="dxa"/>
          </w:tcPr>
          <w:p w14:paraId="17CAC3AE" w14:textId="56BD661B" w:rsidR="0005783A" w:rsidRPr="00C72958" w:rsidRDefault="00F53024" w:rsidP="000050A7">
            <w:pPr>
              <w:pStyle w:val="Table"/>
            </w:pPr>
            <w:r w:rsidRPr="00F53024">
              <w:t xml:space="preserve">Grønlands Selvstyre </w:t>
            </w:r>
            <w:r w:rsidR="0045083C">
              <w:t>(</w:t>
            </w:r>
            <w:proofErr w:type="spellStart"/>
            <w:r w:rsidR="0045083C" w:rsidRPr="00FF50AF">
              <w:t>Mittarfeqarfiit</w:t>
            </w:r>
            <w:proofErr w:type="spellEnd"/>
            <w:r w:rsidR="0045083C">
              <w:t>)</w:t>
            </w:r>
          </w:p>
        </w:tc>
      </w:tr>
      <w:tr w:rsidR="0005783A" w:rsidRPr="00222C65" w14:paraId="0EB9F1EF" w14:textId="12CC83D4" w:rsidTr="0097584A">
        <w:tc>
          <w:tcPr>
            <w:tcW w:w="1394" w:type="dxa"/>
            <w:vMerge w:val="restart"/>
          </w:tcPr>
          <w:p w14:paraId="7AE8E3E0" w14:textId="6636F06C" w:rsidR="0005783A" w:rsidRPr="0062571E" w:rsidRDefault="0005783A" w:rsidP="000050A7">
            <w:pPr>
              <w:pStyle w:val="Table"/>
              <w:rPr>
                <w:b/>
                <w:bCs/>
                <w:iCs/>
              </w:rPr>
            </w:pPr>
            <w:r w:rsidRPr="0062571E">
              <w:rPr>
                <w:b/>
                <w:bCs/>
                <w:iCs/>
              </w:rPr>
              <w:lastRenderedPageBreak/>
              <w:t xml:space="preserve">Kortkædede </w:t>
            </w:r>
            <w:proofErr w:type="spellStart"/>
            <w:r w:rsidRPr="0062571E">
              <w:rPr>
                <w:b/>
                <w:bCs/>
                <w:iCs/>
              </w:rPr>
              <w:t>chlorparaffiner</w:t>
            </w:r>
            <w:proofErr w:type="spellEnd"/>
            <w:r w:rsidRPr="0062571E">
              <w:rPr>
                <w:b/>
                <w:bCs/>
                <w:iCs/>
              </w:rPr>
              <w:t xml:space="preserve"> (SCCP)</w:t>
            </w:r>
          </w:p>
        </w:tc>
        <w:tc>
          <w:tcPr>
            <w:tcW w:w="3197" w:type="dxa"/>
          </w:tcPr>
          <w:p w14:paraId="537AF180" w14:textId="29DFBC37" w:rsidR="0005783A" w:rsidRDefault="0005783A" w:rsidP="000050A7">
            <w:pPr>
              <w:pStyle w:val="Table"/>
              <w:rPr>
                <w:bCs/>
                <w:iCs/>
              </w:rPr>
            </w:pPr>
            <w:r>
              <w:rPr>
                <w:bCs/>
                <w:iCs/>
              </w:rPr>
              <w:t>Udbygning af vejledning om håndtering af PCB i bygninger</w:t>
            </w:r>
          </w:p>
        </w:tc>
        <w:tc>
          <w:tcPr>
            <w:tcW w:w="1808" w:type="dxa"/>
          </w:tcPr>
          <w:p w14:paraId="2E8F8F59" w14:textId="53563ECD" w:rsidR="0005783A" w:rsidRDefault="0005783A" w:rsidP="000050A7">
            <w:pPr>
              <w:pStyle w:val="Table"/>
              <w:rPr>
                <w:bCs/>
                <w:iCs/>
              </w:rPr>
            </w:pPr>
            <w:r>
              <w:rPr>
                <w:bCs/>
                <w:iCs/>
              </w:rPr>
              <w:t>-</w:t>
            </w:r>
          </w:p>
        </w:tc>
        <w:tc>
          <w:tcPr>
            <w:tcW w:w="1532" w:type="dxa"/>
          </w:tcPr>
          <w:p w14:paraId="547B069F" w14:textId="0BF5F512" w:rsidR="0005783A" w:rsidRDefault="0005783A" w:rsidP="000050A7">
            <w:pPr>
              <w:pStyle w:val="Table"/>
              <w:rPr>
                <w:bCs/>
                <w:iCs/>
              </w:rPr>
            </w:pPr>
            <w:r>
              <w:rPr>
                <w:bCs/>
                <w:iCs/>
              </w:rPr>
              <w:t xml:space="preserve">0,1 </w:t>
            </w:r>
          </w:p>
        </w:tc>
        <w:tc>
          <w:tcPr>
            <w:tcW w:w="1532" w:type="dxa"/>
          </w:tcPr>
          <w:p w14:paraId="4AEA1AA8" w14:textId="3B02F0E0" w:rsidR="0005783A" w:rsidRPr="00C72958" w:rsidRDefault="00F53024" w:rsidP="000050A7">
            <w:pPr>
              <w:pStyle w:val="Table"/>
            </w:pPr>
            <w:r w:rsidRPr="00F53024">
              <w:t>Grønlands Selvstyre</w:t>
            </w:r>
          </w:p>
        </w:tc>
      </w:tr>
      <w:tr w:rsidR="0005783A" w:rsidRPr="00222C65" w14:paraId="74E98727" w14:textId="411EA746" w:rsidTr="0097584A">
        <w:tc>
          <w:tcPr>
            <w:tcW w:w="1394" w:type="dxa"/>
            <w:vMerge/>
          </w:tcPr>
          <w:p w14:paraId="41330220" w14:textId="77777777" w:rsidR="0005783A" w:rsidRPr="0062571E" w:rsidRDefault="0005783A" w:rsidP="000050A7">
            <w:pPr>
              <w:pStyle w:val="Table"/>
              <w:rPr>
                <w:b/>
                <w:bCs/>
                <w:iCs/>
              </w:rPr>
            </w:pPr>
          </w:p>
        </w:tc>
        <w:tc>
          <w:tcPr>
            <w:tcW w:w="3197" w:type="dxa"/>
          </w:tcPr>
          <w:p w14:paraId="5CE55007" w14:textId="64B2570B" w:rsidR="0005783A" w:rsidRDefault="0005783A" w:rsidP="000050A7">
            <w:pPr>
              <w:pStyle w:val="Table"/>
              <w:rPr>
                <w:bCs/>
                <w:iCs/>
              </w:rPr>
            </w:pPr>
            <w:r>
              <w:rPr>
                <w:bCs/>
                <w:iCs/>
              </w:rPr>
              <w:t>Ekstraomkostninger til kortlægning og håndtering af SCCP i byggeriet</w:t>
            </w:r>
          </w:p>
        </w:tc>
        <w:tc>
          <w:tcPr>
            <w:tcW w:w="1808" w:type="dxa"/>
          </w:tcPr>
          <w:p w14:paraId="643C048B" w14:textId="71A5EF04" w:rsidR="0005783A" w:rsidRDefault="0005783A" w:rsidP="000050A7">
            <w:pPr>
              <w:pStyle w:val="Table"/>
              <w:rPr>
                <w:bCs/>
                <w:iCs/>
              </w:rPr>
            </w:pPr>
            <w:r>
              <w:rPr>
                <w:bCs/>
                <w:iCs/>
              </w:rPr>
              <w:t>-</w:t>
            </w:r>
          </w:p>
        </w:tc>
        <w:tc>
          <w:tcPr>
            <w:tcW w:w="1532" w:type="dxa"/>
          </w:tcPr>
          <w:p w14:paraId="6D8726D4" w14:textId="3742B804" w:rsidR="0005783A" w:rsidRDefault="0005783A" w:rsidP="000050A7">
            <w:pPr>
              <w:pStyle w:val="Table"/>
              <w:rPr>
                <w:bCs/>
                <w:iCs/>
              </w:rPr>
            </w:pPr>
            <w:r>
              <w:rPr>
                <w:bCs/>
                <w:iCs/>
              </w:rPr>
              <w:t>0,5 -</w:t>
            </w:r>
            <w:r w:rsidR="00ED3D86">
              <w:rPr>
                <w:bCs/>
                <w:iCs/>
              </w:rPr>
              <w:t xml:space="preserve"> </w:t>
            </w:r>
            <w:r>
              <w:rPr>
                <w:bCs/>
                <w:iCs/>
              </w:rPr>
              <w:t>2</w:t>
            </w:r>
            <w:r w:rsidR="00ED3D86">
              <w:t>,0</w:t>
            </w:r>
          </w:p>
        </w:tc>
        <w:tc>
          <w:tcPr>
            <w:tcW w:w="1532" w:type="dxa"/>
          </w:tcPr>
          <w:p w14:paraId="5004008B" w14:textId="7ADF9DC2" w:rsidR="0005783A" w:rsidRDefault="0005783A" w:rsidP="00F53024">
            <w:pPr>
              <w:pStyle w:val="Table"/>
              <w:rPr>
                <w:bCs/>
                <w:iCs/>
              </w:rPr>
            </w:pPr>
            <w:r>
              <w:t>Bygningsejere (</w:t>
            </w:r>
            <w:r w:rsidR="00F53024" w:rsidRPr="00F53024">
              <w:t>Grønlands Selvstyre</w:t>
            </w:r>
            <w:r>
              <w:t>, kommuner, private)</w:t>
            </w:r>
          </w:p>
        </w:tc>
      </w:tr>
      <w:tr w:rsidR="0005783A" w:rsidRPr="00222C65" w14:paraId="1A6924F4" w14:textId="570AFA48" w:rsidTr="0097584A">
        <w:tc>
          <w:tcPr>
            <w:tcW w:w="1394" w:type="dxa"/>
          </w:tcPr>
          <w:p w14:paraId="2843879F" w14:textId="70ACA5F3" w:rsidR="0005783A" w:rsidRPr="0062571E" w:rsidRDefault="0005783A" w:rsidP="000050A7">
            <w:pPr>
              <w:pStyle w:val="Table"/>
              <w:rPr>
                <w:b/>
                <w:bCs/>
                <w:iCs/>
              </w:rPr>
            </w:pPr>
            <w:proofErr w:type="spellStart"/>
            <w:r w:rsidRPr="0062571E">
              <w:rPr>
                <w:b/>
                <w:bCs/>
                <w:iCs/>
              </w:rPr>
              <w:t>Bromerede</w:t>
            </w:r>
            <w:proofErr w:type="spellEnd"/>
            <w:r w:rsidRPr="0062571E">
              <w:rPr>
                <w:b/>
                <w:bCs/>
                <w:iCs/>
              </w:rPr>
              <w:t xml:space="preserve"> </w:t>
            </w:r>
            <w:proofErr w:type="spellStart"/>
            <w:r w:rsidRPr="0062571E">
              <w:rPr>
                <w:b/>
                <w:bCs/>
                <w:iCs/>
              </w:rPr>
              <w:t>flammehæmmere</w:t>
            </w:r>
            <w:proofErr w:type="spellEnd"/>
            <w:r>
              <w:rPr>
                <w:b/>
                <w:bCs/>
                <w:iCs/>
              </w:rPr>
              <w:t>, pesticider og andre stoffer</w:t>
            </w:r>
          </w:p>
        </w:tc>
        <w:tc>
          <w:tcPr>
            <w:tcW w:w="3197" w:type="dxa"/>
          </w:tcPr>
          <w:p w14:paraId="41B6AC2A" w14:textId="328DC633" w:rsidR="0005783A" w:rsidRDefault="0005783A" w:rsidP="000050A7">
            <w:pPr>
              <w:pStyle w:val="Table"/>
              <w:rPr>
                <w:bCs/>
                <w:iCs/>
              </w:rPr>
            </w:pPr>
            <w:r>
              <w:rPr>
                <w:bCs/>
                <w:iCs/>
              </w:rPr>
              <w:t>Der vurderes ikke at være omkostninger knyttet til disse stoffer</w:t>
            </w:r>
          </w:p>
        </w:tc>
        <w:tc>
          <w:tcPr>
            <w:tcW w:w="1808" w:type="dxa"/>
          </w:tcPr>
          <w:p w14:paraId="17F79317" w14:textId="6AF7D60D" w:rsidR="0005783A" w:rsidRDefault="0005783A" w:rsidP="000050A7">
            <w:pPr>
              <w:pStyle w:val="Table"/>
              <w:rPr>
                <w:bCs/>
                <w:iCs/>
              </w:rPr>
            </w:pPr>
            <w:r>
              <w:rPr>
                <w:bCs/>
                <w:iCs/>
              </w:rPr>
              <w:t>-</w:t>
            </w:r>
          </w:p>
        </w:tc>
        <w:tc>
          <w:tcPr>
            <w:tcW w:w="1532" w:type="dxa"/>
          </w:tcPr>
          <w:p w14:paraId="0FD285F1" w14:textId="6FB41A41" w:rsidR="0005783A" w:rsidRDefault="00627CAC" w:rsidP="000050A7">
            <w:pPr>
              <w:pStyle w:val="Table"/>
              <w:rPr>
                <w:bCs/>
                <w:iCs/>
              </w:rPr>
            </w:pPr>
            <w:r>
              <w:t>Ingen</w:t>
            </w:r>
          </w:p>
        </w:tc>
        <w:tc>
          <w:tcPr>
            <w:tcW w:w="1532" w:type="dxa"/>
          </w:tcPr>
          <w:p w14:paraId="5B30928B" w14:textId="7656CDE1" w:rsidR="0005783A" w:rsidRDefault="00627CAC" w:rsidP="000050A7">
            <w:pPr>
              <w:pStyle w:val="Table"/>
              <w:rPr>
                <w:bCs/>
                <w:iCs/>
              </w:rPr>
            </w:pPr>
            <w:r>
              <w:rPr>
                <w:bCs/>
                <w:iCs/>
              </w:rPr>
              <w:t>-</w:t>
            </w:r>
          </w:p>
        </w:tc>
      </w:tr>
      <w:tr w:rsidR="0005783A" w:rsidRPr="00222C65" w14:paraId="068AB4A4" w14:textId="180F1EFD" w:rsidTr="0097584A">
        <w:tc>
          <w:tcPr>
            <w:tcW w:w="1394" w:type="dxa"/>
          </w:tcPr>
          <w:p w14:paraId="52745F08" w14:textId="7226B467" w:rsidR="0005783A" w:rsidRPr="0062571E" w:rsidRDefault="0005783A" w:rsidP="000050A7">
            <w:pPr>
              <w:pStyle w:val="Table"/>
              <w:rPr>
                <w:b/>
                <w:bCs/>
                <w:iCs/>
              </w:rPr>
            </w:pPr>
            <w:r w:rsidRPr="0062571E">
              <w:rPr>
                <w:b/>
                <w:bCs/>
                <w:iCs/>
              </w:rPr>
              <w:t>Folkeoplysning</w:t>
            </w:r>
          </w:p>
        </w:tc>
        <w:tc>
          <w:tcPr>
            <w:tcW w:w="3197" w:type="dxa"/>
          </w:tcPr>
          <w:p w14:paraId="556EA83F" w14:textId="5626F1F4" w:rsidR="0005783A" w:rsidRDefault="0005783A" w:rsidP="000050A7">
            <w:pPr>
              <w:pStyle w:val="Table"/>
              <w:rPr>
                <w:bCs/>
                <w:iCs/>
              </w:rPr>
            </w:pPr>
            <w:r>
              <w:rPr>
                <w:bCs/>
                <w:iCs/>
              </w:rPr>
              <w:t>Udarbejdelse af oplysningsmateriale til kommuner og befolkning og udbredelse af dette materiale</w:t>
            </w:r>
          </w:p>
        </w:tc>
        <w:tc>
          <w:tcPr>
            <w:tcW w:w="1808" w:type="dxa"/>
          </w:tcPr>
          <w:p w14:paraId="113959C6" w14:textId="2AFC3C21" w:rsidR="0005783A" w:rsidRDefault="0005783A" w:rsidP="000050A7">
            <w:pPr>
              <w:pStyle w:val="Table"/>
              <w:rPr>
                <w:bCs/>
                <w:iCs/>
              </w:rPr>
            </w:pPr>
            <w:r>
              <w:rPr>
                <w:bCs/>
                <w:iCs/>
              </w:rPr>
              <w:t>-</w:t>
            </w:r>
          </w:p>
        </w:tc>
        <w:tc>
          <w:tcPr>
            <w:tcW w:w="1532" w:type="dxa"/>
          </w:tcPr>
          <w:p w14:paraId="6035AF15" w14:textId="438CA850" w:rsidR="0005783A" w:rsidRPr="000050A7" w:rsidRDefault="00ED3D86" w:rsidP="000050A7">
            <w:pPr>
              <w:pStyle w:val="Table"/>
              <w:jc w:val="center"/>
              <w:rPr>
                <w:bCs/>
                <w:iCs/>
                <w:color w:val="000000" w:themeColor="text1"/>
              </w:rPr>
            </w:pPr>
            <w:bookmarkStart w:id="11" w:name="_Hlk8634396"/>
            <w:r w:rsidRPr="000050A7">
              <w:rPr>
                <w:bCs/>
                <w:iCs/>
                <w:color w:val="000000" w:themeColor="text1"/>
              </w:rPr>
              <w:t>0,025 - 0,1</w:t>
            </w:r>
            <w:bookmarkEnd w:id="11"/>
            <w:r w:rsidRPr="000050A7">
              <w:rPr>
                <w:bCs/>
                <w:iCs/>
                <w:color w:val="000000" w:themeColor="text1"/>
              </w:rPr>
              <w:t xml:space="preserve"> </w:t>
            </w:r>
          </w:p>
        </w:tc>
        <w:tc>
          <w:tcPr>
            <w:tcW w:w="1532" w:type="dxa"/>
          </w:tcPr>
          <w:p w14:paraId="17248437" w14:textId="6B601656" w:rsidR="0005783A" w:rsidRDefault="00F53024" w:rsidP="000050A7">
            <w:pPr>
              <w:pStyle w:val="Table"/>
              <w:rPr>
                <w:bCs/>
                <w:iCs/>
              </w:rPr>
            </w:pPr>
            <w:r w:rsidRPr="00F53024">
              <w:t>Grønlands Selvstyre</w:t>
            </w:r>
          </w:p>
        </w:tc>
      </w:tr>
      <w:tr w:rsidR="0005783A" w:rsidRPr="00222C65" w14:paraId="26C68A29" w14:textId="636996C3" w:rsidTr="0097584A">
        <w:tc>
          <w:tcPr>
            <w:tcW w:w="1394" w:type="dxa"/>
            <w:vMerge w:val="restart"/>
          </w:tcPr>
          <w:p w14:paraId="1BD3CF92" w14:textId="51E3CAEE" w:rsidR="0005783A" w:rsidRPr="0062571E" w:rsidRDefault="0005783A" w:rsidP="000050A7">
            <w:pPr>
              <w:pStyle w:val="Table"/>
              <w:rPr>
                <w:b/>
                <w:bCs/>
                <w:iCs/>
              </w:rPr>
            </w:pPr>
            <w:r w:rsidRPr="0062571E">
              <w:rPr>
                <w:b/>
                <w:bCs/>
                <w:iCs/>
              </w:rPr>
              <w:t>Administrative omkostninger</w:t>
            </w:r>
          </w:p>
        </w:tc>
        <w:tc>
          <w:tcPr>
            <w:tcW w:w="3197" w:type="dxa"/>
          </w:tcPr>
          <w:p w14:paraId="10BCC404" w14:textId="0621D670" w:rsidR="0005783A" w:rsidRDefault="0005783A" w:rsidP="000050A7">
            <w:pPr>
              <w:pStyle w:val="Table"/>
              <w:rPr>
                <w:bCs/>
                <w:iCs/>
              </w:rPr>
            </w:pPr>
            <w:r>
              <w:rPr>
                <w:bCs/>
                <w:iCs/>
              </w:rPr>
              <w:t xml:space="preserve">Udarbejdelse af bekendtgørelse (evt. sammen med krav i relation til </w:t>
            </w:r>
            <w:proofErr w:type="spellStart"/>
            <w:r>
              <w:rPr>
                <w:bCs/>
                <w:iCs/>
              </w:rPr>
              <w:t>Minamatakonventionen</w:t>
            </w:r>
            <w:proofErr w:type="spellEnd"/>
            <w:r>
              <w:rPr>
                <w:bCs/>
                <w:iCs/>
              </w:rPr>
              <w:t>)</w:t>
            </w:r>
          </w:p>
        </w:tc>
        <w:tc>
          <w:tcPr>
            <w:tcW w:w="1808" w:type="dxa"/>
          </w:tcPr>
          <w:p w14:paraId="34B88B58" w14:textId="1ABD17E1" w:rsidR="0005783A" w:rsidRDefault="0005783A" w:rsidP="000050A7">
            <w:pPr>
              <w:pStyle w:val="Table"/>
              <w:rPr>
                <w:bCs/>
                <w:iCs/>
              </w:rPr>
            </w:pPr>
            <w:r>
              <w:rPr>
                <w:bCs/>
                <w:iCs/>
              </w:rPr>
              <w:t>-</w:t>
            </w:r>
          </w:p>
        </w:tc>
        <w:tc>
          <w:tcPr>
            <w:tcW w:w="1532" w:type="dxa"/>
          </w:tcPr>
          <w:p w14:paraId="469A2035" w14:textId="7414A217" w:rsidR="0005783A" w:rsidRPr="000050A7" w:rsidRDefault="00ED3D86" w:rsidP="000050A7">
            <w:pPr>
              <w:pStyle w:val="Table"/>
              <w:jc w:val="center"/>
              <w:rPr>
                <w:bCs/>
                <w:iCs/>
                <w:color w:val="000000" w:themeColor="text1"/>
              </w:rPr>
            </w:pPr>
            <w:r w:rsidRPr="000050A7">
              <w:rPr>
                <w:bCs/>
                <w:iCs/>
                <w:color w:val="000000" w:themeColor="text1"/>
              </w:rPr>
              <w:t>0,</w:t>
            </w:r>
            <w:r w:rsidR="00DD34B3">
              <w:rPr>
                <w:bCs/>
                <w:iCs/>
                <w:color w:val="000000" w:themeColor="text1"/>
              </w:rPr>
              <w:t>1</w:t>
            </w:r>
            <w:r w:rsidRPr="000050A7">
              <w:rPr>
                <w:bCs/>
                <w:iCs/>
                <w:color w:val="000000" w:themeColor="text1"/>
              </w:rPr>
              <w:t>-0,</w:t>
            </w:r>
            <w:r w:rsidR="00DD34B3">
              <w:rPr>
                <w:bCs/>
                <w:iCs/>
                <w:color w:val="000000" w:themeColor="text1"/>
              </w:rPr>
              <w:t>2</w:t>
            </w:r>
          </w:p>
        </w:tc>
        <w:tc>
          <w:tcPr>
            <w:tcW w:w="1532" w:type="dxa"/>
          </w:tcPr>
          <w:p w14:paraId="64C9A894" w14:textId="569B3780" w:rsidR="0005783A" w:rsidRDefault="00F53024" w:rsidP="000050A7">
            <w:pPr>
              <w:pStyle w:val="Table"/>
              <w:rPr>
                <w:bCs/>
                <w:iCs/>
              </w:rPr>
            </w:pPr>
            <w:r w:rsidRPr="00F53024">
              <w:t>Grønlands Selvstyre</w:t>
            </w:r>
          </w:p>
        </w:tc>
      </w:tr>
      <w:tr w:rsidR="00ED3D86" w:rsidRPr="00222C65" w14:paraId="03BE0C92" w14:textId="4AA6EFAE" w:rsidTr="0097584A">
        <w:tc>
          <w:tcPr>
            <w:tcW w:w="1394" w:type="dxa"/>
            <w:vMerge/>
          </w:tcPr>
          <w:p w14:paraId="2E96C969" w14:textId="77777777" w:rsidR="00ED3D86" w:rsidRDefault="00ED3D86" w:rsidP="000050A7">
            <w:pPr>
              <w:pStyle w:val="Table"/>
              <w:rPr>
                <w:bCs/>
                <w:iCs/>
              </w:rPr>
            </w:pPr>
          </w:p>
        </w:tc>
        <w:tc>
          <w:tcPr>
            <w:tcW w:w="3197" w:type="dxa"/>
          </w:tcPr>
          <w:p w14:paraId="69B98122" w14:textId="47DE3A46" w:rsidR="00ED3D86" w:rsidRDefault="00ED3D86" w:rsidP="000050A7">
            <w:pPr>
              <w:pStyle w:val="Table"/>
              <w:rPr>
                <w:bCs/>
                <w:iCs/>
              </w:rPr>
            </w:pPr>
            <w:r>
              <w:rPr>
                <w:bCs/>
                <w:iCs/>
              </w:rPr>
              <w:t>Udarbejdelse af</w:t>
            </w:r>
            <w:r w:rsidR="00DD34B3">
              <w:rPr>
                <w:bCs/>
                <w:iCs/>
              </w:rPr>
              <w:t xml:space="preserve"> bidrag til</w:t>
            </w:r>
            <w:r>
              <w:rPr>
                <w:bCs/>
                <w:iCs/>
              </w:rPr>
              <w:t xml:space="preserve"> implementeringsplaner samt anden rapportering</w:t>
            </w:r>
          </w:p>
        </w:tc>
        <w:tc>
          <w:tcPr>
            <w:tcW w:w="1808" w:type="dxa"/>
          </w:tcPr>
          <w:p w14:paraId="0C9BD3D7" w14:textId="3433E3D3" w:rsidR="00ED3D86" w:rsidRDefault="00ED3D86" w:rsidP="000050A7">
            <w:pPr>
              <w:pStyle w:val="Table"/>
              <w:rPr>
                <w:bCs/>
                <w:iCs/>
              </w:rPr>
            </w:pPr>
            <w:r>
              <w:rPr>
                <w:bCs/>
                <w:iCs/>
              </w:rPr>
              <w:t>-</w:t>
            </w:r>
          </w:p>
        </w:tc>
        <w:tc>
          <w:tcPr>
            <w:tcW w:w="1532" w:type="dxa"/>
          </w:tcPr>
          <w:p w14:paraId="511A9474" w14:textId="70BD6D4E" w:rsidR="00ED3D86" w:rsidRPr="000050A7" w:rsidRDefault="00ED3D86" w:rsidP="000050A7">
            <w:pPr>
              <w:pStyle w:val="Table"/>
              <w:jc w:val="center"/>
              <w:rPr>
                <w:bCs/>
                <w:iCs/>
                <w:color w:val="000000" w:themeColor="text1"/>
              </w:rPr>
            </w:pPr>
            <w:r w:rsidRPr="000050A7">
              <w:rPr>
                <w:bCs/>
                <w:iCs/>
                <w:color w:val="000000" w:themeColor="text1"/>
              </w:rPr>
              <w:t xml:space="preserve">Første plan: </w:t>
            </w:r>
            <w:bookmarkStart w:id="12" w:name="_Hlk8634221"/>
            <w:r w:rsidRPr="000050A7">
              <w:rPr>
                <w:bCs/>
                <w:iCs/>
                <w:color w:val="000000" w:themeColor="text1"/>
              </w:rPr>
              <w:t>0,025-0,05</w:t>
            </w:r>
            <w:bookmarkEnd w:id="12"/>
            <w:r w:rsidRPr="000050A7">
              <w:rPr>
                <w:bCs/>
                <w:iCs/>
                <w:color w:val="000000" w:themeColor="text1"/>
              </w:rPr>
              <w:t xml:space="preserve">; Hvert 6. år: </w:t>
            </w:r>
            <w:r w:rsidRPr="000050A7">
              <w:rPr>
                <w:color w:val="000000" w:themeColor="text1"/>
              </w:rPr>
              <w:t>0,013</w:t>
            </w:r>
          </w:p>
        </w:tc>
        <w:tc>
          <w:tcPr>
            <w:tcW w:w="1532" w:type="dxa"/>
          </w:tcPr>
          <w:p w14:paraId="0145CD77" w14:textId="1BAD201D" w:rsidR="00ED3D86" w:rsidRDefault="00F53024" w:rsidP="000050A7">
            <w:pPr>
              <w:pStyle w:val="Table"/>
              <w:rPr>
                <w:bCs/>
                <w:iCs/>
              </w:rPr>
            </w:pPr>
            <w:r w:rsidRPr="00F53024">
              <w:t>Grønlands Selvstyre</w:t>
            </w:r>
          </w:p>
        </w:tc>
      </w:tr>
      <w:tr w:rsidR="00ED3D86" w:rsidRPr="00222C65" w14:paraId="507B93D1" w14:textId="0FA743B1" w:rsidTr="0097584A">
        <w:tc>
          <w:tcPr>
            <w:tcW w:w="1394" w:type="dxa"/>
          </w:tcPr>
          <w:p w14:paraId="6D9274A9" w14:textId="7D75797B" w:rsidR="00ED3D86" w:rsidRDefault="00ED3D86" w:rsidP="000050A7">
            <w:pPr>
              <w:pStyle w:val="Table"/>
              <w:rPr>
                <w:bCs/>
                <w:iCs/>
              </w:rPr>
            </w:pPr>
            <w:r>
              <w:rPr>
                <w:bCs/>
                <w:iCs/>
              </w:rPr>
              <w:t xml:space="preserve">I alt </w:t>
            </w:r>
          </w:p>
        </w:tc>
        <w:tc>
          <w:tcPr>
            <w:tcW w:w="3197" w:type="dxa"/>
          </w:tcPr>
          <w:p w14:paraId="269257E7" w14:textId="77777777" w:rsidR="00ED3D86" w:rsidRDefault="00ED3D86" w:rsidP="000050A7">
            <w:pPr>
              <w:pStyle w:val="Table"/>
              <w:rPr>
                <w:bCs/>
                <w:iCs/>
              </w:rPr>
            </w:pPr>
          </w:p>
        </w:tc>
        <w:tc>
          <w:tcPr>
            <w:tcW w:w="1808" w:type="dxa"/>
          </w:tcPr>
          <w:p w14:paraId="574310F5" w14:textId="77777777" w:rsidR="00ED3D86" w:rsidRDefault="00ED3D86" w:rsidP="000050A7">
            <w:pPr>
              <w:pStyle w:val="Table"/>
              <w:rPr>
                <w:bCs/>
                <w:iCs/>
              </w:rPr>
            </w:pPr>
          </w:p>
        </w:tc>
        <w:tc>
          <w:tcPr>
            <w:tcW w:w="1532" w:type="dxa"/>
          </w:tcPr>
          <w:p w14:paraId="073CD285" w14:textId="66AB3D32" w:rsidR="00ED3D86" w:rsidRPr="000050A7" w:rsidRDefault="00A6746D" w:rsidP="000050A7">
            <w:pPr>
              <w:pStyle w:val="Table"/>
              <w:jc w:val="center"/>
              <w:rPr>
                <w:bCs/>
                <w:iCs/>
                <w:color w:val="000000" w:themeColor="text1"/>
              </w:rPr>
            </w:pPr>
            <w:r w:rsidRPr="000050A7">
              <w:rPr>
                <w:bCs/>
                <w:iCs/>
                <w:color w:val="000000" w:themeColor="text1"/>
              </w:rPr>
              <w:t>1,</w:t>
            </w:r>
            <w:r w:rsidR="00DD34B3">
              <w:rPr>
                <w:bCs/>
                <w:iCs/>
                <w:color w:val="000000" w:themeColor="text1"/>
              </w:rPr>
              <w:t>1</w:t>
            </w:r>
            <w:r w:rsidR="00DD34B3" w:rsidRPr="000050A7">
              <w:rPr>
                <w:bCs/>
                <w:iCs/>
                <w:color w:val="000000" w:themeColor="text1"/>
              </w:rPr>
              <w:t xml:space="preserve"> </w:t>
            </w:r>
            <w:r w:rsidRPr="000050A7">
              <w:rPr>
                <w:bCs/>
                <w:iCs/>
                <w:color w:val="000000" w:themeColor="text1"/>
              </w:rPr>
              <w:t>- 3,</w:t>
            </w:r>
            <w:r w:rsidR="00DD34B3">
              <w:rPr>
                <w:bCs/>
                <w:iCs/>
                <w:color w:val="000000" w:themeColor="text1"/>
              </w:rPr>
              <w:t>1</w:t>
            </w:r>
            <w:r w:rsidR="00DD34B3" w:rsidRPr="000050A7">
              <w:rPr>
                <w:bCs/>
                <w:iCs/>
                <w:color w:val="000000" w:themeColor="text1"/>
              </w:rPr>
              <w:t xml:space="preserve"> </w:t>
            </w:r>
            <w:r w:rsidRPr="000050A7">
              <w:rPr>
                <w:bCs/>
                <w:iCs/>
                <w:color w:val="000000" w:themeColor="text1"/>
              </w:rPr>
              <w:t>(inkl. første implementeringsplan)</w:t>
            </w:r>
          </w:p>
          <w:p w14:paraId="42EE7141" w14:textId="5B86D9B6" w:rsidR="00ED3D86" w:rsidRPr="000050A7" w:rsidRDefault="00ED3D86" w:rsidP="000050A7">
            <w:pPr>
              <w:pStyle w:val="Table"/>
              <w:jc w:val="center"/>
              <w:rPr>
                <w:bCs/>
                <w:iCs/>
                <w:color w:val="000000" w:themeColor="text1"/>
              </w:rPr>
            </w:pPr>
          </w:p>
        </w:tc>
        <w:tc>
          <w:tcPr>
            <w:tcW w:w="1532" w:type="dxa"/>
          </w:tcPr>
          <w:p w14:paraId="1EDC9786" w14:textId="77777777" w:rsidR="00ED3D86" w:rsidRDefault="00ED3D86" w:rsidP="000050A7">
            <w:pPr>
              <w:pStyle w:val="Table"/>
              <w:rPr>
                <w:bCs/>
                <w:iCs/>
              </w:rPr>
            </w:pPr>
          </w:p>
        </w:tc>
      </w:tr>
    </w:tbl>
    <w:p w14:paraId="0A246D57" w14:textId="5F5AFB40" w:rsidR="00B02C92" w:rsidRDefault="00B02C92" w:rsidP="000050A7">
      <w:pPr>
        <w:pStyle w:val="Table"/>
      </w:pPr>
    </w:p>
    <w:p w14:paraId="2621A607" w14:textId="444E5142" w:rsidR="00B80C01" w:rsidRDefault="00B80C01" w:rsidP="004D57DA">
      <w:pPr>
        <w:pStyle w:val="Brdtekst"/>
      </w:pPr>
      <w:r>
        <w:t xml:space="preserve"> </w:t>
      </w:r>
    </w:p>
    <w:p w14:paraId="59735D98" w14:textId="17111EB2" w:rsidR="00C11551" w:rsidRDefault="00C11551" w:rsidP="009140D4">
      <w:pPr>
        <w:pStyle w:val="Brdtekst"/>
      </w:pPr>
    </w:p>
    <w:p w14:paraId="7D6CF6CB" w14:textId="77777777" w:rsidR="004D57DA" w:rsidRDefault="004D57DA" w:rsidP="004D57DA">
      <w:pPr>
        <w:pStyle w:val="Overskrift1"/>
      </w:pPr>
      <w:bookmarkStart w:id="13" w:name="_Toc469053530"/>
      <w:bookmarkStart w:id="14" w:name="_Toc469057811"/>
      <w:bookmarkStart w:id="15" w:name="_Toc469304909"/>
      <w:bookmarkStart w:id="16" w:name="_Toc10205703"/>
      <w:r>
        <w:lastRenderedPageBreak/>
        <w:t>Baggrund</w:t>
      </w:r>
      <w:bookmarkEnd w:id="13"/>
      <w:bookmarkEnd w:id="14"/>
      <w:bookmarkEnd w:id="15"/>
      <w:bookmarkEnd w:id="16"/>
      <w:r>
        <w:t xml:space="preserve"> </w:t>
      </w:r>
    </w:p>
    <w:p w14:paraId="7D6CF6CC" w14:textId="52579229" w:rsidR="00525EDC" w:rsidRDefault="004D57DA" w:rsidP="00525EDC">
      <w:pPr>
        <w:pStyle w:val="Brdtekst"/>
      </w:pPr>
      <w:r w:rsidRPr="004D57DA">
        <w:t xml:space="preserve">Stockholmkonventionen om </w:t>
      </w:r>
      <w:proofErr w:type="spellStart"/>
      <w:r w:rsidRPr="004D57DA">
        <w:t>persistente</w:t>
      </w:r>
      <w:proofErr w:type="spellEnd"/>
      <w:r w:rsidRPr="004D57DA">
        <w:t xml:space="preserve"> organiske </w:t>
      </w:r>
      <w:r w:rsidR="00827779">
        <w:t xml:space="preserve">miljøgifte </w:t>
      </w:r>
      <w:r w:rsidRPr="004D57DA">
        <w:t xml:space="preserve">(refereret til som POP-stoffer) blev vedtaget i maj 2001 og trådte i kraft 17. maj 2004. Formålet med konventionen er at beskytte menneskers sundhed og miljøet imod POP-stofferne. Konventionen forpligter parterne til at forbyde og/eller træffe de retslige og administrative foranstaltninger, der er nødvendige for at eliminere produktion, import, eksport og brug af en række POP-stoffer. Derudover skal parterne træffe foranstaltninger til at </w:t>
      </w:r>
      <w:r w:rsidR="00525EDC">
        <w:t>reducere udslip fra utilsigtet dannelse af</w:t>
      </w:r>
      <w:r w:rsidR="003A645E">
        <w:t xml:space="preserve"> </w:t>
      </w:r>
      <w:r w:rsidR="00525EDC" w:rsidRPr="004D57DA">
        <w:t>dioxiner</w:t>
      </w:r>
      <w:r w:rsidR="00525EDC">
        <w:t xml:space="preserve"> og andre POP-stoffer. Konventionen omfattede i første omgang 12 stoffer (ofte omtalt som det beskidte dusin) og er senere blevet udvidet med 1</w:t>
      </w:r>
      <w:r w:rsidR="009E1AE5">
        <w:t>6</w:t>
      </w:r>
      <w:r w:rsidR="00525EDC">
        <w:t xml:space="preserve"> nye stoffer (ofte omtalt som "nye" POP-stoffer), så den nu omfatter </w:t>
      </w:r>
      <w:r w:rsidR="009E1AE5">
        <w:t xml:space="preserve">28 </w:t>
      </w:r>
      <w:r w:rsidR="00525EDC">
        <w:t xml:space="preserve">stoffer. </w:t>
      </w:r>
    </w:p>
    <w:p w14:paraId="7D6CF6CD" w14:textId="048F176C" w:rsidR="004D57DA" w:rsidRDefault="004D57DA" w:rsidP="00525EDC">
      <w:pPr>
        <w:pStyle w:val="Brdtekst"/>
      </w:pPr>
      <w:r w:rsidRPr="004D57DA">
        <w:t xml:space="preserve">Danmark ratificerede konventionen 17. december 2003 med territorialt forbehold for Grønland og Færøerne. Danmarks territoriale forbehold for Færøerne blev tilbagekaldt med virkning fra 10. februar 2012 </w:t>
      </w:r>
      <w:r w:rsidR="0045083C">
        <w:t>som annonceret i</w:t>
      </w:r>
      <w:r w:rsidR="0045083C" w:rsidRPr="004D57DA">
        <w:t xml:space="preserve"> </w:t>
      </w:r>
      <w:r w:rsidRPr="004D57DA">
        <w:t xml:space="preserve">Udenrigsministeriets bekendtgørelse nr. 19 af 19 juni 2012 (BKI nr. 19 af 19/06/2012). </w:t>
      </w:r>
    </w:p>
    <w:p w14:paraId="7D6CF6CE" w14:textId="77777777" w:rsidR="00525EDC" w:rsidRDefault="004D57DA" w:rsidP="00525EDC">
      <w:pPr>
        <w:pStyle w:val="Brdtekst"/>
      </w:pPr>
      <w:r w:rsidRPr="004D57DA">
        <w:t xml:space="preserve">Forbeholdet for Grønland er stadig gældende. </w:t>
      </w:r>
    </w:p>
    <w:p w14:paraId="7D6CF6CF" w14:textId="4E5F803D" w:rsidR="00525EDC" w:rsidRDefault="00525EDC" w:rsidP="00525EDC">
      <w:pPr>
        <w:pStyle w:val="Brdtekst"/>
      </w:pPr>
      <w:r>
        <w:t>Den f</w:t>
      </w:r>
      <w:r w:rsidRPr="00FF1CA1">
        <w:t>ørste danske</w:t>
      </w:r>
      <w:r>
        <w:t xml:space="preserve"> nationale implementeringsplan blev udarbejdet i 2006 (Miljøministeriet</w:t>
      </w:r>
      <w:r w:rsidR="00A862FA">
        <w:t>,</w:t>
      </w:r>
      <w:r>
        <w:t xml:space="preserve"> 2006). En opdateret </w:t>
      </w:r>
      <w:r w:rsidRPr="00FF1CA1">
        <w:t>dansk national implementeringsplan</w:t>
      </w:r>
      <w:r>
        <w:t xml:space="preserve"> blev udarbejdet i 2012, som beskrev udviklingen siden den første plan samt </w:t>
      </w:r>
      <w:proofErr w:type="spellStart"/>
      <w:r w:rsidR="000050A7">
        <w:t>landebasislinie</w:t>
      </w:r>
      <w:proofErr w:type="spellEnd"/>
      <w:r>
        <w:t xml:space="preserve"> og handlingsplaner for de nye POP-stoffer</w:t>
      </w:r>
      <w:r w:rsidR="007348EE">
        <w:t xml:space="preserve"> </w:t>
      </w:r>
      <w:r>
        <w:t xml:space="preserve">(Lassen </w:t>
      </w:r>
      <w:r w:rsidR="00413477">
        <w:t>m.fl.</w:t>
      </w:r>
      <w:r w:rsidR="00187F22">
        <w:t>,</w:t>
      </w:r>
      <w:r>
        <w:t xml:space="preserve"> 2013</w:t>
      </w:r>
      <w:r w:rsidR="00187F22">
        <w:t>a</w:t>
      </w:r>
      <w:r>
        <w:t>)</w:t>
      </w:r>
      <w:r w:rsidR="007348EE">
        <w:t>.</w:t>
      </w:r>
      <w:r w:rsidR="0005783A">
        <w:t xml:space="preserve"> En tredje plan er udarbejdet i 2018 (MFVM, 201</w:t>
      </w:r>
      <w:r w:rsidR="00AF1FCA">
        <w:t>8</w:t>
      </w:r>
      <w:r w:rsidR="0005783A">
        <w:t>).</w:t>
      </w:r>
      <w:r w:rsidR="007348EE">
        <w:t xml:space="preserve"> </w:t>
      </w:r>
      <w:r w:rsidR="0045083C">
        <w:t xml:space="preserve">Ingen af disse </w:t>
      </w:r>
      <w:r w:rsidR="007348EE">
        <w:t>plan</w:t>
      </w:r>
      <w:r w:rsidR="0005783A">
        <w:t>er</w:t>
      </w:r>
      <w:r w:rsidR="007348EE">
        <w:t xml:space="preserve"> omfatte</w:t>
      </w:r>
      <w:r w:rsidR="0045083C">
        <w:t>r</w:t>
      </w:r>
      <w:r w:rsidRPr="00FF1CA1">
        <w:t xml:space="preserve"> Grønland og Færøerne</w:t>
      </w:r>
      <w:r w:rsidR="007348EE">
        <w:t xml:space="preserve">. </w:t>
      </w:r>
      <w:r w:rsidR="006B2FF9">
        <w:t>Det bemærkes især, at den seneste plan fra 2018 ikke omfatte</w:t>
      </w:r>
      <w:r w:rsidR="00116F22">
        <w:t>r</w:t>
      </w:r>
      <w:r w:rsidR="006B2FF9">
        <w:t xml:space="preserve"> Færøerne, selvom det territoriale forbehold</w:t>
      </w:r>
      <w:r w:rsidR="00116F22">
        <w:t xml:space="preserve"> er </w:t>
      </w:r>
      <w:r w:rsidR="006B2FF9">
        <w:t>ophævet</w:t>
      </w:r>
      <w:r w:rsidR="00116F22">
        <w:t xml:space="preserve"> for flere år siden</w:t>
      </w:r>
      <w:r w:rsidR="006B2FF9">
        <w:t xml:space="preserve">. </w:t>
      </w:r>
      <w:r w:rsidR="007348EE">
        <w:t>Viden om den historiske brug af stofferne i Danmark, som er beskrevet i implementeringsplanerne, indgå</w:t>
      </w:r>
      <w:r w:rsidR="001874A0">
        <w:t>r</w:t>
      </w:r>
      <w:r w:rsidR="007348EE">
        <w:t xml:space="preserve"> som baggrund for beskrivelsen af brugen af stofferne i Grønland i denne rapport.</w:t>
      </w:r>
      <w:r w:rsidR="00E96B53">
        <w:t xml:space="preserve"> </w:t>
      </w:r>
    </w:p>
    <w:p w14:paraId="7D6CF6D0" w14:textId="77777777" w:rsidR="00525EDC" w:rsidRDefault="00525EDC" w:rsidP="00525EDC">
      <w:pPr>
        <w:pStyle w:val="Overskrift2"/>
      </w:pPr>
      <w:bookmarkStart w:id="17" w:name="_Toc469053531"/>
      <w:bookmarkStart w:id="18" w:name="_Toc469057812"/>
      <w:bookmarkStart w:id="19" w:name="_Toc469304910"/>
      <w:bookmarkStart w:id="20" w:name="_Toc10205704"/>
      <w:r>
        <w:t>Tidligere vurdering af konsekvenserne</w:t>
      </w:r>
      <w:bookmarkEnd w:id="17"/>
      <w:bookmarkEnd w:id="18"/>
      <w:bookmarkEnd w:id="19"/>
      <w:bookmarkEnd w:id="20"/>
    </w:p>
    <w:p w14:paraId="7D6CF6D1" w14:textId="2C95563B" w:rsidR="00525EDC" w:rsidRPr="004D57DA" w:rsidRDefault="00525EDC" w:rsidP="00525EDC">
      <w:pPr>
        <w:pStyle w:val="Brdtekst"/>
      </w:pPr>
      <w:r>
        <w:t>Rambø</w:t>
      </w:r>
      <w:r w:rsidRPr="004D57DA">
        <w:t xml:space="preserve">ll Danmark </w:t>
      </w:r>
      <w:r>
        <w:t xml:space="preserve">udarbejdede i 2005 </w:t>
      </w:r>
      <w:r w:rsidRPr="004D57DA">
        <w:t xml:space="preserve">tre dokumenter, som skulle være med til at afklare konsekvenserne af at </w:t>
      </w:r>
      <w:r>
        <w:t>tilbagekalde</w:t>
      </w:r>
      <w:r w:rsidRPr="004D57DA">
        <w:t xml:space="preserve"> </w:t>
      </w:r>
      <w:r w:rsidR="003619A9">
        <w:t xml:space="preserve">det territoriale </w:t>
      </w:r>
      <w:r w:rsidRPr="004D57DA">
        <w:t>forbehold for Grønland</w:t>
      </w:r>
      <w:r>
        <w:t xml:space="preserve"> (Rambøll 2005 a,</w:t>
      </w:r>
      <w:r w:rsidR="002846B8">
        <w:t xml:space="preserve"> </w:t>
      </w:r>
      <w:r>
        <w:t>b,</w:t>
      </w:r>
      <w:r w:rsidR="002846B8">
        <w:t xml:space="preserve"> </w:t>
      </w:r>
      <w:r>
        <w:t>c)</w:t>
      </w:r>
      <w:r w:rsidRPr="004D57DA">
        <w:t>:</w:t>
      </w:r>
    </w:p>
    <w:p w14:paraId="7D6CF6D2" w14:textId="2459EC29" w:rsidR="00525EDC" w:rsidRPr="004D57DA" w:rsidRDefault="00525EDC" w:rsidP="00525EDC">
      <w:pPr>
        <w:pStyle w:val="Opstilling-punkttegn"/>
      </w:pPr>
      <w:r w:rsidRPr="004D57DA">
        <w:t>"Implementering af Stockholm konventionen og POP-protokollen i Grønland"</w:t>
      </w:r>
      <w:r w:rsidR="003619A9">
        <w:t>.</w:t>
      </w:r>
    </w:p>
    <w:p w14:paraId="7D6CF6D3" w14:textId="4873C797" w:rsidR="00525EDC" w:rsidRPr="004D57DA" w:rsidRDefault="00525EDC" w:rsidP="00525EDC">
      <w:pPr>
        <w:pStyle w:val="Opstilling-punkttegn"/>
      </w:pPr>
      <w:r w:rsidRPr="004D57DA">
        <w:t>"Grønlands Hjemmestyre – begrænsning af PCB-udledninger fra det grønlandske samfund</w:t>
      </w:r>
      <w:r>
        <w:t xml:space="preserve">. </w:t>
      </w:r>
      <w:r w:rsidRPr="00B90B8C">
        <w:t>Oplæg til handlingsplan</w:t>
      </w:r>
      <w:r w:rsidRPr="004D57DA">
        <w:t>"</w:t>
      </w:r>
      <w:r w:rsidR="003619A9">
        <w:t>.</w:t>
      </w:r>
    </w:p>
    <w:p w14:paraId="7D6CF6D4" w14:textId="6E5391B9" w:rsidR="00525EDC" w:rsidRPr="00453337" w:rsidRDefault="00525EDC" w:rsidP="00525EDC">
      <w:pPr>
        <w:pStyle w:val="Opstilling-punkttegn"/>
        <w:rPr>
          <w:sz w:val="20"/>
        </w:rPr>
      </w:pPr>
      <w:r w:rsidRPr="004D57DA">
        <w:t>"Grønlands Hjemmestyre – begrænsning af dioxinudledninger fra det grønlandske samfund</w:t>
      </w:r>
      <w:r>
        <w:t xml:space="preserve">. </w:t>
      </w:r>
      <w:r w:rsidRPr="00B90B8C">
        <w:t>Oplæg til handlingsplan</w:t>
      </w:r>
      <w:r w:rsidRPr="004D57DA">
        <w:t xml:space="preserve">". </w:t>
      </w:r>
    </w:p>
    <w:p w14:paraId="7D6CF6D5" w14:textId="1B6A4608" w:rsidR="00525EDC" w:rsidRDefault="00525EDC" w:rsidP="00525EDC">
      <w:pPr>
        <w:pStyle w:val="Brdtekst"/>
      </w:pPr>
      <w:r>
        <w:lastRenderedPageBreak/>
        <w:t xml:space="preserve">Rapporterne beskrev generelt konsekvenserne af at implementere Stockholmkonventionen i </w:t>
      </w:r>
      <w:r w:rsidR="006B2FF9">
        <w:t xml:space="preserve">Grønland </w:t>
      </w:r>
      <w:r>
        <w:t>og udarbejdede økonomiske overslag for gennemførelse af to foreslåede handlingsplaner for begrænsning af udledninger af henholdsvis PCB og dioxiner.</w:t>
      </w:r>
    </w:p>
    <w:p w14:paraId="7D6CF6D7" w14:textId="09A064EC" w:rsidR="00525EDC" w:rsidRDefault="00525EDC" w:rsidP="00525EDC">
      <w:pPr>
        <w:pStyle w:val="Brdtekst"/>
      </w:pPr>
      <w:r>
        <w:t xml:space="preserve">Der blev på basis af rapporterne ikke udarbejdet et konkret beslutningsforslag til tilbagekaldelse af forbeholdet. </w:t>
      </w:r>
    </w:p>
    <w:p w14:paraId="7D6CF6D8" w14:textId="77777777" w:rsidR="00FF1CA1" w:rsidRDefault="00FF1CA1" w:rsidP="00FF1CA1">
      <w:pPr>
        <w:pStyle w:val="Overskrift2"/>
      </w:pPr>
      <w:bookmarkStart w:id="21" w:name="_Toc469053532"/>
      <w:bookmarkStart w:id="22" w:name="_Toc469057813"/>
      <w:bookmarkStart w:id="23" w:name="_Toc469304911"/>
      <w:bookmarkStart w:id="24" w:name="_Toc10205705"/>
      <w:r>
        <w:t>Grønland og POP-protokollen</w:t>
      </w:r>
      <w:bookmarkEnd w:id="21"/>
      <w:bookmarkEnd w:id="22"/>
      <w:bookmarkEnd w:id="23"/>
      <w:bookmarkEnd w:id="24"/>
    </w:p>
    <w:p w14:paraId="7D6CF6D9" w14:textId="77777777" w:rsidR="00F25E19" w:rsidRDefault="007348EE" w:rsidP="007348EE">
      <w:pPr>
        <w:pStyle w:val="Brdtekst"/>
      </w:pPr>
      <w:r>
        <w:t>POP-stoffer er også omfattet af den såkaldte POP-protokol, som er en protokol til 1979-konventionen om langtrækkende</w:t>
      </w:r>
      <w:r w:rsidR="00930950">
        <w:t>,</w:t>
      </w:r>
      <w:r>
        <w:t xml:space="preserve"> grænseoverskridende luftforurening (LRTAP</w:t>
      </w:r>
      <w:r w:rsidR="00F25E19">
        <w:t xml:space="preserve">). LRTAP er en konvention i regi af FN's Økonomiske Kommission for Europa (UNECE). </w:t>
      </w:r>
      <w:r>
        <w:t>Protokollen omfatter en række POP-stoffer, hvoraf de fleste er de samme, som er omfattet af Stockholmkonventionen.</w:t>
      </w:r>
      <w:r w:rsidR="00F25E19">
        <w:t xml:space="preserve"> </w:t>
      </w:r>
    </w:p>
    <w:p w14:paraId="7D6CF6DA" w14:textId="2D86BF97" w:rsidR="00F25E19" w:rsidRDefault="00433EC3" w:rsidP="007348EE">
      <w:pPr>
        <w:pStyle w:val="Brdtekst"/>
      </w:pPr>
      <w:r>
        <w:t>Tabel 2</w:t>
      </w:r>
      <w:r w:rsidR="00F25E19">
        <w:t xml:space="preserve"> </w:t>
      </w:r>
      <w:r>
        <w:t xml:space="preserve">i </w:t>
      </w:r>
      <w:r w:rsidR="00F25E19">
        <w:t>denne rapport indeholder en liste over alle POP-stoffer</w:t>
      </w:r>
      <w:r w:rsidR="003B0977">
        <w:t>,</w:t>
      </w:r>
      <w:r w:rsidR="00F25E19">
        <w:t xml:space="preserve"> som er omfattet af henholdsvis Stockholmkonventionen og POP-protokollen. Ligesom Stockholmkonventionen lister POP-protokollen stofferne i tre bilag omfattende henholdsvis forbud (Bilag I), begrænsning (Bilag II), og begrænsning eller eliminering af utilsigtet dannelse (Bilag III).</w:t>
      </w:r>
    </w:p>
    <w:p w14:paraId="7D6CF6DB" w14:textId="1B215018" w:rsidR="007348EE" w:rsidRDefault="00F25E19" w:rsidP="007348EE">
      <w:pPr>
        <w:pStyle w:val="Brdtekst"/>
      </w:pPr>
      <w:r>
        <w:t xml:space="preserve">Danmark </w:t>
      </w:r>
      <w:r w:rsidR="00930950">
        <w:t xml:space="preserve">har ratificeret 1979-konventionen og </w:t>
      </w:r>
      <w:r>
        <w:t>POP-protokollen uden forbehold for Grønland</w:t>
      </w:r>
      <w:r w:rsidR="003619A9">
        <w:t>,</w:t>
      </w:r>
      <w:r>
        <w:t xml:space="preserve"> </w:t>
      </w:r>
      <w:r w:rsidR="00930950">
        <w:t>og POP-protokollen er</w:t>
      </w:r>
      <w:r>
        <w:t xml:space="preserve"> derfor også er gældende for Grønland. </w:t>
      </w:r>
    </w:p>
    <w:p w14:paraId="7D6CF6DC" w14:textId="24254524" w:rsidR="00FF1CA1" w:rsidRDefault="00FF1CA1" w:rsidP="00FF1CA1">
      <w:pPr>
        <w:pStyle w:val="Brdtekst"/>
      </w:pPr>
      <w:r>
        <w:t>Den 13</w:t>
      </w:r>
      <w:r w:rsidR="00274054">
        <w:t>.</w:t>
      </w:r>
      <w:r>
        <w:t xml:space="preserve"> </w:t>
      </w:r>
      <w:r w:rsidR="00274054">
        <w:t>d</w:t>
      </w:r>
      <w:r>
        <w:t xml:space="preserve">ecember 2010 notificerede den danske regering </w:t>
      </w:r>
      <w:r w:rsidR="00827CDD">
        <w:t xml:space="preserve">imidlertid </w:t>
      </w:r>
      <w:r>
        <w:t xml:space="preserve">generalsekretariatet </w:t>
      </w:r>
      <w:r w:rsidR="00827CDD">
        <w:t>for konventionen</w:t>
      </w:r>
      <w:r w:rsidR="003619A9">
        <w:t>,</w:t>
      </w:r>
      <w:r w:rsidR="00827CDD">
        <w:t xml:space="preserve"> </w:t>
      </w:r>
      <w:r>
        <w:t xml:space="preserve">at </w:t>
      </w:r>
      <w:r w:rsidR="00827CDD">
        <w:t>indtil videre skulle tilføjelserne til bilag V og VII til POP-protokollen ikke gælde for Grønland. De to bilag vedrører:</w:t>
      </w:r>
      <w:r w:rsidR="00E96B53">
        <w:t xml:space="preserve"> </w:t>
      </w:r>
    </w:p>
    <w:p w14:paraId="7D6CF6DD" w14:textId="77777777" w:rsidR="00FF1CA1" w:rsidRDefault="00FF1CA1" w:rsidP="00827CDD">
      <w:pPr>
        <w:pStyle w:val="Opstilling-punkttegn"/>
      </w:pPr>
      <w:proofErr w:type="spellStart"/>
      <w:r>
        <w:t>Annex</w:t>
      </w:r>
      <w:proofErr w:type="spellEnd"/>
      <w:r>
        <w:t xml:space="preserve"> V: BAT for kontrol af emission af POP-stoffer fra større stationære kilder</w:t>
      </w:r>
    </w:p>
    <w:p w14:paraId="7D6CF6DE" w14:textId="72032D10" w:rsidR="00FF1CA1" w:rsidRDefault="00FF1CA1" w:rsidP="00827CDD">
      <w:pPr>
        <w:pStyle w:val="Opstilling-punkttegn"/>
      </w:pPr>
      <w:proofErr w:type="spellStart"/>
      <w:r>
        <w:t>Annex</w:t>
      </w:r>
      <w:proofErr w:type="spellEnd"/>
      <w:r>
        <w:t xml:space="preserve"> VII: Anbefalede kontrolforanstaltninger til at reducere emissionen af POP</w:t>
      </w:r>
      <w:r w:rsidR="004D407A">
        <w:t>-stoffer</w:t>
      </w:r>
      <w:r>
        <w:t xml:space="preserve"> fra mobile kilder (</w:t>
      </w:r>
      <w:r w:rsidR="00E552B6">
        <w:t xml:space="preserve">bilaget er senere blevet </w:t>
      </w:r>
      <w:r>
        <w:t>slettet)</w:t>
      </w:r>
    </w:p>
    <w:p w14:paraId="7D6CF6DF" w14:textId="77777777" w:rsidR="00827CDD" w:rsidRDefault="00827CDD" w:rsidP="00FF1CA1">
      <w:pPr>
        <w:pStyle w:val="Brdtekst"/>
      </w:pPr>
      <w:r>
        <w:t>Bilag</w:t>
      </w:r>
      <w:r w:rsidR="00FF1CA1">
        <w:t xml:space="preserve"> IV, som vedrører grænseværdier for dioxiner/furaner fra </w:t>
      </w:r>
      <w:r>
        <w:t>"</w:t>
      </w:r>
      <w:r w:rsidR="00FF1CA1">
        <w:t>større stationære anlæg</w:t>
      </w:r>
      <w:r>
        <w:t>"</w:t>
      </w:r>
      <w:r w:rsidR="00FF1CA1">
        <w:t>, e</w:t>
      </w:r>
      <w:r>
        <w:t>r</w:t>
      </w:r>
      <w:r w:rsidR="00930950">
        <w:t xml:space="preserve"> således</w:t>
      </w:r>
      <w:r>
        <w:t xml:space="preserve"> stadig gældende for Grønland.</w:t>
      </w:r>
    </w:p>
    <w:p w14:paraId="7D6CF6E0" w14:textId="35763B5E" w:rsidR="00FF1CA1" w:rsidRDefault="00FF1CA1" w:rsidP="00FF1CA1">
      <w:pPr>
        <w:pStyle w:val="Brdtekst"/>
      </w:pPr>
      <w:r>
        <w:t>"Større stationære anlæg" omfatter for eksisterende forbrændingsanlæg, anlæg som brænder mere end 3 tons per time</w:t>
      </w:r>
      <w:r w:rsidR="00827CDD">
        <w:t>, hvilket er e</w:t>
      </w:r>
      <w:r w:rsidR="00930950">
        <w:t>n</w:t>
      </w:r>
      <w:r w:rsidR="00827CDD">
        <w:t xml:space="preserve"> større mængde end de</w:t>
      </w:r>
      <w:r>
        <w:t xml:space="preserve"> eksisterende anlæg </w:t>
      </w:r>
      <w:r w:rsidR="00827CDD">
        <w:t xml:space="preserve">i Grønland </w:t>
      </w:r>
      <w:r w:rsidR="00794F21">
        <w:t>for</w:t>
      </w:r>
      <w:r w:rsidR="00827CDD">
        <w:t>brænder</w:t>
      </w:r>
      <w:r w:rsidR="003619A9">
        <w:t>. K</w:t>
      </w:r>
      <w:r w:rsidR="00827CDD">
        <w:t xml:space="preserve">ravene </w:t>
      </w:r>
      <w:r w:rsidR="003619A9">
        <w:t xml:space="preserve">er </w:t>
      </w:r>
      <w:r w:rsidR="00827CDD">
        <w:t xml:space="preserve">derfor </w:t>
      </w:r>
      <w:r w:rsidR="003619A9">
        <w:t>ikke gældende for de eksisterende forbrændingsa</w:t>
      </w:r>
      <w:r w:rsidR="00827CDD">
        <w:t>nlæg</w:t>
      </w:r>
      <w:r w:rsidR="003619A9">
        <w:t xml:space="preserve"> i Grønland</w:t>
      </w:r>
      <w:r w:rsidR="00827CDD">
        <w:t>. F</w:t>
      </w:r>
      <w:r>
        <w:t>or nye anlæg er der ingen mængdegrænse</w:t>
      </w:r>
      <w:r w:rsidR="00827CDD">
        <w:t xml:space="preserve">, og </w:t>
      </w:r>
      <w:r w:rsidR="00F512F1">
        <w:t xml:space="preserve">de </w:t>
      </w:r>
      <w:r w:rsidR="00827CDD">
        <w:t>n</w:t>
      </w:r>
      <w:r w:rsidR="00930950">
        <w:t>y</w:t>
      </w:r>
      <w:r w:rsidR="003619A9">
        <w:t>e</w:t>
      </w:r>
      <w:r w:rsidR="00827CDD">
        <w:t xml:space="preserve"> </w:t>
      </w:r>
      <w:r w:rsidR="00F512F1">
        <w:t xml:space="preserve">planlagte </w:t>
      </w:r>
      <w:r w:rsidR="00827CDD">
        <w:t xml:space="preserve">forbrændingsanlæg i Grønland vil derfor være omfattet af kravene. </w:t>
      </w:r>
    </w:p>
    <w:p w14:paraId="00052745" w14:textId="32F618BD" w:rsidR="00A8128C" w:rsidRDefault="00FF1CA1" w:rsidP="007348EE">
      <w:pPr>
        <w:pStyle w:val="Brdtekst"/>
      </w:pPr>
      <w:r>
        <w:t xml:space="preserve">Vedr. PCB </w:t>
      </w:r>
      <w:r w:rsidR="00827CDD">
        <w:t xml:space="preserve">og andre tilsigtet anvendte POP-stoffer </w:t>
      </w:r>
      <w:r>
        <w:t>indeholder protokollen krav</w:t>
      </w:r>
      <w:r w:rsidR="003619A9">
        <w:t>,</w:t>
      </w:r>
      <w:r>
        <w:t xml:space="preserve"> som er meget lig kravene i Stockholmkonventionen</w:t>
      </w:r>
      <w:r w:rsidR="00930950">
        <w:t>,</w:t>
      </w:r>
      <w:r>
        <w:t xml:space="preserve"> men med lidt andre tidsfrister</w:t>
      </w:r>
      <w:r w:rsidR="00827CDD">
        <w:t xml:space="preserve">. For de stoffer, der er omfattet af POP-protokollen, vil en </w:t>
      </w:r>
      <w:r w:rsidR="003C357A">
        <w:t xml:space="preserve">tiltrædelse af </w:t>
      </w:r>
      <w:r w:rsidR="00827CDD">
        <w:t>konventionen</w:t>
      </w:r>
      <w:r w:rsidR="003619A9">
        <w:t xml:space="preserve"> ikke resultere i væsentlige nye krav.</w:t>
      </w:r>
      <w:r w:rsidR="009E5ECE">
        <w:t xml:space="preserve"> </w:t>
      </w:r>
    </w:p>
    <w:p w14:paraId="7D6CF6E2" w14:textId="38C95E7A" w:rsidR="00FF1CA1" w:rsidRDefault="00827CDD" w:rsidP="007348EE">
      <w:pPr>
        <w:pStyle w:val="Brdtekst"/>
      </w:pPr>
      <w:r>
        <w:lastRenderedPageBreak/>
        <w:t>Spørgsmålet om Grønland lever op til kravene i de dele af POP-protokollen, der er gældende for Grønland, er uden for rammerne af denne rapport.</w:t>
      </w:r>
      <w:r w:rsidR="00E96B53">
        <w:t xml:space="preserve"> </w:t>
      </w:r>
    </w:p>
    <w:p w14:paraId="7D6CF6E3" w14:textId="261FD8F6" w:rsidR="00453337" w:rsidRDefault="00453337" w:rsidP="00453337">
      <w:pPr>
        <w:pStyle w:val="Overskrift2"/>
      </w:pPr>
      <w:bookmarkStart w:id="25" w:name="_Toc469053533"/>
      <w:bookmarkStart w:id="26" w:name="_Toc469057814"/>
      <w:bookmarkStart w:id="27" w:name="_Toc469304912"/>
      <w:bookmarkStart w:id="28" w:name="_Toc10205706"/>
      <w:r>
        <w:t xml:space="preserve">Tidligere beslutningsforslag om </w:t>
      </w:r>
      <w:bookmarkEnd w:id="25"/>
      <w:bookmarkEnd w:id="26"/>
      <w:bookmarkEnd w:id="27"/>
      <w:r w:rsidR="004F2E6E">
        <w:t>tiltræde konventionen</w:t>
      </w:r>
      <w:bookmarkEnd w:id="28"/>
    </w:p>
    <w:p w14:paraId="7D6CF6E4" w14:textId="1261222C" w:rsidR="00453337" w:rsidRDefault="009C7BE4" w:rsidP="00B90B8C">
      <w:pPr>
        <w:pStyle w:val="Brdtekst"/>
      </w:pPr>
      <w:r>
        <w:t>I marts 2009 fremlag</w:t>
      </w:r>
      <w:r w:rsidR="003B0977">
        <w:t>d</w:t>
      </w:r>
      <w:r>
        <w:t xml:space="preserve">e daværende </w:t>
      </w:r>
      <w:r w:rsidRPr="009C7BE4">
        <w:t xml:space="preserve">Medlem af </w:t>
      </w:r>
      <w:proofErr w:type="spellStart"/>
      <w:r w:rsidRPr="009C7BE4">
        <w:t>Inatsisartut</w:t>
      </w:r>
      <w:proofErr w:type="spellEnd"/>
      <w:r w:rsidR="00B90B8C" w:rsidRPr="00B90B8C">
        <w:t xml:space="preserve"> Marie Fleis</w:t>
      </w:r>
      <w:r w:rsidR="00B90B8C">
        <w:t>cher (</w:t>
      </w:r>
      <w:r w:rsidR="00D07962">
        <w:t>l</w:t>
      </w:r>
      <w:r w:rsidR="00B90B8C">
        <w:t>øsgænger)</w:t>
      </w:r>
      <w:r w:rsidR="00D07962">
        <w:t xml:space="preserve"> et</w:t>
      </w:r>
      <w:r w:rsidR="00B90B8C">
        <w:t xml:space="preserve"> "</w:t>
      </w:r>
      <w:r w:rsidR="00B90B8C" w:rsidRPr="00D07962">
        <w:rPr>
          <w:i/>
        </w:rPr>
        <w:t>Forslag til Landstingsbeslutning om at Landsstyret arbejder for, at Grønland ratificerer Stockholmkonventionen</w:t>
      </w:r>
      <w:r w:rsidR="00D07962" w:rsidRPr="00D07962">
        <w:rPr>
          <w:i/>
        </w:rPr>
        <w:t>"</w:t>
      </w:r>
      <w:r w:rsidR="00B90B8C">
        <w:rPr>
          <w:rStyle w:val="Fodnotehenvisning"/>
        </w:rPr>
        <w:footnoteReference w:id="9"/>
      </w:r>
      <w:r w:rsidR="00B90B8C">
        <w:t>.</w:t>
      </w:r>
    </w:p>
    <w:p w14:paraId="7D6CF6E5" w14:textId="3509179C" w:rsidR="00D07962" w:rsidRDefault="00207935" w:rsidP="00207935">
      <w:pPr>
        <w:pStyle w:val="Brdtekst"/>
      </w:pPr>
      <w:r>
        <w:t xml:space="preserve">I følge </w:t>
      </w:r>
      <w:r w:rsidR="003C3EB5">
        <w:t>svarnotatet til førstebehandlingen i</w:t>
      </w:r>
      <w:r>
        <w:t xml:space="preserve"> </w:t>
      </w:r>
      <w:proofErr w:type="spellStart"/>
      <w:r w:rsidR="009C7BE4" w:rsidRPr="009C7BE4">
        <w:t>Inatsisartut</w:t>
      </w:r>
      <w:proofErr w:type="spellEnd"/>
      <w:r w:rsidR="00C37679">
        <w:t xml:space="preserve"> (2008) </w:t>
      </w:r>
      <w:r>
        <w:t xml:space="preserve">tilkendegav </w:t>
      </w:r>
      <w:r w:rsidR="009C7BE4">
        <w:t xml:space="preserve">daværende </w:t>
      </w:r>
      <w:proofErr w:type="spellStart"/>
      <w:r w:rsidR="009C7BE4" w:rsidRPr="009C7BE4">
        <w:t>Naalakkersuisoq</w:t>
      </w:r>
      <w:proofErr w:type="spellEnd"/>
      <w:r w:rsidR="009C7BE4" w:rsidRPr="009C7BE4">
        <w:t xml:space="preserve"> for</w:t>
      </w:r>
      <w:r>
        <w:t xml:space="preserve"> </w:t>
      </w:r>
      <w:r w:rsidR="003C3EB5">
        <w:t xml:space="preserve">Infrastruktur, </w:t>
      </w:r>
      <w:r w:rsidR="003619A9">
        <w:t xml:space="preserve">Miljø </w:t>
      </w:r>
      <w:r w:rsidR="003C3EB5">
        <w:t>og Råstoffer</w:t>
      </w:r>
      <w:r>
        <w:t>, at landsstyret</w:t>
      </w:r>
      <w:r w:rsidR="004515F8">
        <w:t xml:space="preserve"> </w:t>
      </w:r>
      <w:r>
        <w:t xml:space="preserve">ønsker, at der arbejdes for en implementering af </w:t>
      </w:r>
      <w:r w:rsidR="00020F71">
        <w:t>Stockholmkonventionen</w:t>
      </w:r>
      <w:r>
        <w:t xml:space="preserve"> i Grønland.</w:t>
      </w:r>
      <w:r w:rsidR="00930950">
        <w:t xml:space="preserve"> </w:t>
      </w:r>
      <w:r w:rsidR="003C3EB5">
        <w:t xml:space="preserve">Det blev understreget, at det er vigtigt inden Grønland ratificerer konventionen, at alle vigtige samfundsmæssige og økonomiske forhold er beskrevet fuldstændigt. Der blev nævnt, at </w:t>
      </w:r>
      <w:proofErr w:type="spellStart"/>
      <w:r w:rsidR="009C7BE4" w:rsidRPr="009C7BE4">
        <w:t>Naalakkersuisut</w:t>
      </w:r>
      <w:proofErr w:type="spellEnd"/>
      <w:r w:rsidR="003C3EB5">
        <w:t xml:space="preserve"> igen ville tage stilling til en eventuel </w:t>
      </w:r>
      <w:r w:rsidR="00274054">
        <w:t>g</w:t>
      </w:r>
      <w:r w:rsidR="003C3EB5">
        <w:t xml:space="preserve">rønlandsk </w:t>
      </w:r>
      <w:r w:rsidR="003619A9">
        <w:t xml:space="preserve">tiltrædelse </w:t>
      </w:r>
      <w:r w:rsidR="003C3EB5">
        <w:t xml:space="preserve">af </w:t>
      </w:r>
      <w:r w:rsidR="00020F71">
        <w:t>Stockholmkonventionen</w:t>
      </w:r>
      <w:r w:rsidR="00C1034C">
        <w:t>,</w:t>
      </w:r>
      <w:r w:rsidR="003C3EB5">
        <w:t xml:space="preserve"> </w:t>
      </w:r>
      <w:r w:rsidR="00C1034C">
        <w:t>når resultaterne af et konsulentarbejde, der skulle afklare konsekvenserne, forelå (her henvises til Rambølls rapporter fra 2005)</w:t>
      </w:r>
      <w:r w:rsidR="003C3EB5">
        <w:t xml:space="preserve">. </w:t>
      </w:r>
      <w:r>
        <w:t>Forslaget oversend</w:t>
      </w:r>
      <w:r w:rsidR="004515F8">
        <w:t>t</w:t>
      </w:r>
      <w:r>
        <w:t xml:space="preserve">es til behandling i </w:t>
      </w:r>
      <w:proofErr w:type="spellStart"/>
      <w:r w:rsidR="009C7BE4" w:rsidRPr="009C7BE4">
        <w:t>Inatsisartut</w:t>
      </w:r>
      <w:r w:rsidR="009C7BE4">
        <w:t>s</w:t>
      </w:r>
      <w:proofErr w:type="spellEnd"/>
      <w:r>
        <w:t xml:space="preserve"> Frednings- og Miljøudvalg </w:t>
      </w:r>
      <w:r w:rsidR="003619A9">
        <w:t>forud for anden</w:t>
      </w:r>
      <w:r>
        <w:t>behandlingen.</w:t>
      </w:r>
      <w:r w:rsidR="003C3EB5">
        <w:t xml:space="preserve"> Inden </w:t>
      </w:r>
      <w:r w:rsidR="00EB2D6A">
        <w:t>anden</w:t>
      </w:r>
      <w:r w:rsidR="003C3EB5">
        <w:t>behandlingen blev der udskrevet valg</w:t>
      </w:r>
      <w:r w:rsidR="003619A9">
        <w:t>,</w:t>
      </w:r>
      <w:r w:rsidR="003C3EB5">
        <w:t xml:space="preserve"> </w:t>
      </w:r>
      <w:r w:rsidR="00C1034C">
        <w:t>og forslaget blev aldrig videre</w:t>
      </w:r>
      <w:r w:rsidR="003C3EB5">
        <w:t xml:space="preserve">behandlet. </w:t>
      </w:r>
    </w:p>
    <w:p w14:paraId="7D6CF6E6" w14:textId="204E3B38" w:rsidR="00453337" w:rsidRPr="00477874" w:rsidRDefault="00B15513" w:rsidP="00453337">
      <w:pPr>
        <w:pStyle w:val="Overskrift2"/>
      </w:pPr>
      <w:bookmarkStart w:id="29" w:name="_Toc469053534"/>
      <w:bookmarkStart w:id="30" w:name="_Toc469057815"/>
      <w:bookmarkStart w:id="31" w:name="_Toc469304913"/>
      <w:bookmarkStart w:id="32" w:name="_Toc10205707"/>
      <w:r>
        <w:t>Vejledning om</w:t>
      </w:r>
      <w:r w:rsidR="00B819E0">
        <w:t xml:space="preserve"> PCB</w:t>
      </w:r>
      <w:bookmarkEnd w:id="29"/>
      <w:bookmarkEnd w:id="30"/>
      <w:bookmarkEnd w:id="31"/>
      <w:r>
        <w:t xml:space="preserve"> i byggematerialer</w:t>
      </w:r>
      <w:bookmarkEnd w:id="32"/>
    </w:p>
    <w:p w14:paraId="7D6CF6E7" w14:textId="368F0027" w:rsidR="004D57DA" w:rsidRDefault="004D57DA" w:rsidP="00477874">
      <w:pPr>
        <w:pStyle w:val="Brdtekst"/>
      </w:pPr>
      <w:r w:rsidRPr="004D57DA">
        <w:t xml:space="preserve">I løbet af 00'erne kom der både i Danmark og Grønland øget fokus på PCB i byggematerialer og konsekvenserne af at håndtere </w:t>
      </w:r>
      <w:proofErr w:type="spellStart"/>
      <w:r w:rsidRPr="004D57DA">
        <w:t>PCB-holdige</w:t>
      </w:r>
      <w:proofErr w:type="spellEnd"/>
      <w:r w:rsidRPr="004D57DA">
        <w:t xml:space="preserve"> byggematerialer. Der var således en række nedbrydningssager med </w:t>
      </w:r>
      <w:proofErr w:type="spellStart"/>
      <w:r w:rsidRPr="004D57DA">
        <w:t>PCB-holdige</w:t>
      </w:r>
      <w:proofErr w:type="spellEnd"/>
      <w:r w:rsidRPr="004D57DA">
        <w:t xml:space="preserve"> bygninger i Grønland, hvor det blev klart, at de økonomiske konsekvenser af PCB i bygninger kunne være ganske omfattende, og at der var et behov for ensartede retningslinjer. For at få større viden og udarbejde retningslinjer blev der i perioden 2011 til 2013 gennemført et udredningsprojekt vedrørende håndtering og bortskaffelse af </w:t>
      </w:r>
      <w:proofErr w:type="spellStart"/>
      <w:r w:rsidRPr="004D57DA">
        <w:t>PCB-holdigt</w:t>
      </w:r>
      <w:proofErr w:type="spellEnd"/>
      <w:r w:rsidRPr="004D57DA">
        <w:t xml:space="preserve"> byggeaffald i Grønland. Resultaterne af udredningsprojektet er i 2013 til 2015 blevet anvendt til udarbejdelse af en vejledning om PCB i bygninger og i bygningsaffald for Grønland. </w:t>
      </w:r>
      <w:r w:rsidR="00930950">
        <w:t>Vejledning</w:t>
      </w:r>
      <w:r w:rsidR="00B15513">
        <w:t>en</w:t>
      </w:r>
      <w:r w:rsidR="00930950">
        <w:t xml:space="preserve"> omtales yderligere i afsnit </w:t>
      </w:r>
      <w:r w:rsidR="005143DC">
        <w:fldChar w:fldCharType="begin"/>
      </w:r>
      <w:r w:rsidR="005143DC">
        <w:instrText xml:space="preserve"> REF _Ref455645354 \r \h </w:instrText>
      </w:r>
      <w:r w:rsidR="005143DC">
        <w:fldChar w:fldCharType="separate"/>
      </w:r>
      <w:r w:rsidR="00432B8C">
        <w:t>4.2</w:t>
      </w:r>
      <w:r w:rsidR="005143DC">
        <w:fldChar w:fldCharType="end"/>
      </w:r>
      <w:r w:rsidR="00930950">
        <w:t xml:space="preserve">. </w:t>
      </w:r>
    </w:p>
    <w:p w14:paraId="7D6CF6E8" w14:textId="77777777" w:rsidR="009601DE" w:rsidRDefault="008E3B82" w:rsidP="008E3B82">
      <w:pPr>
        <w:pStyle w:val="Overskrift2"/>
      </w:pPr>
      <w:bookmarkStart w:id="33" w:name="_Toc469053535"/>
      <w:bookmarkStart w:id="34" w:name="_Toc469057816"/>
      <w:bookmarkStart w:id="35" w:name="_Toc469304914"/>
      <w:bookmarkStart w:id="36" w:name="_Toc10205708"/>
      <w:r>
        <w:t>Anlægssektorplan for affaldsområdet</w:t>
      </w:r>
      <w:bookmarkEnd w:id="33"/>
      <w:bookmarkEnd w:id="34"/>
      <w:bookmarkEnd w:id="35"/>
      <w:bookmarkEnd w:id="36"/>
    </w:p>
    <w:p w14:paraId="7D6CF6E9" w14:textId="282475ED" w:rsidR="008E3B82" w:rsidRDefault="00B138CF" w:rsidP="00B138CF">
      <w:pPr>
        <w:pStyle w:val="Brdtekst"/>
      </w:pPr>
      <w:r>
        <w:t>Anlægssektorplan</w:t>
      </w:r>
      <w:r w:rsidR="003A645E">
        <w:t>en</w:t>
      </w:r>
      <w:r>
        <w:t xml:space="preserve"> for affaldsområdet</w:t>
      </w:r>
      <w:r w:rsidR="003619A9">
        <w:t>, som blev</w:t>
      </w:r>
      <w:r>
        <w:t xml:space="preserve"> </w:t>
      </w:r>
      <w:r w:rsidR="00B15513">
        <w:t xml:space="preserve">vedtaget </w:t>
      </w:r>
      <w:r>
        <w:t xml:space="preserve">af </w:t>
      </w:r>
      <w:proofErr w:type="spellStart"/>
      <w:r>
        <w:t>Naalakkersuisut</w:t>
      </w:r>
      <w:proofErr w:type="spellEnd"/>
      <w:r>
        <w:t xml:space="preserve"> i april 2015 beskriver, hvilke anlægsinvesteringer på affaldsområdet, der planlægges inden</w:t>
      </w:r>
      <w:r w:rsidR="00274054">
        <w:t xml:space="preserve"> </w:t>
      </w:r>
      <w:r>
        <w:t>for de kommende ti år for at skabe et renere Grønland med tidssvarende affaldshåndtering i overensstemmelse med god international praksis.</w:t>
      </w:r>
    </w:p>
    <w:p w14:paraId="7D6CF6EA" w14:textId="38DB87E0" w:rsidR="008050AA" w:rsidRPr="008E3B82" w:rsidRDefault="009C7BE4" w:rsidP="008050AA">
      <w:pPr>
        <w:pStyle w:val="Brdtekst"/>
      </w:pPr>
      <w:r>
        <w:lastRenderedPageBreak/>
        <w:t>Sektorp</w:t>
      </w:r>
      <w:r w:rsidR="008050AA">
        <w:t xml:space="preserve">lanen bygger på principperne om brugen af bedste tilgængelige teknik, som også er skrevet ind i rammeloven, </w:t>
      </w:r>
      <w:proofErr w:type="spellStart"/>
      <w:r w:rsidR="008050AA" w:rsidRPr="008050AA">
        <w:t>Inatsisartutlov</w:t>
      </w:r>
      <w:proofErr w:type="spellEnd"/>
      <w:r w:rsidR="008050AA" w:rsidRPr="008050AA">
        <w:t xml:space="preserve"> nr. 9 af 22. november 2011 om beskyttelse af miljøet</w:t>
      </w:r>
      <w:r w:rsidR="008050AA">
        <w:t>.</w:t>
      </w:r>
    </w:p>
    <w:p w14:paraId="7D6CF6EB" w14:textId="0EC29B28" w:rsidR="00930950" w:rsidRDefault="00B138CF" w:rsidP="00B138CF">
      <w:pPr>
        <w:pStyle w:val="Brdtekst"/>
      </w:pPr>
      <w:r>
        <w:t xml:space="preserve">I følge </w:t>
      </w:r>
      <w:r w:rsidR="009C7BE4">
        <w:t>sektor</w:t>
      </w:r>
      <w:r>
        <w:t>planen er det af hensyn til sundhed og miljø "</w:t>
      </w:r>
      <w:r w:rsidRPr="00B138CF">
        <w:rPr>
          <w:i/>
        </w:rPr>
        <w:t>presserende at få investeret i forsvarlige affaldsanlæg. Åben afbrænding og emissionsmålinger fra forbrændingsanlæggene viser en udledning af dioxiner, der er bekymrende langt over EU’s grænseværdier</w:t>
      </w:r>
      <w:r>
        <w:t>". "</w:t>
      </w:r>
      <w:r w:rsidRPr="00B138CF">
        <w:rPr>
          <w:i/>
        </w:rPr>
        <w:t xml:space="preserve">Holdbare, operationelle og tidssvarende affaldsanlæg, som er tilpasset de lokale forhold, og som overholder EU’s grænseværdier for udledning af dioxiner og andre miljøgifte, er derfor en presserende og helt nødvendig investering. </w:t>
      </w:r>
      <w:r>
        <w:t xml:space="preserve">". </w:t>
      </w:r>
    </w:p>
    <w:p w14:paraId="7D6CF6EC" w14:textId="58F86BCC" w:rsidR="00B138CF" w:rsidRDefault="009C7BE4" w:rsidP="00B138CF">
      <w:pPr>
        <w:pStyle w:val="Brdtekst"/>
      </w:pPr>
      <w:r>
        <w:t>Sektorplanen</w:t>
      </w:r>
      <w:r w:rsidR="00B138CF">
        <w:t xml:space="preserve"> har udvalg fire indsatsområder, hvoraf de tre er af direkte betydning i forhold til de krav som ligger i Stockholmkonventionen: Anlæg til håndtering af farligt affald, etablering af kontrollerede deponier og </w:t>
      </w:r>
      <w:r w:rsidR="00F96CA2">
        <w:t xml:space="preserve">nyetablering/renovering af eksisterende </w:t>
      </w:r>
      <w:r w:rsidR="00B138CF">
        <w:t xml:space="preserve">forbrændingsanlæg. </w:t>
      </w:r>
    </w:p>
    <w:p w14:paraId="7D6CF6ED" w14:textId="77777777" w:rsidR="00B138CF" w:rsidRDefault="00B138CF" w:rsidP="00B138CF">
      <w:pPr>
        <w:pStyle w:val="Brdtekst"/>
      </w:pPr>
      <w:r w:rsidRPr="000050A7">
        <w:rPr>
          <w:color w:val="000000" w:themeColor="text1"/>
        </w:rPr>
        <w:t>Forslagene i planen og de økonomiske overslag bygger i høj grad på et udredningsarbejde omkring "Forbrænding af affald. Strategi og organisering" fra 2012 (Rambøll, 2012).</w:t>
      </w:r>
      <w:r w:rsidR="005143DC" w:rsidRPr="000050A7">
        <w:rPr>
          <w:color w:val="000000" w:themeColor="text1"/>
        </w:rPr>
        <w:t xml:space="preserve"> </w:t>
      </w:r>
    </w:p>
    <w:p w14:paraId="7D6CF6EE" w14:textId="1CE7724D" w:rsidR="005143DC" w:rsidRDefault="003350E4" w:rsidP="00B138CF">
      <w:pPr>
        <w:pStyle w:val="Brdtekst"/>
      </w:pPr>
      <w:r>
        <w:t xml:space="preserve">Anlægssektorplanen samt </w:t>
      </w:r>
      <w:r w:rsidR="005143DC">
        <w:t xml:space="preserve">resultaterne af </w:t>
      </w:r>
      <w:r>
        <w:t xml:space="preserve">senere udredningsarbejder </w:t>
      </w:r>
      <w:r w:rsidR="003619A9">
        <w:t xml:space="preserve">og planer </w:t>
      </w:r>
      <w:r w:rsidR="005143DC">
        <w:t xml:space="preserve">vil blive nærmere omtalt i sektion </w:t>
      </w:r>
      <w:r w:rsidR="005143DC">
        <w:fldChar w:fldCharType="begin"/>
      </w:r>
      <w:r w:rsidR="005143DC">
        <w:instrText xml:space="preserve"> REF _Ref455645332 \r \h </w:instrText>
      </w:r>
      <w:r w:rsidR="005143DC">
        <w:fldChar w:fldCharType="separate"/>
      </w:r>
      <w:r w:rsidR="00432B8C">
        <w:t>4.1</w:t>
      </w:r>
      <w:r w:rsidR="005143DC">
        <w:fldChar w:fldCharType="end"/>
      </w:r>
      <w:r w:rsidR="005143DC">
        <w:t>.</w:t>
      </w:r>
    </w:p>
    <w:p w14:paraId="30942CEC" w14:textId="77777777" w:rsidR="00A8128C" w:rsidRPr="004D57DA" w:rsidRDefault="00A8128C" w:rsidP="001C7DA0">
      <w:pPr>
        <w:pStyle w:val="Brdtekst"/>
      </w:pPr>
    </w:p>
    <w:p w14:paraId="7D6CF6F2" w14:textId="65F1D497" w:rsidR="004D57DA" w:rsidRDefault="001C7DA0" w:rsidP="001C7DA0">
      <w:pPr>
        <w:pStyle w:val="Overskrift1"/>
      </w:pPr>
      <w:bookmarkStart w:id="37" w:name="_Toc469053536"/>
      <w:bookmarkStart w:id="38" w:name="_Toc469057817"/>
      <w:bookmarkStart w:id="39" w:name="_Toc469304915"/>
      <w:bookmarkStart w:id="40" w:name="_Toc10205709"/>
      <w:r>
        <w:lastRenderedPageBreak/>
        <w:t xml:space="preserve">Introduktion til </w:t>
      </w:r>
      <w:r w:rsidR="00020F71">
        <w:t>Stockholmkonventionen</w:t>
      </w:r>
      <w:r>
        <w:t xml:space="preserve"> og de omfattede stoffer</w:t>
      </w:r>
      <w:bookmarkEnd w:id="37"/>
      <w:bookmarkEnd w:id="38"/>
      <w:bookmarkEnd w:id="39"/>
      <w:bookmarkEnd w:id="40"/>
    </w:p>
    <w:p w14:paraId="7D6CF6F3" w14:textId="4D4C5FA1" w:rsidR="00DE31B9" w:rsidRDefault="002E2511" w:rsidP="00272F58">
      <w:pPr>
        <w:pStyle w:val="Brdtekst"/>
      </w:pPr>
      <w:r w:rsidRPr="002E2511">
        <w:t xml:space="preserve">Stockholmkonventionen om </w:t>
      </w:r>
      <w:proofErr w:type="spellStart"/>
      <w:r w:rsidRPr="002E2511">
        <w:t>persistente</w:t>
      </w:r>
      <w:proofErr w:type="spellEnd"/>
      <w:r w:rsidRPr="002E2511">
        <w:t xml:space="preserve"> organiske </w:t>
      </w:r>
      <w:r w:rsidR="00827779">
        <w:t>miljøgifte</w:t>
      </w:r>
      <w:r w:rsidRPr="002E2511">
        <w:t xml:space="preserve"> (</w:t>
      </w:r>
      <w:r>
        <w:t xml:space="preserve">her </w:t>
      </w:r>
      <w:r w:rsidRPr="002E2511">
        <w:t xml:space="preserve">refereret til som POP-stoffer) blev vedtaget i maj 2001 og trådte i kraft 17. maj 2004. Formålet med konventionen er at beskytte menneskers sundhed og miljøet imod POP-stofferne. Konventionen omfatter i dag </w:t>
      </w:r>
      <w:r w:rsidR="00506AFF">
        <w:t>2</w:t>
      </w:r>
      <w:r w:rsidR="00781582">
        <w:t>8</w:t>
      </w:r>
      <w:r w:rsidRPr="002E2511">
        <w:t xml:space="preserve"> stoffer.</w:t>
      </w:r>
    </w:p>
    <w:p w14:paraId="7D6CF6F4" w14:textId="05FD7A42" w:rsidR="001C7DA0" w:rsidRDefault="00581408" w:rsidP="00272F58">
      <w:pPr>
        <w:pStyle w:val="Brdtekst"/>
      </w:pPr>
      <w:r>
        <w:t xml:space="preserve">Der er </w:t>
      </w:r>
      <w:r w:rsidR="00794F21">
        <w:t xml:space="preserve">per </w:t>
      </w:r>
      <w:r w:rsidR="003619A9">
        <w:t xml:space="preserve">maj 2019 </w:t>
      </w:r>
      <w:r w:rsidR="00781582">
        <w:t>182</w:t>
      </w:r>
      <w:r w:rsidR="00173242">
        <w:t xml:space="preserve"> </w:t>
      </w:r>
      <w:r w:rsidR="007A5802">
        <w:t>parter til</w:t>
      </w:r>
      <w:r>
        <w:t xml:space="preserve"> Stockholmkonventionen</w:t>
      </w:r>
      <w:r w:rsidR="00173242">
        <w:t>,</w:t>
      </w:r>
      <w:r>
        <w:t xml:space="preserve"> og konventionen er således tæt på at dække alle lande på kloden.</w:t>
      </w:r>
      <w:r w:rsidR="00172E76">
        <w:t xml:space="preserve"> </w:t>
      </w:r>
      <w:r w:rsidR="00CB5A9E">
        <w:t xml:space="preserve">Som det fremgår af nedenstående kort er Grønland et af de </w:t>
      </w:r>
      <w:r w:rsidR="008202B3">
        <w:t xml:space="preserve">få </w:t>
      </w:r>
      <w:r w:rsidR="00CB5A9E">
        <w:t xml:space="preserve">lande, som ikke har </w:t>
      </w:r>
      <w:r w:rsidR="00853C12">
        <w:t xml:space="preserve">tiltrådt </w:t>
      </w:r>
      <w:r w:rsidR="00CB5A9E">
        <w:t>konventionen.</w:t>
      </w:r>
      <w:r w:rsidR="00E96B53">
        <w:t xml:space="preserve"> </w:t>
      </w:r>
    </w:p>
    <w:p w14:paraId="7D6CF6F5" w14:textId="1428823E" w:rsidR="001C7DA0" w:rsidRDefault="00272F58" w:rsidP="001C7DA0">
      <w:pPr>
        <w:pStyle w:val="Brdtekst"/>
      </w:pPr>
      <w:r>
        <w:t xml:space="preserve">    </w:t>
      </w:r>
      <w:r w:rsidR="008202B3" w:rsidRPr="008202B3">
        <w:rPr>
          <w:noProof/>
          <w:lang w:val="kl-GL" w:eastAsia="kl-GL"/>
        </w:rPr>
        <w:drawing>
          <wp:inline distT="0" distB="0" distL="0" distR="0" wp14:anchorId="34176814" wp14:editId="01008CCE">
            <wp:extent cx="4679950" cy="237807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79950" cy="2378075"/>
                    </a:xfrm>
                    <a:prstGeom prst="rect">
                      <a:avLst/>
                    </a:prstGeom>
                  </pic:spPr>
                </pic:pic>
              </a:graphicData>
            </a:graphic>
          </wp:inline>
        </w:drawing>
      </w:r>
      <w:r w:rsidR="008202B3" w:rsidRPr="008202B3" w:rsidDel="008202B3">
        <w:t xml:space="preserve"> </w:t>
      </w:r>
    </w:p>
    <w:p w14:paraId="7D6CF6F6" w14:textId="0A4A8B2C" w:rsidR="00272F58" w:rsidRDefault="00272F58" w:rsidP="00272F58">
      <w:pPr>
        <w:pStyle w:val="Billedtekst"/>
      </w:pPr>
      <w:r>
        <w:t xml:space="preserve">Figur </w:t>
      </w:r>
      <w:r w:rsidR="00DA1BEC">
        <w:rPr>
          <w:noProof/>
        </w:rPr>
        <w:fldChar w:fldCharType="begin"/>
      </w:r>
      <w:r w:rsidR="00DA1BEC">
        <w:rPr>
          <w:noProof/>
        </w:rPr>
        <w:instrText xml:space="preserve"> SEQ Figur \* ARABIC </w:instrText>
      </w:r>
      <w:r w:rsidR="00DA1BEC">
        <w:rPr>
          <w:noProof/>
        </w:rPr>
        <w:fldChar w:fldCharType="separate"/>
      </w:r>
      <w:r w:rsidR="00432B8C">
        <w:rPr>
          <w:noProof/>
        </w:rPr>
        <w:t>1</w:t>
      </w:r>
      <w:r w:rsidR="00DA1BEC">
        <w:rPr>
          <w:noProof/>
        </w:rPr>
        <w:fldChar w:fldCharType="end"/>
      </w:r>
      <w:r>
        <w:tab/>
      </w:r>
      <w:r w:rsidR="00D508CB">
        <w:t>P</w:t>
      </w:r>
      <w:r w:rsidRPr="004D57DA">
        <w:t xml:space="preserve">arter </w:t>
      </w:r>
      <w:r w:rsidR="00581408">
        <w:t>til</w:t>
      </w:r>
      <w:r w:rsidRPr="004D57DA">
        <w:rPr>
          <w:rFonts w:ascii="Times New Roman" w:hAnsi="Times New Roman" w:cs="Times New Roman"/>
          <w:sz w:val="24"/>
        </w:rPr>
        <w:t xml:space="preserve"> </w:t>
      </w:r>
      <w:r>
        <w:t xml:space="preserve">Stockholmkonventionen </w:t>
      </w:r>
      <w:r w:rsidR="00581408">
        <w:t xml:space="preserve">(markeret med </w:t>
      </w:r>
      <w:r w:rsidR="008202B3">
        <w:t>grønt</w:t>
      </w:r>
      <w:r w:rsidR="00581408">
        <w:t>)</w:t>
      </w:r>
      <w:r>
        <w:rPr>
          <w:rStyle w:val="Fodnotehenvisning"/>
        </w:rPr>
        <w:footnoteReference w:id="10"/>
      </w:r>
      <w:r w:rsidR="008202B3">
        <w:t>.</w:t>
      </w:r>
    </w:p>
    <w:p w14:paraId="7D6CF6F7" w14:textId="77777777" w:rsidR="001C7DA0" w:rsidRDefault="001C7DA0" w:rsidP="001C7DA0">
      <w:pPr>
        <w:pStyle w:val="Overskrift2"/>
      </w:pPr>
      <w:bookmarkStart w:id="41" w:name="_Toc469053537"/>
      <w:bookmarkStart w:id="42" w:name="_Toc469057818"/>
      <w:bookmarkStart w:id="43" w:name="_Toc469304916"/>
      <w:bookmarkStart w:id="44" w:name="_Toc10205710"/>
      <w:r>
        <w:t>De omfattede stoffer</w:t>
      </w:r>
      <w:bookmarkEnd w:id="41"/>
      <w:bookmarkEnd w:id="42"/>
      <w:bookmarkEnd w:id="43"/>
      <w:bookmarkEnd w:id="44"/>
    </w:p>
    <w:p w14:paraId="7AD7D6BD" w14:textId="5435D427" w:rsidR="00000F43" w:rsidRDefault="00CB5A9E" w:rsidP="00000F43">
      <w:pPr>
        <w:pStyle w:val="Brdtekst"/>
      </w:pPr>
      <w:r>
        <w:t>Konventionen omfattede fra starten 12 stoffer (ofte omtalt som det beskidte dusin)</w:t>
      </w:r>
      <w:r w:rsidR="0069617F">
        <w:t>,</w:t>
      </w:r>
      <w:r>
        <w:t xml:space="preserve"> men er senere blevet udvidet med yderligere </w:t>
      </w:r>
      <w:r w:rsidR="009E1AE5">
        <w:t xml:space="preserve">16 </w:t>
      </w:r>
      <w:r>
        <w:t>stoffer, så konventionen i dag omfatter 2</w:t>
      </w:r>
      <w:r w:rsidR="009E1AE5">
        <w:t>8</w:t>
      </w:r>
      <w:r>
        <w:t xml:space="preserve"> stoffer. </w:t>
      </w:r>
    </w:p>
    <w:p w14:paraId="44241E5A" w14:textId="3018B1BD" w:rsidR="00000F43" w:rsidRDefault="00000F43" w:rsidP="00000F43">
      <w:pPr>
        <w:pStyle w:val="Brdtekst"/>
      </w:pPr>
      <w:r>
        <w:t xml:space="preserve">Stofferne under konventionen </w:t>
      </w:r>
      <w:r w:rsidR="003A645E">
        <w:t xml:space="preserve">er </w:t>
      </w:r>
      <w:r>
        <w:t>oplistede i tre bilag, som der refereres til i nedenstående tabel:</w:t>
      </w:r>
    </w:p>
    <w:p w14:paraId="69296949" w14:textId="495B19D7" w:rsidR="00F512F1" w:rsidRDefault="00F512F1" w:rsidP="00F512F1">
      <w:pPr>
        <w:pStyle w:val="Opstilling-punkttegn"/>
      </w:pPr>
      <w:r>
        <w:t xml:space="preserve">Bilag A: </w:t>
      </w:r>
      <w:r>
        <w:tab/>
        <w:t xml:space="preserve">Stoffer, som parterne skal forbyde (krav angivet i Artikel 3). </w:t>
      </w:r>
    </w:p>
    <w:p w14:paraId="74B8F43A" w14:textId="46FB363B" w:rsidR="00F512F1" w:rsidRDefault="00F512F1" w:rsidP="00F512F1">
      <w:pPr>
        <w:pStyle w:val="Opstilling-punkttegn"/>
      </w:pPr>
      <w:r>
        <w:t xml:space="preserve">Bilag B: </w:t>
      </w:r>
      <w:r>
        <w:tab/>
        <w:t>Stoffer, som parterne skal begrænse (krav angivet i Artikel 3).</w:t>
      </w:r>
    </w:p>
    <w:p w14:paraId="0EACE43F" w14:textId="173B89DA" w:rsidR="00000F43" w:rsidRDefault="00F512F1" w:rsidP="00000F43">
      <w:pPr>
        <w:pStyle w:val="Opstilling-punkttegn"/>
        <w:rPr>
          <w:lang w:eastAsia="en-US"/>
        </w:rPr>
      </w:pPr>
      <w:r>
        <w:t xml:space="preserve">Bilag C: </w:t>
      </w:r>
      <w:r>
        <w:tab/>
        <w:t>Stoffer, som dannes utilsigtet, og hvis dannelse parterne skal begrænse eller om muligt eliminere (krav angivet i Artikel 5)</w:t>
      </w:r>
      <w:r>
        <w:rPr>
          <w:lang w:eastAsia="en-US"/>
        </w:rPr>
        <w:t>.</w:t>
      </w:r>
    </w:p>
    <w:p w14:paraId="4CF076BD" w14:textId="531D73BD" w:rsidR="00683067" w:rsidRDefault="00CB5A9E" w:rsidP="00000F43">
      <w:pPr>
        <w:pStyle w:val="Brdtekst"/>
      </w:pPr>
      <w:r>
        <w:lastRenderedPageBreak/>
        <w:t xml:space="preserve">Stofferne er angivet i </w:t>
      </w:r>
      <w:r w:rsidR="00000F43">
        <w:t>ned</w:t>
      </w:r>
      <w:r w:rsidR="0010140C">
        <w:t>en</w:t>
      </w:r>
      <w:r w:rsidR="00000F43">
        <w:t>stående tabel</w:t>
      </w:r>
      <w:r w:rsidR="00F909B0">
        <w:t>,</w:t>
      </w:r>
      <w:r w:rsidR="00000F43">
        <w:t xml:space="preserve"> </w:t>
      </w:r>
      <w:r w:rsidR="0010140C">
        <w:t>som angiver anvendelser</w:t>
      </w:r>
      <w:r w:rsidR="00F909B0">
        <w:t>ne</w:t>
      </w:r>
      <w:r w:rsidR="0010140C">
        <w:t xml:space="preserve"> (i mange tilfælde historiske anvendelser)</w:t>
      </w:r>
      <w:r w:rsidR="00000F43">
        <w:t xml:space="preserve"> </w:t>
      </w:r>
      <w:r w:rsidR="0010140C">
        <w:t>og hvilke bilag</w:t>
      </w:r>
      <w:r w:rsidR="00F909B0">
        <w:t>,</w:t>
      </w:r>
      <w:r w:rsidR="0010140C">
        <w:t xml:space="preserve"> som stofferne er omfattet af</w:t>
      </w:r>
      <w:r w:rsidR="00000F43">
        <w:t xml:space="preserve">. </w:t>
      </w:r>
      <w:r w:rsidR="0069617F">
        <w:t>Stofferne er yderligere omtalt i kapitel 4 sammen med beskrivelsen af mulige konsekve</w:t>
      </w:r>
      <w:r w:rsidR="0010140C">
        <w:t>nser</w:t>
      </w:r>
      <w:r w:rsidR="0069617F">
        <w:t xml:space="preserve"> </w:t>
      </w:r>
      <w:r w:rsidR="00F909B0">
        <w:t>for Grønland</w:t>
      </w:r>
      <w:r w:rsidR="0069617F">
        <w:t xml:space="preserve">. Beskrivelsen </w:t>
      </w:r>
      <w:r w:rsidR="0010140C">
        <w:t>tager udgangspunkt i den seneste danske implementeringsplan</w:t>
      </w:r>
      <w:r w:rsidR="006B2FF9">
        <w:t xml:space="preserve"> (MFVM, 2018)</w:t>
      </w:r>
      <w:r w:rsidR="00F909B0">
        <w:t>.</w:t>
      </w:r>
    </w:p>
    <w:p w14:paraId="4A710951" w14:textId="3E6763C5" w:rsidR="00F909B0" w:rsidRDefault="00F909B0" w:rsidP="00000F43">
      <w:pPr>
        <w:pStyle w:val="Brdtekst"/>
      </w:pPr>
      <w:r>
        <w:t xml:space="preserve">Flere af de optagne stoffer under </w:t>
      </w:r>
      <w:r w:rsidR="00020F71">
        <w:t>Stockholmkonventionen</w:t>
      </w:r>
      <w:r>
        <w:t xml:space="preserve"> er omfattet af en tilføjelse til POP-protokollen fra 18</w:t>
      </w:r>
      <w:r w:rsidR="00274054">
        <w:t>.</w:t>
      </w:r>
      <w:r>
        <w:t xml:space="preserve"> december 2009, som endnu ikke er trådt i kraft fordi </w:t>
      </w:r>
      <w:r w:rsidR="0082631A">
        <w:t>ændringerne</w:t>
      </w:r>
      <w:r>
        <w:t xml:space="preserve"> endnu ikke er ratificeret af et tilstrækkeligt antal parter.</w:t>
      </w:r>
    </w:p>
    <w:p w14:paraId="101A3B94" w14:textId="54FEA59E" w:rsidR="00683067" w:rsidRDefault="00683067" w:rsidP="00683067">
      <w:pPr>
        <w:pStyle w:val="Billedtekst"/>
      </w:pPr>
      <w:r>
        <w:t xml:space="preserve">Tabel </w:t>
      </w:r>
      <w:r w:rsidR="00DA1BEC">
        <w:rPr>
          <w:noProof/>
        </w:rPr>
        <w:fldChar w:fldCharType="begin"/>
      </w:r>
      <w:r w:rsidR="00DA1BEC">
        <w:rPr>
          <w:noProof/>
        </w:rPr>
        <w:instrText xml:space="preserve"> SEQ Tabel \* ARABIC </w:instrText>
      </w:r>
      <w:r w:rsidR="00DA1BEC">
        <w:rPr>
          <w:noProof/>
        </w:rPr>
        <w:fldChar w:fldCharType="separate"/>
      </w:r>
      <w:r w:rsidR="00432B8C">
        <w:rPr>
          <w:noProof/>
        </w:rPr>
        <w:t>2</w:t>
      </w:r>
      <w:r w:rsidR="00DA1BEC">
        <w:rPr>
          <w:noProof/>
        </w:rPr>
        <w:fldChar w:fldCharType="end"/>
      </w:r>
      <w:r>
        <w:tab/>
        <w:t xml:space="preserve">Stoffer omfattet af Stockholmkonventionen og POP-protokollen med angivelse af de bilag, hvori stofferne er oplistede. </w:t>
      </w:r>
    </w:p>
    <w:tbl>
      <w:tblPr>
        <w:tblStyle w:val="Gittertabel1-lys"/>
        <w:tblW w:w="9781" w:type="dxa"/>
        <w:tblInd w:w="-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28"/>
        <w:gridCol w:w="1766"/>
        <w:gridCol w:w="1701"/>
        <w:gridCol w:w="1559"/>
        <w:gridCol w:w="1984"/>
      </w:tblGrid>
      <w:tr w:rsidR="006F7A6B" w:rsidRPr="00000F43" w14:paraId="49F5FCFC" w14:textId="77777777" w:rsidTr="000050A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596C63CC" w14:textId="77777777" w:rsidR="006F6079" w:rsidRPr="00000F43" w:rsidRDefault="006F6079" w:rsidP="00683067">
            <w:pPr>
              <w:pStyle w:val="Table"/>
            </w:pPr>
            <w:r w:rsidRPr="00000F43">
              <w:t xml:space="preserve">Stof </w:t>
            </w:r>
            <w:r w:rsidRPr="00000F43">
              <w:br/>
            </w:r>
          </w:p>
        </w:tc>
        <w:tc>
          <w:tcPr>
            <w:tcW w:w="928" w:type="dxa"/>
            <w:shd w:val="clear" w:color="auto" w:fill="D9D9D9" w:themeFill="background1" w:themeFillShade="D9"/>
          </w:tcPr>
          <w:p w14:paraId="5D3FAD66" w14:textId="52028B74" w:rsidR="006F6079" w:rsidRPr="006F6079" w:rsidRDefault="006F6079" w:rsidP="00683067">
            <w:pPr>
              <w:pStyle w:val="Table"/>
              <w:cnfStyle w:val="100000000000" w:firstRow="1" w:lastRow="0" w:firstColumn="0" w:lastColumn="0" w:oddVBand="0" w:evenVBand="0" w:oddHBand="0" w:evenHBand="0" w:firstRowFirstColumn="0" w:firstRowLastColumn="0" w:lastRowFirstColumn="0" w:lastRowLastColumn="0"/>
            </w:pPr>
            <w:r w:rsidRPr="006F6079">
              <w:t>Forkortelse</w:t>
            </w:r>
          </w:p>
        </w:tc>
        <w:tc>
          <w:tcPr>
            <w:tcW w:w="1766" w:type="dxa"/>
            <w:shd w:val="clear" w:color="auto" w:fill="D9D9D9" w:themeFill="background1" w:themeFillShade="D9"/>
          </w:tcPr>
          <w:p w14:paraId="03A37908" w14:textId="19AEAD6B" w:rsidR="006F6079" w:rsidRPr="00000F43" w:rsidRDefault="006F6079" w:rsidP="00683067">
            <w:pPr>
              <w:pStyle w:val="Table"/>
              <w:cnfStyle w:val="100000000000" w:firstRow="1" w:lastRow="0" w:firstColumn="0" w:lastColumn="0" w:oddVBand="0" w:evenVBand="0" w:oddHBand="0" w:evenHBand="0" w:firstRowFirstColumn="0" w:firstRowLastColumn="0" w:lastRowFirstColumn="0" w:lastRowLastColumn="0"/>
            </w:pPr>
            <w:r>
              <w:t>Anvendelse eller utilsigtet dannelse</w:t>
            </w:r>
          </w:p>
        </w:tc>
        <w:tc>
          <w:tcPr>
            <w:tcW w:w="1701" w:type="dxa"/>
            <w:shd w:val="clear" w:color="auto" w:fill="D9D9D9" w:themeFill="background1" w:themeFillShade="D9"/>
          </w:tcPr>
          <w:p w14:paraId="2E3D6A71" w14:textId="3EBA1424" w:rsidR="006F6079" w:rsidRPr="00000F43" w:rsidRDefault="006F6079" w:rsidP="00683067">
            <w:pPr>
              <w:pStyle w:val="Table"/>
              <w:cnfStyle w:val="100000000000" w:firstRow="1" w:lastRow="0" w:firstColumn="0" w:lastColumn="0" w:oddVBand="0" w:evenVBand="0" w:oddHBand="0" w:evenHBand="0" w:firstRowFirstColumn="0" w:firstRowLastColumn="0" w:lastRowFirstColumn="0" w:lastRowLastColumn="0"/>
            </w:pPr>
            <w:r w:rsidRPr="00000F43">
              <w:t>CAS Nr.</w:t>
            </w:r>
          </w:p>
        </w:tc>
        <w:tc>
          <w:tcPr>
            <w:tcW w:w="1559" w:type="dxa"/>
            <w:shd w:val="clear" w:color="auto" w:fill="D9D9D9" w:themeFill="background1" w:themeFillShade="D9"/>
          </w:tcPr>
          <w:p w14:paraId="05294905" w14:textId="379F8AC7" w:rsidR="006F6079" w:rsidRPr="00000F43" w:rsidRDefault="00846C00" w:rsidP="00683067">
            <w:pPr>
              <w:pStyle w:val="Table"/>
              <w:cnfStyle w:val="100000000000" w:firstRow="1" w:lastRow="0" w:firstColumn="0" w:lastColumn="0" w:oddVBand="0" w:evenVBand="0" w:oddHBand="0" w:evenHBand="0" w:firstRowFirstColumn="0" w:firstRowLastColumn="0" w:lastRowFirstColumn="0" w:lastRowLastColumn="0"/>
            </w:pPr>
            <w:r>
              <w:t xml:space="preserve">Bilag under </w:t>
            </w:r>
            <w:r w:rsidR="006F6079" w:rsidRPr="00000F43">
              <w:t>Stockholm-konventionen</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D9D9D9" w:themeFill="background1" w:themeFillShade="D9"/>
          </w:tcPr>
          <w:p w14:paraId="1BE301BC" w14:textId="6D7D31C8" w:rsidR="006F6079" w:rsidRPr="00000F43" w:rsidRDefault="00846C00" w:rsidP="00683067">
            <w:pPr>
              <w:pStyle w:val="Table"/>
            </w:pPr>
            <w:r>
              <w:t xml:space="preserve">Bilag under </w:t>
            </w:r>
            <w:r w:rsidR="006F6079" w:rsidRPr="00000F43">
              <w:t>POP-protokollen</w:t>
            </w:r>
          </w:p>
        </w:tc>
      </w:tr>
      <w:tr w:rsidR="006F7A6B" w:rsidRPr="00000F43" w14:paraId="4051C564"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143C752C" w14:textId="77777777" w:rsidR="006F6079" w:rsidRPr="00000F43" w:rsidRDefault="006F6079" w:rsidP="00683067">
            <w:pPr>
              <w:pStyle w:val="Table"/>
              <w:rPr>
                <w:b w:val="0"/>
              </w:rPr>
            </w:pPr>
            <w:r w:rsidRPr="00000F43">
              <w:rPr>
                <w:b w:val="0"/>
              </w:rPr>
              <w:t>Aldrin</w:t>
            </w:r>
          </w:p>
        </w:tc>
        <w:tc>
          <w:tcPr>
            <w:tcW w:w="928" w:type="dxa"/>
          </w:tcPr>
          <w:p w14:paraId="55A7D89F" w14:textId="77777777" w:rsidR="006F6079" w:rsidRP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p>
        </w:tc>
        <w:tc>
          <w:tcPr>
            <w:tcW w:w="1766" w:type="dxa"/>
          </w:tcPr>
          <w:p w14:paraId="6E67C544" w14:textId="3C243F94"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Pesti</w:t>
            </w:r>
            <w:r>
              <w:t>ci</w:t>
            </w:r>
            <w:r w:rsidRPr="00000F43">
              <w:t>d</w:t>
            </w:r>
          </w:p>
        </w:tc>
        <w:tc>
          <w:tcPr>
            <w:tcW w:w="1701" w:type="dxa"/>
          </w:tcPr>
          <w:p w14:paraId="1E07A8F5"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309-00-2</w:t>
            </w:r>
          </w:p>
        </w:tc>
        <w:tc>
          <w:tcPr>
            <w:tcW w:w="1559" w:type="dxa"/>
          </w:tcPr>
          <w:p w14:paraId="26E97E2C"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A</w:t>
            </w:r>
          </w:p>
        </w:tc>
        <w:tc>
          <w:tcPr>
            <w:cnfStyle w:val="000100000000" w:firstRow="0" w:lastRow="0" w:firstColumn="0" w:lastColumn="1" w:oddVBand="0" w:evenVBand="0" w:oddHBand="0" w:evenHBand="0" w:firstRowFirstColumn="0" w:firstRowLastColumn="0" w:lastRowFirstColumn="0" w:lastRowLastColumn="0"/>
            <w:tcW w:w="1984" w:type="dxa"/>
          </w:tcPr>
          <w:p w14:paraId="669A162E" w14:textId="77777777" w:rsidR="006F6079" w:rsidRPr="00000F43" w:rsidRDefault="006F6079" w:rsidP="00683067">
            <w:pPr>
              <w:pStyle w:val="Table"/>
            </w:pPr>
            <w:r w:rsidRPr="00000F43">
              <w:t>I</w:t>
            </w:r>
          </w:p>
        </w:tc>
      </w:tr>
      <w:tr w:rsidR="006F7A6B" w:rsidRPr="00000F43" w14:paraId="466247E5"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1C0E6FA3" w14:textId="77777777" w:rsidR="006F6079" w:rsidRPr="00000F43" w:rsidRDefault="006F6079" w:rsidP="00683067">
            <w:pPr>
              <w:pStyle w:val="Table"/>
              <w:rPr>
                <w:b w:val="0"/>
              </w:rPr>
            </w:pPr>
            <w:proofErr w:type="spellStart"/>
            <w:r w:rsidRPr="00000F43">
              <w:rPr>
                <w:b w:val="0"/>
              </w:rPr>
              <w:t>Chlordan</w:t>
            </w:r>
            <w:proofErr w:type="spellEnd"/>
          </w:p>
        </w:tc>
        <w:tc>
          <w:tcPr>
            <w:tcW w:w="928" w:type="dxa"/>
          </w:tcPr>
          <w:p w14:paraId="0FE54BAF" w14:textId="77777777" w:rsidR="006F6079" w:rsidRP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p>
        </w:tc>
        <w:tc>
          <w:tcPr>
            <w:tcW w:w="1766" w:type="dxa"/>
          </w:tcPr>
          <w:p w14:paraId="70DD7FAD" w14:textId="3BF3B7F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Pesti</w:t>
            </w:r>
            <w:r>
              <w:t>ci</w:t>
            </w:r>
            <w:r w:rsidRPr="00000F43">
              <w:t>d</w:t>
            </w:r>
          </w:p>
        </w:tc>
        <w:tc>
          <w:tcPr>
            <w:tcW w:w="1701" w:type="dxa"/>
          </w:tcPr>
          <w:p w14:paraId="7C780A47"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57-74-9</w:t>
            </w:r>
          </w:p>
        </w:tc>
        <w:tc>
          <w:tcPr>
            <w:tcW w:w="1559" w:type="dxa"/>
          </w:tcPr>
          <w:p w14:paraId="242F3E81"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A</w:t>
            </w:r>
          </w:p>
        </w:tc>
        <w:tc>
          <w:tcPr>
            <w:cnfStyle w:val="000100000000" w:firstRow="0" w:lastRow="0" w:firstColumn="0" w:lastColumn="1" w:oddVBand="0" w:evenVBand="0" w:oddHBand="0" w:evenHBand="0" w:firstRowFirstColumn="0" w:firstRowLastColumn="0" w:lastRowFirstColumn="0" w:lastRowLastColumn="0"/>
            <w:tcW w:w="1984" w:type="dxa"/>
          </w:tcPr>
          <w:p w14:paraId="437DA651" w14:textId="77777777" w:rsidR="006F6079" w:rsidRPr="00000F43" w:rsidRDefault="006F6079" w:rsidP="00683067">
            <w:pPr>
              <w:pStyle w:val="Table"/>
            </w:pPr>
            <w:r w:rsidRPr="00000F43">
              <w:t>I</w:t>
            </w:r>
          </w:p>
        </w:tc>
      </w:tr>
      <w:tr w:rsidR="006F7A6B" w:rsidRPr="00000F43" w14:paraId="1041DAF0"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436CE732" w14:textId="77777777" w:rsidR="006F6079" w:rsidRPr="00000F43" w:rsidRDefault="006F6079" w:rsidP="00086B7B">
            <w:pPr>
              <w:pStyle w:val="Table"/>
              <w:rPr>
                <w:b w:val="0"/>
              </w:rPr>
            </w:pPr>
            <w:proofErr w:type="spellStart"/>
            <w:r w:rsidRPr="00000F43">
              <w:rPr>
                <w:b w:val="0"/>
              </w:rPr>
              <w:t>Chlordecon</w:t>
            </w:r>
            <w:proofErr w:type="spellEnd"/>
          </w:p>
        </w:tc>
        <w:tc>
          <w:tcPr>
            <w:tcW w:w="928" w:type="dxa"/>
          </w:tcPr>
          <w:p w14:paraId="7863A86C" w14:textId="77777777" w:rsidR="006F6079" w:rsidRPr="006F6079" w:rsidRDefault="006F6079" w:rsidP="00086B7B">
            <w:pPr>
              <w:pStyle w:val="Table"/>
              <w:cnfStyle w:val="000000000000" w:firstRow="0" w:lastRow="0" w:firstColumn="0" w:lastColumn="0" w:oddVBand="0" w:evenVBand="0" w:oddHBand="0" w:evenHBand="0" w:firstRowFirstColumn="0" w:firstRowLastColumn="0" w:lastRowFirstColumn="0" w:lastRowLastColumn="0"/>
            </w:pPr>
          </w:p>
        </w:tc>
        <w:tc>
          <w:tcPr>
            <w:tcW w:w="1766" w:type="dxa"/>
          </w:tcPr>
          <w:p w14:paraId="43EE3C2F" w14:textId="73EA2393"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Pesti</w:t>
            </w:r>
            <w:r>
              <w:t>ci</w:t>
            </w:r>
            <w:r w:rsidRPr="00000F43">
              <w:t>d</w:t>
            </w:r>
          </w:p>
        </w:tc>
        <w:tc>
          <w:tcPr>
            <w:tcW w:w="1701" w:type="dxa"/>
          </w:tcPr>
          <w:p w14:paraId="2587BACE"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143-50-0</w:t>
            </w:r>
          </w:p>
        </w:tc>
        <w:tc>
          <w:tcPr>
            <w:tcW w:w="1559" w:type="dxa"/>
          </w:tcPr>
          <w:p w14:paraId="6316419B"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A</w:t>
            </w:r>
          </w:p>
        </w:tc>
        <w:tc>
          <w:tcPr>
            <w:cnfStyle w:val="000100000000" w:firstRow="0" w:lastRow="0" w:firstColumn="0" w:lastColumn="1" w:oddVBand="0" w:evenVBand="0" w:oddHBand="0" w:evenHBand="0" w:firstRowFirstColumn="0" w:firstRowLastColumn="0" w:lastRowFirstColumn="0" w:lastRowLastColumn="0"/>
            <w:tcW w:w="1984" w:type="dxa"/>
          </w:tcPr>
          <w:p w14:paraId="67DFD02A" w14:textId="77777777" w:rsidR="006F6079" w:rsidRPr="00000F43" w:rsidRDefault="006F6079" w:rsidP="00086B7B">
            <w:pPr>
              <w:pStyle w:val="Table"/>
            </w:pPr>
            <w:r w:rsidRPr="00000F43">
              <w:t>I</w:t>
            </w:r>
          </w:p>
        </w:tc>
      </w:tr>
      <w:tr w:rsidR="006F7A6B" w:rsidRPr="00000F43" w14:paraId="734E15C3"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4978F072" w14:textId="77777777" w:rsidR="006F6079" w:rsidRPr="00000F43" w:rsidRDefault="006F6079" w:rsidP="00683067">
            <w:pPr>
              <w:pStyle w:val="Table"/>
              <w:rPr>
                <w:b w:val="0"/>
              </w:rPr>
            </w:pPr>
            <w:r w:rsidRPr="00000F43">
              <w:rPr>
                <w:b w:val="0"/>
              </w:rPr>
              <w:t>DDT</w:t>
            </w:r>
          </w:p>
        </w:tc>
        <w:tc>
          <w:tcPr>
            <w:tcW w:w="928" w:type="dxa"/>
          </w:tcPr>
          <w:p w14:paraId="7BECFD1C" w14:textId="77777777" w:rsidR="006F6079" w:rsidRP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p>
        </w:tc>
        <w:tc>
          <w:tcPr>
            <w:tcW w:w="1766" w:type="dxa"/>
          </w:tcPr>
          <w:p w14:paraId="3FAD154A" w14:textId="18D69A5F"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Pesti</w:t>
            </w:r>
            <w:r>
              <w:t>ci</w:t>
            </w:r>
            <w:r w:rsidRPr="00000F43">
              <w:t>d</w:t>
            </w:r>
          </w:p>
        </w:tc>
        <w:tc>
          <w:tcPr>
            <w:tcW w:w="1701" w:type="dxa"/>
          </w:tcPr>
          <w:p w14:paraId="6E16837C"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50-29-3</w:t>
            </w:r>
          </w:p>
        </w:tc>
        <w:tc>
          <w:tcPr>
            <w:tcW w:w="1559" w:type="dxa"/>
          </w:tcPr>
          <w:p w14:paraId="70BF1073"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B</w:t>
            </w:r>
          </w:p>
        </w:tc>
        <w:tc>
          <w:tcPr>
            <w:cnfStyle w:val="000100000000" w:firstRow="0" w:lastRow="0" w:firstColumn="0" w:lastColumn="1" w:oddVBand="0" w:evenVBand="0" w:oddHBand="0" w:evenHBand="0" w:firstRowFirstColumn="0" w:firstRowLastColumn="0" w:lastRowFirstColumn="0" w:lastRowLastColumn="0"/>
            <w:tcW w:w="1984" w:type="dxa"/>
          </w:tcPr>
          <w:p w14:paraId="6CE6F4E6" w14:textId="77777777" w:rsidR="006F6079" w:rsidRPr="00000F43" w:rsidRDefault="006F6079" w:rsidP="00683067">
            <w:pPr>
              <w:pStyle w:val="Table"/>
            </w:pPr>
            <w:r w:rsidRPr="00000F43">
              <w:t>I, II**</w:t>
            </w:r>
          </w:p>
        </w:tc>
      </w:tr>
      <w:tr w:rsidR="006F7A6B" w:rsidRPr="00000F43" w14:paraId="547B02C9"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1540318C" w14:textId="16DDA3EE" w:rsidR="00350EEF" w:rsidRPr="00000F43" w:rsidRDefault="00350EEF">
            <w:pPr>
              <w:pStyle w:val="Table"/>
              <w:rPr>
                <w:b w:val="0"/>
              </w:rPr>
            </w:pPr>
            <w:proofErr w:type="spellStart"/>
            <w:r>
              <w:rPr>
                <w:b w:val="0"/>
              </w:rPr>
              <w:t>Deca</w:t>
            </w:r>
            <w:r w:rsidRPr="00000F43">
              <w:rPr>
                <w:b w:val="0"/>
              </w:rPr>
              <w:t>bromdiphenyl</w:t>
            </w:r>
            <w:r w:rsidR="00094B88">
              <w:rPr>
                <w:b w:val="0"/>
              </w:rPr>
              <w:t>-</w:t>
            </w:r>
            <w:r w:rsidRPr="00000F43">
              <w:rPr>
                <w:b w:val="0"/>
              </w:rPr>
              <w:t>ether</w:t>
            </w:r>
            <w:proofErr w:type="spellEnd"/>
            <w:r w:rsidRPr="00000F43">
              <w:rPr>
                <w:b w:val="0"/>
              </w:rPr>
              <w:t xml:space="preserve"> </w:t>
            </w:r>
          </w:p>
        </w:tc>
        <w:tc>
          <w:tcPr>
            <w:tcW w:w="928" w:type="dxa"/>
          </w:tcPr>
          <w:p w14:paraId="5AB97E68" w14:textId="58402794" w:rsidR="00350EEF" w:rsidRPr="006F6079" w:rsidRDefault="00350EEF" w:rsidP="00683067">
            <w:pPr>
              <w:pStyle w:val="Table"/>
              <w:cnfStyle w:val="000000000000" w:firstRow="0" w:lastRow="0" w:firstColumn="0" w:lastColumn="0" w:oddVBand="0" w:evenVBand="0" w:oddHBand="0" w:evenHBand="0" w:firstRowFirstColumn="0" w:firstRowLastColumn="0" w:lastRowFirstColumn="0" w:lastRowLastColumn="0"/>
            </w:pPr>
            <w:proofErr w:type="spellStart"/>
            <w:r>
              <w:t>decaBDE</w:t>
            </w:r>
            <w:proofErr w:type="spellEnd"/>
          </w:p>
        </w:tc>
        <w:tc>
          <w:tcPr>
            <w:tcW w:w="1766" w:type="dxa"/>
          </w:tcPr>
          <w:p w14:paraId="19333E9D" w14:textId="56E90211" w:rsidR="00350EEF" w:rsidRPr="00000F43" w:rsidRDefault="00350EEF" w:rsidP="00683067">
            <w:pPr>
              <w:pStyle w:val="Table"/>
              <w:cnfStyle w:val="000000000000" w:firstRow="0" w:lastRow="0" w:firstColumn="0" w:lastColumn="0" w:oddVBand="0" w:evenVBand="0" w:oddHBand="0" w:evenHBand="0" w:firstRowFirstColumn="0" w:firstRowLastColumn="0" w:lastRowFirstColumn="0" w:lastRowLastColumn="0"/>
            </w:pPr>
            <w:r>
              <w:t>Flammehæmmer</w:t>
            </w:r>
          </w:p>
        </w:tc>
        <w:tc>
          <w:tcPr>
            <w:tcW w:w="1701" w:type="dxa"/>
          </w:tcPr>
          <w:p w14:paraId="5DF5D6EA" w14:textId="50DDFF4B" w:rsidR="00350EEF" w:rsidRPr="00000F43" w:rsidRDefault="00350EEF" w:rsidP="00683067">
            <w:pPr>
              <w:pStyle w:val="Table"/>
              <w:cnfStyle w:val="000000000000" w:firstRow="0" w:lastRow="0" w:firstColumn="0" w:lastColumn="0" w:oddVBand="0" w:evenVBand="0" w:oddHBand="0" w:evenHBand="0" w:firstRowFirstColumn="0" w:firstRowLastColumn="0" w:lastRowFirstColumn="0" w:lastRowLastColumn="0"/>
            </w:pPr>
            <w:r w:rsidRPr="00350EEF">
              <w:t>1163-19-5</w:t>
            </w:r>
            <w:r w:rsidR="009E5ECE">
              <w:t xml:space="preserve"> </w:t>
            </w:r>
          </w:p>
        </w:tc>
        <w:tc>
          <w:tcPr>
            <w:tcW w:w="1559" w:type="dxa"/>
          </w:tcPr>
          <w:p w14:paraId="3B42AC98" w14:textId="0F3029CE" w:rsidR="00350EEF" w:rsidRPr="00000F43" w:rsidRDefault="00350EEF" w:rsidP="00683067">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Pr>
          <w:p w14:paraId="07E4180B" w14:textId="299376A0" w:rsidR="00350EEF" w:rsidRPr="00000F43" w:rsidRDefault="00C77235" w:rsidP="00683067">
            <w:pPr>
              <w:pStyle w:val="Table"/>
            </w:pPr>
            <w:r>
              <w:t>-</w:t>
            </w:r>
          </w:p>
        </w:tc>
      </w:tr>
      <w:tr w:rsidR="006F7A6B" w:rsidRPr="00000F43" w14:paraId="41594BFB"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15A5BD93" w14:textId="77777777" w:rsidR="006F6079" w:rsidRPr="00000F43" w:rsidRDefault="006F6079" w:rsidP="00683067">
            <w:pPr>
              <w:pStyle w:val="Table"/>
              <w:rPr>
                <w:b w:val="0"/>
              </w:rPr>
            </w:pPr>
            <w:proofErr w:type="spellStart"/>
            <w:r w:rsidRPr="00000F43">
              <w:rPr>
                <w:b w:val="0"/>
              </w:rPr>
              <w:t>Dieldrin</w:t>
            </w:r>
            <w:proofErr w:type="spellEnd"/>
          </w:p>
        </w:tc>
        <w:tc>
          <w:tcPr>
            <w:tcW w:w="928" w:type="dxa"/>
          </w:tcPr>
          <w:p w14:paraId="713624D3" w14:textId="77777777" w:rsidR="006F6079" w:rsidRP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p>
        </w:tc>
        <w:tc>
          <w:tcPr>
            <w:tcW w:w="1766" w:type="dxa"/>
          </w:tcPr>
          <w:p w14:paraId="12665AE4" w14:textId="1BCBB6F2"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Pesti</w:t>
            </w:r>
            <w:r>
              <w:t>ci</w:t>
            </w:r>
            <w:r w:rsidRPr="00000F43">
              <w:t>d</w:t>
            </w:r>
          </w:p>
        </w:tc>
        <w:tc>
          <w:tcPr>
            <w:tcW w:w="1701" w:type="dxa"/>
          </w:tcPr>
          <w:p w14:paraId="7BB98FED"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60-57-1</w:t>
            </w:r>
          </w:p>
        </w:tc>
        <w:tc>
          <w:tcPr>
            <w:tcW w:w="1559" w:type="dxa"/>
          </w:tcPr>
          <w:p w14:paraId="18D372A8"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A</w:t>
            </w:r>
          </w:p>
        </w:tc>
        <w:tc>
          <w:tcPr>
            <w:cnfStyle w:val="000100000000" w:firstRow="0" w:lastRow="0" w:firstColumn="0" w:lastColumn="1" w:oddVBand="0" w:evenVBand="0" w:oddHBand="0" w:evenHBand="0" w:firstRowFirstColumn="0" w:firstRowLastColumn="0" w:lastRowFirstColumn="0" w:lastRowLastColumn="0"/>
            <w:tcW w:w="1984" w:type="dxa"/>
          </w:tcPr>
          <w:p w14:paraId="02E25EBE" w14:textId="77777777" w:rsidR="006F6079" w:rsidRPr="00000F43" w:rsidRDefault="006F6079" w:rsidP="00683067">
            <w:pPr>
              <w:pStyle w:val="Table"/>
            </w:pPr>
            <w:r w:rsidRPr="00000F43">
              <w:t>I</w:t>
            </w:r>
          </w:p>
        </w:tc>
      </w:tr>
      <w:tr w:rsidR="006F7A6B" w:rsidRPr="00000F43" w14:paraId="1BE90FBE"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19C4B56E" w14:textId="77777777" w:rsidR="006F6079" w:rsidRPr="00000F43" w:rsidRDefault="006F6079" w:rsidP="00683067">
            <w:pPr>
              <w:pStyle w:val="Table"/>
              <w:rPr>
                <w:b w:val="0"/>
              </w:rPr>
            </w:pPr>
            <w:proofErr w:type="spellStart"/>
            <w:r w:rsidRPr="00000F43">
              <w:rPr>
                <w:b w:val="0"/>
              </w:rPr>
              <w:t>Endrin</w:t>
            </w:r>
            <w:proofErr w:type="spellEnd"/>
          </w:p>
        </w:tc>
        <w:tc>
          <w:tcPr>
            <w:tcW w:w="928" w:type="dxa"/>
          </w:tcPr>
          <w:p w14:paraId="46CEE77E" w14:textId="77777777" w:rsidR="006F6079" w:rsidRP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p>
        </w:tc>
        <w:tc>
          <w:tcPr>
            <w:tcW w:w="1766" w:type="dxa"/>
          </w:tcPr>
          <w:p w14:paraId="2A70EDE4" w14:textId="043A2CA2"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Pesti</w:t>
            </w:r>
            <w:r>
              <w:t>ci</w:t>
            </w:r>
            <w:r w:rsidRPr="00000F43">
              <w:t>d</w:t>
            </w:r>
          </w:p>
        </w:tc>
        <w:tc>
          <w:tcPr>
            <w:tcW w:w="1701" w:type="dxa"/>
          </w:tcPr>
          <w:p w14:paraId="49630EC2"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72-20-8</w:t>
            </w:r>
          </w:p>
        </w:tc>
        <w:tc>
          <w:tcPr>
            <w:tcW w:w="1559" w:type="dxa"/>
          </w:tcPr>
          <w:p w14:paraId="7839F487"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A</w:t>
            </w:r>
          </w:p>
        </w:tc>
        <w:tc>
          <w:tcPr>
            <w:cnfStyle w:val="000100000000" w:firstRow="0" w:lastRow="0" w:firstColumn="0" w:lastColumn="1" w:oddVBand="0" w:evenVBand="0" w:oddHBand="0" w:evenHBand="0" w:firstRowFirstColumn="0" w:firstRowLastColumn="0" w:lastRowFirstColumn="0" w:lastRowLastColumn="0"/>
            <w:tcW w:w="1984" w:type="dxa"/>
          </w:tcPr>
          <w:p w14:paraId="6266C6E4" w14:textId="77777777" w:rsidR="006F6079" w:rsidRPr="00000F43" w:rsidRDefault="006F6079" w:rsidP="00683067">
            <w:pPr>
              <w:pStyle w:val="Table"/>
            </w:pPr>
            <w:r w:rsidRPr="00000F43">
              <w:t>I</w:t>
            </w:r>
          </w:p>
        </w:tc>
      </w:tr>
      <w:tr w:rsidR="006F7A6B" w:rsidRPr="00000F43" w14:paraId="0D07E6E1"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570DA99D" w14:textId="77777777" w:rsidR="006F6079" w:rsidRPr="00000F43" w:rsidRDefault="006F6079" w:rsidP="00683067">
            <w:pPr>
              <w:pStyle w:val="Table"/>
              <w:rPr>
                <w:b w:val="0"/>
              </w:rPr>
            </w:pPr>
            <w:proofErr w:type="spellStart"/>
            <w:r w:rsidRPr="00000F43">
              <w:rPr>
                <w:b w:val="0"/>
              </w:rPr>
              <w:t>Heptachlor</w:t>
            </w:r>
            <w:proofErr w:type="spellEnd"/>
          </w:p>
        </w:tc>
        <w:tc>
          <w:tcPr>
            <w:tcW w:w="928" w:type="dxa"/>
          </w:tcPr>
          <w:p w14:paraId="6880A236" w14:textId="77777777" w:rsidR="006F6079" w:rsidRP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p>
        </w:tc>
        <w:tc>
          <w:tcPr>
            <w:tcW w:w="1766" w:type="dxa"/>
          </w:tcPr>
          <w:p w14:paraId="4230D1B7" w14:textId="52DFA318"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Pesti</w:t>
            </w:r>
            <w:r>
              <w:t>ci</w:t>
            </w:r>
            <w:r w:rsidRPr="00000F43">
              <w:t>d</w:t>
            </w:r>
          </w:p>
        </w:tc>
        <w:tc>
          <w:tcPr>
            <w:tcW w:w="1701" w:type="dxa"/>
          </w:tcPr>
          <w:p w14:paraId="65EA1F9D"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76-44-8</w:t>
            </w:r>
          </w:p>
        </w:tc>
        <w:tc>
          <w:tcPr>
            <w:tcW w:w="1559" w:type="dxa"/>
          </w:tcPr>
          <w:p w14:paraId="61CBA479"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A</w:t>
            </w:r>
          </w:p>
        </w:tc>
        <w:tc>
          <w:tcPr>
            <w:cnfStyle w:val="000100000000" w:firstRow="0" w:lastRow="0" w:firstColumn="0" w:lastColumn="1" w:oddVBand="0" w:evenVBand="0" w:oddHBand="0" w:evenHBand="0" w:firstRowFirstColumn="0" w:firstRowLastColumn="0" w:lastRowFirstColumn="0" w:lastRowLastColumn="0"/>
            <w:tcW w:w="1984" w:type="dxa"/>
          </w:tcPr>
          <w:p w14:paraId="5C719903" w14:textId="77777777" w:rsidR="006F6079" w:rsidRPr="00000F43" w:rsidRDefault="006F6079" w:rsidP="00683067">
            <w:pPr>
              <w:pStyle w:val="Table"/>
            </w:pPr>
            <w:r w:rsidRPr="00000F43">
              <w:t>I</w:t>
            </w:r>
          </w:p>
        </w:tc>
      </w:tr>
      <w:tr w:rsidR="006F7A6B" w:rsidRPr="00000F43" w14:paraId="4DD5DDAB"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0330F09A" w14:textId="0284E96B" w:rsidR="006F6079" w:rsidRPr="00000F43" w:rsidRDefault="006F6079" w:rsidP="006F6079">
            <w:pPr>
              <w:pStyle w:val="Table"/>
              <w:rPr>
                <w:b w:val="0"/>
              </w:rPr>
            </w:pPr>
            <w:proofErr w:type="spellStart"/>
            <w:r w:rsidRPr="00000F43">
              <w:rPr>
                <w:b w:val="0"/>
              </w:rPr>
              <w:t>Hexabrombiphenyl</w:t>
            </w:r>
            <w:proofErr w:type="spellEnd"/>
            <w:r w:rsidRPr="00000F43">
              <w:rPr>
                <w:b w:val="0"/>
              </w:rPr>
              <w:t xml:space="preserve"> </w:t>
            </w:r>
            <w:r w:rsidRPr="00000F43">
              <w:rPr>
                <w:b w:val="0"/>
              </w:rPr>
              <w:br/>
            </w:r>
          </w:p>
        </w:tc>
        <w:tc>
          <w:tcPr>
            <w:tcW w:w="928" w:type="dxa"/>
          </w:tcPr>
          <w:p w14:paraId="0D64D370" w14:textId="49FE54C2" w:rsidR="006F6079" w:rsidRP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proofErr w:type="spellStart"/>
            <w:r w:rsidRPr="006F6079">
              <w:t>he</w:t>
            </w:r>
            <w:r>
              <w:t>xaBB</w:t>
            </w:r>
            <w:proofErr w:type="spellEnd"/>
          </w:p>
        </w:tc>
        <w:tc>
          <w:tcPr>
            <w:tcW w:w="1766" w:type="dxa"/>
          </w:tcPr>
          <w:p w14:paraId="078AF387" w14:textId="16CE8F86"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t>Flammehæmmer</w:t>
            </w:r>
          </w:p>
        </w:tc>
        <w:tc>
          <w:tcPr>
            <w:tcW w:w="1701" w:type="dxa"/>
          </w:tcPr>
          <w:p w14:paraId="78AD42A1"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36355-01-8</w:t>
            </w:r>
          </w:p>
        </w:tc>
        <w:tc>
          <w:tcPr>
            <w:tcW w:w="1559" w:type="dxa"/>
          </w:tcPr>
          <w:p w14:paraId="29E2215A"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A</w:t>
            </w:r>
          </w:p>
        </w:tc>
        <w:tc>
          <w:tcPr>
            <w:cnfStyle w:val="000100000000" w:firstRow="0" w:lastRow="0" w:firstColumn="0" w:lastColumn="1" w:oddVBand="0" w:evenVBand="0" w:oddHBand="0" w:evenHBand="0" w:firstRowFirstColumn="0" w:firstRowLastColumn="0" w:lastRowFirstColumn="0" w:lastRowLastColumn="0"/>
            <w:tcW w:w="1984" w:type="dxa"/>
          </w:tcPr>
          <w:p w14:paraId="63264299" w14:textId="08BC64C2" w:rsidR="006F6079" w:rsidRPr="00000F43" w:rsidRDefault="00C77235" w:rsidP="00683067">
            <w:pPr>
              <w:pStyle w:val="Table"/>
            </w:pPr>
            <w:r>
              <w:t>I*</w:t>
            </w:r>
          </w:p>
        </w:tc>
      </w:tr>
      <w:tr w:rsidR="006F7A6B" w:rsidRPr="00000F43" w14:paraId="4185A619"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20A5CD27" w14:textId="5AB88507" w:rsidR="006F6079" w:rsidRDefault="006F6079" w:rsidP="006F6079">
            <w:pPr>
              <w:pStyle w:val="Table"/>
              <w:rPr>
                <w:b w:val="0"/>
              </w:rPr>
            </w:pPr>
            <w:proofErr w:type="spellStart"/>
            <w:r>
              <w:rPr>
                <w:b w:val="0"/>
              </w:rPr>
              <w:t>Hexabromcyclododecan</w:t>
            </w:r>
            <w:proofErr w:type="spellEnd"/>
            <w:r>
              <w:rPr>
                <w:b w:val="0"/>
              </w:rPr>
              <w:t xml:space="preserve"> </w:t>
            </w:r>
          </w:p>
        </w:tc>
        <w:tc>
          <w:tcPr>
            <w:tcW w:w="928" w:type="dxa"/>
          </w:tcPr>
          <w:p w14:paraId="3371A5C8" w14:textId="065C1947" w:rsidR="006F6079" w:rsidRPr="006F6079" w:rsidRDefault="006F6079" w:rsidP="006F6079">
            <w:pPr>
              <w:pStyle w:val="Table"/>
              <w:cnfStyle w:val="000000000000" w:firstRow="0" w:lastRow="0" w:firstColumn="0" w:lastColumn="0" w:oddVBand="0" w:evenVBand="0" w:oddHBand="0" w:evenHBand="0" w:firstRowFirstColumn="0" w:firstRowLastColumn="0" w:lastRowFirstColumn="0" w:lastRowLastColumn="0"/>
            </w:pPr>
            <w:r>
              <w:t>HBCDD</w:t>
            </w:r>
          </w:p>
        </w:tc>
        <w:tc>
          <w:tcPr>
            <w:tcW w:w="1766" w:type="dxa"/>
          </w:tcPr>
          <w:p w14:paraId="13BC1774" w14:textId="19E9A528" w:rsidR="006F6079" w:rsidRPr="00000F43" w:rsidRDefault="006F6079" w:rsidP="008C4637">
            <w:pPr>
              <w:pStyle w:val="Table"/>
              <w:cnfStyle w:val="000000000000" w:firstRow="0" w:lastRow="0" w:firstColumn="0" w:lastColumn="0" w:oddVBand="0" w:evenVBand="0" w:oddHBand="0" w:evenHBand="0" w:firstRowFirstColumn="0" w:firstRowLastColumn="0" w:lastRowFirstColumn="0" w:lastRowLastColumn="0"/>
            </w:pPr>
            <w:r>
              <w:t>Flammehæmmer</w:t>
            </w:r>
          </w:p>
        </w:tc>
        <w:tc>
          <w:tcPr>
            <w:tcW w:w="1701" w:type="dxa"/>
          </w:tcPr>
          <w:p w14:paraId="31DC7F27" w14:textId="77777777" w:rsidR="006F6079" w:rsidRPr="00000F43" w:rsidRDefault="006F6079" w:rsidP="008C4637">
            <w:pPr>
              <w:pStyle w:val="Table"/>
              <w:cnfStyle w:val="000000000000" w:firstRow="0" w:lastRow="0" w:firstColumn="0" w:lastColumn="0" w:oddVBand="0" w:evenVBand="0" w:oddHBand="0" w:evenHBand="0" w:firstRowFirstColumn="0" w:firstRowLastColumn="0" w:lastRowFirstColumn="0" w:lastRowLastColumn="0"/>
            </w:pPr>
            <w:r w:rsidRPr="003B0F54">
              <w:t>25637-99-4</w:t>
            </w:r>
            <w:r>
              <w:br/>
            </w:r>
            <w:r w:rsidRPr="003B0F54">
              <w:t>3194-55-6</w:t>
            </w:r>
          </w:p>
        </w:tc>
        <w:tc>
          <w:tcPr>
            <w:tcW w:w="1559" w:type="dxa"/>
          </w:tcPr>
          <w:p w14:paraId="7306D5FA" w14:textId="77777777" w:rsidR="006F6079" w:rsidRDefault="006F6079" w:rsidP="008C4637">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Pr>
          <w:p w14:paraId="684BDDB7" w14:textId="0EADCB05" w:rsidR="006F6079" w:rsidRPr="00000F43" w:rsidRDefault="00C77235" w:rsidP="008C4637">
            <w:pPr>
              <w:pStyle w:val="Table"/>
            </w:pPr>
            <w:r>
              <w:t>-</w:t>
            </w:r>
          </w:p>
        </w:tc>
      </w:tr>
      <w:tr w:rsidR="006F7A6B" w:rsidRPr="00000F43" w14:paraId="54614A13"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3F41E725" w14:textId="36967EC5" w:rsidR="006F6079" w:rsidRPr="00000F43" w:rsidRDefault="006F6079" w:rsidP="006F6079">
            <w:pPr>
              <w:pStyle w:val="Table"/>
              <w:rPr>
                <w:b w:val="0"/>
              </w:rPr>
            </w:pPr>
            <w:proofErr w:type="spellStart"/>
            <w:r w:rsidRPr="00000F43">
              <w:rPr>
                <w:b w:val="0"/>
              </w:rPr>
              <w:t>Hexabromdiphenyl</w:t>
            </w:r>
            <w:r w:rsidR="00D7538F">
              <w:rPr>
                <w:b w:val="0"/>
              </w:rPr>
              <w:t>-</w:t>
            </w:r>
            <w:r w:rsidRPr="00000F43">
              <w:rPr>
                <w:b w:val="0"/>
              </w:rPr>
              <w:t>ether</w:t>
            </w:r>
            <w:proofErr w:type="spellEnd"/>
            <w:r w:rsidRPr="00000F43">
              <w:rPr>
                <w:b w:val="0"/>
              </w:rPr>
              <w:t xml:space="preserve"> og </w:t>
            </w:r>
            <w:proofErr w:type="spellStart"/>
            <w:r w:rsidRPr="00000F43">
              <w:rPr>
                <w:b w:val="0"/>
              </w:rPr>
              <w:t>hepta</w:t>
            </w:r>
            <w:r w:rsidR="00D7538F">
              <w:rPr>
                <w:b w:val="0"/>
              </w:rPr>
              <w:t>-</w:t>
            </w:r>
            <w:r w:rsidRPr="00000F43">
              <w:rPr>
                <w:b w:val="0"/>
              </w:rPr>
              <w:t>bromdiphenylether</w:t>
            </w:r>
            <w:proofErr w:type="spellEnd"/>
            <w:r>
              <w:rPr>
                <w:b w:val="0"/>
              </w:rPr>
              <w:t xml:space="preserve"> </w:t>
            </w:r>
          </w:p>
        </w:tc>
        <w:tc>
          <w:tcPr>
            <w:tcW w:w="928" w:type="dxa"/>
          </w:tcPr>
          <w:p w14:paraId="5F2F51FB" w14:textId="5290D7F6" w:rsidR="006F6079" w:rsidRPr="006F6079" w:rsidRDefault="006F6079" w:rsidP="006F6079">
            <w:pPr>
              <w:pStyle w:val="Table"/>
              <w:cnfStyle w:val="000000000000" w:firstRow="0" w:lastRow="0" w:firstColumn="0" w:lastColumn="0" w:oddVBand="0" w:evenVBand="0" w:oddHBand="0" w:evenHBand="0" w:firstRowFirstColumn="0" w:firstRowLastColumn="0" w:lastRowFirstColumn="0" w:lastRowLastColumn="0"/>
            </w:pPr>
            <w:r>
              <w:t xml:space="preserve">Teknisk </w:t>
            </w:r>
            <w:r>
              <w:br/>
            </w:r>
            <w:proofErr w:type="spellStart"/>
            <w:r>
              <w:t>octa</w:t>
            </w:r>
            <w:proofErr w:type="spellEnd"/>
            <w:r>
              <w:t>-BDE</w:t>
            </w:r>
          </w:p>
        </w:tc>
        <w:tc>
          <w:tcPr>
            <w:tcW w:w="1766" w:type="dxa"/>
          </w:tcPr>
          <w:p w14:paraId="5E4D5D04" w14:textId="0B6C9225"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t>Flammehæmmer</w:t>
            </w:r>
          </w:p>
        </w:tc>
        <w:tc>
          <w:tcPr>
            <w:tcW w:w="1701" w:type="dxa"/>
          </w:tcPr>
          <w:p w14:paraId="20FC91E9" w14:textId="23E69DF2" w:rsidR="00846C00"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68631-49-2</w:t>
            </w:r>
          </w:p>
          <w:p w14:paraId="7D480ED0"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207122-15-4</w:t>
            </w:r>
          </w:p>
          <w:p w14:paraId="506D4F7A"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446255-22-7</w:t>
            </w:r>
          </w:p>
          <w:p w14:paraId="4AD0332A" w14:textId="269D94A0" w:rsidR="00846C00"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207122-16-5</w:t>
            </w:r>
          </w:p>
          <w:p w14:paraId="5EC2557F"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og andre</w:t>
            </w:r>
          </w:p>
        </w:tc>
        <w:tc>
          <w:tcPr>
            <w:tcW w:w="1559" w:type="dxa"/>
          </w:tcPr>
          <w:p w14:paraId="6056CD50"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A</w:t>
            </w:r>
          </w:p>
        </w:tc>
        <w:tc>
          <w:tcPr>
            <w:cnfStyle w:val="000100000000" w:firstRow="0" w:lastRow="0" w:firstColumn="0" w:lastColumn="1" w:oddVBand="0" w:evenVBand="0" w:oddHBand="0" w:evenHBand="0" w:firstRowFirstColumn="0" w:firstRowLastColumn="0" w:lastRowFirstColumn="0" w:lastRowLastColumn="0"/>
            <w:tcW w:w="1984" w:type="dxa"/>
          </w:tcPr>
          <w:p w14:paraId="7D0F70A4" w14:textId="3E720E90" w:rsidR="006F6079" w:rsidRPr="00000F43" w:rsidRDefault="006F6079" w:rsidP="00086B7B">
            <w:pPr>
              <w:pStyle w:val="Table"/>
            </w:pPr>
            <w:r w:rsidRPr="00000F43">
              <w:t>I</w:t>
            </w:r>
            <w:r w:rsidR="00C77235">
              <w:t>*</w:t>
            </w:r>
          </w:p>
        </w:tc>
      </w:tr>
      <w:tr w:rsidR="006F7A6B" w:rsidRPr="00000F43" w14:paraId="328276BC"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3363968A" w14:textId="01187CC0" w:rsidR="006F6079" w:rsidRPr="00000F43" w:rsidRDefault="006F6079" w:rsidP="006F6079">
            <w:pPr>
              <w:pStyle w:val="Table"/>
              <w:rPr>
                <w:b w:val="0"/>
              </w:rPr>
            </w:pPr>
            <w:proofErr w:type="spellStart"/>
            <w:r w:rsidRPr="00000F43">
              <w:rPr>
                <w:b w:val="0"/>
              </w:rPr>
              <w:t>Hexachlorbenzen</w:t>
            </w:r>
            <w:proofErr w:type="spellEnd"/>
            <w:r w:rsidRPr="00000F43">
              <w:rPr>
                <w:b w:val="0"/>
              </w:rPr>
              <w:t xml:space="preserve"> </w:t>
            </w:r>
          </w:p>
        </w:tc>
        <w:tc>
          <w:tcPr>
            <w:tcW w:w="928" w:type="dxa"/>
          </w:tcPr>
          <w:p w14:paraId="192B2F34" w14:textId="2B1733A9" w:rsidR="006F6079" w:rsidRPr="006F6079" w:rsidRDefault="006F6079" w:rsidP="00086B7B">
            <w:pPr>
              <w:pStyle w:val="Table"/>
              <w:cnfStyle w:val="000000000000" w:firstRow="0" w:lastRow="0" w:firstColumn="0" w:lastColumn="0" w:oddVBand="0" w:evenVBand="0" w:oddHBand="0" w:evenHBand="0" w:firstRowFirstColumn="0" w:firstRowLastColumn="0" w:lastRowFirstColumn="0" w:lastRowLastColumn="0"/>
            </w:pPr>
            <w:r>
              <w:t>HCB</w:t>
            </w:r>
          </w:p>
        </w:tc>
        <w:tc>
          <w:tcPr>
            <w:tcW w:w="1766" w:type="dxa"/>
          </w:tcPr>
          <w:p w14:paraId="0E930B98" w14:textId="4FD428B9"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Pesti</w:t>
            </w:r>
            <w:r>
              <w:t>ci</w:t>
            </w:r>
            <w:r w:rsidRPr="00000F43">
              <w:t>d</w:t>
            </w:r>
            <w:r>
              <w:t>, u</w:t>
            </w:r>
            <w:r w:rsidRPr="003B0F54">
              <w:t>tilsigtet dannelse</w:t>
            </w:r>
          </w:p>
        </w:tc>
        <w:tc>
          <w:tcPr>
            <w:tcW w:w="1701" w:type="dxa"/>
          </w:tcPr>
          <w:p w14:paraId="3A30896E"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118-74-1</w:t>
            </w:r>
          </w:p>
        </w:tc>
        <w:tc>
          <w:tcPr>
            <w:tcW w:w="1559" w:type="dxa"/>
          </w:tcPr>
          <w:p w14:paraId="7315182D"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A, C</w:t>
            </w:r>
          </w:p>
        </w:tc>
        <w:tc>
          <w:tcPr>
            <w:cnfStyle w:val="000100000000" w:firstRow="0" w:lastRow="0" w:firstColumn="0" w:lastColumn="1" w:oddVBand="0" w:evenVBand="0" w:oddHBand="0" w:evenHBand="0" w:firstRowFirstColumn="0" w:firstRowLastColumn="0" w:lastRowFirstColumn="0" w:lastRowLastColumn="0"/>
            <w:tcW w:w="1984" w:type="dxa"/>
          </w:tcPr>
          <w:p w14:paraId="0B4D60AD" w14:textId="2BEDF406" w:rsidR="006F6079" w:rsidRPr="00000F43" w:rsidRDefault="006F6079" w:rsidP="00086B7B">
            <w:pPr>
              <w:pStyle w:val="Table"/>
            </w:pPr>
            <w:r w:rsidRPr="00000F43">
              <w:t>I,</w:t>
            </w:r>
            <w:r w:rsidR="00C77235" w:rsidRPr="00000F43" w:rsidDel="00C77235">
              <w:t xml:space="preserve"> </w:t>
            </w:r>
            <w:r w:rsidRPr="00000F43">
              <w:t>III</w:t>
            </w:r>
          </w:p>
        </w:tc>
      </w:tr>
      <w:tr w:rsidR="006F7A6B" w:rsidRPr="00000F43" w14:paraId="6793EC94"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5211D261" w14:textId="1E19C43D" w:rsidR="006F6079" w:rsidRPr="0097584A" w:rsidRDefault="006F6079" w:rsidP="006F6079">
            <w:pPr>
              <w:pStyle w:val="Table"/>
              <w:rPr>
                <w:b w:val="0"/>
              </w:rPr>
            </w:pPr>
            <w:proofErr w:type="spellStart"/>
            <w:r w:rsidRPr="0097584A">
              <w:rPr>
                <w:b w:val="0"/>
              </w:rPr>
              <w:t>Hexachlorbutadien</w:t>
            </w:r>
            <w:proofErr w:type="spellEnd"/>
            <w:r w:rsidRPr="0097584A">
              <w:rPr>
                <w:b w:val="0"/>
              </w:rPr>
              <w:t xml:space="preserve"> </w:t>
            </w:r>
          </w:p>
        </w:tc>
        <w:tc>
          <w:tcPr>
            <w:tcW w:w="928" w:type="dxa"/>
            <w:shd w:val="clear" w:color="auto" w:fill="auto"/>
          </w:tcPr>
          <w:p w14:paraId="02E985C2" w14:textId="5FC3A1CB" w:rsidR="006F6079" w:rsidRPr="00B45DBD" w:rsidRDefault="006F6079" w:rsidP="008C4637">
            <w:pPr>
              <w:pStyle w:val="Table"/>
              <w:cnfStyle w:val="000000000000" w:firstRow="0" w:lastRow="0" w:firstColumn="0" w:lastColumn="0" w:oddVBand="0" w:evenVBand="0" w:oddHBand="0" w:evenHBand="0" w:firstRowFirstColumn="0" w:firstRowLastColumn="0" w:lastRowFirstColumn="0" w:lastRowLastColumn="0"/>
            </w:pPr>
            <w:r w:rsidRPr="00B45DBD">
              <w:t xml:space="preserve">HCBD </w:t>
            </w:r>
          </w:p>
        </w:tc>
        <w:tc>
          <w:tcPr>
            <w:tcW w:w="1766" w:type="dxa"/>
            <w:shd w:val="clear" w:color="auto" w:fill="auto"/>
          </w:tcPr>
          <w:p w14:paraId="10C0A30A" w14:textId="1E2AFCAA" w:rsidR="006F6079" w:rsidRPr="00B45DBD" w:rsidRDefault="006F6079" w:rsidP="008C4637">
            <w:pPr>
              <w:pStyle w:val="Table"/>
              <w:cnfStyle w:val="000000000000" w:firstRow="0" w:lastRow="0" w:firstColumn="0" w:lastColumn="0" w:oddVBand="0" w:evenVBand="0" w:oddHBand="0" w:evenHBand="0" w:firstRowFirstColumn="0" w:firstRowLastColumn="0" w:lastRowFirstColumn="0" w:lastRowLastColumn="0"/>
            </w:pPr>
            <w:r w:rsidRPr="00B45DBD">
              <w:t>Pesticid</w:t>
            </w:r>
            <w:r w:rsidR="009622C5">
              <w:t>, u</w:t>
            </w:r>
            <w:r w:rsidR="009622C5" w:rsidRPr="003B0F54">
              <w:t>tilsigtet dannelse</w:t>
            </w:r>
          </w:p>
        </w:tc>
        <w:tc>
          <w:tcPr>
            <w:tcW w:w="1701" w:type="dxa"/>
            <w:shd w:val="clear" w:color="auto" w:fill="auto"/>
          </w:tcPr>
          <w:p w14:paraId="493B7B44" w14:textId="77777777" w:rsidR="006F6079" w:rsidRPr="00B45DBD" w:rsidRDefault="006F6079" w:rsidP="008C4637">
            <w:pPr>
              <w:pStyle w:val="Table"/>
              <w:cnfStyle w:val="000000000000" w:firstRow="0" w:lastRow="0" w:firstColumn="0" w:lastColumn="0" w:oddVBand="0" w:evenVBand="0" w:oddHBand="0" w:evenHBand="0" w:firstRowFirstColumn="0" w:firstRowLastColumn="0" w:lastRowFirstColumn="0" w:lastRowLastColumn="0"/>
            </w:pPr>
            <w:r w:rsidRPr="00B45DBD">
              <w:t>87-68-3</w:t>
            </w:r>
          </w:p>
        </w:tc>
        <w:tc>
          <w:tcPr>
            <w:tcW w:w="1559" w:type="dxa"/>
            <w:shd w:val="clear" w:color="auto" w:fill="auto"/>
          </w:tcPr>
          <w:p w14:paraId="09F4C83B" w14:textId="3818F88A" w:rsidR="006F6079" w:rsidRPr="00B45DBD" w:rsidRDefault="006F6079" w:rsidP="008C4637">
            <w:pPr>
              <w:pStyle w:val="Table"/>
              <w:cnfStyle w:val="000000000000" w:firstRow="0" w:lastRow="0" w:firstColumn="0" w:lastColumn="0" w:oddVBand="0" w:evenVBand="0" w:oddHBand="0" w:evenHBand="0" w:firstRowFirstColumn="0" w:firstRowLastColumn="0" w:lastRowFirstColumn="0" w:lastRowLastColumn="0"/>
            </w:pPr>
            <w:r w:rsidRPr="00B45DBD">
              <w:t>A</w:t>
            </w:r>
            <w:r w:rsidR="00350EEF" w:rsidRPr="00B45DBD">
              <w:t>, C</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auto"/>
          </w:tcPr>
          <w:p w14:paraId="0EB241D3" w14:textId="77777777" w:rsidR="006F6079" w:rsidRPr="00000F43" w:rsidRDefault="006F6079" w:rsidP="008C4637">
            <w:pPr>
              <w:pStyle w:val="Table"/>
            </w:pPr>
            <w:r w:rsidRPr="00B45DBD">
              <w:t>I *</w:t>
            </w:r>
          </w:p>
        </w:tc>
      </w:tr>
      <w:tr w:rsidR="006F7A6B" w:rsidRPr="00000F43" w14:paraId="69CF40EE"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217A4792" w14:textId="654E5779" w:rsidR="00350EEF" w:rsidRPr="00000F43" w:rsidRDefault="00350EEF">
            <w:pPr>
              <w:pStyle w:val="Table"/>
              <w:rPr>
                <w:b w:val="0"/>
              </w:rPr>
            </w:pPr>
            <w:r w:rsidRPr="00000F43">
              <w:rPr>
                <w:b w:val="0"/>
              </w:rPr>
              <w:t xml:space="preserve">Kortkædede </w:t>
            </w:r>
            <w:proofErr w:type="spellStart"/>
            <w:r w:rsidR="00735527">
              <w:rPr>
                <w:b w:val="0"/>
              </w:rPr>
              <w:t>chlor</w:t>
            </w:r>
            <w:r w:rsidRPr="00000F43">
              <w:rPr>
                <w:b w:val="0"/>
              </w:rPr>
              <w:t>paraffiner</w:t>
            </w:r>
            <w:proofErr w:type="spellEnd"/>
            <w:r w:rsidRPr="00000F43">
              <w:rPr>
                <w:b w:val="0"/>
              </w:rPr>
              <w:t xml:space="preserve"> </w:t>
            </w:r>
          </w:p>
        </w:tc>
        <w:tc>
          <w:tcPr>
            <w:tcW w:w="928" w:type="dxa"/>
          </w:tcPr>
          <w:p w14:paraId="6B187684" w14:textId="2E2A4DE3" w:rsidR="00350EEF" w:rsidRDefault="00350EEF" w:rsidP="00350EEF">
            <w:pPr>
              <w:pStyle w:val="Table"/>
              <w:cnfStyle w:val="000000000000" w:firstRow="0" w:lastRow="0" w:firstColumn="0" w:lastColumn="0" w:oddVBand="0" w:evenVBand="0" w:oddHBand="0" w:evenHBand="0" w:firstRowFirstColumn="0" w:firstRowLastColumn="0" w:lastRowFirstColumn="0" w:lastRowLastColumn="0"/>
            </w:pPr>
            <w:r>
              <w:t>SCCP</w:t>
            </w:r>
          </w:p>
        </w:tc>
        <w:tc>
          <w:tcPr>
            <w:tcW w:w="1766" w:type="dxa"/>
          </w:tcPr>
          <w:p w14:paraId="2487A06D" w14:textId="27FAD954" w:rsidR="00350EEF" w:rsidRPr="00000F43" w:rsidRDefault="00350EEF" w:rsidP="00350EEF">
            <w:pPr>
              <w:pStyle w:val="Table"/>
              <w:cnfStyle w:val="000000000000" w:firstRow="0" w:lastRow="0" w:firstColumn="0" w:lastColumn="0" w:oddVBand="0" w:evenVBand="0" w:oddHBand="0" w:evenHBand="0" w:firstRowFirstColumn="0" w:firstRowLastColumn="0" w:lastRowFirstColumn="0" w:lastRowLastColumn="0"/>
            </w:pPr>
            <w:r>
              <w:t>Blødgører, flammehæmmer</w:t>
            </w:r>
          </w:p>
        </w:tc>
        <w:tc>
          <w:tcPr>
            <w:tcW w:w="1701" w:type="dxa"/>
          </w:tcPr>
          <w:p w14:paraId="02223837" w14:textId="5D703984" w:rsidR="00350EEF" w:rsidRPr="00000F43" w:rsidRDefault="00350EEF" w:rsidP="00350EEF">
            <w:pPr>
              <w:pStyle w:val="Table"/>
              <w:cnfStyle w:val="000000000000" w:firstRow="0" w:lastRow="0" w:firstColumn="0" w:lastColumn="0" w:oddVBand="0" w:evenVBand="0" w:oddHBand="0" w:evenHBand="0" w:firstRowFirstColumn="0" w:firstRowLastColumn="0" w:lastRowFirstColumn="0" w:lastRowLastColumn="0"/>
            </w:pPr>
            <w:r w:rsidRPr="00000F43">
              <w:t>85535-84-8</w:t>
            </w:r>
          </w:p>
        </w:tc>
        <w:tc>
          <w:tcPr>
            <w:tcW w:w="1559" w:type="dxa"/>
          </w:tcPr>
          <w:p w14:paraId="75D33573" w14:textId="0A3D72DB" w:rsidR="00350EEF" w:rsidRPr="00000F43" w:rsidRDefault="00350EEF" w:rsidP="00350EEF">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Pr>
          <w:p w14:paraId="42B661B5" w14:textId="179F06FF" w:rsidR="00350EEF" w:rsidRPr="00000F43" w:rsidRDefault="00350EEF" w:rsidP="00350EEF">
            <w:pPr>
              <w:pStyle w:val="Table"/>
            </w:pPr>
            <w:r>
              <w:t>I</w:t>
            </w:r>
            <w:r w:rsidRPr="00000F43">
              <w:t xml:space="preserve">, II** </w:t>
            </w:r>
          </w:p>
        </w:tc>
      </w:tr>
      <w:tr w:rsidR="006F7A6B" w:rsidRPr="00000F43" w14:paraId="2AF3AD38"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30E7DB0F" w14:textId="32FAD415" w:rsidR="006F6079" w:rsidRPr="00000F43" w:rsidRDefault="006F6079" w:rsidP="006F6079">
            <w:pPr>
              <w:pStyle w:val="Table"/>
              <w:rPr>
                <w:b w:val="0"/>
              </w:rPr>
            </w:pPr>
            <w:proofErr w:type="spellStart"/>
            <w:r w:rsidRPr="00000F43">
              <w:rPr>
                <w:b w:val="0"/>
              </w:rPr>
              <w:t>Lindan</w:t>
            </w:r>
            <w:proofErr w:type="spellEnd"/>
            <w:r w:rsidRPr="00000F43">
              <w:rPr>
                <w:b w:val="0"/>
              </w:rPr>
              <w:t xml:space="preserve"> </w:t>
            </w:r>
          </w:p>
        </w:tc>
        <w:tc>
          <w:tcPr>
            <w:tcW w:w="928" w:type="dxa"/>
          </w:tcPr>
          <w:p w14:paraId="1934D6E3" w14:textId="492666AE" w:rsidR="006F6079" w:rsidRPr="006F6079" w:rsidRDefault="006F6079" w:rsidP="00086B7B">
            <w:pPr>
              <w:pStyle w:val="Table"/>
              <w:cnfStyle w:val="000000000000" w:firstRow="0" w:lastRow="0" w:firstColumn="0" w:lastColumn="0" w:oddVBand="0" w:evenVBand="0" w:oddHBand="0" w:evenHBand="0" w:firstRowFirstColumn="0" w:firstRowLastColumn="0" w:lastRowFirstColumn="0" w:lastRowLastColumn="0"/>
            </w:pPr>
            <w:r>
              <w:t>γ-HCH</w:t>
            </w:r>
          </w:p>
        </w:tc>
        <w:tc>
          <w:tcPr>
            <w:tcW w:w="1766" w:type="dxa"/>
          </w:tcPr>
          <w:p w14:paraId="49CB9A80" w14:textId="094AE4B6"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Pesti</w:t>
            </w:r>
            <w:r>
              <w:t>ci</w:t>
            </w:r>
            <w:r w:rsidRPr="00000F43">
              <w:t>d</w:t>
            </w:r>
          </w:p>
        </w:tc>
        <w:tc>
          <w:tcPr>
            <w:tcW w:w="1701" w:type="dxa"/>
          </w:tcPr>
          <w:p w14:paraId="22F3085A"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58-89-9</w:t>
            </w:r>
          </w:p>
        </w:tc>
        <w:tc>
          <w:tcPr>
            <w:tcW w:w="1559" w:type="dxa"/>
          </w:tcPr>
          <w:p w14:paraId="60943517"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A</w:t>
            </w:r>
          </w:p>
        </w:tc>
        <w:tc>
          <w:tcPr>
            <w:cnfStyle w:val="000100000000" w:firstRow="0" w:lastRow="0" w:firstColumn="0" w:lastColumn="1" w:oddVBand="0" w:evenVBand="0" w:oddHBand="0" w:evenHBand="0" w:firstRowFirstColumn="0" w:firstRowLastColumn="0" w:lastRowFirstColumn="0" w:lastRowLastColumn="0"/>
            <w:tcW w:w="1984" w:type="dxa"/>
          </w:tcPr>
          <w:p w14:paraId="30C5AFBD" w14:textId="3622B74B" w:rsidR="006F6079" w:rsidRPr="00000F43" w:rsidRDefault="006F6079" w:rsidP="00086B7B">
            <w:pPr>
              <w:pStyle w:val="Table"/>
            </w:pPr>
            <w:r w:rsidRPr="00000F43">
              <w:t>I</w:t>
            </w:r>
            <w:r w:rsidR="003E5417">
              <w:t>*</w:t>
            </w:r>
          </w:p>
        </w:tc>
      </w:tr>
      <w:tr w:rsidR="006F7A6B" w:rsidRPr="00000F43" w14:paraId="16F19610"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614902BA" w14:textId="77777777" w:rsidR="006F6079" w:rsidRPr="00000F43" w:rsidRDefault="006F6079" w:rsidP="00683067">
            <w:pPr>
              <w:pStyle w:val="Table"/>
              <w:rPr>
                <w:b w:val="0"/>
              </w:rPr>
            </w:pPr>
            <w:proofErr w:type="spellStart"/>
            <w:r w:rsidRPr="00000F43">
              <w:rPr>
                <w:b w:val="0"/>
              </w:rPr>
              <w:t>Mirex</w:t>
            </w:r>
            <w:proofErr w:type="spellEnd"/>
          </w:p>
        </w:tc>
        <w:tc>
          <w:tcPr>
            <w:tcW w:w="928" w:type="dxa"/>
          </w:tcPr>
          <w:p w14:paraId="6810A18B" w14:textId="77777777" w:rsidR="006F6079" w:rsidRP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p>
        </w:tc>
        <w:tc>
          <w:tcPr>
            <w:tcW w:w="1766" w:type="dxa"/>
          </w:tcPr>
          <w:p w14:paraId="48FA7B0D" w14:textId="4212D8B6"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Pesti</w:t>
            </w:r>
            <w:r>
              <w:t>ci</w:t>
            </w:r>
            <w:r w:rsidRPr="00000F43">
              <w:t>d</w:t>
            </w:r>
          </w:p>
        </w:tc>
        <w:tc>
          <w:tcPr>
            <w:tcW w:w="1701" w:type="dxa"/>
          </w:tcPr>
          <w:p w14:paraId="4C4F87A0"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2385-85-5</w:t>
            </w:r>
          </w:p>
        </w:tc>
        <w:tc>
          <w:tcPr>
            <w:tcW w:w="1559" w:type="dxa"/>
          </w:tcPr>
          <w:p w14:paraId="2212E02A"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A</w:t>
            </w:r>
          </w:p>
        </w:tc>
        <w:tc>
          <w:tcPr>
            <w:cnfStyle w:val="000100000000" w:firstRow="0" w:lastRow="0" w:firstColumn="0" w:lastColumn="1" w:oddVBand="0" w:evenVBand="0" w:oddHBand="0" w:evenHBand="0" w:firstRowFirstColumn="0" w:firstRowLastColumn="0" w:lastRowFirstColumn="0" w:lastRowLastColumn="0"/>
            <w:tcW w:w="1984" w:type="dxa"/>
          </w:tcPr>
          <w:p w14:paraId="492E7955" w14:textId="77777777" w:rsidR="006F6079" w:rsidRPr="00000F43" w:rsidRDefault="006F6079" w:rsidP="00683067">
            <w:pPr>
              <w:pStyle w:val="Table"/>
            </w:pPr>
            <w:r w:rsidRPr="00000F43">
              <w:t>I</w:t>
            </w:r>
          </w:p>
        </w:tc>
      </w:tr>
      <w:tr w:rsidR="006F7A6B" w:rsidRPr="00000F43" w14:paraId="17439650"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4D1691AB" w14:textId="76FDDD8D" w:rsidR="006F6079" w:rsidRPr="00000F43" w:rsidRDefault="006F6079" w:rsidP="006F6079">
            <w:pPr>
              <w:pStyle w:val="Table"/>
              <w:rPr>
                <w:b w:val="0"/>
              </w:rPr>
            </w:pPr>
            <w:proofErr w:type="spellStart"/>
            <w:r w:rsidRPr="00000F43">
              <w:rPr>
                <w:b w:val="0"/>
              </w:rPr>
              <w:lastRenderedPageBreak/>
              <w:t>Pentachlorbenzen</w:t>
            </w:r>
            <w:proofErr w:type="spellEnd"/>
            <w:r>
              <w:rPr>
                <w:b w:val="0"/>
              </w:rPr>
              <w:t xml:space="preserve"> </w:t>
            </w:r>
          </w:p>
        </w:tc>
        <w:tc>
          <w:tcPr>
            <w:tcW w:w="928" w:type="dxa"/>
          </w:tcPr>
          <w:p w14:paraId="048F9FF4" w14:textId="22EEA6B9" w:rsidR="006F6079" w:rsidRPr="006F6079" w:rsidRDefault="006F6079" w:rsidP="00086B7B">
            <w:pPr>
              <w:pStyle w:val="Table"/>
              <w:cnfStyle w:val="000000000000" w:firstRow="0" w:lastRow="0" w:firstColumn="0" w:lastColumn="0" w:oddVBand="0" w:evenVBand="0" w:oddHBand="0" w:evenHBand="0" w:firstRowFirstColumn="0" w:firstRowLastColumn="0" w:lastRowFirstColumn="0" w:lastRowLastColumn="0"/>
            </w:pPr>
            <w:proofErr w:type="spellStart"/>
            <w:r w:rsidRPr="006F6079">
              <w:rPr>
                <w:lang w:eastAsia="en-US"/>
              </w:rPr>
              <w:t>PeCB</w:t>
            </w:r>
            <w:proofErr w:type="spellEnd"/>
          </w:p>
        </w:tc>
        <w:tc>
          <w:tcPr>
            <w:tcW w:w="1766" w:type="dxa"/>
          </w:tcPr>
          <w:p w14:paraId="75DF2D40" w14:textId="364EB55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Pesti</w:t>
            </w:r>
            <w:r>
              <w:t>ci</w:t>
            </w:r>
            <w:r w:rsidRPr="00000F43">
              <w:t>d</w:t>
            </w:r>
            <w:r>
              <w:t>, industrikemikalie, u</w:t>
            </w:r>
            <w:r w:rsidRPr="003B0F54">
              <w:t>tilsigtet dannelse</w:t>
            </w:r>
          </w:p>
        </w:tc>
        <w:tc>
          <w:tcPr>
            <w:tcW w:w="1701" w:type="dxa"/>
          </w:tcPr>
          <w:p w14:paraId="0DD7F22E"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608-93-5</w:t>
            </w:r>
          </w:p>
        </w:tc>
        <w:tc>
          <w:tcPr>
            <w:tcW w:w="1559" w:type="dxa"/>
          </w:tcPr>
          <w:p w14:paraId="307280FD"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A, C</w:t>
            </w:r>
          </w:p>
        </w:tc>
        <w:tc>
          <w:tcPr>
            <w:cnfStyle w:val="000100000000" w:firstRow="0" w:lastRow="0" w:firstColumn="0" w:lastColumn="1" w:oddVBand="0" w:evenVBand="0" w:oddHBand="0" w:evenHBand="0" w:firstRowFirstColumn="0" w:firstRowLastColumn="0" w:lastRowFirstColumn="0" w:lastRowLastColumn="0"/>
            <w:tcW w:w="1984" w:type="dxa"/>
          </w:tcPr>
          <w:p w14:paraId="33CB3F2E" w14:textId="62B76644" w:rsidR="006F6079" w:rsidRPr="00000F43" w:rsidRDefault="003E5417" w:rsidP="00086B7B">
            <w:pPr>
              <w:pStyle w:val="Table"/>
            </w:pPr>
            <w:r>
              <w:t>-</w:t>
            </w:r>
          </w:p>
        </w:tc>
      </w:tr>
      <w:tr w:rsidR="006F7A6B" w:rsidRPr="00000F43" w14:paraId="74FABB01"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482ED6C1" w14:textId="323AD79C" w:rsidR="006F6079" w:rsidRDefault="006F6079" w:rsidP="002846B8">
            <w:pPr>
              <w:pStyle w:val="Table"/>
              <w:rPr>
                <w:b w:val="0"/>
              </w:rPr>
            </w:pPr>
            <w:proofErr w:type="spellStart"/>
            <w:r>
              <w:rPr>
                <w:b w:val="0"/>
              </w:rPr>
              <w:t>Pentachlor</w:t>
            </w:r>
            <w:r w:rsidRPr="00942610">
              <w:rPr>
                <w:b w:val="0"/>
              </w:rPr>
              <w:t>phenol</w:t>
            </w:r>
            <w:proofErr w:type="spellEnd"/>
            <w:r w:rsidRPr="00942610">
              <w:rPr>
                <w:b w:val="0"/>
              </w:rPr>
              <w:t xml:space="preserve"> </w:t>
            </w:r>
            <w:r>
              <w:rPr>
                <w:b w:val="0"/>
              </w:rPr>
              <w:t>og</w:t>
            </w:r>
            <w:r w:rsidRPr="00942610">
              <w:rPr>
                <w:b w:val="0"/>
              </w:rPr>
              <w:t xml:space="preserve"> </w:t>
            </w:r>
            <w:r>
              <w:rPr>
                <w:b w:val="0"/>
              </w:rPr>
              <w:t xml:space="preserve">dets salte </w:t>
            </w:r>
            <w:r w:rsidR="002846B8">
              <w:rPr>
                <w:b w:val="0"/>
              </w:rPr>
              <w:t xml:space="preserve">og </w:t>
            </w:r>
            <w:r>
              <w:rPr>
                <w:b w:val="0"/>
              </w:rPr>
              <w:t>estere</w:t>
            </w:r>
            <w:r w:rsidRPr="00942610">
              <w:rPr>
                <w:b w:val="0"/>
              </w:rPr>
              <w:t xml:space="preserve"> </w:t>
            </w:r>
          </w:p>
        </w:tc>
        <w:tc>
          <w:tcPr>
            <w:tcW w:w="928" w:type="dxa"/>
          </w:tcPr>
          <w:p w14:paraId="0E50F3A2" w14:textId="0F9DF4AF" w:rsidR="006F6079" w:rsidRPr="006F6079" w:rsidRDefault="006F6079" w:rsidP="006F6079">
            <w:pPr>
              <w:pStyle w:val="Table"/>
              <w:cnfStyle w:val="000000000000" w:firstRow="0" w:lastRow="0" w:firstColumn="0" w:lastColumn="0" w:oddVBand="0" w:evenVBand="0" w:oddHBand="0" w:evenHBand="0" w:firstRowFirstColumn="0" w:firstRowLastColumn="0" w:lastRowFirstColumn="0" w:lastRowLastColumn="0"/>
            </w:pPr>
            <w:r>
              <w:t>PCP</w:t>
            </w:r>
          </w:p>
        </w:tc>
        <w:tc>
          <w:tcPr>
            <w:tcW w:w="1766" w:type="dxa"/>
          </w:tcPr>
          <w:p w14:paraId="47F1842D" w14:textId="4187B5A9" w:rsidR="006F6079" w:rsidRDefault="006F6079" w:rsidP="00020B05">
            <w:pPr>
              <w:pStyle w:val="Table"/>
              <w:cnfStyle w:val="000000000000" w:firstRow="0" w:lastRow="0" w:firstColumn="0" w:lastColumn="0" w:oddVBand="0" w:evenVBand="0" w:oddHBand="0" w:evenHBand="0" w:firstRowFirstColumn="0" w:firstRowLastColumn="0" w:lastRowFirstColumn="0" w:lastRowLastColumn="0"/>
            </w:pPr>
            <w:r>
              <w:t>Biocid</w:t>
            </w:r>
          </w:p>
        </w:tc>
        <w:tc>
          <w:tcPr>
            <w:tcW w:w="1701" w:type="dxa"/>
          </w:tcPr>
          <w:p w14:paraId="73A46D8B" w14:textId="77777777" w:rsid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20B05">
              <w:t>87-86-5</w:t>
            </w:r>
          </w:p>
          <w:p w14:paraId="51B1049B" w14:textId="77777777" w:rsid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20B05">
              <w:t>131-52-2</w:t>
            </w:r>
          </w:p>
          <w:p w14:paraId="04396706" w14:textId="77777777" w:rsid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20B05">
              <w:t xml:space="preserve">27735-64-4 </w:t>
            </w:r>
          </w:p>
          <w:p w14:paraId="4D83084A" w14:textId="4D14F406" w:rsid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20B05">
              <w:t>3772-94-9</w:t>
            </w:r>
          </w:p>
          <w:p w14:paraId="176898ED" w14:textId="35BA7485"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20B05">
              <w:t xml:space="preserve">1825-21-4 </w:t>
            </w:r>
          </w:p>
        </w:tc>
        <w:tc>
          <w:tcPr>
            <w:tcW w:w="1559" w:type="dxa"/>
          </w:tcPr>
          <w:p w14:paraId="22BF8920" w14:textId="37E25EA0"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Pr>
          <w:p w14:paraId="28FC5FFA" w14:textId="2D869ADA" w:rsidR="006F6079" w:rsidRPr="00000F43" w:rsidRDefault="00C77235" w:rsidP="00683067">
            <w:pPr>
              <w:pStyle w:val="Table"/>
            </w:pPr>
            <w:r>
              <w:t>-</w:t>
            </w:r>
          </w:p>
        </w:tc>
      </w:tr>
      <w:tr w:rsidR="006F7A6B" w:rsidRPr="00000F43" w14:paraId="10CBA7B8"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16EA434C" w14:textId="7B4852F7" w:rsidR="006F6079" w:rsidRPr="00000F43" w:rsidRDefault="006F6079">
            <w:pPr>
              <w:pStyle w:val="Table"/>
              <w:rPr>
                <w:b w:val="0"/>
              </w:rPr>
            </w:pPr>
            <w:bookmarkStart w:id="45" w:name="_Hlk8633323"/>
            <w:proofErr w:type="spellStart"/>
            <w:r w:rsidRPr="00000F43">
              <w:rPr>
                <w:b w:val="0"/>
              </w:rPr>
              <w:t>Perfluoroctan</w:t>
            </w:r>
            <w:proofErr w:type="spellEnd"/>
            <w:r w:rsidRPr="00000F43">
              <w:rPr>
                <w:b w:val="0"/>
              </w:rPr>
              <w:t xml:space="preserve"> </w:t>
            </w:r>
            <w:proofErr w:type="spellStart"/>
            <w:r w:rsidRPr="00000F43">
              <w:rPr>
                <w:b w:val="0"/>
              </w:rPr>
              <w:t>sulfonsyre</w:t>
            </w:r>
            <w:proofErr w:type="spellEnd"/>
            <w:r w:rsidR="002B6980">
              <w:rPr>
                <w:b w:val="0"/>
              </w:rPr>
              <w:t xml:space="preserve">, </w:t>
            </w:r>
            <w:r w:rsidRPr="00000F43">
              <w:rPr>
                <w:b w:val="0"/>
              </w:rPr>
              <w:t xml:space="preserve">dets salte og </w:t>
            </w:r>
            <w:proofErr w:type="spellStart"/>
            <w:r w:rsidRPr="00000F43">
              <w:rPr>
                <w:b w:val="0"/>
              </w:rPr>
              <w:t>perfluoroctan</w:t>
            </w:r>
            <w:proofErr w:type="spellEnd"/>
            <w:r w:rsidRPr="00000F43">
              <w:rPr>
                <w:b w:val="0"/>
              </w:rPr>
              <w:t xml:space="preserve"> </w:t>
            </w:r>
            <w:proofErr w:type="spellStart"/>
            <w:r w:rsidRPr="00000F43">
              <w:rPr>
                <w:b w:val="0"/>
              </w:rPr>
              <w:t>sulfonylfluorid</w:t>
            </w:r>
            <w:bookmarkEnd w:id="45"/>
            <w:proofErr w:type="spellEnd"/>
          </w:p>
        </w:tc>
        <w:tc>
          <w:tcPr>
            <w:tcW w:w="928" w:type="dxa"/>
          </w:tcPr>
          <w:p w14:paraId="42FD8440" w14:textId="7313B6C6" w:rsidR="006F6079" w:rsidRP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r>
              <w:t>PFOS</w:t>
            </w:r>
          </w:p>
        </w:tc>
        <w:tc>
          <w:tcPr>
            <w:tcW w:w="1766" w:type="dxa"/>
          </w:tcPr>
          <w:p w14:paraId="342471FC" w14:textId="70CB515E"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t>Overfladeaktive stoffer</w:t>
            </w:r>
          </w:p>
        </w:tc>
        <w:tc>
          <w:tcPr>
            <w:tcW w:w="1701" w:type="dxa"/>
          </w:tcPr>
          <w:p w14:paraId="75358CF0"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Mange forskellige</w:t>
            </w:r>
          </w:p>
        </w:tc>
        <w:tc>
          <w:tcPr>
            <w:tcW w:w="1559" w:type="dxa"/>
          </w:tcPr>
          <w:p w14:paraId="226CBC77"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B</w:t>
            </w:r>
          </w:p>
        </w:tc>
        <w:tc>
          <w:tcPr>
            <w:cnfStyle w:val="000100000000" w:firstRow="0" w:lastRow="0" w:firstColumn="0" w:lastColumn="1" w:oddVBand="0" w:evenVBand="0" w:oddHBand="0" w:evenHBand="0" w:firstRowFirstColumn="0" w:firstRowLastColumn="0" w:lastRowFirstColumn="0" w:lastRowLastColumn="0"/>
            <w:tcW w:w="1984" w:type="dxa"/>
          </w:tcPr>
          <w:p w14:paraId="4086DCA6" w14:textId="35FB6FF3" w:rsidR="006F6079" w:rsidRPr="00000F43" w:rsidRDefault="006F6079" w:rsidP="00683067">
            <w:pPr>
              <w:pStyle w:val="Table"/>
            </w:pPr>
            <w:r w:rsidRPr="00000F43">
              <w:t>I, II</w:t>
            </w:r>
            <w:r w:rsidR="003E5417">
              <w:t xml:space="preserve"> *, </w:t>
            </w:r>
            <w:r w:rsidRPr="00000F43">
              <w:t xml:space="preserve">** </w:t>
            </w:r>
          </w:p>
        </w:tc>
      </w:tr>
      <w:tr w:rsidR="006F7A6B" w:rsidRPr="00000F43" w14:paraId="3339B582"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6FEE0865" w14:textId="5150C5CA" w:rsidR="006F6079" w:rsidRPr="00000F43" w:rsidRDefault="006F6079" w:rsidP="006F6079">
            <w:pPr>
              <w:pStyle w:val="Table"/>
              <w:rPr>
                <w:b w:val="0"/>
              </w:rPr>
            </w:pPr>
            <w:proofErr w:type="spellStart"/>
            <w:r w:rsidRPr="00000F43">
              <w:rPr>
                <w:b w:val="0"/>
              </w:rPr>
              <w:t>Polychlorerede</w:t>
            </w:r>
            <w:proofErr w:type="spellEnd"/>
            <w:r w:rsidRPr="00000F43">
              <w:rPr>
                <w:b w:val="0"/>
              </w:rPr>
              <w:t xml:space="preserve"> </w:t>
            </w:r>
            <w:proofErr w:type="spellStart"/>
            <w:r w:rsidRPr="00000F43">
              <w:rPr>
                <w:b w:val="0"/>
              </w:rPr>
              <w:t>biphenyler</w:t>
            </w:r>
            <w:proofErr w:type="spellEnd"/>
            <w:r w:rsidRPr="00000F43">
              <w:rPr>
                <w:b w:val="0"/>
              </w:rPr>
              <w:t xml:space="preserve"> </w:t>
            </w:r>
          </w:p>
        </w:tc>
        <w:tc>
          <w:tcPr>
            <w:tcW w:w="928" w:type="dxa"/>
          </w:tcPr>
          <w:p w14:paraId="2C3C29CE" w14:textId="7C532BE4" w:rsidR="006F6079" w:rsidRP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r>
              <w:t>PCB</w:t>
            </w:r>
          </w:p>
        </w:tc>
        <w:tc>
          <w:tcPr>
            <w:tcW w:w="1766" w:type="dxa"/>
          </w:tcPr>
          <w:p w14:paraId="19C500A2" w14:textId="14378920"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t>Blødgører, flammehæmmer,</w:t>
            </w:r>
            <w:r w:rsidR="003B0977">
              <w:t xml:space="preserve"> isolator i elektrisk udstyr,</w:t>
            </w:r>
            <w:r>
              <w:t xml:space="preserve"> u</w:t>
            </w:r>
            <w:r w:rsidRPr="003B0F54">
              <w:t>tilsigtet dannelse</w:t>
            </w:r>
          </w:p>
        </w:tc>
        <w:tc>
          <w:tcPr>
            <w:tcW w:w="1701" w:type="dxa"/>
          </w:tcPr>
          <w:p w14:paraId="35B5F6BB"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Mange forskellige</w:t>
            </w:r>
          </w:p>
        </w:tc>
        <w:tc>
          <w:tcPr>
            <w:tcW w:w="1559" w:type="dxa"/>
          </w:tcPr>
          <w:p w14:paraId="20C74066"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A, C</w:t>
            </w:r>
          </w:p>
        </w:tc>
        <w:tc>
          <w:tcPr>
            <w:cnfStyle w:val="000100000000" w:firstRow="0" w:lastRow="0" w:firstColumn="0" w:lastColumn="1" w:oddVBand="0" w:evenVBand="0" w:oddHBand="0" w:evenHBand="0" w:firstRowFirstColumn="0" w:firstRowLastColumn="0" w:lastRowFirstColumn="0" w:lastRowLastColumn="0"/>
            <w:tcW w:w="1984" w:type="dxa"/>
          </w:tcPr>
          <w:p w14:paraId="16FE4214" w14:textId="145E859C" w:rsidR="006F6079" w:rsidRPr="00000F43" w:rsidRDefault="006F6079" w:rsidP="00683067">
            <w:pPr>
              <w:pStyle w:val="Table"/>
            </w:pPr>
            <w:r w:rsidRPr="00000F43">
              <w:t>I</w:t>
            </w:r>
            <w:r w:rsidR="00C77235">
              <w:t>, II</w:t>
            </w:r>
          </w:p>
        </w:tc>
      </w:tr>
      <w:tr w:rsidR="006F7A6B" w:rsidRPr="00000F43" w14:paraId="700118F2"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47F51790" w14:textId="696B96E6" w:rsidR="006F6079" w:rsidRPr="00942610" w:rsidRDefault="006F6079" w:rsidP="006F6079">
            <w:pPr>
              <w:pStyle w:val="Table"/>
              <w:rPr>
                <w:b w:val="0"/>
              </w:rPr>
            </w:pPr>
            <w:proofErr w:type="spellStart"/>
            <w:r w:rsidRPr="00942610">
              <w:rPr>
                <w:b w:val="0"/>
              </w:rPr>
              <w:t>Polychlorerede</w:t>
            </w:r>
            <w:proofErr w:type="spellEnd"/>
            <w:r w:rsidRPr="00942610">
              <w:rPr>
                <w:b w:val="0"/>
              </w:rPr>
              <w:t xml:space="preserve"> </w:t>
            </w:r>
            <w:proofErr w:type="spellStart"/>
            <w:r w:rsidRPr="00942610">
              <w:rPr>
                <w:b w:val="0"/>
              </w:rPr>
              <w:t>dibenzofuraner</w:t>
            </w:r>
            <w:proofErr w:type="spellEnd"/>
            <w:r w:rsidRPr="00942610">
              <w:rPr>
                <w:b w:val="0"/>
              </w:rPr>
              <w:t xml:space="preserve"> </w:t>
            </w:r>
          </w:p>
        </w:tc>
        <w:tc>
          <w:tcPr>
            <w:tcW w:w="928" w:type="dxa"/>
          </w:tcPr>
          <w:p w14:paraId="7602C285" w14:textId="2E5D71FC" w:rsidR="006F6079" w:rsidRP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r>
              <w:t>PCDF</w:t>
            </w:r>
            <w:r>
              <w:br/>
            </w:r>
            <w:r w:rsidRPr="006F6079">
              <w:rPr>
                <w:bCs/>
              </w:rPr>
              <w:t>"furaner"</w:t>
            </w:r>
          </w:p>
        </w:tc>
        <w:tc>
          <w:tcPr>
            <w:tcW w:w="1766" w:type="dxa"/>
          </w:tcPr>
          <w:p w14:paraId="2095D943" w14:textId="2B159506" w:rsidR="006F6079" w:rsidRPr="00942610"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942610">
              <w:t>Utilsigtet dannelse</w:t>
            </w:r>
          </w:p>
        </w:tc>
        <w:tc>
          <w:tcPr>
            <w:tcW w:w="1701" w:type="dxa"/>
          </w:tcPr>
          <w:p w14:paraId="2FBCB309" w14:textId="77777777" w:rsidR="006F6079" w:rsidRPr="00942610"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942610">
              <w:t>Mange forskellige</w:t>
            </w:r>
          </w:p>
        </w:tc>
        <w:tc>
          <w:tcPr>
            <w:tcW w:w="1559" w:type="dxa"/>
          </w:tcPr>
          <w:p w14:paraId="752D35FC" w14:textId="77777777" w:rsidR="006F6079" w:rsidRPr="00942610"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942610">
              <w:t>C</w:t>
            </w:r>
          </w:p>
        </w:tc>
        <w:tc>
          <w:tcPr>
            <w:cnfStyle w:val="000100000000" w:firstRow="0" w:lastRow="0" w:firstColumn="0" w:lastColumn="1" w:oddVBand="0" w:evenVBand="0" w:oddHBand="0" w:evenHBand="0" w:firstRowFirstColumn="0" w:firstRowLastColumn="0" w:lastRowFirstColumn="0" w:lastRowLastColumn="0"/>
            <w:tcW w:w="1984" w:type="dxa"/>
          </w:tcPr>
          <w:p w14:paraId="627CFCF4" w14:textId="77777777" w:rsidR="006F6079" w:rsidRPr="00942610" w:rsidRDefault="006F6079" w:rsidP="00683067">
            <w:pPr>
              <w:pStyle w:val="Table"/>
            </w:pPr>
            <w:r w:rsidRPr="00942610">
              <w:t>III</w:t>
            </w:r>
          </w:p>
        </w:tc>
      </w:tr>
      <w:tr w:rsidR="006F7A6B" w:rsidRPr="003B0F54" w14:paraId="1E33BA24"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7526E2DD" w14:textId="414404BB" w:rsidR="006F6079" w:rsidRPr="00942610" w:rsidRDefault="006F6079" w:rsidP="006F6079">
            <w:pPr>
              <w:pStyle w:val="Table"/>
              <w:rPr>
                <w:b w:val="0"/>
              </w:rPr>
            </w:pPr>
            <w:proofErr w:type="spellStart"/>
            <w:r w:rsidRPr="00942610">
              <w:rPr>
                <w:b w:val="0"/>
              </w:rPr>
              <w:t>Polychlorerede</w:t>
            </w:r>
            <w:proofErr w:type="spellEnd"/>
            <w:r w:rsidRPr="00942610">
              <w:rPr>
                <w:b w:val="0"/>
              </w:rPr>
              <w:t xml:space="preserve"> </w:t>
            </w:r>
            <w:proofErr w:type="spellStart"/>
            <w:r w:rsidRPr="00942610">
              <w:rPr>
                <w:b w:val="0"/>
              </w:rPr>
              <w:t>dibenzo</w:t>
            </w:r>
            <w:proofErr w:type="spellEnd"/>
            <w:r w:rsidRPr="00942610">
              <w:rPr>
                <w:b w:val="0"/>
              </w:rPr>
              <w:t xml:space="preserve">-p-dioxiner </w:t>
            </w:r>
          </w:p>
        </w:tc>
        <w:tc>
          <w:tcPr>
            <w:tcW w:w="928" w:type="dxa"/>
          </w:tcPr>
          <w:p w14:paraId="20E7097E" w14:textId="51EAAA63" w:rsidR="006F6079" w:rsidRPr="006F6079" w:rsidRDefault="006F6079" w:rsidP="006F6079">
            <w:pPr>
              <w:pStyle w:val="Table"/>
              <w:cnfStyle w:val="000000000000" w:firstRow="0" w:lastRow="0" w:firstColumn="0" w:lastColumn="0" w:oddVBand="0" w:evenVBand="0" w:oddHBand="0" w:evenHBand="0" w:firstRowFirstColumn="0" w:firstRowLastColumn="0" w:lastRowFirstColumn="0" w:lastRowLastColumn="0"/>
            </w:pPr>
            <w:r>
              <w:t>PCDD</w:t>
            </w:r>
            <w:r>
              <w:br/>
              <w:t>"dioxiner"</w:t>
            </w:r>
          </w:p>
        </w:tc>
        <w:tc>
          <w:tcPr>
            <w:tcW w:w="1766" w:type="dxa"/>
          </w:tcPr>
          <w:p w14:paraId="6FDA284D" w14:textId="58D5E60B" w:rsidR="006F6079" w:rsidRPr="00942610"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942610">
              <w:t>Utilsigtet dannelse</w:t>
            </w:r>
          </w:p>
        </w:tc>
        <w:tc>
          <w:tcPr>
            <w:tcW w:w="1701" w:type="dxa"/>
          </w:tcPr>
          <w:p w14:paraId="1F490118" w14:textId="77777777" w:rsidR="006F6079" w:rsidRPr="00942610"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942610">
              <w:t>Mange forskellige</w:t>
            </w:r>
          </w:p>
        </w:tc>
        <w:tc>
          <w:tcPr>
            <w:tcW w:w="1559" w:type="dxa"/>
          </w:tcPr>
          <w:p w14:paraId="4EBBB795" w14:textId="77777777" w:rsidR="006F6079" w:rsidRPr="00942610"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942610">
              <w:t>C</w:t>
            </w:r>
          </w:p>
        </w:tc>
        <w:tc>
          <w:tcPr>
            <w:cnfStyle w:val="000100000000" w:firstRow="0" w:lastRow="0" w:firstColumn="0" w:lastColumn="1" w:oddVBand="0" w:evenVBand="0" w:oddHBand="0" w:evenHBand="0" w:firstRowFirstColumn="0" w:firstRowLastColumn="0" w:lastRowFirstColumn="0" w:lastRowLastColumn="0"/>
            <w:tcW w:w="1984" w:type="dxa"/>
          </w:tcPr>
          <w:p w14:paraId="127E9C02" w14:textId="77777777" w:rsidR="006F6079" w:rsidRPr="00942610" w:rsidRDefault="006F6079" w:rsidP="00683067">
            <w:pPr>
              <w:pStyle w:val="Table"/>
            </w:pPr>
            <w:r w:rsidRPr="00942610">
              <w:t>III</w:t>
            </w:r>
          </w:p>
        </w:tc>
      </w:tr>
      <w:tr w:rsidR="006F7A6B" w:rsidRPr="00000F43" w14:paraId="6EE0B60D"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4178C082" w14:textId="446E694A" w:rsidR="006F6079" w:rsidRPr="00000F43" w:rsidRDefault="006F6079" w:rsidP="006F6079">
            <w:pPr>
              <w:pStyle w:val="Table"/>
              <w:rPr>
                <w:b w:val="0"/>
              </w:rPr>
            </w:pPr>
            <w:proofErr w:type="spellStart"/>
            <w:r w:rsidRPr="00000F43">
              <w:rPr>
                <w:b w:val="0"/>
              </w:rPr>
              <w:t>Polychlorerede</w:t>
            </w:r>
            <w:proofErr w:type="spellEnd"/>
            <w:r w:rsidRPr="00000F43">
              <w:rPr>
                <w:b w:val="0"/>
              </w:rPr>
              <w:t xml:space="preserve"> </w:t>
            </w:r>
            <w:proofErr w:type="spellStart"/>
            <w:r w:rsidRPr="00000F43">
              <w:rPr>
                <w:b w:val="0"/>
              </w:rPr>
              <w:t>naphthalener</w:t>
            </w:r>
            <w:proofErr w:type="spellEnd"/>
            <w:r w:rsidRPr="00000F43">
              <w:rPr>
                <w:b w:val="0"/>
              </w:rPr>
              <w:t xml:space="preserve"> </w:t>
            </w:r>
          </w:p>
        </w:tc>
        <w:tc>
          <w:tcPr>
            <w:tcW w:w="928" w:type="dxa"/>
          </w:tcPr>
          <w:p w14:paraId="28D6E902" w14:textId="1E86DE20" w:rsidR="006F6079" w:rsidRPr="006F6079" w:rsidRDefault="006F6079" w:rsidP="008C4637">
            <w:pPr>
              <w:pStyle w:val="Table"/>
              <w:cnfStyle w:val="000000000000" w:firstRow="0" w:lastRow="0" w:firstColumn="0" w:lastColumn="0" w:oddVBand="0" w:evenVBand="0" w:oddHBand="0" w:evenHBand="0" w:firstRowFirstColumn="0" w:firstRowLastColumn="0" w:lastRowFirstColumn="0" w:lastRowLastColumn="0"/>
            </w:pPr>
            <w:r>
              <w:t>PCN</w:t>
            </w:r>
          </w:p>
        </w:tc>
        <w:tc>
          <w:tcPr>
            <w:tcW w:w="1766" w:type="dxa"/>
          </w:tcPr>
          <w:p w14:paraId="507E155D" w14:textId="2D978505" w:rsidR="006F6079" w:rsidRPr="00000F43" w:rsidRDefault="006F6079" w:rsidP="008C4637">
            <w:pPr>
              <w:pStyle w:val="Table"/>
              <w:cnfStyle w:val="000000000000" w:firstRow="0" w:lastRow="0" w:firstColumn="0" w:lastColumn="0" w:oddVBand="0" w:evenVBand="0" w:oddHBand="0" w:evenHBand="0" w:firstRowFirstColumn="0" w:firstRowLastColumn="0" w:lastRowFirstColumn="0" w:lastRowLastColumn="0"/>
            </w:pPr>
            <w:r>
              <w:t>Isolerende coatings på elektriske ledninger</w:t>
            </w:r>
          </w:p>
        </w:tc>
        <w:tc>
          <w:tcPr>
            <w:tcW w:w="1701" w:type="dxa"/>
          </w:tcPr>
          <w:p w14:paraId="10067E55" w14:textId="77777777" w:rsidR="006F6079" w:rsidRPr="00000F43" w:rsidRDefault="006F6079" w:rsidP="008C4637">
            <w:pPr>
              <w:pStyle w:val="Table"/>
              <w:cnfStyle w:val="000000000000" w:firstRow="0" w:lastRow="0" w:firstColumn="0" w:lastColumn="0" w:oddVBand="0" w:evenVBand="0" w:oddHBand="0" w:evenHBand="0" w:firstRowFirstColumn="0" w:firstRowLastColumn="0" w:lastRowFirstColumn="0" w:lastRowLastColumn="0"/>
            </w:pPr>
            <w:r w:rsidRPr="00000F43">
              <w:t>Mange forskellige</w:t>
            </w:r>
          </w:p>
        </w:tc>
        <w:tc>
          <w:tcPr>
            <w:tcW w:w="1559" w:type="dxa"/>
          </w:tcPr>
          <w:p w14:paraId="64294BC8" w14:textId="77777777" w:rsidR="006F6079" w:rsidRPr="00000F43" w:rsidRDefault="006F6079" w:rsidP="008C4637">
            <w:pPr>
              <w:pStyle w:val="Table"/>
              <w:cnfStyle w:val="000000000000" w:firstRow="0" w:lastRow="0" w:firstColumn="0" w:lastColumn="0" w:oddVBand="0" w:evenVBand="0" w:oddHBand="0" w:evenHBand="0" w:firstRowFirstColumn="0" w:firstRowLastColumn="0" w:lastRowFirstColumn="0" w:lastRowLastColumn="0"/>
            </w:pPr>
            <w:r>
              <w:t>A, C</w:t>
            </w:r>
          </w:p>
        </w:tc>
        <w:tc>
          <w:tcPr>
            <w:cnfStyle w:val="000100000000" w:firstRow="0" w:lastRow="0" w:firstColumn="0" w:lastColumn="1" w:oddVBand="0" w:evenVBand="0" w:oddHBand="0" w:evenHBand="0" w:firstRowFirstColumn="0" w:firstRowLastColumn="0" w:lastRowFirstColumn="0" w:lastRowLastColumn="0"/>
            <w:tcW w:w="1984" w:type="dxa"/>
          </w:tcPr>
          <w:p w14:paraId="1F4D2DBF" w14:textId="77777777" w:rsidR="006F6079" w:rsidRPr="00000F43" w:rsidRDefault="006F6079" w:rsidP="008C4637">
            <w:pPr>
              <w:pStyle w:val="Table"/>
            </w:pPr>
            <w:r w:rsidRPr="00000F43">
              <w:t>I *</w:t>
            </w:r>
          </w:p>
        </w:tc>
      </w:tr>
      <w:tr w:rsidR="006F7A6B" w:rsidRPr="00000F43" w14:paraId="4646DBFB"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3DB4FD5F" w14:textId="77777777" w:rsidR="006F6079" w:rsidRPr="00000F43" w:rsidRDefault="006F6079" w:rsidP="00086B7B">
            <w:pPr>
              <w:pStyle w:val="Table"/>
              <w:rPr>
                <w:b w:val="0"/>
              </w:rPr>
            </w:pPr>
            <w:r w:rsidRPr="00000F43">
              <w:rPr>
                <w:b w:val="0"/>
              </w:rPr>
              <w:t xml:space="preserve">Teknisk </w:t>
            </w:r>
            <w:proofErr w:type="spellStart"/>
            <w:r w:rsidRPr="00000F43">
              <w:rPr>
                <w:b w:val="0"/>
              </w:rPr>
              <w:t>endosulfan</w:t>
            </w:r>
            <w:proofErr w:type="spellEnd"/>
            <w:r w:rsidRPr="00000F43">
              <w:rPr>
                <w:b w:val="0"/>
              </w:rPr>
              <w:t xml:space="preserve"> og dets relaterede </w:t>
            </w:r>
            <w:proofErr w:type="spellStart"/>
            <w:r w:rsidRPr="00000F43">
              <w:rPr>
                <w:b w:val="0"/>
              </w:rPr>
              <w:t>isomerer</w:t>
            </w:r>
            <w:proofErr w:type="spellEnd"/>
            <w:r w:rsidRPr="00000F43">
              <w:rPr>
                <w:b w:val="0"/>
              </w:rPr>
              <w:t xml:space="preserve"> </w:t>
            </w:r>
          </w:p>
        </w:tc>
        <w:tc>
          <w:tcPr>
            <w:tcW w:w="928" w:type="dxa"/>
          </w:tcPr>
          <w:p w14:paraId="4760F7E3" w14:textId="77777777" w:rsidR="006F6079" w:rsidRPr="006F6079" w:rsidRDefault="006F6079" w:rsidP="00086B7B">
            <w:pPr>
              <w:pStyle w:val="Table"/>
              <w:cnfStyle w:val="000000000000" w:firstRow="0" w:lastRow="0" w:firstColumn="0" w:lastColumn="0" w:oddVBand="0" w:evenVBand="0" w:oddHBand="0" w:evenHBand="0" w:firstRowFirstColumn="0" w:firstRowLastColumn="0" w:lastRowFirstColumn="0" w:lastRowLastColumn="0"/>
            </w:pPr>
          </w:p>
        </w:tc>
        <w:tc>
          <w:tcPr>
            <w:tcW w:w="1766" w:type="dxa"/>
          </w:tcPr>
          <w:p w14:paraId="6368E7AC" w14:textId="099C2C6D"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Pesti</w:t>
            </w:r>
            <w:r>
              <w:t>ci</w:t>
            </w:r>
            <w:r w:rsidRPr="00000F43">
              <w:t>d</w:t>
            </w:r>
          </w:p>
        </w:tc>
        <w:tc>
          <w:tcPr>
            <w:tcW w:w="1701" w:type="dxa"/>
          </w:tcPr>
          <w:p w14:paraId="4A8C9A3C"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959-98-8</w:t>
            </w:r>
          </w:p>
          <w:p w14:paraId="0F05C717"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33213-65-9</w:t>
            </w:r>
          </w:p>
          <w:p w14:paraId="6BB38848"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115-29-7</w:t>
            </w:r>
          </w:p>
          <w:p w14:paraId="61802492"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1031-07-8</w:t>
            </w:r>
          </w:p>
        </w:tc>
        <w:tc>
          <w:tcPr>
            <w:tcW w:w="1559" w:type="dxa"/>
          </w:tcPr>
          <w:p w14:paraId="0C07DCF8" w14:textId="77777777" w:rsidR="006F6079" w:rsidRPr="00000F43" w:rsidRDefault="006F6079" w:rsidP="00000F43">
            <w:pPr>
              <w:pStyle w:val="Table"/>
              <w:cnfStyle w:val="000000000000" w:firstRow="0" w:lastRow="0" w:firstColumn="0" w:lastColumn="0" w:oddVBand="0" w:evenVBand="0" w:oddHBand="0" w:evenHBand="0" w:firstRowFirstColumn="0" w:firstRowLastColumn="0" w:lastRowFirstColumn="0" w:lastRowLastColumn="0"/>
            </w:pPr>
            <w:r w:rsidRPr="00000F43">
              <w:t xml:space="preserve">A </w:t>
            </w:r>
          </w:p>
        </w:tc>
        <w:tc>
          <w:tcPr>
            <w:cnfStyle w:val="000100000000" w:firstRow="0" w:lastRow="0" w:firstColumn="0" w:lastColumn="1" w:oddVBand="0" w:evenVBand="0" w:oddHBand="0" w:evenHBand="0" w:firstRowFirstColumn="0" w:firstRowLastColumn="0" w:lastRowFirstColumn="0" w:lastRowLastColumn="0"/>
            <w:tcW w:w="1984" w:type="dxa"/>
          </w:tcPr>
          <w:p w14:paraId="24B4C719" w14:textId="30DB219C" w:rsidR="006F6079" w:rsidRPr="00000F43" w:rsidRDefault="003E5417" w:rsidP="00086B7B">
            <w:pPr>
              <w:pStyle w:val="Table"/>
            </w:pPr>
            <w:r>
              <w:t>-</w:t>
            </w:r>
          </w:p>
        </w:tc>
      </w:tr>
      <w:tr w:rsidR="006F7A6B" w:rsidRPr="00000F43" w14:paraId="2B9919EB"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2771F41E" w14:textId="1A7CC99D" w:rsidR="006F6079" w:rsidRPr="00000F43" w:rsidRDefault="006F6079" w:rsidP="006F6079">
            <w:pPr>
              <w:pStyle w:val="Table"/>
              <w:rPr>
                <w:b w:val="0"/>
              </w:rPr>
            </w:pPr>
            <w:proofErr w:type="spellStart"/>
            <w:r w:rsidRPr="00000F43">
              <w:rPr>
                <w:b w:val="0"/>
              </w:rPr>
              <w:t>Tetrabromdiphenyl</w:t>
            </w:r>
            <w:r w:rsidR="00D7538F">
              <w:rPr>
                <w:b w:val="0"/>
              </w:rPr>
              <w:t>-</w:t>
            </w:r>
            <w:r w:rsidRPr="00000F43">
              <w:rPr>
                <w:b w:val="0"/>
              </w:rPr>
              <w:t>ether</w:t>
            </w:r>
            <w:proofErr w:type="spellEnd"/>
            <w:r>
              <w:rPr>
                <w:b w:val="0"/>
              </w:rPr>
              <w:t xml:space="preserve"> </w:t>
            </w:r>
            <w:r w:rsidRPr="00000F43">
              <w:rPr>
                <w:b w:val="0"/>
              </w:rPr>
              <w:t xml:space="preserve">og </w:t>
            </w:r>
            <w:proofErr w:type="spellStart"/>
            <w:r w:rsidRPr="00000F43">
              <w:rPr>
                <w:b w:val="0"/>
              </w:rPr>
              <w:t>pentabromdiphenylether</w:t>
            </w:r>
            <w:proofErr w:type="spellEnd"/>
            <w:r>
              <w:rPr>
                <w:b w:val="0"/>
              </w:rPr>
              <w:t xml:space="preserve"> </w:t>
            </w:r>
          </w:p>
        </w:tc>
        <w:tc>
          <w:tcPr>
            <w:tcW w:w="928" w:type="dxa"/>
          </w:tcPr>
          <w:p w14:paraId="54E2E723" w14:textId="28B376A6" w:rsidR="006F6079" w:rsidRPr="006F6079" w:rsidRDefault="006F6079" w:rsidP="006F6079">
            <w:pPr>
              <w:pStyle w:val="Table"/>
              <w:cnfStyle w:val="000000000000" w:firstRow="0" w:lastRow="0" w:firstColumn="0" w:lastColumn="0" w:oddVBand="0" w:evenVBand="0" w:oddHBand="0" w:evenHBand="0" w:firstRowFirstColumn="0" w:firstRowLastColumn="0" w:lastRowFirstColumn="0" w:lastRowLastColumn="0"/>
            </w:pPr>
            <w:r>
              <w:t xml:space="preserve">Teknisk </w:t>
            </w:r>
            <w:proofErr w:type="spellStart"/>
            <w:r>
              <w:t>penta</w:t>
            </w:r>
            <w:proofErr w:type="spellEnd"/>
            <w:r>
              <w:t>-BDE</w:t>
            </w:r>
          </w:p>
        </w:tc>
        <w:tc>
          <w:tcPr>
            <w:tcW w:w="1766" w:type="dxa"/>
          </w:tcPr>
          <w:p w14:paraId="59AEE4C2" w14:textId="553B095C"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t>Flammehæmmer</w:t>
            </w:r>
          </w:p>
        </w:tc>
        <w:tc>
          <w:tcPr>
            <w:tcW w:w="1701" w:type="dxa"/>
          </w:tcPr>
          <w:p w14:paraId="258AD9B8"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40088-47-9</w:t>
            </w:r>
          </w:p>
          <w:p w14:paraId="5ACF2941"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32534-81-9</w:t>
            </w:r>
            <w:r w:rsidRPr="00000F43">
              <w:br/>
              <w:t>og andre</w:t>
            </w:r>
          </w:p>
        </w:tc>
        <w:tc>
          <w:tcPr>
            <w:tcW w:w="1559" w:type="dxa"/>
          </w:tcPr>
          <w:p w14:paraId="586E9268"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A</w:t>
            </w:r>
          </w:p>
        </w:tc>
        <w:tc>
          <w:tcPr>
            <w:cnfStyle w:val="000100000000" w:firstRow="0" w:lastRow="0" w:firstColumn="0" w:lastColumn="1" w:oddVBand="0" w:evenVBand="0" w:oddHBand="0" w:evenHBand="0" w:firstRowFirstColumn="0" w:firstRowLastColumn="0" w:lastRowFirstColumn="0" w:lastRowLastColumn="0"/>
            <w:tcW w:w="1984" w:type="dxa"/>
          </w:tcPr>
          <w:p w14:paraId="24F379EC" w14:textId="2060AC17" w:rsidR="006F6079" w:rsidRPr="00000F43" w:rsidRDefault="006F6079" w:rsidP="00683067">
            <w:pPr>
              <w:pStyle w:val="Table"/>
            </w:pPr>
            <w:r w:rsidRPr="00000F43">
              <w:t>I</w:t>
            </w:r>
            <w:r w:rsidR="003E5417">
              <w:t>*</w:t>
            </w:r>
          </w:p>
        </w:tc>
      </w:tr>
      <w:tr w:rsidR="006F7A6B" w:rsidRPr="00000F43" w14:paraId="772FEC23"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2B841547" w14:textId="77777777" w:rsidR="006F6079" w:rsidRPr="00000F43" w:rsidRDefault="006F6079" w:rsidP="00683067">
            <w:pPr>
              <w:pStyle w:val="Table"/>
              <w:rPr>
                <w:b w:val="0"/>
              </w:rPr>
            </w:pPr>
            <w:proofErr w:type="spellStart"/>
            <w:r w:rsidRPr="00000F43">
              <w:rPr>
                <w:b w:val="0"/>
              </w:rPr>
              <w:t>Toxaphen</w:t>
            </w:r>
            <w:proofErr w:type="spellEnd"/>
          </w:p>
        </w:tc>
        <w:tc>
          <w:tcPr>
            <w:tcW w:w="928" w:type="dxa"/>
          </w:tcPr>
          <w:p w14:paraId="477A43DD" w14:textId="77777777" w:rsidR="006F6079" w:rsidRPr="006F6079" w:rsidRDefault="006F6079" w:rsidP="00683067">
            <w:pPr>
              <w:pStyle w:val="Table"/>
              <w:cnfStyle w:val="000000000000" w:firstRow="0" w:lastRow="0" w:firstColumn="0" w:lastColumn="0" w:oddVBand="0" w:evenVBand="0" w:oddHBand="0" w:evenHBand="0" w:firstRowFirstColumn="0" w:firstRowLastColumn="0" w:lastRowFirstColumn="0" w:lastRowLastColumn="0"/>
            </w:pPr>
          </w:p>
        </w:tc>
        <w:tc>
          <w:tcPr>
            <w:tcW w:w="1766" w:type="dxa"/>
          </w:tcPr>
          <w:p w14:paraId="05311485" w14:textId="25D069DF"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Pesti</w:t>
            </w:r>
            <w:r>
              <w:t>ci</w:t>
            </w:r>
            <w:r w:rsidRPr="00000F43">
              <w:t>d</w:t>
            </w:r>
          </w:p>
        </w:tc>
        <w:tc>
          <w:tcPr>
            <w:tcW w:w="1701" w:type="dxa"/>
          </w:tcPr>
          <w:p w14:paraId="46ECEFFB"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8001-35-2</w:t>
            </w:r>
          </w:p>
        </w:tc>
        <w:tc>
          <w:tcPr>
            <w:tcW w:w="1559" w:type="dxa"/>
          </w:tcPr>
          <w:p w14:paraId="0ABF5CD5" w14:textId="77777777" w:rsidR="006F6079" w:rsidRPr="00000F43" w:rsidRDefault="006F6079" w:rsidP="00683067">
            <w:pPr>
              <w:pStyle w:val="Table"/>
              <w:cnfStyle w:val="000000000000" w:firstRow="0" w:lastRow="0" w:firstColumn="0" w:lastColumn="0" w:oddVBand="0" w:evenVBand="0" w:oddHBand="0" w:evenHBand="0" w:firstRowFirstColumn="0" w:firstRowLastColumn="0" w:lastRowFirstColumn="0" w:lastRowLastColumn="0"/>
            </w:pPr>
            <w:r w:rsidRPr="00000F43">
              <w:t>A</w:t>
            </w:r>
          </w:p>
        </w:tc>
        <w:tc>
          <w:tcPr>
            <w:cnfStyle w:val="000100000000" w:firstRow="0" w:lastRow="0" w:firstColumn="0" w:lastColumn="1" w:oddVBand="0" w:evenVBand="0" w:oddHBand="0" w:evenHBand="0" w:firstRowFirstColumn="0" w:firstRowLastColumn="0" w:lastRowFirstColumn="0" w:lastRowLastColumn="0"/>
            <w:tcW w:w="1984" w:type="dxa"/>
          </w:tcPr>
          <w:p w14:paraId="6A591963" w14:textId="7F7B62B6" w:rsidR="006F6079" w:rsidRPr="00000F43" w:rsidRDefault="006F6079" w:rsidP="00683067">
            <w:pPr>
              <w:pStyle w:val="Table"/>
            </w:pPr>
            <w:r w:rsidRPr="00000F43">
              <w:t>I</w:t>
            </w:r>
            <w:r w:rsidR="003E5417">
              <w:t>*</w:t>
            </w:r>
          </w:p>
        </w:tc>
      </w:tr>
      <w:tr w:rsidR="006F7A6B" w:rsidRPr="00000F43" w14:paraId="769988D2"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0483009E" w14:textId="77777777" w:rsidR="006F6079" w:rsidRPr="00000F43" w:rsidRDefault="006F6079" w:rsidP="000D0869">
            <w:pPr>
              <w:pStyle w:val="Table"/>
              <w:rPr>
                <w:b w:val="0"/>
              </w:rPr>
            </w:pPr>
            <w:r>
              <w:rPr>
                <w:b w:val="0"/>
              </w:rPr>
              <w:t>α</w:t>
            </w:r>
            <w:r w:rsidRPr="00000F43">
              <w:rPr>
                <w:b w:val="0"/>
              </w:rPr>
              <w:t>-HCH</w:t>
            </w:r>
          </w:p>
        </w:tc>
        <w:tc>
          <w:tcPr>
            <w:tcW w:w="928" w:type="dxa"/>
          </w:tcPr>
          <w:p w14:paraId="3390E798" w14:textId="77777777" w:rsidR="006F6079" w:rsidRPr="006F6079" w:rsidRDefault="006F6079" w:rsidP="00086B7B">
            <w:pPr>
              <w:pStyle w:val="Table"/>
              <w:cnfStyle w:val="000000000000" w:firstRow="0" w:lastRow="0" w:firstColumn="0" w:lastColumn="0" w:oddVBand="0" w:evenVBand="0" w:oddHBand="0" w:evenHBand="0" w:firstRowFirstColumn="0" w:firstRowLastColumn="0" w:lastRowFirstColumn="0" w:lastRowLastColumn="0"/>
            </w:pPr>
          </w:p>
        </w:tc>
        <w:tc>
          <w:tcPr>
            <w:tcW w:w="1766" w:type="dxa"/>
          </w:tcPr>
          <w:p w14:paraId="30BB514A" w14:textId="4CCEC60E"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Pesti</w:t>
            </w:r>
            <w:r>
              <w:t>ci</w:t>
            </w:r>
            <w:r w:rsidRPr="00000F43">
              <w:t>d</w:t>
            </w:r>
            <w:r>
              <w:t>, biprodukt</w:t>
            </w:r>
          </w:p>
        </w:tc>
        <w:tc>
          <w:tcPr>
            <w:tcW w:w="1701" w:type="dxa"/>
          </w:tcPr>
          <w:p w14:paraId="1D2A5DF3"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319-84-6</w:t>
            </w:r>
          </w:p>
        </w:tc>
        <w:tc>
          <w:tcPr>
            <w:tcW w:w="1559" w:type="dxa"/>
          </w:tcPr>
          <w:p w14:paraId="7D62F37D"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A</w:t>
            </w:r>
          </w:p>
        </w:tc>
        <w:tc>
          <w:tcPr>
            <w:cnfStyle w:val="000100000000" w:firstRow="0" w:lastRow="0" w:firstColumn="0" w:lastColumn="1" w:oddVBand="0" w:evenVBand="0" w:oddHBand="0" w:evenHBand="0" w:firstRowFirstColumn="0" w:firstRowLastColumn="0" w:lastRowFirstColumn="0" w:lastRowLastColumn="0"/>
            <w:tcW w:w="1984" w:type="dxa"/>
          </w:tcPr>
          <w:p w14:paraId="5823F5CC" w14:textId="77777777" w:rsidR="006F6079" w:rsidRPr="00000F43" w:rsidRDefault="006F6079" w:rsidP="00086B7B">
            <w:pPr>
              <w:pStyle w:val="Table"/>
            </w:pPr>
            <w:r w:rsidRPr="00000F43">
              <w:t>I</w:t>
            </w:r>
          </w:p>
        </w:tc>
      </w:tr>
      <w:tr w:rsidR="006F7A6B" w:rsidRPr="00000F43" w14:paraId="14703B8C"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7B22C7D6" w14:textId="77777777" w:rsidR="006F6079" w:rsidRPr="00000F43" w:rsidRDefault="006F6079" w:rsidP="00086B7B">
            <w:pPr>
              <w:pStyle w:val="Table"/>
              <w:rPr>
                <w:b w:val="0"/>
              </w:rPr>
            </w:pPr>
            <w:r w:rsidRPr="00000F43">
              <w:rPr>
                <w:b w:val="0"/>
              </w:rPr>
              <w:t>β-HCH</w:t>
            </w:r>
          </w:p>
        </w:tc>
        <w:tc>
          <w:tcPr>
            <w:tcW w:w="928" w:type="dxa"/>
          </w:tcPr>
          <w:p w14:paraId="1E262B07" w14:textId="77777777" w:rsidR="006F6079" w:rsidRPr="006F6079" w:rsidRDefault="006F6079" w:rsidP="00086B7B">
            <w:pPr>
              <w:pStyle w:val="Table"/>
              <w:cnfStyle w:val="000000000000" w:firstRow="0" w:lastRow="0" w:firstColumn="0" w:lastColumn="0" w:oddVBand="0" w:evenVBand="0" w:oddHBand="0" w:evenHBand="0" w:firstRowFirstColumn="0" w:firstRowLastColumn="0" w:lastRowFirstColumn="0" w:lastRowLastColumn="0"/>
            </w:pPr>
          </w:p>
        </w:tc>
        <w:tc>
          <w:tcPr>
            <w:tcW w:w="1766" w:type="dxa"/>
          </w:tcPr>
          <w:p w14:paraId="00595E26" w14:textId="2C99AA4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Pesti</w:t>
            </w:r>
            <w:r>
              <w:t>ci</w:t>
            </w:r>
            <w:r w:rsidRPr="00000F43">
              <w:t>d</w:t>
            </w:r>
            <w:r>
              <w:t>, biprodukt</w:t>
            </w:r>
          </w:p>
        </w:tc>
        <w:tc>
          <w:tcPr>
            <w:tcW w:w="1701" w:type="dxa"/>
          </w:tcPr>
          <w:p w14:paraId="7F7D7F97"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319-85-7</w:t>
            </w:r>
          </w:p>
        </w:tc>
        <w:tc>
          <w:tcPr>
            <w:tcW w:w="1559" w:type="dxa"/>
          </w:tcPr>
          <w:p w14:paraId="0C94AF02" w14:textId="77777777" w:rsidR="006F6079" w:rsidRPr="00000F43" w:rsidRDefault="006F6079" w:rsidP="00086B7B">
            <w:pPr>
              <w:pStyle w:val="Table"/>
              <w:cnfStyle w:val="000000000000" w:firstRow="0" w:lastRow="0" w:firstColumn="0" w:lastColumn="0" w:oddVBand="0" w:evenVBand="0" w:oddHBand="0" w:evenHBand="0" w:firstRowFirstColumn="0" w:firstRowLastColumn="0" w:lastRowFirstColumn="0" w:lastRowLastColumn="0"/>
            </w:pPr>
            <w:r w:rsidRPr="00000F43">
              <w:t>A</w:t>
            </w:r>
          </w:p>
        </w:tc>
        <w:tc>
          <w:tcPr>
            <w:cnfStyle w:val="000100000000" w:firstRow="0" w:lastRow="0" w:firstColumn="0" w:lastColumn="1" w:oddVBand="0" w:evenVBand="0" w:oddHBand="0" w:evenHBand="0" w:firstRowFirstColumn="0" w:firstRowLastColumn="0" w:lastRowFirstColumn="0" w:lastRowLastColumn="0"/>
            <w:tcW w:w="1984" w:type="dxa"/>
          </w:tcPr>
          <w:p w14:paraId="3F0A97D9" w14:textId="77777777" w:rsidR="006F6079" w:rsidRPr="00000F43" w:rsidRDefault="006F6079" w:rsidP="00086B7B">
            <w:pPr>
              <w:pStyle w:val="Table"/>
            </w:pPr>
            <w:r w:rsidRPr="00000F43">
              <w:t>I</w:t>
            </w:r>
          </w:p>
        </w:tc>
      </w:tr>
      <w:tr w:rsidR="006F6079" w:rsidRPr="00000F43" w14:paraId="5F60934F" w14:textId="77777777" w:rsidTr="000050A7">
        <w:trPr>
          <w:cantSplit/>
          <w:trHeight w:val="445"/>
        </w:trPr>
        <w:tc>
          <w:tcPr>
            <w:cnfStyle w:val="001000000000" w:firstRow="0" w:lastRow="0" w:firstColumn="1" w:lastColumn="0" w:oddVBand="0" w:evenVBand="0" w:oddHBand="0" w:evenHBand="0" w:firstRowFirstColumn="0" w:firstRowLastColumn="0" w:lastRowFirstColumn="0" w:lastRowLastColumn="0"/>
            <w:tcW w:w="9781" w:type="dxa"/>
            <w:gridSpan w:val="6"/>
            <w:shd w:val="clear" w:color="auto" w:fill="D9D9D9" w:themeFill="background1" w:themeFillShade="D9"/>
          </w:tcPr>
          <w:p w14:paraId="0AB8340F" w14:textId="4CC61319" w:rsidR="006F6079" w:rsidRPr="006F6079" w:rsidRDefault="006F6079" w:rsidP="00683067">
            <w:pPr>
              <w:pStyle w:val="Table"/>
              <w:rPr>
                <w:b w:val="0"/>
                <w:bCs w:val="0"/>
              </w:rPr>
            </w:pPr>
            <w:r w:rsidRPr="006F6079">
              <w:rPr>
                <w:b w:val="0"/>
              </w:rPr>
              <w:t>Stoffer</w:t>
            </w:r>
            <w:r w:rsidR="00C64430">
              <w:rPr>
                <w:b w:val="0"/>
              </w:rPr>
              <w:t>,</w:t>
            </w:r>
            <w:r w:rsidRPr="006F6079">
              <w:rPr>
                <w:b w:val="0"/>
              </w:rPr>
              <w:t xml:space="preserve"> som er under evaluering eller kun er omfattet af POP-protokollen </w:t>
            </w:r>
          </w:p>
        </w:tc>
      </w:tr>
      <w:tr w:rsidR="006F7A6B" w:rsidRPr="00000F43" w14:paraId="6CFA44F4"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5E85D077" w14:textId="227D0757" w:rsidR="00350EEF" w:rsidRPr="00000F43" w:rsidRDefault="00350EEF" w:rsidP="00350EEF">
            <w:pPr>
              <w:pStyle w:val="Table"/>
              <w:rPr>
                <w:b w:val="0"/>
              </w:rPr>
            </w:pPr>
            <w:proofErr w:type="spellStart"/>
            <w:r w:rsidRPr="00000F43">
              <w:rPr>
                <w:b w:val="0"/>
              </w:rPr>
              <w:t>Dicofol</w:t>
            </w:r>
            <w:proofErr w:type="spellEnd"/>
            <w:r w:rsidRPr="00000F43">
              <w:rPr>
                <w:b w:val="0"/>
              </w:rPr>
              <w:t xml:space="preserve"> </w:t>
            </w:r>
          </w:p>
        </w:tc>
        <w:tc>
          <w:tcPr>
            <w:tcW w:w="928" w:type="dxa"/>
          </w:tcPr>
          <w:p w14:paraId="41F45625" w14:textId="318F6561" w:rsidR="00350EEF" w:rsidRPr="006F6079" w:rsidRDefault="00350EEF" w:rsidP="00350EEF">
            <w:pPr>
              <w:pStyle w:val="Table"/>
              <w:cnfStyle w:val="000000000000" w:firstRow="0" w:lastRow="0" w:firstColumn="0" w:lastColumn="0" w:oddVBand="0" w:evenVBand="0" w:oddHBand="0" w:evenHBand="0" w:firstRowFirstColumn="0" w:firstRowLastColumn="0" w:lastRowFirstColumn="0" w:lastRowLastColumn="0"/>
            </w:pPr>
          </w:p>
        </w:tc>
        <w:tc>
          <w:tcPr>
            <w:tcW w:w="1766" w:type="dxa"/>
          </w:tcPr>
          <w:p w14:paraId="4E9B5F10" w14:textId="65310CBB" w:rsidR="00350EEF" w:rsidRPr="00000F43" w:rsidRDefault="00350EEF" w:rsidP="00350EEF">
            <w:pPr>
              <w:pStyle w:val="Table"/>
              <w:cnfStyle w:val="000000000000" w:firstRow="0" w:lastRow="0" w:firstColumn="0" w:lastColumn="0" w:oddVBand="0" w:evenVBand="0" w:oddHBand="0" w:evenHBand="0" w:firstRowFirstColumn="0" w:firstRowLastColumn="0" w:lastRowFirstColumn="0" w:lastRowLastColumn="0"/>
            </w:pPr>
            <w:r>
              <w:t>Pesticid</w:t>
            </w:r>
          </w:p>
        </w:tc>
        <w:tc>
          <w:tcPr>
            <w:tcW w:w="1701" w:type="dxa"/>
          </w:tcPr>
          <w:p w14:paraId="399ACFFD" w14:textId="25C2619D" w:rsidR="00350EEF" w:rsidRPr="00000F43" w:rsidRDefault="00350EEF" w:rsidP="00350EEF">
            <w:pPr>
              <w:pStyle w:val="Table"/>
              <w:cnfStyle w:val="000000000000" w:firstRow="0" w:lastRow="0" w:firstColumn="0" w:lastColumn="0" w:oddVBand="0" w:evenVBand="0" w:oddHBand="0" w:evenHBand="0" w:firstRowFirstColumn="0" w:firstRowLastColumn="0" w:lastRowFirstColumn="0" w:lastRowLastColumn="0"/>
            </w:pPr>
            <w:r w:rsidRPr="004677BD">
              <w:t xml:space="preserve">115-32-2 </w:t>
            </w:r>
          </w:p>
        </w:tc>
        <w:tc>
          <w:tcPr>
            <w:tcW w:w="1559" w:type="dxa"/>
          </w:tcPr>
          <w:p w14:paraId="0329FB53" w14:textId="2D278B4B" w:rsidR="00350EEF" w:rsidRPr="00000F43" w:rsidRDefault="00350EEF" w:rsidP="00350EEF">
            <w:pPr>
              <w:pStyle w:val="Table"/>
              <w:cnfStyle w:val="000000000000" w:firstRow="0" w:lastRow="0" w:firstColumn="0" w:lastColumn="0" w:oddVBand="0" w:evenVBand="0" w:oddHBand="0" w:evenHBand="0" w:firstRowFirstColumn="0" w:firstRowLastColumn="0" w:lastRowFirstColumn="0" w:lastRowLastColumn="0"/>
            </w:pPr>
            <w:r w:rsidRPr="00000F43">
              <w:t>Under evaluering</w:t>
            </w:r>
          </w:p>
        </w:tc>
        <w:tc>
          <w:tcPr>
            <w:cnfStyle w:val="000100000000" w:firstRow="0" w:lastRow="0" w:firstColumn="0" w:lastColumn="1" w:oddVBand="0" w:evenVBand="0" w:oddHBand="0" w:evenHBand="0" w:firstRowFirstColumn="0" w:firstRowLastColumn="0" w:lastRowFirstColumn="0" w:lastRowLastColumn="0"/>
            <w:tcW w:w="1984" w:type="dxa"/>
          </w:tcPr>
          <w:p w14:paraId="7C9B4D88" w14:textId="27BC27D8" w:rsidR="00350EEF" w:rsidRPr="00000F43" w:rsidRDefault="00C77235" w:rsidP="00350EEF">
            <w:pPr>
              <w:pStyle w:val="Table"/>
            </w:pPr>
            <w:r>
              <w:t>-</w:t>
            </w:r>
          </w:p>
        </w:tc>
      </w:tr>
      <w:tr w:rsidR="006F7A6B" w:rsidRPr="00000F43" w14:paraId="4C2D1955"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583440CC" w14:textId="61178C1E" w:rsidR="00350EEF" w:rsidRPr="00000F43" w:rsidRDefault="00350EEF" w:rsidP="00350EEF">
            <w:pPr>
              <w:pStyle w:val="Table"/>
              <w:rPr>
                <w:b w:val="0"/>
              </w:rPr>
            </w:pPr>
            <w:proofErr w:type="spellStart"/>
            <w:r w:rsidRPr="004677BD">
              <w:rPr>
                <w:b w:val="0"/>
              </w:rPr>
              <w:t>Perfluoroctansyre</w:t>
            </w:r>
            <w:proofErr w:type="spellEnd"/>
            <w:r w:rsidR="002B6980">
              <w:rPr>
                <w:b w:val="0"/>
              </w:rPr>
              <w:t>, dets salte</w:t>
            </w:r>
            <w:r w:rsidRPr="004677BD">
              <w:rPr>
                <w:b w:val="0"/>
              </w:rPr>
              <w:t xml:space="preserve"> og relaterede stoffer </w:t>
            </w:r>
          </w:p>
        </w:tc>
        <w:tc>
          <w:tcPr>
            <w:tcW w:w="928" w:type="dxa"/>
          </w:tcPr>
          <w:p w14:paraId="6272BA91" w14:textId="6B9C9F37" w:rsidR="00350EEF" w:rsidRPr="006F6079" w:rsidRDefault="00350EEF" w:rsidP="00350EEF">
            <w:pPr>
              <w:pStyle w:val="Table"/>
              <w:cnfStyle w:val="000000000000" w:firstRow="0" w:lastRow="0" w:firstColumn="0" w:lastColumn="0" w:oddVBand="0" w:evenVBand="0" w:oddHBand="0" w:evenHBand="0" w:firstRowFirstColumn="0" w:firstRowLastColumn="0" w:lastRowFirstColumn="0" w:lastRowLastColumn="0"/>
            </w:pPr>
            <w:r>
              <w:t>PFOA</w:t>
            </w:r>
            <w:r w:rsidRPr="006F6079">
              <w:t xml:space="preserve"> </w:t>
            </w:r>
          </w:p>
        </w:tc>
        <w:tc>
          <w:tcPr>
            <w:tcW w:w="1766" w:type="dxa"/>
          </w:tcPr>
          <w:p w14:paraId="67A6AB32" w14:textId="5F674CDD" w:rsidR="00350EEF" w:rsidRDefault="00350EEF" w:rsidP="00350EEF">
            <w:pPr>
              <w:pStyle w:val="Table"/>
              <w:cnfStyle w:val="000000000000" w:firstRow="0" w:lastRow="0" w:firstColumn="0" w:lastColumn="0" w:oddVBand="0" w:evenVBand="0" w:oddHBand="0" w:evenHBand="0" w:firstRowFirstColumn="0" w:firstRowLastColumn="0" w:lastRowFirstColumn="0" w:lastRowLastColumn="0"/>
            </w:pPr>
            <w:r>
              <w:t>Overfladeaktive stoffer</w:t>
            </w:r>
          </w:p>
        </w:tc>
        <w:tc>
          <w:tcPr>
            <w:tcW w:w="1701" w:type="dxa"/>
          </w:tcPr>
          <w:p w14:paraId="00029C3F" w14:textId="18FC9EB1" w:rsidR="00350EEF" w:rsidRPr="00000F43" w:rsidRDefault="00350EEF" w:rsidP="00350EEF">
            <w:pPr>
              <w:pStyle w:val="Table"/>
              <w:cnfStyle w:val="000000000000" w:firstRow="0" w:lastRow="0" w:firstColumn="0" w:lastColumn="0" w:oddVBand="0" w:evenVBand="0" w:oddHBand="0" w:evenHBand="0" w:firstRowFirstColumn="0" w:firstRowLastColumn="0" w:lastRowFirstColumn="0" w:lastRowLastColumn="0"/>
            </w:pPr>
            <w:r w:rsidRPr="004677BD">
              <w:t>335-67-1</w:t>
            </w:r>
          </w:p>
        </w:tc>
        <w:tc>
          <w:tcPr>
            <w:tcW w:w="1559" w:type="dxa"/>
          </w:tcPr>
          <w:p w14:paraId="7F30D2C2" w14:textId="2E60AF10" w:rsidR="00350EEF" w:rsidRPr="00000F43" w:rsidRDefault="00350EEF" w:rsidP="00350EEF">
            <w:pPr>
              <w:pStyle w:val="Table"/>
              <w:cnfStyle w:val="000000000000" w:firstRow="0" w:lastRow="0" w:firstColumn="0" w:lastColumn="0" w:oddVBand="0" w:evenVBand="0" w:oddHBand="0" w:evenHBand="0" w:firstRowFirstColumn="0" w:firstRowLastColumn="0" w:lastRowFirstColumn="0" w:lastRowLastColumn="0"/>
            </w:pPr>
            <w:r w:rsidRPr="00000F43">
              <w:t>Under evaluering</w:t>
            </w:r>
          </w:p>
        </w:tc>
        <w:tc>
          <w:tcPr>
            <w:cnfStyle w:val="000100000000" w:firstRow="0" w:lastRow="0" w:firstColumn="0" w:lastColumn="1" w:oddVBand="0" w:evenVBand="0" w:oddHBand="0" w:evenHBand="0" w:firstRowFirstColumn="0" w:firstRowLastColumn="0" w:lastRowFirstColumn="0" w:lastRowLastColumn="0"/>
            <w:tcW w:w="1984" w:type="dxa"/>
          </w:tcPr>
          <w:p w14:paraId="0F124D53" w14:textId="2C77065E" w:rsidR="00350EEF" w:rsidRPr="00000F43" w:rsidRDefault="00C77235" w:rsidP="00350EEF">
            <w:pPr>
              <w:pStyle w:val="Table"/>
            </w:pPr>
            <w:r>
              <w:t>-</w:t>
            </w:r>
          </w:p>
        </w:tc>
      </w:tr>
      <w:tr w:rsidR="006F7A6B" w:rsidRPr="00000F43" w14:paraId="4D05D48B"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0" w:type="dxa"/>
          </w:tcPr>
          <w:p w14:paraId="7931A3D9" w14:textId="0E3D4CD2" w:rsidR="00350EEF" w:rsidRPr="00000F43" w:rsidRDefault="002B6980">
            <w:pPr>
              <w:pStyle w:val="Table"/>
              <w:rPr>
                <w:b w:val="0"/>
              </w:rPr>
            </w:pPr>
            <w:proofErr w:type="spellStart"/>
            <w:r>
              <w:rPr>
                <w:b w:val="0"/>
              </w:rPr>
              <w:lastRenderedPageBreak/>
              <w:t>Perfluorhexan</w:t>
            </w:r>
            <w:r w:rsidRPr="00000F43">
              <w:rPr>
                <w:b w:val="0"/>
              </w:rPr>
              <w:t>sulfonsyre</w:t>
            </w:r>
            <w:proofErr w:type="spellEnd"/>
            <w:r>
              <w:rPr>
                <w:b w:val="0"/>
              </w:rPr>
              <w:t xml:space="preserve">, </w:t>
            </w:r>
            <w:r w:rsidRPr="00000F43">
              <w:rPr>
                <w:b w:val="0"/>
              </w:rPr>
              <w:t xml:space="preserve">dets salte og </w:t>
            </w:r>
            <w:r w:rsidRPr="004677BD">
              <w:rPr>
                <w:b w:val="0"/>
              </w:rPr>
              <w:t xml:space="preserve">relaterede stoffer </w:t>
            </w:r>
          </w:p>
        </w:tc>
        <w:tc>
          <w:tcPr>
            <w:tcW w:w="928" w:type="dxa"/>
          </w:tcPr>
          <w:p w14:paraId="2F0EFEFF" w14:textId="60B8BBD9" w:rsidR="00350EEF" w:rsidRPr="006F6079" w:rsidRDefault="002B6980" w:rsidP="00350EEF">
            <w:pPr>
              <w:pStyle w:val="Table"/>
              <w:cnfStyle w:val="000000000000" w:firstRow="0" w:lastRow="0" w:firstColumn="0" w:lastColumn="0" w:oddVBand="0" w:evenVBand="0" w:oddHBand="0" w:evenHBand="0" w:firstRowFirstColumn="0" w:firstRowLastColumn="0" w:lastRowFirstColumn="0" w:lastRowLastColumn="0"/>
            </w:pPr>
            <w:proofErr w:type="spellStart"/>
            <w:r w:rsidRPr="00350EEF">
              <w:t>PFHxS</w:t>
            </w:r>
            <w:proofErr w:type="spellEnd"/>
          </w:p>
        </w:tc>
        <w:tc>
          <w:tcPr>
            <w:tcW w:w="1766" w:type="dxa"/>
          </w:tcPr>
          <w:p w14:paraId="0067B119" w14:textId="2A0B7070" w:rsidR="00350EEF" w:rsidRPr="00000F43" w:rsidRDefault="002B6980" w:rsidP="00350EEF">
            <w:pPr>
              <w:pStyle w:val="Table"/>
              <w:cnfStyle w:val="000000000000" w:firstRow="0" w:lastRow="0" w:firstColumn="0" w:lastColumn="0" w:oddVBand="0" w:evenVBand="0" w:oddHBand="0" w:evenHBand="0" w:firstRowFirstColumn="0" w:firstRowLastColumn="0" w:lastRowFirstColumn="0" w:lastRowLastColumn="0"/>
            </w:pPr>
            <w:r>
              <w:t>Overfladeaktive stoffer</w:t>
            </w:r>
          </w:p>
        </w:tc>
        <w:tc>
          <w:tcPr>
            <w:tcW w:w="1701" w:type="dxa"/>
          </w:tcPr>
          <w:p w14:paraId="2501C9E6" w14:textId="13E55527" w:rsidR="00350EEF" w:rsidRPr="00000F43" w:rsidRDefault="002B6980" w:rsidP="00350EEF">
            <w:pPr>
              <w:pStyle w:val="Table"/>
              <w:cnfStyle w:val="000000000000" w:firstRow="0" w:lastRow="0" w:firstColumn="0" w:lastColumn="0" w:oddVBand="0" w:evenVBand="0" w:oddHBand="0" w:evenHBand="0" w:firstRowFirstColumn="0" w:firstRowLastColumn="0" w:lastRowFirstColumn="0" w:lastRowLastColumn="0"/>
            </w:pPr>
            <w:r w:rsidRPr="00350EEF">
              <w:t>355-46-4</w:t>
            </w:r>
          </w:p>
        </w:tc>
        <w:tc>
          <w:tcPr>
            <w:tcW w:w="1559" w:type="dxa"/>
          </w:tcPr>
          <w:p w14:paraId="50AB50C6" w14:textId="60007230" w:rsidR="00350EEF" w:rsidRPr="00000F43" w:rsidRDefault="002B6980" w:rsidP="00350EEF">
            <w:pPr>
              <w:pStyle w:val="Table"/>
              <w:cnfStyle w:val="000000000000" w:firstRow="0" w:lastRow="0" w:firstColumn="0" w:lastColumn="0" w:oddVBand="0" w:evenVBand="0" w:oddHBand="0" w:evenHBand="0" w:firstRowFirstColumn="0" w:firstRowLastColumn="0" w:lastRowFirstColumn="0" w:lastRowLastColumn="0"/>
            </w:pPr>
            <w:r w:rsidRPr="00000F43">
              <w:t>Under evaluering</w:t>
            </w:r>
          </w:p>
        </w:tc>
        <w:tc>
          <w:tcPr>
            <w:cnfStyle w:val="000100000000" w:firstRow="0" w:lastRow="0" w:firstColumn="0" w:lastColumn="1" w:oddVBand="0" w:evenVBand="0" w:oddHBand="0" w:evenHBand="0" w:firstRowFirstColumn="0" w:firstRowLastColumn="0" w:lastRowFirstColumn="0" w:lastRowLastColumn="0"/>
            <w:tcW w:w="1984" w:type="dxa"/>
          </w:tcPr>
          <w:p w14:paraId="5746AA73" w14:textId="533F1F52" w:rsidR="00350EEF" w:rsidRPr="00000F43" w:rsidRDefault="00C77235" w:rsidP="00350EEF">
            <w:pPr>
              <w:pStyle w:val="Table"/>
            </w:pPr>
            <w:r>
              <w:t>-</w:t>
            </w:r>
          </w:p>
        </w:tc>
      </w:tr>
      <w:tr w:rsidR="00350EEF" w:rsidRPr="006F6079" w14:paraId="3CAFD08C" w14:textId="77777777" w:rsidTr="000050A7">
        <w:trPr>
          <w:cantSplit/>
        </w:trPr>
        <w:tc>
          <w:tcPr>
            <w:cnfStyle w:val="001000000000" w:firstRow="0" w:lastRow="0" w:firstColumn="1" w:lastColumn="0" w:oddVBand="0" w:evenVBand="0" w:oddHBand="0" w:evenHBand="0" w:firstRowFirstColumn="0" w:firstRowLastColumn="0" w:lastRowFirstColumn="0" w:lastRowLastColumn="0"/>
            <w:tcW w:w="9781" w:type="dxa"/>
            <w:gridSpan w:val="6"/>
            <w:shd w:val="clear" w:color="auto" w:fill="D9D9D9" w:themeFill="background1" w:themeFillShade="D9"/>
          </w:tcPr>
          <w:p w14:paraId="43916A82" w14:textId="2F3B5E63" w:rsidR="00350EEF" w:rsidRPr="006F6079" w:rsidRDefault="00350EEF" w:rsidP="00350EEF">
            <w:pPr>
              <w:pStyle w:val="Table"/>
              <w:rPr>
                <w:b w:val="0"/>
                <w:bCs w:val="0"/>
              </w:rPr>
            </w:pPr>
            <w:r w:rsidRPr="006F6079">
              <w:rPr>
                <w:b w:val="0"/>
              </w:rPr>
              <w:t>Stoffer</w:t>
            </w:r>
            <w:r w:rsidR="00C64430">
              <w:rPr>
                <w:b w:val="0"/>
              </w:rPr>
              <w:t>,</w:t>
            </w:r>
            <w:r w:rsidRPr="006F6079">
              <w:rPr>
                <w:b w:val="0"/>
              </w:rPr>
              <w:t xml:space="preserve"> som kun er omfattet af POP-protokollen</w:t>
            </w:r>
          </w:p>
        </w:tc>
      </w:tr>
      <w:tr w:rsidR="006F7A6B" w:rsidRPr="00000F43" w14:paraId="5699EEE5" w14:textId="77777777" w:rsidTr="000050A7">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0204A79E" w14:textId="6344EC00" w:rsidR="00350EEF" w:rsidRPr="00000F43" w:rsidRDefault="00350EEF" w:rsidP="00350EEF">
            <w:pPr>
              <w:pStyle w:val="Table"/>
              <w:rPr>
                <w:b w:val="0"/>
              </w:rPr>
            </w:pPr>
            <w:proofErr w:type="spellStart"/>
            <w:r w:rsidRPr="00000F43">
              <w:rPr>
                <w:b w:val="0"/>
              </w:rPr>
              <w:t>Poly</w:t>
            </w:r>
            <w:r w:rsidR="005C7B7C">
              <w:rPr>
                <w:b w:val="0"/>
              </w:rPr>
              <w:t>cykliske</w:t>
            </w:r>
            <w:proofErr w:type="spellEnd"/>
            <w:r w:rsidR="005C7B7C">
              <w:rPr>
                <w:b w:val="0"/>
              </w:rPr>
              <w:t xml:space="preserve"> </w:t>
            </w:r>
            <w:r w:rsidRPr="00000F43">
              <w:rPr>
                <w:b w:val="0"/>
              </w:rPr>
              <w:t xml:space="preserve">aromatiske </w:t>
            </w:r>
            <w:proofErr w:type="spellStart"/>
            <w:r w:rsidRPr="00000F43">
              <w:rPr>
                <w:b w:val="0"/>
              </w:rPr>
              <w:t>hydrocarboner</w:t>
            </w:r>
            <w:proofErr w:type="spellEnd"/>
            <w:r w:rsidRPr="00000F43">
              <w:rPr>
                <w:b w:val="0"/>
              </w:rPr>
              <w:t xml:space="preserve"> </w:t>
            </w:r>
          </w:p>
        </w:tc>
        <w:tc>
          <w:tcPr>
            <w:tcW w:w="928" w:type="dxa"/>
          </w:tcPr>
          <w:p w14:paraId="7164B17D" w14:textId="051EA4D7" w:rsidR="00350EEF" w:rsidRPr="006F6079" w:rsidRDefault="00350EEF" w:rsidP="00350EEF">
            <w:pPr>
              <w:pStyle w:val="Table"/>
              <w:cnfStyle w:val="010000000000" w:firstRow="0" w:lastRow="1" w:firstColumn="0" w:lastColumn="0" w:oddVBand="0" w:evenVBand="0" w:oddHBand="0" w:evenHBand="0" w:firstRowFirstColumn="0" w:firstRowLastColumn="0" w:lastRowFirstColumn="0" w:lastRowLastColumn="0"/>
              <w:rPr>
                <w:b w:val="0"/>
              </w:rPr>
            </w:pPr>
            <w:r>
              <w:rPr>
                <w:b w:val="0"/>
              </w:rPr>
              <w:t>PAH</w:t>
            </w:r>
          </w:p>
        </w:tc>
        <w:tc>
          <w:tcPr>
            <w:tcW w:w="1766" w:type="dxa"/>
          </w:tcPr>
          <w:p w14:paraId="079F08A8" w14:textId="5CCAF6A3" w:rsidR="00350EEF" w:rsidRPr="004677BD" w:rsidRDefault="00350EEF" w:rsidP="00350EEF">
            <w:pPr>
              <w:pStyle w:val="Table"/>
              <w:cnfStyle w:val="010000000000" w:firstRow="0" w:lastRow="1" w:firstColumn="0" w:lastColumn="0" w:oddVBand="0" w:evenVBand="0" w:oddHBand="0" w:evenHBand="0" w:firstRowFirstColumn="0" w:firstRowLastColumn="0" w:lastRowFirstColumn="0" w:lastRowLastColumn="0"/>
              <w:rPr>
                <w:b w:val="0"/>
              </w:rPr>
            </w:pPr>
            <w:r>
              <w:rPr>
                <w:b w:val="0"/>
              </w:rPr>
              <w:t>Biprodukt, utilsigtet dannelse</w:t>
            </w:r>
          </w:p>
        </w:tc>
        <w:tc>
          <w:tcPr>
            <w:tcW w:w="1701" w:type="dxa"/>
          </w:tcPr>
          <w:p w14:paraId="7B1BC79B" w14:textId="77777777" w:rsidR="00350EEF" w:rsidRPr="004677BD" w:rsidRDefault="00350EEF" w:rsidP="00350EEF">
            <w:pPr>
              <w:pStyle w:val="Table"/>
              <w:cnfStyle w:val="010000000000" w:firstRow="0" w:lastRow="1" w:firstColumn="0" w:lastColumn="0" w:oddVBand="0" w:evenVBand="0" w:oddHBand="0" w:evenHBand="0" w:firstRowFirstColumn="0" w:firstRowLastColumn="0" w:lastRowFirstColumn="0" w:lastRowLastColumn="0"/>
              <w:rPr>
                <w:b w:val="0"/>
              </w:rPr>
            </w:pPr>
            <w:r w:rsidRPr="004677BD">
              <w:rPr>
                <w:b w:val="0"/>
              </w:rPr>
              <w:t>Mange forskellige</w:t>
            </w:r>
          </w:p>
        </w:tc>
        <w:tc>
          <w:tcPr>
            <w:tcW w:w="1559" w:type="dxa"/>
          </w:tcPr>
          <w:p w14:paraId="73C58D71" w14:textId="77777777" w:rsidR="00350EEF" w:rsidRPr="004677BD" w:rsidRDefault="00350EEF" w:rsidP="00350EEF">
            <w:pPr>
              <w:pStyle w:val="Table"/>
              <w:cnfStyle w:val="010000000000" w:firstRow="0" w:lastRow="1" w:firstColumn="0" w:lastColumn="0" w:oddVBand="0" w:evenVBand="0" w:oddHBand="0" w:evenHBand="0" w:firstRowFirstColumn="0" w:firstRowLastColumn="0" w:lastRowFirstColumn="0" w:lastRowLastColumn="0"/>
              <w:rPr>
                <w:b w:val="0"/>
              </w:rPr>
            </w:pPr>
            <w:r w:rsidRPr="004677BD">
              <w:rPr>
                <w:b w:val="0"/>
              </w:rPr>
              <w:t>Ikke omfattet</w:t>
            </w:r>
          </w:p>
        </w:tc>
        <w:tc>
          <w:tcPr>
            <w:cnfStyle w:val="000100000000" w:firstRow="0" w:lastRow="0" w:firstColumn="0" w:lastColumn="1" w:oddVBand="0" w:evenVBand="0" w:oddHBand="0" w:evenHBand="0" w:firstRowFirstColumn="0" w:firstRowLastColumn="0" w:lastRowFirstColumn="0" w:lastRowLastColumn="0"/>
            <w:tcW w:w="1984" w:type="dxa"/>
          </w:tcPr>
          <w:p w14:paraId="7CD01A9D" w14:textId="4983EDFC" w:rsidR="00350EEF" w:rsidRPr="00000F43" w:rsidRDefault="00350EEF" w:rsidP="00350EEF">
            <w:pPr>
              <w:pStyle w:val="Table"/>
            </w:pPr>
            <w:r w:rsidRPr="00000F43">
              <w:t>III</w:t>
            </w:r>
          </w:p>
        </w:tc>
      </w:tr>
    </w:tbl>
    <w:p w14:paraId="17B37220" w14:textId="18F67DC9" w:rsidR="00683067" w:rsidRPr="009622C5" w:rsidRDefault="00683067">
      <w:pPr>
        <w:pStyle w:val="Tabelnote"/>
      </w:pPr>
      <w:r w:rsidRPr="00507C0F">
        <w:t>*</w:t>
      </w:r>
      <w:r w:rsidR="009622C5">
        <w:tab/>
      </w:r>
      <w:r w:rsidRPr="009622C5">
        <w:t>Stofferne er blevet tilføjet til bilagene, men tilføjelsen er endnu ikke trådt i kraft (</w:t>
      </w:r>
      <w:r w:rsidR="003E5417">
        <w:t>marts</w:t>
      </w:r>
      <w:r w:rsidR="003E5417" w:rsidRPr="009622C5">
        <w:t xml:space="preserve"> </w:t>
      </w:r>
      <w:r w:rsidR="00020B05" w:rsidRPr="009622C5">
        <w:t>201</w:t>
      </w:r>
      <w:r w:rsidR="003E5417">
        <w:t>9</w:t>
      </w:r>
      <w:r w:rsidRPr="009622C5">
        <w:t>).</w:t>
      </w:r>
    </w:p>
    <w:p w14:paraId="711487BB" w14:textId="0DA451A4" w:rsidR="00683067" w:rsidRDefault="00683067">
      <w:pPr>
        <w:pStyle w:val="Tabelnote"/>
      </w:pPr>
      <w:r w:rsidRPr="00507C0F">
        <w:t>**</w:t>
      </w:r>
      <w:r w:rsidR="009622C5">
        <w:tab/>
      </w:r>
      <w:r w:rsidRPr="00507C0F">
        <w:t>Stofferne er listet i bilag II for visse anvendelser</w:t>
      </w:r>
      <w:r w:rsidR="009622C5">
        <w:t>,</w:t>
      </w:r>
      <w:r w:rsidRPr="00507C0F">
        <w:t xml:space="preserve"> som er undtaget under visse betingelse</w:t>
      </w:r>
      <w:r w:rsidR="009622C5">
        <w:t>r.</w:t>
      </w:r>
    </w:p>
    <w:p w14:paraId="7D6CF6FD" w14:textId="06B46AA2" w:rsidR="001C7DA0" w:rsidRDefault="00F909B0" w:rsidP="005A247F">
      <w:pPr>
        <w:pStyle w:val="Overskrift2"/>
      </w:pPr>
      <w:bookmarkStart w:id="46" w:name="_Toc469053538"/>
      <w:bookmarkStart w:id="47" w:name="_Toc469057819"/>
      <w:bookmarkStart w:id="48" w:name="_Toc469304917"/>
      <w:bookmarkStart w:id="49" w:name="_Toc10205711"/>
      <w:r>
        <w:t>Implementering i Danmark</w:t>
      </w:r>
      <w:bookmarkEnd w:id="46"/>
      <w:bookmarkEnd w:id="47"/>
      <w:bookmarkEnd w:id="48"/>
      <w:bookmarkEnd w:id="49"/>
    </w:p>
    <w:p w14:paraId="1272D48B" w14:textId="20A3C8C4" w:rsidR="00DA2174" w:rsidRDefault="00F909B0" w:rsidP="001C7DA0">
      <w:pPr>
        <w:pStyle w:val="Brdtekst"/>
      </w:pPr>
      <w:r w:rsidRPr="005A0103">
        <w:t xml:space="preserve">Reguleringen af POP-stofferne og POP-affald i Danmark er </w:t>
      </w:r>
      <w:r w:rsidR="0082631A">
        <w:t xml:space="preserve">som beskrevet i den seneste implementeringsplan </w:t>
      </w:r>
      <w:r w:rsidRPr="005A0103">
        <w:t xml:space="preserve">karakteriseret ved et tæt samspil mellem EU-lovgivningen og national regulering. De fleste regler på POP-området i Danmark er en følge af EU-lovgivning. Stockholmkonventionen er i EU gennemført i Forordning (EF) nr. 850/2004 om </w:t>
      </w:r>
      <w:proofErr w:type="spellStart"/>
      <w:r w:rsidRPr="005A0103">
        <w:t>persistente</w:t>
      </w:r>
      <w:proofErr w:type="spellEnd"/>
      <w:r w:rsidRPr="005A0103">
        <w:t xml:space="preserve"> organiske miljøgifte (POP-forordningen) med efterfølgende ændringer og tilføjelser</w:t>
      </w:r>
      <w:r w:rsidR="0082631A">
        <w:t>.</w:t>
      </w:r>
      <w:r w:rsidR="008F146B">
        <w:t xml:space="preserve"> I modsætning til EU</w:t>
      </w:r>
      <w:r w:rsidR="00D7538F">
        <w:t>-</w:t>
      </w:r>
      <w:r w:rsidR="008F146B">
        <w:t>direktiver, som skal gennemføres i de enkelte landes lovgivning, er forordninger direkte gældende i alle medlemslande, som dermed alle har samme regler.</w:t>
      </w:r>
      <w:r w:rsidR="0082631A">
        <w:t xml:space="preserve"> </w:t>
      </w:r>
      <w:r w:rsidRPr="005A0103">
        <w:t>POP-forordningen suppleres af en</w:t>
      </w:r>
      <w:r>
        <w:t xml:space="preserve"> række</w:t>
      </w:r>
      <w:r w:rsidRPr="005A0103">
        <w:t xml:space="preserve"> </w:t>
      </w:r>
      <w:r>
        <w:t xml:space="preserve">andre </w:t>
      </w:r>
      <w:r w:rsidRPr="005A0103">
        <w:t>forordning</w:t>
      </w:r>
      <w:r>
        <w:t>er,</w:t>
      </w:r>
      <w:r w:rsidRPr="005A0103">
        <w:t xml:space="preserve"> </w:t>
      </w:r>
      <w:r>
        <w:t xml:space="preserve">den </w:t>
      </w:r>
      <w:r w:rsidRPr="005A0103">
        <w:t>danske miljøbeskyttelseslov og kemikalielov samt en række bekendtgørelser ud</w:t>
      </w:r>
      <w:r>
        <w:t>stedt i medfør heraf</w:t>
      </w:r>
      <w:r w:rsidRPr="005A0103">
        <w:t>.</w:t>
      </w:r>
      <w:r>
        <w:t xml:space="preserve"> </w:t>
      </w:r>
    </w:p>
    <w:p w14:paraId="4FF2E784" w14:textId="08892BD8" w:rsidR="00A8128C" w:rsidRDefault="00D7538F" w:rsidP="001C7DA0">
      <w:pPr>
        <w:pStyle w:val="Brdtekst"/>
      </w:pPr>
      <w:r>
        <w:t>Hverken</w:t>
      </w:r>
      <w:r w:rsidR="00DA2174">
        <w:t xml:space="preserve"> EU-</w:t>
      </w:r>
      <w:r w:rsidR="0082631A">
        <w:t>lovgivning</w:t>
      </w:r>
      <w:r w:rsidR="00DA2174">
        <w:t xml:space="preserve">en </w:t>
      </w:r>
      <w:r>
        <w:t>eller</w:t>
      </w:r>
      <w:r w:rsidR="00DA2174">
        <w:t xml:space="preserve"> den danske lovgivning i relation til POP-stofferne</w:t>
      </w:r>
      <w:r w:rsidR="0082631A">
        <w:t xml:space="preserve"> er gældende for Grønland. </w:t>
      </w:r>
    </w:p>
    <w:p w14:paraId="7D6CF6FE" w14:textId="4F7A3068" w:rsidR="001C7DA0" w:rsidRDefault="00D07962" w:rsidP="001C7DA0">
      <w:pPr>
        <w:pStyle w:val="Overskrift1"/>
      </w:pPr>
      <w:bookmarkStart w:id="50" w:name="_Toc469053539"/>
      <w:bookmarkStart w:id="51" w:name="_Toc469057820"/>
      <w:bookmarkStart w:id="52" w:name="_Toc469304918"/>
      <w:bookmarkStart w:id="53" w:name="_Toc10205712"/>
      <w:r>
        <w:lastRenderedPageBreak/>
        <w:t xml:space="preserve">Eksponering af mennesker og miljø i </w:t>
      </w:r>
      <w:r w:rsidR="001C7DA0">
        <w:t>Grønland</w:t>
      </w:r>
      <w:r>
        <w:t xml:space="preserve"> </w:t>
      </w:r>
      <w:r w:rsidR="005C7B7C">
        <w:t xml:space="preserve">for </w:t>
      </w:r>
      <w:r>
        <w:t>POP-stoffer</w:t>
      </w:r>
      <w:bookmarkEnd w:id="50"/>
      <w:bookmarkEnd w:id="51"/>
      <w:bookmarkEnd w:id="52"/>
      <w:bookmarkEnd w:id="53"/>
      <w:r w:rsidR="001C7DA0">
        <w:t xml:space="preserve"> </w:t>
      </w:r>
    </w:p>
    <w:p w14:paraId="7D6CF700" w14:textId="77777777" w:rsidR="00325E19" w:rsidRDefault="00325E19" w:rsidP="00D07962">
      <w:pPr>
        <w:pStyle w:val="Brdtekst"/>
      </w:pPr>
      <w:r w:rsidRPr="004D57DA">
        <w:t xml:space="preserve">En international intention om at mindske forureningen af Arktis med POP-stoffer og at mindske den markante eksponering af mennesker i Arktis for disse stoffer har været en væsentlig drivkraft i arbejdet med at etablere en international aftale om POP-stoffer. </w:t>
      </w:r>
    </w:p>
    <w:p w14:paraId="7D6CF701" w14:textId="48319A15" w:rsidR="001C7DA0" w:rsidRDefault="00D07962" w:rsidP="00D07962">
      <w:pPr>
        <w:pStyle w:val="Brdtekst"/>
      </w:pPr>
      <w:r>
        <w:t>I forordet til Stockholmkonventionen står der</w:t>
      </w:r>
      <w:r w:rsidR="00325E19">
        <w:t xml:space="preserve"> således</w:t>
      </w:r>
      <w:r w:rsidR="000C0489">
        <w:t>, at parterne</w:t>
      </w:r>
      <w:r>
        <w:t xml:space="preserve"> ".</w:t>
      </w:r>
      <w:r w:rsidR="00325E19">
        <w:rPr>
          <w:i/>
        </w:rPr>
        <w:t>.. erkender</w:t>
      </w:r>
      <w:r w:rsidRPr="00D07962">
        <w:rPr>
          <w:i/>
        </w:rPr>
        <w:t xml:space="preserve">, at de arktiske økosystemer og oprindelige folk er særligt udsatte på grund af </w:t>
      </w:r>
      <w:proofErr w:type="spellStart"/>
      <w:r w:rsidRPr="00D07962">
        <w:rPr>
          <w:i/>
        </w:rPr>
        <w:t>biomagnifikationen</w:t>
      </w:r>
      <w:proofErr w:type="spellEnd"/>
      <w:r w:rsidRPr="00D07962">
        <w:rPr>
          <w:i/>
        </w:rPr>
        <w:t xml:space="preserve"> af </w:t>
      </w:r>
      <w:proofErr w:type="spellStart"/>
      <w:r w:rsidRPr="00D07962">
        <w:rPr>
          <w:i/>
        </w:rPr>
        <w:t>persistente</w:t>
      </w:r>
      <w:proofErr w:type="spellEnd"/>
      <w:r w:rsidRPr="00D07962">
        <w:rPr>
          <w:i/>
        </w:rPr>
        <w:t xml:space="preserve"> organiske miljøgifte, og at forurening af deres traditionelle fødevarer er en trussel mod folkesundhed</w:t>
      </w:r>
      <w:r>
        <w:t>".</w:t>
      </w:r>
      <w:r w:rsidR="00325E19">
        <w:rPr>
          <w:rStyle w:val="Fodnotehenvisning"/>
        </w:rPr>
        <w:footnoteReference w:id="11"/>
      </w:r>
      <w:r w:rsidR="00433EC3">
        <w:t xml:space="preserve"> </w:t>
      </w:r>
      <w:r w:rsidR="00433EC3">
        <w:rPr>
          <w:rStyle w:val="Fodnotehenvisning"/>
        </w:rPr>
        <w:footnoteReference w:id="12"/>
      </w:r>
    </w:p>
    <w:p w14:paraId="7D6CF702" w14:textId="1163A555" w:rsidR="00272F58" w:rsidRDefault="00325E19" w:rsidP="00D07962">
      <w:pPr>
        <w:pStyle w:val="Brdtekst"/>
      </w:pPr>
      <w:r>
        <w:t xml:space="preserve">Der er i regi af det </w:t>
      </w:r>
      <w:r w:rsidR="00323FAF">
        <w:t>A</w:t>
      </w:r>
      <w:r>
        <w:t xml:space="preserve">rktiske </w:t>
      </w:r>
      <w:r w:rsidR="00323FAF">
        <w:t>M</w:t>
      </w:r>
      <w:r>
        <w:t xml:space="preserve">oniterings- og </w:t>
      </w:r>
      <w:r w:rsidR="00323FAF">
        <w:t>V</w:t>
      </w:r>
      <w:r>
        <w:t>urderingsprogram (AMAP</w:t>
      </w:r>
      <w:r w:rsidR="00D20CD8">
        <w:rPr>
          <w:rStyle w:val="Fodnotehenvisning"/>
        </w:rPr>
        <w:footnoteReference w:id="13"/>
      </w:r>
      <w:r>
        <w:t xml:space="preserve">) gennem mange </w:t>
      </w:r>
      <w:r w:rsidR="002B6980">
        <w:t xml:space="preserve">år </w:t>
      </w:r>
      <w:r>
        <w:t>udført monitering af POP-stoffer i mennesker og miljø i og omkring Grønland. Resultaterne af moniteringen har været et vigtigt indspil til vurdering</w:t>
      </w:r>
      <w:r w:rsidR="000C0489">
        <w:t>erne af langdistancetransport</w:t>
      </w:r>
      <w:r w:rsidR="0044746C">
        <w:t>,</w:t>
      </w:r>
      <w:r>
        <w:t xml:space="preserve"> effekter af stofferne og nødvendigheden af en international aftale. For nye stoffer, som er under vurdering for optagelse under konventionen, indgår resultater af undersøgelser af stofferne i Arktis også som et vigtigt led i vurderingerne af nødvendigheden af international begrænsning af brug og udslip af stofferne.</w:t>
      </w:r>
    </w:p>
    <w:p w14:paraId="7D6CF703" w14:textId="10A907D5" w:rsidR="00D07962" w:rsidRDefault="00325E19" w:rsidP="00D07962">
      <w:pPr>
        <w:pStyle w:val="Brdtekst"/>
      </w:pPr>
      <w:r>
        <w:t xml:space="preserve">Eksponering af mennesker og miljø i og omkring Grønland, og den tilhørende risiko sammenfattes </w:t>
      </w:r>
      <w:r w:rsidR="00D7538F">
        <w:t xml:space="preserve">kort i det følgende </w:t>
      </w:r>
      <w:r>
        <w:t>med udgangspunkt i resultaterne fra AMAP</w:t>
      </w:r>
      <w:r w:rsidR="00D7538F">
        <w:t>-</w:t>
      </w:r>
      <w:r>
        <w:t xml:space="preserve">vurderingerne. </w:t>
      </w:r>
    </w:p>
    <w:p w14:paraId="7D6CF704" w14:textId="77777777" w:rsidR="00D07962" w:rsidRDefault="00D07962" w:rsidP="00D07962">
      <w:pPr>
        <w:pStyle w:val="Overskrift2"/>
      </w:pPr>
      <w:bookmarkStart w:id="54" w:name="_Toc469053540"/>
      <w:bookmarkStart w:id="55" w:name="_Toc469057821"/>
      <w:bookmarkStart w:id="56" w:name="_Toc469304919"/>
      <w:bookmarkStart w:id="57" w:name="_Toc10205713"/>
      <w:r>
        <w:t>Eksponering af mennesker og tilhørende risiko</w:t>
      </w:r>
      <w:bookmarkEnd w:id="54"/>
      <w:bookmarkEnd w:id="55"/>
      <w:bookmarkEnd w:id="56"/>
      <w:bookmarkEnd w:id="57"/>
    </w:p>
    <w:p w14:paraId="6C2A129D" w14:textId="1E392D1D" w:rsidR="000C0489" w:rsidRDefault="000C0489" w:rsidP="000C0489">
      <w:pPr>
        <w:pStyle w:val="Brdtekst"/>
      </w:pPr>
      <w:r>
        <w:t xml:space="preserve">AMAP-programmet blev etableret i 1991 for bedre at kunne følge med i og adressere sundheds- og miljøproblemer i det arktiske område forårsaget af langtransporterede forureninger fra den industrialiserede del af kloden. </w:t>
      </w:r>
      <w:r w:rsidR="00827779">
        <w:t>POP-stoffer udgør et</w:t>
      </w:r>
      <w:r>
        <w:t xml:space="preserve"> af de centrale overvågningsområder i AMAP-programmet.</w:t>
      </w:r>
    </w:p>
    <w:p w14:paraId="25190301" w14:textId="1284866F" w:rsidR="000C0489" w:rsidRDefault="000C0489" w:rsidP="000C0489">
      <w:pPr>
        <w:pStyle w:val="Brdtekst"/>
      </w:pPr>
      <w:r>
        <w:t>POP-stofferne er generelt, ud over den meget langsomme nedbrydning i miljøet (</w:t>
      </w:r>
      <w:proofErr w:type="spellStart"/>
      <w:r>
        <w:t>persistens</w:t>
      </w:r>
      <w:proofErr w:type="spellEnd"/>
      <w:r>
        <w:t>), karakteri</w:t>
      </w:r>
      <w:r w:rsidR="003B0977">
        <w:t>stiske</w:t>
      </w:r>
      <w:r>
        <w:t xml:space="preserve"> ved at </w:t>
      </w:r>
      <w:r w:rsidR="003B0977">
        <w:t xml:space="preserve">de </w:t>
      </w:r>
      <w:r>
        <w:t>ophobes gennem fødekæderne i både vand- og landmiljøet</w:t>
      </w:r>
      <w:r w:rsidR="0044746C">
        <w:t>. Det betyder,</w:t>
      </w:r>
      <w:r>
        <w:t xml:space="preserve"> at de højeste niveauer typisk forekommer hos pattedyr, fugle og fisk øverst i fødekæderne. En række af disse dyr er samtidig vigtig</w:t>
      </w:r>
      <w:r w:rsidR="002B6980">
        <w:t>,</w:t>
      </w:r>
      <w:r>
        <w:t xml:space="preserve"> traditionel </w:t>
      </w:r>
      <w:r w:rsidR="002B6980">
        <w:t xml:space="preserve">kost </w:t>
      </w:r>
      <w:r>
        <w:t>for de</w:t>
      </w:r>
      <w:r w:rsidR="0044746C">
        <w:t>le af</w:t>
      </w:r>
      <w:r>
        <w:t xml:space="preserve"> befolkninger</w:t>
      </w:r>
      <w:r w:rsidR="002B6980">
        <w:t>ne</w:t>
      </w:r>
      <w:r>
        <w:t xml:space="preserve"> i de arktiske områder, ikke mindst i Grønland</w:t>
      </w:r>
      <w:r w:rsidR="0044746C">
        <w:t>. Disse befolkningsgrupper vil</w:t>
      </w:r>
      <w:r>
        <w:t xml:space="preserve"> derfor i særlig grad være udsat for eksponering for POP-stofferne</w:t>
      </w:r>
      <w:r w:rsidR="0044746C">
        <w:t>.</w:t>
      </w:r>
    </w:p>
    <w:p w14:paraId="4B94FB7A" w14:textId="6222E51B" w:rsidR="000C0489" w:rsidRDefault="000C0489" w:rsidP="000C0489">
      <w:pPr>
        <w:pStyle w:val="Brdtekst"/>
      </w:pPr>
      <w:r>
        <w:lastRenderedPageBreak/>
        <w:t>Virkningerne af POP-stoffer på mennesker er almindeligvis ikke en akut giftvirkning, men snarere langsigtede virkninger relateret til stoffernes iboende egenskaber så som kræftfremkaldende virkning, indvirkning på arveanlæggene (mutagen virkning), skader på forplantning og udvikling og/eller hormonforstyrrende effekter. Risikoen for</w:t>
      </w:r>
      <w:r w:rsidR="00D7538F">
        <w:t>,</w:t>
      </w:r>
      <w:r>
        <w:t xml:space="preserve"> at disse iboende egenskaber kommer til udtryk</w:t>
      </w:r>
      <w:r w:rsidR="00D7538F">
        <w:t>,</w:t>
      </w:r>
      <w:r>
        <w:t xml:space="preserve"> stiger når udsættelsen for stofferne stiger.</w:t>
      </w:r>
    </w:p>
    <w:p w14:paraId="6A7845AA" w14:textId="658DBD88" w:rsidR="00A8128C" w:rsidRDefault="00C04DCD" w:rsidP="000C0489">
      <w:pPr>
        <w:pStyle w:val="Brdtekst"/>
      </w:pPr>
      <w:r>
        <w:t xml:space="preserve">I </w:t>
      </w:r>
      <w:proofErr w:type="spellStart"/>
      <w:r>
        <w:t>AMAPs</w:t>
      </w:r>
      <w:proofErr w:type="spellEnd"/>
      <w:r>
        <w:t xml:space="preserve"> </w:t>
      </w:r>
      <w:r w:rsidR="000C0489">
        <w:t xml:space="preserve">Human Health </w:t>
      </w:r>
      <w:proofErr w:type="spellStart"/>
      <w:r w:rsidR="000C0489">
        <w:t>Assessment</w:t>
      </w:r>
      <w:proofErr w:type="spellEnd"/>
      <w:r w:rsidR="000C0489">
        <w:t xml:space="preserve"> </w:t>
      </w:r>
      <w:r>
        <w:t>rapport for 2015 konkluderes det</w:t>
      </w:r>
      <w:r w:rsidR="000C0489">
        <w:t xml:space="preserve">, at menneskets eksponering for POP-stoffer fortsætter med at </w:t>
      </w:r>
      <w:r w:rsidR="003B0977">
        <w:t>være faldende</w:t>
      </w:r>
      <w:r w:rsidR="000C0489">
        <w:t xml:space="preserve"> i betydelige dele af det arktiske område</w:t>
      </w:r>
      <w:r w:rsidR="001032D7">
        <w:t xml:space="preserve">. Med der er </w:t>
      </w:r>
      <w:r w:rsidR="000C0489">
        <w:t xml:space="preserve">stadig er høj </w:t>
      </w:r>
      <w:r w:rsidR="001032D7">
        <w:t>eksponering af</w:t>
      </w:r>
      <w:r w:rsidR="000C0489">
        <w:t xml:space="preserve"> </w:t>
      </w:r>
      <w:r w:rsidR="001032D7">
        <w:t>mennesker,</w:t>
      </w:r>
      <w:r w:rsidR="002B6980">
        <w:t xml:space="preserve"> der indtager traditionel kost</w:t>
      </w:r>
      <w:r>
        <w:t xml:space="preserve">, og </w:t>
      </w:r>
      <w:r w:rsidR="001032D7">
        <w:t xml:space="preserve">eksponeringen er </w:t>
      </w:r>
      <w:r>
        <w:t xml:space="preserve">faktisk stigende for enkelte </w:t>
      </w:r>
      <w:r w:rsidR="001032D7">
        <w:t>POP-</w:t>
      </w:r>
      <w:r>
        <w:t>stoffer</w:t>
      </w:r>
      <w:r w:rsidR="000C0489">
        <w:t>.</w:t>
      </w:r>
      <w:r w:rsidR="00D46717">
        <w:t xml:space="preserve"> </w:t>
      </w:r>
      <w:r w:rsidR="000C0489">
        <w:t xml:space="preserve">I </w:t>
      </w:r>
      <w:r>
        <w:t>rapporten</w:t>
      </w:r>
      <w:r w:rsidR="00D46717">
        <w:t xml:space="preserve"> konkluderes det</w:t>
      </w:r>
      <w:r w:rsidR="000C0489">
        <w:t>, at man fortsat anbefaler indtagelse af traditionel</w:t>
      </w:r>
      <w:r w:rsidR="002B6980">
        <w:t xml:space="preserve"> kost </w:t>
      </w:r>
      <w:r w:rsidR="000C0489">
        <w:t>som et sundt fødevalg</w:t>
      </w:r>
      <w:r w:rsidR="001032D7">
        <w:t>. Det anbefales</w:t>
      </w:r>
      <w:r w:rsidR="000C0489">
        <w:t xml:space="preserve"> dog</w:t>
      </w:r>
      <w:r w:rsidR="001032D7">
        <w:t>,</w:t>
      </w:r>
      <w:r w:rsidR="000C0489">
        <w:t xml:space="preserve"> </w:t>
      </w:r>
      <w:r w:rsidR="001032D7">
        <w:t xml:space="preserve">at der bør </w:t>
      </w:r>
      <w:r w:rsidR="000C0489">
        <w:t xml:space="preserve">indtages relativt mere af </w:t>
      </w:r>
      <w:r>
        <w:t xml:space="preserve">de </w:t>
      </w:r>
      <w:r w:rsidR="000C0489">
        <w:t>fødeemner, der er placeret lavere i fødekæderne og dermed indeholder lavere koncentrationer af POP-stoffer og andre forureninger.</w:t>
      </w:r>
    </w:p>
    <w:p w14:paraId="33A5361D" w14:textId="458FD301" w:rsidR="00C04DCD" w:rsidRDefault="00D46717" w:rsidP="000C0489">
      <w:pPr>
        <w:pStyle w:val="Brdtekst"/>
      </w:pPr>
      <w:r>
        <w:t xml:space="preserve">AMAP </w:t>
      </w:r>
      <w:r w:rsidR="000C0489">
        <w:t>gør yderligere opmærksom på, at der er påvist en række andre, nyere stoffer (</w:t>
      </w:r>
      <w:r>
        <w:t>såkaldte "</w:t>
      </w:r>
      <w:proofErr w:type="spellStart"/>
      <w:r w:rsidR="000C0489">
        <w:t>emerging</w:t>
      </w:r>
      <w:proofErr w:type="spellEnd"/>
      <w:r w:rsidR="000C0489">
        <w:t xml:space="preserve"> </w:t>
      </w:r>
      <w:proofErr w:type="spellStart"/>
      <w:r w:rsidR="000C0489">
        <w:t>contaminants</w:t>
      </w:r>
      <w:proofErr w:type="spellEnd"/>
      <w:r>
        <w:t>"</w:t>
      </w:r>
      <w:r w:rsidR="000C0489">
        <w:t xml:space="preserve">) i blod og væv fra mennesker i Arktis, så som </w:t>
      </w:r>
      <w:proofErr w:type="spellStart"/>
      <w:r w:rsidR="000C0489">
        <w:t>bromerede</w:t>
      </w:r>
      <w:proofErr w:type="spellEnd"/>
      <w:r w:rsidR="000C0489">
        <w:t xml:space="preserve"> </w:t>
      </w:r>
      <w:proofErr w:type="spellStart"/>
      <w:r w:rsidR="000C0489">
        <w:t>flammehæmmere</w:t>
      </w:r>
      <w:proofErr w:type="spellEnd"/>
      <w:r w:rsidR="000C0489">
        <w:t xml:space="preserve"> (BFR) og </w:t>
      </w:r>
      <w:proofErr w:type="spellStart"/>
      <w:r w:rsidR="000C0489">
        <w:t>perfl</w:t>
      </w:r>
      <w:r w:rsidR="00F3077B">
        <w:t>uo</w:t>
      </w:r>
      <w:r w:rsidR="000C0489">
        <w:t>rstoffer</w:t>
      </w:r>
      <w:proofErr w:type="spellEnd"/>
      <w:r w:rsidR="000C0489">
        <w:t xml:space="preserve"> (PFC). Disse har også problematiske sundhedsmæssige egenskaber, men</w:t>
      </w:r>
      <w:r w:rsidR="002E64A4">
        <w:t xml:space="preserve"> mange af stofferne</w:t>
      </w:r>
      <w:r w:rsidR="000C0489">
        <w:t xml:space="preserve"> er p.t. ikke reguleret internationalt og kan derfor stadig være i anvendelse i betydelig grad.</w:t>
      </w:r>
      <w:r w:rsidR="00C04DCD">
        <w:t xml:space="preserve"> D</w:t>
      </w:r>
      <w:r w:rsidR="000C0489">
        <w:t xml:space="preserve">er er </w:t>
      </w:r>
      <w:r w:rsidR="00C04DCD">
        <w:t xml:space="preserve">derfor </w:t>
      </w:r>
      <w:r w:rsidR="000C0489">
        <w:t>behov for at fortsætte overvågningen af menneskers eksponering for POP</w:t>
      </w:r>
      <w:r w:rsidR="000F74B8">
        <w:t>-stoffer</w:t>
      </w:r>
      <w:r w:rsidR="000C0489">
        <w:t xml:space="preserve"> og andre problematiske stoffer i det arktiske område, herun</w:t>
      </w:r>
      <w:r w:rsidR="00C04DCD">
        <w:t>der de "nye" stoffer</w:t>
      </w:r>
      <w:r>
        <w:t xml:space="preserve"> (AMAP, 2015)</w:t>
      </w:r>
      <w:r w:rsidR="000C0489">
        <w:t>.</w:t>
      </w:r>
    </w:p>
    <w:p w14:paraId="4A42D32D" w14:textId="03B4125C" w:rsidR="000C0489" w:rsidRDefault="000C0489" w:rsidP="000C0489">
      <w:pPr>
        <w:pStyle w:val="Brdtekst"/>
      </w:pPr>
      <w:r>
        <w:t>Målin</w:t>
      </w:r>
      <w:r w:rsidR="00D46717">
        <w:t xml:space="preserve">ger af udvalgte </w:t>
      </w:r>
      <w:proofErr w:type="spellStart"/>
      <w:r w:rsidR="00735527">
        <w:t>chlor</w:t>
      </w:r>
      <w:r w:rsidR="00D46717">
        <w:t>erede</w:t>
      </w:r>
      <w:proofErr w:type="spellEnd"/>
      <w:r w:rsidR="00D46717">
        <w:t xml:space="preserve"> POP-stoffer</w:t>
      </w:r>
      <w:r>
        <w:t xml:space="preserve"> i blod fra kvinder i hhv. Nuuk og </w:t>
      </w:r>
      <w:proofErr w:type="spellStart"/>
      <w:r>
        <w:t>Disk</w:t>
      </w:r>
      <w:r w:rsidR="00D46717">
        <w:t>o</w:t>
      </w:r>
      <w:proofErr w:type="spellEnd"/>
      <w:r w:rsidR="00D46717">
        <w:t xml:space="preserve"> Bugt-området viser</w:t>
      </w:r>
      <w:r>
        <w:t>, at niveauerne af disse stoffer i kvindernes blod på begge lokaliteter er gået betydeligt ned fra slutningen af 1990'erne til 2006</w:t>
      </w:r>
      <w:r w:rsidR="00C04DCD">
        <w:t xml:space="preserve"> (AMAP, 2014)</w:t>
      </w:r>
      <w:r>
        <w:t xml:space="preserve">. Niveauerne er højere i </w:t>
      </w:r>
      <w:proofErr w:type="spellStart"/>
      <w:r>
        <w:t>Disko</w:t>
      </w:r>
      <w:proofErr w:type="spellEnd"/>
      <w:r>
        <w:t xml:space="preserve"> end i Nuuk, hvilket tilskrives den højere andel af traditionel</w:t>
      </w:r>
      <w:r w:rsidR="00B45DBD">
        <w:t xml:space="preserve"> </w:t>
      </w:r>
      <w:r>
        <w:t xml:space="preserve">kost hos befolkningen i </w:t>
      </w:r>
      <w:proofErr w:type="spellStart"/>
      <w:r>
        <w:t>Disko</w:t>
      </w:r>
      <w:proofErr w:type="spellEnd"/>
      <w:r>
        <w:t xml:space="preserve">-området end i Nuuk. Der foreligger også undersøgelser af blod fra mænd i den forplantningsdygtige alder, der tilsvarende viser højere koncentrationer i Qaanaaq end i andre dele af </w:t>
      </w:r>
      <w:r w:rsidR="00B45DBD">
        <w:t>Grønland</w:t>
      </w:r>
      <w:r>
        <w:t>, formodentlig også her pga. kostsammensætningen.</w:t>
      </w:r>
    </w:p>
    <w:p w14:paraId="246D1E08" w14:textId="7F6BF5CB" w:rsidR="007C49F3" w:rsidRDefault="005311EC" w:rsidP="005311EC">
      <w:pPr>
        <w:pStyle w:val="Brdtekst"/>
      </w:pPr>
      <w:r>
        <w:t>E</w:t>
      </w:r>
      <w:r w:rsidR="007C49F3">
        <w:t>ksponering for</w:t>
      </w:r>
      <w:r>
        <w:t xml:space="preserve"> POP-stoffer</w:t>
      </w:r>
      <w:r w:rsidR="007C49F3">
        <w:t>s problematiske sundhedsmæssige egenskaber</w:t>
      </w:r>
      <w:r>
        <w:t xml:space="preserve"> gennem indtagelse af </w:t>
      </w:r>
      <w:r w:rsidR="00B45DBD">
        <w:t>t</w:t>
      </w:r>
      <w:r>
        <w:t xml:space="preserve">raditionel </w:t>
      </w:r>
      <w:r w:rsidR="00B45DBD">
        <w:t xml:space="preserve">kost </w:t>
      </w:r>
      <w:r>
        <w:t>udgø</w:t>
      </w:r>
      <w:r w:rsidR="007C49F3">
        <w:t>r</w:t>
      </w:r>
      <w:r>
        <w:t xml:space="preserve"> principielt</w:t>
      </w:r>
      <w:r w:rsidR="007C49F3">
        <w:t xml:space="preserve"> en risiko for eksempelvis hormonforstyrrende effekter</w:t>
      </w:r>
      <w:r>
        <w:t xml:space="preserve">, der f.eks. kan ytre sig som nedsat forplantningsevne og forringet fosterudvikling (Bonefeld-Jørgensen, 2010). </w:t>
      </w:r>
      <w:r w:rsidR="007C49F3">
        <w:t xml:space="preserve">Der er tillige undersøgelser, som indikerer, at eksponering for POP-stoffer, herunder også </w:t>
      </w:r>
      <w:proofErr w:type="spellStart"/>
      <w:r w:rsidR="007C49F3">
        <w:t>perfluorerede</w:t>
      </w:r>
      <w:proofErr w:type="spellEnd"/>
      <w:r w:rsidR="007C49F3">
        <w:t xml:space="preserve"> stoffer (PFC), kan bidrage til risikoen hos kvinder for at udvikle brystkræft. Bonefeld-Jørgensen </w:t>
      </w:r>
      <w:r w:rsidR="00413477">
        <w:t>m.fl.</w:t>
      </w:r>
      <w:r w:rsidR="007C49F3">
        <w:t xml:space="preserve"> (2011) undersøgte således 31 tilfælde af brystkræft og 115 referencepersoner i Grønland og fandt en betydelig korrelation mellem kvindernes indhold af PFC i serum og risikoen for brystkræft. Forfatterne konkluderede, at de koncentrationer af PFC i serum, man finder hos Inuit-kvinder, kan udgøre en risikofaktor i forhold til udvikling af brystkræft.</w:t>
      </w:r>
    </w:p>
    <w:p w14:paraId="4C4AEF8F" w14:textId="5E104908" w:rsidR="005311EC" w:rsidRDefault="007C49F3" w:rsidP="000C0489">
      <w:pPr>
        <w:pStyle w:val="Brdtekst"/>
      </w:pPr>
      <w:r>
        <w:t>Der er dog</w:t>
      </w:r>
      <w:r w:rsidR="005311EC">
        <w:t xml:space="preserve"> også indholdsstoffer i den traditionelle kost, så som diverse sporstoffer og antioxidanter, der modvirker risikoen for effekter på de niveauer, hvor man ville forvente en effekt. Dette såkaldte "arktiske dilemma" gør, at effekter </w:t>
      </w:r>
      <w:r w:rsidR="005311EC">
        <w:lastRenderedPageBreak/>
        <w:t>på bef</w:t>
      </w:r>
      <w:r w:rsidR="007021E8">
        <w:t>olkningsniveau som resultat af den påviste</w:t>
      </w:r>
      <w:r w:rsidR="005311EC">
        <w:t xml:space="preserve"> eksponering er vanskelig at dokum</w:t>
      </w:r>
      <w:r>
        <w:t>entere</w:t>
      </w:r>
      <w:r w:rsidR="005311EC">
        <w:t xml:space="preserve"> (Bonefeld-Jørgensen, 2010).</w:t>
      </w:r>
    </w:p>
    <w:p w14:paraId="7D9EE9C6" w14:textId="77777777" w:rsidR="000C0489" w:rsidRPr="00D07962" w:rsidRDefault="000C0489" w:rsidP="000C0489">
      <w:pPr>
        <w:pStyle w:val="Overskrift2"/>
      </w:pPr>
      <w:bookmarkStart w:id="58" w:name="_Toc469053541"/>
      <w:bookmarkStart w:id="59" w:name="_Toc469057822"/>
      <w:bookmarkStart w:id="60" w:name="_Toc469304920"/>
      <w:bookmarkStart w:id="61" w:name="_Toc10205714"/>
      <w:r>
        <w:t>Eksponering af organismer i miljøet og tilhørende risiko</w:t>
      </w:r>
      <w:bookmarkEnd w:id="58"/>
      <w:bookmarkEnd w:id="59"/>
      <w:bookmarkEnd w:id="60"/>
      <w:bookmarkEnd w:id="61"/>
    </w:p>
    <w:p w14:paraId="1E9E43B3" w14:textId="2EFA4CBA" w:rsidR="00BC5061" w:rsidRDefault="00BC5061" w:rsidP="000C0489">
      <w:pPr>
        <w:pStyle w:val="Brdtekst"/>
      </w:pPr>
      <w:r>
        <w:t xml:space="preserve">Det er almindeligt anerkendt, at mange års langtransport af POP-stoffer og flere andre kemiske forureninger fra den industrialiserede del af verden til det arktiske område har medført </w:t>
      </w:r>
      <w:r w:rsidR="001F7443">
        <w:t>ophobning</w:t>
      </w:r>
      <w:r>
        <w:t xml:space="preserve"> af disse stoffer i naturen i Grønland og andre steder</w:t>
      </w:r>
      <w:r w:rsidR="0044746C">
        <w:t xml:space="preserve"> i Arktis</w:t>
      </w:r>
      <w:r w:rsidR="001F7443">
        <w:t>. Dette har medført en</w:t>
      </w:r>
      <w:r>
        <w:t xml:space="preserve"> meget høj eksponering af dyr</w:t>
      </w:r>
      <w:r w:rsidR="001F7443">
        <w:t>ene</w:t>
      </w:r>
      <w:r>
        <w:t xml:space="preserve"> i de øverste led i fødekæderne for disse stoffer, der er meget langsomt nedbrydelige i </w:t>
      </w:r>
      <w:r w:rsidR="001F7443">
        <w:t>den arktiske natur</w:t>
      </w:r>
      <w:r>
        <w:t xml:space="preserve"> og tillige </w:t>
      </w:r>
      <w:r w:rsidR="001F7443">
        <w:t xml:space="preserve">typisk </w:t>
      </w:r>
      <w:r>
        <w:t xml:space="preserve">har </w:t>
      </w:r>
      <w:r w:rsidR="001F7443">
        <w:t xml:space="preserve">meget </w:t>
      </w:r>
      <w:r>
        <w:t>betydelige bioakkumulerende egenskaber.</w:t>
      </w:r>
    </w:p>
    <w:p w14:paraId="13273E4B" w14:textId="09AD07FD" w:rsidR="001F7443" w:rsidRDefault="001F7443" w:rsidP="001F7443">
      <w:pPr>
        <w:pStyle w:val="Brdtekst"/>
      </w:pPr>
      <w:r>
        <w:t xml:space="preserve">De fleste af de POP-stoffer, der har været forbudte i den vestlige verden gennem mange år, f.eks. pesticiderne DDT, </w:t>
      </w:r>
      <w:proofErr w:type="spellStart"/>
      <w:r w:rsidR="004D407A">
        <w:t>aldrin</w:t>
      </w:r>
      <w:proofErr w:type="spellEnd"/>
      <w:r w:rsidR="004D407A">
        <w:t xml:space="preserve"> og andre </w:t>
      </w:r>
      <w:r>
        <w:t>"</w:t>
      </w:r>
      <w:proofErr w:type="spellStart"/>
      <w:r>
        <w:t>driner</w:t>
      </w:r>
      <w:proofErr w:type="spellEnd"/>
      <w:r>
        <w:t xml:space="preserve">" og </w:t>
      </w:r>
      <w:proofErr w:type="spellStart"/>
      <w:r>
        <w:t>chlordan</w:t>
      </w:r>
      <w:proofErr w:type="spellEnd"/>
      <w:r>
        <w:t xml:space="preserve"> samt industrikemikaliet PCB, viser dog nu en aftagende nedadgående tendens i arktisk luft (AMAP, 2014</w:t>
      </w:r>
      <w:r w:rsidR="00441272">
        <w:t>; AMAP 2017</w:t>
      </w:r>
      <w:r>
        <w:t xml:space="preserve">). Dette fortolkes som, at koncentrationerne er ved at nærme sig en slags ligevægt domineret af andre miljømedier og af sekundære kilder snarere end af de oprindelige direkte kilder. Også </w:t>
      </w:r>
      <w:proofErr w:type="spellStart"/>
      <w:r w:rsidR="002C3FB6">
        <w:t>perfluorstoffet</w:t>
      </w:r>
      <w:proofErr w:type="spellEnd"/>
      <w:r w:rsidR="002C3FB6">
        <w:t xml:space="preserve"> PFOS</w:t>
      </w:r>
      <w:r>
        <w:t xml:space="preserve"> udviser nu nedadgående tendens i luft som følge af den omfattende frivillige udfasning af stoffet, der har fundet sted (AMAP, 2014).</w:t>
      </w:r>
    </w:p>
    <w:p w14:paraId="195BB4C7" w14:textId="20B3AD30" w:rsidR="00E55E75" w:rsidRDefault="00E55E75" w:rsidP="001F7443">
      <w:pPr>
        <w:pStyle w:val="Brdtekst"/>
      </w:pPr>
      <w:r>
        <w:t>I e</w:t>
      </w:r>
      <w:r w:rsidR="00B45DBD">
        <w:t>n</w:t>
      </w:r>
      <w:r>
        <w:t xml:space="preserve"> </w:t>
      </w:r>
      <w:r w:rsidR="00B45DBD">
        <w:t>sammenfat</w:t>
      </w:r>
      <w:r w:rsidR="001C7DE1">
        <w:t>tende artikel</w:t>
      </w:r>
      <w:r>
        <w:t xml:space="preserve"> af </w:t>
      </w:r>
      <w:proofErr w:type="spellStart"/>
      <w:r>
        <w:t>Rigét</w:t>
      </w:r>
      <w:proofErr w:type="spellEnd"/>
      <w:r>
        <w:t xml:space="preserve"> </w:t>
      </w:r>
      <w:r w:rsidR="00413477" w:rsidRPr="00507C0F">
        <w:t>m.fl.</w:t>
      </w:r>
      <w:r w:rsidRPr="00507C0F">
        <w:t xml:space="preserve"> </w:t>
      </w:r>
      <w:r>
        <w:t xml:space="preserve">(2015) diskuteres resultaterne af de seneste tyve års monitering af POP-stoffer i </w:t>
      </w:r>
      <w:proofErr w:type="spellStart"/>
      <w:r>
        <w:t>biota</w:t>
      </w:r>
      <w:proofErr w:type="spellEnd"/>
      <w:r>
        <w:t xml:space="preserve"> fra Grønland under AMAP-programmet. Den grønlandske del af programmet har dokumenteret nedadgående tendenser i koncentrationerne af de fleste gamle POP-stoffer i grønlandske dyr, fugle og fisk, men også, at en stofgruppe som PCB har ligget på et ret stabilt niveau gennem de seneste 10-15 år på trods af, at produktion af dette kemikalie blev udfaset for flere årtier siden.</w:t>
      </w:r>
    </w:p>
    <w:p w14:paraId="4B5B463E" w14:textId="228BF8A1" w:rsidR="00E55E75" w:rsidRDefault="00E55E75" w:rsidP="001F7443">
      <w:pPr>
        <w:pStyle w:val="Brdtekst"/>
      </w:pPr>
      <w:proofErr w:type="spellStart"/>
      <w:r>
        <w:t>Bo</w:t>
      </w:r>
      <w:r w:rsidR="00A966BC">
        <w:t>s</w:t>
      </w:r>
      <w:r>
        <w:t>si</w:t>
      </w:r>
      <w:proofErr w:type="spellEnd"/>
      <w:r>
        <w:t xml:space="preserve"> </w:t>
      </w:r>
      <w:r w:rsidR="00413477" w:rsidRPr="00507C0F">
        <w:t>m.fl.</w:t>
      </w:r>
      <w:r>
        <w:t xml:space="preserve"> (2015) har undersøgt en række </w:t>
      </w:r>
      <w:proofErr w:type="spellStart"/>
      <w:r>
        <w:t>perfluorforbindelser</w:t>
      </w:r>
      <w:proofErr w:type="spellEnd"/>
      <w:r>
        <w:t xml:space="preserve"> (PFC) i terrestriske miljøer i Grønland og på Færøerne. Indholdet af stofferne er undersøgt i leverprøver fra følgende arter: </w:t>
      </w:r>
      <w:r w:rsidR="009E4265">
        <w:t>Fjeldrype</w:t>
      </w:r>
      <w:r>
        <w:t>, rensdyr, moskusokse samt i fjeldørred fra indlandsvande. Der blev påvist indhold af stofferne i alle arter og i næsten alle prøver. Ud fra den relative sammensætning af stofferne konkluderes, at hovedårsagen til fundene er atmosfærisk langtransport fra andre dele af verden.</w:t>
      </w:r>
      <w:r w:rsidR="00A966BC">
        <w:t xml:space="preserve"> Denne konklusion </w:t>
      </w:r>
      <w:r w:rsidR="009E4265">
        <w:t xml:space="preserve">er i overensstemmelse med konklusionen </w:t>
      </w:r>
      <w:r w:rsidR="00A966BC">
        <w:t>i e</w:t>
      </w:r>
      <w:r w:rsidR="00B45DBD">
        <w:t>n sammenfat</w:t>
      </w:r>
      <w:r w:rsidR="001C7DE1">
        <w:t>tende rapport</w:t>
      </w:r>
      <w:r w:rsidR="00B45DBD">
        <w:t xml:space="preserve"> </w:t>
      </w:r>
      <w:r w:rsidR="00A966BC">
        <w:t xml:space="preserve">vedrørende nyere kemiske forureninger i Arktis udarbejdet af </w:t>
      </w:r>
      <w:proofErr w:type="spellStart"/>
      <w:r w:rsidR="00A966BC">
        <w:t>Vorkamp</w:t>
      </w:r>
      <w:proofErr w:type="spellEnd"/>
      <w:r w:rsidR="00A966BC">
        <w:t xml:space="preserve"> og </w:t>
      </w:r>
      <w:proofErr w:type="spellStart"/>
      <w:r w:rsidR="00A966BC">
        <w:t>Rigét</w:t>
      </w:r>
      <w:proofErr w:type="spellEnd"/>
      <w:r w:rsidR="00A966BC">
        <w:t xml:space="preserve"> (2014).</w:t>
      </w:r>
    </w:p>
    <w:p w14:paraId="51DF02F5" w14:textId="358D8C26" w:rsidR="007021E8" w:rsidRDefault="007021E8" w:rsidP="007021E8">
      <w:pPr>
        <w:pStyle w:val="Brdtekst"/>
      </w:pPr>
      <w:r>
        <w:t xml:space="preserve">Isbjørne og ringsæler fra Østgrønland </w:t>
      </w:r>
      <w:r w:rsidR="001F7443">
        <w:t>er</w:t>
      </w:r>
      <w:r>
        <w:t xml:space="preserve"> globalt set blandt de pattedyr, hvor man finder</w:t>
      </w:r>
      <w:r w:rsidR="00846C00">
        <w:t xml:space="preserve"> </w:t>
      </w:r>
      <w:r>
        <w:t xml:space="preserve">de højeste koncentrationer af </w:t>
      </w:r>
      <w:r w:rsidR="001032D7">
        <w:t>POP-stoffer</w:t>
      </w:r>
      <w:r>
        <w:t xml:space="preserve"> (Sonne </w:t>
      </w:r>
      <w:r w:rsidR="00413477" w:rsidRPr="00507C0F">
        <w:t>m.fl.</w:t>
      </w:r>
      <w:r w:rsidR="003523BE">
        <w:t>,</w:t>
      </w:r>
      <w:r>
        <w:t xml:space="preserve"> 2013). Da den lokale befolkning har et betydeligt indtag af fedtholdig kost fra disse dyr</w:t>
      </w:r>
      <w:r w:rsidR="001032D7">
        <w:t>,</w:t>
      </w:r>
      <w:r>
        <w:t xml:space="preserve"> er de også væsentligt </w:t>
      </w:r>
      <w:r w:rsidR="009E4265">
        <w:t xml:space="preserve">udsatte </w:t>
      </w:r>
      <w:r>
        <w:t>for disse stoffer og man har fundet, at de</w:t>
      </w:r>
      <w:r w:rsidR="001032D7">
        <w:t>t</w:t>
      </w:r>
      <w:r>
        <w:t xml:space="preserve"> tolerable daglige indtag (TDI) af PCB og pesticidet </w:t>
      </w:r>
      <w:proofErr w:type="spellStart"/>
      <w:r>
        <w:t>chlordan</w:t>
      </w:r>
      <w:proofErr w:type="spellEnd"/>
      <w:r>
        <w:t xml:space="preserve"> er overskredet med en faktor 5, mens indtaget af dioxiner hos østgrønlandske jægere ligger 3-10 gange højere end den grænse, der er anbefalet af WHO.</w:t>
      </w:r>
    </w:p>
    <w:p w14:paraId="156DA106" w14:textId="338906C9" w:rsidR="002C3FB6" w:rsidRDefault="00E55E75" w:rsidP="002C3FB6">
      <w:pPr>
        <w:pStyle w:val="Brdtekst"/>
      </w:pPr>
      <w:r>
        <w:lastRenderedPageBreak/>
        <w:t>E</w:t>
      </w:r>
      <w:r w:rsidR="007021E8" w:rsidRPr="007021E8">
        <w:t xml:space="preserve">t </w:t>
      </w:r>
      <w:r w:rsidR="007021E8">
        <w:t xml:space="preserve">dansk </w:t>
      </w:r>
      <w:r w:rsidR="007021E8" w:rsidRPr="007021E8">
        <w:t xml:space="preserve">forskningsprojekt om </w:t>
      </w:r>
      <w:proofErr w:type="spellStart"/>
      <w:r w:rsidR="007021E8" w:rsidRPr="007021E8">
        <w:t>perfluorforbindelser</w:t>
      </w:r>
      <w:proofErr w:type="spellEnd"/>
      <w:r w:rsidR="007021E8">
        <w:t xml:space="preserve"> (PFC) i det grønlandske miljø </w:t>
      </w:r>
      <w:r w:rsidR="009E4265">
        <w:t xml:space="preserve">har </w:t>
      </w:r>
      <w:r w:rsidR="007021E8">
        <w:t xml:space="preserve">vist, at mængden af enzymer og signalstoffer i hjernen på isbjørne varierer i forhold til PFC-koncentrationen. Det vides dog endnu ikke om ændringen er stor </w:t>
      </w:r>
      <w:r w:rsidR="007021E8" w:rsidRPr="007021E8">
        <w:t>nok til at have en reel effekt på isbjørnenes sanser og adfærd (</w:t>
      </w:r>
      <w:r w:rsidR="007021E8">
        <w:t xml:space="preserve">Videnskab.dk, </w:t>
      </w:r>
      <w:r w:rsidR="007021E8" w:rsidRPr="007021E8">
        <w:t>2015).</w:t>
      </w:r>
      <w:r w:rsidR="002C3FB6">
        <w:t xml:space="preserve"> Konsekvenserne af PCB for østgrønlandske isbjørne er undersøgt af en international forskergruppe (</w:t>
      </w:r>
      <w:proofErr w:type="spellStart"/>
      <w:r w:rsidR="002C3FB6">
        <w:t>Pavlova</w:t>
      </w:r>
      <w:proofErr w:type="spellEnd"/>
      <w:r w:rsidR="002C3FB6">
        <w:t xml:space="preserve"> </w:t>
      </w:r>
      <w:r w:rsidR="00413477" w:rsidRPr="00507C0F">
        <w:t>m.fl.</w:t>
      </w:r>
      <w:r w:rsidR="002C3FB6">
        <w:t>, 2016)</w:t>
      </w:r>
      <w:r>
        <w:t>, som</w:t>
      </w:r>
      <w:r w:rsidR="002C3FB6">
        <w:t xml:space="preserve"> ud fra modelstudier sammenholdt med feltmålinger</w:t>
      </w:r>
      <w:r>
        <w:t xml:space="preserve"> konkluderer</w:t>
      </w:r>
      <w:r w:rsidR="002C3FB6">
        <w:t xml:space="preserve">, at det er usandsynligt, at eksponering for PCB skulle have afstedkommet en forøget frekvens af aborter, </w:t>
      </w:r>
      <w:r>
        <w:t>men</w:t>
      </w:r>
      <w:r w:rsidR="002C3FB6">
        <w:t xml:space="preserve"> ikke afvise</w:t>
      </w:r>
      <w:r>
        <w:t>r</w:t>
      </w:r>
      <w:r w:rsidR="002C3FB6">
        <w:t xml:space="preserve">, at eksponeringen </w:t>
      </w:r>
      <w:r>
        <w:t>kan have bidraget til</w:t>
      </w:r>
      <w:r w:rsidR="002C3FB6">
        <w:t xml:space="preserve"> højere dødelighed blandt nyfødte isbjørne.</w:t>
      </w:r>
    </w:p>
    <w:p w14:paraId="4A88B100" w14:textId="5FFF1D41" w:rsidR="00E55E75" w:rsidRDefault="00A966BC" w:rsidP="002C3FB6">
      <w:pPr>
        <w:pStyle w:val="Brdtekst"/>
      </w:pPr>
      <w:r>
        <w:t xml:space="preserve">POP-stoffers påvirkning af skaltykkelsen på sydgrønlandske vandrefalkes æg (indsamlet mellem 1981 og 2003) er blevet undersøgt (Sørensen </w:t>
      </w:r>
      <w:r w:rsidR="00413477" w:rsidRPr="00507C0F">
        <w:t>m.fl.</w:t>
      </w:r>
      <w:r>
        <w:t>, 2004). Der blev påvist adskillige forskellige POP-stoffer i æggeskallerne, men der kunne ikke kunne udpeges noget enkelt stof</w:t>
      </w:r>
      <w:r w:rsidR="001C7DE1">
        <w:t>,</w:t>
      </w:r>
      <w:r>
        <w:t xml:space="preserve"> som hav</w:t>
      </w:r>
      <w:r w:rsidR="00B45DBD">
        <w:t>de</w:t>
      </w:r>
      <w:r>
        <w:t xml:space="preserve"> størst indflydelse på skaltykkelsen. Generelt blev tidligere påviste sammenhænge mellem eksponeringsniveau og æggeskalstykkelse (mindst ved højest eksponering) bekræftet ved undersøgelsen. Det var ikke muligt at se nogen tydelig forbedring i trykket på vandrefalken gennem perioden 1981-2003.</w:t>
      </w:r>
    </w:p>
    <w:p w14:paraId="6C48AD74" w14:textId="12466BC5" w:rsidR="002C3FB6" w:rsidRPr="002C3FB6" w:rsidRDefault="00A966BC" w:rsidP="002C3FB6">
      <w:pPr>
        <w:pStyle w:val="Brdtekst"/>
      </w:pPr>
      <w:r>
        <w:t>Samlet</w:t>
      </w:r>
      <w:r w:rsidR="002C3FB6">
        <w:t xml:space="preserve"> foreligger </w:t>
      </w:r>
      <w:r>
        <w:t xml:space="preserve">der </w:t>
      </w:r>
      <w:r w:rsidR="002C3FB6">
        <w:t xml:space="preserve">efterhånden et stort antal undersøgelser af POP-stoffer (f.eks. DDT, PCB, </w:t>
      </w:r>
      <w:proofErr w:type="spellStart"/>
      <w:r w:rsidR="002C3FB6">
        <w:t>chlorbenzener</w:t>
      </w:r>
      <w:proofErr w:type="spellEnd"/>
      <w:r w:rsidR="002C3FB6">
        <w:t>, PBDE etc.) i fugle, pattedyr og fisk i arktiske miljøer. Stofferne er påvist mange steder, inklusive Grønland, og i mange arter af både landlevende og marine organismer, ofte i koncentrationer over en generel bekymringsgrænse</w:t>
      </w:r>
      <w:r w:rsidR="009E4265">
        <w:t xml:space="preserve"> (Eng: ”</w:t>
      </w:r>
      <w:proofErr w:type="spellStart"/>
      <w:r w:rsidR="009E4265" w:rsidRPr="000050A7">
        <w:rPr>
          <w:i/>
        </w:rPr>
        <w:t>level</w:t>
      </w:r>
      <w:proofErr w:type="spellEnd"/>
      <w:r w:rsidR="009E4265" w:rsidRPr="000050A7">
        <w:rPr>
          <w:i/>
        </w:rPr>
        <w:t xml:space="preserve"> of </w:t>
      </w:r>
      <w:proofErr w:type="spellStart"/>
      <w:r w:rsidR="009E4265" w:rsidRPr="000050A7">
        <w:rPr>
          <w:i/>
        </w:rPr>
        <w:t>concern</w:t>
      </w:r>
      <w:proofErr w:type="spellEnd"/>
      <w:r w:rsidR="009E4265" w:rsidRPr="000050A7">
        <w:rPr>
          <w:i/>
        </w:rPr>
        <w:t>”</w:t>
      </w:r>
      <w:r w:rsidR="009E4265">
        <w:t>)</w:t>
      </w:r>
      <w:r w:rsidR="002C3FB6">
        <w:t xml:space="preserve"> i marine pattedyr på 1 mg/kg i vævsprøver. Da der imidlertid er mange andre variable end de pågældende stoffer, der indvirker på levevilkår og sundhedstilstand hos de undersøgte arter, er det dog vanskeligt entydigt at kunne </w:t>
      </w:r>
      <w:r>
        <w:t>relatere</w:t>
      </w:r>
      <w:r w:rsidR="002C3FB6">
        <w:t xml:space="preserve"> effekt</w:t>
      </w:r>
      <w:r>
        <w:t>er</w:t>
      </w:r>
      <w:r w:rsidR="002C3FB6">
        <w:t xml:space="preserve"> </w:t>
      </w:r>
      <w:r>
        <w:t>specifikt til</w:t>
      </w:r>
      <w:r w:rsidR="002C3FB6">
        <w:t xml:space="preserve"> </w:t>
      </w:r>
      <w:r w:rsidR="000F74B8">
        <w:t xml:space="preserve">POP-stoffer </w:t>
      </w:r>
      <w:r w:rsidR="002C3FB6">
        <w:t>(</w:t>
      </w:r>
      <w:proofErr w:type="spellStart"/>
      <w:r w:rsidR="002C3FB6">
        <w:t>Letcher</w:t>
      </w:r>
      <w:proofErr w:type="spellEnd"/>
      <w:r w:rsidR="002C3FB6">
        <w:t xml:space="preserve"> </w:t>
      </w:r>
      <w:r w:rsidR="00413477" w:rsidRPr="00507C0F">
        <w:t>m.fl.</w:t>
      </w:r>
      <w:r w:rsidR="002C3FB6">
        <w:t>, 2010).</w:t>
      </w:r>
    </w:p>
    <w:p w14:paraId="0643C352" w14:textId="32A10F80" w:rsidR="000C0489" w:rsidRDefault="008704EA" w:rsidP="00E55E75">
      <w:pPr>
        <w:pStyle w:val="Brdtekst"/>
      </w:pPr>
      <w:r>
        <w:t>F</w:t>
      </w:r>
      <w:r w:rsidRPr="008704EA">
        <w:t xml:space="preserve">orskerne undersøger jævnligt nye POP stoffer under AMAP programmet og nye stoffer udvælges til at indgå i AMAP </w:t>
      </w:r>
      <w:proofErr w:type="spellStart"/>
      <w:r w:rsidRPr="008704EA">
        <w:t>overvågningsprogammet</w:t>
      </w:r>
      <w:proofErr w:type="spellEnd"/>
      <w:r w:rsidRPr="008704EA">
        <w:t xml:space="preserve"> i samarbejde med Miljø- og Fødevareministeriet (MFVM).</w:t>
      </w:r>
      <w:r>
        <w:t xml:space="preserve"> </w:t>
      </w:r>
      <w:r w:rsidR="002C3FB6">
        <w:t>F</w:t>
      </w:r>
      <w:r w:rsidR="000C0489">
        <w:t xml:space="preserve">orskere fra DCE </w:t>
      </w:r>
      <w:r w:rsidR="002C3FB6">
        <w:t>i Danmark</w:t>
      </w:r>
      <w:r w:rsidR="007B6821">
        <w:t xml:space="preserve"> (tidl. Danmarks Miljøundersøgelser)</w:t>
      </w:r>
      <w:r w:rsidR="002C3FB6">
        <w:t xml:space="preserve"> har evalueret </w:t>
      </w:r>
      <w:r w:rsidR="000C0489">
        <w:t>en række "nye"</w:t>
      </w:r>
      <w:r w:rsidR="002C3FB6">
        <w:t>, potentielle POP-</w:t>
      </w:r>
      <w:r w:rsidR="000C0489">
        <w:t>sto</w:t>
      </w:r>
      <w:r w:rsidR="002C3FB6">
        <w:t>ffer med hensyn til deres</w:t>
      </w:r>
      <w:r w:rsidR="000C0489">
        <w:t xml:space="preserve"> relevans for Grønland og dermed om de bør indgå i </w:t>
      </w:r>
      <w:proofErr w:type="spellStart"/>
      <w:r w:rsidR="002C3FB6">
        <w:t>AMAPs</w:t>
      </w:r>
      <w:proofErr w:type="spellEnd"/>
      <w:r w:rsidR="002C3FB6">
        <w:t xml:space="preserve"> miljøovervågningsprogram fremover. Forfatterne konkluderer</w:t>
      </w:r>
      <w:r w:rsidR="000C0489">
        <w:t xml:space="preserve">, at 11 </w:t>
      </w:r>
      <w:r w:rsidR="002C3FB6">
        <w:t xml:space="preserve">af de nye </w:t>
      </w:r>
      <w:r w:rsidR="000C0489">
        <w:t xml:space="preserve">stoffer vil være særligt relevante i den henseende, nemlig en række </w:t>
      </w:r>
      <w:proofErr w:type="spellStart"/>
      <w:r w:rsidR="000C0489">
        <w:t>flammehæmmere</w:t>
      </w:r>
      <w:proofErr w:type="spellEnd"/>
      <w:r w:rsidR="000C0489">
        <w:t xml:space="preserve">, </w:t>
      </w:r>
      <w:r w:rsidR="002C3FB6">
        <w:t>nogle</w:t>
      </w:r>
      <w:r w:rsidR="000C0489">
        <w:t xml:space="preserve"> </w:t>
      </w:r>
      <w:proofErr w:type="spellStart"/>
      <w:r w:rsidR="00735527">
        <w:t>chlor</w:t>
      </w:r>
      <w:r w:rsidR="000C0489">
        <w:t>erede</w:t>
      </w:r>
      <w:proofErr w:type="spellEnd"/>
      <w:r w:rsidR="000C0489">
        <w:t xml:space="preserve"> pesticider, stofgruppen kortkædede </w:t>
      </w:r>
      <w:proofErr w:type="spellStart"/>
      <w:r w:rsidR="00735527">
        <w:t>chlo</w:t>
      </w:r>
      <w:r w:rsidR="000C0489">
        <w:t>r</w:t>
      </w:r>
      <w:r w:rsidR="000C0489" w:rsidRPr="002C3FB6">
        <w:t>paraffine</w:t>
      </w:r>
      <w:r w:rsidR="002C3FB6" w:rsidRPr="002C3FB6">
        <w:t>r</w:t>
      </w:r>
      <w:proofErr w:type="spellEnd"/>
      <w:r w:rsidR="002C3FB6" w:rsidRPr="002C3FB6">
        <w:t xml:space="preserve"> og to andre stoffer (</w:t>
      </w:r>
      <w:proofErr w:type="spellStart"/>
      <w:r w:rsidR="002C3FB6" w:rsidRPr="002C3FB6">
        <w:t>Vorkamp</w:t>
      </w:r>
      <w:proofErr w:type="spellEnd"/>
      <w:r w:rsidR="002C3FB6" w:rsidRPr="002C3FB6">
        <w:t xml:space="preserve"> og </w:t>
      </w:r>
      <w:proofErr w:type="spellStart"/>
      <w:r w:rsidR="002C3FB6" w:rsidRPr="002C3FB6">
        <w:t>Rigét</w:t>
      </w:r>
      <w:proofErr w:type="spellEnd"/>
      <w:r w:rsidR="002C3FB6" w:rsidRPr="002C3FB6">
        <w:t xml:space="preserve"> (2013)</w:t>
      </w:r>
      <w:r w:rsidR="002C3FB6">
        <w:t>.</w:t>
      </w:r>
      <w:r w:rsidRPr="008704EA">
        <w:t xml:space="preserve"> </w:t>
      </w:r>
    </w:p>
    <w:p w14:paraId="7D6CF70C" w14:textId="0EBA0FB6" w:rsidR="001C7DA0" w:rsidRDefault="001C7DA0" w:rsidP="001C7DA0">
      <w:pPr>
        <w:pStyle w:val="Overskrift1"/>
      </w:pPr>
      <w:bookmarkStart w:id="62" w:name="_Toc469053542"/>
      <w:bookmarkStart w:id="63" w:name="_Toc469057823"/>
      <w:bookmarkStart w:id="64" w:name="_Toc469304921"/>
      <w:bookmarkStart w:id="65" w:name="_Toc10205715"/>
      <w:r>
        <w:lastRenderedPageBreak/>
        <w:t xml:space="preserve">Konsekvenser for Grønland i relation til </w:t>
      </w:r>
      <w:r w:rsidR="007121D1">
        <w:t>de enkelte</w:t>
      </w:r>
      <w:r>
        <w:t xml:space="preserve"> </w:t>
      </w:r>
      <w:bookmarkEnd w:id="62"/>
      <w:bookmarkEnd w:id="63"/>
      <w:bookmarkEnd w:id="64"/>
      <w:r w:rsidR="006A7A29">
        <w:t>stoffer</w:t>
      </w:r>
      <w:bookmarkEnd w:id="65"/>
    </w:p>
    <w:p w14:paraId="7D6CF70D" w14:textId="6D7BAA86" w:rsidR="00222C65" w:rsidRDefault="007121D1" w:rsidP="00222C65">
      <w:pPr>
        <w:pStyle w:val="Brdtekst"/>
      </w:pPr>
      <w:r>
        <w:t>De vigtigste sto</w:t>
      </w:r>
      <w:r w:rsidR="006A7A29">
        <w:t>ffer</w:t>
      </w:r>
      <w:r>
        <w:t xml:space="preserve"> og problemstillinger i relation til Grønlands implementering af </w:t>
      </w:r>
      <w:r w:rsidR="00020F71">
        <w:t>Stockholmkonventionen</w:t>
      </w:r>
      <w:r>
        <w:t xml:space="preserve"> vurderes at være: </w:t>
      </w:r>
    </w:p>
    <w:p w14:paraId="7D6CF70E" w14:textId="341731A2" w:rsidR="00222C65" w:rsidRDefault="00222C65" w:rsidP="00222C65">
      <w:pPr>
        <w:pStyle w:val="Opstilling-punkttegn"/>
      </w:pPr>
      <w:r>
        <w:t>Dioxiner/furaner</w:t>
      </w:r>
      <w:r w:rsidR="007121D1">
        <w:t xml:space="preserve"> og andre utilsigtet dannede POP-stoffer</w:t>
      </w:r>
      <w:r>
        <w:t xml:space="preserve">: Forbrænding </w:t>
      </w:r>
      <w:r w:rsidR="00B15513">
        <w:t xml:space="preserve">og åben afbrænding </w:t>
      </w:r>
      <w:r>
        <w:t>af affald</w:t>
      </w:r>
      <w:r w:rsidR="00EA5D90">
        <w:t>.</w:t>
      </w:r>
    </w:p>
    <w:p w14:paraId="7D6CF70F" w14:textId="67F5F370" w:rsidR="00222C65" w:rsidRDefault="00222C65" w:rsidP="00222C65">
      <w:pPr>
        <w:pStyle w:val="Opstilling-punkttegn"/>
      </w:pPr>
      <w:r>
        <w:t>PCB: Byggematerialer og elektriske installationer</w:t>
      </w:r>
      <w:r w:rsidR="00EA5D90">
        <w:t>.</w:t>
      </w:r>
    </w:p>
    <w:p w14:paraId="2B76CF71" w14:textId="07E8BDD0" w:rsidR="009422A4" w:rsidRDefault="009422A4" w:rsidP="009422A4">
      <w:pPr>
        <w:pStyle w:val="Opstilling-punkttegn"/>
      </w:pPr>
      <w:r>
        <w:t xml:space="preserve">Kortkædede </w:t>
      </w:r>
      <w:proofErr w:type="spellStart"/>
      <w:r>
        <w:t>chlorparaffiner</w:t>
      </w:r>
      <w:proofErr w:type="spellEnd"/>
      <w:r>
        <w:t>: Byggematerialer</w:t>
      </w:r>
      <w:r w:rsidR="00EA5D90">
        <w:t>.</w:t>
      </w:r>
    </w:p>
    <w:p w14:paraId="64F90634" w14:textId="47E9584B" w:rsidR="009422A4" w:rsidRDefault="00222C65" w:rsidP="0097584A">
      <w:pPr>
        <w:pStyle w:val="Opstilling-punkttegn"/>
      </w:pPr>
      <w:r>
        <w:t xml:space="preserve">PFOS: </w:t>
      </w:r>
      <w:r w:rsidR="007121D1">
        <w:t>Lokale forureninger fra tidligere anvendelse af b</w:t>
      </w:r>
      <w:r>
        <w:t>randslukningsskum</w:t>
      </w:r>
      <w:r w:rsidR="00EA5D90">
        <w:t>.</w:t>
      </w:r>
    </w:p>
    <w:p w14:paraId="55952599" w14:textId="77777777" w:rsidR="00E552B6" w:rsidRDefault="007121D1" w:rsidP="003E4C8E">
      <w:pPr>
        <w:pStyle w:val="Brdtekst"/>
      </w:pPr>
      <w:r>
        <w:t>For hver af d</w:t>
      </w:r>
      <w:r w:rsidR="00A35D58">
        <w:t xml:space="preserve">isse </w:t>
      </w:r>
      <w:r w:rsidR="006A7A29">
        <w:t xml:space="preserve">stoffer </w:t>
      </w:r>
      <w:r w:rsidR="00A35D58">
        <w:t>gives der i det følgende en kort gennemgang af</w:t>
      </w:r>
      <w:r w:rsidR="00E552B6">
        <w:t>:</w:t>
      </w:r>
    </w:p>
    <w:p w14:paraId="5124DEE3" w14:textId="67DC7E69" w:rsidR="00E552B6" w:rsidRDefault="00A35D58" w:rsidP="00E552B6">
      <w:pPr>
        <w:pStyle w:val="Opstilling-punkttegn"/>
      </w:pPr>
      <w:r>
        <w:t xml:space="preserve">de vigtigste krav i konventionen, </w:t>
      </w:r>
    </w:p>
    <w:p w14:paraId="39C3ACEE" w14:textId="10EA64FA" w:rsidR="00E552B6" w:rsidRDefault="00A35D58" w:rsidP="00E552B6">
      <w:pPr>
        <w:pStyle w:val="Opstilling-punkttegn"/>
      </w:pPr>
      <w:r>
        <w:t xml:space="preserve">en status for </w:t>
      </w:r>
      <w:r w:rsidR="00DA47AD">
        <w:t xml:space="preserve">igangværende aktiviteter i </w:t>
      </w:r>
      <w:r>
        <w:t>Grønland</w:t>
      </w:r>
      <w:r w:rsidR="00E552B6">
        <w:t>,</w:t>
      </w:r>
      <w:r>
        <w:t xml:space="preserve"> </w:t>
      </w:r>
    </w:p>
    <w:p w14:paraId="49FF20C4" w14:textId="0B3094B4" w:rsidR="00E552B6" w:rsidRDefault="00A35D58" w:rsidP="00E552B6">
      <w:pPr>
        <w:pStyle w:val="Opstilling-punkttegn"/>
      </w:pPr>
      <w:r>
        <w:t>et økonomisk overslag over</w:t>
      </w:r>
      <w:r w:rsidR="00B45DBD">
        <w:t xml:space="preserve"> allerede</w:t>
      </w:r>
      <w:r>
        <w:t xml:space="preserve"> </w:t>
      </w:r>
      <w:r w:rsidR="00B15513">
        <w:t xml:space="preserve">igangværende eller </w:t>
      </w:r>
      <w:r>
        <w:t>planlagte aktiviteter</w:t>
      </w:r>
      <w:r w:rsidR="00E552B6">
        <w:t>, og</w:t>
      </w:r>
    </w:p>
    <w:p w14:paraId="5741B6B6" w14:textId="13178A27" w:rsidR="00E552B6" w:rsidRDefault="00E552B6" w:rsidP="00C64430">
      <w:pPr>
        <w:pStyle w:val="Opstilling-punkttegn"/>
      </w:pPr>
      <w:r>
        <w:t>m</w:t>
      </w:r>
      <w:r w:rsidR="00A35D58">
        <w:t>ulige konsekvens</w:t>
      </w:r>
      <w:r>
        <w:t>er</w:t>
      </w:r>
      <w:r w:rsidR="00A35D58">
        <w:t xml:space="preserve"> af at </w:t>
      </w:r>
      <w:r w:rsidR="004F2E6E">
        <w:t>tiltræde konventionen</w:t>
      </w:r>
      <w:r w:rsidR="00A35D58">
        <w:t xml:space="preserve">. </w:t>
      </w:r>
    </w:p>
    <w:p w14:paraId="7D6CF711" w14:textId="2AC5AFBE" w:rsidR="007121D1" w:rsidRDefault="00A35D58" w:rsidP="00C37679">
      <w:pPr>
        <w:pStyle w:val="Brdtekst"/>
      </w:pPr>
      <w:r>
        <w:t>Da de allerede planlagte aktiviteter</w:t>
      </w:r>
      <w:r w:rsidR="00DE31B9">
        <w:t xml:space="preserve">, hvis de gennemføres, stort set opfylder </w:t>
      </w:r>
      <w:r>
        <w:t>krav</w:t>
      </w:r>
      <w:r w:rsidR="00DE31B9">
        <w:t>ene</w:t>
      </w:r>
      <w:r>
        <w:t xml:space="preserve"> i konventionen, er det vurderet, at det vil være meget vanskelig</w:t>
      </w:r>
      <w:r w:rsidR="001C7DE1">
        <w:t>t</w:t>
      </w:r>
      <w:r>
        <w:t xml:space="preserve"> præcist at bestemme, hvilke omkostninger der </w:t>
      </w:r>
      <w:r w:rsidR="00506AFF">
        <w:t xml:space="preserve">vil være bestemt af </w:t>
      </w:r>
      <w:r>
        <w:t>en eventue</w:t>
      </w:r>
      <w:r w:rsidR="004F2E6E">
        <w:t>l tiltrædelse af konventionen</w:t>
      </w:r>
      <w:r>
        <w:t xml:space="preserve">. En </w:t>
      </w:r>
      <w:r w:rsidR="004F2E6E">
        <w:t>tiltrædelse af konventionen</w:t>
      </w:r>
      <w:r>
        <w:t xml:space="preserve"> vurderes at indebære</w:t>
      </w:r>
      <w:r w:rsidR="009422A4">
        <w:t>,</w:t>
      </w:r>
      <w:r>
        <w:t xml:space="preserve"> at en del af de planlagte aktiviteter faktisk gennemføres, men med de bløde formuleringer i konventionen ligger det ikke fast</w:t>
      </w:r>
      <w:r w:rsidR="00741621">
        <w:t>,</w:t>
      </w:r>
      <w:r>
        <w:t xml:space="preserve"> hvornår aktiviteterne skal være gennemført. </w:t>
      </w:r>
    </w:p>
    <w:p w14:paraId="7D6CF712" w14:textId="17FD4164" w:rsidR="003E4C8E" w:rsidRPr="00222C65" w:rsidRDefault="003E4C8E" w:rsidP="003E4C8E">
      <w:pPr>
        <w:pStyle w:val="Brdtekst"/>
      </w:pPr>
      <w:r>
        <w:t>Herudover vil det for de øvrige stoffer kort omtales, hvilke problemstillinger der vil kunne knytte sig til en implementering af Stockholmkonventionen i Grønland.</w:t>
      </w:r>
    </w:p>
    <w:p w14:paraId="1554F69E" w14:textId="785CC80E" w:rsidR="00CE3C75" w:rsidRDefault="001C7DA0" w:rsidP="008C4637">
      <w:pPr>
        <w:pStyle w:val="Overskrift2"/>
      </w:pPr>
      <w:bookmarkStart w:id="66" w:name="_Ref455645319"/>
      <w:bookmarkStart w:id="67" w:name="_Ref455645332"/>
      <w:bookmarkStart w:id="68" w:name="_Toc469053543"/>
      <w:bookmarkStart w:id="69" w:name="_Toc469057824"/>
      <w:bookmarkStart w:id="70" w:name="_Toc469304922"/>
      <w:bookmarkStart w:id="71" w:name="_Toc10205716"/>
      <w:r>
        <w:t>Dioxiner/furaner og andre utilsigtet dannede POP-stoffer</w:t>
      </w:r>
      <w:bookmarkEnd w:id="66"/>
      <w:bookmarkEnd w:id="67"/>
      <w:bookmarkEnd w:id="68"/>
      <w:bookmarkEnd w:id="69"/>
      <w:bookmarkEnd w:id="70"/>
      <w:bookmarkEnd w:id="71"/>
    </w:p>
    <w:p w14:paraId="62533B93" w14:textId="77777777" w:rsidR="00CE3C75" w:rsidRDefault="00CE3C75" w:rsidP="00CE3C75">
      <w:pPr>
        <w:pStyle w:val="Overskrift3"/>
      </w:pPr>
      <w:r w:rsidRPr="00A837AB">
        <w:t>Omfattede stoffer</w:t>
      </w:r>
    </w:p>
    <w:p w14:paraId="2E2159AF" w14:textId="061A9295" w:rsidR="00CE3C75" w:rsidRPr="00A837AB" w:rsidRDefault="00CE3C75" w:rsidP="00CE3C75">
      <w:pPr>
        <w:pStyle w:val="Brdtekst"/>
      </w:pPr>
      <w:r>
        <w:t xml:space="preserve">Bilag C </w:t>
      </w:r>
      <w:r w:rsidR="00D37BB0">
        <w:t>til konventionen omfatter</w:t>
      </w:r>
      <w:r>
        <w:t xml:space="preserve"> følgende stoffer:</w:t>
      </w:r>
    </w:p>
    <w:p w14:paraId="507A5BE6" w14:textId="325AAAF8" w:rsidR="00CE3C75" w:rsidRDefault="00CE3C75" w:rsidP="00CE3C75">
      <w:pPr>
        <w:pStyle w:val="Opstilling-punkttegn"/>
      </w:pPr>
      <w:proofErr w:type="spellStart"/>
      <w:r>
        <w:t>Polychlorerede</w:t>
      </w:r>
      <w:proofErr w:type="spellEnd"/>
      <w:r>
        <w:t xml:space="preserve"> </w:t>
      </w:r>
      <w:proofErr w:type="spellStart"/>
      <w:r>
        <w:t>dibenzo</w:t>
      </w:r>
      <w:proofErr w:type="spellEnd"/>
      <w:r>
        <w:t xml:space="preserve">-p-dioxiner (PCDD) og </w:t>
      </w:r>
      <w:proofErr w:type="spellStart"/>
      <w:r>
        <w:t>polychlorerede</w:t>
      </w:r>
      <w:proofErr w:type="spellEnd"/>
      <w:r>
        <w:t xml:space="preserve"> </w:t>
      </w:r>
      <w:proofErr w:type="spellStart"/>
      <w:r>
        <w:t>dibenzofuraner</w:t>
      </w:r>
      <w:proofErr w:type="spellEnd"/>
      <w:r>
        <w:t xml:space="preserve"> (PCDF). Det er almindeligt at bruge samlebetegnelserne ”dioxin” eller ”dioxiner” for de to stofgrupper, idet koncentrationerne af stofferne normalt angives samlet som en såkaldt dioxin toksicitets ækvivalent (TEQ)</w:t>
      </w:r>
      <w:r w:rsidR="009422A4">
        <w:t>.</w:t>
      </w:r>
    </w:p>
    <w:p w14:paraId="012471C8" w14:textId="2458C2F5" w:rsidR="00CE3C75" w:rsidRDefault="00CE3C75" w:rsidP="00CE3C75">
      <w:pPr>
        <w:pStyle w:val="Opstilling-punkttegn"/>
      </w:pPr>
      <w:proofErr w:type="spellStart"/>
      <w:r>
        <w:lastRenderedPageBreak/>
        <w:t>Polychlorerede</w:t>
      </w:r>
      <w:proofErr w:type="spellEnd"/>
      <w:r>
        <w:t xml:space="preserve"> </w:t>
      </w:r>
      <w:proofErr w:type="spellStart"/>
      <w:r>
        <w:t>biphenyler</w:t>
      </w:r>
      <w:proofErr w:type="spellEnd"/>
      <w:r>
        <w:t xml:space="preserve"> (PCB). Nogle af </w:t>
      </w:r>
      <w:proofErr w:type="spellStart"/>
      <w:r>
        <w:t>PCB'erne</w:t>
      </w:r>
      <w:proofErr w:type="spellEnd"/>
      <w:r>
        <w:t xml:space="preserve"> er dioxin-lignende og disse indgår ofte i den beregnede dioxin toksicitetsækvivalent ved angivelse af koncentrationer af stofferne i fødevarer. </w:t>
      </w:r>
      <w:proofErr w:type="spellStart"/>
      <w:r w:rsidR="009422A4">
        <w:t>PCB’erne</w:t>
      </w:r>
      <w:proofErr w:type="spellEnd"/>
      <w:r w:rsidR="009422A4">
        <w:t xml:space="preserve"> indgår ikke i dioxin toksicitetsækvivalenten anvendt i relation til emissioner.</w:t>
      </w:r>
    </w:p>
    <w:p w14:paraId="6E2DB65B" w14:textId="434436DA" w:rsidR="00CE3C75" w:rsidRDefault="00CE3C75" w:rsidP="00CE3C75">
      <w:pPr>
        <w:pStyle w:val="Opstilling-punkttegn"/>
      </w:pPr>
      <w:proofErr w:type="spellStart"/>
      <w:r w:rsidRPr="00A837AB">
        <w:t>Hexachlorbenzen</w:t>
      </w:r>
      <w:proofErr w:type="spellEnd"/>
      <w:r w:rsidRPr="00A837AB">
        <w:t xml:space="preserve"> (HCB)</w:t>
      </w:r>
      <w:r w:rsidR="009422A4">
        <w:t>.</w:t>
      </w:r>
    </w:p>
    <w:p w14:paraId="3AFE8841" w14:textId="76D9B7AD" w:rsidR="00D37BB0" w:rsidRDefault="00CE3C75" w:rsidP="00CE3C75">
      <w:pPr>
        <w:pStyle w:val="Opstilling-punkttegn"/>
      </w:pPr>
      <w:proofErr w:type="spellStart"/>
      <w:r>
        <w:t>Pentachlorbenzen</w:t>
      </w:r>
      <w:proofErr w:type="spellEnd"/>
      <w:r>
        <w:t xml:space="preserve"> (</w:t>
      </w:r>
      <w:proofErr w:type="spellStart"/>
      <w:r>
        <w:t>PeCB</w:t>
      </w:r>
      <w:proofErr w:type="spellEnd"/>
      <w:r>
        <w:t>)</w:t>
      </w:r>
      <w:r w:rsidR="009422A4">
        <w:t>.</w:t>
      </w:r>
    </w:p>
    <w:p w14:paraId="6AB9C3CF" w14:textId="19686641" w:rsidR="00CE3C75" w:rsidRDefault="00D37BB0" w:rsidP="00D37BB0">
      <w:pPr>
        <w:pStyle w:val="Opstilling-punkttegn"/>
      </w:pPr>
      <w:proofErr w:type="spellStart"/>
      <w:r w:rsidRPr="00D37BB0">
        <w:t>Polychlorerede</w:t>
      </w:r>
      <w:proofErr w:type="spellEnd"/>
      <w:r w:rsidRPr="00D37BB0">
        <w:t xml:space="preserve"> </w:t>
      </w:r>
      <w:proofErr w:type="spellStart"/>
      <w:r w:rsidRPr="00D37BB0">
        <w:t>naphthalener</w:t>
      </w:r>
      <w:proofErr w:type="spellEnd"/>
      <w:r w:rsidRPr="00D37BB0">
        <w:t xml:space="preserve"> </w:t>
      </w:r>
      <w:r>
        <w:t>(PCN)</w:t>
      </w:r>
      <w:r w:rsidR="009422A4">
        <w:t>.</w:t>
      </w:r>
    </w:p>
    <w:p w14:paraId="098C436E" w14:textId="645750E0" w:rsidR="00B45DBD" w:rsidRDefault="00B45DBD" w:rsidP="0062571E">
      <w:pPr>
        <w:pStyle w:val="Opstilling-punkttegn"/>
      </w:pPr>
      <w:proofErr w:type="spellStart"/>
      <w:r>
        <w:t>Hexachlorbutadien</w:t>
      </w:r>
      <w:proofErr w:type="spellEnd"/>
      <w:r>
        <w:t xml:space="preserve"> (</w:t>
      </w:r>
      <w:r w:rsidRPr="00B45DBD">
        <w:t>HCBD</w:t>
      </w:r>
      <w:r>
        <w:t>)</w:t>
      </w:r>
      <w:r w:rsidR="009422A4">
        <w:t>.</w:t>
      </w:r>
    </w:p>
    <w:p w14:paraId="7399C03A" w14:textId="36F1956A" w:rsidR="00CE3C75" w:rsidRDefault="00CE3C75">
      <w:pPr>
        <w:pStyle w:val="Brdtekst"/>
      </w:pPr>
      <w:r>
        <w:t>Stofferne dannes med nogenlunde samme dannelsesmekanisme ved forbrændingsprocesser, og tiltag</w:t>
      </w:r>
      <w:r w:rsidR="009422A4">
        <w:t>,</w:t>
      </w:r>
      <w:r>
        <w:t xml:space="preserve"> der begrænser dannelse og udledninger af dioxiner</w:t>
      </w:r>
      <w:r w:rsidR="009422A4">
        <w:t>,</w:t>
      </w:r>
      <w:r>
        <w:t xml:space="preserve"> vil derfor også begrænse dannelse og udledning af de andre stoffer. Der vil derfor i det følgende alene omtales tiltag til begrænsning af dannelse o</w:t>
      </w:r>
      <w:r w:rsidR="00CE2C44">
        <w:t>g</w:t>
      </w:r>
      <w:r>
        <w:t xml:space="preserve"> udledninger af dioxiner, som betragtes som de</w:t>
      </w:r>
      <w:r w:rsidR="00CE2C44">
        <w:t>n</w:t>
      </w:r>
      <w:r>
        <w:t xml:space="preserve"> mest problematiske stofgruppe. </w:t>
      </w:r>
    </w:p>
    <w:p w14:paraId="6C705DB7" w14:textId="764A92CD" w:rsidR="00CE3C75" w:rsidRPr="00A837AB" w:rsidRDefault="00CE3C75" w:rsidP="00CE3C75">
      <w:pPr>
        <w:pStyle w:val="Brdtekst"/>
      </w:pPr>
      <w:r>
        <w:t xml:space="preserve">Stofferne kan også dannes ved visse kemiske processer, og her kan der være forskel mellem stofferne, men disse processer vurderes ikke at finde sted i Grønland. </w:t>
      </w:r>
    </w:p>
    <w:p w14:paraId="7D6CF714" w14:textId="77777777" w:rsidR="007121D1" w:rsidRDefault="007121D1" w:rsidP="007121D1">
      <w:pPr>
        <w:pStyle w:val="Overskrift3"/>
      </w:pPr>
      <w:r>
        <w:t xml:space="preserve">Konventionens krav </w:t>
      </w:r>
    </w:p>
    <w:p w14:paraId="7D6CF715" w14:textId="0D20C82D" w:rsidR="00A35D58" w:rsidRPr="00A35D58" w:rsidRDefault="00D26FA1" w:rsidP="00A35D58">
      <w:pPr>
        <w:pStyle w:val="Brdtekst"/>
      </w:pPr>
      <w:r>
        <w:t>Konventionen indeholder en række krav til parterne om at etablere foranstaltninger</w:t>
      </w:r>
      <w:r w:rsidR="001C7DE1">
        <w:t>,</w:t>
      </w:r>
      <w:r>
        <w:t xml:space="preserve"> som </w:t>
      </w:r>
      <w:r w:rsidR="00CE2C44">
        <w:t xml:space="preserve">kan </w:t>
      </w:r>
      <w:r>
        <w:t>forhindre udslip</w:t>
      </w:r>
      <w:r w:rsidR="002522F4">
        <w:rPr>
          <w:rStyle w:val="Fodnotehenvisning"/>
        </w:rPr>
        <w:footnoteReference w:id="14"/>
      </w:r>
      <w:r>
        <w:t xml:space="preserve"> </w:t>
      </w:r>
      <w:r w:rsidR="00CE2C44">
        <w:t xml:space="preserve">ved </w:t>
      </w:r>
      <w:r>
        <w:t xml:space="preserve">utilsigtet fremstilling af POP-stoffer. Utilsigtet fremstilling kan ske ved visse forbrændingsprocesser og kemiske processer. </w:t>
      </w:r>
    </w:p>
    <w:p w14:paraId="7D6CF716" w14:textId="3518A28D" w:rsidR="00AC366A" w:rsidRPr="00AC366A" w:rsidRDefault="00D26FA1" w:rsidP="00AC366A">
      <w:pPr>
        <w:pStyle w:val="Brdtekst"/>
      </w:pPr>
      <w:r w:rsidRPr="00D26FA1">
        <w:t xml:space="preserve">Hver part </w:t>
      </w:r>
      <w:r>
        <w:t>skal træffe</w:t>
      </w:r>
      <w:r w:rsidRPr="00D26FA1">
        <w:t xml:space="preserve"> mindst følgende foranstaltninger for at reducere de samlede udslip med henblik på fortsat minimering og, hvor det er muligt, endelig eliminering</w:t>
      </w:r>
      <w:r>
        <w:t xml:space="preserve"> </w:t>
      </w:r>
      <w:r w:rsidR="002522F4">
        <w:t xml:space="preserve">af udslippene </w:t>
      </w:r>
      <w:r>
        <w:t>(forkortet til de dele</w:t>
      </w:r>
      <w:r w:rsidR="00CE2C44">
        <w:t>,</w:t>
      </w:r>
      <w:r>
        <w:t xml:space="preserve"> der er relevante for Grønland)</w:t>
      </w:r>
      <w:r w:rsidRPr="00D26FA1">
        <w:t xml:space="preserve">: </w:t>
      </w:r>
    </w:p>
    <w:p w14:paraId="7D6CF717" w14:textId="77777777" w:rsidR="00AC366A" w:rsidRDefault="00D26FA1" w:rsidP="005875B8">
      <w:pPr>
        <w:pStyle w:val="Opstilling-punkttegn"/>
      </w:pPr>
      <w:r>
        <w:t>Udarbejde</w:t>
      </w:r>
      <w:r w:rsidR="00AC366A">
        <w:t xml:space="preserve"> en handlingsplan indeholdende:</w:t>
      </w:r>
    </w:p>
    <w:p w14:paraId="7D6CF718" w14:textId="73257D4A" w:rsidR="00AC366A" w:rsidRDefault="00AC366A" w:rsidP="005875B8">
      <w:pPr>
        <w:pStyle w:val="Opstilling-punkttegn2"/>
      </w:pPr>
      <w:r>
        <w:t>opgørelser af nu</w:t>
      </w:r>
      <w:r w:rsidR="005875B8">
        <w:t>værende og kommende udledninger</w:t>
      </w:r>
    </w:p>
    <w:p w14:paraId="7D6CF719" w14:textId="00447826" w:rsidR="00AC366A" w:rsidRDefault="00AC366A" w:rsidP="005875B8">
      <w:pPr>
        <w:pStyle w:val="Opstilling-punkttegn2"/>
      </w:pPr>
      <w:r>
        <w:t xml:space="preserve">en evaluering af effektiviteten af lovgivning og politikker </w:t>
      </w:r>
      <w:r w:rsidR="00D26FA1">
        <w:t xml:space="preserve">vedrørende </w:t>
      </w:r>
      <w:r w:rsidR="005875B8">
        <w:t>håndtering af disse udledninger</w:t>
      </w:r>
    </w:p>
    <w:p w14:paraId="7D6CF71A" w14:textId="5DC1EB72" w:rsidR="00AC366A" w:rsidRDefault="00AC366A" w:rsidP="005875B8">
      <w:pPr>
        <w:pStyle w:val="Opstilling-punkttegn2"/>
      </w:pPr>
      <w:r>
        <w:t xml:space="preserve">strategier </w:t>
      </w:r>
      <w:r w:rsidR="00D26FA1">
        <w:t>for opfyldelse</w:t>
      </w:r>
      <w:r>
        <w:t xml:space="preserve"> </w:t>
      </w:r>
      <w:r w:rsidR="00D26FA1">
        <w:t>af</w:t>
      </w:r>
      <w:r>
        <w:t xml:space="preserve"> konventionens forpligtelser</w:t>
      </w:r>
    </w:p>
    <w:p w14:paraId="7D6CF71B" w14:textId="7372639B" w:rsidR="00AC366A" w:rsidRDefault="00AC366A" w:rsidP="005875B8">
      <w:pPr>
        <w:pStyle w:val="Opstilling-punkttegn2"/>
      </w:pPr>
      <w:r>
        <w:t xml:space="preserve">en tidsplan for gennemførelsen af handlingsplanen </w:t>
      </w:r>
    </w:p>
    <w:p w14:paraId="7D6CF71C" w14:textId="77777777" w:rsidR="00D26FA1" w:rsidRDefault="00D26FA1" w:rsidP="00D26FA1">
      <w:pPr>
        <w:pStyle w:val="Opstilling-punkttegn2"/>
      </w:pPr>
      <w:r w:rsidRPr="00D26FA1">
        <w:lastRenderedPageBreak/>
        <w:t xml:space="preserve">foranstaltninger til at fremme oplysning om disse strategier og til fremme af undervisning og uddannelse på området </w:t>
      </w:r>
    </w:p>
    <w:p w14:paraId="7D6CF71D" w14:textId="77777777" w:rsidR="00D26FA1" w:rsidRDefault="00D26FA1" w:rsidP="00D26FA1">
      <w:pPr>
        <w:pStyle w:val="Opstilling-punkttegn2"/>
      </w:pPr>
      <w:r w:rsidRPr="00D26FA1">
        <w:t xml:space="preserve">en revision af </w:t>
      </w:r>
      <w:r>
        <w:t>disse strategier hvert femte år.</w:t>
      </w:r>
    </w:p>
    <w:p w14:paraId="7D6CF71E" w14:textId="77777777" w:rsidR="00AC366A" w:rsidRDefault="00AC366A" w:rsidP="000050A7">
      <w:pPr>
        <w:pStyle w:val="Opstilling-punkttegn"/>
        <w:keepNext/>
      </w:pPr>
      <w:r>
        <w:t>F</w:t>
      </w:r>
      <w:r w:rsidR="00D26FA1">
        <w:t>remme</w:t>
      </w:r>
      <w:r>
        <w:t>:</w:t>
      </w:r>
    </w:p>
    <w:p w14:paraId="7D6CF71F" w14:textId="77777777" w:rsidR="00AC366A" w:rsidRDefault="00D26FA1" w:rsidP="005875B8">
      <w:pPr>
        <w:pStyle w:val="Opstilling-punkttegn2"/>
      </w:pPr>
      <w:r>
        <w:t>brugen</w:t>
      </w:r>
      <w:r w:rsidR="00AC366A">
        <w:t xml:space="preserve"> af tilgængelige og praktisk mulige foranstaltninger, der hurtigt kan opnå en realistisk og signifikant reduktion af uds</w:t>
      </w:r>
      <w:r w:rsidR="005875B8">
        <w:t>lip eller eliminering af kilder, og</w:t>
      </w:r>
    </w:p>
    <w:p w14:paraId="7D6CF720" w14:textId="12FEE512" w:rsidR="00D26FA1" w:rsidRDefault="00D26FA1" w:rsidP="005875B8">
      <w:pPr>
        <w:pStyle w:val="Opstilling-punkttegn2"/>
      </w:pPr>
      <w:r w:rsidRPr="00D8487A">
        <w:t>udviklingen af og, hvor det skønnes relevant, foreskrive anvendelse af alternative eller modificerede materialer, produkter og metoder, der kan forhindre dannelse og udslip</w:t>
      </w:r>
    </w:p>
    <w:p w14:paraId="7D6CF721" w14:textId="500A9F63" w:rsidR="007121D1" w:rsidRDefault="00AC366A" w:rsidP="00BB20CF">
      <w:pPr>
        <w:pStyle w:val="Opstilling-punkttegn2"/>
      </w:pPr>
      <w:r>
        <w:t xml:space="preserve">brugen af bedste tilgængelige teknik (BAT) og bedste miljømæssige praksis (BEP) for eksisterende anlæg i </w:t>
      </w:r>
      <w:proofErr w:type="spellStart"/>
      <w:r>
        <w:t>Annex</w:t>
      </w:r>
      <w:proofErr w:type="spellEnd"/>
      <w:r>
        <w:t xml:space="preserve"> C (II) [herunder forbrændingsanlæg] og</w:t>
      </w:r>
      <w:r w:rsidR="00BB20CF">
        <w:t xml:space="preserve"> </w:t>
      </w:r>
      <w:r w:rsidR="00BB20CF" w:rsidRPr="00BB20CF">
        <w:t>forbedringer af affaldshåndtering med sigte på, at åben og anden ukontrolleret afbrænding af affald ophør</w:t>
      </w:r>
      <w:r w:rsidR="00BB20CF">
        <w:t>er</w:t>
      </w:r>
      <w:r w:rsidR="005875B8">
        <w:t>.</w:t>
      </w:r>
    </w:p>
    <w:p w14:paraId="7D6CF722" w14:textId="4C64C4FE" w:rsidR="00D26FA1" w:rsidRDefault="00D26FA1" w:rsidP="00D26FA1">
      <w:pPr>
        <w:pStyle w:val="Brdtekst"/>
      </w:pPr>
      <w:r>
        <w:t xml:space="preserve">Konventionen indeholder en kort beskrivelse af </w:t>
      </w:r>
      <w:r w:rsidR="0096043F">
        <w:t>BAT og BEP, og der er desuden udarbejdet e</w:t>
      </w:r>
      <w:r w:rsidR="00F96CA2">
        <w:t>n</w:t>
      </w:r>
      <w:r w:rsidR="0096043F">
        <w:t xml:space="preserve"> vejledning</w:t>
      </w:r>
      <w:r w:rsidR="00F96CA2">
        <w:t>,</w:t>
      </w:r>
      <w:r w:rsidR="0096043F">
        <w:t xml:space="preserve"> der i detaljer beskriver, hvad der kan betragtes som BAT og BEP (UNEP, 2008). I relation til forbrændingsanlæg og afbrænding af affald er der ikke krav</w:t>
      </w:r>
      <w:r w:rsidR="008D7F37">
        <w:t>,</w:t>
      </w:r>
      <w:r w:rsidR="0096043F">
        <w:t xml:space="preserve"> som vil gå ud over</w:t>
      </w:r>
      <w:r w:rsidR="008D7F37">
        <w:t>,</w:t>
      </w:r>
      <w:r w:rsidR="0096043F">
        <w:t xml:space="preserve"> hvad der er fastsat som BAT i EU. </w:t>
      </w:r>
      <w:r w:rsidR="008D7F37">
        <w:t>Opfyldelse af EU</w:t>
      </w:r>
      <w:r w:rsidR="00CE2C44">
        <w:t>-</w:t>
      </w:r>
      <w:r w:rsidR="008D7F37">
        <w:t xml:space="preserve">kravene vil derfor i fuldt omfang også opfylde kravene i Stockholmkonventionen. </w:t>
      </w:r>
    </w:p>
    <w:p w14:paraId="7D6CF723" w14:textId="3C8CB0A0" w:rsidR="008D7F37" w:rsidRDefault="008D7F37" w:rsidP="00D26FA1">
      <w:pPr>
        <w:pStyle w:val="Brdtekst"/>
      </w:pPr>
      <w:r>
        <w:t>Konventionen indeholder ikke konkrete angivelser af emissionsgrænseværdier</w:t>
      </w:r>
      <w:r w:rsidR="00524905">
        <w:t>,</w:t>
      </w:r>
      <w:r>
        <w:t xml:space="preserve"> og der er heller ingen angivelse af</w:t>
      </w:r>
      <w:r w:rsidR="00524905">
        <w:t>,</w:t>
      </w:r>
      <w:r>
        <w:t xml:space="preserve"> hvornår BAT og BEP skal være implementeret</w:t>
      </w:r>
      <w:r w:rsidR="00003CBA">
        <w:t xml:space="preserve"> på eksisterende anlæg</w:t>
      </w:r>
      <w:r>
        <w:t xml:space="preserve">. </w:t>
      </w:r>
      <w:r w:rsidR="00003CBA">
        <w:t xml:space="preserve">For nye forbrændingsanlæg er der dog krav om anvendelse af bedst tilgængelige teknik (BAT) </w:t>
      </w:r>
      <w:r w:rsidR="00003CBA" w:rsidRPr="00C368EB">
        <w:t xml:space="preserve">senest fire år efter konventionens ikrafttræden for den </w:t>
      </w:r>
      <w:r w:rsidR="00003CBA">
        <w:t>enkelte</w:t>
      </w:r>
      <w:r w:rsidR="00003CBA" w:rsidRPr="00C368EB">
        <w:t xml:space="preserve"> par</w:t>
      </w:r>
      <w:r w:rsidR="00003CBA">
        <w:t xml:space="preserve">t. </w:t>
      </w:r>
      <w:r>
        <w:t>Der er således lagt op til en proces, hvor der gradvist skal ske forbedringer, men det er op til den enkelte part at fastlægge, hvor hurtigt processen skal forløbe</w:t>
      </w:r>
      <w:r w:rsidR="00003CBA">
        <w:t xml:space="preserve"> i relation til eksisterende anlæg</w:t>
      </w:r>
      <w:r>
        <w:t xml:space="preserve">. </w:t>
      </w:r>
    </w:p>
    <w:p w14:paraId="2BA1BA59" w14:textId="7CF3DF57" w:rsidR="008075D2" w:rsidRPr="000050A7" w:rsidRDefault="008075D2" w:rsidP="00D26FA1">
      <w:pPr>
        <w:pStyle w:val="Brdtekst"/>
        <w:rPr>
          <w:color w:val="000000" w:themeColor="text1"/>
        </w:rPr>
      </w:pPr>
      <w:r w:rsidRPr="001F035D">
        <w:rPr>
          <w:b/>
        </w:rPr>
        <w:t>Krav i POP-Protokollen</w:t>
      </w:r>
      <w:r w:rsidR="00620D23">
        <w:t xml:space="preserve"> - </w:t>
      </w:r>
      <w:r>
        <w:t>POP-protokollen, som Grønland har</w:t>
      </w:r>
      <w:r w:rsidR="00853C12">
        <w:t xml:space="preserve"> tiltrådt</w:t>
      </w:r>
      <w:r>
        <w:t>, indeholder krav i relation til begrænsning af udslip af dioxiner</w:t>
      </w:r>
      <w:r w:rsidR="008878B1">
        <w:t>,</w:t>
      </w:r>
      <w:r>
        <w:t xml:space="preserve"> som på mange måder er identiske med </w:t>
      </w:r>
      <w:r w:rsidR="00E02CFC">
        <w:t xml:space="preserve">de tilsvarende </w:t>
      </w:r>
      <w:r>
        <w:t>krav under Stokholmkonventionen</w:t>
      </w:r>
      <w:r w:rsidR="00E02CFC">
        <w:t>. Protokollen</w:t>
      </w:r>
      <w:r>
        <w:t xml:space="preserve"> har desuden konkrete emissionsgrænseværdier for større kilder til dioxiner. </w:t>
      </w:r>
      <w:r w:rsidR="000F4EFD">
        <w:t xml:space="preserve">Forbrændingsanlæg i Grønland har en forbrændingskapacitet under </w:t>
      </w:r>
      <w:r w:rsidR="00F044A9">
        <w:t>3</w:t>
      </w:r>
      <w:r w:rsidR="000F4EFD">
        <w:t xml:space="preserve"> tons/time </w:t>
      </w:r>
      <w:r w:rsidR="000F4EFD" w:rsidRPr="000050A7">
        <w:rPr>
          <w:color w:val="000000" w:themeColor="text1"/>
        </w:rPr>
        <w:t xml:space="preserve">og er dermed ikke omfattet af </w:t>
      </w:r>
      <w:r w:rsidR="00F044A9" w:rsidRPr="000050A7">
        <w:rPr>
          <w:color w:val="000000" w:themeColor="text1"/>
        </w:rPr>
        <w:t xml:space="preserve">POP-protokollens </w:t>
      </w:r>
      <w:r w:rsidR="000F4EFD" w:rsidRPr="000050A7">
        <w:rPr>
          <w:color w:val="000000" w:themeColor="text1"/>
        </w:rPr>
        <w:t>emissionsgrænseværdier.</w:t>
      </w:r>
    </w:p>
    <w:p w14:paraId="7D6CF72C" w14:textId="77777777" w:rsidR="007121D1" w:rsidRPr="000050A7" w:rsidRDefault="007121D1" w:rsidP="007121D1">
      <w:pPr>
        <w:pStyle w:val="Overskrift3"/>
        <w:rPr>
          <w:color w:val="000000" w:themeColor="text1"/>
        </w:rPr>
      </w:pPr>
      <w:r w:rsidRPr="000050A7">
        <w:rPr>
          <w:color w:val="000000" w:themeColor="text1"/>
        </w:rPr>
        <w:t>Status for Grønland</w:t>
      </w:r>
    </w:p>
    <w:p w14:paraId="7DF52900" w14:textId="222EC38C" w:rsidR="000D3664" w:rsidRPr="001E5359" w:rsidRDefault="000D3664">
      <w:pPr>
        <w:pStyle w:val="Brdtekst"/>
      </w:pPr>
      <w:r w:rsidRPr="000050A7">
        <w:rPr>
          <w:color w:val="000000" w:themeColor="text1"/>
        </w:rPr>
        <w:t xml:space="preserve">Ifølge </w:t>
      </w:r>
      <w:proofErr w:type="spellStart"/>
      <w:r w:rsidRPr="000050A7">
        <w:rPr>
          <w:color w:val="000000" w:themeColor="text1"/>
        </w:rPr>
        <w:t>Inatsisartutlov</w:t>
      </w:r>
      <w:proofErr w:type="spellEnd"/>
      <w:r w:rsidRPr="000050A7">
        <w:rPr>
          <w:color w:val="000000" w:themeColor="text1"/>
        </w:rPr>
        <w:t xml:space="preserve"> nr. 9 af 22. november 2011 om beskyttelse af miljøet § 5 skal der lægges vægt på at anvende den bedste tilgængelige teknik (BAT), herunder mindre forurenende råvarer, processer og anlæg, og de bedst mulige forureningsbekæmpende foranstaltninger. Ved denne vurdering skal der lægges </w:t>
      </w:r>
      <w:r w:rsidRPr="000050A7">
        <w:rPr>
          <w:color w:val="000000" w:themeColor="text1"/>
        </w:rPr>
        <w:lastRenderedPageBreak/>
        <w:t xml:space="preserve">særlig vægt på en forebyggende indsats gennem anvendelse af renere teknologi. </w:t>
      </w:r>
      <w:r w:rsidR="008233F5" w:rsidRPr="000050A7">
        <w:rPr>
          <w:color w:val="000000" w:themeColor="text1"/>
        </w:rPr>
        <w:t xml:space="preserve">Hensigten om </w:t>
      </w:r>
      <w:r w:rsidR="008233F5" w:rsidRPr="001E5359">
        <w:t>at anvende BAT i relation til affaldsforbrænding er helt i tråd med kravene under Stockholmkonventionen, og vil på sigt indløse de fleste af konventionens krav i relation til udslip af dioxiner.</w:t>
      </w:r>
      <w:r w:rsidR="009E5ECE">
        <w:t xml:space="preserve"> </w:t>
      </w:r>
    </w:p>
    <w:p w14:paraId="7D6CF72D" w14:textId="524379FD" w:rsidR="00AC366A" w:rsidRPr="000050A7" w:rsidRDefault="008D7F37" w:rsidP="00AC366A">
      <w:pPr>
        <w:pStyle w:val="Brdtekst"/>
        <w:rPr>
          <w:color w:val="000000" w:themeColor="text1"/>
        </w:rPr>
      </w:pPr>
      <w:r w:rsidRPr="000050A7">
        <w:rPr>
          <w:color w:val="000000" w:themeColor="text1"/>
        </w:rPr>
        <w:t>De</w:t>
      </w:r>
      <w:r w:rsidR="000D3664" w:rsidRPr="000050A7">
        <w:rPr>
          <w:color w:val="000000" w:themeColor="text1"/>
        </w:rPr>
        <w:t>r</w:t>
      </w:r>
      <w:r w:rsidRPr="000050A7">
        <w:rPr>
          <w:color w:val="000000" w:themeColor="text1"/>
        </w:rPr>
        <w:t xml:space="preserve"> er i relation til Grønland </w:t>
      </w:r>
      <w:r w:rsidR="00B15513" w:rsidRPr="000050A7">
        <w:rPr>
          <w:color w:val="000000" w:themeColor="text1"/>
        </w:rPr>
        <w:t xml:space="preserve">fire </w:t>
      </w:r>
      <w:r w:rsidR="00AC366A" w:rsidRPr="000050A7">
        <w:rPr>
          <w:color w:val="000000" w:themeColor="text1"/>
        </w:rPr>
        <w:t>hovedproblemstillinger:</w:t>
      </w:r>
    </w:p>
    <w:p w14:paraId="7D6CF72E" w14:textId="32CC0C36" w:rsidR="00AC366A" w:rsidRPr="000050A7" w:rsidRDefault="00AC366A" w:rsidP="00AC366A">
      <w:pPr>
        <w:pStyle w:val="Opstilling-punkttegn"/>
        <w:rPr>
          <w:color w:val="000000" w:themeColor="text1"/>
        </w:rPr>
      </w:pPr>
      <w:r w:rsidRPr="000050A7">
        <w:rPr>
          <w:color w:val="000000" w:themeColor="text1"/>
        </w:rPr>
        <w:t xml:space="preserve">Begrænsning af emissioner fra forbrændingsanlæg </w:t>
      </w:r>
    </w:p>
    <w:p w14:paraId="7D6CF72F" w14:textId="50E61F89" w:rsidR="00AC366A" w:rsidRPr="000050A7" w:rsidRDefault="00AC366A" w:rsidP="008D7F37">
      <w:pPr>
        <w:pStyle w:val="ListBulletNoSpace"/>
        <w:rPr>
          <w:color w:val="000000" w:themeColor="text1"/>
        </w:rPr>
      </w:pPr>
      <w:r w:rsidRPr="000050A7">
        <w:rPr>
          <w:color w:val="000000" w:themeColor="text1"/>
        </w:rPr>
        <w:t xml:space="preserve">Håndtering af affald i </w:t>
      </w:r>
      <w:r w:rsidR="000F7EE2" w:rsidRPr="000050A7">
        <w:rPr>
          <w:color w:val="000000" w:themeColor="text1"/>
        </w:rPr>
        <w:t xml:space="preserve">mellemstore og </w:t>
      </w:r>
      <w:r w:rsidRPr="000050A7">
        <w:rPr>
          <w:color w:val="000000" w:themeColor="text1"/>
        </w:rPr>
        <w:t xml:space="preserve">mindre byer </w:t>
      </w:r>
      <w:r w:rsidR="000F7EE2" w:rsidRPr="000050A7">
        <w:rPr>
          <w:color w:val="000000" w:themeColor="text1"/>
        </w:rPr>
        <w:t>samt</w:t>
      </w:r>
      <w:r w:rsidRPr="000050A7">
        <w:rPr>
          <w:color w:val="000000" w:themeColor="text1"/>
        </w:rPr>
        <w:t xml:space="preserve"> bygder</w:t>
      </w:r>
      <w:r w:rsidR="006208B5" w:rsidRPr="000050A7">
        <w:rPr>
          <w:color w:val="000000" w:themeColor="text1"/>
        </w:rPr>
        <w:t xml:space="preserve"> herunder</w:t>
      </w:r>
      <w:r w:rsidRPr="000050A7">
        <w:rPr>
          <w:color w:val="000000" w:themeColor="text1"/>
        </w:rPr>
        <w:t>:</w:t>
      </w:r>
    </w:p>
    <w:p w14:paraId="3A967A44" w14:textId="769A7690" w:rsidR="000F7EE2" w:rsidRPr="000050A7" w:rsidRDefault="000F7EE2" w:rsidP="00AC366A">
      <w:pPr>
        <w:pStyle w:val="ListBullet2NoSpace"/>
        <w:rPr>
          <w:color w:val="000000" w:themeColor="text1"/>
        </w:rPr>
      </w:pPr>
      <w:r w:rsidRPr="000050A7">
        <w:rPr>
          <w:color w:val="000000" w:themeColor="text1"/>
        </w:rPr>
        <w:t>forhindre åben afbrænding af affald på dumpe</w:t>
      </w:r>
    </w:p>
    <w:p w14:paraId="078AC740" w14:textId="32A4EBC9" w:rsidR="006208B5" w:rsidRPr="000050A7" w:rsidRDefault="006208B5" w:rsidP="00507C0F">
      <w:pPr>
        <w:pStyle w:val="ListBullet2NoSpace"/>
        <w:numPr>
          <w:ilvl w:val="0"/>
          <w:numId w:val="0"/>
        </w:numPr>
        <w:ind w:left="850"/>
        <w:rPr>
          <w:color w:val="000000" w:themeColor="text1"/>
        </w:rPr>
      </w:pPr>
    </w:p>
    <w:p w14:paraId="7D6CF732" w14:textId="7BF64AD1" w:rsidR="00A50454" w:rsidRPr="000050A7" w:rsidRDefault="00A50454" w:rsidP="00A50454">
      <w:pPr>
        <w:pStyle w:val="Opstilling-punkttegn"/>
        <w:rPr>
          <w:color w:val="000000" w:themeColor="text1"/>
        </w:rPr>
      </w:pPr>
      <w:r w:rsidRPr="000050A7">
        <w:rPr>
          <w:color w:val="000000" w:themeColor="text1"/>
        </w:rPr>
        <w:t xml:space="preserve">Håndtering af farligt affald så det undgås at der utilsigtet dannes dioxiner og andre POP-stoffer </w:t>
      </w:r>
      <w:r w:rsidR="00CE2C44" w:rsidRPr="000050A7">
        <w:rPr>
          <w:color w:val="000000" w:themeColor="text1"/>
        </w:rPr>
        <w:t xml:space="preserve">under </w:t>
      </w:r>
      <w:r w:rsidRPr="000050A7">
        <w:rPr>
          <w:color w:val="000000" w:themeColor="text1"/>
        </w:rPr>
        <w:t xml:space="preserve">affaldsbehandlingen (primært affald indeholdende PCB) </w:t>
      </w:r>
    </w:p>
    <w:p w14:paraId="2813949F" w14:textId="5EB4DCFE" w:rsidR="005A3E8D" w:rsidRPr="005A3E8D" w:rsidRDefault="00B15513" w:rsidP="005A3E8D">
      <w:pPr>
        <w:pStyle w:val="Opstilling-punkttegn"/>
        <w:rPr>
          <w:color w:val="000000" w:themeColor="text1"/>
        </w:rPr>
      </w:pPr>
      <w:r w:rsidRPr="000050A7">
        <w:rPr>
          <w:color w:val="000000" w:themeColor="text1"/>
        </w:rPr>
        <w:t>Håndhævelse af forbud mod åben afbrænding af affald</w:t>
      </w:r>
      <w:r w:rsidRPr="000050A7">
        <w:rPr>
          <w:color w:val="000000" w:themeColor="text1"/>
          <w:shd w:val="clear" w:color="auto" w:fill="FFFF00"/>
        </w:rPr>
        <w:t xml:space="preserve"> </w:t>
      </w:r>
    </w:p>
    <w:p w14:paraId="45FF9CFE" w14:textId="77777777" w:rsidR="005A3E8D" w:rsidRPr="000050A7" w:rsidRDefault="005A3E8D" w:rsidP="005A3E8D">
      <w:pPr>
        <w:pStyle w:val="Overskrift4"/>
        <w:rPr>
          <w:color w:val="FF0000"/>
        </w:rPr>
      </w:pPr>
      <w:r w:rsidRPr="000050A7">
        <w:rPr>
          <w:color w:val="000000" w:themeColor="text1"/>
        </w:rPr>
        <w:t>Emissioner af dioxiner fra kilder i Grønland</w:t>
      </w:r>
    </w:p>
    <w:p w14:paraId="7A3696DC" w14:textId="77777777" w:rsidR="005A3E8D" w:rsidRPr="001E5359" w:rsidRDefault="005A3E8D" w:rsidP="005A3E8D">
      <w:pPr>
        <w:pStyle w:val="Brdtekst"/>
      </w:pPr>
      <w:r w:rsidRPr="001E5359">
        <w:t xml:space="preserve">I 2001/2002 blev der foretaget en række emissionsmålinger både på bygdeforbrændingsanlæggene og på de større forbrændingsanlæg i byerne. Blandt bygdeforbrændingsanlæggene viste målinger dioxinudledninger svingende mellem 3,4 og 220 </w:t>
      </w:r>
      <w:proofErr w:type="spellStart"/>
      <w:r w:rsidRPr="001E5359">
        <w:t>ng</w:t>
      </w:r>
      <w:proofErr w:type="spellEnd"/>
      <w:r w:rsidRPr="001E5359">
        <w:t xml:space="preserve"> I-TEQ/normal m</w:t>
      </w:r>
      <w:r w:rsidRPr="001E5359">
        <w:rPr>
          <w:vertAlign w:val="superscript"/>
        </w:rPr>
        <w:t>3</w:t>
      </w:r>
      <w:r w:rsidRPr="001E5359">
        <w:t xml:space="preserve"> (Zielke m.fl., 2002). </w:t>
      </w:r>
      <w:r w:rsidRPr="000050A7">
        <w:rPr>
          <w:rStyle w:val="Fodnotehenvisning"/>
          <w:color w:val="FF0000"/>
        </w:rPr>
        <w:footnoteReference w:id="15"/>
      </w:r>
      <w:r w:rsidRPr="001E5359">
        <w:t xml:space="preserve"> Det vil sige, den mindste dioxinudledning var 34 gange så høj som EU’s grænseværdi på 0,1 </w:t>
      </w:r>
      <w:proofErr w:type="spellStart"/>
      <w:r w:rsidRPr="001E5359">
        <w:t>ng</w:t>
      </w:r>
      <w:proofErr w:type="spellEnd"/>
      <w:r w:rsidRPr="001E5359">
        <w:t xml:space="preserve"> I-TEQ/normal m</w:t>
      </w:r>
      <w:r w:rsidRPr="001E5359">
        <w:rPr>
          <w:vertAlign w:val="superscript"/>
        </w:rPr>
        <w:t>3</w:t>
      </w:r>
      <w:r w:rsidRPr="001E5359">
        <w:t xml:space="preserve">, og den højeste 2.200 gange så høj. </w:t>
      </w:r>
    </w:p>
    <w:p w14:paraId="1B4666EB" w14:textId="77777777" w:rsidR="005A3E8D" w:rsidRPr="000050A7" w:rsidRDefault="005A3E8D" w:rsidP="005A3E8D">
      <w:pPr>
        <w:pStyle w:val="Brdtekst"/>
        <w:rPr>
          <w:color w:val="000000" w:themeColor="text1"/>
        </w:rPr>
      </w:pPr>
      <w:r w:rsidRPr="000050A7">
        <w:rPr>
          <w:color w:val="000000" w:themeColor="text1"/>
        </w:rPr>
        <w:t>Målingerne foretaget på anlæg i byerne viste endvidere en høj dioxinudledning med følgende koncentrationer (Zielke m.fl., 2002):</w:t>
      </w:r>
    </w:p>
    <w:p w14:paraId="76E6F58C" w14:textId="77777777" w:rsidR="005A3E8D" w:rsidRPr="000050A7" w:rsidRDefault="005A3E8D" w:rsidP="005A3E8D">
      <w:pPr>
        <w:pStyle w:val="Opstilling-punkttegn"/>
        <w:rPr>
          <w:color w:val="000000" w:themeColor="text1"/>
        </w:rPr>
      </w:pPr>
      <w:r w:rsidRPr="000050A7">
        <w:rPr>
          <w:color w:val="000000" w:themeColor="text1"/>
        </w:rPr>
        <w:t xml:space="preserve">Forbrændingsanlægget i Nuuk: 0,42 </w:t>
      </w:r>
      <w:proofErr w:type="spellStart"/>
      <w:r w:rsidRPr="000050A7">
        <w:rPr>
          <w:color w:val="000000" w:themeColor="text1"/>
        </w:rPr>
        <w:t>ng</w:t>
      </w:r>
      <w:proofErr w:type="spellEnd"/>
      <w:r w:rsidRPr="000050A7">
        <w:rPr>
          <w:color w:val="000000" w:themeColor="text1"/>
        </w:rPr>
        <w:t xml:space="preserve"> I-TEQ/Nm</w:t>
      </w:r>
      <w:r w:rsidRPr="000050A7">
        <w:rPr>
          <w:color w:val="000000" w:themeColor="text1"/>
          <w:vertAlign w:val="superscript"/>
        </w:rPr>
        <w:t>3</w:t>
      </w:r>
      <w:r w:rsidRPr="000050A7">
        <w:rPr>
          <w:color w:val="000000" w:themeColor="text1"/>
        </w:rPr>
        <w:t>.</w:t>
      </w:r>
    </w:p>
    <w:p w14:paraId="1566F432" w14:textId="77777777" w:rsidR="005A3E8D" w:rsidRPr="000050A7" w:rsidRDefault="005A3E8D" w:rsidP="005A3E8D">
      <w:pPr>
        <w:pStyle w:val="Opstilling-punkttegn"/>
        <w:rPr>
          <w:color w:val="000000" w:themeColor="text1"/>
        </w:rPr>
      </w:pPr>
      <w:r w:rsidRPr="000050A7">
        <w:rPr>
          <w:color w:val="000000" w:themeColor="text1"/>
        </w:rPr>
        <w:t xml:space="preserve">Sanatoriet på Dronning Ingrids Hospital: 67 </w:t>
      </w:r>
      <w:proofErr w:type="spellStart"/>
      <w:r w:rsidRPr="000050A7">
        <w:rPr>
          <w:color w:val="000000" w:themeColor="text1"/>
        </w:rPr>
        <w:t>ng</w:t>
      </w:r>
      <w:proofErr w:type="spellEnd"/>
      <w:r w:rsidRPr="000050A7">
        <w:rPr>
          <w:color w:val="000000" w:themeColor="text1"/>
        </w:rPr>
        <w:t xml:space="preserve"> I-TEQ/Nm</w:t>
      </w:r>
      <w:r w:rsidRPr="000050A7">
        <w:rPr>
          <w:color w:val="000000" w:themeColor="text1"/>
          <w:vertAlign w:val="superscript"/>
        </w:rPr>
        <w:t>3</w:t>
      </w:r>
      <w:r w:rsidRPr="000050A7">
        <w:rPr>
          <w:color w:val="000000" w:themeColor="text1"/>
        </w:rPr>
        <w:t xml:space="preserve">. </w:t>
      </w:r>
    </w:p>
    <w:p w14:paraId="29B2F137" w14:textId="77777777" w:rsidR="005A3E8D" w:rsidRPr="000050A7" w:rsidRDefault="005A3E8D" w:rsidP="005A3E8D">
      <w:pPr>
        <w:pStyle w:val="Opstilling-punkttegn"/>
        <w:rPr>
          <w:color w:val="000000" w:themeColor="text1"/>
        </w:rPr>
      </w:pPr>
      <w:r w:rsidRPr="000050A7">
        <w:rPr>
          <w:color w:val="000000" w:themeColor="text1"/>
        </w:rPr>
        <w:t xml:space="preserve">Forbrændingsanlægget i </w:t>
      </w:r>
      <w:proofErr w:type="gramStart"/>
      <w:r w:rsidRPr="000050A7">
        <w:rPr>
          <w:color w:val="000000" w:themeColor="text1"/>
        </w:rPr>
        <w:t>Qaqortoq :</w:t>
      </w:r>
      <w:proofErr w:type="gramEnd"/>
      <w:r w:rsidRPr="000050A7">
        <w:rPr>
          <w:color w:val="000000" w:themeColor="text1"/>
        </w:rPr>
        <w:t xml:space="preserve"> 12 </w:t>
      </w:r>
      <w:proofErr w:type="spellStart"/>
      <w:r w:rsidRPr="000050A7">
        <w:rPr>
          <w:color w:val="000000" w:themeColor="text1"/>
        </w:rPr>
        <w:t>ng</w:t>
      </w:r>
      <w:proofErr w:type="spellEnd"/>
      <w:r w:rsidRPr="000050A7">
        <w:rPr>
          <w:color w:val="000000" w:themeColor="text1"/>
        </w:rPr>
        <w:t xml:space="preserve"> I-TEQ/normal m</w:t>
      </w:r>
      <w:r w:rsidRPr="000050A7">
        <w:rPr>
          <w:color w:val="000000" w:themeColor="text1"/>
          <w:vertAlign w:val="superscript"/>
        </w:rPr>
        <w:t>3</w:t>
      </w:r>
      <w:r w:rsidRPr="000050A7">
        <w:rPr>
          <w:color w:val="000000" w:themeColor="text1"/>
        </w:rPr>
        <w:t>.</w:t>
      </w:r>
    </w:p>
    <w:p w14:paraId="50DC96A8" w14:textId="77777777" w:rsidR="005A3E8D" w:rsidRPr="000050A7" w:rsidRDefault="005A3E8D" w:rsidP="005A3E8D">
      <w:pPr>
        <w:pStyle w:val="Opstilling-punkttegn"/>
        <w:rPr>
          <w:color w:val="000000" w:themeColor="text1"/>
        </w:rPr>
      </w:pPr>
      <w:r w:rsidRPr="000050A7">
        <w:rPr>
          <w:color w:val="000000" w:themeColor="text1"/>
        </w:rPr>
        <w:t xml:space="preserve">Forbrændingsanlægget i Sisimiut: 3,3 </w:t>
      </w:r>
      <w:proofErr w:type="spellStart"/>
      <w:r w:rsidRPr="000050A7">
        <w:rPr>
          <w:color w:val="000000" w:themeColor="text1"/>
        </w:rPr>
        <w:t>ng</w:t>
      </w:r>
      <w:proofErr w:type="spellEnd"/>
      <w:r w:rsidRPr="000050A7">
        <w:rPr>
          <w:color w:val="000000" w:themeColor="text1"/>
        </w:rPr>
        <w:t xml:space="preserve"> I-TEQ/Nm</w:t>
      </w:r>
      <w:r w:rsidRPr="000050A7">
        <w:rPr>
          <w:color w:val="000000" w:themeColor="text1"/>
          <w:vertAlign w:val="superscript"/>
        </w:rPr>
        <w:t>3</w:t>
      </w:r>
      <w:r w:rsidRPr="000050A7">
        <w:rPr>
          <w:color w:val="000000" w:themeColor="text1"/>
        </w:rPr>
        <w:t xml:space="preserve"> </w:t>
      </w:r>
    </w:p>
    <w:p w14:paraId="398C9667" w14:textId="77777777" w:rsidR="005A3E8D" w:rsidRPr="000050A7" w:rsidRDefault="005A3E8D" w:rsidP="005A3E8D">
      <w:pPr>
        <w:pStyle w:val="Brdtekst"/>
        <w:rPr>
          <w:color w:val="000000" w:themeColor="text1"/>
        </w:rPr>
      </w:pPr>
      <w:r w:rsidRPr="000050A7">
        <w:rPr>
          <w:color w:val="000000" w:themeColor="text1"/>
        </w:rPr>
        <w:t xml:space="preserve">Der er i januar-februar 2018 fortaget nye målinger af dioxiner i røggas fra forbrændingsanlægget i Nuuk (Rasmussen, 2019). Gennemsnittet af fire målinger var 4,8 </w:t>
      </w:r>
      <w:proofErr w:type="spellStart"/>
      <w:r w:rsidRPr="000050A7">
        <w:rPr>
          <w:color w:val="000000" w:themeColor="text1"/>
        </w:rPr>
        <w:t>ng</w:t>
      </w:r>
      <w:proofErr w:type="spellEnd"/>
      <w:r w:rsidRPr="000050A7">
        <w:rPr>
          <w:color w:val="000000" w:themeColor="text1"/>
        </w:rPr>
        <w:t xml:space="preserve"> I-TEQ/Nm</w:t>
      </w:r>
      <w:r w:rsidRPr="000050A7">
        <w:rPr>
          <w:color w:val="000000" w:themeColor="text1"/>
          <w:vertAlign w:val="superscript"/>
        </w:rPr>
        <w:t>3</w:t>
      </w:r>
      <w:r w:rsidRPr="000050A7">
        <w:rPr>
          <w:color w:val="000000" w:themeColor="text1"/>
        </w:rPr>
        <w:t xml:space="preserve"> (interval: 2,9 til 6,3 </w:t>
      </w:r>
      <w:proofErr w:type="spellStart"/>
      <w:r w:rsidRPr="000050A7">
        <w:rPr>
          <w:color w:val="000000" w:themeColor="text1"/>
        </w:rPr>
        <w:t>ng</w:t>
      </w:r>
      <w:proofErr w:type="spellEnd"/>
      <w:r w:rsidRPr="000050A7">
        <w:rPr>
          <w:color w:val="000000" w:themeColor="text1"/>
        </w:rPr>
        <w:t xml:space="preserve"> I-TEQ/Nm</w:t>
      </w:r>
      <w:r w:rsidRPr="000050A7">
        <w:rPr>
          <w:color w:val="000000" w:themeColor="text1"/>
          <w:vertAlign w:val="superscript"/>
        </w:rPr>
        <w:t>3</w:t>
      </w:r>
      <w:r w:rsidRPr="000050A7">
        <w:rPr>
          <w:color w:val="000000" w:themeColor="text1"/>
        </w:rPr>
        <w:t>). Koncentrationen var således højere end målt i 2002 og næsten 50 gange højere en</w:t>
      </w:r>
      <w:r>
        <w:rPr>
          <w:color w:val="000000" w:themeColor="text1"/>
        </w:rPr>
        <w:t>d</w:t>
      </w:r>
      <w:r w:rsidRPr="000050A7">
        <w:rPr>
          <w:color w:val="000000" w:themeColor="text1"/>
        </w:rPr>
        <w:t xml:space="preserve"> EU’s grænseværdi. Der er i de senere år blevet etableret forbedret forbrændingsteknologi, men nedbringelse af emissionerne af dioxiner vil kræve øget røggasrensning </w:t>
      </w:r>
      <w:r w:rsidRPr="000050A7">
        <w:rPr>
          <w:color w:val="000000" w:themeColor="text1"/>
        </w:rPr>
        <w:lastRenderedPageBreak/>
        <w:t xml:space="preserve">fordi dioxinerne typisk dannes efter brændkammeret. Der er også fortaget målinger af PCB, der viste en gennemsnitsværdi på &lt; 10 </w:t>
      </w:r>
      <w:proofErr w:type="spellStart"/>
      <w:r w:rsidRPr="000050A7">
        <w:rPr>
          <w:color w:val="000000" w:themeColor="text1"/>
        </w:rPr>
        <w:t>ng</w:t>
      </w:r>
      <w:proofErr w:type="spellEnd"/>
      <w:r w:rsidRPr="000050A7">
        <w:rPr>
          <w:color w:val="000000" w:themeColor="text1"/>
        </w:rPr>
        <w:t>/Nm</w:t>
      </w:r>
      <w:r w:rsidRPr="000050A7">
        <w:rPr>
          <w:color w:val="000000" w:themeColor="text1"/>
          <w:vertAlign w:val="superscript"/>
        </w:rPr>
        <w:t>3</w:t>
      </w:r>
      <w:r w:rsidRPr="000050A7">
        <w:rPr>
          <w:color w:val="000000" w:themeColor="text1"/>
        </w:rPr>
        <w:t>. POP-protokollen indeholder ikke grænseværdier for PCB.</w:t>
      </w:r>
    </w:p>
    <w:p w14:paraId="6172D26B" w14:textId="77777777" w:rsidR="005A3E8D" w:rsidRPr="000050A7" w:rsidRDefault="005A3E8D" w:rsidP="005A3E8D">
      <w:pPr>
        <w:pStyle w:val="Brdtekst"/>
        <w:rPr>
          <w:color w:val="FF0000"/>
        </w:rPr>
      </w:pPr>
      <w:r w:rsidRPr="000050A7">
        <w:rPr>
          <w:color w:val="000000" w:themeColor="text1"/>
        </w:rPr>
        <w:t>For hovedparten af anlæggene forventes dioxinudledningen fortsat at være markant over EU’s grænseværdier.</w:t>
      </w:r>
    </w:p>
    <w:p w14:paraId="39485B67" w14:textId="00694A81" w:rsidR="005A3E8D" w:rsidRPr="000050A7" w:rsidRDefault="005A3E8D" w:rsidP="005A3E8D">
      <w:pPr>
        <w:pStyle w:val="Brdtekst"/>
        <w:rPr>
          <w:color w:val="FF0000"/>
        </w:rPr>
      </w:pPr>
      <w:r w:rsidRPr="00E34F50">
        <w:t>Emissioner og tab af dioxiner til omgivelserne i Grønland i 2003 blev sammenfattet af Hansen og Christensen (200</w:t>
      </w:r>
      <w:r>
        <w:t>7</w:t>
      </w:r>
      <w:r w:rsidRPr="00E34F50">
        <w:t xml:space="preserve">). Resultaterne er vist i </w:t>
      </w:r>
      <w:r w:rsidR="001032D7">
        <w:t>tabel 3</w:t>
      </w:r>
      <w:r w:rsidRPr="00C72958">
        <w:fldChar w:fldCharType="begin"/>
      </w:r>
      <w:r w:rsidRPr="00E34F50">
        <w:instrText xml:space="preserve"> REF _Ref505944518 \h  \* MERGEFORMAT </w:instrText>
      </w:r>
      <w:r w:rsidR="00432B8C">
        <w:fldChar w:fldCharType="separate"/>
      </w:r>
      <w:r w:rsidR="00432B8C">
        <w:rPr>
          <w:b/>
          <w:bCs/>
        </w:rPr>
        <w:t>Fejl! Henvisningskilde ikke fundet.</w:t>
      </w:r>
      <w:r w:rsidRPr="00C72958">
        <w:fldChar w:fldCharType="end"/>
      </w:r>
      <w:r w:rsidRPr="00E34F50">
        <w:t>. Det konkluderedes på basis af opgørelserne, at bygdeanlæg og afbrænding på dump</w:t>
      </w:r>
      <w:r w:rsidR="001032D7">
        <w:t>e</w:t>
      </w:r>
      <w:r w:rsidRPr="00E34F50">
        <w:t xml:space="preserve"> med stor sandsynlighed var de væsentligste kilder til dioxinemission. Samme konklusion nåede tidligere rapport om implementering af Stockholmkonventionen i Grønland fra 2005 til (Rambøll 2005a). De samlede udledninger fra affaldsforbrænding og afbrænding på dump</w:t>
      </w:r>
      <w:r w:rsidR="00E552B6">
        <w:t>e</w:t>
      </w:r>
      <w:r w:rsidRPr="00E34F50">
        <w:t xml:space="preserve"> blev opgjort til 1,4-9,8 g I-TEQ/år. Til sammenligning er de samlede udledninger fra affaldsforbrænding i Danmark i 2010 i følge implementeringsplanen fra 2012 på 1,2 </w:t>
      </w:r>
      <w:r w:rsidR="00E552B6">
        <w:t xml:space="preserve">g </w:t>
      </w:r>
      <w:r w:rsidRPr="00E34F50">
        <w:t>I-TEQ/år (dvs. per person er udledningerne i Grønland mere end 100 gange større).</w:t>
      </w:r>
    </w:p>
    <w:p w14:paraId="27E75E1A" w14:textId="701BE98B" w:rsidR="005A3E8D" w:rsidRPr="00E34F50" w:rsidRDefault="005A3E8D" w:rsidP="005A3E8D">
      <w:pPr>
        <w:pStyle w:val="Billedtekst"/>
        <w:keepNext/>
      </w:pPr>
      <w:r w:rsidRPr="00E34F50">
        <w:t xml:space="preserve">Tabel </w:t>
      </w:r>
      <w:r w:rsidRPr="00C72958">
        <w:rPr>
          <w:noProof/>
        </w:rPr>
        <w:fldChar w:fldCharType="begin"/>
      </w:r>
      <w:r w:rsidRPr="00E34F50">
        <w:rPr>
          <w:noProof/>
        </w:rPr>
        <w:instrText xml:space="preserve"> SEQ Tabel \* ARABIC </w:instrText>
      </w:r>
      <w:r w:rsidRPr="00C72958">
        <w:rPr>
          <w:noProof/>
        </w:rPr>
        <w:fldChar w:fldCharType="separate"/>
      </w:r>
      <w:r w:rsidR="00432B8C">
        <w:rPr>
          <w:noProof/>
        </w:rPr>
        <w:t>3</w:t>
      </w:r>
      <w:r w:rsidRPr="00C72958">
        <w:rPr>
          <w:noProof/>
        </w:rPr>
        <w:fldChar w:fldCharType="end"/>
      </w:r>
      <w:r w:rsidRPr="00E34F50">
        <w:tab/>
        <w:t>Emissioner og tab af dioxiner til omgivelserne i Grønland</w:t>
      </w:r>
      <w:r w:rsidR="001032D7">
        <w:t>;</w:t>
      </w:r>
      <w:r w:rsidRPr="00E34F50">
        <w:t xml:space="preserve"> 2003-estimat (Hansen og Christensen, 200</w:t>
      </w:r>
      <w:r>
        <w:t>7</w:t>
      </w:r>
      <w:r w:rsidRPr="00E34F50">
        <w:t>)</w:t>
      </w:r>
      <w:r w:rsidR="001032D7">
        <w:t>.</w:t>
      </w:r>
    </w:p>
    <w:p w14:paraId="7211E38F" w14:textId="77777777" w:rsidR="005A3E8D" w:rsidRPr="00E34F50" w:rsidRDefault="005A3E8D" w:rsidP="005A3E8D">
      <w:pPr>
        <w:pStyle w:val="Brdtekst"/>
        <w:spacing w:after="0"/>
      </w:pPr>
      <w:r w:rsidRPr="00C72958">
        <w:rPr>
          <w:noProof/>
          <w:lang w:val="kl-GL" w:eastAsia="kl-GL"/>
        </w:rPr>
        <w:drawing>
          <wp:inline distT="0" distB="0" distL="0" distR="0" wp14:anchorId="07176774" wp14:editId="27E87B73">
            <wp:extent cx="4675505" cy="3569970"/>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5505" cy="3569970"/>
                    </a:xfrm>
                    <a:prstGeom prst="rect">
                      <a:avLst/>
                    </a:prstGeom>
                    <a:noFill/>
                    <a:ln>
                      <a:noFill/>
                    </a:ln>
                  </pic:spPr>
                </pic:pic>
              </a:graphicData>
            </a:graphic>
          </wp:inline>
        </w:drawing>
      </w:r>
    </w:p>
    <w:p w14:paraId="3353D62B" w14:textId="77777777" w:rsidR="005A3E8D" w:rsidRPr="00E34F50" w:rsidRDefault="005A3E8D" w:rsidP="005A3E8D">
      <w:pPr>
        <w:pStyle w:val="Tabelnote"/>
      </w:pPr>
      <w:r w:rsidRPr="00E34F50">
        <w:t xml:space="preserve">Noter til tabel (som angivet i original reference): </w:t>
      </w:r>
    </w:p>
    <w:p w14:paraId="324BF4C8" w14:textId="77777777" w:rsidR="005A3E8D" w:rsidRPr="00E34F50" w:rsidRDefault="005A3E8D" w:rsidP="005A3E8D">
      <w:pPr>
        <w:pStyle w:val="Tabelnote"/>
      </w:pPr>
      <w:r w:rsidRPr="00E34F50">
        <w:t xml:space="preserve">-  </w:t>
      </w:r>
      <w:r w:rsidRPr="00E34F50">
        <w:tab/>
        <w:t xml:space="preserve"> Ingen aktivitet og tab </w:t>
      </w:r>
    </w:p>
    <w:p w14:paraId="26FA693C" w14:textId="77777777" w:rsidR="005A3E8D" w:rsidRPr="00E34F50" w:rsidRDefault="005A3E8D" w:rsidP="005A3E8D">
      <w:pPr>
        <w:pStyle w:val="Tabelnote"/>
      </w:pPr>
      <w:r w:rsidRPr="00E34F50">
        <w:t xml:space="preserve">x? </w:t>
      </w:r>
      <w:r w:rsidRPr="00E34F50">
        <w:tab/>
        <w:t xml:space="preserve">Tal er behæftet med væsentlig usikkerhed </w:t>
      </w:r>
    </w:p>
    <w:p w14:paraId="6FA3EEB2" w14:textId="77777777" w:rsidR="005A3E8D" w:rsidRPr="00E34F50" w:rsidRDefault="005A3E8D" w:rsidP="005A3E8D">
      <w:pPr>
        <w:pStyle w:val="Tabelnote"/>
      </w:pPr>
      <w:r w:rsidRPr="00E34F50">
        <w:t xml:space="preserve">?  </w:t>
      </w:r>
      <w:r w:rsidRPr="00E34F50">
        <w:tab/>
        <w:t xml:space="preserve">Emission kan ikke kvantificeres - tab er ikke nødvendigvis meget stort, men kan være væsentligt </w:t>
      </w:r>
    </w:p>
    <w:p w14:paraId="7F0922F0" w14:textId="77777777" w:rsidR="005A3E8D" w:rsidRPr="00E34F50" w:rsidRDefault="005A3E8D" w:rsidP="005A3E8D">
      <w:pPr>
        <w:pStyle w:val="Tabelnote"/>
      </w:pPr>
      <w:r w:rsidRPr="00E34F50">
        <w:t xml:space="preserve">???   Emission kan ikke kvantificeres og er formodentlig væsentlig  </w:t>
      </w:r>
    </w:p>
    <w:p w14:paraId="1C8E5032" w14:textId="77777777" w:rsidR="005A3E8D" w:rsidRPr="00E34F50" w:rsidRDefault="005A3E8D" w:rsidP="005A3E8D">
      <w:pPr>
        <w:pStyle w:val="Tabelnote"/>
        <w:ind w:left="425" w:hanging="425"/>
      </w:pPr>
      <w:r w:rsidRPr="00E34F50">
        <w:t xml:space="preserve">1. </w:t>
      </w:r>
      <w:r w:rsidRPr="00E34F50">
        <w:tab/>
        <w:t>Forudsætninger for de angivne estimater er præsenteret i bilag 1 til Hansen og Christensen</w:t>
      </w:r>
      <w:r>
        <w:t xml:space="preserve"> (2007)</w:t>
      </w:r>
      <w:r w:rsidRPr="00E34F50">
        <w:t xml:space="preserve">. </w:t>
      </w:r>
    </w:p>
    <w:p w14:paraId="1AA73D26" w14:textId="77777777" w:rsidR="005A3E8D" w:rsidRPr="00E34F50" w:rsidRDefault="005A3E8D" w:rsidP="005A3E8D">
      <w:pPr>
        <w:pStyle w:val="Tabelnote"/>
        <w:ind w:left="425" w:hanging="425"/>
      </w:pPr>
      <w:r w:rsidRPr="00E34F50">
        <w:lastRenderedPageBreak/>
        <w:t xml:space="preserve">2. </w:t>
      </w:r>
      <w:r w:rsidRPr="00E34F50">
        <w:tab/>
        <w:t xml:space="preserve">Tallet dækker det samlede tab til jord og depoter. Det vides ikke, hvordan dette tab vil være fordelt i praksis. </w:t>
      </w:r>
    </w:p>
    <w:p w14:paraId="1CE18A03" w14:textId="77777777" w:rsidR="005A3E8D" w:rsidRPr="00E34F50" w:rsidRDefault="005A3E8D" w:rsidP="005A3E8D">
      <w:pPr>
        <w:pStyle w:val="Tabelnote"/>
        <w:ind w:left="425" w:hanging="425"/>
      </w:pPr>
      <w:r w:rsidRPr="00E34F50">
        <w:t xml:space="preserve">3. </w:t>
      </w:r>
      <w:r w:rsidRPr="00E34F50">
        <w:tab/>
        <w:t xml:space="preserve">Dækker dannelse af dioxiner ved brug af fyrværkeri og havegrill </w:t>
      </w:r>
      <w:proofErr w:type="spellStart"/>
      <w:r w:rsidRPr="00E34F50">
        <w:t>o.lign</w:t>
      </w:r>
      <w:proofErr w:type="spellEnd"/>
      <w:r w:rsidRPr="00E34F50">
        <w:t xml:space="preserve">. Mængden forventes at være beskeden. </w:t>
      </w:r>
    </w:p>
    <w:p w14:paraId="13785934" w14:textId="77777777" w:rsidR="005A3E8D" w:rsidRPr="00E34F50" w:rsidRDefault="005A3E8D" w:rsidP="005A3E8D">
      <w:pPr>
        <w:pStyle w:val="Tabelnote"/>
        <w:ind w:left="425" w:hanging="425"/>
      </w:pPr>
      <w:r w:rsidRPr="00E34F50">
        <w:t xml:space="preserve">4. </w:t>
      </w:r>
      <w:r w:rsidRPr="00E34F50">
        <w:tab/>
        <w:t>Da olieaffaldet ikke er raffineret</w:t>
      </w:r>
      <w:r>
        <w:t>,</w:t>
      </w:r>
      <w:r w:rsidRPr="00E34F50">
        <w:t xml:space="preserve"> er det muligt</w:t>
      </w:r>
      <w:r>
        <w:t>,</w:t>
      </w:r>
      <w:r w:rsidRPr="00E34F50">
        <w:t xml:space="preserve"> at dioxinemissionen kan være væsentligt større end angivet her. </w:t>
      </w:r>
    </w:p>
    <w:p w14:paraId="2E13E4FB" w14:textId="7CF3C03D" w:rsidR="005A3E8D" w:rsidRDefault="005A3E8D" w:rsidP="00C64430">
      <w:pPr>
        <w:pStyle w:val="Tabelnote"/>
        <w:ind w:left="425" w:hanging="425"/>
        <w:rPr>
          <w:color w:val="000000" w:themeColor="text1"/>
        </w:rPr>
      </w:pPr>
      <w:r w:rsidRPr="00E34F50">
        <w:t xml:space="preserve">5. </w:t>
      </w:r>
      <w:r w:rsidRPr="00E34F50">
        <w:tab/>
        <w:t xml:space="preserve">Mængden af dioxiner, der tilføres depoter med flyveaske, er baseret på danske data og derfor stærkt usikker da det ikke vides om danske data er repræsentative for grønlandske anlæg.  </w:t>
      </w:r>
      <w:r w:rsidRPr="00E34F50">
        <w:tab/>
      </w:r>
    </w:p>
    <w:p w14:paraId="56614F11" w14:textId="77777777" w:rsidR="005A3E8D" w:rsidRDefault="005A3E8D" w:rsidP="00F66A6D">
      <w:pPr>
        <w:pStyle w:val="Overskrift4"/>
        <w:rPr>
          <w:color w:val="000000" w:themeColor="text1"/>
        </w:rPr>
      </w:pPr>
    </w:p>
    <w:p w14:paraId="7D6CF733" w14:textId="2E22E39D" w:rsidR="00F66A6D" w:rsidRPr="000050A7" w:rsidRDefault="0069477C" w:rsidP="00F66A6D">
      <w:pPr>
        <w:pStyle w:val="Overskrift4"/>
        <w:rPr>
          <w:color w:val="000000" w:themeColor="text1"/>
        </w:rPr>
      </w:pPr>
      <w:r>
        <w:rPr>
          <w:color w:val="000000" w:themeColor="text1"/>
        </w:rPr>
        <w:t xml:space="preserve">Status </w:t>
      </w:r>
      <w:r w:rsidR="001032D7">
        <w:rPr>
          <w:color w:val="000000" w:themeColor="text1"/>
        </w:rPr>
        <w:t>for f</w:t>
      </w:r>
      <w:r w:rsidR="00F66A6D" w:rsidRPr="000050A7">
        <w:rPr>
          <w:color w:val="000000" w:themeColor="text1"/>
        </w:rPr>
        <w:t>orbrænding af affald i Grønland</w:t>
      </w:r>
    </w:p>
    <w:p w14:paraId="7D6CF754" w14:textId="292550B4" w:rsidR="00F66A6D" w:rsidRPr="001E5359" w:rsidRDefault="00F66A6D">
      <w:pPr>
        <w:pStyle w:val="Brdtekst"/>
      </w:pPr>
      <w:r w:rsidRPr="001E5359">
        <w:t xml:space="preserve">I de seks store byer er der i perioden 1986-2004 etableret forbrændingsanlæg. Forbrændingsanlæggene er ikke af samme type og varierer i størrelse. Forbrændingsanlæggene i Sisimiut og Ilulissat har ikke tilstrækkelig kapacitet, hvilket betyder, at der på </w:t>
      </w:r>
      <w:proofErr w:type="spellStart"/>
      <w:r w:rsidRPr="001E5359">
        <w:t>dumpen</w:t>
      </w:r>
      <w:proofErr w:type="spellEnd"/>
      <w:r w:rsidRPr="001E5359">
        <w:t xml:space="preserve"> i Sisimiut og Ilulissat permanent deponeres brændbart affald.</w:t>
      </w:r>
      <w:r w:rsidR="00FC6DBB" w:rsidRPr="001E5359">
        <w:t xml:space="preserve"> Forbrændingsanlæggene i de største byer er udstyret med røggasrensning i form af elektrofiltre. Disse er ikke udskiftet siden anlæggenes opførelse. </w:t>
      </w:r>
      <w:r w:rsidR="0039434F">
        <w:t xml:space="preserve">Det har tidligere været </w:t>
      </w:r>
      <w:r w:rsidR="008A647E" w:rsidRPr="001E5359">
        <w:t xml:space="preserve">vurderet, </w:t>
      </w:r>
      <w:r w:rsidR="0039434F">
        <w:t>i hvilket omgang det er realistisk at opgradere anlæggene til BAT, men da det nu er besluttet at opføre to nye forbrændingsanlæg, som omtales senere, vil mulighederne for opgradering af de eksisterende ikke yderligere omtales.</w:t>
      </w:r>
      <w:r w:rsidR="009E5ECE">
        <w:t xml:space="preserve"> </w:t>
      </w:r>
    </w:p>
    <w:p w14:paraId="7D6CF755" w14:textId="29A0BEA4" w:rsidR="00F66A6D" w:rsidRDefault="00F66A6D">
      <w:pPr>
        <w:pStyle w:val="Brdtekst"/>
      </w:pPr>
      <w:r w:rsidRPr="001E5359">
        <w:t xml:space="preserve">I de mellemstore </w:t>
      </w:r>
      <w:r w:rsidR="0069477C">
        <w:t xml:space="preserve">og mindre </w:t>
      </w:r>
      <w:r w:rsidRPr="001E5359">
        <w:t>byer er der ikke etableret forbrændingsanlæg</w:t>
      </w:r>
      <w:r w:rsidR="00C37679">
        <w:t xml:space="preserve">. </w:t>
      </w:r>
      <w:r w:rsidR="006208B5" w:rsidRPr="001E5359">
        <w:t xml:space="preserve">Indtil for nyligt er der foretaget </w:t>
      </w:r>
      <w:r w:rsidRPr="001E5359">
        <w:t xml:space="preserve">åben afbrænding af affald </w:t>
      </w:r>
      <w:r w:rsidR="006208B5" w:rsidRPr="001E5359">
        <w:t xml:space="preserve">på </w:t>
      </w:r>
      <w:proofErr w:type="spellStart"/>
      <w:r w:rsidR="006208B5" w:rsidRPr="001E5359">
        <w:t>dumpen</w:t>
      </w:r>
      <w:proofErr w:type="spellEnd"/>
      <w:r w:rsidR="006208B5" w:rsidRPr="001E5359">
        <w:t xml:space="preserve"> i flere af de mellemstore </w:t>
      </w:r>
      <w:r w:rsidR="0069477C">
        <w:t xml:space="preserve">og mindre </w:t>
      </w:r>
      <w:r w:rsidR="006208B5" w:rsidRPr="001E5359">
        <w:t>byer</w:t>
      </w:r>
      <w:r w:rsidR="0069477C">
        <w:t xml:space="preserve"> samt bygder</w:t>
      </w:r>
      <w:r w:rsidR="006208B5" w:rsidRPr="001E5359">
        <w:t xml:space="preserve">. </w:t>
      </w:r>
    </w:p>
    <w:p w14:paraId="616F4BF3" w14:textId="77777777" w:rsidR="0069477C" w:rsidRDefault="0069477C" w:rsidP="0069477C">
      <w:pPr>
        <w:pStyle w:val="Brdtekst"/>
      </w:pPr>
      <w:r>
        <w:t xml:space="preserve">Kommunerne har med støtte fra </w:t>
      </w:r>
      <w:proofErr w:type="spellStart"/>
      <w:r>
        <w:t>Naalakkersuisut</w:t>
      </w:r>
      <w:proofErr w:type="spellEnd"/>
      <w:r>
        <w:t xml:space="preserve"> i en årrække lavet pilotprojekter vedrørende transport af affald, hvor affaldet er blevet neddelt og pakket, hvorefter det er blevet udskibet til afbrænding på et af de nuværende forbrændingsanlæg. </w:t>
      </w:r>
    </w:p>
    <w:p w14:paraId="05C19E65" w14:textId="0C97D281" w:rsidR="0069477C" w:rsidRDefault="0069477C" w:rsidP="0069477C">
      <w:pPr>
        <w:pStyle w:val="Brdtekst"/>
      </w:pPr>
      <w:r>
        <w:t xml:space="preserve">Tilbage i 2017 blev der således afsat 15,5 mio. kr. over en </w:t>
      </w:r>
      <w:proofErr w:type="spellStart"/>
      <w:r>
        <w:t>to-årig</w:t>
      </w:r>
      <w:proofErr w:type="spellEnd"/>
      <w:r>
        <w:t xml:space="preserve"> periode til kommunale pilotprojekter, som afprøver og fremmer affaldstransport fra mindre bosteder til forsvarlig håndtering i godkendte forbrændingsanlæg samt øget renholdelse.</w:t>
      </w:r>
    </w:p>
    <w:p w14:paraId="4AE46DB9" w14:textId="6FE6387E" w:rsidR="0069477C" w:rsidRPr="001E5359" w:rsidRDefault="0069477C" w:rsidP="0069477C">
      <w:pPr>
        <w:pStyle w:val="Brdtekst"/>
      </w:pPr>
      <w:r>
        <w:t>Fremadrettet vil pakning af affald i mindre byer og bygder føre til miljømæssig forsvarlig håndtering af forbrændingsegnet affald, samt til nye arbejdspladser i disse bosteder.</w:t>
      </w:r>
    </w:p>
    <w:p w14:paraId="7D6CF758" w14:textId="069A33C9" w:rsidR="00F66A6D" w:rsidRPr="0069477C" w:rsidRDefault="00F66A6D" w:rsidP="0069477C">
      <w:pPr>
        <w:pStyle w:val="Brdtekst"/>
      </w:pPr>
      <w:r w:rsidRPr="001E5359">
        <w:t>I hovedparten af bygderne og i nogle af de mindre byer, er der i perioden 1995-2000 etableret bygdeforbrændingsanlæg.</w:t>
      </w:r>
      <w:r w:rsidR="0069477C" w:rsidRPr="0069477C">
        <w:t xml:space="preserve"> Der er ingen røggasrensning på byg</w:t>
      </w:r>
      <w:r w:rsidR="00C37679">
        <w:t>-</w:t>
      </w:r>
      <w:r w:rsidR="0069477C" w:rsidRPr="0069477C">
        <w:t>de</w:t>
      </w:r>
      <w:r w:rsidR="00C64430">
        <w:t>-</w:t>
      </w:r>
      <w:r w:rsidR="0069477C" w:rsidRPr="0069477C">
        <w:t>forbrændingsanlæggene.</w:t>
      </w:r>
      <w:r w:rsidR="0069477C">
        <w:t xml:space="preserve"> Størsteparten af disse anlæg bruges ikke længere, idet kommunerne nu har fokus på at få transporteret affaldet videre til de større forbrændingsanlæg. </w:t>
      </w:r>
    </w:p>
    <w:p w14:paraId="669CF761" w14:textId="04E5F919" w:rsidR="006D47AB" w:rsidRPr="001E5359" w:rsidRDefault="006D47AB">
      <w:pPr>
        <w:pStyle w:val="Brdtekst"/>
      </w:pPr>
      <w:r w:rsidRPr="001E5359">
        <w:rPr>
          <w:b/>
        </w:rPr>
        <w:lastRenderedPageBreak/>
        <w:t>Åben afbrænding af affald -</w:t>
      </w:r>
      <w:r w:rsidRPr="001E5359">
        <w:t xml:space="preserve"> Åben afbrænding af affald på dump</w:t>
      </w:r>
      <w:r w:rsidR="001032D7">
        <w:t>e</w:t>
      </w:r>
      <w:r w:rsidRPr="001E5359">
        <w:t xml:space="preserve"> er i dag forbudt, og opgørelserne af dioxinemissionerne i 2003, som angivet i </w:t>
      </w:r>
      <w:r w:rsidRPr="00236DEC">
        <w:fldChar w:fldCharType="begin"/>
      </w:r>
      <w:r w:rsidRPr="001E5359">
        <w:instrText xml:space="preserve"> REF _Ref505944518 \h  \* MERGEFORMAT </w:instrText>
      </w:r>
      <w:r w:rsidR="00432B8C">
        <w:fldChar w:fldCharType="separate"/>
      </w:r>
      <w:r w:rsidR="00432B8C">
        <w:rPr>
          <w:b/>
          <w:bCs/>
        </w:rPr>
        <w:t xml:space="preserve">Fejl! Henvisningskilde ikke </w:t>
      </w:r>
      <w:proofErr w:type="spellStart"/>
      <w:r w:rsidR="00432B8C">
        <w:rPr>
          <w:b/>
          <w:bCs/>
        </w:rPr>
        <w:t>fundet.</w:t>
      </w:r>
      <w:r w:rsidRPr="00236DEC">
        <w:fldChar w:fldCharType="end"/>
      </w:r>
      <w:r w:rsidR="001032D7">
        <w:t>tabel</w:t>
      </w:r>
      <w:proofErr w:type="spellEnd"/>
      <w:r w:rsidR="001032D7">
        <w:t xml:space="preserve"> 3</w:t>
      </w:r>
      <w:r w:rsidRPr="001E5359">
        <w:t>, viser tydeligt vigtigheden af en håndhævelse af dette forbud.</w:t>
      </w:r>
    </w:p>
    <w:p w14:paraId="4C54F91B" w14:textId="77777777" w:rsidR="00454DE5" w:rsidRPr="000050A7" w:rsidRDefault="00454DE5" w:rsidP="0062571E">
      <w:pPr>
        <w:pStyle w:val="Tabelnote"/>
        <w:rPr>
          <w:color w:val="FF0000"/>
        </w:rPr>
      </w:pPr>
    </w:p>
    <w:p w14:paraId="7D6CF763" w14:textId="77777777" w:rsidR="008027B1" w:rsidRPr="000050A7" w:rsidRDefault="005B2729" w:rsidP="005B2729">
      <w:pPr>
        <w:pStyle w:val="Overskrift4"/>
        <w:rPr>
          <w:color w:val="000000" w:themeColor="text1"/>
        </w:rPr>
      </w:pPr>
      <w:r w:rsidRPr="000050A7">
        <w:rPr>
          <w:color w:val="000000" w:themeColor="text1"/>
        </w:rPr>
        <w:t>Aktuelle planer for reduktion af emissionerne</w:t>
      </w:r>
    </w:p>
    <w:p w14:paraId="7D6CF765" w14:textId="5401CB4B" w:rsidR="00851D7F" w:rsidRPr="000050A7" w:rsidRDefault="00851D7F" w:rsidP="00E26A35">
      <w:pPr>
        <w:pStyle w:val="Brdtekst"/>
        <w:rPr>
          <w:color w:val="FF0000"/>
        </w:rPr>
      </w:pPr>
      <w:r w:rsidRPr="000050A7">
        <w:rPr>
          <w:color w:val="000000" w:themeColor="text1"/>
        </w:rPr>
        <w:t xml:space="preserve">Anlægssektorplan for affaldsområdet </w:t>
      </w:r>
      <w:r w:rsidR="006A4FF4" w:rsidRPr="000050A7">
        <w:rPr>
          <w:color w:val="000000" w:themeColor="text1"/>
        </w:rPr>
        <w:t>(</w:t>
      </w:r>
      <w:proofErr w:type="spellStart"/>
      <w:r w:rsidR="006A4FF4" w:rsidRPr="000050A7">
        <w:rPr>
          <w:color w:val="000000" w:themeColor="text1"/>
        </w:rPr>
        <w:t>Naalakkersuisut</w:t>
      </w:r>
      <w:proofErr w:type="spellEnd"/>
      <w:r w:rsidR="00A862FA" w:rsidRPr="000050A7">
        <w:rPr>
          <w:color w:val="000000" w:themeColor="text1"/>
        </w:rPr>
        <w:t>,</w:t>
      </w:r>
      <w:r w:rsidR="006A4FF4" w:rsidRPr="000050A7">
        <w:rPr>
          <w:color w:val="000000" w:themeColor="text1"/>
        </w:rPr>
        <w:t xml:space="preserve"> </w:t>
      </w:r>
      <w:r w:rsidRPr="000050A7">
        <w:rPr>
          <w:color w:val="000000" w:themeColor="text1"/>
        </w:rPr>
        <w:t>2015</w:t>
      </w:r>
      <w:r w:rsidR="006A4FF4" w:rsidRPr="000050A7">
        <w:rPr>
          <w:color w:val="000000" w:themeColor="text1"/>
        </w:rPr>
        <w:t>)</w:t>
      </w:r>
      <w:r w:rsidRPr="000050A7">
        <w:rPr>
          <w:color w:val="000000" w:themeColor="text1"/>
        </w:rPr>
        <w:t xml:space="preserve"> beskriver som tidligere omtalt, hvilke anlægsinvesteringer på affaldsområdet, der planlægges inden</w:t>
      </w:r>
      <w:r w:rsidR="00DF2A32">
        <w:rPr>
          <w:color w:val="000000" w:themeColor="text1"/>
        </w:rPr>
        <w:t xml:space="preserve"> </w:t>
      </w:r>
      <w:r w:rsidRPr="000050A7">
        <w:rPr>
          <w:color w:val="000000" w:themeColor="text1"/>
        </w:rPr>
        <w:t>for de kommende ti år.</w:t>
      </w:r>
      <w:r w:rsidR="008027B1" w:rsidRPr="000050A7">
        <w:rPr>
          <w:color w:val="000000" w:themeColor="text1"/>
        </w:rPr>
        <w:t xml:space="preserve"> </w:t>
      </w:r>
    </w:p>
    <w:p w14:paraId="7D6CF766" w14:textId="5835F481" w:rsidR="00A50454" w:rsidRPr="000050A7" w:rsidRDefault="00A50454" w:rsidP="00A50454">
      <w:pPr>
        <w:pStyle w:val="Brdtekst"/>
        <w:rPr>
          <w:color w:val="000000" w:themeColor="text1"/>
        </w:rPr>
      </w:pPr>
      <w:r w:rsidRPr="000050A7">
        <w:rPr>
          <w:color w:val="000000" w:themeColor="text1"/>
        </w:rPr>
        <w:t>Fordelt på de relevante indsatsområder er sektorplanens mål følgende (natrenovationsanlæg omtales ikke her):</w:t>
      </w:r>
      <w:r w:rsidR="00E96B53" w:rsidRPr="000050A7">
        <w:rPr>
          <w:color w:val="000000" w:themeColor="text1"/>
        </w:rPr>
        <w:t xml:space="preserve"> </w:t>
      </w:r>
    </w:p>
    <w:p w14:paraId="7D6CF767" w14:textId="28F1DDA5" w:rsidR="00A50454" w:rsidRPr="000050A7" w:rsidRDefault="00A50454" w:rsidP="00A50454">
      <w:pPr>
        <w:pStyle w:val="Opstilling-punkttegn"/>
        <w:rPr>
          <w:color w:val="000000" w:themeColor="text1"/>
        </w:rPr>
      </w:pPr>
      <w:r w:rsidRPr="000050A7">
        <w:rPr>
          <w:color w:val="000000" w:themeColor="text1"/>
        </w:rPr>
        <w:t>Anlæg til håndtering af farligt affald</w:t>
      </w:r>
      <w:r w:rsidR="00E96B53" w:rsidRPr="000050A7">
        <w:rPr>
          <w:color w:val="000000" w:themeColor="text1"/>
        </w:rPr>
        <w:t xml:space="preserve"> </w:t>
      </w:r>
    </w:p>
    <w:p w14:paraId="7D6CF768" w14:textId="1A4EA113" w:rsidR="00A50454" w:rsidRPr="000050A7" w:rsidRDefault="00A50454" w:rsidP="00A50454">
      <w:pPr>
        <w:pStyle w:val="ListBullet2NoSpace"/>
        <w:rPr>
          <w:color w:val="000000" w:themeColor="text1"/>
        </w:rPr>
      </w:pPr>
      <w:r w:rsidRPr="000050A7">
        <w:rPr>
          <w:color w:val="000000" w:themeColor="text1"/>
        </w:rPr>
        <w:t>Der skal fortsat være velfungerende modtagefaciliteter til farligt affald i de store byer.</w:t>
      </w:r>
      <w:r w:rsidR="009E5ECE">
        <w:rPr>
          <w:color w:val="000000" w:themeColor="text1"/>
        </w:rPr>
        <w:t xml:space="preserve"> </w:t>
      </w:r>
    </w:p>
    <w:p w14:paraId="7D6CF769" w14:textId="0B64B6B9" w:rsidR="00A50454" w:rsidRPr="000050A7" w:rsidRDefault="00A50454" w:rsidP="00A50454">
      <w:pPr>
        <w:pStyle w:val="ListBullet2NoSpace"/>
        <w:rPr>
          <w:color w:val="000000" w:themeColor="text1"/>
        </w:rPr>
      </w:pPr>
      <w:r w:rsidRPr="000050A7">
        <w:rPr>
          <w:color w:val="000000" w:themeColor="text1"/>
        </w:rPr>
        <w:t>Der skal etableres en containerbaseret løsning i alle mellemstore og små byer senest i 2016.</w:t>
      </w:r>
      <w:r w:rsidR="00E96B53" w:rsidRPr="000050A7">
        <w:rPr>
          <w:color w:val="000000" w:themeColor="text1"/>
        </w:rPr>
        <w:t xml:space="preserve"> </w:t>
      </w:r>
    </w:p>
    <w:p w14:paraId="7D6CF76A" w14:textId="31C29387" w:rsidR="00A50454" w:rsidRPr="000050A7" w:rsidRDefault="00A50454" w:rsidP="00A50454">
      <w:pPr>
        <w:pStyle w:val="Opstilling-punkttegn2"/>
        <w:rPr>
          <w:color w:val="000000" w:themeColor="text1"/>
        </w:rPr>
      </w:pPr>
      <w:r w:rsidRPr="000050A7">
        <w:rPr>
          <w:color w:val="000000" w:themeColor="text1"/>
        </w:rPr>
        <w:t>Der skal etableres 5-10 bygdeløsninger pr. år, indtil alle bygder har de fornødne faciliteter.</w:t>
      </w:r>
      <w:r w:rsidR="00E96B53" w:rsidRPr="000050A7">
        <w:rPr>
          <w:color w:val="000000" w:themeColor="text1"/>
        </w:rPr>
        <w:t xml:space="preserve"> </w:t>
      </w:r>
    </w:p>
    <w:p w14:paraId="7D6CF76B" w14:textId="77777777" w:rsidR="00A50454" w:rsidRPr="000050A7" w:rsidRDefault="00A50454" w:rsidP="00A50454">
      <w:pPr>
        <w:pStyle w:val="Opstilling-punkttegn"/>
        <w:rPr>
          <w:color w:val="000000" w:themeColor="text1"/>
        </w:rPr>
      </w:pPr>
      <w:r w:rsidRPr="000050A7">
        <w:rPr>
          <w:color w:val="000000" w:themeColor="text1"/>
        </w:rPr>
        <w:t xml:space="preserve">Etablering af kontrollerede deponier </w:t>
      </w:r>
    </w:p>
    <w:p w14:paraId="7D6CF76C" w14:textId="77777777" w:rsidR="00851D7F" w:rsidRPr="000050A7" w:rsidRDefault="00A50454" w:rsidP="00A50454">
      <w:pPr>
        <w:pStyle w:val="ListBullet2NoSpace"/>
        <w:rPr>
          <w:color w:val="000000" w:themeColor="text1"/>
        </w:rPr>
      </w:pPr>
      <w:r w:rsidRPr="000050A7">
        <w:rPr>
          <w:color w:val="000000" w:themeColor="text1"/>
        </w:rPr>
        <w:t xml:space="preserve">Der skal være minimum ét kontrolleret og miljøgodkendt deponi i hver kommune inden udgangen af 2016. </w:t>
      </w:r>
    </w:p>
    <w:p w14:paraId="7D6CF76D" w14:textId="10A25DFD" w:rsidR="00A50454" w:rsidRPr="000050A7" w:rsidRDefault="00A50454" w:rsidP="00A50454">
      <w:pPr>
        <w:pStyle w:val="Opstilling-punkttegn2"/>
        <w:rPr>
          <w:color w:val="000000" w:themeColor="text1"/>
        </w:rPr>
      </w:pPr>
      <w:r w:rsidRPr="000050A7">
        <w:rPr>
          <w:color w:val="000000" w:themeColor="text1"/>
        </w:rPr>
        <w:t>Alle dumpe i byer og bygder skal nedlægges eller omlægges til kontrollerede og miljøgodkendte deponier inden udgangen af 2024.</w:t>
      </w:r>
      <w:r w:rsidR="00E96B53" w:rsidRPr="000050A7">
        <w:rPr>
          <w:color w:val="000000" w:themeColor="text1"/>
        </w:rPr>
        <w:t xml:space="preserve"> </w:t>
      </w:r>
    </w:p>
    <w:p w14:paraId="7D6CF76E" w14:textId="77777777" w:rsidR="00A50454" w:rsidRPr="000050A7" w:rsidRDefault="00A50454" w:rsidP="001257BF">
      <w:pPr>
        <w:pStyle w:val="Opstilling-punkttegn"/>
        <w:rPr>
          <w:color w:val="000000" w:themeColor="text1"/>
        </w:rPr>
      </w:pPr>
      <w:r w:rsidRPr="000050A7">
        <w:rPr>
          <w:color w:val="000000" w:themeColor="text1"/>
        </w:rPr>
        <w:t xml:space="preserve"> Forbrændingsanlæg </w:t>
      </w:r>
    </w:p>
    <w:p w14:paraId="7D6CF76F" w14:textId="3FFC7260" w:rsidR="00A50454" w:rsidRPr="000050A7" w:rsidRDefault="00A50454" w:rsidP="00A50454">
      <w:pPr>
        <w:pStyle w:val="ListBullet2NoSpace"/>
        <w:rPr>
          <w:color w:val="000000" w:themeColor="text1"/>
        </w:rPr>
      </w:pPr>
      <w:r w:rsidRPr="000050A7">
        <w:rPr>
          <w:color w:val="000000" w:themeColor="text1"/>
        </w:rPr>
        <w:t>Der skal i de store byer i 2015 være taget stilling til, hvorvidt det er muligt at driftsoptimere og levetidsforlænge de eksisterende forbrændingsanlæg.</w:t>
      </w:r>
      <w:r w:rsidR="00E96B53" w:rsidRPr="000050A7">
        <w:rPr>
          <w:color w:val="000000" w:themeColor="text1"/>
        </w:rPr>
        <w:t xml:space="preserve"> </w:t>
      </w:r>
    </w:p>
    <w:p w14:paraId="7D6CF770" w14:textId="77777777" w:rsidR="00A50454" w:rsidRPr="000050A7" w:rsidRDefault="00A50454" w:rsidP="00A50454">
      <w:pPr>
        <w:pStyle w:val="ListBullet2NoSpace"/>
        <w:rPr>
          <w:color w:val="000000" w:themeColor="text1"/>
        </w:rPr>
      </w:pPr>
      <w:r w:rsidRPr="000050A7">
        <w:rPr>
          <w:color w:val="000000" w:themeColor="text1"/>
        </w:rPr>
        <w:t xml:space="preserve">Der skal inden udgangen af 2016 være truffet beslutning omkring nyetablering/renovering af eksisterende forbrændingsanlæg. </w:t>
      </w:r>
    </w:p>
    <w:p w14:paraId="7D6CF771" w14:textId="50EE4001" w:rsidR="00A50454" w:rsidRPr="000050A7" w:rsidRDefault="00A50454" w:rsidP="00A50454">
      <w:pPr>
        <w:pStyle w:val="ListBullet2NoSpace"/>
        <w:rPr>
          <w:color w:val="000000" w:themeColor="text1"/>
        </w:rPr>
      </w:pPr>
      <w:r w:rsidRPr="000050A7">
        <w:rPr>
          <w:color w:val="000000" w:themeColor="text1"/>
        </w:rPr>
        <w:t>Emissioner af dioxin</w:t>
      </w:r>
      <w:r w:rsidR="00894591" w:rsidRPr="000050A7">
        <w:rPr>
          <w:color w:val="000000" w:themeColor="text1"/>
        </w:rPr>
        <w:t>er</w:t>
      </w:r>
      <w:r w:rsidRPr="000050A7">
        <w:rPr>
          <w:color w:val="000000" w:themeColor="text1"/>
        </w:rPr>
        <w:t xml:space="preserve"> og tungmetaller fra forbrændingsanlæg i de store byer skal opfylde EU´s grænseværdier senest i 2024. </w:t>
      </w:r>
    </w:p>
    <w:p w14:paraId="7D6CF772" w14:textId="7ACA20C4" w:rsidR="00A50454" w:rsidRPr="000050A7" w:rsidRDefault="00A50454" w:rsidP="00A50454">
      <w:pPr>
        <w:pStyle w:val="Opstilling-punkttegn2"/>
        <w:rPr>
          <w:color w:val="000000" w:themeColor="text1"/>
        </w:rPr>
      </w:pPr>
      <w:r w:rsidRPr="000050A7">
        <w:rPr>
          <w:color w:val="000000" w:themeColor="text1"/>
        </w:rPr>
        <w:t>Der skal senest i 2020 være udviklet et affaldshåndteringskoncept til brændbart affald i bygderne, som er miljømæssig</w:t>
      </w:r>
      <w:r w:rsidR="008E6D17" w:rsidRPr="000050A7">
        <w:rPr>
          <w:color w:val="000000" w:themeColor="text1"/>
        </w:rPr>
        <w:t>t</w:t>
      </w:r>
      <w:r w:rsidRPr="000050A7">
        <w:rPr>
          <w:color w:val="000000" w:themeColor="text1"/>
        </w:rPr>
        <w:t xml:space="preserve"> forsvarlig. Implementeringen skal være påbegyndt senest i 2022. </w:t>
      </w:r>
    </w:p>
    <w:p w14:paraId="7D6CF773" w14:textId="5E7CD963" w:rsidR="004E6A86" w:rsidRPr="000050A7" w:rsidRDefault="00C409D2" w:rsidP="00B81868">
      <w:pPr>
        <w:pStyle w:val="Brdtekst"/>
        <w:rPr>
          <w:color w:val="000000" w:themeColor="text1"/>
        </w:rPr>
      </w:pPr>
      <w:r w:rsidRPr="000050A7">
        <w:rPr>
          <w:color w:val="000000" w:themeColor="text1"/>
        </w:rPr>
        <w:t>Anlægssektorplanen</w:t>
      </w:r>
      <w:r w:rsidR="004E6A86" w:rsidRPr="000050A7">
        <w:rPr>
          <w:color w:val="000000" w:themeColor="text1"/>
        </w:rPr>
        <w:t xml:space="preserve"> fastslår i øvrigt, at </w:t>
      </w:r>
      <w:r w:rsidR="00B81868" w:rsidRPr="000050A7">
        <w:rPr>
          <w:color w:val="000000" w:themeColor="text1"/>
        </w:rPr>
        <w:t>o</w:t>
      </w:r>
      <w:r w:rsidR="004E6A86" w:rsidRPr="000050A7">
        <w:rPr>
          <w:color w:val="000000" w:themeColor="text1"/>
        </w:rPr>
        <w:t>pgradering af forbrændingsanlæggene i de store byer i overensstemmelse med BAT-princippet skal sikre, at anlæggene fremadrettet vil kunne overholde EU’s grænseværdier for dioxin</w:t>
      </w:r>
      <w:r w:rsidR="00894591" w:rsidRPr="000050A7">
        <w:rPr>
          <w:color w:val="000000" w:themeColor="text1"/>
        </w:rPr>
        <w:t>er</w:t>
      </w:r>
      <w:r w:rsidR="004E6A86" w:rsidRPr="000050A7">
        <w:rPr>
          <w:color w:val="000000" w:themeColor="text1"/>
        </w:rPr>
        <w:t xml:space="preserve"> og tungmetaller. </w:t>
      </w:r>
      <w:r w:rsidR="00B81868" w:rsidRPr="000050A7">
        <w:rPr>
          <w:color w:val="000000" w:themeColor="text1"/>
        </w:rPr>
        <w:t>Det skal i øvrigt vurderes</w:t>
      </w:r>
      <w:r w:rsidR="008C2B5C" w:rsidRPr="000050A7">
        <w:rPr>
          <w:color w:val="000000" w:themeColor="text1"/>
        </w:rPr>
        <w:t>,</w:t>
      </w:r>
      <w:r w:rsidR="00B81868" w:rsidRPr="000050A7">
        <w:rPr>
          <w:color w:val="000000" w:themeColor="text1"/>
        </w:rPr>
        <w:t xml:space="preserve"> om opgraderingen til BAT også sikrer, at der kan </w:t>
      </w:r>
      <w:r w:rsidR="00B81868" w:rsidRPr="000050A7">
        <w:rPr>
          <w:color w:val="000000" w:themeColor="text1"/>
        </w:rPr>
        <w:lastRenderedPageBreak/>
        <w:t xml:space="preserve">ske en forsvarlig bortskaffelse af brændbart </w:t>
      </w:r>
      <w:proofErr w:type="spellStart"/>
      <w:r w:rsidR="00B81868" w:rsidRPr="000050A7">
        <w:rPr>
          <w:color w:val="000000" w:themeColor="text1"/>
        </w:rPr>
        <w:t>PCB-holdigt</w:t>
      </w:r>
      <w:proofErr w:type="spellEnd"/>
      <w:r w:rsidR="00B81868" w:rsidRPr="000050A7">
        <w:rPr>
          <w:color w:val="000000" w:themeColor="text1"/>
        </w:rPr>
        <w:t xml:space="preserve"> byggeaffald med mindre end 50 mg PCB/kg (affald med mere end 50 mg/kg skal efter reglerne bortskaffes som farligt affald). </w:t>
      </w:r>
    </w:p>
    <w:p w14:paraId="7D6CF774" w14:textId="5E51A9CA" w:rsidR="00A50454" w:rsidRDefault="00A50454">
      <w:pPr>
        <w:pStyle w:val="Brdtekst"/>
      </w:pPr>
      <w:r w:rsidRPr="001E5359">
        <w:t>Denne plan er på mange måder at sammenligne med den handlingsplan</w:t>
      </w:r>
      <w:r w:rsidR="00791649" w:rsidRPr="001E5359">
        <w:t>,</w:t>
      </w:r>
      <w:r w:rsidRPr="001E5359">
        <w:t xml:space="preserve"> </w:t>
      </w:r>
      <w:r w:rsidR="004E6A86" w:rsidRPr="001E5359">
        <w:t>der</w:t>
      </w:r>
      <w:r w:rsidR="008C2B5C" w:rsidRPr="001E5359">
        <w:t xml:space="preserve"> skal udarbejdes i henhold til </w:t>
      </w:r>
      <w:r w:rsidR="00020F71" w:rsidRPr="001E5359">
        <w:t>Stockholmkonventionen</w:t>
      </w:r>
      <w:r w:rsidR="00E26A35" w:rsidRPr="001E5359">
        <w:t>. Planen vil resultere</w:t>
      </w:r>
      <w:r w:rsidR="008C2B5C" w:rsidRPr="001E5359">
        <w:t xml:space="preserve"> i markante reduktioner i udledningerne af dioxiner og andre POP-stoffer, den indeholder en konkret tidsplan og tiltagene er baseret på BAT</w:t>
      </w:r>
      <w:r w:rsidR="008E6D17" w:rsidRPr="001E5359">
        <w:t>-</w:t>
      </w:r>
      <w:r w:rsidR="008C2B5C" w:rsidRPr="001E5359">
        <w:t>principper.</w:t>
      </w:r>
      <w:r w:rsidR="00E26A35" w:rsidRPr="001E5359">
        <w:t xml:space="preserve"> Anvendelse af BAT</w:t>
      </w:r>
      <w:r w:rsidR="008E6D17" w:rsidRPr="001E5359">
        <w:t>-</w:t>
      </w:r>
      <w:r w:rsidR="00E26A35" w:rsidRPr="001E5359">
        <w:t xml:space="preserve">principper er </w:t>
      </w:r>
      <w:r w:rsidR="00401CC1" w:rsidRPr="001E5359">
        <w:t>endvidere</w:t>
      </w:r>
      <w:r w:rsidR="00E26A35" w:rsidRPr="001E5359">
        <w:t xml:space="preserve"> skrevet ind i den overordnede miljølov. </w:t>
      </w:r>
      <w:r w:rsidR="008C2B5C" w:rsidRPr="001E5359">
        <w:t>Der henvises i planen til EU</w:t>
      </w:r>
      <w:r w:rsidR="008E6D17" w:rsidRPr="001E5359">
        <w:t>-</w:t>
      </w:r>
      <w:r w:rsidR="008C2B5C" w:rsidRPr="001E5359">
        <w:t xml:space="preserve">grænseværdier </w:t>
      </w:r>
      <w:r w:rsidR="00E77A2D" w:rsidRPr="001E5359">
        <w:t>for udslip af dioxiner</w:t>
      </w:r>
      <w:r w:rsidR="008E6D17" w:rsidRPr="001E5359">
        <w:t>,</w:t>
      </w:r>
      <w:r w:rsidR="00E77A2D" w:rsidRPr="001E5359">
        <w:t xml:space="preserve"> som fuldt ud opfylder kravene i Stockholmkonventionen. </w:t>
      </w:r>
    </w:p>
    <w:p w14:paraId="551302FE" w14:textId="47A275F4" w:rsidR="005A3E8D" w:rsidRPr="001E5359" w:rsidRDefault="005A3E8D">
      <w:pPr>
        <w:pStyle w:val="Brdtekst"/>
      </w:pPr>
      <w:proofErr w:type="spellStart"/>
      <w:r>
        <w:t>Naalakkersuisut</w:t>
      </w:r>
      <w:proofErr w:type="spellEnd"/>
      <w:r w:rsidR="00C31274">
        <w:t xml:space="preserve"> </w:t>
      </w:r>
      <w:r>
        <w:t xml:space="preserve">er i gang med at udarbejde en ny affaldshandlingsplan, der forventes at følge de samme målsætninger. </w:t>
      </w:r>
    </w:p>
    <w:p w14:paraId="01DEB79E" w14:textId="3E93DEBE" w:rsidR="004C173B" w:rsidRPr="00AE652F" w:rsidRDefault="005A3E8D" w:rsidP="004C173B">
      <w:pPr>
        <w:pStyle w:val="Brdtekst"/>
        <w:rPr>
          <w:rFonts w:ascii="Open Sans" w:hAnsi="Open Sans" w:cs="Times New Roman"/>
          <w:sz w:val="21"/>
          <w:szCs w:val="21"/>
        </w:rPr>
      </w:pPr>
      <w:r>
        <w:t>Kommunerne</w:t>
      </w:r>
      <w:r w:rsidR="004C173B" w:rsidRPr="00B41C36">
        <w:t xml:space="preserve"> har i foråret 2019 sammen </w:t>
      </w:r>
      <w:r w:rsidR="00DF2A32">
        <w:t>ind</w:t>
      </w:r>
      <w:r w:rsidR="004C173B" w:rsidRPr="00B41C36">
        <w:t>skudt startkapital i et nyt affaldsselskab ESANI A/S, der skal drive og etablere to</w:t>
      </w:r>
      <w:r w:rsidR="004C173B" w:rsidRPr="00B41C36">
        <w:rPr>
          <w:rFonts w:hint="eastAsia"/>
        </w:rPr>
        <w:t> </w:t>
      </w:r>
      <w:r w:rsidR="004C173B" w:rsidRPr="00B41C36">
        <w:t>forbr</w:t>
      </w:r>
      <w:r w:rsidR="004C173B" w:rsidRPr="00B41C36">
        <w:rPr>
          <w:rFonts w:hint="eastAsia"/>
        </w:rPr>
        <w:t>æ</w:t>
      </w:r>
      <w:r w:rsidR="004C173B" w:rsidRPr="00B41C36">
        <w:t>ndingsanl</w:t>
      </w:r>
      <w:r w:rsidR="004C173B" w:rsidRPr="00B41C36">
        <w:rPr>
          <w:rFonts w:hint="eastAsia"/>
        </w:rPr>
        <w:t>æ</w:t>
      </w:r>
      <w:r w:rsidR="004C173B" w:rsidRPr="00B41C36">
        <w:t>g i</w:t>
      </w:r>
      <w:r w:rsidR="004C173B" w:rsidRPr="00B41C36">
        <w:rPr>
          <w:rFonts w:hint="eastAsia"/>
        </w:rPr>
        <w:t> </w:t>
      </w:r>
      <w:r w:rsidR="00DF2A32">
        <w:t xml:space="preserve">henholdsvis </w:t>
      </w:r>
      <w:r w:rsidR="004C173B" w:rsidRPr="00B41C36">
        <w:t>Nuuk og Sisimiut</w:t>
      </w:r>
      <w:r w:rsidR="004C173B" w:rsidRPr="00C721BB">
        <w:rPr>
          <w:vertAlign w:val="superscript"/>
        </w:rPr>
        <w:t xml:space="preserve"> </w:t>
      </w:r>
      <w:r w:rsidR="004C173B" w:rsidRPr="00C721BB">
        <w:rPr>
          <w:vertAlign w:val="superscript"/>
        </w:rPr>
        <w:footnoteReference w:id="16"/>
      </w:r>
      <w:r w:rsidR="004C173B">
        <w:t>.</w:t>
      </w:r>
      <w:r w:rsidR="004C173B" w:rsidRPr="00B41C36">
        <w:t xml:space="preserve"> Der regnes med en samlet investering p</w:t>
      </w:r>
      <w:r w:rsidR="004C173B" w:rsidRPr="00B41C36">
        <w:rPr>
          <w:rFonts w:hint="eastAsia"/>
        </w:rPr>
        <w:t>å</w:t>
      </w:r>
      <w:r w:rsidR="004C173B" w:rsidRPr="00B41C36">
        <w:t xml:space="preserve"> omkring 400 millioner kroner i anl</w:t>
      </w:r>
      <w:r w:rsidR="004C173B" w:rsidRPr="00B41C36">
        <w:rPr>
          <w:rFonts w:hint="eastAsia"/>
        </w:rPr>
        <w:t>æ</w:t>
      </w:r>
      <w:r w:rsidR="004C173B" w:rsidRPr="00B41C36">
        <w:t>gsomkostninger til de to forbr</w:t>
      </w:r>
      <w:r w:rsidR="004C173B" w:rsidRPr="00B41C36">
        <w:rPr>
          <w:rFonts w:hint="eastAsia"/>
        </w:rPr>
        <w:t>æ</w:t>
      </w:r>
      <w:r w:rsidR="004C173B" w:rsidRPr="00B41C36">
        <w:t>ndingsanl</w:t>
      </w:r>
      <w:r w:rsidR="004C173B" w:rsidRPr="00B41C36">
        <w:rPr>
          <w:rFonts w:hint="eastAsia"/>
        </w:rPr>
        <w:t>æ</w:t>
      </w:r>
      <w:r w:rsidR="004C173B" w:rsidRPr="00B41C36">
        <w:t>g plus tre mindre spildolieanl</w:t>
      </w:r>
      <w:r w:rsidR="004C173B" w:rsidRPr="00B41C36">
        <w:rPr>
          <w:rFonts w:hint="eastAsia"/>
        </w:rPr>
        <w:t>æ</w:t>
      </w:r>
      <w:r w:rsidR="004C173B" w:rsidRPr="00B41C36">
        <w:t xml:space="preserve">g. </w:t>
      </w:r>
    </w:p>
    <w:p w14:paraId="5836DD85" w14:textId="09D4EE0A" w:rsidR="004C173B" w:rsidRDefault="004C173B" w:rsidP="004C173B">
      <w:pPr>
        <w:pStyle w:val="Brdtekst"/>
      </w:pPr>
      <w:r w:rsidRPr="00AE652F">
        <w:t xml:space="preserve">De to nye </w:t>
      </w:r>
      <w:r>
        <w:t>forbrændings</w:t>
      </w:r>
      <w:r w:rsidRPr="00AE652F">
        <w:t>anlæg forventes færdige i henholdsvis 2022 og 2023</w:t>
      </w:r>
      <w:r>
        <w:t>. D</w:t>
      </w:r>
      <w:r w:rsidRPr="00AE652F">
        <w:t>e to nye anlæg kommer til at være mere eller mindre ens og vil have en kapacitet på to tons br</w:t>
      </w:r>
      <w:r w:rsidR="00DF2A32">
        <w:t>æ</w:t>
      </w:r>
      <w:r w:rsidRPr="00AE652F">
        <w:t>ndbart affald i timen.</w:t>
      </w:r>
      <w:r>
        <w:t xml:space="preserve"> Med de nye anlæg, der vil få etableret røggasrensning</w:t>
      </w:r>
      <w:r w:rsidR="0039434F">
        <w:t>,</w:t>
      </w:r>
      <w:r>
        <w:t xml:space="preserve"> der </w:t>
      </w:r>
      <w:r w:rsidR="00DF2A32">
        <w:t>lever op</w:t>
      </w:r>
      <w:r>
        <w:t xml:space="preserve"> til BAT, vil emissionerne af</w:t>
      </w:r>
      <w:r w:rsidR="00AB006A">
        <w:t xml:space="preserve"> dioxiner og POP-stoffer blive betydeligt reduceret og </w:t>
      </w:r>
      <w:r w:rsidR="00DF2A32">
        <w:t xml:space="preserve">forventes at </w:t>
      </w:r>
      <w:r w:rsidR="00AB006A">
        <w:t xml:space="preserve">komme ned på et niveau </w:t>
      </w:r>
      <w:r w:rsidR="001032D7">
        <w:t>under grænseværdien i EU</w:t>
      </w:r>
      <w:r w:rsidR="00AB006A">
        <w:t>.</w:t>
      </w:r>
      <w:r w:rsidR="009E5ECE">
        <w:t xml:space="preserve"> </w:t>
      </w:r>
      <w:r w:rsidRPr="00AE652F">
        <w:t xml:space="preserve"> </w:t>
      </w:r>
    </w:p>
    <w:p w14:paraId="5AC13E10" w14:textId="4F0BB311" w:rsidR="00AB006A" w:rsidRDefault="00AB006A" w:rsidP="004C173B">
      <w:pPr>
        <w:pStyle w:val="Brdtekst"/>
        <w:rPr>
          <w:highlight w:val="yellow"/>
        </w:rPr>
      </w:pPr>
      <w:r>
        <w:t>Det er planen</w:t>
      </w:r>
      <w:r w:rsidR="00DF2A32">
        <w:t>,</w:t>
      </w:r>
      <w:r>
        <w:t xml:space="preserve"> at anlæggene skal modtage affald fra hele Grønland, men det er endnu ikke fastlagt, hvordan man bedst sender affald fra byerne og bygderne til Sisimiut og Nuuk.</w:t>
      </w:r>
    </w:p>
    <w:p w14:paraId="2CC8384A" w14:textId="6A96FA1E" w:rsidR="00C409D2" w:rsidRPr="00C409D2" w:rsidRDefault="00AB006A" w:rsidP="000050A7">
      <w:pPr>
        <w:pStyle w:val="Overskrift3"/>
        <w:keepNext w:val="0"/>
        <w:keepLines w:val="0"/>
      </w:pPr>
      <w:r>
        <w:t>O</w:t>
      </w:r>
      <w:r w:rsidR="007121D1">
        <w:t>verslag over omkostninger af planlagte og forventede aktiviteter</w:t>
      </w:r>
    </w:p>
    <w:p w14:paraId="7D6CF780" w14:textId="34069904" w:rsidR="004C69B7" w:rsidRDefault="003063CB">
      <w:pPr>
        <w:pStyle w:val="Brdtekst"/>
        <w:rPr>
          <w:color w:val="000000" w:themeColor="text1"/>
        </w:rPr>
      </w:pPr>
      <w:r>
        <w:t>Beslutningen om</w:t>
      </w:r>
      <w:r w:rsidR="00C37679">
        <w:t>,</w:t>
      </w:r>
      <w:r>
        <w:t xml:space="preserve"> at d</w:t>
      </w:r>
      <w:r w:rsidR="00C95FEA">
        <w:t xml:space="preserve">et kommunale affaldsselskab ESANI </w:t>
      </w:r>
      <w:r w:rsidR="00C37679">
        <w:t xml:space="preserve">skal </w:t>
      </w:r>
      <w:r>
        <w:t>etablere to forbrændingsanlæg</w:t>
      </w:r>
      <w:r w:rsidR="00C37679">
        <w:t xml:space="preserve"> plus tre mindre spildolieanlæg</w:t>
      </w:r>
      <w:r>
        <w:t xml:space="preserve"> er taget. ESANI regner </w:t>
      </w:r>
      <w:r w:rsidR="00AB006A" w:rsidRPr="00B41C36">
        <w:t>med en samlet investering p</w:t>
      </w:r>
      <w:r w:rsidR="00AB006A" w:rsidRPr="00B41C36">
        <w:rPr>
          <w:rFonts w:hint="eastAsia"/>
        </w:rPr>
        <w:t>å</w:t>
      </w:r>
      <w:r w:rsidR="00AB006A" w:rsidRPr="00B41C36">
        <w:t xml:space="preserve"> omkring 400 millioner kroner i anl</w:t>
      </w:r>
      <w:r w:rsidR="00AB006A" w:rsidRPr="00B41C36">
        <w:rPr>
          <w:rFonts w:hint="eastAsia"/>
        </w:rPr>
        <w:t>æ</w:t>
      </w:r>
      <w:r w:rsidR="00AB006A" w:rsidRPr="00B41C36">
        <w:t xml:space="preserve">gsomkostninger til de </w:t>
      </w:r>
      <w:r w:rsidR="00C37679">
        <w:t xml:space="preserve">fem </w:t>
      </w:r>
      <w:r w:rsidR="00AB006A" w:rsidRPr="00B41C36">
        <w:t>anl</w:t>
      </w:r>
      <w:r w:rsidR="00AB006A" w:rsidRPr="00B41C36">
        <w:rPr>
          <w:rFonts w:hint="eastAsia"/>
        </w:rPr>
        <w:t>æ</w:t>
      </w:r>
      <w:r w:rsidR="00AB006A" w:rsidRPr="00B41C36">
        <w:t>g.</w:t>
      </w:r>
      <w:r w:rsidR="00AB006A">
        <w:t xml:space="preserve"> Det </w:t>
      </w:r>
      <w:r w:rsidR="00DF2A32">
        <w:t>er</w:t>
      </w:r>
      <w:r w:rsidR="00AB006A">
        <w:t xml:space="preserve"> her vurdere</w:t>
      </w:r>
      <w:r w:rsidR="00DF2A32">
        <w:t>t</w:t>
      </w:r>
      <w:r w:rsidR="00AB006A">
        <w:t>, at røggasrensningen</w:t>
      </w:r>
      <w:r w:rsidR="00DF2A32">
        <w:t>,</w:t>
      </w:r>
      <w:r w:rsidR="00AB006A">
        <w:t xml:space="preserve"> hvad angår emissioner af diox</w:t>
      </w:r>
      <w:r w:rsidR="00AB006A" w:rsidRPr="000050A7">
        <w:rPr>
          <w:color w:val="000000" w:themeColor="text1"/>
        </w:rPr>
        <w:t xml:space="preserve">iner og andet POP-stoffer, vil svare til BAT, </w:t>
      </w:r>
      <w:r w:rsidR="00C37679">
        <w:rPr>
          <w:color w:val="000000" w:themeColor="text1"/>
        </w:rPr>
        <w:t>uanset</w:t>
      </w:r>
      <w:r w:rsidR="00AB006A" w:rsidRPr="000050A7">
        <w:rPr>
          <w:color w:val="000000" w:themeColor="text1"/>
        </w:rPr>
        <w:t xml:space="preserve"> om Grønland tiltræder Stockholmkonventionen. </w:t>
      </w:r>
    </w:p>
    <w:p w14:paraId="7C290212" w14:textId="5181B15A" w:rsidR="00432B8C" w:rsidRDefault="00432B8C">
      <w:pPr>
        <w:pStyle w:val="Brdtekst"/>
        <w:rPr>
          <w:color w:val="000000" w:themeColor="text1"/>
        </w:rPr>
      </w:pPr>
    </w:p>
    <w:p w14:paraId="777D9BE3" w14:textId="77777777" w:rsidR="00432B8C" w:rsidRPr="000050A7" w:rsidRDefault="00432B8C">
      <w:pPr>
        <w:pStyle w:val="Brdtekst"/>
        <w:rPr>
          <w:color w:val="000000" w:themeColor="text1"/>
        </w:rPr>
      </w:pPr>
      <w:bookmarkStart w:id="72" w:name="_GoBack"/>
      <w:bookmarkEnd w:id="72"/>
    </w:p>
    <w:p w14:paraId="647639B6" w14:textId="77777777" w:rsidR="006D5256" w:rsidRPr="000050A7" w:rsidRDefault="006D5256" w:rsidP="000050A7">
      <w:pPr>
        <w:pStyle w:val="Overskrift4"/>
        <w:keepNext w:val="0"/>
        <w:keepLines w:val="0"/>
        <w:rPr>
          <w:color w:val="000000" w:themeColor="text1"/>
        </w:rPr>
      </w:pPr>
      <w:r w:rsidRPr="000050A7">
        <w:rPr>
          <w:color w:val="000000" w:themeColor="text1"/>
        </w:rPr>
        <w:lastRenderedPageBreak/>
        <w:t xml:space="preserve">Måling af udslip </w:t>
      </w:r>
    </w:p>
    <w:p w14:paraId="2F053621" w14:textId="0BA69EEB" w:rsidR="006D5256" w:rsidRPr="001E5359" w:rsidRDefault="006D5256">
      <w:pPr>
        <w:pStyle w:val="Brdtekst"/>
      </w:pPr>
      <w:r w:rsidRPr="000050A7">
        <w:rPr>
          <w:color w:val="000000" w:themeColor="text1"/>
        </w:rPr>
        <w:t>I følge konventionen skal handlingsplanen indeholde en evaluering af aktuelle og beregnede udslip, herunder udarbejdelse og ajourføring af fortegnelser over kilder og skøn over udslip, under hensyntagen til kildekategorierne i bilag C.</w:t>
      </w:r>
      <w:r w:rsidR="005612EE" w:rsidRPr="000050A7">
        <w:rPr>
          <w:color w:val="000000" w:themeColor="text1"/>
        </w:rPr>
        <w:t xml:space="preserve"> Der angives ik</w:t>
      </w:r>
      <w:r w:rsidR="005612EE" w:rsidRPr="001E5359">
        <w:t xml:space="preserve">ke konkrete krav angående målinger. </w:t>
      </w:r>
    </w:p>
    <w:p w14:paraId="0F3337D6" w14:textId="3F19F285" w:rsidR="00AB006A" w:rsidRDefault="006D5256" w:rsidP="00AB006A">
      <w:pPr>
        <w:pStyle w:val="Brdtekst"/>
      </w:pPr>
      <w:r w:rsidRPr="001E5359">
        <w:t xml:space="preserve">Der foreligger målinger af emissioner af dioxiner fra affaldsforbrænding i Grønland, som demonstrerer høje niveauer, mens der ikke foreligger målinger af de øvrige </w:t>
      </w:r>
      <w:r w:rsidR="005612EE" w:rsidRPr="001E5359">
        <w:t>utilsigtet dannede POP-stoffer. Da niveauerne for dioxiner er langt over niveauerne for BAT, vil målinger af øvrige stoffer eller fornyede målinger af dioxiner/furaner næppe have nogen indflydelse på de valg, som der skal tages. Der vurderes derfor ikke at være behov for yderligere målinger før de</w:t>
      </w:r>
      <w:r w:rsidR="00AB006A">
        <w:t xml:space="preserve"> to nye anlæg</w:t>
      </w:r>
      <w:r w:rsidR="00DF2A32">
        <w:t xml:space="preserve"> er</w:t>
      </w:r>
      <w:r w:rsidR="005612EE" w:rsidRPr="001E5359">
        <w:t xml:space="preserve"> opfør</w:t>
      </w:r>
      <w:r w:rsidR="00DF2A32">
        <w:t>t</w:t>
      </w:r>
      <w:r w:rsidR="00AB006A">
        <w:t xml:space="preserve">. </w:t>
      </w:r>
    </w:p>
    <w:p w14:paraId="0115E0A2" w14:textId="2F2DF88F" w:rsidR="006D5256" w:rsidRPr="001E5359" w:rsidRDefault="005612EE">
      <w:pPr>
        <w:pStyle w:val="Brdtekst"/>
      </w:pPr>
      <w:r w:rsidRPr="001E5359">
        <w:t>Det vurderes</w:t>
      </w:r>
      <w:r w:rsidR="00D32378" w:rsidRPr="001E5359">
        <w:t>,</w:t>
      </w:r>
      <w:r w:rsidRPr="001E5359">
        <w:t xml:space="preserve"> at en sådan dokumentation</w:t>
      </w:r>
      <w:r w:rsidR="00AB006A">
        <w:t xml:space="preserve"> af effektiviteten af røggasrensningen</w:t>
      </w:r>
      <w:r w:rsidRPr="001E5359">
        <w:t xml:space="preserve"> under alle omstændigheder vil skulle fremskaffes og</w:t>
      </w:r>
      <w:r w:rsidR="00C6602C" w:rsidRPr="001E5359">
        <w:t>,</w:t>
      </w:r>
      <w:r w:rsidRPr="001E5359">
        <w:t xml:space="preserve"> at en </w:t>
      </w:r>
      <w:r w:rsidR="004F2E6E">
        <w:t>tiltrædelse af konventionen</w:t>
      </w:r>
      <w:r w:rsidRPr="001E5359">
        <w:t xml:space="preserve"> ikke vil have afgørende betydning for omkostningerne ved målingerne. Det bør dog overvejes i forbindelse med målinger af dioxiner at analysere for flere af de utilsigtet dannede POP-stoffer for at få et bed</w:t>
      </w:r>
      <w:r w:rsidR="00D32378" w:rsidRPr="001E5359">
        <w:t>r</w:t>
      </w:r>
      <w:r w:rsidRPr="001E5359">
        <w:t>e grundlag for</w:t>
      </w:r>
      <w:r w:rsidR="00E77777" w:rsidRPr="001E5359">
        <w:t xml:space="preserve"> vurdering af teknikkerne og </w:t>
      </w:r>
      <w:r w:rsidR="001032D7">
        <w:t xml:space="preserve">få et bedre grundlag for </w:t>
      </w:r>
      <w:r w:rsidR="00E77777" w:rsidRPr="001E5359">
        <w:t>rapportering</w:t>
      </w:r>
      <w:r w:rsidRPr="001E5359">
        <w:t>.</w:t>
      </w:r>
      <w:r w:rsidR="003063CB">
        <w:t xml:space="preserve"> Emissionsmålinger vil være en naturlig del at vilkårene i miljøgodkendelsen af forbrændingsanlæggene. </w:t>
      </w:r>
    </w:p>
    <w:p w14:paraId="1136B3E3" w14:textId="16B6777D" w:rsidR="00C409D2" w:rsidRPr="001E5359" w:rsidRDefault="00C409D2">
      <w:pPr>
        <w:pStyle w:val="Overskrift4"/>
      </w:pPr>
      <w:r w:rsidRPr="001E5359">
        <w:t xml:space="preserve">Konsekvenser af </w:t>
      </w:r>
      <w:r w:rsidR="004F2E6E">
        <w:t>at tiltræde konventionen</w:t>
      </w:r>
    </w:p>
    <w:p w14:paraId="66D813BA" w14:textId="7112B3EC" w:rsidR="00875E3C" w:rsidRPr="001E5359" w:rsidRDefault="00465382">
      <w:pPr>
        <w:pStyle w:val="Brdtekst"/>
      </w:pPr>
      <w:r w:rsidRPr="001E5359">
        <w:t xml:space="preserve">De igangsatte initiativer med henblik på at forbedre affaldsbehandlingen i Grønland og nedbringe dannelse og udledninger af POP-stoffer er i overensstemmelse med kravene under konventionen. En </w:t>
      </w:r>
      <w:r w:rsidR="004F2E6E">
        <w:t>tiltrædelse af konventionen</w:t>
      </w:r>
      <w:r w:rsidRPr="001E5359">
        <w:t xml:space="preserve"> vurderes ikke at resultere i yderligere omkostninger til affaldsbehandling, forudsat at der vil være en fortsat proces med at forbedre forbrændingen af affald </w:t>
      </w:r>
      <w:proofErr w:type="gramStart"/>
      <w:r w:rsidRPr="001E5359">
        <w:t>henimod</w:t>
      </w:r>
      <w:proofErr w:type="gramEnd"/>
      <w:r w:rsidRPr="001E5359">
        <w:t xml:space="preserve"> forbrænding i anlæg, som kan leve op til BAT-kravene i EU. </w:t>
      </w:r>
    </w:p>
    <w:p w14:paraId="5AB032B6" w14:textId="468D4BBA" w:rsidR="00C409D2" w:rsidRPr="001E5359" w:rsidRDefault="00FD2669">
      <w:pPr>
        <w:pStyle w:val="Brdtekst"/>
      </w:pPr>
      <w:r w:rsidRPr="001E5359">
        <w:t xml:space="preserve">Der er som nævnt i afsnit </w:t>
      </w:r>
      <w:r w:rsidRPr="00236DEC">
        <w:fldChar w:fldCharType="begin"/>
      </w:r>
      <w:r w:rsidRPr="001E5359">
        <w:instrText xml:space="preserve"> REF _Ref468973304 \r \h </w:instrText>
      </w:r>
      <w:r w:rsidRPr="00236DEC">
        <w:fldChar w:fldCharType="separate"/>
      </w:r>
      <w:r w:rsidR="00432B8C">
        <w:t>5.2</w:t>
      </w:r>
      <w:r w:rsidRPr="00236DEC">
        <w:fldChar w:fldCharType="end"/>
      </w:r>
      <w:r w:rsidRPr="001E5359">
        <w:t xml:space="preserve"> </w:t>
      </w:r>
      <w:r w:rsidR="00EF6171" w:rsidRPr="001E5359">
        <w:t xml:space="preserve">ikke </w:t>
      </w:r>
      <w:r w:rsidRPr="001E5359">
        <w:t>noge</w:t>
      </w:r>
      <w:r w:rsidR="00EF6171" w:rsidRPr="001E5359">
        <w:t>n</w:t>
      </w:r>
      <w:r w:rsidRPr="001E5359">
        <w:t xml:space="preserve"> tilsynsmyndighed under konventionen</w:t>
      </w:r>
      <w:r w:rsidR="001032D7">
        <w:t>. E</w:t>
      </w:r>
      <w:r w:rsidRPr="001E5359">
        <w:t xml:space="preserve">n </w:t>
      </w:r>
      <w:r w:rsidR="004F2E6E">
        <w:t>tiltrædelse af konventionen</w:t>
      </w:r>
      <w:r w:rsidRPr="001E5359">
        <w:t xml:space="preserve"> vil kunne have indenrigspolitiske konsekvenser</w:t>
      </w:r>
      <w:r w:rsidR="008A3BB7" w:rsidRPr="001E5359">
        <w:t>,</w:t>
      </w:r>
      <w:r w:rsidRPr="001E5359">
        <w:t xml:space="preserve"> fordi de enkelte partier vil kunne</w:t>
      </w:r>
      <w:r w:rsidR="008A3BB7" w:rsidRPr="001E5359">
        <w:t xml:space="preserve"> bruge det forhold</w:t>
      </w:r>
      <w:r w:rsidR="00D32378" w:rsidRPr="001E5359">
        <w:t>,</w:t>
      </w:r>
      <w:r w:rsidR="008A3BB7" w:rsidRPr="001E5359">
        <w:t xml:space="preserve"> at Grønland har </w:t>
      </w:r>
      <w:r w:rsidR="004F2E6E">
        <w:t>tiltrådt</w:t>
      </w:r>
      <w:r w:rsidR="008A3BB7" w:rsidRPr="001E5359">
        <w:t xml:space="preserve"> konventionen</w:t>
      </w:r>
      <w:r w:rsidR="00D32378" w:rsidRPr="001E5359">
        <w:t>,</w:t>
      </w:r>
      <w:r w:rsidR="008A3BB7" w:rsidRPr="001E5359">
        <w:t xml:space="preserve"> </w:t>
      </w:r>
      <w:r w:rsidRPr="001E5359">
        <w:t xml:space="preserve">til at holde Grønland fast i forhold til </w:t>
      </w:r>
      <w:r w:rsidR="008A3BB7" w:rsidRPr="001E5359">
        <w:t xml:space="preserve">at gennemføre </w:t>
      </w:r>
      <w:r w:rsidR="001032D7">
        <w:t xml:space="preserve">de </w:t>
      </w:r>
      <w:r w:rsidR="008A3BB7" w:rsidRPr="001E5359">
        <w:t>forbedringer i relation til affaldsforbrænding</w:t>
      </w:r>
      <w:r w:rsidR="001032D7">
        <w:t>,</w:t>
      </w:r>
      <w:r w:rsidR="008A3BB7" w:rsidRPr="001E5359">
        <w:t xml:space="preserve"> som </w:t>
      </w:r>
      <w:r w:rsidRPr="001E5359">
        <w:t>er formuleret eksempelvis i</w:t>
      </w:r>
      <w:r w:rsidR="008A3BB7" w:rsidRPr="001E5359">
        <w:t xml:space="preserve"> Anlægssektorplan for affaldsområdet. </w:t>
      </w:r>
    </w:p>
    <w:p w14:paraId="2A5CE323" w14:textId="4A1F5A71" w:rsidR="00CE3C75" w:rsidRPr="00CE3C75" w:rsidRDefault="001C7DA0" w:rsidP="008C4637">
      <w:pPr>
        <w:pStyle w:val="Overskrift2"/>
        <w:spacing w:line="260" w:lineRule="atLeast"/>
      </w:pPr>
      <w:bookmarkStart w:id="73" w:name="_Ref455643420"/>
      <w:bookmarkStart w:id="74" w:name="_Ref455645354"/>
      <w:bookmarkStart w:id="75" w:name="_Toc469053544"/>
      <w:bookmarkStart w:id="76" w:name="_Toc469057825"/>
      <w:bookmarkStart w:id="77" w:name="_Toc469304923"/>
      <w:bookmarkStart w:id="78" w:name="_Toc10205717"/>
      <w:r>
        <w:t>PCB</w:t>
      </w:r>
      <w:bookmarkEnd w:id="73"/>
      <w:bookmarkEnd w:id="74"/>
      <w:bookmarkEnd w:id="75"/>
      <w:bookmarkEnd w:id="76"/>
      <w:bookmarkEnd w:id="77"/>
      <w:bookmarkEnd w:id="78"/>
    </w:p>
    <w:p w14:paraId="7133F52F" w14:textId="0BC56D27" w:rsidR="00CE3C75" w:rsidRDefault="00CE3C75" w:rsidP="007121D1">
      <w:pPr>
        <w:pStyle w:val="Overskrift3"/>
      </w:pPr>
      <w:r w:rsidRPr="00A837AB">
        <w:t>Omfattede stoffer</w:t>
      </w:r>
    </w:p>
    <w:p w14:paraId="61046A4D" w14:textId="45E707A1" w:rsidR="00833FE1" w:rsidRPr="000D0869" w:rsidRDefault="00833FE1" w:rsidP="002440B4">
      <w:pPr>
        <w:pStyle w:val="Brdtekst"/>
        <w:rPr>
          <w:lang w:eastAsia="en-US"/>
        </w:rPr>
      </w:pPr>
      <w:proofErr w:type="spellStart"/>
      <w:r w:rsidRPr="00833FE1">
        <w:rPr>
          <w:lang w:eastAsia="en-US"/>
        </w:rPr>
        <w:t>Polychlorerede</w:t>
      </w:r>
      <w:proofErr w:type="spellEnd"/>
      <w:r w:rsidRPr="00833FE1">
        <w:rPr>
          <w:lang w:eastAsia="en-US"/>
        </w:rPr>
        <w:t xml:space="preserve"> </w:t>
      </w:r>
      <w:proofErr w:type="spellStart"/>
      <w:r w:rsidRPr="00833FE1">
        <w:rPr>
          <w:lang w:eastAsia="en-US"/>
        </w:rPr>
        <w:t>biphenyler</w:t>
      </w:r>
      <w:proofErr w:type="spellEnd"/>
      <w:r w:rsidRPr="00833FE1">
        <w:rPr>
          <w:lang w:eastAsia="en-US"/>
        </w:rPr>
        <w:t xml:space="preserve"> (PCB</w:t>
      </w:r>
      <w:r w:rsidRPr="000D0869">
        <w:rPr>
          <w:lang w:eastAsia="en-US"/>
        </w:rPr>
        <w:t xml:space="preserve">) er en gruppe af </w:t>
      </w:r>
      <w:proofErr w:type="spellStart"/>
      <w:r w:rsidRPr="000D0869">
        <w:rPr>
          <w:lang w:eastAsia="en-US"/>
        </w:rPr>
        <w:t>chlorerede</w:t>
      </w:r>
      <w:proofErr w:type="spellEnd"/>
      <w:r w:rsidRPr="000D0869">
        <w:rPr>
          <w:lang w:eastAsia="en-US"/>
        </w:rPr>
        <w:t xml:space="preserve"> organiske forbindelser, der i lighed med dioxiner er bygget op omkring to cykliske strukturer. De såkaldt ”dioxinlignende </w:t>
      </w:r>
      <w:proofErr w:type="spellStart"/>
      <w:r w:rsidRPr="000D0869">
        <w:rPr>
          <w:lang w:eastAsia="en-US"/>
        </w:rPr>
        <w:t>PCB’er</w:t>
      </w:r>
      <w:proofErr w:type="spellEnd"/>
      <w:r w:rsidRPr="000D0869">
        <w:rPr>
          <w:lang w:eastAsia="en-US"/>
        </w:rPr>
        <w:t>” minder i giftighed om dioxiner</w:t>
      </w:r>
      <w:r w:rsidR="004F37EE">
        <w:rPr>
          <w:lang w:eastAsia="en-US"/>
        </w:rPr>
        <w:t xml:space="preserve"> og indgår i beregningen af dioxintoksiciteten ved målinger af dioxiner i fødevarer</w:t>
      </w:r>
      <w:r w:rsidRPr="000D0869">
        <w:rPr>
          <w:lang w:eastAsia="en-US"/>
        </w:rPr>
        <w:t>.</w:t>
      </w:r>
    </w:p>
    <w:p w14:paraId="5434E1C0" w14:textId="1F207497" w:rsidR="00CE3C75" w:rsidRPr="00CE3C75" w:rsidRDefault="00833FE1" w:rsidP="002440B4">
      <w:pPr>
        <w:pStyle w:val="Brdtekst"/>
      </w:pPr>
      <w:r w:rsidRPr="000D0869">
        <w:rPr>
          <w:lang w:eastAsia="en-US"/>
        </w:rPr>
        <w:lastRenderedPageBreak/>
        <w:t xml:space="preserve">PCB har tidligere været produceret til forskellige tekniske formål og </w:t>
      </w:r>
      <w:r w:rsidR="001640EB">
        <w:rPr>
          <w:lang w:eastAsia="en-US"/>
        </w:rPr>
        <w:t xml:space="preserve">kan derudover </w:t>
      </w:r>
      <w:r w:rsidRPr="000D0869">
        <w:rPr>
          <w:lang w:eastAsia="en-US"/>
        </w:rPr>
        <w:t>dannes utils</w:t>
      </w:r>
      <w:r w:rsidR="004F37EE">
        <w:rPr>
          <w:lang w:eastAsia="en-US"/>
        </w:rPr>
        <w:t>igtet på samme måde som dioxin.</w:t>
      </w:r>
    </w:p>
    <w:p w14:paraId="7D6CF78B" w14:textId="77777777" w:rsidR="007121D1" w:rsidRDefault="007121D1" w:rsidP="007121D1">
      <w:pPr>
        <w:pStyle w:val="Overskrift3"/>
      </w:pPr>
      <w:r>
        <w:t xml:space="preserve">Konventionens krav </w:t>
      </w:r>
    </w:p>
    <w:p w14:paraId="2BAF0B00" w14:textId="08478668" w:rsidR="00BB76D8" w:rsidRDefault="00BB76D8" w:rsidP="007121D1">
      <w:pPr>
        <w:pStyle w:val="Brdtekst"/>
      </w:pPr>
      <w:r>
        <w:t>PCB er under</w:t>
      </w:r>
      <w:r w:rsidR="00E76969">
        <w:t xml:space="preserve"> </w:t>
      </w:r>
      <w:r>
        <w:t xml:space="preserve">konventionen </w:t>
      </w:r>
      <w:r w:rsidR="00810460">
        <w:t>omfattet af Bilag A, som vedrører den tilsigtede anvendelse, og af Bilag C, som vedrører den utilsigtede dannelse. Den utilsigtede dannelse sker ved samme processer som dannelsen af dioxin</w:t>
      </w:r>
      <w:r w:rsidR="00894591">
        <w:t>er</w:t>
      </w:r>
      <w:r w:rsidR="00810460">
        <w:t xml:space="preserve"> og er derfor omfattet af foregående afsnit.</w:t>
      </w:r>
    </w:p>
    <w:p w14:paraId="58C648D3" w14:textId="082E4E20" w:rsidR="00810460" w:rsidRDefault="00810460" w:rsidP="007121D1">
      <w:pPr>
        <w:pStyle w:val="Brdtekst"/>
      </w:pPr>
      <w:r>
        <w:t xml:space="preserve">Udover at forbyde produktion og anvendelse af PCB har konventionen en </w:t>
      </w:r>
      <w:r w:rsidR="004F37EE">
        <w:t>række specifikke krav, som primæ</w:t>
      </w:r>
      <w:r>
        <w:t>rt vedrør</w:t>
      </w:r>
      <w:r w:rsidR="004F37EE">
        <w:t>er anvendelsen af PCB i elektri</w:t>
      </w:r>
      <w:r>
        <w:t>s</w:t>
      </w:r>
      <w:r w:rsidR="004F37EE">
        <w:t>k</w:t>
      </w:r>
      <w:r>
        <w:t xml:space="preserve"> udstyr.</w:t>
      </w:r>
    </w:p>
    <w:p w14:paraId="6CA7668D" w14:textId="662EC1A4" w:rsidR="00810460" w:rsidRPr="00810460" w:rsidRDefault="00810460" w:rsidP="00BF37B3">
      <w:pPr>
        <w:pStyle w:val="Brdtekst"/>
        <w:rPr>
          <w:rFonts w:ascii="Arial" w:hAnsi="Arial"/>
          <w:szCs w:val="18"/>
        </w:rPr>
      </w:pPr>
      <w:r>
        <w:t xml:space="preserve">Parterne forpligter sig til </w:t>
      </w:r>
      <w:r w:rsidR="00BF37B3">
        <w:t>inden 2025</w:t>
      </w:r>
      <w:r w:rsidRPr="00810460">
        <w:t xml:space="preserve"> at træffe foranstaltninger i overensstemmelse med følgende prioritering:</w:t>
      </w:r>
    </w:p>
    <w:p w14:paraId="6D161413" w14:textId="3B2588BE" w:rsidR="00810460" w:rsidRPr="00810460" w:rsidRDefault="00810460" w:rsidP="00BF37B3">
      <w:pPr>
        <w:spacing w:line="240" w:lineRule="auto"/>
        <w:rPr>
          <w:szCs w:val="18"/>
        </w:rPr>
      </w:pPr>
      <w:r w:rsidRPr="00810460">
        <w:rPr>
          <w:szCs w:val="18"/>
        </w:rPr>
        <w:tab/>
      </w:r>
      <w:r w:rsidRPr="00810460">
        <w:rPr>
          <w:szCs w:val="18"/>
        </w:rPr>
        <w:tab/>
        <w:t xml:space="preserve">i) </w:t>
      </w:r>
      <w:r w:rsidRPr="00810460">
        <w:rPr>
          <w:szCs w:val="18"/>
        </w:rPr>
        <w:tab/>
        <w:t xml:space="preserve">at gøre en særlig indsats for at identificere, mærke og tage </w:t>
      </w:r>
      <w:r w:rsidRPr="00810460">
        <w:rPr>
          <w:szCs w:val="18"/>
        </w:rPr>
        <w:br/>
      </w:r>
      <w:r w:rsidRPr="00810460">
        <w:rPr>
          <w:szCs w:val="18"/>
        </w:rPr>
        <w:tab/>
      </w:r>
      <w:r w:rsidRPr="00810460">
        <w:rPr>
          <w:szCs w:val="18"/>
        </w:rPr>
        <w:tab/>
      </w:r>
      <w:r w:rsidRPr="00810460">
        <w:rPr>
          <w:szCs w:val="18"/>
        </w:rPr>
        <w:tab/>
        <w:t xml:space="preserve">udstyr ud af brug, der indeholder mere end 10 </w:t>
      </w:r>
      <w:r w:rsidR="004F37EE">
        <w:rPr>
          <w:szCs w:val="18"/>
        </w:rPr>
        <w:t>%</w:t>
      </w:r>
    </w:p>
    <w:p w14:paraId="030D09A1" w14:textId="5261B268" w:rsidR="00810460" w:rsidRPr="00810460" w:rsidRDefault="00810460" w:rsidP="00BF37B3">
      <w:pPr>
        <w:spacing w:line="240" w:lineRule="auto"/>
        <w:rPr>
          <w:szCs w:val="18"/>
        </w:rPr>
      </w:pPr>
      <w:r w:rsidRPr="00810460">
        <w:rPr>
          <w:szCs w:val="18"/>
        </w:rPr>
        <w:tab/>
      </w:r>
      <w:r w:rsidRPr="00810460">
        <w:rPr>
          <w:szCs w:val="18"/>
        </w:rPr>
        <w:tab/>
      </w:r>
      <w:r w:rsidRPr="00810460">
        <w:rPr>
          <w:szCs w:val="18"/>
        </w:rPr>
        <w:tab/>
      </w:r>
      <w:r w:rsidR="0089165F">
        <w:rPr>
          <w:szCs w:val="18"/>
        </w:rPr>
        <w:t>PCB</w:t>
      </w:r>
      <w:r w:rsidRPr="00810460">
        <w:rPr>
          <w:szCs w:val="18"/>
        </w:rPr>
        <w:t xml:space="preserve"> og mængder på over </w:t>
      </w:r>
      <w:smartTag w:uri="urn:schemas-microsoft-com:office:smarttags" w:element="metricconverter">
        <w:smartTagPr>
          <w:attr w:name="ProductID" w:val="5 liter"/>
        </w:smartTagPr>
        <w:r w:rsidRPr="00810460">
          <w:rPr>
            <w:szCs w:val="18"/>
          </w:rPr>
          <w:t>5 liter</w:t>
        </w:r>
      </w:smartTag>
    </w:p>
    <w:p w14:paraId="2637082F" w14:textId="77777777" w:rsidR="00810460" w:rsidRPr="00810460" w:rsidRDefault="00810460" w:rsidP="00BF37B3">
      <w:pPr>
        <w:spacing w:line="240" w:lineRule="auto"/>
        <w:rPr>
          <w:szCs w:val="18"/>
        </w:rPr>
      </w:pPr>
    </w:p>
    <w:p w14:paraId="2841AA60" w14:textId="090622FD" w:rsidR="00810460" w:rsidRPr="00810460" w:rsidRDefault="00810460" w:rsidP="00BF37B3">
      <w:pPr>
        <w:spacing w:line="240" w:lineRule="auto"/>
        <w:rPr>
          <w:szCs w:val="18"/>
        </w:rPr>
      </w:pPr>
      <w:r w:rsidRPr="00810460">
        <w:rPr>
          <w:szCs w:val="18"/>
        </w:rPr>
        <w:tab/>
      </w:r>
      <w:r w:rsidRPr="00810460">
        <w:rPr>
          <w:szCs w:val="18"/>
        </w:rPr>
        <w:tab/>
        <w:t xml:space="preserve">ii) </w:t>
      </w:r>
      <w:r w:rsidRPr="00810460">
        <w:rPr>
          <w:szCs w:val="18"/>
        </w:rPr>
        <w:tab/>
        <w:t>at gøre en særlig indsats for at identificere, mærke og tage</w:t>
      </w:r>
      <w:r w:rsidRPr="00810460">
        <w:rPr>
          <w:szCs w:val="18"/>
        </w:rPr>
        <w:br/>
      </w:r>
      <w:r w:rsidRPr="00810460">
        <w:rPr>
          <w:szCs w:val="18"/>
        </w:rPr>
        <w:tab/>
      </w:r>
      <w:r w:rsidRPr="00810460">
        <w:rPr>
          <w:szCs w:val="18"/>
        </w:rPr>
        <w:tab/>
      </w:r>
      <w:r w:rsidRPr="00810460">
        <w:rPr>
          <w:szCs w:val="18"/>
        </w:rPr>
        <w:tab/>
        <w:t xml:space="preserve">udstyr ud af brug, der indeholder mere end 0,05 </w:t>
      </w:r>
      <w:r w:rsidR="004F37EE">
        <w:rPr>
          <w:szCs w:val="18"/>
        </w:rPr>
        <w:t>%</w:t>
      </w:r>
      <w:r w:rsidRPr="00810460">
        <w:rPr>
          <w:szCs w:val="18"/>
        </w:rPr>
        <w:br/>
      </w:r>
      <w:r w:rsidRPr="00810460">
        <w:rPr>
          <w:szCs w:val="18"/>
        </w:rPr>
        <w:tab/>
      </w:r>
      <w:r w:rsidRPr="00810460">
        <w:rPr>
          <w:szCs w:val="18"/>
        </w:rPr>
        <w:tab/>
      </w:r>
      <w:r w:rsidRPr="00810460">
        <w:rPr>
          <w:szCs w:val="18"/>
        </w:rPr>
        <w:tab/>
      </w:r>
      <w:r w:rsidR="0089165F">
        <w:rPr>
          <w:szCs w:val="18"/>
        </w:rPr>
        <w:t>PCB</w:t>
      </w:r>
      <w:r w:rsidRPr="00810460">
        <w:rPr>
          <w:szCs w:val="18"/>
        </w:rPr>
        <w:t xml:space="preserve"> og mængder på over 5 liter</w:t>
      </w:r>
    </w:p>
    <w:p w14:paraId="7A31F14C" w14:textId="77777777" w:rsidR="00810460" w:rsidRPr="00810460" w:rsidRDefault="00810460" w:rsidP="00BF37B3">
      <w:pPr>
        <w:spacing w:line="240" w:lineRule="auto"/>
        <w:rPr>
          <w:szCs w:val="18"/>
        </w:rPr>
      </w:pPr>
    </w:p>
    <w:p w14:paraId="6902FB4D" w14:textId="7D8BC20B" w:rsidR="00810460" w:rsidRPr="00810460" w:rsidRDefault="00810460" w:rsidP="00BF37B3">
      <w:pPr>
        <w:spacing w:line="240" w:lineRule="auto"/>
        <w:rPr>
          <w:rFonts w:ascii="Arial" w:hAnsi="Arial"/>
          <w:szCs w:val="18"/>
        </w:rPr>
      </w:pPr>
      <w:r w:rsidRPr="00810460">
        <w:rPr>
          <w:szCs w:val="18"/>
        </w:rPr>
        <w:tab/>
      </w:r>
      <w:r w:rsidRPr="00810460">
        <w:rPr>
          <w:szCs w:val="18"/>
        </w:rPr>
        <w:tab/>
        <w:t xml:space="preserve">iii) </w:t>
      </w:r>
      <w:r w:rsidRPr="00810460">
        <w:rPr>
          <w:szCs w:val="18"/>
        </w:rPr>
        <w:tab/>
        <w:t>at gøre en særlig indsats for at identificere, mærke og tage</w:t>
      </w:r>
      <w:r w:rsidRPr="00810460">
        <w:rPr>
          <w:szCs w:val="18"/>
        </w:rPr>
        <w:br/>
      </w:r>
      <w:r w:rsidRPr="00810460">
        <w:rPr>
          <w:szCs w:val="18"/>
        </w:rPr>
        <w:tab/>
      </w:r>
      <w:r w:rsidRPr="00810460">
        <w:rPr>
          <w:szCs w:val="18"/>
        </w:rPr>
        <w:tab/>
      </w:r>
      <w:r w:rsidRPr="00810460">
        <w:rPr>
          <w:szCs w:val="18"/>
        </w:rPr>
        <w:tab/>
        <w:t xml:space="preserve">udstyr ud af brug, der indeholder mere end 0,005 </w:t>
      </w:r>
      <w:r w:rsidR="004F37EE">
        <w:rPr>
          <w:szCs w:val="18"/>
        </w:rPr>
        <w:t>%</w:t>
      </w:r>
      <w:r w:rsidRPr="00810460">
        <w:rPr>
          <w:szCs w:val="18"/>
        </w:rPr>
        <w:br/>
      </w:r>
      <w:r w:rsidRPr="00810460">
        <w:rPr>
          <w:szCs w:val="18"/>
        </w:rPr>
        <w:tab/>
      </w:r>
      <w:r w:rsidRPr="00810460">
        <w:rPr>
          <w:szCs w:val="18"/>
        </w:rPr>
        <w:tab/>
      </w:r>
      <w:r w:rsidRPr="00810460">
        <w:rPr>
          <w:szCs w:val="18"/>
        </w:rPr>
        <w:tab/>
      </w:r>
      <w:r w:rsidR="0089165F">
        <w:rPr>
          <w:szCs w:val="18"/>
        </w:rPr>
        <w:t>PCB</w:t>
      </w:r>
      <w:r w:rsidRPr="00810460">
        <w:rPr>
          <w:szCs w:val="18"/>
        </w:rPr>
        <w:t xml:space="preserve"> og mængder på over </w:t>
      </w:r>
      <w:r w:rsidR="00BF37B3">
        <w:rPr>
          <w:szCs w:val="18"/>
        </w:rPr>
        <w:t>0</w:t>
      </w:r>
      <w:r w:rsidR="001640EB">
        <w:rPr>
          <w:szCs w:val="18"/>
        </w:rPr>
        <w:t>,</w:t>
      </w:r>
      <w:r w:rsidR="00BF37B3">
        <w:rPr>
          <w:szCs w:val="18"/>
        </w:rPr>
        <w:t>0</w:t>
      </w:r>
      <w:smartTag w:uri="urn:schemas-microsoft-com:office:smarttags" w:element="metricconverter">
        <w:smartTagPr>
          <w:attr w:name="ProductID" w:val="5 liter"/>
        </w:smartTagPr>
        <w:r w:rsidRPr="00810460">
          <w:rPr>
            <w:szCs w:val="18"/>
          </w:rPr>
          <w:t>5 liter</w:t>
        </w:r>
      </w:smartTag>
      <w:r w:rsidR="0089165F">
        <w:rPr>
          <w:szCs w:val="18"/>
        </w:rPr>
        <w:t xml:space="preserve"> (50 ml)</w:t>
      </w:r>
      <w:r w:rsidRPr="00810460">
        <w:rPr>
          <w:szCs w:val="18"/>
        </w:rPr>
        <w:br/>
      </w:r>
      <w:r w:rsidRPr="00810460">
        <w:rPr>
          <w:szCs w:val="18"/>
        </w:rPr>
        <w:tab/>
      </w:r>
      <w:r w:rsidRPr="00810460">
        <w:rPr>
          <w:szCs w:val="18"/>
        </w:rPr>
        <w:tab/>
      </w:r>
      <w:r w:rsidRPr="00810460">
        <w:rPr>
          <w:szCs w:val="18"/>
        </w:rPr>
        <w:tab/>
      </w:r>
    </w:p>
    <w:p w14:paraId="1ABDAD6C" w14:textId="75A01D0C" w:rsidR="00810460" w:rsidRDefault="00BF37B3" w:rsidP="007121D1">
      <w:pPr>
        <w:pStyle w:val="Brdtekst"/>
      </w:pPr>
      <w:r>
        <w:t xml:space="preserve">Udstyr omfattet af i) vil være store PCB kondensatorer og </w:t>
      </w:r>
      <w:r w:rsidR="00E67B55">
        <w:t xml:space="preserve">PCB </w:t>
      </w:r>
      <w:r>
        <w:t xml:space="preserve">transformatorer i elektricitetsnettet </w:t>
      </w:r>
      <w:r w:rsidR="00E67B55">
        <w:t xml:space="preserve">og hos virksomheder med stort elektricitetsforbrug </w:t>
      </w:r>
      <w:r>
        <w:t>(såkaldte "</w:t>
      </w:r>
      <w:proofErr w:type="spellStart"/>
      <w:r>
        <w:t>askarel</w:t>
      </w:r>
      <w:proofErr w:type="spellEnd"/>
      <w:r>
        <w:t>" transformatorer). Udstyr omfattet af ii) vil især være transformatorer i elektricitetsnettet kontamineret med PCB</w:t>
      </w:r>
      <w:r w:rsidR="004F37EE">
        <w:t>,</w:t>
      </w:r>
      <w:r>
        <w:t xml:space="preserve"> </w:t>
      </w:r>
      <w:r w:rsidR="003D38AB">
        <w:t>mens udstyr omfattet af iii) dels vil være tilsvarende udstyr</w:t>
      </w:r>
      <w:r w:rsidR="00ED5A35">
        <w:t>,</w:t>
      </w:r>
      <w:r w:rsidR="003D38AB">
        <w:t xml:space="preserve"> men med lavere grad af kontaminering, dels kunne være kondensatorer i lysstofarmaturer</w:t>
      </w:r>
      <w:r w:rsidR="00E67B55">
        <w:t>,</w:t>
      </w:r>
      <w:r w:rsidR="003D38AB">
        <w:t xml:space="preserve"> som kan indeholde over 50 ml</w:t>
      </w:r>
      <w:r w:rsidR="0089165F">
        <w:t xml:space="preserve"> </w:t>
      </w:r>
      <w:r w:rsidR="003D38AB">
        <w:t>PCB (ren PCB).</w:t>
      </w:r>
    </w:p>
    <w:p w14:paraId="773A23B4" w14:textId="7A6409EF" w:rsidR="00BB76D8" w:rsidRDefault="003D38AB" w:rsidP="007121D1">
      <w:pPr>
        <w:pStyle w:val="Brdtekst"/>
      </w:pPr>
      <w:r>
        <w:t xml:space="preserve">Vedrørende PCB i byggematerialer forpligter parterne sig til </w:t>
      </w:r>
      <w:r w:rsidRPr="003D38AB">
        <w:t>at bestræbe sig på at identificere andre artikler, der indehol</w:t>
      </w:r>
      <w:r w:rsidR="004F37EE">
        <w:t>der mere end 0,005 %</w:t>
      </w:r>
      <w:r w:rsidRPr="003D38AB">
        <w:t xml:space="preserve"> </w:t>
      </w:r>
      <w:r>
        <w:t>PCB</w:t>
      </w:r>
      <w:r w:rsidRPr="003D38AB">
        <w:t xml:space="preserve"> (</w:t>
      </w:r>
      <w:r>
        <w:t>såsom kabelkapper, fugemasser</w:t>
      </w:r>
      <w:r w:rsidRPr="003D38AB">
        <w:t xml:space="preserve"> og malede genstande) og håndtere dem i overensstemmelse med </w:t>
      </w:r>
      <w:r>
        <w:t>reglerne for bortskaffelse af POP-</w:t>
      </w:r>
      <w:proofErr w:type="spellStart"/>
      <w:r>
        <w:t>holdigt</w:t>
      </w:r>
      <w:proofErr w:type="spellEnd"/>
      <w:r>
        <w:t xml:space="preserve"> affald. </w:t>
      </w:r>
      <w:r w:rsidR="00E67B55">
        <w:t>Bemærk</w:t>
      </w:r>
      <w:r w:rsidR="001640EB">
        <w:t>,</w:t>
      </w:r>
      <w:r w:rsidR="00E67B55">
        <w:t xml:space="preserve"> at konventionen kun vedrører materialer med mere end 50 </w:t>
      </w:r>
      <w:proofErr w:type="spellStart"/>
      <w:r w:rsidR="00E67B55">
        <w:t>ppm</w:t>
      </w:r>
      <w:proofErr w:type="spellEnd"/>
      <w:r w:rsidR="00E67B55">
        <w:t xml:space="preserve"> PCB</w:t>
      </w:r>
      <w:r w:rsidR="004F37EE">
        <w:t xml:space="preserve"> (0,005 %)</w:t>
      </w:r>
      <w:r w:rsidR="00E67B55">
        <w:t>.</w:t>
      </w:r>
    </w:p>
    <w:p w14:paraId="1373145E" w14:textId="60FEF156" w:rsidR="00E76969" w:rsidRDefault="00E76969" w:rsidP="007121D1">
      <w:pPr>
        <w:pStyle w:val="Brdtekst"/>
      </w:pPr>
      <w:r>
        <w:t>Kravene i POP-protokollen, som Grønland allerede har til</w:t>
      </w:r>
      <w:r w:rsidR="00853C12">
        <w:t>trådt</w:t>
      </w:r>
      <w:r>
        <w:t xml:space="preserve">, er meget lig kravene i </w:t>
      </w:r>
      <w:r w:rsidR="00020F71">
        <w:t>Stockholmkonventionen</w:t>
      </w:r>
      <w:r w:rsidR="00F2082E">
        <w:t>,</w:t>
      </w:r>
      <w:r>
        <w:t xml:space="preserve"> hvad angår større elektrisk udstyr, men protokollen har ingen krav vedrørende PCB i mindre udstyr og </w:t>
      </w:r>
      <w:r w:rsidR="004F37EE">
        <w:t xml:space="preserve">i </w:t>
      </w:r>
      <w:r>
        <w:t>byggematerialer.</w:t>
      </w:r>
    </w:p>
    <w:p w14:paraId="711F76D9" w14:textId="55D5FC74" w:rsidR="00124F0B" w:rsidRPr="007121D1" w:rsidRDefault="00124F0B" w:rsidP="00124F0B">
      <w:pPr>
        <w:pStyle w:val="Brdtekst"/>
      </w:pPr>
      <w:r>
        <w:t xml:space="preserve">Hvad angår bortskaffelse af affald skal parterne træffe passende foranstaltninger til </w:t>
      </w:r>
      <w:r w:rsidR="0089165F">
        <w:t xml:space="preserve">at </w:t>
      </w:r>
      <w:r>
        <w:t xml:space="preserve">affald håndteres, indsamles, transporteres og lagres på en miljøforsvarlig måde og bortskaffes på en sådan måde, at indholdet af </w:t>
      </w:r>
      <w:r w:rsidR="0089165F">
        <w:t>POP-stoffer</w:t>
      </w:r>
      <w:r>
        <w:t xml:space="preserve"> destrueres eller omdannes irreversibelt, så det ikke udviser egenskaber, der er karakteristiske for </w:t>
      </w:r>
      <w:r w:rsidR="0089165F">
        <w:t>POP-stoffer</w:t>
      </w:r>
      <w:r>
        <w:t>. Reglerne gælder kun for affald med et indhold over en vis grænse</w:t>
      </w:r>
      <w:r w:rsidR="008F3879">
        <w:t xml:space="preserve">, som for </w:t>
      </w:r>
      <w:proofErr w:type="spellStart"/>
      <w:r w:rsidR="008F3879">
        <w:t>PCBs</w:t>
      </w:r>
      <w:proofErr w:type="spellEnd"/>
      <w:r w:rsidR="008F3879">
        <w:t xml:space="preserve"> vedkommende er 50 mg/kg.</w:t>
      </w:r>
    </w:p>
    <w:p w14:paraId="7D6CF78D" w14:textId="77777777" w:rsidR="007121D1" w:rsidRDefault="007121D1" w:rsidP="007121D1">
      <w:pPr>
        <w:pStyle w:val="Overskrift3"/>
      </w:pPr>
      <w:r>
        <w:lastRenderedPageBreak/>
        <w:t>Status for Grønland</w:t>
      </w:r>
    </w:p>
    <w:p w14:paraId="7F4FE6FD" w14:textId="77C5F44F" w:rsidR="00465382" w:rsidRDefault="00F2082E" w:rsidP="00F2082E">
      <w:pPr>
        <w:pStyle w:val="Brdtekst"/>
      </w:pPr>
      <w:r>
        <w:t xml:space="preserve">Der er i </w:t>
      </w:r>
      <w:r w:rsidR="00524FC8">
        <w:t xml:space="preserve">2014 </w:t>
      </w:r>
      <w:r>
        <w:t xml:space="preserve">udarbejdet en </w:t>
      </w:r>
      <w:r w:rsidR="00BB20CF">
        <w:t>vejledning for håndtering af</w:t>
      </w:r>
      <w:r>
        <w:t xml:space="preserve"> PCB i Grønland og i 2014 udarbejdet </w:t>
      </w:r>
      <w:r w:rsidRPr="00EE7E2D">
        <w:t xml:space="preserve">et notat med overslag over omkostninger knyttet til de enkelte </w:t>
      </w:r>
      <w:r w:rsidR="00BB20CF" w:rsidRPr="00EE7E2D">
        <w:t>aktivitet</w:t>
      </w:r>
      <w:r w:rsidR="00C6602C">
        <w:t>s</w:t>
      </w:r>
      <w:r w:rsidR="00BB20CF" w:rsidRPr="00EE7E2D">
        <w:t>områder</w:t>
      </w:r>
      <w:r w:rsidRPr="00EE7E2D">
        <w:t xml:space="preserve">. </w:t>
      </w:r>
      <w:r w:rsidR="00465382" w:rsidRPr="0062571E">
        <w:t xml:space="preserve">Vejledningen har været anvendt siden </w:t>
      </w:r>
      <w:r w:rsidR="00524FC8" w:rsidRPr="0062571E">
        <w:t>201</w:t>
      </w:r>
      <w:r w:rsidR="00524FC8">
        <w:t>4</w:t>
      </w:r>
      <w:r w:rsidR="00524FC8" w:rsidRPr="0062571E">
        <w:t xml:space="preserve"> </w:t>
      </w:r>
      <w:r w:rsidR="00465382" w:rsidRPr="0062571E">
        <w:t>i forbindelse med renovering og nedrivning af bygninger</w:t>
      </w:r>
      <w:r w:rsidR="00C6602C">
        <w:t>,</w:t>
      </w:r>
      <w:r w:rsidR="00465382" w:rsidRPr="0062571E">
        <w:t xml:space="preserve"> og </w:t>
      </w:r>
      <w:r w:rsidR="00EE7E2D" w:rsidRPr="0062571E">
        <w:t xml:space="preserve">der har fra de involverede aktører </w:t>
      </w:r>
      <w:r w:rsidR="00465382" w:rsidRPr="0062571E">
        <w:t>generelt været tilfredshed med bestemmelserne</w:t>
      </w:r>
      <w:r w:rsidR="00EE7E2D" w:rsidRPr="00EE7E2D">
        <w:t>.</w:t>
      </w:r>
      <w:r w:rsidR="00465382">
        <w:t xml:space="preserve"> </w:t>
      </w:r>
    </w:p>
    <w:p w14:paraId="4B77E241" w14:textId="7082BA79" w:rsidR="00F2082E" w:rsidRDefault="00BB20CF" w:rsidP="00F2082E">
      <w:pPr>
        <w:pStyle w:val="Brdtekst"/>
      </w:pPr>
      <w:r>
        <w:t xml:space="preserve">Vejledningen </w:t>
      </w:r>
      <w:r w:rsidR="00F2082E">
        <w:t xml:space="preserve">omfatter følgende elementer (der henvises til </w:t>
      </w:r>
      <w:r w:rsidR="009622C5">
        <w:t xml:space="preserve">vejledningen </w:t>
      </w:r>
      <w:r w:rsidR="00F2082E">
        <w:t>for yderligere detaljer):</w:t>
      </w:r>
    </w:p>
    <w:p w14:paraId="512FA217" w14:textId="6238954A" w:rsidR="00F2082E" w:rsidRDefault="00BB20CF" w:rsidP="00F2082E">
      <w:pPr>
        <w:pStyle w:val="Opstilling-talellerbogst"/>
      </w:pPr>
      <w:r>
        <w:t>G</w:t>
      </w:r>
      <w:r w:rsidR="00F2082E" w:rsidRPr="00F2082E">
        <w:t>rænseværdier</w:t>
      </w:r>
      <w:r w:rsidR="00F2082E">
        <w:t xml:space="preserve"> for PCB i affald og jord samt krav om miljøkortlægning af PCB ved renovering og nedrivning</w:t>
      </w:r>
      <w:r w:rsidR="00EE7E2D">
        <w:t>.</w:t>
      </w:r>
    </w:p>
    <w:p w14:paraId="23C8D994" w14:textId="2FC40FED" w:rsidR="00F2082E" w:rsidRDefault="00BB20CF" w:rsidP="00F2082E">
      <w:pPr>
        <w:pStyle w:val="Opstilling-talellerbogst"/>
      </w:pPr>
      <w:r>
        <w:t>H</w:t>
      </w:r>
      <w:r w:rsidR="00F2082E">
        <w:t xml:space="preserve">åndtering af </w:t>
      </w:r>
      <w:proofErr w:type="spellStart"/>
      <w:r w:rsidR="00F2082E">
        <w:t>PCB-holdige</w:t>
      </w:r>
      <w:proofErr w:type="spellEnd"/>
      <w:r w:rsidR="00F2082E">
        <w:t xml:space="preserve"> byggematerialer</w:t>
      </w:r>
      <w:r>
        <w:t xml:space="preserve"> ved renovering og nedrivning</w:t>
      </w:r>
      <w:r w:rsidR="00EE7E2D">
        <w:t>.</w:t>
      </w:r>
    </w:p>
    <w:p w14:paraId="5A90343B" w14:textId="7989F565" w:rsidR="00F2082E" w:rsidRDefault="00BB20CF">
      <w:pPr>
        <w:pStyle w:val="Opstilling-talellerbogst"/>
      </w:pPr>
      <w:r>
        <w:t>Identifikation og bortskaffelse</w:t>
      </w:r>
      <w:r w:rsidR="00F2082E">
        <w:t xml:space="preserve"> af </w:t>
      </w:r>
      <w:proofErr w:type="spellStart"/>
      <w:r w:rsidR="00F2082E">
        <w:t>PCB-holdig</w:t>
      </w:r>
      <w:r w:rsidR="00EE7E2D">
        <w:t>t</w:t>
      </w:r>
      <w:proofErr w:type="spellEnd"/>
      <w:r>
        <w:t xml:space="preserve"> </w:t>
      </w:r>
      <w:r w:rsidR="00172F5A">
        <w:t>elektrisk udst</w:t>
      </w:r>
      <w:r w:rsidR="004F37EE">
        <w:t>y</w:t>
      </w:r>
      <w:r>
        <w:t>r</w:t>
      </w:r>
      <w:r w:rsidR="00EE7E2D">
        <w:t>.</w:t>
      </w:r>
    </w:p>
    <w:p w14:paraId="095D0B84" w14:textId="0BECF144" w:rsidR="00F2082E" w:rsidRDefault="004F37EE" w:rsidP="00F2082E">
      <w:pPr>
        <w:pStyle w:val="Brdtekst"/>
      </w:pPr>
      <w:r>
        <w:t>De eksisterende tiltag i rel</w:t>
      </w:r>
      <w:r w:rsidR="00172F5A">
        <w:t xml:space="preserve">ation til PCB i byggematerialer vurderes fuldt ud at leve op til konventionens krav om </w:t>
      </w:r>
      <w:r w:rsidR="00172F5A" w:rsidRPr="00172F5A">
        <w:t xml:space="preserve">at </w:t>
      </w:r>
      <w:r w:rsidR="00172F5A" w:rsidRPr="00172F5A">
        <w:rPr>
          <w:u w:val="single"/>
        </w:rPr>
        <w:t>bestræbe</w:t>
      </w:r>
      <w:r w:rsidR="00172F5A" w:rsidRPr="00172F5A">
        <w:t xml:space="preserve"> sig på at identificere andre artikler</w:t>
      </w:r>
      <w:r w:rsidR="00172F5A">
        <w:t xml:space="preserve"> </w:t>
      </w:r>
      <w:r w:rsidR="00172F5A" w:rsidRPr="00172F5A">
        <w:t>og håndtere dem i overensstemmelse med reglerne for bortskaffelse af POP-</w:t>
      </w:r>
      <w:proofErr w:type="spellStart"/>
      <w:r w:rsidR="00172F5A" w:rsidRPr="00172F5A">
        <w:t>holdigt</w:t>
      </w:r>
      <w:proofErr w:type="spellEnd"/>
      <w:r w:rsidR="00172F5A" w:rsidRPr="00172F5A">
        <w:t xml:space="preserve"> affald</w:t>
      </w:r>
      <w:r w:rsidR="00172F5A">
        <w:t>.</w:t>
      </w:r>
    </w:p>
    <w:p w14:paraId="25583F12" w14:textId="590F65B8" w:rsidR="00ED5A35" w:rsidRDefault="00172F5A" w:rsidP="00ED5A35">
      <w:pPr>
        <w:pStyle w:val="Brdtekst"/>
      </w:pPr>
      <w:r>
        <w:t>Det vurderes</w:t>
      </w:r>
      <w:r w:rsidR="00BB20CF">
        <w:t>,</w:t>
      </w:r>
      <w:r>
        <w:t xml:space="preserve"> at </w:t>
      </w:r>
      <w:r w:rsidR="00B412B6">
        <w:t xml:space="preserve">der vil </w:t>
      </w:r>
      <w:r>
        <w:t xml:space="preserve">være behov for at udarbejde en bekendtgørelse, der formaliserer forbud mod import af PCB samt reglerne omkring udfasning af </w:t>
      </w:r>
      <w:proofErr w:type="spellStart"/>
      <w:r>
        <w:t>PCB</w:t>
      </w:r>
      <w:r w:rsidR="001640EB">
        <w:t>-</w:t>
      </w:r>
      <w:r>
        <w:t>holdigt</w:t>
      </w:r>
      <w:proofErr w:type="spellEnd"/>
      <w:r>
        <w:t xml:space="preserve"> udstyr. </w:t>
      </w:r>
    </w:p>
    <w:p w14:paraId="7A202A30" w14:textId="011090A1" w:rsidR="00B412B6" w:rsidRPr="008A647E" w:rsidRDefault="00B412B6" w:rsidP="00ED5A35">
      <w:pPr>
        <w:pStyle w:val="Brdtekst"/>
      </w:pPr>
      <w:r>
        <w:t>Det vurderes</w:t>
      </w:r>
      <w:r w:rsidR="001640EB">
        <w:t>,</w:t>
      </w:r>
      <w:r>
        <w:t xml:space="preserve"> at der endvidere</w:t>
      </w:r>
      <w:r w:rsidR="001640EB">
        <w:t>,</w:t>
      </w:r>
      <w:r>
        <w:t xml:space="preserve"> for at leve op til konventionens krav om folkeoplysning</w:t>
      </w:r>
      <w:r w:rsidR="001640EB">
        <w:t>,</w:t>
      </w:r>
      <w:r>
        <w:t xml:space="preserve"> vil være et behov for at sikre, at viden om PCB i byggematerialer og håndteringen af disse er tilgængelig for befolkningen. Der er allerede udarbejdet en vejledning, men der vil kunne være behov for at udarbejde en pamflet med de vigtigste oplysninger af relevans for kommuner (som kan indarbejde informationen i de kommunale anvisninger) og den almindelige befolkning.</w:t>
      </w:r>
      <w:r w:rsidR="00E96B53">
        <w:t xml:space="preserve"> </w:t>
      </w:r>
    </w:p>
    <w:p w14:paraId="7D6CF78F" w14:textId="77777777" w:rsidR="007121D1" w:rsidRDefault="007121D1" w:rsidP="007121D1">
      <w:pPr>
        <w:pStyle w:val="Overskrift3"/>
      </w:pPr>
      <w:r>
        <w:t>Overslag over omkostninger af planlagte og forventede aktiviteter</w:t>
      </w:r>
    </w:p>
    <w:p w14:paraId="5EA3A8B1" w14:textId="7B3FB83E" w:rsidR="00875E3C" w:rsidRDefault="00524FC8" w:rsidP="007121D1">
      <w:pPr>
        <w:pStyle w:val="Brdtekst"/>
      </w:pPr>
      <w:r w:rsidRPr="00524FC8">
        <w:t>De eksisterende tiltag i relation til PCB i byggematerialer vurderes fuldt ud at leve op til konventionens krav</w:t>
      </w:r>
      <w:r>
        <w:t>.</w:t>
      </w:r>
      <w:r w:rsidRPr="00524FC8">
        <w:t xml:space="preserve"> </w:t>
      </w:r>
      <w:r w:rsidR="00D43F93">
        <w:t xml:space="preserve">Langt de fleste omkostninger </w:t>
      </w:r>
      <w:r>
        <w:t xml:space="preserve">i forhold til PCB </w:t>
      </w:r>
      <w:r w:rsidR="00D43F93">
        <w:t xml:space="preserve">er en konsekvens af </w:t>
      </w:r>
      <w:r w:rsidR="00875E3C">
        <w:t>gennemførelse</w:t>
      </w:r>
      <w:r w:rsidR="00C6602C">
        <w:t>n</w:t>
      </w:r>
      <w:r w:rsidR="00875E3C">
        <w:t xml:space="preserve"> af regler i vejledning</w:t>
      </w:r>
      <w:r w:rsidR="00D43F93">
        <w:t xml:space="preserve"> for PCB</w:t>
      </w:r>
      <w:r>
        <w:t xml:space="preserve"> fra 2014. D</w:t>
      </w:r>
      <w:r w:rsidR="00D43F93">
        <w:t>en største udgiftspost er knyttet til h</w:t>
      </w:r>
      <w:r w:rsidR="00D43F93" w:rsidRPr="00045909">
        <w:t xml:space="preserve">åndtering og bortskaffelse af </w:t>
      </w:r>
      <w:proofErr w:type="spellStart"/>
      <w:r w:rsidR="00D43F93" w:rsidRPr="00045909">
        <w:t>PCB-holdigt</w:t>
      </w:r>
      <w:proofErr w:type="spellEnd"/>
      <w:r w:rsidR="00D43F93" w:rsidRPr="00045909">
        <w:t xml:space="preserve"> byggeaffald </w:t>
      </w:r>
      <w:r w:rsidR="00D43F93">
        <w:t xml:space="preserve">i forbindelse med renovering og nedrivning af </w:t>
      </w:r>
      <w:proofErr w:type="spellStart"/>
      <w:r w:rsidR="00D43F93">
        <w:t>PCB-holdige</w:t>
      </w:r>
      <w:proofErr w:type="spellEnd"/>
      <w:r w:rsidR="00D43F93">
        <w:t xml:space="preserve"> bygninger.</w:t>
      </w:r>
      <w:r w:rsidR="00A12B26">
        <w:t xml:space="preserve"> </w:t>
      </w:r>
      <w:r w:rsidR="00464FDE">
        <w:t xml:space="preserve">Omkostningerne er i høj grad baseret på erfaringerne med omkostningerne ved nedrivning af Blok P i Nuuk. </w:t>
      </w:r>
      <w:r w:rsidR="00A12B26">
        <w:t xml:space="preserve">Disse udgifter er anslået til </w:t>
      </w:r>
      <w:r w:rsidR="00A12B26" w:rsidRPr="00045909">
        <w:t>100-400 mio. kr.</w:t>
      </w:r>
      <w:r w:rsidR="00D43F93">
        <w:t xml:space="preserve"> </w:t>
      </w:r>
    </w:p>
    <w:p w14:paraId="7D6CF79D" w14:textId="776B7057" w:rsidR="00045909" w:rsidRDefault="00524FC8" w:rsidP="007121D1">
      <w:pPr>
        <w:pStyle w:val="Brdtekst"/>
      </w:pPr>
      <w:r>
        <w:t>I forhold til at opfylde de r</w:t>
      </w:r>
      <w:r w:rsidR="00C31274">
        <w:t>e</w:t>
      </w:r>
      <w:r>
        <w:t>sterende krav i konventionen</w:t>
      </w:r>
      <w:r w:rsidR="00875E3C">
        <w:t>,</w:t>
      </w:r>
      <w:r w:rsidR="003126AA">
        <w:t xml:space="preserve"> vurderes </w:t>
      </w:r>
      <w:r w:rsidR="00C31274">
        <w:t>omkostningerne</w:t>
      </w:r>
      <w:r>
        <w:t xml:space="preserve"> </w:t>
      </w:r>
      <w:r w:rsidR="003126AA">
        <w:t>at være mindre end 0</w:t>
      </w:r>
      <w:r w:rsidR="00D72263">
        <w:t>,</w:t>
      </w:r>
      <w:r w:rsidR="003126AA">
        <w:t>5</w:t>
      </w:r>
      <w:r w:rsidR="00A12B26">
        <w:t xml:space="preserve"> mio</w:t>
      </w:r>
      <w:r w:rsidR="00AB0087">
        <w:t>.</w:t>
      </w:r>
      <w:r w:rsidR="00A12B26">
        <w:t xml:space="preserve"> </w:t>
      </w:r>
      <w:r w:rsidR="00B726D9">
        <w:t>kr.</w:t>
      </w:r>
      <w:r w:rsidR="00A12B26">
        <w:t xml:space="preserve"> til udarbejdelse af bekendtgørelse og oplysningsmateriale</w:t>
      </w:r>
      <w:r w:rsidR="001640EB">
        <w:t>,</w:t>
      </w:r>
      <w:r w:rsidR="00E66204">
        <w:t xml:space="preserve"> som er indregnet i kapitel </w:t>
      </w:r>
      <w:r w:rsidR="00E66204">
        <w:fldChar w:fldCharType="begin"/>
      </w:r>
      <w:r w:rsidR="00E66204">
        <w:instrText xml:space="preserve"> REF _Ref468698372 \r \h </w:instrText>
      </w:r>
      <w:r w:rsidR="00E66204">
        <w:fldChar w:fldCharType="separate"/>
      </w:r>
      <w:r w:rsidR="00432B8C">
        <w:t>5</w:t>
      </w:r>
      <w:r w:rsidR="00E66204">
        <w:fldChar w:fldCharType="end"/>
      </w:r>
      <w:r w:rsidR="00A12B26">
        <w:t xml:space="preserve">. Monitering af PCB i miljøet og human eksponering indgår i afsnit </w:t>
      </w:r>
      <w:r w:rsidR="00A12B26">
        <w:fldChar w:fldCharType="begin"/>
      </w:r>
      <w:r w:rsidR="00A12B26">
        <w:instrText xml:space="preserve"> REF _Ref468092942 \r \h </w:instrText>
      </w:r>
      <w:r w:rsidR="00A12B26">
        <w:fldChar w:fldCharType="separate"/>
      </w:r>
      <w:r w:rsidR="00432B8C">
        <w:t>5.3</w:t>
      </w:r>
      <w:r w:rsidR="00A12B26">
        <w:fldChar w:fldCharType="end"/>
      </w:r>
      <w:r w:rsidR="00A12B26">
        <w:t>.</w:t>
      </w:r>
    </w:p>
    <w:p w14:paraId="7D6CF79E" w14:textId="0FBB1DA2" w:rsidR="007121D1" w:rsidRDefault="00172F5A">
      <w:pPr>
        <w:pStyle w:val="Billedtekst"/>
        <w:keepNext/>
      </w:pPr>
      <w:r>
        <w:lastRenderedPageBreak/>
        <w:t xml:space="preserve">Tabel </w:t>
      </w:r>
      <w:r w:rsidR="00DA1BEC">
        <w:rPr>
          <w:noProof/>
        </w:rPr>
        <w:fldChar w:fldCharType="begin"/>
      </w:r>
      <w:r w:rsidR="00DA1BEC">
        <w:rPr>
          <w:noProof/>
        </w:rPr>
        <w:instrText xml:space="preserve"> SEQ Tabel \* ARABIC </w:instrText>
      </w:r>
      <w:r w:rsidR="00DA1BEC">
        <w:rPr>
          <w:noProof/>
        </w:rPr>
        <w:fldChar w:fldCharType="separate"/>
      </w:r>
      <w:r w:rsidR="00432B8C">
        <w:rPr>
          <w:noProof/>
        </w:rPr>
        <w:t>4</w:t>
      </w:r>
      <w:r w:rsidR="00DA1BEC">
        <w:rPr>
          <w:noProof/>
        </w:rPr>
        <w:fldChar w:fldCharType="end"/>
      </w:r>
      <w:r>
        <w:tab/>
      </w:r>
      <w:r w:rsidRPr="00172F5A">
        <w:t xml:space="preserve">Overslag over omkostninger af </w:t>
      </w:r>
      <w:r w:rsidR="00AD2343">
        <w:t xml:space="preserve">allerede </w:t>
      </w:r>
      <w:r w:rsidRPr="00172F5A">
        <w:t>planlagte og forventede</w:t>
      </w:r>
      <w:r w:rsidR="00AD2343">
        <w:t xml:space="preserve"> nye</w:t>
      </w:r>
      <w:r w:rsidRPr="00172F5A">
        <w:t xml:space="preserve"> aktiviteter</w:t>
      </w:r>
      <w:r>
        <w:t xml:space="preserve"> vedrørende PCB</w:t>
      </w:r>
      <w:r w:rsidR="00AD2343">
        <w:t>.</w:t>
      </w:r>
    </w:p>
    <w:tbl>
      <w:tblPr>
        <w:tblStyle w:val="Tabel-Klassisk4"/>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790"/>
        <w:gridCol w:w="3689"/>
      </w:tblGrid>
      <w:tr w:rsidR="00222C65" w:rsidRPr="00222C65" w14:paraId="7D6CF7A1" w14:textId="77777777" w:rsidTr="00B60F20">
        <w:trPr>
          <w:cnfStyle w:val="100000000000" w:firstRow="1" w:lastRow="0" w:firstColumn="0" w:lastColumn="0" w:oddVBand="0" w:evenVBand="0" w:oddHBand="0" w:evenHBand="0" w:firstRowFirstColumn="0" w:firstRowLastColumn="0" w:lastRowFirstColumn="0" w:lastRowLastColumn="0"/>
          <w:tblHeader/>
        </w:trPr>
        <w:tc>
          <w:tcPr>
            <w:tcW w:w="3790" w:type="dxa"/>
            <w:tcBorders>
              <w:bottom w:val="none" w:sz="0" w:space="0" w:color="auto"/>
            </w:tcBorders>
            <w:shd w:val="clear" w:color="auto" w:fill="F2F2F2" w:themeFill="background1" w:themeFillShade="F2"/>
            <w:hideMark/>
          </w:tcPr>
          <w:p w14:paraId="7D6CF79F" w14:textId="15077B3F" w:rsidR="00222C65" w:rsidRPr="00045909" w:rsidRDefault="00172F5A" w:rsidP="000050A7">
            <w:pPr>
              <w:pStyle w:val="Table"/>
              <w:keepNext/>
              <w:rPr>
                <w:b w:val="0"/>
                <w:bCs w:val="0"/>
                <w:i w:val="0"/>
                <w:iCs w:val="0"/>
                <w:color w:val="auto"/>
              </w:rPr>
            </w:pPr>
            <w:r>
              <w:rPr>
                <w:b w:val="0"/>
                <w:bCs w:val="0"/>
                <w:i w:val="0"/>
                <w:iCs w:val="0"/>
                <w:color w:val="auto"/>
              </w:rPr>
              <w:t>Aktivitet</w:t>
            </w:r>
          </w:p>
        </w:tc>
        <w:tc>
          <w:tcPr>
            <w:tcW w:w="3689" w:type="dxa"/>
            <w:tcBorders>
              <w:bottom w:val="none" w:sz="0" w:space="0" w:color="auto"/>
            </w:tcBorders>
            <w:shd w:val="clear" w:color="auto" w:fill="F2F2F2" w:themeFill="background1" w:themeFillShade="F2"/>
            <w:hideMark/>
          </w:tcPr>
          <w:p w14:paraId="7D6CF7A0" w14:textId="77777777" w:rsidR="00222C65" w:rsidRPr="00045909" w:rsidRDefault="00222C65" w:rsidP="000050A7">
            <w:pPr>
              <w:pStyle w:val="Table"/>
              <w:keepNext/>
              <w:rPr>
                <w:b w:val="0"/>
                <w:bCs w:val="0"/>
                <w:i w:val="0"/>
                <w:iCs w:val="0"/>
                <w:color w:val="auto"/>
              </w:rPr>
            </w:pPr>
            <w:r w:rsidRPr="00045909">
              <w:rPr>
                <w:b w:val="0"/>
                <w:bCs w:val="0"/>
                <w:i w:val="0"/>
                <w:iCs w:val="0"/>
                <w:color w:val="auto"/>
              </w:rPr>
              <w:t>Anslået omkostning</w:t>
            </w:r>
          </w:p>
        </w:tc>
      </w:tr>
      <w:tr w:rsidR="00172F5A" w:rsidRPr="00222C65" w14:paraId="46A6F620" w14:textId="77777777" w:rsidTr="00DC16EE">
        <w:tc>
          <w:tcPr>
            <w:tcW w:w="7479" w:type="dxa"/>
            <w:gridSpan w:val="2"/>
            <w:shd w:val="clear" w:color="auto" w:fill="F2F2F2" w:themeFill="background1" w:themeFillShade="F2"/>
          </w:tcPr>
          <w:p w14:paraId="7D3DCB23" w14:textId="2DAA3920" w:rsidR="00172F5A" w:rsidRPr="0062571E" w:rsidRDefault="00EE7E2D" w:rsidP="00524FC8">
            <w:pPr>
              <w:pStyle w:val="Table"/>
              <w:keepNext/>
              <w:rPr>
                <w:i/>
              </w:rPr>
            </w:pPr>
            <w:r w:rsidRPr="00EE7E2D">
              <w:rPr>
                <w:bCs/>
                <w:i/>
                <w:iCs/>
              </w:rPr>
              <w:t>Resultater af krav</w:t>
            </w:r>
            <w:r w:rsidRPr="0062571E">
              <w:rPr>
                <w:i/>
              </w:rPr>
              <w:t xml:space="preserve"> i vejledning for håndtering af </w:t>
            </w:r>
            <w:proofErr w:type="spellStart"/>
            <w:r w:rsidRPr="0062571E">
              <w:rPr>
                <w:i/>
              </w:rPr>
              <w:t>PCB</w:t>
            </w:r>
            <w:r w:rsidR="00524FC8">
              <w:rPr>
                <w:i/>
              </w:rPr>
              <w:t>-holdigt</w:t>
            </w:r>
            <w:proofErr w:type="spellEnd"/>
            <w:r w:rsidR="00524FC8">
              <w:rPr>
                <w:i/>
              </w:rPr>
              <w:t xml:space="preserve"> affald fra 2014 </w:t>
            </w:r>
            <w:r w:rsidR="00AD2343">
              <w:rPr>
                <w:i/>
              </w:rPr>
              <w:t>(allerede planlagte aktiviteter)</w:t>
            </w:r>
          </w:p>
        </w:tc>
      </w:tr>
      <w:tr w:rsidR="00222C65" w:rsidRPr="00222C65" w14:paraId="7D6CF7A4" w14:textId="77777777" w:rsidTr="00045909">
        <w:tc>
          <w:tcPr>
            <w:tcW w:w="3790" w:type="dxa"/>
            <w:hideMark/>
          </w:tcPr>
          <w:p w14:paraId="7D6CF7A2" w14:textId="77777777" w:rsidR="00222C65" w:rsidRPr="00045909" w:rsidRDefault="00222C65" w:rsidP="000050A7">
            <w:pPr>
              <w:pStyle w:val="Table"/>
              <w:keepNext/>
            </w:pPr>
            <w:r w:rsidRPr="00045909">
              <w:t xml:space="preserve">Kortlægning af PCB i byggematerialer </w:t>
            </w:r>
          </w:p>
        </w:tc>
        <w:tc>
          <w:tcPr>
            <w:tcW w:w="3689" w:type="dxa"/>
            <w:hideMark/>
          </w:tcPr>
          <w:p w14:paraId="7D6CF7A3" w14:textId="77777777" w:rsidR="00222C65" w:rsidRPr="00045909" w:rsidRDefault="00222C65" w:rsidP="000050A7">
            <w:pPr>
              <w:pStyle w:val="Table"/>
              <w:keepNext/>
            </w:pPr>
            <w:r w:rsidRPr="00045909">
              <w:t>8-20 mio. kr.</w:t>
            </w:r>
          </w:p>
        </w:tc>
      </w:tr>
      <w:tr w:rsidR="00222C65" w:rsidRPr="00222C65" w14:paraId="7D6CF7A8" w14:textId="77777777" w:rsidTr="00045909">
        <w:tc>
          <w:tcPr>
            <w:tcW w:w="3790" w:type="dxa"/>
            <w:hideMark/>
          </w:tcPr>
          <w:p w14:paraId="7D6CF7A5" w14:textId="153870AC" w:rsidR="00222C65" w:rsidRPr="00045909" w:rsidRDefault="00222C65" w:rsidP="000050A7">
            <w:pPr>
              <w:pStyle w:val="Table"/>
              <w:keepNext/>
            </w:pPr>
            <w:r w:rsidRPr="00045909">
              <w:t>Udarbejdelse af affaldshåndteringsplaner og myndighedsbehandling (</w:t>
            </w:r>
            <w:r w:rsidR="00B726D9" w:rsidRPr="00045909">
              <w:t>me</w:t>
            </w:r>
            <w:r w:rsidR="00B726D9">
              <w:t>r</w:t>
            </w:r>
            <w:r w:rsidR="00B726D9" w:rsidRPr="00045909">
              <w:t xml:space="preserve">udgift </w:t>
            </w:r>
            <w:r w:rsidRPr="00045909">
              <w:t>for miljøfarlige stoffer)</w:t>
            </w:r>
          </w:p>
        </w:tc>
        <w:tc>
          <w:tcPr>
            <w:tcW w:w="3689" w:type="dxa"/>
            <w:hideMark/>
          </w:tcPr>
          <w:p w14:paraId="7D6CF7A6" w14:textId="77777777" w:rsidR="00222C65" w:rsidRPr="00045909" w:rsidRDefault="00222C65" w:rsidP="000050A7">
            <w:pPr>
              <w:pStyle w:val="Table"/>
              <w:keepNext/>
            </w:pPr>
            <w:r w:rsidRPr="00045909">
              <w:t>5-20 mio. kr. (bygherre)</w:t>
            </w:r>
          </w:p>
          <w:p w14:paraId="7D6CF7A7" w14:textId="77777777" w:rsidR="00222C65" w:rsidRPr="00045909" w:rsidRDefault="00222C65" w:rsidP="000050A7">
            <w:pPr>
              <w:pStyle w:val="Table"/>
              <w:keepNext/>
            </w:pPr>
            <w:r w:rsidRPr="00045909">
              <w:t>1,5-6 mio. kr. (kommune)</w:t>
            </w:r>
          </w:p>
        </w:tc>
      </w:tr>
      <w:tr w:rsidR="00222C65" w:rsidRPr="00222C65" w14:paraId="7D6CF7AB" w14:textId="77777777" w:rsidTr="00045909">
        <w:tc>
          <w:tcPr>
            <w:tcW w:w="3790" w:type="dxa"/>
            <w:hideMark/>
          </w:tcPr>
          <w:p w14:paraId="7D6CF7A9" w14:textId="77777777" w:rsidR="00222C65" w:rsidRPr="00045909" w:rsidRDefault="00222C65" w:rsidP="000050A7">
            <w:pPr>
              <w:pStyle w:val="Table"/>
              <w:keepNext/>
            </w:pPr>
            <w:r w:rsidRPr="00045909">
              <w:t xml:space="preserve">Håndtering og bortskaffelse af </w:t>
            </w:r>
            <w:proofErr w:type="spellStart"/>
            <w:r w:rsidRPr="00045909">
              <w:t>PCB-holdigt</w:t>
            </w:r>
            <w:proofErr w:type="spellEnd"/>
            <w:r w:rsidRPr="00045909">
              <w:t xml:space="preserve"> byggeaffald </w:t>
            </w:r>
          </w:p>
        </w:tc>
        <w:tc>
          <w:tcPr>
            <w:tcW w:w="3689" w:type="dxa"/>
            <w:hideMark/>
          </w:tcPr>
          <w:p w14:paraId="7D6CF7AA" w14:textId="77777777" w:rsidR="00222C65" w:rsidRPr="00045909" w:rsidRDefault="00222C65" w:rsidP="000050A7">
            <w:pPr>
              <w:pStyle w:val="Table"/>
              <w:keepNext/>
            </w:pPr>
            <w:r w:rsidRPr="00045909">
              <w:t>100-400 mio. kr.</w:t>
            </w:r>
          </w:p>
        </w:tc>
      </w:tr>
      <w:tr w:rsidR="00222C65" w:rsidRPr="00222C65" w14:paraId="7D6CF7AE" w14:textId="77777777" w:rsidTr="00045909">
        <w:tc>
          <w:tcPr>
            <w:tcW w:w="3790" w:type="dxa"/>
            <w:hideMark/>
          </w:tcPr>
          <w:p w14:paraId="7D6CF7AC" w14:textId="77777777" w:rsidR="00222C65" w:rsidRPr="00045909" w:rsidRDefault="00222C65" w:rsidP="000050A7">
            <w:pPr>
              <w:pStyle w:val="Table"/>
              <w:keepNext/>
            </w:pPr>
            <w:r w:rsidRPr="00045909">
              <w:t xml:space="preserve">Håndtering og bortskaffelse af </w:t>
            </w:r>
            <w:proofErr w:type="spellStart"/>
            <w:r w:rsidRPr="00045909">
              <w:t>PCB-holdige</w:t>
            </w:r>
            <w:proofErr w:type="spellEnd"/>
            <w:r w:rsidRPr="00045909">
              <w:t xml:space="preserve"> termoruder og kondensatorer</w:t>
            </w:r>
          </w:p>
        </w:tc>
        <w:tc>
          <w:tcPr>
            <w:tcW w:w="3689" w:type="dxa"/>
            <w:hideMark/>
          </w:tcPr>
          <w:p w14:paraId="7D6CF7AD" w14:textId="77777777" w:rsidR="00222C65" w:rsidRPr="00045909" w:rsidRDefault="00222C65" w:rsidP="000050A7">
            <w:pPr>
              <w:pStyle w:val="Table"/>
              <w:keepNext/>
            </w:pPr>
            <w:r w:rsidRPr="00045909">
              <w:t xml:space="preserve">0,1-1,0 mio. kr. </w:t>
            </w:r>
          </w:p>
        </w:tc>
      </w:tr>
      <w:tr w:rsidR="00222C65" w:rsidRPr="00222C65" w14:paraId="7D6CF7BB" w14:textId="77777777" w:rsidTr="00045909">
        <w:tc>
          <w:tcPr>
            <w:tcW w:w="3790" w:type="dxa"/>
            <w:hideMark/>
          </w:tcPr>
          <w:p w14:paraId="7D6CF7B8" w14:textId="77777777" w:rsidR="00222C65" w:rsidRPr="00045909" w:rsidRDefault="00222C65" w:rsidP="00045909">
            <w:pPr>
              <w:pStyle w:val="Table"/>
            </w:pPr>
            <w:r w:rsidRPr="00045909">
              <w:t xml:space="preserve">Udfasning og bortskaffelse af </w:t>
            </w:r>
            <w:proofErr w:type="spellStart"/>
            <w:r w:rsidRPr="00045909">
              <w:t>PCB-holdigt</w:t>
            </w:r>
            <w:proofErr w:type="spellEnd"/>
            <w:r w:rsidRPr="00045909">
              <w:t xml:space="preserve"> udstyr</w:t>
            </w:r>
          </w:p>
        </w:tc>
        <w:tc>
          <w:tcPr>
            <w:tcW w:w="3689" w:type="dxa"/>
            <w:hideMark/>
          </w:tcPr>
          <w:p w14:paraId="7D6CF7B9" w14:textId="5A6BDA34" w:rsidR="00222C65" w:rsidRPr="00045909" w:rsidRDefault="00222C65" w:rsidP="00045909">
            <w:pPr>
              <w:pStyle w:val="Table"/>
            </w:pPr>
            <w:r w:rsidRPr="00045909">
              <w:t>Kortlægning &lt;0,05 mio. kr</w:t>
            </w:r>
            <w:r w:rsidR="001640EB">
              <w:t>.</w:t>
            </w:r>
            <w:r w:rsidRPr="00045909">
              <w:t xml:space="preserve"> </w:t>
            </w:r>
          </w:p>
          <w:p w14:paraId="7D6CF7BA" w14:textId="59F7E260" w:rsidR="00222C65" w:rsidRPr="00045909" w:rsidRDefault="00222C65" w:rsidP="00FD7CF7">
            <w:pPr>
              <w:pStyle w:val="Table"/>
            </w:pPr>
            <w:r w:rsidRPr="00045909">
              <w:t>Omkostninger til udfasning afhænger af resultat af kortlægning. Sandsynligvis vil udstyr</w:t>
            </w:r>
            <w:r w:rsidR="00FD7CF7">
              <w:t xml:space="preserve"> </w:t>
            </w:r>
            <w:r w:rsidR="0045545B">
              <w:t xml:space="preserve">med </w:t>
            </w:r>
            <w:r w:rsidR="00FD7CF7">
              <w:t>PCB</w:t>
            </w:r>
            <w:r w:rsidRPr="00045909">
              <w:t xml:space="preserve"> være udfaset</w:t>
            </w:r>
          </w:p>
        </w:tc>
      </w:tr>
      <w:tr w:rsidR="00EE7E2D" w:rsidRPr="00172F5A" w14:paraId="15264777" w14:textId="77777777" w:rsidTr="00EF6E14">
        <w:tc>
          <w:tcPr>
            <w:tcW w:w="7479" w:type="dxa"/>
            <w:gridSpan w:val="2"/>
            <w:shd w:val="clear" w:color="auto" w:fill="F2F2F2" w:themeFill="background1" w:themeFillShade="F2"/>
          </w:tcPr>
          <w:p w14:paraId="0C362B42" w14:textId="1C5F9D4D" w:rsidR="00EE7E2D" w:rsidRPr="00172F5A" w:rsidRDefault="00AD2343" w:rsidP="00045909">
            <w:pPr>
              <w:pStyle w:val="Table"/>
              <w:rPr>
                <w:bCs/>
                <w:i/>
                <w:iCs/>
              </w:rPr>
            </w:pPr>
            <w:r>
              <w:rPr>
                <w:bCs/>
                <w:i/>
                <w:iCs/>
              </w:rPr>
              <w:t>Nye</w:t>
            </w:r>
            <w:r w:rsidRPr="00172F5A">
              <w:rPr>
                <w:bCs/>
                <w:i/>
                <w:iCs/>
              </w:rPr>
              <w:t xml:space="preserve"> </w:t>
            </w:r>
            <w:r w:rsidR="00EE7E2D" w:rsidRPr="00172F5A">
              <w:rPr>
                <w:bCs/>
                <w:i/>
                <w:iCs/>
              </w:rPr>
              <w:t>tiltag</w:t>
            </w:r>
            <w:r w:rsidR="00EE7E2D">
              <w:rPr>
                <w:bCs/>
                <w:i/>
                <w:iCs/>
              </w:rPr>
              <w:t xml:space="preserve"> som konsekvens af at </w:t>
            </w:r>
            <w:r w:rsidR="004F2E6E">
              <w:rPr>
                <w:bCs/>
                <w:i/>
                <w:iCs/>
              </w:rPr>
              <w:t>tiltræde konventionen</w:t>
            </w:r>
          </w:p>
        </w:tc>
      </w:tr>
      <w:tr w:rsidR="00172F5A" w:rsidRPr="00222C65" w14:paraId="491D1437" w14:textId="77777777" w:rsidTr="00045909">
        <w:tc>
          <w:tcPr>
            <w:tcW w:w="3790" w:type="dxa"/>
          </w:tcPr>
          <w:p w14:paraId="0FD3B8B0" w14:textId="7E55B167" w:rsidR="00172F5A" w:rsidRDefault="00172F5A" w:rsidP="00045909">
            <w:pPr>
              <w:pStyle w:val="Table"/>
              <w:rPr>
                <w:bCs/>
                <w:iCs/>
              </w:rPr>
            </w:pPr>
            <w:r>
              <w:rPr>
                <w:bCs/>
                <w:iCs/>
              </w:rPr>
              <w:t xml:space="preserve">Udarbejdelse af bekendtgørelse </w:t>
            </w:r>
          </w:p>
        </w:tc>
        <w:tc>
          <w:tcPr>
            <w:tcW w:w="3689" w:type="dxa"/>
          </w:tcPr>
          <w:p w14:paraId="4860EAD0" w14:textId="195B1822" w:rsidR="00172F5A" w:rsidRDefault="00FD7CF7" w:rsidP="00FD7CF7">
            <w:pPr>
              <w:pStyle w:val="Table"/>
              <w:rPr>
                <w:bCs/>
                <w:iCs/>
              </w:rPr>
            </w:pPr>
            <w:r>
              <w:rPr>
                <w:bCs/>
                <w:iCs/>
              </w:rPr>
              <w:t xml:space="preserve">Indgår i </w:t>
            </w:r>
            <w:r w:rsidR="001640EB">
              <w:rPr>
                <w:bCs/>
                <w:iCs/>
              </w:rPr>
              <w:t>k</w:t>
            </w:r>
            <w:r>
              <w:rPr>
                <w:bCs/>
                <w:iCs/>
              </w:rPr>
              <w:t xml:space="preserve">apitel </w:t>
            </w:r>
            <w:r>
              <w:rPr>
                <w:bCs/>
                <w:iCs/>
              </w:rPr>
              <w:fldChar w:fldCharType="begin"/>
            </w:r>
            <w:r>
              <w:rPr>
                <w:bCs/>
                <w:iCs/>
              </w:rPr>
              <w:instrText xml:space="preserve"> REF _Ref468698374 \r \h </w:instrText>
            </w:r>
            <w:r>
              <w:rPr>
                <w:bCs/>
                <w:iCs/>
              </w:rPr>
            </w:r>
            <w:r>
              <w:rPr>
                <w:bCs/>
                <w:iCs/>
              </w:rPr>
              <w:fldChar w:fldCharType="separate"/>
            </w:r>
            <w:r w:rsidR="00432B8C">
              <w:rPr>
                <w:bCs/>
                <w:iCs/>
              </w:rPr>
              <w:t>6</w:t>
            </w:r>
            <w:r>
              <w:rPr>
                <w:bCs/>
                <w:iCs/>
              </w:rPr>
              <w:fldChar w:fldCharType="end"/>
            </w:r>
            <w:r>
              <w:rPr>
                <w:bCs/>
                <w:iCs/>
              </w:rPr>
              <w:t xml:space="preserve"> </w:t>
            </w:r>
          </w:p>
        </w:tc>
      </w:tr>
      <w:tr w:rsidR="00172F5A" w:rsidRPr="00222C65" w14:paraId="249313B5" w14:textId="77777777" w:rsidTr="00045909">
        <w:tc>
          <w:tcPr>
            <w:tcW w:w="3790" w:type="dxa"/>
          </w:tcPr>
          <w:p w14:paraId="69FC245C" w14:textId="06521365" w:rsidR="00172F5A" w:rsidRDefault="00B412B6" w:rsidP="00045909">
            <w:pPr>
              <w:pStyle w:val="Table"/>
              <w:rPr>
                <w:bCs/>
                <w:iCs/>
              </w:rPr>
            </w:pPr>
            <w:r>
              <w:rPr>
                <w:bCs/>
                <w:iCs/>
              </w:rPr>
              <w:t>Udarbejdelse af oplysningsmateriale til kommuner og befolkning</w:t>
            </w:r>
            <w:r w:rsidR="00F12F41">
              <w:rPr>
                <w:bCs/>
                <w:iCs/>
              </w:rPr>
              <w:t xml:space="preserve"> og spredning af dette materiale</w:t>
            </w:r>
          </w:p>
        </w:tc>
        <w:tc>
          <w:tcPr>
            <w:tcW w:w="3689" w:type="dxa"/>
          </w:tcPr>
          <w:p w14:paraId="090BCBB8" w14:textId="2928097A" w:rsidR="00172F5A" w:rsidRDefault="00FD7CF7" w:rsidP="00045909">
            <w:pPr>
              <w:pStyle w:val="Table"/>
              <w:rPr>
                <w:bCs/>
                <w:iCs/>
              </w:rPr>
            </w:pPr>
            <w:r>
              <w:rPr>
                <w:bCs/>
                <w:iCs/>
              </w:rPr>
              <w:t xml:space="preserve">Indgår i sektion </w:t>
            </w:r>
            <w:r>
              <w:rPr>
                <w:bCs/>
                <w:iCs/>
                <w:highlight w:val="yellow"/>
              </w:rPr>
              <w:fldChar w:fldCharType="begin"/>
            </w:r>
            <w:r>
              <w:rPr>
                <w:bCs/>
                <w:iCs/>
              </w:rPr>
              <w:instrText xml:space="preserve"> REF _Ref469053903 \r \h </w:instrText>
            </w:r>
            <w:r>
              <w:rPr>
                <w:bCs/>
                <w:iCs/>
                <w:highlight w:val="yellow"/>
              </w:rPr>
            </w:r>
            <w:r>
              <w:rPr>
                <w:bCs/>
                <w:iCs/>
                <w:highlight w:val="yellow"/>
              </w:rPr>
              <w:fldChar w:fldCharType="separate"/>
            </w:r>
            <w:r w:rsidR="00432B8C">
              <w:rPr>
                <w:bCs/>
                <w:iCs/>
              </w:rPr>
              <w:t>5.4</w:t>
            </w:r>
            <w:r>
              <w:rPr>
                <w:bCs/>
                <w:iCs/>
                <w:highlight w:val="yellow"/>
              </w:rPr>
              <w:fldChar w:fldCharType="end"/>
            </w:r>
          </w:p>
        </w:tc>
      </w:tr>
    </w:tbl>
    <w:p w14:paraId="7D6CF7BF" w14:textId="77777777" w:rsidR="008A647E" w:rsidRDefault="008A647E" w:rsidP="00222C65">
      <w:pPr>
        <w:pStyle w:val="Brdtekst"/>
      </w:pPr>
    </w:p>
    <w:p w14:paraId="7D6CF7C1" w14:textId="77777777" w:rsidR="001C7DA0" w:rsidRDefault="001C7DA0" w:rsidP="001C7DA0">
      <w:pPr>
        <w:pStyle w:val="Overskrift2"/>
      </w:pPr>
      <w:bookmarkStart w:id="79" w:name="_Toc469053545"/>
      <w:bookmarkStart w:id="80" w:name="_Toc469057826"/>
      <w:bookmarkStart w:id="81" w:name="_Toc469304924"/>
      <w:bookmarkStart w:id="82" w:name="_Toc10205718"/>
      <w:r>
        <w:t>PFOS og relaterede stoffer</w:t>
      </w:r>
      <w:bookmarkEnd w:id="79"/>
      <w:bookmarkEnd w:id="80"/>
      <w:bookmarkEnd w:id="81"/>
      <w:bookmarkEnd w:id="82"/>
    </w:p>
    <w:p w14:paraId="1032169B" w14:textId="23094F4A" w:rsidR="00CE3C75" w:rsidRDefault="00CE3C75" w:rsidP="007121D1">
      <w:pPr>
        <w:pStyle w:val="Overskrift3"/>
      </w:pPr>
      <w:r>
        <w:t>Omfattede stoffer</w:t>
      </w:r>
    </w:p>
    <w:p w14:paraId="23AC9E1B" w14:textId="5770E102" w:rsidR="00CE3C75" w:rsidRPr="000D0869" w:rsidRDefault="00CE3C75" w:rsidP="008A401F">
      <w:pPr>
        <w:pStyle w:val="Brdtekst"/>
        <w:rPr>
          <w:rFonts w:ascii="Georgia" w:hAnsi="Georgia" w:cs="Times New Roman"/>
          <w:szCs w:val="24"/>
          <w:lang w:eastAsia="en-US"/>
        </w:rPr>
      </w:pPr>
      <w:r w:rsidRPr="008A401F">
        <w:rPr>
          <w:lang w:eastAsia="en-US"/>
        </w:rPr>
        <w:t>PFOS</w:t>
      </w:r>
      <w:r w:rsidRPr="000D0869">
        <w:rPr>
          <w:lang w:eastAsia="en-US"/>
        </w:rPr>
        <w:t xml:space="preserve"> </w:t>
      </w:r>
      <w:r w:rsidR="008A401F">
        <w:rPr>
          <w:lang w:eastAsia="en-US"/>
        </w:rPr>
        <w:t xml:space="preserve">og relaterede stoffer </w:t>
      </w:r>
      <w:r w:rsidRPr="000D0869">
        <w:rPr>
          <w:lang w:eastAsia="en-US"/>
        </w:rPr>
        <w:t>er en stofgruppe</w:t>
      </w:r>
      <w:r w:rsidR="001E066B">
        <w:rPr>
          <w:lang w:eastAsia="en-US"/>
        </w:rPr>
        <w:t>,</w:t>
      </w:r>
      <w:r w:rsidRPr="000D0869">
        <w:rPr>
          <w:lang w:eastAsia="en-US"/>
        </w:rPr>
        <w:t xml:space="preserve"> som omfatter </w:t>
      </w:r>
      <w:proofErr w:type="spellStart"/>
      <w:r w:rsidRPr="000D0869">
        <w:rPr>
          <w:lang w:eastAsia="en-US"/>
        </w:rPr>
        <w:t>perfluoroctansulfonsyre</w:t>
      </w:r>
      <w:proofErr w:type="spellEnd"/>
      <w:r w:rsidRPr="000D0869">
        <w:rPr>
          <w:lang w:eastAsia="en-US"/>
        </w:rPr>
        <w:t xml:space="preserve"> </w:t>
      </w:r>
      <w:r w:rsidR="00E35BCD">
        <w:rPr>
          <w:lang w:eastAsia="en-US"/>
        </w:rPr>
        <w:t xml:space="preserve">(PFOS) </w:t>
      </w:r>
      <w:r w:rsidRPr="000D0869">
        <w:rPr>
          <w:lang w:eastAsia="en-US"/>
        </w:rPr>
        <w:t>og dets salte o</w:t>
      </w:r>
      <w:r w:rsidR="008A401F">
        <w:rPr>
          <w:lang w:eastAsia="en-US"/>
        </w:rPr>
        <w:t xml:space="preserve">g </w:t>
      </w:r>
      <w:proofErr w:type="spellStart"/>
      <w:r w:rsidR="008A401F">
        <w:rPr>
          <w:lang w:eastAsia="en-US"/>
        </w:rPr>
        <w:t>perfluoroctansulfonyl</w:t>
      </w:r>
      <w:proofErr w:type="spellEnd"/>
      <w:r w:rsidR="008A401F">
        <w:rPr>
          <w:lang w:eastAsia="en-US"/>
        </w:rPr>
        <w:t xml:space="preserve"> fluorid</w:t>
      </w:r>
      <w:r w:rsidR="00E35BCD">
        <w:rPr>
          <w:lang w:eastAsia="en-US"/>
        </w:rPr>
        <w:t xml:space="preserve"> (</w:t>
      </w:r>
      <w:r w:rsidR="00E35BCD" w:rsidRPr="00E35BCD">
        <w:rPr>
          <w:lang w:eastAsia="en-US"/>
        </w:rPr>
        <w:t>PFOSF</w:t>
      </w:r>
      <w:r w:rsidR="00E35BCD">
        <w:rPr>
          <w:lang w:eastAsia="en-US"/>
        </w:rPr>
        <w:t>)</w:t>
      </w:r>
      <w:r w:rsidRPr="000D0869">
        <w:rPr>
          <w:lang w:eastAsia="en-US"/>
        </w:rPr>
        <w:t xml:space="preserve">. </w:t>
      </w:r>
      <w:r w:rsidR="00E35BCD">
        <w:rPr>
          <w:lang w:eastAsia="en-US"/>
        </w:rPr>
        <w:t xml:space="preserve">Sidstnævnte er udgangsstof for de øvrige stoffer i gruppen. </w:t>
      </w:r>
      <w:r w:rsidRPr="000D0869">
        <w:rPr>
          <w:lang w:eastAsia="en-US"/>
        </w:rPr>
        <w:t>Disse stoffer er alle opbygget af en lang kæde med 8 kulstofatomer helt besat med fluoratomer, der giver stofferne deres stabilitet.</w:t>
      </w:r>
      <w:r w:rsidR="00E96B53">
        <w:rPr>
          <w:lang w:eastAsia="en-US"/>
        </w:rPr>
        <w:t xml:space="preserve"> </w:t>
      </w:r>
      <w:r w:rsidRPr="000D0869">
        <w:rPr>
          <w:lang w:eastAsia="en-US"/>
        </w:rPr>
        <w:t>For enden af kæden er der et svovlatom, hvorpå der kan sidde forskellige kemiske grupper. Stockh</w:t>
      </w:r>
      <w:r w:rsidR="008A401F">
        <w:rPr>
          <w:lang w:eastAsia="en-US"/>
        </w:rPr>
        <w:t>olmkonventionen angiver ikke en</w:t>
      </w:r>
      <w:r w:rsidRPr="000D0869">
        <w:rPr>
          <w:lang w:eastAsia="en-US"/>
        </w:rPr>
        <w:t xml:space="preserve"> bruttoformel, men eksemplificerer gruppen med en række konkrete stoffer. </w:t>
      </w:r>
      <w:r w:rsidR="00900A48">
        <w:rPr>
          <w:lang w:eastAsia="en-US"/>
        </w:rPr>
        <w:t>Betegnelsen PFOS vil i den følgende blive anvendt for hele gruppen af stoffer.</w:t>
      </w:r>
    </w:p>
    <w:p w14:paraId="7CA937BE" w14:textId="353DCEC8" w:rsidR="008A401F" w:rsidRDefault="00CE3C75" w:rsidP="008A401F">
      <w:pPr>
        <w:pStyle w:val="Brdtekst"/>
        <w:rPr>
          <w:lang w:eastAsia="en-US"/>
        </w:rPr>
      </w:pPr>
      <w:r w:rsidRPr="000D0869">
        <w:rPr>
          <w:lang w:eastAsia="en-US"/>
        </w:rPr>
        <w:t>PFOS har tidligere fundet bred anvendelse som overfladeaktive stoffer til imprægnering af tekstiler, tæpper, læder, papir og karton. Stofferne har ligeledes været anvendt i maling og lak, voks og rengøringsmidler. Der er en række anvendelser</w:t>
      </w:r>
      <w:r w:rsidR="001E066B">
        <w:rPr>
          <w:lang w:eastAsia="en-US"/>
        </w:rPr>
        <w:t>,</w:t>
      </w:r>
      <w:r w:rsidRPr="000D0869">
        <w:rPr>
          <w:lang w:eastAsia="en-US"/>
        </w:rPr>
        <w:t xml:space="preserve"> som er undtaget fra restriktionerne under konventionen, som omtales nærmere i det følgende. </w:t>
      </w:r>
    </w:p>
    <w:p w14:paraId="03E891B2" w14:textId="453FDFC9" w:rsidR="00CE3C75" w:rsidRPr="000D0869" w:rsidRDefault="00AB0087" w:rsidP="008A401F">
      <w:pPr>
        <w:pStyle w:val="Brdtekst"/>
        <w:rPr>
          <w:lang w:eastAsia="en-US"/>
        </w:rPr>
      </w:pPr>
      <w:r>
        <w:rPr>
          <w:lang w:eastAsia="en-US"/>
        </w:rPr>
        <w:t xml:space="preserve">PFOS er i dag typisk erstattet af </w:t>
      </w:r>
      <w:proofErr w:type="spellStart"/>
      <w:r>
        <w:rPr>
          <w:lang w:eastAsia="en-US"/>
        </w:rPr>
        <w:t>perfluorerede</w:t>
      </w:r>
      <w:proofErr w:type="spellEnd"/>
      <w:r>
        <w:rPr>
          <w:lang w:eastAsia="en-US"/>
        </w:rPr>
        <w:t xml:space="preserve"> </w:t>
      </w:r>
      <w:proofErr w:type="spellStart"/>
      <w:r w:rsidR="00B1644A">
        <w:rPr>
          <w:lang w:eastAsia="en-US"/>
        </w:rPr>
        <w:t>alkylsulfonater</w:t>
      </w:r>
      <w:proofErr w:type="spellEnd"/>
      <w:r w:rsidR="00B1644A">
        <w:rPr>
          <w:lang w:eastAsia="en-US"/>
        </w:rPr>
        <w:t xml:space="preserve"> </w:t>
      </w:r>
      <w:r>
        <w:rPr>
          <w:lang w:eastAsia="en-US"/>
        </w:rPr>
        <w:t xml:space="preserve">med kortere kædelængder eller andre typer af </w:t>
      </w:r>
      <w:proofErr w:type="spellStart"/>
      <w:r>
        <w:rPr>
          <w:lang w:eastAsia="en-US"/>
        </w:rPr>
        <w:t>perfl</w:t>
      </w:r>
      <w:r w:rsidR="00CE3C75" w:rsidRPr="000D0869">
        <w:rPr>
          <w:lang w:eastAsia="en-US"/>
        </w:rPr>
        <w:t>u</w:t>
      </w:r>
      <w:r>
        <w:rPr>
          <w:lang w:eastAsia="en-US"/>
        </w:rPr>
        <w:t>o</w:t>
      </w:r>
      <w:r w:rsidR="00CE3C75" w:rsidRPr="000D0869">
        <w:rPr>
          <w:lang w:eastAsia="en-US"/>
        </w:rPr>
        <w:t>rerede</w:t>
      </w:r>
      <w:proofErr w:type="spellEnd"/>
      <w:r w:rsidR="00CE3C75" w:rsidRPr="000D0869">
        <w:rPr>
          <w:lang w:eastAsia="en-US"/>
        </w:rPr>
        <w:t xml:space="preserve"> </w:t>
      </w:r>
      <w:proofErr w:type="spellStart"/>
      <w:r w:rsidR="00CE3C75" w:rsidRPr="000D0869">
        <w:rPr>
          <w:lang w:eastAsia="en-US"/>
        </w:rPr>
        <w:t>alkylforbindelser</w:t>
      </w:r>
      <w:proofErr w:type="spellEnd"/>
      <w:r w:rsidR="00B97244">
        <w:rPr>
          <w:lang w:eastAsia="en-US"/>
        </w:rPr>
        <w:t xml:space="preserve">. Forkortelsen </w:t>
      </w:r>
      <w:r w:rsidR="00B97244">
        <w:rPr>
          <w:lang w:eastAsia="en-US"/>
        </w:rPr>
        <w:lastRenderedPageBreak/>
        <w:t xml:space="preserve">PFAS </w:t>
      </w:r>
      <w:r w:rsidR="001640EB">
        <w:rPr>
          <w:lang w:eastAsia="en-US"/>
        </w:rPr>
        <w:t xml:space="preserve">benyttes </w:t>
      </w:r>
      <w:r w:rsidR="00B97244">
        <w:rPr>
          <w:lang w:eastAsia="en-US"/>
        </w:rPr>
        <w:t xml:space="preserve">i det følgende for den samlede gruppe af </w:t>
      </w:r>
      <w:proofErr w:type="spellStart"/>
      <w:r w:rsidR="00B97244">
        <w:rPr>
          <w:lang w:eastAsia="en-US"/>
        </w:rPr>
        <w:t>perfl</w:t>
      </w:r>
      <w:r w:rsidR="00B97244" w:rsidRPr="000D0869">
        <w:rPr>
          <w:lang w:eastAsia="en-US"/>
        </w:rPr>
        <w:t>u</w:t>
      </w:r>
      <w:r w:rsidR="00B97244">
        <w:rPr>
          <w:lang w:eastAsia="en-US"/>
        </w:rPr>
        <w:t>o</w:t>
      </w:r>
      <w:r w:rsidR="00B97244" w:rsidRPr="000D0869">
        <w:rPr>
          <w:lang w:eastAsia="en-US"/>
        </w:rPr>
        <w:t>rerede</w:t>
      </w:r>
      <w:proofErr w:type="spellEnd"/>
      <w:r w:rsidR="00B97244" w:rsidRPr="000D0869">
        <w:rPr>
          <w:lang w:eastAsia="en-US"/>
        </w:rPr>
        <w:t xml:space="preserve"> </w:t>
      </w:r>
      <w:proofErr w:type="spellStart"/>
      <w:r w:rsidR="00B97244" w:rsidRPr="000D0869">
        <w:rPr>
          <w:lang w:eastAsia="en-US"/>
        </w:rPr>
        <w:t>alkylforbindelser</w:t>
      </w:r>
      <w:proofErr w:type="spellEnd"/>
      <w:r w:rsidR="00B97244">
        <w:rPr>
          <w:lang w:eastAsia="en-US"/>
        </w:rPr>
        <w:t>.</w:t>
      </w:r>
    </w:p>
    <w:p w14:paraId="0BC5AF04" w14:textId="6C99FEAA" w:rsidR="00CE3C75" w:rsidRDefault="007121D1" w:rsidP="007121D1">
      <w:pPr>
        <w:pStyle w:val="Overskrift3"/>
      </w:pPr>
      <w:r>
        <w:t>Konventionens krav</w:t>
      </w:r>
    </w:p>
    <w:p w14:paraId="6A905379" w14:textId="0FD58B7A" w:rsidR="00AB0087" w:rsidRPr="00AB0087" w:rsidRDefault="00E35BCD" w:rsidP="00E35BCD">
      <w:pPr>
        <w:pStyle w:val="Brdtekst"/>
        <w:rPr>
          <w:lang w:eastAsia="en-US"/>
        </w:rPr>
      </w:pPr>
      <w:r>
        <w:t xml:space="preserve">Konventionen indeholder en række krav til parterne om </w:t>
      </w:r>
      <w:r w:rsidR="00AB0087" w:rsidRPr="00AB0087">
        <w:rPr>
          <w:lang w:eastAsia="en-US"/>
        </w:rPr>
        <w:t xml:space="preserve">at træffe de retslige og administrative foranstaltninger, der er nødvendige for at begrænse fremstilling, brug, import og eksport af </w:t>
      </w:r>
      <w:r>
        <w:rPr>
          <w:lang w:eastAsia="en-US"/>
        </w:rPr>
        <w:t>PFOS og relaterede stoffer</w:t>
      </w:r>
      <w:r w:rsidR="00AB0087" w:rsidRPr="00AB0087">
        <w:rPr>
          <w:lang w:eastAsia="en-US"/>
        </w:rPr>
        <w:t>. Konventionen åbner op for fortsat fremstilling og brug af PFOS til visse opregnede acceptable formål</w:t>
      </w:r>
      <w:r w:rsidR="00DC4857">
        <w:rPr>
          <w:lang w:eastAsia="en-US"/>
        </w:rPr>
        <w:t>,</w:t>
      </w:r>
      <w:r w:rsidR="00AB0087" w:rsidRPr="00AB0087">
        <w:rPr>
          <w:lang w:eastAsia="en-US"/>
        </w:rPr>
        <w:t xml:space="preserve"> herunder brugen af PFOS til </w:t>
      </w:r>
      <w:r w:rsidR="001E066B">
        <w:rPr>
          <w:lang w:eastAsia="en-US"/>
        </w:rPr>
        <w:t>ikke-</w:t>
      </w:r>
      <w:r w:rsidR="00AB0087" w:rsidRPr="00AB0087">
        <w:rPr>
          <w:lang w:eastAsia="en-US"/>
        </w:rPr>
        <w:t xml:space="preserve">dekorativ </w:t>
      </w:r>
      <w:proofErr w:type="spellStart"/>
      <w:r w:rsidR="00AB0087" w:rsidRPr="00AB0087">
        <w:rPr>
          <w:lang w:eastAsia="en-US"/>
        </w:rPr>
        <w:t>hårdforchromning</w:t>
      </w:r>
      <w:proofErr w:type="spellEnd"/>
      <w:r w:rsidR="00AB0087" w:rsidRPr="00AB0087">
        <w:rPr>
          <w:lang w:eastAsia="en-US"/>
        </w:rPr>
        <w:t xml:space="preserve">. Konventionen indeholder endvidere en række specifikke undtagelser vedr. brug af PFOS og brug af PFOS som mellemprodukt i kemikalieproduktion. </w:t>
      </w:r>
    </w:p>
    <w:p w14:paraId="7D2758B9" w14:textId="400735ED" w:rsidR="00E35BCD" w:rsidRDefault="00AB0087" w:rsidP="008B7823">
      <w:pPr>
        <w:pStyle w:val="Brdtekst"/>
        <w:rPr>
          <w:lang w:eastAsia="en-US"/>
        </w:rPr>
      </w:pPr>
      <w:r w:rsidRPr="008B7823">
        <w:rPr>
          <w:b/>
          <w:lang w:eastAsia="en-US"/>
        </w:rPr>
        <w:t>Lag</w:t>
      </w:r>
      <w:r w:rsidR="008B7823" w:rsidRPr="008B7823">
        <w:rPr>
          <w:b/>
          <w:lang w:eastAsia="en-US"/>
        </w:rPr>
        <w:t>re, affald og forurenede grunde</w:t>
      </w:r>
      <w:r w:rsidR="008B7823" w:rsidRPr="008B7823">
        <w:rPr>
          <w:lang w:eastAsia="en-US"/>
        </w:rPr>
        <w:t xml:space="preserve"> - </w:t>
      </w:r>
      <w:r w:rsidR="00E35BCD" w:rsidRPr="00E35BCD">
        <w:rPr>
          <w:lang w:eastAsia="en-US"/>
        </w:rPr>
        <w:t xml:space="preserve">Konventionen </w:t>
      </w:r>
      <w:r w:rsidR="00DC16EE">
        <w:rPr>
          <w:lang w:eastAsia="en-US"/>
        </w:rPr>
        <w:t>indeholder</w:t>
      </w:r>
      <w:r w:rsidR="00E35BCD" w:rsidRPr="00E35BCD">
        <w:rPr>
          <w:lang w:eastAsia="en-US"/>
        </w:rPr>
        <w:t xml:space="preserve"> krav om</w:t>
      </w:r>
      <w:r w:rsidR="00DC4857">
        <w:rPr>
          <w:lang w:eastAsia="en-US"/>
        </w:rPr>
        <w:t>,</w:t>
      </w:r>
      <w:r w:rsidR="00E35BCD" w:rsidRPr="00E35BCD">
        <w:rPr>
          <w:lang w:eastAsia="en-US"/>
        </w:rPr>
        <w:t xml:space="preserve"> at </w:t>
      </w:r>
      <w:r w:rsidR="00E35BCD">
        <w:rPr>
          <w:lang w:eastAsia="en-US"/>
        </w:rPr>
        <w:t>p</w:t>
      </w:r>
      <w:r w:rsidR="00E35BCD" w:rsidRPr="00133E52">
        <w:rPr>
          <w:lang w:eastAsia="en-US"/>
        </w:rPr>
        <w:t xml:space="preserve">arterne skal bestræbe sig på at udvikle passende strategier til identifikation af områder forurenet med </w:t>
      </w:r>
      <w:r w:rsidR="00E35BCD">
        <w:rPr>
          <w:lang w:eastAsia="en-US"/>
        </w:rPr>
        <w:t>PFOS og relaterede stoffer</w:t>
      </w:r>
      <w:r w:rsidR="00E35BCD" w:rsidRPr="00133E52">
        <w:rPr>
          <w:lang w:eastAsia="en-US"/>
        </w:rPr>
        <w:t>, og ved oprensning af disse områder sørge for, at det sker på en miljøforsvarlig måde.</w:t>
      </w:r>
    </w:p>
    <w:p w14:paraId="77E3E1EA" w14:textId="216B32E2" w:rsidR="009B5D63" w:rsidRDefault="009B5D63">
      <w:pPr>
        <w:pStyle w:val="Brdtekst"/>
        <w:rPr>
          <w:lang w:eastAsia="en-US"/>
        </w:rPr>
      </w:pPr>
      <w:r w:rsidRPr="000050A7">
        <w:rPr>
          <w:b/>
          <w:lang w:eastAsia="en-US"/>
        </w:rPr>
        <w:t>Undtagelser</w:t>
      </w:r>
      <w:r w:rsidR="008878B1" w:rsidRPr="000050A7">
        <w:rPr>
          <w:b/>
          <w:lang w:eastAsia="en-US"/>
        </w:rPr>
        <w:t xml:space="preserve"> </w:t>
      </w:r>
      <w:r w:rsidR="008878B1">
        <w:rPr>
          <w:lang w:eastAsia="en-US"/>
        </w:rPr>
        <w:t xml:space="preserve">- </w:t>
      </w:r>
      <w:r w:rsidR="00EF0007">
        <w:rPr>
          <w:lang w:eastAsia="en-US"/>
        </w:rPr>
        <w:t xml:space="preserve">EU (og dermed Danmark) har haft en undtagelse for PFOS anvendt til </w:t>
      </w:r>
      <w:r w:rsidR="001E066B">
        <w:rPr>
          <w:lang w:eastAsia="en-US"/>
        </w:rPr>
        <w:t xml:space="preserve">ikke-dekorativ </w:t>
      </w:r>
      <w:r w:rsidR="00EF0007">
        <w:rPr>
          <w:lang w:eastAsia="en-US"/>
        </w:rPr>
        <w:t>hårdforkromning</w:t>
      </w:r>
      <w:r w:rsidR="001E066B">
        <w:rPr>
          <w:lang w:eastAsia="en-US"/>
        </w:rPr>
        <w:t>,</w:t>
      </w:r>
      <w:r w:rsidR="00EF0007">
        <w:rPr>
          <w:lang w:eastAsia="en-US"/>
        </w:rPr>
        <w:t xml:space="preserve"> som er udløbet 26. august </w:t>
      </w:r>
      <w:r w:rsidR="00EF0007" w:rsidRPr="00EF0007">
        <w:rPr>
          <w:lang w:eastAsia="en-US"/>
        </w:rPr>
        <w:t>2015</w:t>
      </w:r>
      <w:r w:rsidR="00EF0007">
        <w:rPr>
          <w:lang w:eastAsia="en-US"/>
        </w:rPr>
        <w:t>. Der vurderes ikke at være behov for at Grønland søger om undtagelse</w:t>
      </w:r>
      <w:r w:rsidR="001E066B">
        <w:rPr>
          <w:lang w:eastAsia="en-US"/>
        </w:rPr>
        <w:t>.</w:t>
      </w:r>
      <w:r w:rsidR="00E96B53">
        <w:rPr>
          <w:lang w:eastAsia="en-US"/>
        </w:rPr>
        <w:t xml:space="preserve"> </w:t>
      </w:r>
    </w:p>
    <w:p w14:paraId="4CC37F5E" w14:textId="1B225F07" w:rsidR="00B61A2D" w:rsidRDefault="00B61A2D" w:rsidP="008B7823">
      <w:pPr>
        <w:pStyle w:val="Brdtekst"/>
        <w:rPr>
          <w:lang w:eastAsia="en-US"/>
        </w:rPr>
      </w:pPr>
      <w:r w:rsidRPr="001F035D">
        <w:rPr>
          <w:b/>
        </w:rPr>
        <w:t>Krav i POP-Protokollen</w:t>
      </w:r>
      <w:r>
        <w:t xml:space="preserve"> - POP-protokollen, som Grønland har til</w:t>
      </w:r>
      <w:r w:rsidR="00853C12">
        <w:t>trådt</w:t>
      </w:r>
      <w:r>
        <w:t>, indeholder krav i relation til begrænsning af anvendelses af PFOS og håndtering PFOS-</w:t>
      </w:r>
      <w:proofErr w:type="spellStart"/>
      <w:r>
        <w:t>holdigt</w:t>
      </w:r>
      <w:proofErr w:type="spellEnd"/>
      <w:r>
        <w:t xml:space="preserve"> affald, som på mange måder er identiske med Stockholmkonventionens krav.</w:t>
      </w:r>
      <w:r w:rsidR="008075D2">
        <w:t xml:space="preserve"> POP-protokollen omfatter imidlertid ikke krav i relation til forurenede grunde.</w:t>
      </w:r>
    </w:p>
    <w:p w14:paraId="7D6CF7C4" w14:textId="69839B9A" w:rsidR="007121D1" w:rsidRDefault="007121D1" w:rsidP="00E35BCD">
      <w:pPr>
        <w:pStyle w:val="Overskrift3"/>
      </w:pPr>
      <w:r>
        <w:t xml:space="preserve"> Status for Grønland</w:t>
      </w:r>
    </w:p>
    <w:p w14:paraId="609A0797" w14:textId="77777777" w:rsidR="008B7823" w:rsidRDefault="0022441F" w:rsidP="008B7823">
      <w:pPr>
        <w:pStyle w:val="Overskrift4"/>
      </w:pPr>
      <w:r w:rsidRPr="0022441F">
        <w:t>Nuværende anvendelser</w:t>
      </w:r>
    </w:p>
    <w:p w14:paraId="7D6CF7C5" w14:textId="11D24460" w:rsidR="008A647E" w:rsidRDefault="00DC16EE" w:rsidP="0022441F">
      <w:pPr>
        <w:pStyle w:val="Brdtekst"/>
        <w:rPr>
          <w:lang w:eastAsia="en-US"/>
        </w:rPr>
      </w:pPr>
      <w:r>
        <w:t xml:space="preserve">Der forventes ikke at være aktuelle anvendelser af </w:t>
      </w:r>
      <w:r>
        <w:rPr>
          <w:lang w:eastAsia="en-US"/>
        </w:rPr>
        <w:t xml:space="preserve">PFOS og relaterede stoffer i Grønland. Af de undtagne anvendelser </w:t>
      </w:r>
      <w:r w:rsidR="00B1644A">
        <w:rPr>
          <w:lang w:eastAsia="en-US"/>
        </w:rPr>
        <w:t xml:space="preserve">har </w:t>
      </w:r>
      <w:r>
        <w:rPr>
          <w:lang w:eastAsia="en-US"/>
        </w:rPr>
        <w:t xml:space="preserve">der </w:t>
      </w:r>
      <w:r w:rsidR="00B1644A">
        <w:rPr>
          <w:lang w:eastAsia="en-US"/>
        </w:rPr>
        <w:t xml:space="preserve">været et </w:t>
      </w:r>
      <w:r>
        <w:rPr>
          <w:lang w:eastAsia="en-US"/>
        </w:rPr>
        <w:t>beskedent forbrug af stofferne</w:t>
      </w:r>
      <w:r w:rsidR="0022441F">
        <w:rPr>
          <w:lang w:eastAsia="en-US"/>
        </w:rPr>
        <w:t xml:space="preserve"> til </w:t>
      </w:r>
      <w:r w:rsidR="00AD2343">
        <w:rPr>
          <w:lang w:eastAsia="en-US"/>
        </w:rPr>
        <w:t>ikke-</w:t>
      </w:r>
      <w:r w:rsidR="0022441F" w:rsidRPr="00974EE8">
        <w:t xml:space="preserve">dekorativ </w:t>
      </w:r>
      <w:r w:rsidR="0022441F">
        <w:rPr>
          <w:lang w:eastAsia="en-US"/>
        </w:rPr>
        <w:t>hårdforkromning i Danmark</w:t>
      </w:r>
      <w:r w:rsidR="00B1644A">
        <w:rPr>
          <w:lang w:eastAsia="en-US"/>
        </w:rPr>
        <w:t>, m</w:t>
      </w:r>
      <w:r w:rsidR="00DC4857">
        <w:rPr>
          <w:lang w:eastAsia="en-US"/>
        </w:rPr>
        <w:t>e</w:t>
      </w:r>
      <w:r w:rsidR="00B1644A">
        <w:rPr>
          <w:lang w:eastAsia="en-US"/>
        </w:rPr>
        <w:t>n anvendelsen er nu ophørt</w:t>
      </w:r>
      <w:r w:rsidR="0022441F">
        <w:rPr>
          <w:lang w:eastAsia="en-US"/>
        </w:rPr>
        <w:t>. Da der ikke er virksomheder i Grønland</w:t>
      </w:r>
      <w:r w:rsidR="001640EB">
        <w:rPr>
          <w:lang w:eastAsia="en-US"/>
        </w:rPr>
        <w:t>,</w:t>
      </w:r>
      <w:r w:rsidR="0022441F">
        <w:rPr>
          <w:lang w:eastAsia="en-US"/>
        </w:rPr>
        <w:t xml:space="preserve"> der foretager </w:t>
      </w:r>
      <w:r w:rsidR="00AD2343">
        <w:rPr>
          <w:lang w:eastAsia="en-US"/>
        </w:rPr>
        <w:t>ikke-</w:t>
      </w:r>
      <w:r w:rsidR="0022441F" w:rsidRPr="00974EE8">
        <w:t xml:space="preserve">dekorativ </w:t>
      </w:r>
      <w:r w:rsidR="0022441F">
        <w:rPr>
          <w:lang w:eastAsia="en-US"/>
        </w:rPr>
        <w:t>hårdforkromning</w:t>
      </w:r>
      <w:r w:rsidR="001640EB">
        <w:rPr>
          <w:lang w:eastAsia="en-US"/>
        </w:rPr>
        <w:t>,</w:t>
      </w:r>
      <w:r w:rsidR="0022441F">
        <w:rPr>
          <w:lang w:eastAsia="en-US"/>
        </w:rPr>
        <w:t xml:space="preserve"> vil en sådan anvendelse ikke finde sted i Grønland. Der vil derfor ikke være behov for</w:t>
      </w:r>
      <w:r w:rsidR="001640EB">
        <w:rPr>
          <w:lang w:eastAsia="en-US"/>
        </w:rPr>
        <w:t>,</w:t>
      </w:r>
      <w:r w:rsidR="0022441F">
        <w:rPr>
          <w:lang w:eastAsia="en-US"/>
        </w:rPr>
        <w:t xml:space="preserve"> at Grønland notificerer</w:t>
      </w:r>
      <w:r w:rsidR="0022441F" w:rsidRPr="0022441F">
        <w:rPr>
          <w:lang w:eastAsia="en-US"/>
        </w:rPr>
        <w:t xml:space="preserve"> tilladte anvendelser og rapportere</w:t>
      </w:r>
      <w:r w:rsidR="0022441F">
        <w:rPr>
          <w:lang w:eastAsia="en-US"/>
        </w:rPr>
        <w:t>r</w:t>
      </w:r>
      <w:r w:rsidR="0022441F" w:rsidRPr="0022441F">
        <w:rPr>
          <w:lang w:eastAsia="en-US"/>
        </w:rPr>
        <w:t xml:space="preserve"> om udviklingen i arbejdet med udfasning af PFOS til sekretariatet for Stockholmkonventionen</w:t>
      </w:r>
      <w:r w:rsidR="0022441F">
        <w:rPr>
          <w:lang w:eastAsia="en-US"/>
        </w:rPr>
        <w:t>.</w:t>
      </w:r>
    </w:p>
    <w:p w14:paraId="62D48511" w14:textId="77777777" w:rsidR="008B7823" w:rsidRDefault="0022441F" w:rsidP="008B7823">
      <w:pPr>
        <w:pStyle w:val="Overskrift4"/>
      </w:pPr>
      <w:r w:rsidRPr="0022441F">
        <w:t>PFOS og relaterede stoffer i affald</w:t>
      </w:r>
      <w:r w:rsidR="008B7823">
        <w:t xml:space="preserve"> </w:t>
      </w:r>
    </w:p>
    <w:p w14:paraId="77BBEBC7" w14:textId="5372365A" w:rsidR="0022441F" w:rsidRDefault="0022441F" w:rsidP="008A647E">
      <w:pPr>
        <w:pStyle w:val="Brdtekst"/>
      </w:pPr>
      <w:r>
        <w:t>PFOS og relaterede stoffer er tidligere blevet anvendt til en række formål i Danmark</w:t>
      </w:r>
      <w:r w:rsidR="00C31274">
        <w:t>. D</w:t>
      </w:r>
      <w:r>
        <w:t>er må regnes med</w:t>
      </w:r>
      <w:r w:rsidR="00DC4857">
        <w:t>,</w:t>
      </w:r>
      <w:r>
        <w:t xml:space="preserve"> at stofferne har været anvendt til lignende formål i Grønland. På basis af en undersøgelse af det historiske forbrug af PFOS i EU er de</w:t>
      </w:r>
      <w:r w:rsidR="001E066B">
        <w:t>t</w:t>
      </w:r>
      <w:r>
        <w:t xml:space="preserve"> i den danske implementeringsplan </w:t>
      </w:r>
      <w:r w:rsidR="006B2FF9">
        <w:t xml:space="preserve">fra 2012 </w:t>
      </w:r>
      <w:r>
        <w:t xml:space="preserve">anslået, at der </w:t>
      </w:r>
      <w:r w:rsidRPr="0022441F">
        <w:t xml:space="preserve">til 2016 </w:t>
      </w:r>
      <w:r w:rsidR="00900A48">
        <w:t xml:space="preserve">ville </w:t>
      </w:r>
      <w:r w:rsidRPr="0022441F">
        <w:t>blive bortskaffet i størrelsesordenen 1-2 tons PFO</w:t>
      </w:r>
      <w:r>
        <w:t>S årligt med tæpper med en gen</w:t>
      </w:r>
      <w:r w:rsidRPr="0022441F">
        <w:t xml:space="preserve">nemsnitlig koncentration på omkring 75 mg PFOS/kg. Tilsvarende </w:t>
      </w:r>
      <w:r w:rsidR="001640EB">
        <w:t xml:space="preserve">er det </w:t>
      </w:r>
      <w:r w:rsidRPr="0022441F">
        <w:t>vurde</w:t>
      </w:r>
      <w:r w:rsidRPr="0022441F">
        <w:lastRenderedPageBreak/>
        <w:t>re</w:t>
      </w:r>
      <w:r w:rsidR="001640EB">
        <w:t>t</w:t>
      </w:r>
      <w:r w:rsidRPr="0022441F">
        <w:t>, at der vil</w:t>
      </w:r>
      <w:r w:rsidR="00900A48">
        <w:t>le</w:t>
      </w:r>
      <w:r w:rsidRPr="0022441F">
        <w:t xml:space="preserve"> kunne blive bortskaffet mindre mængder PFOS med lædermøbler, d</w:t>
      </w:r>
      <w:r w:rsidR="00900A48">
        <w:t>er indeholder en gennemsnitskon</w:t>
      </w:r>
      <w:r w:rsidRPr="0022441F">
        <w:t xml:space="preserve">centration på ca. 80 mg PFOS/kg. </w:t>
      </w:r>
      <w:r w:rsidR="00900A48">
        <w:t>Anvendelsen af disse stoffer ophørte i 2002 og på basis af de forventede levetider for produkterne antages det</w:t>
      </w:r>
      <w:r w:rsidR="001640EB">
        <w:t>,</w:t>
      </w:r>
      <w:r w:rsidR="00900A48">
        <w:t xml:space="preserve"> at stort s</w:t>
      </w:r>
      <w:r w:rsidR="001640EB">
        <w:t>et a</w:t>
      </w:r>
      <w:r w:rsidR="0045545B">
        <w:t>l</w:t>
      </w:r>
      <w:r w:rsidR="00900A48">
        <w:t>le produkter vil være bortskaffet i 201</w:t>
      </w:r>
      <w:r w:rsidR="001E066B">
        <w:t>9</w:t>
      </w:r>
      <w:r w:rsidR="00900A48">
        <w:t xml:space="preserve"> (2</w:t>
      </w:r>
      <w:r w:rsidR="001E066B">
        <w:t>7</w:t>
      </w:r>
      <w:r w:rsidR="00900A48">
        <w:t xml:space="preserve"> år efter </w:t>
      </w:r>
      <w:r w:rsidR="001E066B">
        <w:t xml:space="preserve">ophøret af </w:t>
      </w:r>
      <w:r w:rsidR="00900A48">
        <w:t>deres fremstilling). Der vurderes derfor ikke at være behov for særlige foranstaltninger i relation til stoffernes forekomst i affald.</w:t>
      </w:r>
      <w:r w:rsidR="007348DA">
        <w:t xml:space="preserve"> Der er i Danmark ikke etableret særlige foranstaltninger i relation til PFOS i affald.</w:t>
      </w:r>
      <w:r w:rsidR="00E96B53">
        <w:t xml:space="preserve"> </w:t>
      </w:r>
    </w:p>
    <w:p w14:paraId="7380CB1B" w14:textId="77777777" w:rsidR="00EE7E2D" w:rsidRDefault="00EE7E2D" w:rsidP="00EE7E2D">
      <w:pPr>
        <w:pStyle w:val="Overskrift4"/>
      </w:pPr>
      <w:r>
        <w:t>Anvendelse af PFOS på brandøvelsespladser i Grønland</w:t>
      </w:r>
    </w:p>
    <w:p w14:paraId="61900256" w14:textId="0733C456" w:rsidR="00EE7E2D" w:rsidRDefault="00EE7E2D" w:rsidP="00EE7E2D">
      <w:pPr>
        <w:pStyle w:val="Brdtekst"/>
      </w:pPr>
      <w:proofErr w:type="spellStart"/>
      <w:r w:rsidRPr="006C4D11">
        <w:t>Mittarfeqarfiit</w:t>
      </w:r>
      <w:proofErr w:type="spellEnd"/>
      <w:r w:rsidRPr="006C4D11">
        <w:t xml:space="preserve">, </w:t>
      </w:r>
      <w:r>
        <w:t xml:space="preserve">Grønlands </w:t>
      </w:r>
      <w:r w:rsidR="001E066B">
        <w:t>L</w:t>
      </w:r>
      <w:r>
        <w:t>ufthavne, er blevet spurgt om erfaringerne med brug af PFOS-basere</w:t>
      </w:r>
      <w:r w:rsidR="00E27341">
        <w:t>t</w:t>
      </w:r>
      <w:r>
        <w:t xml:space="preserve"> brandslukningsskum og forekomsten af brandøvelsespladser, som eventuelt kunne være forurenet med PFOS og andre PFAS. Der findes en brandøvelsesplads på hver af de 13 lufthavne, der administreres af </w:t>
      </w:r>
      <w:proofErr w:type="spellStart"/>
      <w:r w:rsidRPr="006C4D11">
        <w:t>Mittarfeqarfiit</w:t>
      </w:r>
      <w:proofErr w:type="spellEnd"/>
      <w:r>
        <w:t xml:space="preserve"> (</w:t>
      </w:r>
      <w:proofErr w:type="spellStart"/>
      <w:r w:rsidRPr="006C4D11">
        <w:t>Mittarfeqarfiit</w:t>
      </w:r>
      <w:proofErr w:type="spellEnd"/>
      <w:r>
        <w:t xml:space="preserve">, 2016). For 20-25 år siden skiftede man over til syntetisk brandslukningsskum, som kan være baseret på PFOS. </w:t>
      </w:r>
      <w:proofErr w:type="spellStart"/>
      <w:r w:rsidRPr="006C4D11">
        <w:t>Mittarfeqarfiit</w:t>
      </w:r>
      <w:proofErr w:type="spellEnd"/>
      <w:r>
        <w:t xml:space="preserve"> har </w:t>
      </w:r>
      <w:proofErr w:type="gramStart"/>
      <w:r w:rsidR="00524FC8">
        <w:t>oplyst</w:t>
      </w:r>
      <w:r w:rsidR="00AD2343">
        <w:t>,</w:t>
      </w:r>
      <w:r w:rsidR="00524FC8">
        <w:t xml:space="preserve">  at</w:t>
      </w:r>
      <w:proofErr w:type="gramEnd"/>
      <w:r w:rsidR="00524FC8">
        <w:t xml:space="preserve"> der</w:t>
      </w:r>
      <w:r>
        <w:t xml:space="preserve"> ikke </w:t>
      </w:r>
      <w:r w:rsidR="00524FC8">
        <w:t xml:space="preserve">er </w:t>
      </w:r>
      <w:r>
        <w:t>et centralt indkøb af skum</w:t>
      </w:r>
      <w:r w:rsidR="001E066B">
        <w:t>,</w:t>
      </w:r>
      <w:r>
        <w:t xml:space="preserve"> og der anvendes derfor flere forskellige typer. Der bruges omkring 1000 liter pr. år i Kangerlussuaq og i størrelsen 100-400 liter skum pr. år i hver af de øvrige lufthavn</w:t>
      </w:r>
      <w:r w:rsidR="001E066B">
        <w:t>e</w:t>
      </w:r>
      <w:r>
        <w:t>. Langt hovedparten (anslået 95%) bruges på dedikerede brandøvelsespladser, mens omkring 5% bruges andre steder. Der er ingen af de skum</w:t>
      </w:r>
      <w:r w:rsidR="00E27341">
        <w:t>typer</w:t>
      </w:r>
      <w:r>
        <w:t>, som anvendes i dag, som indeholder PFOS og det samme gælder de skum</w:t>
      </w:r>
      <w:r w:rsidR="00B82DC4">
        <w:t>typer</w:t>
      </w:r>
      <w:r>
        <w:t xml:space="preserve">, som </w:t>
      </w:r>
      <w:r w:rsidR="00AD2343">
        <w:t>i følge oplysninger fra lufthavne</w:t>
      </w:r>
      <w:r>
        <w:t xml:space="preserve"> er blevet anvendt de seneste 10 år. Fra de fleste af lufthavne</w:t>
      </w:r>
      <w:r w:rsidR="001E066B">
        <w:t>ne</w:t>
      </w:r>
      <w:r>
        <w:t xml:space="preserve"> er der dog kun oplysninger 7-10 år tilbage, mens det ikke vides, hvad der tidligere er blevet brugt. Der kan derfor meget sandsynligt have været anvendt PFOS-</w:t>
      </w:r>
      <w:proofErr w:type="spellStart"/>
      <w:r>
        <w:t>holdige</w:t>
      </w:r>
      <w:proofErr w:type="spellEnd"/>
      <w:r>
        <w:t xml:space="preserve"> skum</w:t>
      </w:r>
      <w:r w:rsidR="00B82DC4">
        <w:t>typer</w:t>
      </w:r>
      <w:r>
        <w:t xml:space="preserve">, hvis man går mere end 10 år tilbage.  </w:t>
      </w:r>
    </w:p>
    <w:p w14:paraId="2C249EA0" w14:textId="7451A89A" w:rsidR="008B7823" w:rsidRPr="00D03D5F" w:rsidRDefault="00E177E9" w:rsidP="008B7823">
      <w:pPr>
        <w:pStyle w:val="Overskrift4"/>
      </w:pPr>
      <w:r w:rsidRPr="00D03D5F">
        <w:t>Jordforurening med PFOS</w:t>
      </w:r>
    </w:p>
    <w:p w14:paraId="6B11D271" w14:textId="43DDF712" w:rsidR="00285617" w:rsidRPr="009622C5" w:rsidRDefault="00EE7E2D" w:rsidP="0062571E">
      <w:pPr>
        <w:pStyle w:val="Brdtekst"/>
      </w:pPr>
      <w:r w:rsidRPr="000A62AC">
        <w:t>Der foreligger</w:t>
      </w:r>
      <w:r w:rsidRPr="003A645E">
        <w:t xml:space="preserve"> ingen undersøgelse af jordforurening med PFOS i Grønland.</w:t>
      </w:r>
      <w:r>
        <w:t xml:space="preserve"> </w:t>
      </w:r>
    </w:p>
    <w:p w14:paraId="2057BCA1" w14:textId="2D5A3546" w:rsidR="00E177E9" w:rsidRPr="006619EF" w:rsidRDefault="00E177E9" w:rsidP="001D03B4">
      <w:pPr>
        <w:pStyle w:val="Brdtekst"/>
      </w:pPr>
      <w:r w:rsidRPr="006619EF">
        <w:t>PFOS er tidligere blevet anvendt i brandslukningsskum</w:t>
      </w:r>
      <w:r w:rsidR="001D03B4" w:rsidRPr="006619EF">
        <w:t xml:space="preserve"> (forkortet AFFF)</w:t>
      </w:r>
      <w:r w:rsidRPr="006619EF">
        <w:t xml:space="preserve">, og </w:t>
      </w:r>
      <w:r w:rsidR="00453B8F" w:rsidRPr="006619EF">
        <w:t xml:space="preserve">der </w:t>
      </w:r>
      <w:r w:rsidR="005466C2" w:rsidRPr="006619EF">
        <w:t>er</w:t>
      </w:r>
      <w:r w:rsidRPr="006619EF">
        <w:t xml:space="preserve"> både </w:t>
      </w:r>
      <w:r w:rsidR="005466C2" w:rsidRPr="006619EF">
        <w:t xml:space="preserve">i </w:t>
      </w:r>
      <w:r w:rsidRPr="006619EF">
        <w:t xml:space="preserve">Danmark og </w:t>
      </w:r>
      <w:r w:rsidR="005466C2" w:rsidRPr="006619EF">
        <w:t>andre lande</w:t>
      </w:r>
      <w:r w:rsidRPr="006619EF">
        <w:t xml:space="preserve"> </w:t>
      </w:r>
      <w:r w:rsidR="005466C2" w:rsidRPr="006619EF">
        <w:t>set eksempler på</w:t>
      </w:r>
      <w:r w:rsidR="00453B8F" w:rsidRPr="006619EF">
        <w:t>,</w:t>
      </w:r>
      <w:r w:rsidR="005466C2" w:rsidRPr="006619EF">
        <w:t xml:space="preserve"> at PFOS kan optræde som jord- og grundvandsforurening</w:t>
      </w:r>
      <w:r w:rsidRPr="006619EF">
        <w:t xml:space="preserve"> i forbindelse med brandøvelsespladser, </w:t>
      </w:r>
      <w:r w:rsidR="005466C2" w:rsidRPr="006619EF">
        <w:t>s</w:t>
      </w:r>
      <w:r w:rsidRPr="006619EF">
        <w:t>om følge af anvendelse af brandslukningsskum</w:t>
      </w:r>
      <w:r w:rsidR="006C4D11" w:rsidRPr="006619EF">
        <w:t xml:space="preserve"> (Falkenberg m.fl., 2016)</w:t>
      </w:r>
      <w:r w:rsidRPr="006619EF">
        <w:t>.</w:t>
      </w:r>
      <w:r w:rsidR="00E96B53">
        <w:t xml:space="preserve"> </w:t>
      </w:r>
      <w:r w:rsidR="00EE7E2D" w:rsidRPr="0062571E">
        <w:t xml:space="preserve">Koncentrationen af </w:t>
      </w:r>
      <w:proofErr w:type="spellStart"/>
      <w:r w:rsidR="00EE7E2D" w:rsidRPr="0062571E">
        <w:t>perfluorerede</w:t>
      </w:r>
      <w:proofErr w:type="spellEnd"/>
      <w:r w:rsidR="00EE7E2D" w:rsidRPr="0062571E">
        <w:t xml:space="preserve"> stoffer i brandslukningsskum har typisk været 0,5-1,5%. </w:t>
      </w:r>
      <w:r w:rsidRPr="006619EF">
        <w:t xml:space="preserve">Det skal bemærkes, at der også er anvendt andre typer af </w:t>
      </w:r>
      <w:r w:rsidR="00B97244" w:rsidRPr="006619EF">
        <w:t>PFAS</w:t>
      </w:r>
      <w:r w:rsidRPr="006619EF">
        <w:t xml:space="preserve"> i brandslukni</w:t>
      </w:r>
      <w:r w:rsidR="005466C2" w:rsidRPr="006619EF">
        <w:t>ngsskum</w:t>
      </w:r>
      <w:r w:rsidRPr="006619EF">
        <w:t xml:space="preserve"> og PFOS har i mange år været erstattet af andre stoffer. </w:t>
      </w:r>
      <w:r w:rsidR="001D03B4" w:rsidRPr="006619EF">
        <w:t>Brandslukningsskum baseret på PFOS</w:t>
      </w:r>
      <w:r w:rsidRPr="006619EF">
        <w:t xml:space="preserve"> </w:t>
      </w:r>
      <w:r w:rsidR="001D03B4" w:rsidRPr="006619EF">
        <w:t xml:space="preserve">blev produceret af 3M indtil 2002 under produktnavnet 3M Light Water AFFF. </w:t>
      </w:r>
    </w:p>
    <w:p w14:paraId="79984BA6" w14:textId="67FFD1AF" w:rsidR="0085329B" w:rsidRPr="006619EF" w:rsidRDefault="00E177E9" w:rsidP="00081E43">
      <w:pPr>
        <w:pStyle w:val="Brdtekst"/>
      </w:pPr>
      <w:r w:rsidRPr="006619EF">
        <w:t xml:space="preserve">PFOS har i særlig grad </w:t>
      </w:r>
      <w:r w:rsidR="00453B8F" w:rsidRPr="006619EF">
        <w:t>indgået i</w:t>
      </w:r>
      <w:r w:rsidRPr="006619EF">
        <w:t xml:space="preserve"> </w:t>
      </w:r>
      <w:r w:rsidR="005466C2" w:rsidRPr="006619EF">
        <w:t>brandsluknings</w:t>
      </w:r>
      <w:r w:rsidRPr="006619EF">
        <w:t>skum anvendt i lufthavne</w:t>
      </w:r>
      <w:r w:rsidR="005466C2" w:rsidRPr="006619EF">
        <w:t xml:space="preserve"> til slukning af oliebrande</w:t>
      </w:r>
      <w:r w:rsidRPr="006619EF">
        <w:t>.</w:t>
      </w:r>
      <w:r w:rsidR="00EE7E2D" w:rsidRPr="0062571E">
        <w:t xml:space="preserve"> </w:t>
      </w:r>
      <w:r w:rsidR="005466C2" w:rsidRPr="006619EF">
        <w:t xml:space="preserve">Ved screeningsundersøgelser i Danmark i 2014 </w:t>
      </w:r>
      <w:r w:rsidR="00B97244" w:rsidRPr="006619EF">
        <w:t xml:space="preserve">blev der </w:t>
      </w:r>
      <w:r w:rsidR="005466C2" w:rsidRPr="006619EF">
        <w:t xml:space="preserve">påvist indhold af </w:t>
      </w:r>
      <w:r w:rsidR="00AD2343">
        <w:t>PFAS</w:t>
      </w:r>
      <w:r w:rsidR="005466C2" w:rsidRPr="006619EF">
        <w:t xml:space="preserve"> </w:t>
      </w:r>
      <w:r w:rsidR="00AD2343">
        <w:t xml:space="preserve">i grundvandet </w:t>
      </w:r>
      <w:r w:rsidR="005466C2" w:rsidRPr="006619EF">
        <w:t xml:space="preserve">på </w:t>
      </w:r>
      <w:r w:rsidR="00B97244" w:rsidRPr="006619EF">
        <w:t>5 ud af 8 undersøgte brandøvelsespladser</w:t>
      </w:r>
      <w:r w:rsidR="0045545B" w:rsidRPr="006619EF">
        <w:t xml:space="preserve"> (</w:t>
      </w:r>
      <w:proofErr w:type="spellStart"/>
      <w:r w:rsidR="0045545B" w:rsidRPr="006619EF">
        <w:t>Tsitonaki</w:t>
      </w:r>
      <w:proofErr w:type="spellEnd"/>
      <w:r w:rsidR="0045545B" w:rsidRPr="006619EF">
        <w:t xml:space="preserve"> m.fl., 2014)</w:t>
      </w:r>
      <w:r w:rsidR="005466C2" w:rsidRPr="006619EF">
        <w:t xml:space="preserve">. Niveauet </w:t>
      </w:r>
      <w:r w:rsidR="00B97244" w:rsidRPr="006619EF">
        <w:t>varierede</w:t>
      </w:r>
      <w:r w:rsidR="005466C2" w:rsidRPr="006619EF">
        <w:t xml:space="preserve"> fra få</w:t>
      </w:r>
      <w:r w:rsidR="00220472" w:rsidRPr="006619EF">
        <w:t xml:space="preserve"> </w:t>
      </w:r>
      <w:proofErr w:type="spellStart"/>
      <w:r w:rsidR="00220472" w:rsidRPr="006619EF">
        <w:t>ng</w:t>
      </w:r>
      <w:proofErr w:type="spellEnd"/>
      <w:r w:rsidR="00220472" w:rsidRPr="006619EF">
        <w:t>/</w:t>
      </w:r>
      <w:r w:rsidR="00B82DC4">
        <w:t>l</w:t>
      </w:r>
      <w:r w:rsidR="005466C2" w:rsidRPr="006619EF">
        <w:t xml:space="preserve"> til </w:t>
      </w:r>
      <w:r w:rsidR="00B82DC4">
        <w:t xml:space="preserve">1.000 </w:t>
      </w:r>
      <w:proofErr w:type="spellStart"/>
      <w:r w:rsidR="005466C2" w:rsidRPr="006619EF">
        <w:t>ng</w:t>
      </w:r>
      <w:proofErr w:type="spellEnd"/>
      <w:r w:rsidR="005466C2" w:rsidRPr="006619EF">
        <w:t>/l. Ud af de 4 brandøvelsespladser</w:t>
      </w:r>
      <w:r w:rsidR="00453B8F" w:rsidRPr="006619EF">
        <w:t>,</w:t>
      </w:r>
      <w:r w:rsidR="005466C2" w:rsidRPr="006619EF">
        <w:t xml:space="preserve"> der vurderes at være </w:t>
      </w:r>
      <w:r w:rsidR="00B97244" w:rsidRPr="006619EF">
        <w:t>v</w:t>
      </w:r>
      <w:r w:rsidR="005466C2" w:rsidRPr="006619EF">
        <w:t>elundersøgte (flere boringer i kildeområdet)</w:t>
      </w:r>
      <w:r w:rsidR="00453B8F" w:rsidRPr="006619EF">
        <w:t>,</w:t>
      </w:r>
      <w:r w:rsidR="005466C2" w:rsidRPr="006619EF">
        <w:t xml:space="preserve"> </w:t>
      </w:r>
      <w:r w:rsidR="00B97244" w:rsidRPr="006619EF">
        <w:t>blev</w:t>
      </w:r>
      <w:r w:rsidR="005466C2" w:rsidRPr="006619EF">
        <w:t xml:space="preserve"> der på 2 pladser fundet indhold af PFAS på over eller tæt på 100 </w:t>
      </w:r>
      <w:proofErr w:type="spellStart"/>
      <w:r w:rsidR="005466C2" w:rsidRPr="006619EF">
        <w:t>ng</w:t>
      </w:r>
      <w:proofErr w:type="spellEnd"/>
      <w:r w:rsidR="005466C2" w:rsidRPr="006619EF">
        <w:t xml:space="preserve">/l, og på de øvrige 2 er der fundet over 1000 </w:t>
      </w:r>
      <w:proofErr w:type="spellStart"/>
      <w:r w:rsidR="005466C2" w:rsidRPr="006619EF">
        <w:t>ng</w:t>
      </w:r>
      <w:proofErr w:type="spellEnd"/>
      <w:r w:rsidR="005466C2" w:rsidRPr="006619EF">
        <w:t xml:space="preserve">/l </w:t>
      </w:r>
      <w:r w:rsidR="00AD2343">
        <w:t xml:space="preserve">i grundvandet </w:t>
      </w:r>
      <w:r w:rsidR="005466C2" w:rsidRPr="006619EF">
        <w:t>(summen af 9 PFAS</w:t>
      </w:r>
      <w:r w:rsidR="00B97244" w:rsidRPr="006619EF">
        <w:t xml:space="preserve"> </w:t>
      </w:r>
      <w:r w:rsidR="005466C2" w:rsidRPr="006619EF">
        <w:t>forbindelser)</w:t>
      </w:r>
      <w:r w:rsidR="00B97244" w:rsidRPr="006619EF">
        <w:t xml:space="preserve">. </w:t>
      </w:r>
      <w:r w:rsidR="0085329B" w:rsidRPr="006619EF">
        <w:t xml:space="preserve">På én af pladserne med mere end 1000 </w:t>
      </w:r>
      <w:proofErr w:type="spellStart"/>
      <w:r w:rsidR="0085329B" w:rsidRPr="006619EF">
        <w:t>ng</w:t>
      </w:r>
      <w:proofErr w:type="spellEnd"/>
      <w:r w:rsidR="0085329B" w:rsidRPr="006619EF">
        <w:t xml:space="preserve">/l, var PFOS var den dominerende PFAS, med en koncentration på 980 </w:t>
      </w:r>
      <w:proofErr w:type="spellStart"/>
      <w:r w:rsidR="0085329B" w:rsidRPr="006619EF">
        <w:t>ng</w:t>
      </w:r>
      <w:proofErr w:type="spellEnd"/>
      <w:r w:rsidR="0085329B" w:rsidRPr="006619EF">
        <w:t xml:space="preserve">/l. På alle øvrige var koncentrationen af PFOS under 45 </w:t>
      </w:r>
      <w:proofErr w:type="spellStart"/>
      <w:r w:rsidR="0085329B" w:rsidRPr="006619EF">
        <w:t>ng</w:t>
      </w:r>
      <w:proofErr w:type="spellEnd"/>
      <w:r w:rsidR="0085329B" w:rsidRPr="006619EF">
        <w:t>/l.</w:t>
      </w:r>
      <w:r w:rsidR="00D12171" w:rsidRPr="006619EF">
        <w:t xml:space="preserve"> </w:t>
      </w:r>
    </w:p>
    <w:p w14:paraId="606EA83F" w14:textId="05F61967" w:rsidR="007E42C2" w:rsidRPr="006619EF" w:rsidRDefault="007E42C2" w:rsidP="007E42C2">
      <w:pPr>
        <w:pStyle w:val="Brdtekst"/>
      </w:pPr>
      <w:r w:rsidRPr="006619EF">
        <w:lastRenderedPageBreak/>
        <w:t xml:space="preserve">Miljøstyrelsen har i 2015 fastsat </w:t>
      </w:r>
      <w:r w:rsidRPr="006619EF">
        <w:tab/>
        <w:t xml:space="preserve">sumkriterier for drikkevand, grundvand og jord for 12 specifikke PFAS, herunder PFOS (Miljøstyrelsen, 2015). Sumkriteriet for drikkevand og grundvand er 0,1 </w:t>
      </w:r>
      <w:proofErr w:type="spellStart"/>
      <w:r w:rsidRPr="006619EF">
        <w:t>μg</w:t>
      </w:r>
      <w:proofErr w:type="spellEnd"/>
      <w:r w:rsidRPr="006619EF">
        <w:t xml:space="preserve">/l </w:t>
      </w:r>
      <w:r w:rsidR="00AD2343">
        <w:t xml:space="preserve">(100 </w:t>
      </w:r>
      <w:proofErr w:type="spellStart"/>
      <w:r w:rsidR="00AD2343">
        <w:t>ng</w:t>
      </w:r>
      <w:proofErr w:type="spellEnd"/>
      <w:r w:rsidR="00AD2343">
        <w:t xml:space="preserve">/l) </w:t>
      </w:r>
      <w:r w:rsidRPr="006619EF">
        <w:t>mens den for jord er 0,4 mg/kg TS. På to</w:t>
      </w:r>
      <w:r w:rsidR="007A06B2" w:rsidRPr="006619EF">
        <w:t xml:space="preserve"> af ovennævnte </w:t>
      </w:r>
      <w:r w:rsidRPr="006619EF">
        <w:t>brandøvelsespladser oversteg koncentrationen i grundvand sum-kriteriet.</w:t>
      </w:r>
    </w:p>
    <w:p w14:paraId="54BBEFD8" w14:textId="4F7EB7B8" w:rsidR="00EE7E2D" w:rsidRPr="0062571E" w:rsidRDefault="000F0ED7" w:rsidP="0045545B">
      <w:pPr>
        <w:pStyle w:val="Brdtekst"/>
      </w:pPr>
      <w:r w:rsidRPr="006619EF">
        <w:t>I en tidligere undersøgelse på en brandøvelsesplad</w:t>
      </w:r>
      <w:r w:rsidR="00413477" w:rsidRPr="006619EF">
        <w:t>s</w:t>
      </w:r>
      <w:r w:rsidRPr="006619EF">
        <w:t xml:space="preserve"> ved en lufthavn</w:t>
      </w:r>
      <w:r w:rsidR="007A06B2" w:rsidRPr="006619EF">
        <w:t xml:space="preserve"> i Danmark</w:t>
      </w:r>
      <w:r w:rsidRPr="006619EF">
        <w:t>, er der påvist</w:t>
      </w:r>
      <w:r w:rsidR="00413477" w:rsidRPr="006619EF">
        <w:t xml:space="preserve"> samlede PFAS</w:t>
      </w:r>
      <w:r w:rsidR="00453B8F" w:rsidRPr="006619EF">
        <w:t>-</w:t>
      </w:r>
      <w:r w:rsidR="00413477" w:rsidRPr="006619EF">
        <w:t>koncentrationer på</w:t>
      </w:r>
      <w:r w:rsidRPr="006619EF">
        <w:t xml:space="preserve"> hundrede tusinde </w:t>
      </w:r>
      <w:proofErr w:type="spellStart"/>
      <w:r w:rsidRPr="006619EF">
        <w:t>ng</w:t>
      </w:r>
      <w:proofErr w:type="spellEnd"/>
      <w:r w:rsidRPr="006619EF">
        <w:t xml:space="preserve">/l (omtalt i </w:t>
      </w:r>
      <w:proofErr w:type="spellStart"/>
      <w:r w:rsidRPr="006619EF">
        <w:t>Tsitonaki</w:t>
      </w:r>
      <w:proofErr w:type="spellEnd"/>
      <w:r w:rsidRPr="006619EF">
        <w:t xml:space="preserve"> m.fl., 2014</w:t>
      </w:r>
      <w:r w:rsidR="007A06B2" w:rsidRPr="006619EF">
        <w:t>, lokalitet ikke opgivet</w:t>
      </w:r>
      <w:r w:rsidR="00413477" w:rsidRPr="006619EF">
        <w:t>)</w:t>
      </w:r>
      <w:r w:rsidRPr="006619EF">
        <w:t>.</w:t>
      </w:r>
      <w:r w:rsidR="007E42C2" w:rsidRPr="006619EF">
        <w:t xml:space="preserve"> Det vil sige</w:t>
      </w:r>
      <w:r w:rsidR="00453B8F" w:rsidRPr="006619EF">
        <w:t>,</w:t>
      </w:r>
      <w:r w:rsidR="007E42C2" w:rsidRPr="006619EF">
        <w:t xml:space="preserve"> at de samlede koncentrationer var mere end 100 gange </w:t>
      </w:r>
      <w:r w:rsidR="00E27341">
        <w:t xml:space="preserve">højere end </w:t>
      </w:r>
      <w:r w:rsidR="00EE7E2D" w:rsidRPr="0062571E">
        <w:t xml:space="preserve">de danske </w:t>
      </w:r>
      <w:r w:rsidR="007E42C2" w:rsidRPr="006619EF">
        <w:t>kriterie</w:t>
      </w:r>
      <w:r w:rsidR="00EE7E2D" w:rsidRPr="0062571E">
        <w:t>r</w:t>
      </w:r>
      <w:r w:rsidR="007E42C2" w:rsidRPr="006619EF">
        <w:t xml:space="preserve"> for PFAS i grundvand.</w:t>
      </w:r>
      <w:r w:rsidRPr="006619EF">
        <w:t xml:space="preserve"> </w:t>
      </w:r>
    </w:p>
    <w:p w14:paraId="2A27E22B" w14:textId="575E383F" w:rsidR="007A06B2" w:rsidRDefault="007A06B2" w:rsidP="0045545B">
      <w:pPr>
        <w:pStyle w:val="Brdtekst"/>
      </w:pPr>
      <w:r w:rsidRPr="006619EF">
        <w:t>De høje niveauer i grundvand funde</w:t>
      </w:r>
      <w:r w:rsidR="00054007" w:rsidRPr="006619EF">
        <w:t xml:space="preserve">t </w:t>
      </w:r>
      <w:r w:rsidRPr="006619EF">
        <w:t>i Danmark indikerer</w:t>
      </w:r>
      <w:r w:rsidR="00054007" w:rsidRPr="006619EF">
        <w:t>,</w:t>
      </w:r>
      <w:r w:rsidRPr="006619EF">
        <w:t xml:space="preserve"> at der under grønlandske forhold vil kunne afgives væsentlige mængder af PFOS og andre PFAS ved overfladeafstrømning, som potentielt kan give et væsentligt bidrag til forurening af miljøet med PFOS. Størrelsen af et sådan</w:t>
      </w:r>
      <w:r w:rsidR="00E27341">
        <w:t>t</w:t>
      </w:r>
      <w:r w:rsidRPr="006619EF">
        <w:t xml:space="preserve"> bidrag kan ikke umiddelbart vurderes ud fra de eksisterende data.</w:t>
      </w:r>
    </w:p>
    <w:p w14:paraId="2459B9D5" w14:textId="0ECFDFDF" w:rsidR="003B3E92" w:rsidRPr="000A62AC" w:rsidRDefault="003B3E92" w:rsidP="0062571E">
      <w:pPr>
        <w:pStyle w:val="Overskrift4"/>
      </w:pPr>
      <w:r w:rsidRPr="000A62AC">
        <w:t>Andre kilder</w:t>
      </w:r>
    </w:p>
    <w:p w14:paraId="7A46704A" w14:textId="4E27143C" w:rsidR="00AF4B82" w:rsidRDefault="006619EF" w:rsidP="008A647E">
      <w:pPr>
        <w:pStyle w:val="Brdtekst"/>
        <w:rPr>
          <w:lang w:eastAsia="en-US"/>
        </w:rPr>
      </w:pPr>
      <w:r>
        <w:t xml:space="preserve">Nikolaisen og </w:t>
      </w:r>
      <w:proofErr w:type="spellStart"/>
      <w:r>
        <w:t>Tsitonaki</w:t>
      </w:r>
      <w:proofErr w:type="spellEnd"/>
      <w:r>
        <w:t xml:space="preserve"> </w:t>
      </w:r>
      <w:r w:rsidR="00AF4B82" w:rsidRPr="0062571E">
        <w:t>(</w:t>
      </w:r>
      <w:r w:rsidR="00EE7E2D" w:rsidRPr="0062571E">
        <w:t xml:space="preserve">2016) </w:t>
      </w:r>
      <w:r w:rsidR="003B3E92" w:rsidRPr="00AF4B82">
        <w:rPr>
          <w:lang w:eastAsia="en-US"/>
        </w:rPr>
        <w:t>peger</w:t>
      </w:r>
      <w:r w:rsidR="00E27341">
        <w:rPr>
          <w:lang w:eastAsia="en-US"/>
        </w:rPr>
        <w:t>,</w:t>
      </w:r>
      <w:r w:rsidR="003B3E92" w:rsidRPr="00AF4B82">
        <w:rPr>
          <w:lang w:eastAsia="en-US"/>
        </w:rPr>
        <w:t xml:space="preserve"> ud</w:t>
      </w:r>
      <w:r w:rsidR="00E27341">
        <w:rPr>
          <w:lang w:eastAsia="en-US"/>
        </w:rPr>
        <w:t xml:space="preserve"> </w:t>
      </w:r>
      <w:r w:rsidR="003B3E92" w:rsidRPr="00AF4B82">
        <w:rPr>
          <w:lang w:eastAsia="en-US"/>
        </w:rPr>
        <w:t>over på brandøvelsespladser</w:t>
      </w:r>
      <w:r w:rsidR="00E27341">
        <w:rPr>
          <w:lang w:eastAsia="en-US"/>
        </w:rPr>
        <w:t>,</w:t>
      </w:r>
      <w:r w:rsidR="003B3E92" w:rsidRPr="00AF4B82">
        <w:rPr>
          <w:lang w:eastAsia="en-US"/>
        </w:rPr>
        <w:t xml:space="preserve"> på følgende industrier som potentielle kilder til jordforurening med PFAS, hvoraf PFOS og relaterede stoffer</w:t>
      </w:r>
      <w:r w:rsidR="00AF4B82" w:rsidRPr="00AF4B82">
        <w:rPr>
          <w:lang w:eastAsia="en-US"/>
        </w:rPr>
        <w:t xml:space="preserve"> repræsenterer en undergruppe: </w:t>
      </w:r>
      <w:r w:rsidR="003B3E92" w:rsidRPr="00AF4B82">
        <w:rPr>
          <w:lang w:eastAsia="en-US"/>
        </w:rPr>
        <w:t>Forkromningsindustri, tæppeindustri, malingsindustri, træindustri, møbelindustri, kemisk industri, jern</w:t>
      </w:r>
      <w:r w:rsidR="00685B09" w:rsidRPr="00AF4B82">
        <w:rPr>
          <w:lang w:eastAsia="en-US"/>
        </w:rPr>
        <w:t>-</w:t>
      </w:r>
      <w:r w:rsidR="003B3E92" w:rsidRPr="00AF4B82">
        <w:rPr>
          <w:lang w:eastAsia="en-US"/>
        </w:rPr>
        <w:t xml:space="preserve"> og metalindustri, gummi</w:t>
      </w:r>
      <w:r w:rsidR="00685B09" w:rsidRPr="00AF4B82">
        <w:rPr>
          <w:lang w:eastAsia="en-US"/>
        </w:rPr>
        <w:t>-</w:t>
      </w:r>
      <w:r w:rsidR="003B3E92" w:rsidRPr="00AF4B82">
        <w:rPr>
          <w:lang w:eastAsia="en-US"/>
        </w:rPr>
        <w:t xml:space="preserve"> og plastindustri</w:t>
      </w:r>
      <w:r w:rsidR="00AF4B82" w:rsidRPr="00AF4B82">
        <w:rPr>
          <w:lang w:eastAsia="en-US"/>
        </w:rPr>
        <w:t xml:space="preserve"> samt</w:t>
      </w:r>
      <w:r w:rsidR="003B3E92" w:rsidRPr="00AF4B82">
        <w:rPr>
          <w:lang w:eastAsia="en-US"/>
        </w:rPr>
        <w:t xml:space="preserve"> tekstil</w:t>
      </w:r>
      <w:r w:rsidR="00E27341">
        <w:rPr>
          <w:lang w:eastAsia="en-US"/>
        </w:rPr>
        <w:t>-</w:t>
      </w:r>
      <w:r w:rsidR="003B3E92" w:rsidRPr="00AF4B82">
        <w:rPr>
          <w:lang w:eastAsia="en-US"/>
        </w:rPr>
        <w:t xml:space="preserve"> og læderindustri. </w:t>
      </w:r>
      <w:r w:rsidR="00764FD2" w:rsidRPr="00AF4B82">
        <w:rPr>
          <w:lang w:eastAsia="en-US"/>
        </w:rPr>
        <w:t>D</w:t>
      </w:r>
      <w:r w:rsidR="003B3E92" w:rsidRPr="00AF4B82">
        <w:rPr>
          <w:lang w:eastAsia="en-US"/>
        </w:rPr>
        <w:t>et er</w:t>
      </w:r>
      <w:r w:rsidR="003B3E92">
        <w:rPr>
          <w:lang w:eastAsia="en-US"/>
        </w:rPr>
        <w:t xml:space="preserve"> ikke nærmere undersøgt, i hvilken grad anvendelse af stofferne i industrien har givet anledning til lokale forureninger. </w:t>
      </w:r>
    </w:p>
    <w:p w14:paraId="7D6CF7C6" w14:textId="308A941E" w:rsidR="008A647E" w:rsidRPr="008A647E" w:rsidRDefault="00AF4B82" w:rsidP="008A647E">
      <w:pPr>
        <w:pStyle w:val="Brdtekst"/>
      </w:pPr>
      <w:r>
        <w:rPr>
          <w:lang w:eastAsia="en-US"/>
        </w:rPr>
        <w:t xml:space="preserve">Da der i Grønland ikke findes virksomheder inden for de relevante sektorer, vurderes der ikke at være behov for nærmere at undersøge, om der har været anvendt PFOS i industrien i Grønland. </w:t>
      </w:r>
    </w:p>
    <w:p w14:paraId="7D6CF7C7" w14:textId="77777777" w:rsidR="007121D1" w:rsidRDefault="007121D1" w:rsidP="007121D1">
      <w:pPr>
        <w:pStyle w:val="Overskrift3"/>
      </w:pPr>
      <w:r>
        <w:t>Overslag over omkostninger af planlagte og forventede aktiviteter</w:t>
      </w:r>
    </w:p>
    <w:p w14:paraId="07B81A0A" w14:textId="5CABE882" w:rsidR="00C55948" w:rsidRDefault="008B7823" w:rsidP="007121D1">
      <w:pPr>
        <w:pStyle w:val="Brdtekst"/>
      </w:pPr>
      <w:r>
        <w:t xml:space="preserve">Det vurderes at være relevant at foretage en indledende undersøgelse af overfladeafstrømning fra én eller flere brandøvelsespladser på lufthavnene. </w:t>
      </w:r>
      <w:r w:rsidR="00C55948">
        <w:t>Det foreslås</w:t>
      </w:r>
      <w:r w:rsidR="00C463CC">
        <w:t>,</w:t>
      </w:r>
      <w:r w:rsidR="00C55948">
        <w:t xml:space="preserve"> at der i første omgang foretages en undersøgelse ved brandøvelsespladsen i Kangerlussuaq.</w:t>
      </w:r>
    </w:p>
    <w:p w14:paraId="549E0B6D" w14:textId="63ABDCBB" w:rsidR="001D03B4" w:rsidRDefault="007A06B2" w:rsidP="007121D1">
      <w:pPr>
        <w:pStyle w:val="Brdtekst"/>
      </w:pPr>
      <w:r>
        <w:t>Baseret på undersøgelsen skal det nærmere vurderes</w:t>
      </w:r>
      <w:r w:rsidR="00653C3A">
        <w:t>,</w:t>
      </w:r>
      <w:r>
        <w:t xml:space="preserve"> om der vil være behov for afværgeforanstaltninger</w:t>
      </w:r>
      <w:r w:rsidR="00C55948">
        <w:t>,</w:t>
      </w:r>
      <w:r>
        <w:t xml:space="preserve"> og om der er behov for undersøgelser af andre pladser. </w:t>
      </w:r>
      <w:r w:rsidR="008B7823">
        <w:t xml:space="preserve">Omkostningerne </w:t>
      </w:r>
      <w:r w:rsidR="001D03B4">
        <w:t xml:space="preserve">til en undersøgelse </w:t>
      </w:r>
      <w:r>
        <w:t xml:space="preserve">med tilhørende </w:t>
      </w:r>
      <w:r w:rsidR="001D03B4">
        <w:t xml:space="preserve">vurdering </w:t>
      </w:r>
      <w:r>
        <w:t>anslås</w:t>
      </w:r>
      <w:r w:rsidR="008B7823">
        <w:t xml:space="preserve"> at</w:t>
      </w:r>
      <w:r w:rsidR="001D03B4">
        <w:t xml:space="preserve"> være i størrelsen 0,3-0,</w:t>
      </w:r>
      <w:r w:rsidR="00C55948">
        <w:t>6</w:t>
      </w:r>
      <w:r>
        <w:t xml:space="preserve"> mio</w:t>
      </w:r>
      <w:r w:rsidR="00653C3A">
        <w:t>.</w:t>
      </w:r>
      <w:r>
        <w:t xml:space="preserve"> kr</w:t>
      </w:r>
      <w:r w:rsidR="008B7823">
        <w:t xml:space="preserve">. </w:t>
      </w:r>
    </w:p>
    <w:p w14:paraId="40A36FE7" w14:textId="4EBDCBCC" w:rsidR="00524905" w:rsidRPr="00524905" w:rsidRDefault="00CE3C75" w:rsidP="00003CBA">
      <w:pPr>
        <w:pStyle w:val="Overskrift2"/>
      </w:pPr>
      <w:bookmarkStart w:id="83" w:name="_Toc469053546"/>
      <w:bookmarkStart w:id="84" w:name="_Toc469057827"/>
      <w:bookmarkStart w:id="85" w:name="_Toc469304925"/>
      <w:bookmarkStart w:id="86" w:name="_Toc10205719"/>
      <w:proofErr w:type="spellStart"/>
      <w:r w:rsidRPr="00193271">
        <w:lastRenderedPageBreak/>
        <w:t>Bromerede</w:t>
      </w:r>
      <w:proofErr w:type="spellEnd"/>
      <w:r w:rsidRPr="00193271">
        <w:t xml:space="preserve"> </w:t>
      </w:r>
      <w:proofErr w:type="spellStart"/>
      <w:r w:rsidRPr="00193271">
        <w:t>flammehæmmere</w:t>
      </w:r>
      <w:bookmarkEnd w:id="83"/>
      <w:bookmarkEnd w:id="84"/>
      <w:bookmarkEnd w:id="85"/>
      <w:bookmarkEnd w:id="86"/>
      <w:proofErr w:type="spellEnd"/>
    </w:p>
    <w:p w14:paraId="541912F4" w14:textId="310C38E4" w:rsidR="00CE3C75" w:rsidRDefault="00CE3C75" w:rsidP="00CE3C75">
      <w:pPr>
        <w:pStyle w:val="Overskrift3"/>
      </w:pPr>
      <w:r>
        <w:t>Omfattede stoffer</w:t>
      </w:r>
    </w:p>
    <w:p w14:paraId="0F073BAE" w14:textId="3BEDD066" w:rsidR="00941766" w:rsidRDefault="00D56C31" w:rsidP="00FF272D">
      <w:pPr>
        <w:pStyle w:val="Brdtekst"/>
      </w:pPr>
      <w:r>
        <w:t>Konventionens bestemmelser omfatter 6</w:t>
      </w:r>
      <w:r w:rsidR="00941766">
        <w:t xml:space="preserve"> </w:t>
      </w:r>
      <w:proofErr w:type="spellStart"/>
      <w:r w:rsidR="00941766">
        <w:t>bromerede</w:t>
      </w:r>
      <w:proofErr w:type="spellEnd"/>
      <w:r w:rsidR="00941766">
        <w:t xml:space="preserve"> stoffer, der</w:t>
      </w:r>
      <w:r w:rsidR="00CE3C75">
        <w:t xml:space="preserve"> anvendes</w:t>
      </w:r>
      <w:r w:rsidR="00941766">
        <w:t xml:space="preserve"> (eller er blevet anvendt)</w:t>
      </w:r>
      <w:r w:rsidR="00CE3C75">
        <w:t xml:space="preserve"> som </w:t>
      </w:r>
      <w:proofErr w:type="spellStart"/>
      <w:r w:rsidR="00CE3C75">
        <w:t>f</w:t>
      </w:r>
      <w:r w:rsidR="00941766">
        <w:t>lammehæmmere</w:t>
      </w:r>
      <w:proofErr w:type="spellEnd"/>
      <w:r w:rsidR="00CE3C75">
        <w:t xml:space="preserve">. </w:t>
      </w:r>
      <w:r w:rsidR="00941766">
        <w:t>Stofferne kan inddeles i tre grupper:</w:t>
      </w:r>
    </w:p>
    <w:p w14:paraId="5045EA04" w14:textId="59304C1A" w:rsidR="00941766" w:rsidRDefault="009121B0" w:rsidP="00941766">
      <w:pPr>
        <w:pStyle w:val="Opstilling-punkttegn"/>
      </w:pPr>
      <w:proofErr w:type="spellStart"/>
      <w:r w:rsidRPr="00941766">
        <w:t>Hexabrombiphenyl</w:t>
      </w:r>
      <w:proofErr w:type="spellEnd"/>
      <w:r>
        <w:t xml:space="preserve"> (</w:t>
      </w:r>
      <w:proofErr w:type="spellStart"/>
      <w:r w:rsidR="00941766" w:rsidRPr="009121B0">
        <w:rPr>
          <w:b/>
        </w:rPr>
        <w:t>HexaBB</w:t>
      </w:r>
      <w:proofErr w:type="spellEnd"/>
      <w:r w:rsidR="00941766" w:rsidRPr="00941766">
        <w:t>) har</w:t>
      </w:r>
      <w:r w:rsidR="00941766">
        <w:t xml:space="preserve"> kun været anvendt i meget lille omfang i elektronik og anvendelsen ophørte i slutningen af 1970'erne</w:t>
      </w:r>
    </w:p>
    <w:p w14:paraId="5E26CEFE" w14:textId="4F61183E" w:rsidR="00941766" w:rsidRDefault="00941766" w:rsidP="00941766">
      <w:pPr>
        <w:pStyle w:val="Opstilling-punkttegn"/>
      </w:pPr>
      <w:r>
        <w:t>F</w:t>
      </w:r>
      <w:r w:rsidR="00A30683">
        <w:t>em</w:t>
      </w:r>
      <w:r>
        <w:t xml:space="preserve"> </w:t>
      </w:r>
      <w:proofErr w:type="spellStart"/>
      <w:r>
        <w:t>polybromerede</w:t>
      </w:r>
      <w:proofErr w:type="spellEnd"/>
      <w:r>
        <w:t xml:space="preserve"> </w:t>
      </w:r>
      <w:proofErr w:type="spellStart"/>
      <w:r>
        <w:t>diphenylethere</w:t>
      </w:r>
      <w:proofErr w:type="spellEnd"/>
      <w:r>
        <w:t xml:space="preserve"> (</w:t>
      </w:r>
      <w:proofErr w:type="spellStart"/>
      <w:r>
        <w:t>PBDE</w:t>
      </w:r>
      <w:r w:rsidR="003C3623">
        <w:t>'er</w:t>
      </w:r>
      <w:proofErr w:type="spellEnd"/>
      <w:r>
        <w:t>):</w:t>
      </w:r>
    </w:p>
    <w:p w14:paraId="720DE768" w14:textId="5AEBD817" w:rsidR="00941766" w:rsidRDefault="00941766" w:rsidP="00941766">
      <w:pPr>
        <w:pStyle w:val="Opstilling-punkttegn2"/>
      </w:pPr>
      <w:proofErr w:type="spellStart"/>
      <w:r w:rsidRPr="00941766">
        <w:t>Hexabromdiphenylether</w:t>
      </w:r>
      <w:proofErr w:type="spellEnd"/>
      <w:r w:rsidRPr="00941766">
        <w:t xml:space="preserve"> og </w:t>
      </w:r>
      <w:proofErr w:type="spellStart"/>
      <w:r w:rsidRPr="00941766">
        <w:t>heptabromdiphenylether</w:t>
      </w:r>
      <w:proofErr w:type="spellEnd"/>
      <w:r w:rsidRPr="00941766">
        <w:t xml:space="preserve">, </w:t>
      </w:r>
      <w:r>
        <w:t xml:space="preserve">som </w:t>
      </w:r>
      <w:r w:rsidRPr="00941766">
        <w:t>indg</w:t>
      </w:r>
      <w:r w:rsidR="006D1BC9">
        <w:t>ik</w:t>
      </w:r>
      <w:r w:rsidRPr="00941766">
        <w:t xml:space="preserve"> i teknisk </w:t>
      </w:r>
      <w:proofErr w:type="spellStart"/>
      <w:r w:rsidRPr="00941766">
        <w:rPr>
          <w:b/>
        </w:rPr>
        <w:t>octa</w:t>
      </w:r>
      <w:proofErr w:type="spellEnd"/>
      <w:r w:rsidRPr="00941766">
        <w:rPr>
          <w:b/>
        </w:rPr>
        <w:t>-BDE</w:t>
      </w:r>
      <w:r w:rsidR="003C3623" w:rsidRPr="003C3623">
        <w:t>,</w:t>
      </w:r>
      <w:r w:rsidRPr="00941766">
        <w:rPr>
          <w:b/>
        </w:rPr>
        <w:t xml:space="preserve"> </w:t>
      </w:r>
      <w:r>
        <w:t>der</w:t>
      </w:r>
      <w:r w:rsidRPr="00941766">
        <w:t xml:space="preserve"> primært har været brugt som flammehæmmer i ABS</w:t>
      </w:r>
      <w:r w:rsidR="00054007">
        <w:t>-</w:t>
      </w:r>
      <w:r w:rsidRPr="00941766">
        <w:t>plast i elektronik.</w:t>
      </w:r>
    </w:p>
    <w:p w14:paraId="0CC70FB7" w14:textId="59612A53" w:rsidR="00941766" w:rsidRDefault="00941766" w:rsidP="003C3623">
      <w:pPr>
        <w:pStyle w:val="Opstilling-punkttegn2"/>
      </w:pPr>
      <w:proofErr w:type="spellStart"/>
      <w:r w:rsidRPr="00941766">
        <w:t>Tetrabromdiphenylet</w:t>
      </w:r>
      <w:r>
        <w:t>her</w:t>
      </w:r>
      <w:proofErr w:type="spellEnd"/>
      <w:r w:rsidR="00E96B53">
        <w:t xml:space="preserve"> </w:t>
      </w:r>
      <w:r>
        <w:t xml:space="preserve">og </w:t>
      </w:r>
      <w:proofErr w:type="spellStart"/>
      <w:r>
        <w:t>pentabromdiphenylether</w:t>
      </w:r>
      <w:proofErr w:type="spellEnd"/>
      <w:r>
        <w:t>, som indg</w:t>
      </w:r>
      <w:r w:rsidR="006D1BC9">
        <w:t>ik</w:t>
      </w:r>
      <w:r>
        <w:t xml:space="preserve"> i teknisk </w:t>
      </w:r>
      <w:proofErr w:type="spellStart"/>
      <w:r w:rsidRPr="00941766">
        <w:rPr>
          <w:b/>
        </w:rPr>
        <w:t>penta</w:t>
      </w:r>
      <w:proofErr w:type="spellEnd"/>
      <w:r w:rsidRPr="00941766">
        <w:rPr>
          <w:b/>
        </w:rPr>
        <w:t>-BDE</w:t>
      </w:r>
      <w:r w:rsidR="003C3623" w:rsidRPr="003C3623">
        <w:t>,</w:t>
      </w:r>
      <w:r>
        <w:t xml:space="preserve"> der især har været anvendt som flammehæmmer i </w:t>
      </w:r>
      <w:proofErr w:type="spellStart"/>
      <w:r>
        <w:t>opskummet</w:t>
      </w:r>
      <w:proofErr w:type="spellEnd"/>
      <w:r>
        <w:t xml:space="preserve"> polyuretan, som anvendtes i madrasser, polstring af møbler og i køretøjer.</w:t>
      </w:r>
    </w:p>
    <w:p w14:paraId="4153D749" w14:textId="00FC2DCB" w:rsidR="00A30683" w:rsidRDefault="00735527" w:rsidP="003C3623">
      <w:pPr>
        <w:pStyle w:val="Opstilling-punkttegn2"/>
      </w:pPr>
      <w:proofErr w:type="spellStart"/>
      <w:r>
        <w:t>Deca</w:t>
      </w:r>
      <w:r w:rsidR="009622C5" w:rsidRPr="00941766">
        <w:t>bromdiphenylet</w:t>
      </w:r>
      <w:r>
        <w:t>her</w:t>
      </w:r>
      <w:proofErr w:type="spellEnd"/>
      <w:r>
        <w:t xml:space="preserve"> (</w:t>
      </w:r>
      <w:proofErr w:type="spellStart"/>
      <w:r w:rsidRPr="0062571E">
        <w:rPr>
          <w:b/>
        </w:rPr>
        <w:t>decaBDE</w:t>
      </w:r>
      <w:proofErr w:type="spellEnd"/>
      <w:r>
        <w:t>)</w:t>
      </w:r>
      <w:r w:rsidR="00C73C5A">
        <w:t>,</w:t>
      </w:r>
      <w:r w:rsidR="009622C5">
        <w:t xml:space="preserve"> som indtil for nylig har været den mest anvendte af </w:t>
      </w:r>
      <w:proofErr w:type="spellStart"/>
      <w:r w:rsidR="009622C5">
        <w:t>PBDE'erne</w:t>
      </w:r>
      <w:proofErr w:type="spellEnd"/>
      <w:r w:rsidR="009622C5">
        <w:t xml:space="preserve"> og brugt som flammehæmmer i mange plastdele af elektronik og i flammehæmmede tekstiler.</w:t>
      </w:r>
    </w:p>
    <w:p w14:paraId="1234A909" w14:textId="219A55DC" w:rsidR="00E0000D" w:rsidRDefault="00E0000D" w:rsidP="00941766">
      <w:pPr>
        <w:pStyle w:val="Opstilling-punkttegn"/>
      </w:pPr>
      <w:proofErr w:type="spellStart"/>
      <w:r w:rsidRPr="00941766">
        <w:t>Hexabromcyclododecan</w:t>
      </w:r>
      <w:proofErr w:type="spellEnd"/>
      <w:r w:rsidRPr="00941766">
        <w:t xml:space="preserve"> (</w:t>
      </w:r>
      <w:r w:rsidRPr="00941766">
        <w:rPr>
          <w:b/>
        </w:rPr>
        <w:t>HBCDD</w:t>
      </w:r>
      <w:r w:rsidRPr="00941766">
        <w:t>)</w:t>
      </w:r>
      <w:r w:rsidR="00941766">
        <w:t>, som primært anvendes i flammeh</w:t>
      </w:r>
      <w:r w:rsidR="0089786F">
        <w:t>æ</w:t>
      </w:r>
      <w:r w:rsidR="00941766">
        <w:t xml:space="preserve">mmet ekspanderet </w:t>
      </w:r>
      <w:r w:rsidR="00E63694">
        <w:t xml:space="preserve">polystyren </w:t>
      </w:r>
      <w:r w:rsidR="00941766">
        <w:t xml:space="preserve">(EPS) </w:t>
      </w:r>
      <w:r w:rsidR="0089786F">
        <w:t xml:space="preserve">og ekstruderet </w:t>
      </w:r>
      <w:r w:rsidR="00E63694">
        <w:t xml:space="preserve">polystyren </w:t>
      </w:r>
      <w:r w:rsidR="0089786F">
        <w:t xml:space="preserve">(XPS) </w:t>
      </w:r>
      <w:r w:rsidR="00941766">
        <w:t xml:space="preserve">til </w:t>
      </w:r>
      <w:r w:rsidR="00CD5743">
        <w:t>brug i byggeriet</w:t>
      </w:r>
      <w:r w:rsidR="00941766">
        <w:t xml:space="preserve"> og i mindre grad i flammehæmmede tekstiler og elektriske og elektroniske produkter.</w:t>
      </w:r>
      <w:r w:rsidR="00CD5743">
        <w:t xml:space="preserve"> Anvendelse i EPS </w:t>
      </w:r>
      <w:r w:rsidR="0089786F">
        <w:t xml:space="preserve">og XPS </w:t>
      </w:r>
      <w:r w:rsidR="00CD5743">
        <w:t>i byggeriet er u</w:t>
      </w:r>
      <w:r w:rsidR="00054007">
        <w:t>n</w:t>
      </w:r>
      <w:r w:rsidR="00CD5743">
        <w:t xml:space="preserve">dtaget fra konventionens bestemmelser om </w:t>
      </w:r>
      <w:r w:rsidR="0089786F">
        <w:t>anvendelses</w:t>
      </w:r>
      <w:r w:rsidR="00CD5743">
        <w:t>begrænsn</w:t>
      </w:r>
      <w:r w:rsidR="0089786F">
        <w:t>ing</w:t>
      </w:r>
      <w:r w:rsidR="00CD5743">
        <w:t>.</w:t>
      </w:r>
    </w:p>
    <w:p w14:paraId="68959FB4" w14:textId="4C400FA6" w:rsidR="00A30683" w:rsidRDefault="00CD5743" w:rsidP="00942869">
      <w:pPr>
        <w:pStyle w:val="Brdtekst"/>
      </w:pPr>
      <w:r>
        <w:t>T</w:t>
      </w:r>
      <w:r w:rsidRPr="00942869">
        <w:t xml:space="preserve">eknisk </w:t>
      </w:r>
      <w:proofErr w:type="spellStart"/>
      <w:r w:rsidRPr="00942869">
        <w:t>pentaBDE</w:t>
      </w:r>
      <w:proofErr w:type="spellEnd"/>
      <w:r w:rsidRPr="00942869">
        <w:t xml:space="preserve"> og </w:t>
      </w:r>
      <w:proofErr w:type="spellStart"/>
      <w:r w:rsidRPr="00942869">
        <w:t>octaBDE</w:t>
      </w:r>
      <w:proofErr w:type="spellEnd"/>
      <w:r w:rsidRPr="00942869">
        <w:t xml:space="preserve"> har været forbudt i EU siden 2003 og har </w:t>
      </w:r>
      <w:r w:rsidR="00C72958">
        <w:t xml:space="preserve">sammen med </w:t>
      </w:r>
      <w:proofErr w:type="spellStart"/>
      <w:r w:rsidR="00C72958">
        <w:t>hexaBB</w:t>
      </w:r>
      <w:proofErr w:type="spellEnd"/>
      <w:r w:rsidR="00C72958">
        <w:t xml:space="preserve"> </w:t>
      </w:r>
      <w:r w:rsidRPr="00942869">
        <w:t>siden 2006 været forbudt i elek</w:t>
      </w:r>
      <w:r>
        <w:t>triske og elektronisk</w:t>
      </w:r>
      <w:r w:rsidR="00054007">
        <w:t>e</w:t>
      </w:r>
      <w:r>
        <w:t xml:space="preserve"> produkter i EU</w:t>
      </w:r>
      <w:r w:rsidR="008A7BFC">
        <w:t xml:space="preserve"> (reguleret via </w:t>
      </w:r>
      <w:proofErr w:type="spellStart"/>
      <w:r w:rsidR="008A7BFC">
        <w:t>RoHS</w:t>
      </w:r>
      <w:proofErr w:type="spellEnd"/>
      <w:r w:rsidR="008A7BFC">
        <w:t xml:space="preserve"> Direktivet)</w:t>
      </w:r>
      <w:r>
        <w:t>. Det må forventes</w:t>
      </w:r>
      <w:r w:rsidR="00054007">
        <w:t>,</w:t>
      </w:r>
      <w:r>
        <w:t xml:space="preserve"> at produkter solgt i Grønland i langt overvejende grad ikke har indeholdt stoffer</w:t>
      </w:r>
      <w:r w:rsidR="00054007">
        <w:t>,</w:t>
      </w:r>
      <w:r>
        <w:t xml:space="preserve"> som var forbudte i EU. Produkter med </w:t>
      </w:r>
      <w:proofErr w:type="spellStart"/>
      <w:r w:rsidR="00735527">
        <w:t>h</w:t>
      </w:r>
      <w:r w:rsidR="009121B0">
        <w:t>exa</w:t>
      </w:r>
      <w:r w:rsidR="009121B0" w:rsidRPr="00942869">
        <w:t>BB</w:t>
      </w:r>
      <w:proofErr w:type="spellEnd"/>
      <w:r w:rsidR="009121B0" w:rsidRPr="00942869">
        <w:t xml:space="preserve"> </w:t>
      </w:r>
      <w:r w:rsidR="009121B0">
        <w:t xml:space="preserve">og </w:t>
      </w:r>
      <w:r w:rsidR="008A7BFC">
        <w:t xml:space="preserve">de </w:t>
      </w:r>
      <w:r w:rsidR="00C73C5A">
        <w:t>nævnte</w:t>
      </w:r>
      <w:r w:rsidR="008A7BFC">
        <w:t xml:space="preserve"> </w:t>
      </w:r>
      <w:proofErr w:type="spellStart"/>
      <w:r w:rsidR="009121B0">
        <w:t>PBDE'er</w:t>
      </w:r>
      <w:proofErr w:type="spellEnd"/>
      <w:r w:rsidR="009121B0">
        <w:t xml:space="preserve"> </w:t>
      </w:r>
      <w:r w:rsidR="00054007">
        <w:t xml:space="preserve">antages </w:t>
      </w:r>
      <w:r>
        <w:t xml:space="preserve">derfor kun </w:t>
      </w:r>
      <w:r w:rsidR="00AC371A">
        <w:t xml:space="preserve">at </w:t>
      </w:r>
      <w:r>
        <w:t xml:space="preserve">kunne forekomme </w:t>
      </w:r>
      <w:r w:rsidR="009121B0">
        <w:t>i produkter</w:t>
      </w:r>
      <w:r>
        <w:t>,</w:t>
      </w:r>
      <w:r w:rsidR="009121B0">
        <w:t xml:space="preserve"> der er mere end 1</w:t>
      </w:r>
      <w:r w:rsidR="00AD2343">
        <w:t>6</w:t>
      </w:r>
      <w:r w:rsidR="009121B0">
        <w:t xml:space="preserve"> år gamle. </w:t>
      </w:r>
    </w:p>
    <w:p w14:paraId="64DD23E4" w14:textId="40489E80" w:rsidR="009622C5" w:rsidRDefault="009622C5" w:rsidP="00942869">
      <w:pPr>
        <w:pStyle w:val="Brdtekst"/>
      </w:pPr>
      <w:proofErr w:type="spellStart"/>
      <w:r>
        <w:t>DecaBDE</w:t>
      </w:r>
      <w:proofErr w:type="spellEnd"/>
      <w:r>
        <w:t xml:space="preserve"> </w:t>
      </w:r>
      <w:r w:rsidR="008A7BFC">
        <w:t>har siden 2010</w:t>
      </w:r>
      <w:r w:rsidRPr="009622C5">
        <w:t xml:space="preserve"> været forbudt i elektriske og elektroniske produkter i EU</w:t>
      </w:r>
      <w:r>
        <w:t xml:space="preserve">. Stoffet har </w:t>
      </w:r>
      <w:r w:rsidR="00B70E27">
        <w:t xml:space="preserve">indtil for nylig </w:t>
      </w:r>
      <w:r>
        <w:t>være tillad</w:t>
      </w:r>
      <w:r w:rsidR="008A7BFC">
        <w:t>t i EU til andre formål, men der</w:t>
      </w:r>
      <w:r>
        <w:t xml:space="preserve"> </w:t>
      </w:r>
      <w:r w:rsidR="00B70E27">
        <w:t>har fra</w:t>
      </w:r>
      <w:r>
        <w:t xml:space="preserve"> 2. marts 2019 være</w:t>
      </w:r>
      <w:r w:rsidR="00B70E27">
        <w:t>t</w:t>
      </w:r>
      <w:r w:rsidR="006F4DC9">
        <w:t xml:space="preserve"> et generelt</w:t>
      </w:r>
      <w:r>
        <w:t xml:space="preserve"> forbud</w:t>
      </w:r>
      <w:r w:rsidR="006F4DC9">
        <w:t xml:space="preserve"> mod </w:t>
      </w:r>
      <w:r w:rsidR="00C72958">
        <w:t xml:space="preserve">brug </w:t>
      </w:r>
      <w:r w:rsidR="006F4DC9">
        <w:t>af stoffet med en undtagelses for anvendelse i fly.</w:t>
      </w:r>
      <w:r w:rsidR="00E96B53">
        <w:t xml:space="preserve"> </w:t>
      </w:r>
    </w:p>
    <w:p w14:paraId="36518CB0" w14:textId="50A52294" w:rsidR="00E0000D" w:rsidRDefault="00CD5743" w:rsidP="00E0000D">
      <w:pPr>
        <w:pStyle w:val="Brdtekst"/>
      </w:pPr>
      <w:r w:rsidRPr="00CD5743">
        <w:t xml:space="preserve">HBCDD </w:t>
      </w:r>
      <w:r>
        <w:t xml:space="preserve">har primært været anvendt i flammehæmmet EPS og har i et vist omfang været anvendt i byggeriet i Danmark. </w:t>
      </w:r>
      <w:r w:rsidR="003C3623">
        <w:t xml:space="preserve">Der har i Danmark ikke været krav om at EPS og XPS var flammehæmmet </w:t>
      </w:r>
      <w:r w:rsidR="00C463CC">
        <w:t xml:space="preserve">idet </w:t>
      </w:r>
      <w:r w:rsidR="003C3623">
        <w:t>brugen er begrænset til særlige anvendelser</w:t>
      </w:r>
      <w:r w:rsidR="00C463CC">
        <w:t>,</w:t>
      </w:r>
      <w:r w:rsidR="00E73D30">
        <w:t xml:space="preserve"> hvor isoleringen ikke er i kontakt med brandbare materialer</w:t>
      </w:r>
      <w:r w:rsidR="00C463CC">
        <w:t>. I</w:t>
      </w:r>
      <w:r w:rsidR="00E73D30">
        <w:t xml:space="preserve">mporterede produkter - især fra Tyskland, hvor der er andre krav </w:t>
      </w:r>
      <w:r w:rsidR="00C73C5A">
        <w:t xml:space="preserve">til </w:t>
      </w:r>
      <w:r w:rsidR="00E73D30">
        <w:t xml:space="preserve">anvendelse af </w:t>
      </w:r>
      <w:proofErr w:type="spellStart"/>
      <w:r w:rsidR="00E73D30">
        <w:t>flammehæmmere</w:t>
      </w:r>
      <w:proofErr w:type="spellEnd"/>
      <w:r w:rsidR="00E73D30">
        <w:t xml:space="preserve"> - har</w:t>
      </w:r>
      <w:r w:rsidR="00C463CC">
        <w:t xml:space="preserve"> dog</w:t>
      </w:r>
      <w:r w:rsidR="00E73D30">
        <w:t xml:space="preserve"> i et vist omfang indeholdt HBCDD. Traditionelt har </w:t>
      </w:r>
      <w:r w:rsidR="00E73D30">
        <w:lastRenderedPageBreak/>
        <w:t>meget XPS, der anvendes i konstruktioner med kontakt til jord, indeholdt HBCDD, selvom der med denne anvendelse ikke har været behov for en flammehæmmer.</w:t>
      </w:r>
      <w:r w:rsidR="00AD2343">
        <w:t xml:space="preserve"> HBCDD har siden 2016 været udfaset i produktion af EPS og XPS i EU.</w:t>
      </w:r>
    </w:p>
    <w:p w14:paraId="09C74137" w14:textId="718F1BEB" w:rsidR="00CE3C75" w:rsidRDefault="00CE3C75" w:rsidP="00E0000D">
      <w:pPr>
        <w:pStyle w:val="Overskrift3"/>
      </w:pPr>
      <w:r>
        <w:t>Konventionens krav</w:t>
      </w:r>
    </w:p>
    <w:p w14:paraId="27C6C53A" w14:textId="0955272C" w:rsidR="00AB0087" w:rsidRDefault="00E0000D" w:rsidP="00E0000D">
      <w:pPr>
        <w:pStyle w:val="Brdtekst"/>
        <w:rPr>
          <w:lang w:eastAsia="en-US"/>
        </w:rPr>
      </w:pPr>
      <w:r>
        <w:rPr>
          <w:lang w:eastAsia="en-US"/>
        </w:rPr>
        <w:t xml:space="preserve">Parterne er </w:t>
      </w:r>
      <w:r w:rsidR="00AB0087" w:rsidRPr="00AB0087">
        <w:rPr>
          <w:lang w:eastAsia="en-US"/>
        </w:rPr>
        <w:t xml:space="preserve">forpligtet til at forbyde og/eller træffe de retslige og administrative foranstaltninger, der er nødvendige for at forbyde fremstilling, brug, import og eksport af </w:t>
      </w:r>
      <w:r>
        <w:rPr>
          <w:lang w:eastAsia="en-US"/>
        </w:rPr>
        <w:t>stofferne</w:t>
      </w:r>
      <w:r w:rsidR="00AB0087" w:rsidRPr="00AB0087">
        <w:rPr>
          <w:lang w:eastAsia="en-US"/>
        </w:rPr>
        <w:t xml:space="preserve">. </w:t>
      </w:r>
    </w:p>
    <w:p w14:paraId="0F890223" w14:textId="1276B106" w:rsidR="00AB0087" w:rsidRDefault="00AB0087" w:rsidP="00E0000D">
      <w:pPr>
        <w:pStyle w:val="Brdtekst"/>
        <w:rPr>
          <w:lang w:eastAsia="en-US"/>
        </w:rPr>
      </w:pPr>
      <w:r w:rsidRPr="00AB0087">
        <w:rPr>
          <w:lang w:eastAsia="en-US"/>
        </w:rPr>
        <w:t xml:space="preserve">Konventionsbestemmelserne vedr. udslip af de omfattede </w:t>
      </w:r>
      <w:proofErr w:type="spellStart"/>
      <w:r w:rsidRPr="00AB0087">
        <w:rPr>
          <w:lang w:eastAsia="en-US"/>
        </w:rPr>
        <w:t>bromerede</w:t>
      </w:r>
      <w:proofErr w:type="spellEnd"/>
      <w:r w:rsidRPr="00AB0087">
        <w:rPr>
          <w:lang w:eastAsia="en-US"/>
        </w:rPr>
        <w:t xml:space="preserve"> </w:t>
      </w:r>
      <w:proofErr w:type="spellStart"/>
      <w:r w:rsidRPr="00AB0087">
        <w:rPr>
          <w:lang w:eastAsia="en-US"/>
        </w:rPr>
        <w:t>flammehæmmere</w:t>
      </w:r>
      <w:proofErr w:type="spellEnd"/>
      <w:r w:rsidRPr="00AB0087">
        <w:rPr>
          <w:lang w:eastAsia="en-US"/>
        </w:rPr>
        <w:t xml:space="preserve"> fra lagre, affald og forurenede grunde er de samme som </w:t>
      </w:r>
      <w:r w:rsidR="00BB391A">
        <w:rPr>
          <w:lang w:eastAsia="en-US"/>
        </w:rPr>
        <w:t xml:space="preserve">er </w:t>
      </w:r>
      <w:r w:rsidR="00D56C31">
        <w:rPr>
          <w:lang w:eastAsia="en-US"/>
        </w:rPr>
        <w:t>beskrevet</w:t>
      </w:r>
      <w:r w:rsidRPr="00AB0087">
        <w:rPr>
          <w:lang w:eastAsia="en-US"/>
        </w:rPr>
        <w:t xml:space="preserve"> ovenfor for PCB og PFOS.</w:t>
      </w:r>
      <w:r w:rsidR="00D914B8">
        <w:rPr>
          <w:lang w:eastAsia="en-US"/>
        </w:rPr>
        <w:t xml:space="preserve"> </w:t>
      </w:r>
      <w:r w:rsidR="0029162A">
        <w:rPr>
          <w:lang w:eastAsia="en-US"/>
        </w:rPr>
        <w:t xml:space="preserve">Der er ingen specifikke krav for de </w:t>
      </w:r>
      <w:proofErr w:type="spellStart"/>
      <w:r w:rsidR="0029162A">
        <w:rPr>
          <w:lang w:eastAsia="en-US"/>
        </w:rPr>
        <w:t>bromerede</w:t>
      </w:r>
      <w:proofErr w:type="spellEnd"/>
      <w:r w:rsidR="0029162A">
        <w:rPr>
          <w:lang w:eastAsia="en-US"/>
        </w:rPr>
        <w:t xml:space="preserve"> </w:t>
      </w:r>
      <w:proofErr w:type="spellStart"/>
      <w:r w:rsidR="0029162A">
        <w:rPr>
          <w:lang w:eastAsia="en-US"/>
        </w:rPr>
        <w:t>flammehæmmere</w:t>
      </w:r>
      <w:proofErr w:type="spellEnd"/>
      <w:r w:rsidR="0029162A">
        <w:rPr>
          <w:lang w:eastAsia="en-US"/>
        </w:rPr>
        <w:t xml:space="preserve">. </w:t>
      </w:r>
    </w:p>
    <w:p w14:paraId="6A6796D4" w14:textId="79108845" w:rsidR="00735527" w:rsidRDefault="00D914B8">
      <w:pPr>
        <w:pStyle w:val="Brdtekst"/>
        <w:rPr>
          <w:lang w:eastAsia="en-US"/>
        </w:rPr>
      </w:pPr>
      <w:r w:rsidRPr="0097584A">
        <w:rPr>
          <w:b/>
          <w:lang w:eastAsia="en-US"/>
        </w:rPr>
        <w:t>Undtagelser</w:t>
      </w:r>
      <w:r w:rsidR="00B61A2D" w:rsidRPr="008878B1">
        <w:rPr>
          <w:lang w:eastAsia="en-US"/>
        </w:rPr>
        <w:t xml:space="preserve"> </w:t>
      </w:r>
      <w:r w:rsidR="008878B1" w:rsidRPr="008878B1">
        <w:rPr>
          <w:lang w:eastAsia="en-US"/>
        </w:rPr>
        <w:t xml:space="preserve">- </w:t>
      </w:r>
      <w:r w:rsidR="00735527" w:rsidRPr="00AB0087">
        <w:rPr>
          <w:lang w:eastAsia="en-US"/>
        </w:rPr>
        <w:t>Konventionen indeholder en række specifikke undtagelser for fortsat anvendelse af de fi</w:t>
      </w:r>
      <w:r w:rsidR="00735527">
        <w:rPr>
          <w:lang w:eastAsia="en-US"/>
        </w:rPr>
        <w:t xml:space="preserve">re </w:t>
      </w:r>
      <w:proofErr w:type="spellStart"/>
      <w:r w:rsidR="00735527">
        <w:rPr>
          <w:lang w:eastAsia="en-US"/>
        </w:rPr>
        <w:t>polybromerede</w:t>
      </w:r>
      <w:proofErr w:type="spellEnd"/>
      <w:r w:rsidR="00735527">
        <w:rPr>
          <w:lang w:eastAsia="en-US"/>
        </w:rPr>
        <w:t xml:space="preserve"> </w:t>
      </w:r>
      <w:proofErr w:type="spellStart"/>
      <w:r w:rsidR="00735527">
        <w:rPr>
          <w:lang w:eastAsia="en-US"/>
        </w:rPr>
        <w:t>diphenylethere</w:t>
      </w:r>
      <w:proofErr w:type="spellEnd"/>
      <w:r w:rsidR="00735527">
        <w:rPr>
          <w:lang w:eastAsia="en-US"/>
        </w:rPr>
        <w:t xml:space="preserve"> i genanvendte materialer. </w:t>
      </w:r>
      <w:r w:rsidR="00735527" w:rsidRPr="00AB0087">
        <w:rPr>
          <w:lang w:eastAsia="en-US"/>
        </w:rPr>
        <w:t xml:space="preserve">Der er ingen undtagelser for </w:t>
      </w:r>
      <w:proofErr w:type="spellStart"/>
      <w:r w:rsidR="00735527" w:rsidRPr="00AB0087">
        <w:rPr>
          <w:lang w:eastAsia="en-US"/>
        </w:rPr>
        <w:t>hexa</w:t>
      </w:r>
      <w:r w:rsidR="00735527">
        <w:rPr>
          <w:lang w:eastAsia="en-US"/>
        </w:rPr>
        <w:t>BB</w:t>
      </w:r>
      <w:proofErr w:type="spellEnd"/>
      <w:r w:rsidR="00735527" w:rsidRPr="00AB0087">
        <w:rPr>
          <w:lang w:eastAsia="en-US"/>
        </w:rPr>
        <w:t xml:space="preserve">. </w:t>
      </w:r>
    </w:p>
    <w:p w14:paraId="70E94769" w14:textId="695B9DB1" w:rsidR="00E73D30" w:rsidRPr="008878B1" w:rsidRDefault="00E73D30">
      <w:pPr>
        <w:pStyle w:val="Brdtekst"/>
        <w:rPr>
          <w:lang w:eastAsia="en-US"/>
        </w:rPr>
      </w:pPr>
      <w:r w:rsidRPr="008878B1">
        <w:rPr>
          <w:lang w:eastAsia="en-US"/>
        </w:rPr>
        <w:t xml:space="preserve">Der er for HBCDD en undtagelse for EPS og XPS, </w:t>
      </w:r>
      <w:r w:rsidR="00054007" w:rsidRPr="008878B1">
        <w:rPr>
          <w:lang w:eastAsia="en-US"/>
        </w:rPr>
        <w:t>d</w:t>
      </w:r>
      <w:r w:rsidRPr="008878B1">
        <w:rPr>
          <w:lang w:eastAsia="en-US"/>
        </w:rPr>
        <w:t>er anvendes i bygninger. Parterne skal registrere denne undtagelse og sikre, at EPS og XPS med HBCDD er mærket</w:t>
      </w:r>
      <w:r w:rsidR="00391833" w:rsidRPr="008878B1">
        <w:rPr>
          <w:lang w:eastAsia="en-US"/>
        </w:rPr>
        <w:t>,</w:t>
      </w:r>
      <w:r w:rsidRPr="008878B1">
        <w:rPr>
          <w:lang w:eastAsia="en-US"/>
        </w:rPr>
        <w:t xml:space="preserve"> så det e</w:t>
      </w:r>
      <w:r w:rsidR="00054007" w:rsidRPr="008878B1">
        <w:rPr>
          <w:lang w:eastAsia="en-US"/>
        </w:rPr>
        <w:t>r</w:t>
      </w:r>
      <w:r w:rsidRPr="008878B1">
        <w:rPr>
          <w:lang w:eastAsia="en-US"/>
        </w:rPr>
        <w:t xml:space="preserve"> nemt at genkende senere i livscyklus.</w:t>
      </w:r>
      <w:r w:rsidR="00391833" w:rsidRPr="008878B1">
        <w:rPr>
          <w:lang w:eastAsia="en-US"/>
        </w:rPr>
        <w:t xml:space="preserve"> EU (og dermed Danmark) har søgt om undtagelse for produktion og brug indtil 21. august 2017.</w:t>
      </w:r>
      <w:r w:rsidR="00C463CC">
        <w:rPr>
          <w:lang w:eastAsia="en-US"/>
        </w:rPr>
        <w:t xml:space="preserve"> I dag er HBCDD i al produktion i EU erstattet af en </w:t>
      </w:r>
      <w:proofErr w:type="spellStart"/>
      <w:r w:rsidR="00C463CC">
        <w:rPr>
          <w:lang w:eastAsia="en-US"/>
        </w:rPr>
        <w:t>polymerisk</w:t>
      </w:r>
      <w:proofErr w:type="spellEnd"/>
      <w:r w:rsidR="00C463CC">
        <w:rPr>
          <w:lang w:eastAsia="en-US"/>
        </w:rPr>
        <w:t xml:space="preserve"> </w:t>
      </w:r>
      <w:proofErr w:type="spellStart"/>
      <w:r w:rsidR="00C463CC">
        <w:rPr>
          <w:lang w:eastAsia="en-US"/>
        </w:rPr>
        <w:t>bromeret</w:t>
      </w:r>
      <w:proofErr w:type="spellEnd"/>
      <w:r w:rsidR="00C463CC">
        <w:rPr>
          <w:lang w:eastAsia="en-US"/>
        </w:rPr>
        <w:t xml:space="preserve"> flammehæmmer. </w:t>
      </w:r>
    </w:p>
    <w:p w14:paraId="3E6E7738" w14:textId="04231708" w:rsidR="00391833" w:rsidRDefault="00391833" w:rsidP="00E73D30">
      <w:pPr>
        <w:pStyle w:val="Brdtekst"/>
        <w:rPr>
          <w:lang w:eastAsia="en-US"/>
        </w:rPr>
      </w:pPr>
      <w:r>
        <w:rPr>
          <w:lang w:eastAsia="en-US"/>
        </w:rPr>
        <w:t xml:space="preserve">For de </w:t>
      </w:r>
      <w:r w:rsidR="00A30683">
        <w:rPr>
          <w:lang w:eastAsia="en-US"/>
        </w:rPr>
        <w:t xml:space="preserve">fem </w:t>
      </w:r>
      <w:proofErr w:type="spellStart"/>
      <w:r>
        <w:rPr>
          <w:lang w:eastAsia="en-US"/>
        </w:rPr>
        <w:t>PBDE'er</w:t>
      </w:r>
      <w:proofErr w:type="spellEnd"/>
      <w:r>
        <w:rPr>
          <w:lang w:eastAsia="en-US"/>
        </w:rPr>
        <w:t xml:space="preserve"> er der en undtagelse for brugen af stofferne i genanvendte materialer. EU (og dermed Danmark) har søgt om undtagelse</w:t>
      </w:r>
      <w:r w:rsidR="00C72958">
        <w:rPr>
          <w:lang w:eastAsia="en-US"/>
        </w:rPr>
        <w:t>,</w:t>
      </w:r>
      <w:r>
        <w:rPr>
          <w:lang w:eastAsia="en-US"/>
        </w:rPr>
        <w:t xml:space="preserve"> da det ikke kan afvises</w:t>
      </w:r>
      <w:r w:rsidR="00C72958">
        <w:rPr>
          <w:lang w:eastAsia="en-US"/>
        </w:rPr>
        <w:t>,</w:t>
      </w:r>
      <w:r>
        <w:rPr>
          <w:lang w:eastAsia="en-US"/>
        </w:rPr>
        <w:t xml:space="preserve"> at de findes i genanvendte materialer. Det skal bemærkes</w:t>
      </w:r>
      <w:r w:rsidR="00054007">
        <w:rPr>
          <w:lang w:eastAsia="en-US"/>
        </w:rPr>
        <w:t>,</w:t>
      </w:r>
      <w:r>
        <w:rPr>
          <w:lang w:eastAsia="en-US"/>
        </w:rPr>
        <w:t xml:space="preserve"> at anvendelse i elektriske og elektroniske produkter i koncentrationer over 0</w:t>
      </w:r>
      <w:r w:rsidR="00054007">
        <w:rPr>
          <w:lang w:eastAsia="en-US"/>
        </w:rPr>
        <w:t>,</w:t>
      </w:r>
      <w:r>
        <w:rPr>
          <w:lang w:eastAsia="en-US"/>
        </w:rPr>
        <w:t>1 mg/kg er forbudt uanset at der benyttes genvendte materialerne.</w:t>
      </w:r>
    </w:p>
    <w:p w14:paraId="12EFE32E" w14:textId="01837459" w:rsidR="00A30683" w:rsidRDefault="00F16548" w:rsidP="00E73D30">
      <w:pPr>
        <w:pStyle w:val="Brdtekst"/>
        <w:rPr>
          <w:lang w:eastAsia="en-US"/>
        </w:rPr>
      </w:pPr>
      <w:r>
        <w:rPr>
          <w:lang w:eastAsia="en-US"/>
        </w:rPr>
        <w:t xml:space="preserve">For </w:t>
      </w:r>
      <w:proofErr w:type="spellStart"/>
      <w:r>
        <w:rPr>
          <w:lang w:eastAsia="en-US"/>
        </w:rPr>
        <w:t>decaBDE</w:t>
      </w:r>
      <w:proofErr w:type="spellEnd"/>
      <w:r>
        <w:rPr>
          <w:lang w:eastAsia="en-US"/>
        </w:rPr>
        <w:t xml:space="preserve"> er der undtagelser for visse anvendelser i køretøjer og fly, i tekstiler hvor der er krav om flammehæmning og plastikdele af visse typer af elektriske og elektroniske produkter. </w:t>
      </w:r>
    </w:p>
    <w:p w14:paraId="6ADED073" w14:textId="290823BF" w:rsidR="00D914B8" w:rsidRDefault="00391833" w:rsidP="00E73D30">
      <w:pPr>
        <w:pStyle w:val="Brdtekst"/>
        <w:rPr>
          <w:lang w:eastAsia="en-US"/>
        </w:rPr>
      </w:pPr>
      <w:r>
        <w:rPr>
          <w:lang w:eastAsia="en-US"/>
        </w:rPr>
        <w:t>Med disse undtagelser, vurderes der ikke at være behov for yderligere undtagelser for Grønland.</w:t>
      </w:r>
    </w:p>
    <w:p w14:paraId="16270701" w14:textId="44ABFD57" w:rsidR="00B61A2D" w:rsidRDefault="00B61A2D" w:rsidP="00E73D30">
      <w:pPr>
        <w:pStyle w:val="Brdtekst"/>
        <w:rPr>
          <w:lang w:eastAsia="en-US"/>
        </w:rPr>
      </w:pPr>
      <w:r w:rsidRPr="001F035D">
        <w:rPr>
          <w:b/>
        </w:rPr>
        <w:t>Krav i POP-Protokollen</w:t>
      </w:r>
      <w:r>
        <w:t xml:space="preserve"> - POP-protokollen, som Grønland har til</w:t>
      </w:r>
      <w:r w:rsidR="00853C12">
        <w:t>trådt</w:t>
      </w:r>
      <w:r>
        <w:t xml:space="preserve">, indeholder krav i relation til begrænsning af anvendelse af </w:t>
      </w:r>
      <w:proofErr w:type="spellStart"/>
      <w:r>
        <w:t>penta</w:t>
      </w:r>
      <w:proofErr w:type="spellEnd"/>
      <w:r>
        <w:t xml:space="preserve">- og </w:t>
      </w:r>
      <w:proofErr w:type="spellStart"/>
      <w:r>
        <w:t>octaBDE</w:t>
      </w:r>
      <w:proofErr w:type="spellEnd"/>
      <w:r>
        <w:t>, som på mange måder er identiske med Stockholmkonventionens krav.</w:t>
      </w:r>
      <w:r w:rsidR="008075D2">
        <w:t xml:space="preserve"> </w:t>
      </w:r>
      <w:proofErr w:type="spellStart"/>
      <w:r w:rsidR="008075D2">
        <w:t>Hex</w:t>
      </w:r>
      <w:r>
        <w:t>aBB</w:t>
      </w:r>
      <w:proofErr w:type="spellEnd"/>
      <w:r w:rsidR="008075D2">
        <w:t xml:space="preserve"> o</w:t>
      </w:r>
      <w:r w:rsidR="00C73C5A">
        <w:t>g</w:t>
      </w:r>
      <w:r w:rsidR="008075D2">
        <w:t xml:space="preserve"> </w:t>
      </w:r>
      <w:proofErr w:type="spellStart"/>
      <w:r w:rsidR="008075D2">
        <w:t>decaBDE</w:t>
      </w:r>
      <w:proofErr w:type="spellEnd"/>
      <w:r w:rsidR="008075D2">
        <w:t xml:space="preserve"> er ikke omfattet af</w:t>
      </w:r>
      <w:r>
        <w:t xml:space="preserve"> </w:t>
      </w:r>
      <w:r w:rsidR="008075D2">
        <w:t>POP-protokolle</w:t>
      </w:r>
      <w:r w:rsidR="00735527">
        <w:t>n</w:t>
      </w:r>
      <w:r w:rsidR="008075D2">
        <w:t>.</w:t>
      </w:r>
    </w:p>
    <w:p w14:paraId="5AFD6FFC" w14:textId="6080AED1" w:rsidR="00AB0087" w:rsidRDefault="00AB0087" w:rsidP="00AB0087">
      <w:pPr>
        <w:pStyle w:val="Overskrift3"/>
      </w:pPr>
      <w:r>
        <w:lastRenderedPageBreak/>
        <w:t>Status for Grønland</w:t>
      </w:r>
    </w:p>
    <w:p w14:paraId="5C504AAB" w14:textId="77777777" w:rsidR="009A34DF" w:rsidRDefault="00EF0007" w:rsidP="003421D8">
      <w:pPr>
        <w:pStyle w:val="Overskrift4"/>
        <w:rPr>
          <w:lang w:eastAsia="en-US"/>
        </w:rPr>
      </w:pPr>
      <w:proofErr w:type="spellStart"/>
      <w:r w:rsidRPr="00F33B7A">
        <w:rPr>
          <w:lang w:eastAsia="en-US"/>
        </w:rPr>
        <w:t>HexaBB</w:t>
      </w:r>
      <w:proofErr w:type="spellEnd"/>
    </w:p>
    <w:p w14:paraId="458B56F5" w14:textId="165218EB" w:rsidR="00EF0007" w:rsidRPr="0022088C" w:rsidRDefault="00EF0007" w:rsidP="00AB0087">
      <w:pPr>
        <w:pStyle w:val="Brdtekst"/>
        <w:rPr>
          <w:lang w:eastAsia="en-US"/>
        </w:rPr>
      </w:pPr>
      <w:r>
        <w:rPr>
          <w:lang w:eastAsia="en-US"/>
        </w:rPr>
        <w:t xml:space="preserve">Stoffet har globalt set kun været anvendt i </w:t>
      </w:r>
      <w:r w:rsidRPr="00EF0007">
        <w:rPr>
          <w:lang w:eastAsia="en-US"/>
        </w:rPr>
        <w:t>et lille omfang</w:t>
      </w:r>
      <w:r>
        <w:rPr>
          <w:lang w:eastAsia="en-US"/>
        </w:rPr>
        <w:t xml:space="preserve"> i elektronik og anvendelsen op</w:t>
      </w:r>
      <w:r w:rsidRPr="00EF0007">
        <w:rPr>
          <w:lang w:eastAsia="en-US"/>
        </w:rPr>
        <w:t>hørte i slutningen af 1970'erne</w:t>
      </w:r>
      <w:r>
        <w:rPr>
          <w:lang w:eastAsia="en-US"/>
        </w:rPr>
        <w:t xml:space="preserve">. Der vurderes ikke at være </w:t>
      </w:r>
      <w:r w:rsidR="00506AFF">
        <w:rPr>
          <w:lang w:eastAsia="en-US"/>
        </w:rPr>
        <w:t>nogen</w:t>
      </w:r>
      <w:r w:rsidRPr="0022088C">
        <w:rPr>
          <w:lang w:eastAsia="en-US"/>
        </w:rPr>
        <w:t xml:space="preserve"> problematik</w:t>
      </w:r>
      <w:r w:rsidR="00506AFF">
        <w:rPr>
          <w:lang w:eastAsia="en-US"/>
        </w:rPr>
        <w:t xml:space="preserve"> i relation til Grønland</w:t>
      </w:r>
      <w:r w:rsidRPr="0022088C">
        <w:rPr>
          <w:lang w:eastAsia="en-US"/>
        </w:rPr>
        <w:t>.</w:t>
      </w:r>
      <w:r w:rsidR="00E96B53">
        <w:rPr>
          <w:lang w:eastAsia="en-US"/>
        </w:rPr>
        <w:t xml:space="preserve"> </w:t>
      </w:r>
    </w:p>
    <w:p w14:paraId="267997E8" w14:textId="55095547" w:rsidR="009A34DF" w:rsidRPr="0022088C" w:rsidRDefault="009A34DF" w:rsidP="003421D8">
      <w:pPr>
        <w:pStyle w:val="Overskrift4"/>
        <w:rPr>
          <w:lang w:eastAsia="en-US"/>
        </w:rPr>
      </w:pPr>
      <w:r w:rsidRPr="0022088C">
        <w:rPr>
          <w:lang w:eastAsia="en-US"/>
        </w:rPr>
        <w:t xml:space="preserve">Teknisk </w:t>
      </w:r>
      <w:proofErr w:type="spellStart"/>
      <w:r w:rsidRPr="0022088C">
        <w:rPr>
          <w:lang w:eastAsia="en-US"/>
        </w:rPr>
        <w:t>p</w:t>
      </w:r>
      <w:r w:rsidR="00EF0007" w:rsidRPr="0022088C">
        <w:rPr>
          <w:lang w:eastAsia="en-US"/>
        </w:rPr>
        <w:t>entaBDE</w:t>
      </w:r>
      <w:proofErr w:type="spellEnd"/>
    </w:p>
    <w:p w14:paraId="66C7F157" w14:textId="1620FF7E" w:rsidR="00F16548" w:rsidRDefault="00336C1A" w:rsidP="00AB0087">
      <w:pPr>
        <w:pStyle w:val="Brdtekst"/>
        <w:rPr>
          <w:lang w:eastAsia="en-US"/>
        </w:rPr>
      </w:pPr>
      <w:r w:rsidRPr="0022088C">
        <w:rPr>
          <w:lang w:eastAsia="en-US"/>
        </w:rPr>
        <w:t xml:space="preserve">Der findes ikke specifikke opgørelser af produkter med teknisk </w:t>
      </w:r>
      <w:proofErr w:type="spellStart"/>
      <w:r w:rsidRPr="0022088C">
        <w:rPr>
          <w:lang w:eastAsia="en-US"/>
        </w:rPr>
        <w:t>pentaBDE</w:t>
      </w:r>
      <w:proofErr w:type="spellEnd"/>
      <w:r w:rsidRPr="0022088C">
        <w:rPr>
          <w:lang w:eastAsia="en-US"/>
        </w:rPr>
        <w:t xml:space="preserve"> i Grønland. I betragtning</w:t>
      </w:r>
      <w:r>
        <w:rPr>
          <w:lang w:eastAsia="en-US"/>
        </w:rPr>
        <w:t xml:space="preserve"> af</w:t>
      </w:r>
      <w:r w:rsidR="00054007">
        <w:rPr>
          <w:lang w:eastAsia="en-US"/>
        </w:rPr>
        <w:t>,</w:t>
      </w:r>
      <w:r>
        <w:rPr>
          <w:lang w:eastAsia="en-US"/>
        </w:rPr>
        <w:t xml:space="preserve"> at stoffet primært har været brugt i skummadrasser vil de</w:t>
      </w:r>
      <w:r w:rsidR="00054007">
        <w:rPr>
          <w:lang w:eastAsia="en-US"/>
        </w:rPr>
        <w:t>t som</w:t>
      </w:r>
      <w:r>
        <w:rPr>
          <w:lang w:eastAsia="en-US"/>
        </w:rPr>
        <w:t xml:space="preserve"> udgangspunkt antages, at forbruget har </w:t>
      </w:r>
      <w:r w:rsidR="00BB391A">
        <w:rPr>
          <w:lang w:eastAsia="en-US"/>
        </w:rPr>
        <w:t>svaret til</w:t>
      </w:r>
      <w:r>
        <w:rPr>
          <w:lang w:eastAsia="en-US"/>
        </w:rPr>
        <w:t xml:space="preserve"> forbruget i Danmark. De </w:t>
      </w:r>
      <w:r w:rsidR="00054007">
        <w:rPr>
          <w:lang w:eastAsia="en-US"/>
        </w:rPr>
        <w:t xml:space="preserve">danske </w:t>
      </w:r>
      <w:r>
        <w:rPr>
          <w:lang w:eastAsia="en-US"/>
        </w:rPr>
        <w:t>implementeringsplan</w:t>
      </w:r>
      <w:r w:rsidR="0039434F">
        <w:rPr>
          <w:lang w:eastAsia="en-US"/>
        </w:rPr>
        <w:t>er</w:t>
      </w:r>
      <w:r>
        <w:rPr>
          <w:lang w:eastAsia="en-US"/>
        </w:rPr>
        <w:t xml:space="preserve"> </w:t>
      </w:r>
      <w:r w:rsidR="006B2FF9">
        <w:rPr>
          <w:lang w:eastAsia="en-US"/>
        </w:rPr>
        <w:t xml:space="preserve">fra 2012 </w:t>
      </w:r>
      <w:r w:rsidR="0039434F">
        <w:rPr>
          <w:lang w:eastAsia="en-US"/>
        </w:rPr>
        <w:t xml:space="preserve">og 2018 </w:t>
      </w:r>
      <w:r>
        <w:rPr>
          <w:lang w:eastAsia="en-US"/>
        </w:rPr>
        <w:t>t</w:t>
      </w:r>
      <w:r w:rsidR="006B2FF9">
        <w:rPr>
          <w:lang w:eastAsia="en-US"/>
        </w:rPr>
        <w:t>og</w:t>
      </w:r>
      <w:r>
        <w:rPr>
          <w:lang w:eastAsia="en-US"/>
        </w:rPr>
        <w:t xml:space="preserve"> udgangspunkt i en opgørelse fra Europakommissionen. I</w:t>
      </w:r>
      <w:r w:rsidRPr="00336C1A">
        <w:rPr>
          <w:lang w:eastAsia="en-US"/>
        </w:rPr>
        <w:t xml:space="preserve"> følge </w:t>
      </w:r>
      <w:r w:rsidR="00C73C5A">
        <w:rPr>
          <w:lang w:eastAsia="en-US"/>
        </w:rPr>
        <w:t xml:space="preserve">denne </w:t>
      </w:r>
      <w:r w:rsidRPr="00336C1A">
        <w:rPr>
          <w:lang w:eastAsia="en-US"/>
        </w:rPr>
        <w:t>opgørelse</w:t>
      </w:r>
      <w:r>
        <w:rPr>
          <w:lang w:eastAsia="en-US"/>
        </w:rPr>
        <w:t xml:space="preserve"> </w:t>
      </w:r>
      <w:r w:rsidRPr="00336C1A">
        <w:rPr>
          <w:lang w:eastAsia="en-US"/>
        </w:rPr>
        <w:t xml:space="preserve">faldt det samlede forbrug af teknisk </w:t>
      </w:r>
      <w:proofErr w:type="spellStart"/>
      <w:r w:rsidRPr="00336C1A">
        <w:rPr>
          <w:lang w:eastAsia="en-US"/>
        </w:rPr>
        <w:t>pentaBDE</w:t>
      </w:r>
      <w:proofErr w:type="spellEnd"/>
      <w:r w:rsidRPr="00336C1A">
        <w:rPr>
          <w:lang w:eastAsia="en-US"/>
        </w:rPr>
        <w:t xml:space="preserve"> i EU fra omkring 1.100 tons i 1994 til 200-250 tons i år 2000 for helt at ophøre i 2004</w:t>
      </w:r>
      <w:r>
        <w:rPr>
          <w:lang w:eastAsia="en-US"/>
        </w:rPr>
        <w:t xml:space="preserve"> (</w:t>
      </w:r>
      <w:r w:rsidR="00187F22">
        <w:rPr>
          <w:lang w:eastAsia="en-US"/>
        </w:rPr>
        <w:t xml:space="preserve">Lassen </w:t>
      </w:r>
      <w:r w:rsidR="009E514A">
        <w:rPr>
          <w:lang w:eastAsia="en-US"/>
        </w:rPr>
        <w:t>m.fl.</w:t>
      </w:r>
      <w:r w:rsidR="00187F22">
        <w:rPr>
          <w:lang w:eastAsia="en-US"/>
        </w:rPr>
        <w:t>, 2013a</w:t>
      </w:r>
      <w:r>
        <w:rPr>
          <w:lang w:eastAsia="en-US"/>
        </w:rPr>
        <w:t>)</w:t>
      </w:r>
      <w:r w:rsidRPr="00336C1A">
        <w:rPr>
          <w:lang w:eastAsia="en-US"/>
        </w:rPr>
        <w:t xml:space="preserve">. Omkring 95% af teknisk </w:t>
      </w:r>
      <w:proofErr w:type="spellStart"/>
      <w:r w:rsidRPr="00336C1A">
        <w:rPr>
          <w:lang w:eastAsia="en-US"/>
        </w:rPr>
        <w:t>pentaBDE</w:t>
      </w:r>
      <w:proofErr w:type="spellEnd"/>
      <w:r w:rsidRPr="00336C1A">
        <w:rPr>
          <w:lang w:eastAsia="en-US"/>
        </w:rPr>
        <w:t xml:space="preserve"> blev i EU brugt i </w:t>
      </w:r>
      <w:proofErr w:type="spellStart"/>
      <w:r w:rsidRPr="00336C1A">
        <w:rPr>
          <w:lang w:eastAsia="en-US"/>
        </w:rPr>
        <w:t>opskummet</w:t>
      </w:r>
      <w:proofErr w:type="spellEnd"/>
      <w:r w:rsidRPr="00336C1A">
        <w:rPr>
          <w:lang w:eastAsia="en-US"/>
        </w:rPr>
        <w:t xml:space="preserve"> polyuretan (PU-skum), som blev brugt i madrasser og polstring</w:t>
      </w:r>
      <w:r w:rsidR="0022088C">
        <w:rPr>
          <w:lang w:eastAsia="en-US"/>
        </w:rPr>
        <w:t xml:space="preserve"> (herunder i biler)</w:t>
      </w:r>
      <w:r>
        <w:rPr>
          <w:lang w:eastAsia="en-US"/>
        </w:rPr>
        <w:t>, hvor der i England og Irland har været krav om flammehæmning</w:t>
      </w:r>
      <w:r w:rsidR="0022088C">
        <w:rPr>
          <w:lang w:eastAsia="en-US"/>
        </w:rPr>
        <w:t xml:space="preserve"> af madrasser og møbler i hjem</w:t>
      </w:r>
      <w:r>
        <w:rPr>
          <w:lang w:eastAsia="en-US"/>
        </w:rPr>
        <w:t>, som der ikke har været i Danmark.</w:t>
      </w:r>
      <w:r w:rsidR="0022088C">
        <w:rPr>
          <w:lang w:eastAsia="en-US"/>
        </w:rPr>
        <w:t xml:space="preserve"> I følge en undersøgelse af </w:t>
      </w:r>
      <w:proofErr w:type="spellStart"/>
      <w:r w:rsidR="0022088C">
        <w:rPr>
          <w:lang w:eastAsia="en-US"/>
        </w:rPr>
        <w:t>bromerede</w:t>
      </w:r>
      <w:proofErr w:type="spellEnd"/>
      <w:r w:rsidR="0022088C">
        <w:rPr>
          <w:lang w:eastAsia="en-US"/>
        </w:rPr>
        <w:t xml:space="preserve"> </w:t>
      </w:r>
      <w:proofErr w:type="spellStart"/>
      <w:r w:rsidR="0022088C">
        <w:rPr>
          <w:lang w:eastAsia="en-US"/>
        </w:rPr>
        <w:t>flammehæmmere</w:t>
      </w:r>
      <w:proofErr w:type="spellEnd"/>
      <w:r w:rsidR="0022088C">
        <w:rPr>
          <w:lang w:eastAsia="en-US"/>
        </w:rPr>
        <w:t xml:space="preserve"> fra 1999</w:t>
      </w:r>
      <w:r>
        <w:rPr>
          <w:lang w:eastAsia="en-US"/>
        </w:rPr>
        <w:t xml:space="preserve"> </w:t>
      </w:r>
      <w:r w:rsidR="0022088C">
        <w:rPr>
          <w:lang w:eastAsia="en-US"/>
        </w:rPr>
        <w:t xml:space="preserve">blev der ikke brugt </w:t>
      </w:r>
      <w:proofErr w:type="spellStart"/>
      <w:r w:rsidR="0022088C">
        <w:rPr>
          <w:lang w:eastAsia="en-US"/>
        </w:rPr>
        <w:t>bromerede</w:t>
      </w:r>
      <w:proofErr w:type="spellEnd"/>
      <w:r w:rsidR="0022088C">
        <w:rPr>
          <w:lang w:eastAsia="en-US"/>
        </w:rPr>
        <w:t xml:space="preserve"> </w:t>
      </w:r>
      <w:proofErr w:type="spellStart"/>
      <w:r w:rsidR="0022088C">
        <w:rPr>
          <w:lang w:eastAsia="en-US"/>
        </w:rPr>
        <w:t>flammehæmmere</w:t>
      </w:r>
      <w:proofErr w:type="spellEnd"/>
      <w:r w:rsidR="0022088C">
        <w:rPr>
          <w:lang w:eastAsia="en-US"/>
        </w:rPr>
        <w:t xml:space="preserve"> i skummadrasser og polstermøbler fremstillet i Danmark. Så forbruget </w:t>
      </w:r>
      <w:r w:rsidR="00054007">
        <w:rPr>
          <w:lang w:eastAsia="en-US"/>
        </w:rPr>
        <w:t xml:space="preserve">i </w:t>
      </w:r>
      <w:r w:rsidR="0022088C">
        <w:rPr>
          <w:lang w:eastAsia="en-US"/>
        </w:rPr>
        <w:t>skummadrasser og polstermøbler vurderes at være</w:t>
      </w:r>
      <w:r w:rsidR="00506AFF">
        <w:rPr>
          <w:lang w:eastAsia="en-US"/>
        </w:rPr>
        <w:t xml:space="preserve"> ubetydeligt</w:t>
      </w:r>
      <w:r w:rsidR="0022088C">
        <w:rPr>
          <w:lang w:eastAsia="en-US"/>
        </w:rPr>
        <w:t xml:space="preserve">. </w:t>
      </w:r>
      <w:r w:rsidRPr="00336C1A">
        <w:rPr>
          <w:lang w:eastAsia="en-US"/>
        </w:rPr>
        <w:t xml:space="preserve">Det vurderes i undersøgelsen for EU-kommissionen, at stort set alt teknisk </w:t>
      </w:r>
      <w:proofErr w:type="spellStart"/>
      <w:r w:rsidRPr="00336C1A">
        <w:rPr>
          <w:lang w:eastAsia="en-US"/>
        </w:rPr>
        <w:t>pentaBDE</w:t>
      </w:r>
      <w:proofErr w:type="spellEnd"/>
      <w:r w:rsidRPr="00336C1A">
        <w:rPr>
          <w:lang w:eastAsia="en-US"/>
        </w:rPr>
        <w:t xml:space="preserve"> i køretøjer i EU vil være bortskaffet i 2016.</w:t>
      </w:r>
      <w:r w:rsidR="0022088C">
        <w:rPr>
          <w:lang w:eastAsia="en-US"/>
        </w:rPr>
        <w:t xml:space="preserve"> </w:t>
      </w:r>
      <w:r w:rsidR="00F16548">
        <w:rPr>
          <w:lang w:eastAsia="en-US"/>
        </w:rPr>
        <w:t xml:space="preserve">Det skal i den sammenhæng bemærkes, at biler anvendes i en længere årrække i Grønland end generelt i EU, så der vil muligvis nogle år frem stadig kunne være </w:t>
      </w:r>
      <w:r w:rsidR="00F16548" w:rsidRPr="00336C1A">
        <w:rPr>
          <w:lang w:eastAsia="en-US"/>
        </w:rPr>
        <w:t xml:space="preserve">teknisk </w:t>
      </w:r>
      <w:proofErr w:type="spellStart"/>
      <w:r w:rsidR="00F16548" w:rsidRPr="00336C1A">
        <w:rPr>
          <w:lang w:eastAsia="en-US"/>
        </w:rPr>
        <w:t>pentaBDE</w:t>
      </w:r>
      <w:proofErr w:type="spellEnd"/>
      <w:r w:rsidR="00F16548">
        <w:rPr>
          <w:lang w:eastAsia="en-US"/>
        </w:rPr>
        <w:t xml:space="preserve"> i biler, der bortskaffes i Grønland.</w:t>
      </w:r>
    </w:p>
    <w:p w14:paraId="536FB103" w14:textId="3AF13815" w:rsidR="00F33B7A" w:rsidRDefault="0022088C" w:rsidP="00AB0087">
      <w:pPr>
        <w:pStyle w:val="Brdtekst"/>
        <w:rPr>
          <w:lang w:eastAsia="en-US"/>
        </w:rPr>
      </w:pPr>
      <w:r>
        <w:rPr>
          <w:lang w:eastAsia="en-US"/>
        </w:rPr>
        <w:t>Det kan ikke afvises</w:t>
      </w:r>
      <w:r w:rsidR="00AB2F88">
        <w:rPr>
          <w:lang w:eastAsia="en-US"/>
        </w:rPr>
        <w:t>,</w:t>
      </w:r>
      <w:r>
        <w:rPr>
          <w:lang w:eastAsia="en-US"/>
        </w:rPr>
        <w:t xml:space="preserve"> at der stadig vil kunne være meget små mængder af teknisk </w:t>
      </w:r>
      <w:proofErr w:type="spellStart"/>
      <w:r>
        <w:rPr>
          <w:lang w:eastAsia="en-US"/>
        </w:rPr>
        <w:t>pentaBDE</w:t>
      </w:r>
      <w:proofErr w:type="spellEnd"/>
      <w:r>
        <w:rPr>
          <w:lang w:eastAsia="en-US"/>
        </w:rPr>
        <w:t xml:space="preserve"> i affaldsst</w:t>
      </w:r>
      <w:r w:rsidR="002F1D4E">
        <w:rPr>
          <w:lang w:eastAsia="en-US"/>
        </w:rPr>
        <w:t>r</w:t>
      </w:r>
      <w:r>
        <w:rPr>
          <w:lang w:eastAsia="en-US"/>
        </w:rPr>
        <w:t xml:space="preserve">ømmen, men </w:t>
      </w:r>
      <w:r w:rsidR="00F16548">
        <w:rPr>
          <w:lang w:eastAsia="en-US"/>
        </w:rPr>
        <w:t>langt hovedparten af</w:t>
      </w:r>
      <w:r w:rsidR="00AB2F88">
        <w:rPr>
          <w:lang w:eastAsia="en-US"/>
        </w:rPr>
        <w:t>,</w:t>
      </w:r>
      <w:r>
        <w:rPr>
          <w:lang w:eastAsia="en-US"/>
        </w:rPr>
        <w:t xml:space="preserve"> hvad der måtte have været brugt i produkter</w:t>
      </w:r>
      <w:r w:rsidR="00AB2F88">
        <w:rPr>
          <w:lang w:eastAsia="en-US"/>
        </w:rPr>
        <w:t>, vil</w:t>
      </w:r>
      <w:r>
        <w:rPr>
          <w:lang w:eastAsia="en-US"/>
        </w:rPr>
        <w:t xml:space="preserve"> i dag vil være bortskaffet. </w:t>
      </w:r>
      <w:r w:rsidR="00B5611E">
        <w:rPr>
          <w:lang w:eastAsia="en-US"/>
        </w:rPr>
        <w:t>Det</w:t>
      </w:r>
      <w:r>
        <w:rPr>
          <w:lang w:eastAsia="en-US"/>
        </w:rPr>
        <w:t xml:space="preserve"> ikke er muligt at se på produkterne, om de indeholder </w:t>
      </w:r>
      <w:proofErr w:type="spellStart"/>
      <w:r>
        <w:rPr>
          <w:lang w:eastAsia="en-US"/>
        </w:rPr>
        <w:t>penta</w:t>
      </w:r>
      <w:r w:rsidR="00054007">
        <w:rPr>
          <w:lang w:eastAsia="en-US"/>
        </w:rPr>
        <w:t>BD</w:t>
      </w:r>
      <w:r>
        <w:rPr>
          <w:lang w:eastAsia="en-US"/>
        </w:rPr>
        <w:t>E</w:t>
      </w:r>
      <w:proofErr w:type="spellEnd"/>
      <w:r w:rsidR="00B5611E">
        <w:rPr>
          <w:lang w:eastAsia="en-US"/>
        </w:rPr>
        <w:t>. Det vurderes ikke at være proportional</w:t>
      </w:r>
      <w:r w:rsidR="00054007">
        <w:rPr>
          <w:lang w:eastAsia="en-US"/>
        </w:rPr>
        <w:t>t</w:t>
      </w:r>
      <w:r w:rsidR="00B5611E">
        <w:rPr>
          <w:lang w:eastAsia="en-US"/>
        </w:rPr>
        <w:t xml:space="preserve"> med problemets størrelse at bortskaffe alle skummadrasser og polstermøbler til særlig affaldsbehandling. </w:t>
      </w:r>
    </w:p>
    <w:p w14:paraId="57128358" w14:textId="2541CBCD" w:rsidR="00A30683" w:rsidRDefault="00F33B7A" w:rsidP="00AB0087">
      <w:pPr>
        <w:pStyle w:val="Brdtekst"/>
        <w:rPr>
          <w:lang w:eastAsia="en-US"/>
        </w:rPr>
      </w:pPr>
      <w:r>
        <w:rPr>
          <w:lang w:eastAsia="en-US"/>
        </w:rPr>
        <w:t>I betragtning af</w:t>
      </w:r>
      <w:r w:rsidR="000C13B5">
        <w:rPr>
          <w:lang w:eastAsia="en-US"/>
        </w:rPr>
        <w:t>,</w:t>
      </w:r>
      <w:r>
        <w:rPr>
          <w:lang w:eastAsia="en-US"/>
        </w:rPr>
        <w:t xml:space="preserve"> at produkterne er ved at være bortskaffede og de tilgængelige oplysninger indikerer</w:t>
      </w:r>
      <w:r w:rsidR="00BB391A">
        <w:rPr>
          <w:lang w:eastAsia="en-US"/>
        </w:rPr>
        <w:t>,</w:t>
      </w:r>
      <w:r>
        <w:rPr>
          <w:lang w:eastAsia="en-US"/>
        </w:rPr>
        <w:t xml:space="preserve"> at </w:t>
      </w:r>
      <w:proofErr w:type="spellStart"/>
      <w:r>
        <w:rPr>
          <w:lang w:eastAsia="en-US"/>
        </w:rPr>
        <w:t>pentaBDE</w:t>
      </w:r>
      <w:proofErr w:type="spellEnd"/>
      <w:r>
        <w:rPr>
          <w:lang w:eastAsia="en-US"/>
        </w:rPr>
        <w:t xml:space="preserve"> ikke har været anvendt i dans</w:t>
      </w:r>
      <w:r w:rsidR="00AD5D85">
        <w:rPr>
          <w:lang w:eastAsia="en-US"/>
        </w:rPr>
        <w:t>k</w:t>
      </w:r>
      <w:r w:rsidR="00A30683">
        <w:rPr>
          <w:lang w:eastAsia="en-US"/>
        </w:rPr>
        <w:t xml:space="preserve"> </w:t>
      </w:r>
      <w:r>
        <w:rPr>
          <w:lang w:eastAsia="en-US"/>
        </w:rPr>
        <w:t>produktion af skummadrasser og polstermøbler</w:t>
      </w:r>
      <w:r w:rsidR="000C13B5">
        <w:rPr>
          <w:lang w:eastAsia="en-US"/>
        </w:rPr>
        <w:t>,</w:t>
      </w:r>
      <w:r>
        <w:rPr>
          <w:lang w:eastAsia="en-US"/>
        </w:rPr>
        <w:t xml:space="preserve"> vurderes det ikke relevant at udarbejde </w:t>
      </w:r>
      <w:r w:rsidR="00CD6D10">
        <w:rPr>
          <w:lang w:eastAsia="en-US"/>
        </w:rPr>
        <w:t xml:space="preserve">anbefalinger </w:t>
      </w:r>
      <w:r w:rsidR="000C13B5">
        <w:rPr>
          <w:lang w:eastAsia="en-US"/>
        </w:rPr>
        <w:t xml:space="preserve">om, </w:t>
      </w:r>
      <w:r w:rsidR="00CD6D10">
        <w:rPr>
          <w:lang w:eastAsia="en-US"/>
        </w:rPr>
        <w:t>at disse produkter ikke bør genanvendes.</w:t>
      </w:r>
      <w:r w:rsidR="00AD2343">
        <w:rPr>
          <w:lang w:eastAsia="en-US"/>
        </w:rPr>
        <w:t xml:space="preserve"> Der er i Danmark ikke krav om særlig håndtering af disse produkter.</w:t>
      </w:r>
    </w:p>
    <w:p w14:paraId="0945AAD2" w14:textId="4B2E631A" w:rsidR="009A34DF" w:rsidRPr="00F33B7A" w:rsidRDefault="009A34DF" w:rsidP="003421D8">
      <w:pPr>
        <w:pStyle w:val="Overskrift4"/>
        <w:rPr>
          <w:lang w:eastAsia="en-US"/>
        </w:rPr>
      </w:pPr>
      <w:r w:rsidRPr="00F33B7A">
        <w:rPr>
          <w:lang w:eastAsia="en-US"/>
        </w:rPr>
        <w:t xml:space="preserve">Teknisk </w:t>
      </w:r>
      <w:proofErr w:type="spellStart"/>
      <w:r w:rsidRPr="00F33B7A">
        <w:rPr>
          <w:lang w:eastAsia="en-US"/>
        </w:rPr>
        <w:t>o</w:t>
      </w:r>
      <w:r w:rsidR="00C46F25" w:rsidRPr="00F33B7A">
        <w:rPr>
          <w:lang w:eastAsia="en-US"/>
        </w:rPr>
        <w:t>ctaBDE</w:t>
      </w:r>
      <w:proofErr w:type="spellEnd"/>
      <w:r w:rsidR="00AD5D85">
        <w:rPr>
          <w:lang w:eastAsia="en-US"/>
        </w:rPr>
        <w:t xml:space="preserve"> </w:t>
      </w:r>
      <w:r w:rsidR="00735527">
        <w:rPr>
          <w:lang w:eastAsia="en-US"/>
        </w:rPr>
        <w:t>og</w:t>
      </w:r>
      <w:r w:rsidR="008A7BFC">
        <w:rPr>
          <w:lang w:eastAsia="en-US"/>
        </w:rPr>
        <w:t xml:space="preserve"> </w:t>
      </w:r>
      <w:proofErr w:type="spellStart"/>
      <w:r w:rsidR="008A7BFC">
        <w:rPr>
          <w:lang w:eastAsia="en-US"/>
        </w:rPr>
        <w:t>decaBDE</w:t>
      </w:r>
      <w:proofErr w:type="spellEnd"/>
    </w:p>
    <w:p w14:paraId="16705B34" w14:textId="4D9CAB45" w:rsidR="008A7BFC" w:rsidRDefault="00F61D18" w:rsidP="00AB0087">
      <w:pPr>
        <w:pStyle w:val="Brdtekst"/>
        <w:rPr>
          <w:lang w:eastAsia="en-US"/>
        </w:rPr>
      </w:pPr>
      <w:r w:rsidRPr="00F33B7A">
        <w:rPr>
          <w:lang w:eastAsia="en-US"/>
        </w:rPr>
        <w:t>Omkring 95% af teknisk</w:t>
      </w:r>
      <w:r>
        <w:rPr>
          <w:lang w:eastAsia="en-US"/>
        </w:rPr>
        <w:t xml:space="preserve"> </w:t>
      </w:r>
      <w:proofErr w:type="spellStart"/>
      <w:r>
        <w:rPr>
          <w:lang w:eastAsia="en-US"/>
        </w:rPr>
        <w:t>octaBDE</w:t>
      </w:r>
      <w:proofErr w:type="spellEnd"/>
      <w:r>
        <w:rPr>
          <w:lang w:eastAsia="en-US"/>
        </w:rPr>
        <w:t xml:space="preserve"> blev på ver</w:t>
      </w:r>
      <w:r w:rsidRPr="00F61D18">
        <w:rPr>
          <w:lang w:eastAsia="en-US"/>
        </w:rPr>
        <w:t>densplan anvendt til ABS</w:t>
      </w:r>
      <w:r w:rsidR="000C13B5">
        <w:rPr>
          <w:lang w:eastAsia="en-US"/>
        </w:rPr>
        <w:t>-</w:t>
      </w:r>
      <w:r w:rsidRPr="00F61D18">
        <w:rPr>
          <w:lang w:eastAsia="en-US"/>
        </w:rPr>
        <w:t>plast, som især bruges til kabinetter til elektrisk og elektronisk udstyr. De resterende 5% blev anvendt til andre typer af plast, som ligeledes anvendtes i elektrisk og elektronisk udstyr</w:t>
      </w:r>
      <w:r w:rsidR="00CD6D10">
        <w:rPr>
          <w:lang w:eastAsia="en-US"/>
        </w:rPr>
        <w:t xml:space="preserve">. </w:t>
      </w:r>
      <w:proofErr w:type="spellStart"/>
      <w:r w:rsidR="008A7BFC">
        <w:rPr>
          <w:lang w:eastAsia="en-US"/>
        </w:rPr>
        <w:t>Decabromdiphenylether</w:t>
      </w:r>
      <w:proofErr w:type="spellEnd"/>
      <w:r w:rsidR="008A7BFC">
        <w:rPr>
          <w:lang w:eastAsia="en-US"/>
        </w:rPr>
        <w:t xml:space="preserve"> (</w:t>
      </w:r>
      <w:proofErr w:type="spellStart"/>
      <w:r w:rsidR="008A7BFC">
        <w:rPr>
          <w:lang w:eastAsia="en-US"/>
        </w:rPr>
        <w:t>decaBDE</w:t>
      </w:r>
      <w:proofErr w:type="spellEnd"/>
      <w:r w:rsidR="008A7BFC">
        <w:rPr>
          <w:lang w:eastAsia="en-US"/>
        </w:rPr>
        <w:t xml:space="preserve">) er blevet optaget under konventionen i 2017. </w:t>
      </w:r>
      <w:proofErr w:type="spellStart"/>
      <w:r w:rsidR="008A7BFC">
        <w:rPr>
          <w:lang w:eastAsia="en-US"/>
        </w:rPr>
        <w:t>DecaBDE</w:t>
      </w:r>
      <w:proofErr w:type="spellEnd"/>
      <w:r w:rsidR="008A7BFC">
        <w:rPr>
          <w:lang w:eastAsia="en-US"/>
        </w:rPr>
        <w:t xml:space="preserve"> har primært været anvendt som flammehæmmer i elektriske og elektroniske produkter</w:t>
      </w:r>
      <w:r w:rsidR="00C73C5A">
        <w:rPr>
          <w:lang w:eastAsia="en-US"/>
        </w:rPr>
        <w:t xml:space="preserve"> samt</w:t>
      </w:r>
      <w:r w:rsidR="008A7BFC">
        <w:rPr>
          <w:lang w:eastAsia="en-US"/>
        </w:rPr>
        <w:t xml:space="preserve"> i flammehæmmede tekstiler i biler og polstermøbler. </w:t>
      </w:r>
    </w:p>
    <w:p w14:paraId="3AC0FEA8" w14:textId="446DE509" w:rsidR="00F61D18" w:rsidRPr="00CD6D10" w:rsidRDefault="00CD6D10" w:rsidP="00AB0087">
      <w:pPr>
        <w:pStyle w:val="Brdtekst"/>
        <w:rPr>
          <w:lang w:eastAsia="en-US"/>
        </w:rPr>
      </w:pPr>
      <w:r>
        <w:rPr>
          <w:lang w:eastAsia="en-US"/>
        </w:rPr>
        <w:lastRenderedPageBreak/>
        <w:t>Elektrisk og elektronisk udstyr solgt i Grønland vurderes at være det samme</w:t>
      </w:r>
      <w:r w:rsidR="000C13B5">
        <w:rPr>
          <w:lang w:eastAsia="en-US"/>
        </w:rPr>
        <w:t>,</w:t>
      </w:r>
      <w:r>
        <w:rPr>
          <w:lang w:eastAsia="en-US"/>
        </w:rPr>
        <w:t xml:space="preserve"> som er på det danske marked, og f</w:t>
      </w:r>
      <w:r w:rsidR="00F61D18">
        <w:rPr>
          <w:lang w:eastAsia="en-US"/>
        </w:rPr>
        <w:t>orekomsten af stoffet i produkter i Grønland vurderes at svare til fo</w:t>
      </w:r>
      <w:r>
        <w:rPr>
          <w:lang w:eastAsia="en-US"/>
        </w:rPr>
        <w:t xml:space="preserve">rekomsten </w:t>
      </w:r>
      <w:r w:rsidR="003613B4">
        <w:rPr>
          <w:lang w:eastAsia="en-US"/>
        </w:rPr>
        <w:t xml:space="preserve">i </w:t>
      </w:r>
      <w:r>
        <w:rPr>
          <w:lang w:eastAsia="en-US"/>
        </w:rPr>
        <w:t>produkter på det Europæiske marked</w:t>
      </w:r>
      <w:r w:rsidR="00F61D18">
        <w:rPr>
          <w:lang w:eastAsia="en-US"/>
        </w:rPr>
        <w:t xml:space="preserve">. </w:t>
      </w:r>
      <w:r w:rsidR="00F61D18" w:rsidRPr="00F61D18">
        <w:rPr>
          <w:lang w:eastAsia="en-US"/>
        </w:rPr>
        <w:t xml:space="preserve">I følge </w:t>
      </w:r>
      <w:r w:rsidR="00F61D18">
        <w:rPr>
          <w:lang w:eastAsia="en-US"/>
        </w:rPr>
        <w:t>en opgørelse</w:t>
      </w:r>
      <w:r w:rsidR="00F61D18" w:rsidRPr="00F61D18">
        <w:rPr>
          <w:lang w:eastAsia="en-US"/>
        </w:rPr>
        <w:t xml:space="preserve"> </w:t>
      </w:r>
      <w:r w:rsidR="0039434F">
        <w:rPr>
          <w:lang w:eastAsia="en-US"/>
        </w:rPr>
        <w:t>udarbejdet</w:t>
      </w:r>
      <w:r w:rsidR="0039434F" w:rsidRPr="00F61D18">
        <w:rPr>
          <w:lang w:eastAsia="en-US"/>
        </w:rPr>
        <w:t xml:space="preserve"> </w:t>
      </w:r>
      <w:r w:rsidR="00F61D18" w:rsidRPr="00F61D18">
        <w:rPr>
          <w:lang w:eastAsia="en-US"/>
        </w:rPr>
        <w:t xml:space="preserve">for </w:t>
      </w:r>
      <w:r w:rsidR="00F61D18">
        <w:rPr>
          <w:lang w:eastAsia="en-US"/>
        </w:rPr>
        <w:t>Europa</w:t>
      </w:r>
      <w:r w:rsidR="00F61D18" w:rsidRPr="00F61D18">
        <w:rPr>
          <w:lang w:eastAsia="en-US"/>
        </w:rPr>
        <w:t xml:space="preserve">kommissionen var forbruget </w:t>
      </w:r>
      <w:r w:rsidR="00AC371A">
        <w:rPr>
          <w:lang w:eastAsia="en-US"/>
        </w:rPr>
        <w:t xml:space="preserve">af </w:t>
      </w:r>
      <w:proofErr w:type="spellStart"/>
      <w:r w:rsidR="008A7BFC" w:rsidRPr="00CD6D10">
        <w:rPr>
          <w:lang w:eastAsia="en-US"/>
        </w:rPr>
        <w:t>octaBDE</w:t>
      </w:r>
      <w:proofErr w:type="spellEnd"/>
      <w:r w:rsidR="008A7BFC" w:rsidRPr="00CD6D10">
        <w:rPr>
          <w:lang w:eastAsia="en-US"/>
        </w:rPr>
        <w:t xml:space="preserve"> </w:t>
      </w:r>
      <w:r w:rsidR="00F61D18" w:rsidRPr="00F61D18">
        <w:rPr>
          <w:lang w:eastAsia="en-US"/>
        </w:rPr>
        <w:t>i E</w:t>
      </w:r>
      <w:r w:rsidR="00F61D18">
        <w:rPr>
          <w:lang w:eastAsia="en-US"/>
        </w:rPr>
        <w:t>U i 1999</w:t>
      </w:r>
      <w:r w:rsidR="00F61D18" w:rsidRPr="00F61D18">
        <w:rPr>
          <w:lang w:eastAsia="en-US"/>
        </w:rPr>
        <w:t xml:space="preserve"> på omkring 1.800 tons</w:t>
      </w:r>
      <w:r w:rsidR="003613B4">
        <w:rPr>
          <w:lang w:eastAsia="en-US"/>
        </w:rPr>
        <w:t xml:space="preserve"> inklusiv import med ar</w:t>
      </w:r>
      <w:r w:rsidR="003613B4" w:rsidRPr="00F61D18">
        <w:rPr>
          <w:lang w:eastAsia="en-US"/>
        </w:rPr>
        <w:t>tikler</w:t>
      </w:r>
      <w:r w:rsidR="00F61D18" w:rsidRPr="00F61D18">
        <w:rPr>
          <w:lang w:eastAsia="en-US"/>
        </w:rPr>
        <w:t xml:space="preserve">. Det akkumulerede </w:t>
      </w:r>
      <w:r w:rsidR="00F61D18" w:rsidRPr="00CD6D10">
        <w:rPr>
          <w:lang w:eastAsia="en-US"/>
        </w:rPr>
        <w:t xml:space="preserve">forbrug i EU fra 1970 til 2005 var på omkring 17.000 tons, hvoraf en ukendt del blev eksporteret. </w:t>
      </w:r>
      <w:r w:rsidR="00E0000D" w:rsidRPr="00CD6D10">
        <w:rPr>
          <w:lang w:eastAsia="en-US"/>
        </w:rPr>
        <w:t xml:space="preserve">Da de artikler, hvor </w:t>
      </w:r>
      <w:proofErr w:type="spellStart"/>
      <w:r w:rsidR="00E0000D" w:rsidRPr="00CD6D10">
        <w:rPr>
          <w:lang w:eastAsia="en-US"/>
        </w:rPr>
        <w:t>octaBDE</w:t>
      </w:r>
      <w:proofErr w:type="spellEnd"/>
      <w:r w:rsidR="00E0000D" w:rsidRPr="00CD6D10">
        <w:rPr>
          <w:lang w:eastAsia="en-US"/>
        </w:rPr>
        <w:t xml:space="preserve"> blev anvendt, har en relativ kort levetid, antages det, </w:t>
      </w:r>
      <w:r w:rsidR="000D3923" w:rsidRPr="00CD6D10">
        <w:rPr>
          <w:lang w:eastAsia="en-US"/>
        </w:rPr>
        <w:t xml:space="preserve">i lighed med situationen i Danmark, </w:t>
      </w:r>
      <w:r w:rsidR="00E0000D" w:rsidRPr="00CD6D10">
        <w:rPr>
          <w:lang w:eastAsia="en-US"/>
        </w:rPr>
        <w:t xml:space="preserve">at langt hovedparten af den mængde, der er sat i omløb, er bortskaffet i dag. </w:t>
      </w:r>
      <w:r w:rsidR="00AC371A">
        <w:rPr>
          <w:lang w:eastAsia="en-US"/>
        </w:rPr>
        <w:t xml:space="preserve">Forbruget af </w:t>
      </w:r>
      <w:proofErr w:type="spellStart"/>
      <w:r w:rsidR="00AC371A">
        <w:rPr>
          <w:lang w:eastAsia="en-US"/>
        </w:rPr>
        <w:t>decaBDE</w:t>
      </w:r>
      <w:proofErr w:type="spellEnd"/>
      <w:r w:rsidR="00AC371A">
        <w:rPr>
          <w:lang w:eastAsia="en-US"/>
        </w:rPr>
        <w:t xml:space="preserve"> </w:t>
      </w:r>
      <w:r w:rsidR="0084760D">
        <w:rPr>
          <w:lang w:eastAsia="en-US"/>
        </w:rPr>
        <w:t xml:space="preserve">i EU var i perioden 2007-2011 i størrelsen 5.000-7.500 tons/år, hvoraf tekstiler tegnede sig for ca. 1/3. Før forbuddet mod anvendelse af </w:t>
      </w:r>
      <w:proofErr w:type="spellStart"/>
      <w:r w:rsidR="0084760D">
        <w:rPr>
          <w:lang w:eastAsia="en-US"/>
        </w:rPr>
        <w:t>decaBDE</w:t>
      </w:r>
      <w:proofErr w:type="spellEnd"/>
      <w:r w:rsidR="0084760D">
        <w:rPr>
          <w:lang w:eastAsia="en-US"/>
        </w:rPr>
        <w:t xml:space="preserve"> i elekt</w:t>
      </w:r>
      <w:r w:rsidR="00735527">
        <w:rPr>
          <w:lang w:eastAsia="en-US"/>
        </w:rPr>
        <w:t>r</w:t>
      </w:r>
      <w:r w:rsidR="0084760D">
        <w:rPr>
          <w:lang w:eastAsia="en-US"/>
        </w:rPr>
        <w:t xml:space="preserve">iske og elektroniske produkter var der en betydelig import af </w:t>
      </w:r>
      <w:proofErr w:type="spellStart"/>
      <w:r w:rsidR="0084760D">
        <w:rPr>
          <w:lang w:eastAsia="en-US"/>
        </w:rPr>
        <w:t>decaBDE</w:t>
      </w:r>
      <w:proofErr w:type="spellEnd"/>
      <w:r w:rsidR="0084760D">
        <w:rPr>
          <w:lang w:eastAsia="en-US"/>
        </w:rPr>
        <w:t xml:space="preserve"> med produkter primært fra Asien, men der findes ingen samlede opgørelser.</w:t>
      </w:r>
    </w:p>
    <w:p w14:paraId="088DFFFC" w14:textId="05CC4E1F" w:rsidR="00187F22" w:rsidRDefault="00187F22" w:rsidP="00A17014">
      <w:pPr>
        <w:pStyle w:val="Brdtekst"/>
        <w:rPr>
          <w:lang w:eastAsia="en-US"/>
        </w:rPr>
      </w:pPr>
      <w:r w:rsidRPr="00CD6D10">
        <w:rPr>
          <w:lang w:eastAsia="en-US"/>
        </w:rPr>
        <w:t xml:space="preserve">Mens produkter med </w:t>
      </w:r>
      <w:proofErr w:type="spellStart"/>
      <w:r w:rsidRPr="00CD6D10">
        <w:rPr>
          <w:lang w:eastAsia="en-US"/>
        </w:rPr>
        <w:t>octaBDE</w:t>
      </w:r>
      <w:proofErr w:type="spellEnd"/>
      <w:r w:rsidR="008A7BFC">
        <w:rPr>
          <w:lang w:eastAsia="en-US"/>
        </w:rPr>
        <w:t>, der ikke har måttet anvendes siden 2006,</w:t>
      </w:r>
      <w:r w:rsidRPr="00CD6D10">
        <w:rPr>
          <w:lang w:eastAsia="en-US"/>
        </w:rPr>
        <w:t xml:space="preserve"> stort set er bortskaffede er situationen anderledes</w:t>
      </w:r>
      <w:r w:rsidR="00B64D42" w:rsidRPr="00CD6D10">
        <w:rPr>
          <w:lang w:eastAsia="en-US"/>
        </w:rPr>
        <w:t>,</w:t>
      </w:r>
      <w:r w:rsidRPr="00CD6D10">
        <w:rPr>
          <w:lang w:eastAsia="en-US"/>
        </w:rPr>
        <w:t xml:space="preserve"> hvad angår produkter med </w:t>
      </w:r>
      <w:proofErr w:type="spellStart"/>
      <w:r w:rsidRPr="00CD6D10">
        <w:rPr>
          <w:lang w:eastAsia="en-US"/>
        </w:rPr>
        <w:t>decaBDE</w:t>
      </w:r>
      <w:proofErr w:type="spellEnd"/>
      <w:r w:rsidR="00B64D42" w:rsidRPr="00CD6D10">
        <w:rPr>
          <w:lang w:eastAsia="en-US"/>
        </w:rPr>
        <w:t>,</w:t>
      </w:r>
      <w:r w:rsidRPr="00CD6D10">
        <w:rPr>
          <w:lang w:eastAsia="en-US"/>
        </w:rPr>
        <w:t xml:space="preserve"> som har været tilladt i elektronik i EU indtil </w:t>
      </w:r>
      <w:r w:rsidR="00B64D42" w:rsidRPr="00CD6D10">
        <w:rPr>
          <w:lang w:eastAsia="en-US"/>
        </w:rPr>
        <w:t>2010, o</w:t>
      </w:r>
      <w:r w:rsidR="00CD6D10" w:rsidRPr="00CD6D10">
        <w:rPr>
          <w:lang w:eastAsia="en-US"/>
        </w:rPr>
        <w:t xml:space="preserve">g derfor en årrække </w:t>
      </w:r>
      <w:r w:rsidR="00B64D42" w:rsidRPr="00CD6D10">
        <w:rPr>
          <w:lang w:eastAsia="en-US"/>
        </w:rPr>
        <w:t xml:space="preserve">endnu vil kunne forekomme i affaldet. </w:t>
      </w:r>
    </w:p>
    <w:p w14:paraId="45507A83" w14:textId="6CD999FB" w:rsidR="00C82475" w:rsidRDefault="00F61D18" w:rsidP="00A17014">
      <w:pPr>
        <w:pStyle w:val="Brdtekst"/>
      </w:pPr>
      <w:r>
        <w:rPr>
          <w:lang w:eastAsia="en-US"/>
        </w:rPr>
        <w:t>D</w:t>
      </w:r>
      <w:r w:rsidR="0022088C">
        <w:t>e vigtigste måder at undgå spredning af disse stoffer til miljøet er miljømæssig håndtering af affald af elektriske og elektroniske apparater</w:t>
      </w:r>
      <w:r w:rsidR="001122F6">
        <w:t>,</w:t>
      </w:r>
      <w:r w:rsidR="0022088C">
        <w:t xml:space="preserve"> hvor plast indeholdende </w:t>
      </w:r>
      <w:proofErr w:type="spellStart"/>
      <w:r w:rsidR="0022088C">
        <w:t>bromerede</w:t>
      </w:r>
      <w:proofErr w:type="spellEnd"/>
      <w:r w:rsidR="0022088C">
        <w:t xml:space="preserve"> </w:t>
      </w:r>
      <w:proofErr w:type="spellStart"/>
      <w:r w:rsidR="0022088C">
        <w:t>flammehæmmere</w:t>
      </w:r>
      <w:proofErr w:type="spellEnd"/>
      <w:r w:rsidR="0022088C">
        <w:t xml:space="preserve"> bortskaffes </w:t>
      </w:r>
      <w:r>
        <w:t>til destruktion</w:t>
      </w:r>
      <w:r w:rsidR="000C13B5">
        <w:t>,</w:t>
      </w:r>
      <w:r>
        <w:t xml:space="preserve"> som der eksempelvis er krav om i Danmark. </w:t>
      </w:r>
    </w:p>
    <w:p w14:paraId="22607CAD" w14:textId="1522D8BC" w:rsidR="00C82475" w:rsidRPr="001122F6" w:rsidRDefault="00E423BF" w:rsidP="001122F6">
      <w:pPr>
        <w:pStyle w:val="Brdtekst"/>
      </w:pPr>
      <w:r w:rsidRPr="00C64430">
        <w:rPr>
          <w:b/>
        </w:rPr>
        <w:t>H</w:t>
      </w:r>
      <w:r w:rsidR="00C82475" w:rsidRPr="00C64430">
        <w:rPr>
          <w:b/>
        </w:rPr>
        <w:t>åndtering i Grønland</w:t>
      </w:r>
      <w:r w:rsidRPr="00C64430">
        <w:rPr>
          <w:b/>
        </w:rPr>
        <w:t xml:space="preserve"> i 2016</w:t>
      </w:r>
      <w:r w:rsidR="00AD2343" w:rsidRPr="00C64430">
        <w:rPr>
          <w:b/>
        </w:rPr>
        <w:t xml:space="preserve"> </w:t>
      </w:r>
      <w:r w:rsidR="00AD2343">
        <w:t>-</w:t>
      </w:r>
      <w:r w:rsidR="001122F6" w:rsidRPr="001122F6">
        <w:t xml:space="preserve"> </w:t>
      </w:r>
      <w:r w:rsidR="00C82475" w:rsidRPr="001122F6">
        <w:t xml:space="preserve">Der er </w:t>
      </w:r>
      <w:r w:rsidR="001122F6" w:rsidRPr="001122F6">
        <w:t xml:space="preserve">via </w:t>
      </w:r>
      <w:proofErr w:type="spellStart"/>
      <w:r w:rsidR="001122F6" w:rsidRPr="001122F6">
        <w:t>Kanukoka</w:t>
      </w:r>
      <w:proofErr w:type="spellEnd"/>
      <w:r w:rsidR="001122F6" w:rsidRPr="001122F6">
        <w:t xml:space="preserve"> </w:t>
      </w:r>
      <w:r w:rsidR="0084760D">
        <w:t xml:space="preserve">i 2016 </w:t>
      </w:r>
      <w:r w:rsidR="00C82475" w:rsidRPr="001122F6">
        <w:t xml:space="preserve">indhentet </w:t>
      </w:r>
      <w:r w:rsidR="00BF3690" w:rsidRPr="001122F6">
        <w:t>oplysni</w:t>
      </w:r>
      <w:r w:rsidR="000C13B5">
        <w:t>n</w:t>
      </w:r>
      <w:r w:rsidR="00BF3690" w:rsidRPr="001122F6">
        <w:t>ger</w:t>
      </w:r>
      <w:r w:rsidR="001122F6" w:rsidRPr="001122F6">
        <w:t xml:space="preserve"> om kom</w:t>
      </w:r>
      <w:r w:rsidR="000C13B5">
        <w:t>m</w:t>
      </w:r>
      <w:r w:rsidR="001122F6" w:rsidRPr="001122F6">
        <w:t>unernes håndtering af plast fra elektronik</w:t>
      </w:r>
      <w:r w:rsidR="00BF3690" w:rsidRPr="001122F6">
        <w:t xml:space="preserve"> (Guðmundsson, 2016)</w:t>
      </w:r>
      <w:r w:rsidR="001122F6" w:rsidRPr="001122F6">
        <w:t>. Følgende svar er indkommet fra tre af kommunerne</w:t>
      </w:r>
      <w:r w:rsidR="000C13B5">
        <w:t>:</w:t>
      </w:r>
    </w:p>
    <w:p w14:paraId="37375DD2" w14:textId="74E16DE0" w:rsidR="001122F6" w:rsidRDefault="001122F6" w:rsidP="00E423BF">
      <w:pPr>
        <w:pStyle w:val="Opstilling-punkttegn"/>
      </w:pPr>
      <w:r>
        <w:t xml:space="preserve">I </w:t>
      </w:r>
      <w:proofErr w:type="spellStart"/>
      <w:r w:rsidR="00E423BF" w:rsidRPr="00E423BF">
        <w:t>Sermersooq</w:t>
      </w:r>
      <w:proofErr w:type="spellEnd"/>
      <w:r w:rsidR="00E423BF" w:rsidRPr="00E423BF">
        <w:t xml:space="preserve"> </w:t>
      </w:r>
      <w:r w:rsidR="00E423BF">
        <w:t xml:space="preserve">kommune </w:t>
      </w:r>
      <w:r>
        <w:t>send</w:t>
      </w:r>
      <w:r w:rsidR="00E423BF">
        <w:t>t</w:t>
      </w:r>
      <w:r>
        <w:t>e</w:t>
      </w:r>
      <w:r w:rsidR="003613B4">
        <w:t xml:space="preserve"> man</w:t>
      </w:r>
      <w:r>
        <w:t xml:space="preserve"> e</w:t>
      </w:r>
      <w:r w:rsidR="00C82475" w:rsidRPr="001122F6">
        <w:t>lekt</w:t>
      </w:r>
      <w:r>
        <w:t>r</w:t>
      </w:r>
      <w:r w:rsidR="00C82475" w:rsidRPr="001122F6">
        <w:t>onikken til</w:t>
      </w:r>
      <w:r>
        <w:t xml:space="preserve"> oparbejdning </w:t>
      </w:r>
      <w:r w:rsidR="00E423BF">
        <w:t xml:space="preserve">hos </w:t>
      </w:r>
      <w:r w:rsidR="00E423BF" w:rsidRPr="001122F6">
        <w:t>Reno</w:t>
      </w:r>
      <w:r w:rsidR="00E423BF">
        <w:t>-N</w:t>
      </w:r>
      <w:r w:rsidR="00E423BF" w:rsidRPr="001122F6">
        <w:t>ord</w:t>
      </w:r>
      <w:r w:rsidR="00E423BF">
        <w:t xml:space="preserve"> i </w:t>
      </w:r>
      <w:r>
        <w:t>Danmark, uden først at fjerne plast</w:t>
      </w:r>
      <w:r w:rsidR="00AD2343">
        <w:t>. (</w:t>
      </w:r>
      <w:r w:rsidR="00AE03DE">
        <w:t xml:space="preserve">I 2019 er praksis ændret, så elektronikken i 2019 bliver bortskaffet til Stena </w:t>
      </w:r>
      <w:proofErr w:type="spellStart"/>
      <w:r w:rsidR="00AE03DE">
        <w:t>Recycling</w:t>
      </w:r>
      <w:proofErr w:type="spellEnd"/>
      <w:r w:rsidR="00AE03DE">
        <w:t xml:space="preserve"> i Danmark</w:t>
      </w:r>
      <w:r w:rsidR="00AD2343">
        <w:t>)</w:t>
      </w:r>
      <w:r w:rsidR="00AE03DE">
        <w:t>.</w:t>
      </w:r>
      <w:r w:rsidR="009E5ECE">
        <w:t xml:space="preserve"> </w:t>
      </w:r>
    </w:p>
    <w:p w14:paraId="38994F6A" w14:textId="40299754" w:rsidR="001122F6" w:rsidRDefault="001122F6" w:rsidP="00E423BF">
      <w:pPr>
        <w:pStyle w:val="Opstilling-punkttegn"/>
      </w:pPr>
      <w:r>
        <w:t>I Qaqortoq bl</w:t>
      </w:r>
      <w:r w:rsidR="00E423BF">
        <w:t>ev</w:t>
      </w:r>
      <w:r>
        <w:t xml:space="preserve"> alt plast</w:t>
      </w:r>
      <w:r w:rsidR="00C82475" w:rsidRPr="001122F6">
        <w:t xml:space="preserve"> bortskaffet i kommunens forbrændingsanlæg, også plast fra kabinetter</w:t>
      </w:r>
      <w:r>
        <w:t xml:space="preserve"> til elektrisk og elektronisk udstyr</w:t>
      </w:r>
      <w:r w:rsidR="00E423BF">
        <w:t>, mens denne affaldsfraktion fra a</w:t>
      </w:r>
      <w:r w:rsidR="00E423BF" w:rsidRPr="001122F6">
        <w:t xml:space="preserve">ndre steder i </w:t>
      </w:r>
      <w:r w:rsidR="00E423BF" w:rsidRPr="00E423BF">
        <w:t xml:space="preserve">Kommune </w:t>
      </w:r>
      <w:proofErr w:type="spellStart"/>
      <w:r w:rsidR="00E423BF" w:rsidRPr="00E423BF">
        <w:t>Kujalleq</w:t>
      </w:r>
      <w:proofErr w:type="spellEnd"/>
      <w:r w:rsidR="00E423BF">
        <w:t xml:space="preserve"> </w:t>
      </w:r>
      <w:r w:rsidR="00E423BF" w:rsidRPr="001122F6">
        <w:t xml:space="preserve">formentlig </w:t>
      </w:r>
      <w:r w:rsidR="00E423BF">
        <w:t>blev</w:t>
      </w:r>
      <w:r w:rsidR="00E423BF" w:rsidRPr="001122F6">
        <w:t xml:space="preserve"> bortskaffet ved åben afbrænding</w:t>
      </w:r>
      <w:r w:rsidR="00E423BF">
        <w:t xml:space="preserve"> eller den blev</w:t>
      </w:r>
      <w:r w:rsidR="00E423BF" w:rsidRPr="001122F6">
        <w:t xml:space="preserve"> udskibet til Reno-Nord</w:t>
      </w:r>
      <w:r w:rsidR="00E423BF">
        <w:t>.</w:t>
      </w:r>
    </w:p>
    <w:p w14:paraId="7DFD607C" w14:textId="503B0ADE" w:rsidR="00C82475" w:rsidRPr="001122F6" w:rsidRDefault="001122F6" w:rsidP="00E423BF">
      <w:pPr>
        <w:pStyle w:val="Opstilling-punkttegn"/>
      </w:pPr>
      <w:r>
        <w:t>I</w:t>
      </w:r>
      <w:r w:rsidR="00C82475" w:rsidRPr="001122F6">
        <w:t xml:space="preserve"> Aasi</w:t>
      </w:r>
      <w:r>
        <w:t>aat brænd</w:t>
      </w:r>
      <w:r w:rsidR="00E423BF">
        <w:t>t</w:t>
      </w:r>
      <w:r>
        <w:t>es</w:t>
      </w:r>
      <w:r w:rsidR="00C82475" w:rsidRPr="001122F6">
        <w:t xml:space="preserve"> plastik fra elektronik</w:t>
      </w:r>
      <w:r>
        <w:t xml:space="preserve"> i </w:t>
      </w:r>
      <w:r w:rsidRPr="001122F6">
        <w:t>forbrændingsanlæg</w:t>
      </w:r>
      <w:r>
        <w:t>get</w:t>
      </w:r>
      <w:r w:rsidR="00E423BF">
        <w:t>.</w:t>
      </w:r>
      <w:r>
        <w:t xml:space="preserve"> </w:t>
      </w:r>
      <w:r w:rsidR="00E423BF">
        <w:t>Elektronikdelen</w:t>
      </w:r>
      <w:r w:rsidR="00E423BF" w:rsidRPr="00E423BF">
        <w:t xml:space="preserve"> </w:t>
      </w:r>
      <w:r w:rsidR="00E423BF">
        <w:t>blev sendt</w:t>
      </w:r>
      <w:r w:rsidR="00E423BF" w:rsidRPr="00E423BF">
        <w:t xml:space="preserve"> </w:t>
      </w:r>
      <w:r w:rsidR="00E423BF">
        <w:t>til Reno-Nord</w:t>
      </w:r>
      <w:r w:rsidR="00E423BF" w:rsidRPr="00E423BF">
        <w:t>.</w:t>
      </w:r>
    </w:p>
    <w:p w14:paraId="6B3BEF00" w14:textId="666DAB27" w:rsidR="00C82475" w:rsidRDefault="001122F6" w:rsidP="00C82475">
      <w:pPr>
        <w:pStyle w:val="Brdtekst"/>
      </w:pPr>
      <w:r>
        <w:t>De</w:t>
      </w:r>
      <w:r w:rsidR="00AD2343">
        <w:t xml:space="preserve">t er angivet </w:t>
      </w:r>
      <w:r>
        <w:t xml:space="preserve">i </w:t>
      </w:r>
      <w:r w:rsidR="00020F71">
        <w:t>Stockholmkonventionen</w:t>
      </w:r>
      <w:r>
        <w:t>, at</w:t>
      </w:r>
      <w:r w:rsidR="00C82475" w:rsidRPr="001122F6">
        <w:t xml:space="preserve"> det </w:t>
      </w:r>
      <w:r>
        <w:t xml:space="preserve">skal </w:t>
      </w:r>
      <w:r w:rsidR="00C82475" w:rsidRPr="001122F6">
        <w:t>sikres</w:t>
      </w:r>
      <w:r w:rsidR="00AD2343">
        <w:t>,</w:t>
      </w:r>
      <w:r w:rsidR="00C82475" w:rsidRPr="001122F6">
        <w:t xml:space="preserve"> at stofferne ikke omdannes til</w:t>
      </w:r>
      <w:r>
        <w:t xml:space="preserve"> andre</w:t>
      </w:r>
      <w:r w:rsidR="00C82475" w:rsidRPr="001122F6">
        <w:t xml:space="preserve"> stoffer</w:t>
      </w:r>
      <w:r w:rsidR="003613B4">
        <w:t>,</w:t>
      </w:r>
      <w:r w:rsidR="00C82475" w:rsidRPr="001122F6">
        <w:t xml:space="preserve"> der udviser </w:t>
      </w:r>
      <w:proofErr w:type="gramStart"/>
      <w:r w:rsidR="00C82475" w:rsidRPr="001122F6">
        <w:t xml:space="preserve">egenskaber </w:t>
      </w:r>
      <w:r w:rsidR="00AD2343">
        <w:t>,</w:t>
      </w:r>
      <w:r w:rsidR="00C82475" w:rsidRPr="001122F6">
        <w:t>der</w:t>
      </w:r>
      <w:proofErr w:type="gramEnd"/>
      <w:r w:rsidR="00C82475" w:rsidRPr="001122F6">
        <w:t xml:space="preserve"> er karakteristiske for POP-stoffer. Dette gælder også dannelse af </w:t>
      </w:r>
      <w:proofErr w:type="spellStart"/>
      <w:r w:rsidR="00C82475" w:rsidRPr="001122F6">
        <w:t>persistente</w:t>
      </w:r>
      <w:proofErr w:type="spellEnd"/>
      <w:r w:rsidR="00C82475" w:rsidRPr="001122F6">
        <w:t xml:space="preserve"> stoffer som </w:t>
      </w:r>
      <w:proofErr w:type="spellStart"/>
      <w:r w:rsidR="00C82475" w:rsidRPr="001122F6">
        <w:t>bromerede</w:t>
      </w:r>
      <w:proofErr w:type="spellEnd"/>
      <w:r w:rsidR="00C82475" w:rsidRPr="001122F6">
        <w:t xml:space="preserve"> dioxiner og furaner, der aktuelt ikke er omfattet af konventionen. </w:t>
      </w:r>
    </w:p>
    <w:p w14:paraId="019C9F53" w14:textId="3CB7DAA8" w:rsidR="00DD7912" w:rsidRDefault="00A17014" w:rsidP="00A17014">
      <w:pPr>
        <w:pStyle w:val="Brdtekst"/>
      </w:pPr>
      <w:r>
        <w:t xml:space="preserve">Der er i regi </w:t>
      </w:r>
      <w:r w:rsidR="000C13B5">
        <w:t xml:space="preserve">af </w:t>
      </w:r>
      <w:r w:rsidR="00020F71">
        <w:t>Stockholmkonventionen</w:t>
      </w:r>
      <w:r>
        <w:t xml:space="preserve"> udarbejdet en vejledning om håndtering og bortskaffelse af affald</w:t>
      </w:r>
      <w:r w:rsidR="000C13B5">
        <w:t>,</w:t>
      </w:r>
      <w:r>
        <w:t xml:space="preserve"> der indeholder </w:t>
      </w:r>
      <w:proofErr w:type="spellStart"/>
      <w:r>
        <w:t>PBDE'erne</w:t>
      </w:r>
      <w:proofErr w:type="spellEnd"/>
      <w:r>
        <w:t xml:space="preserve"> (UNEP, 2015a).</w:t>
      </w:r>
      <w:r w:rsidR="00807C00">
        <w:t xml:space="preserve"> Vejledningen beskriver bland</w:t>
      </w:r>
      <w:r w:rsidR="00C35ABC">
        <w:t>t</w:t>
      </w:r>
      <w:r w:rsidR="00807C00">
        <w:t xml:space="preserve"> andet risikoen ved at forbrænde plast fra elektronik med høje koncentration</w:t>
      </w:r>
      <w:r w:rsidR="0084760D">
        <w:t>er</w:t>
      </w:r>
      <w:r w:rsidR="00807C00">
        <w:t xml:space="preserve"> af </w:t>
      </w:r>
      <w:proofErr w:type="spellStart"/>
      <w:r w:rsidR="00807C00">
        <w:t>ch</w:t>
      </w:r>
      <w:r w:rsidR="00187F22">
        <w:t>lorerede</w:t>
      </w:r>
      <w:proofErr w:type="spellEnd"/>
      <w:r w:rsidR="00187F22">
        <w:t xml:space="preserve"> eller </w:t>
      </w:r>
      <w:proofErr w:type="spellStart"/>
      <w:r w:rsidR="00187F22">
        <w:t>bromerede</w:t>
      </w:r>
      <w:proofErr w:type="spellEnd"/>
      <w:r w:rsidR="00187F22">
        <w:t xml:space="preserve"> stoffe</w:t>
      </w:r>
      <w:r w:rsidR="00AD5D85">
        <w:t>r</w:t>
      </w:r>
      <w:r w:rsidR="00807C00">
        <w:t>. Der kan ved for</w:t>
      </w:r>
      <w:r w:rsidR="00807C00">
        <w:lastRenderedPageBreak/>
        <w:t>brændingen af materialer</w:t>
      </w:r>
      <w:r w:rsidR="00187F22">
        <w:t xml:space="preserve"> med </w:t>
      </w:r>
      <w:proofErr w:type="spellStart"/>
      <w:r w:rsidR="00187F22">
        <w:t>halogenerede</w:t>
      </w:r>
      <w:proofErr w:type="spellEnd"/>
      <w:r w:rsidR="00187F22">
        <w:t xml:space="preserve"> </w:t>
      </w:r>
      <w:proofErr w:type="spellStart"/>
      <w:r w:rsidR="00187F22">
        <w:t>flammehæmmere</w:t>
      </w:r>
      <w:proofErr w:type="spellEnd"/>
      <w:r w:rsidR="00807C00">
        <w:t xml:space="preserve"> dannes </w:t>
      </w:r>
      <w:proofErr w:type="spellStart"/>
      <w:r w:rsidR="00807C00">
        <w:t>polychlorerede</w:t>
      </w:r>
      <w:proofErr w:type="spellEnd"/>
      <w:r w:rsidR="00807C00">
        <w:t xml:space="preserve"> og </w:t>
      </w:r>
      <w:proofErr w:type="spellStart"/>
      <w:r w:rsidR="00807C00">
        <w:t>polybromerede</w:t>
      </w:r>
      <w:proofErr w:type="spellEnd"/>
      <w:r w:rsidR="00807C00">
        <w:t xml:space="preserve"> dioxiner (og kombinationer af disse). De</w:t>
      </w:r>
      <w:r w:rsidR="000C13B5">
        <w:t>t</w:t>
      </w:r>
      <w:r w:rsidR="00807C00">
        <w:t xml:space="preserve"> nævnes, at forbrændingsanlæg</w:t>
      </w:r>
      <w:r w:rsidR="00187F22">
        <w:t xml:space="preserve"> til forbrænding af husholdningsaffald</w:t>
      </w:r>
      <w:r w:rsidR="00807C00">
        <w:t>, der lever op til BAT</w:t>
      </w:r>
      <w:r w:rsidR="005E6665">
        <w:t>-</w:t>
      </w:r>
      <w:r w:rsidR="00807C00">
        <w:t>kravene i EU, kan forbrænde PBDE-</w:t>
      </w:r>
      <w:proofErr w:type="spellStart"/>
      <w:r w:rsidR="00807C00">
        <w:t>holdigt</w:t>
      </w:r>
      <w:proofErr w:type="spellEnd"/>
      <w:r w:rsidR="00807C00">
        <w:t xml:space="preserve"> plast med en tilfredsstillende destruktionsgrad.</w:t>
      </w:r>
      <w:r w:rsidR="00C35ABC">
        <w:t xml:space="preserve"> Det samme er nævnt af Europakommission i et svar til Danmark på et spørgsmål ang. destruktionseffektivitet</w:t>
      </w:r>
      <w:r w:rsidR="00187F22">
        <w:t xml:space="preserve"> af </w:t>
      </w:r>
      <w:r w:rsidR="00506AFF">
        <w:t>stofferne.</w:t>
      </w:r>
      <w:r w:rsidR="00C35ABC">
        <w:t xml:space="preserve"> (refere</w:t>
      </w:r>
      <w:r w:rsidR="00187F22">
        <w:t>re</w:t>
      </w:r>
      <w:r w:rsidR="00C35ABC">
        <w:t xml:space="preserve">t i Lassen m.fl., </w:t>
      </w:r>
      <w:r w:rsidR="00187F22">
        <w:t>2013b</w:t>
      </w:r>
      <w:r w:rsidR="00C35ABC">
        <w:t>).</w:t>
      </w:r>
      <w:r w:rsidR="00807C00">
        <w:t xml:space="preserve"> </w:t>
      </w:r>
    </w:p>
    <w:p w14:paraId="01CF29F0" w14:textId="35B7E7E5" w:rsidR="00187F22" w:rsidRDefault="00807C00" w:rsidP="00A17014">
      <w:pPr>
        <w:pStyle w:val="Brdtekst"/>
      </w:pPr>
      <w:r>
        <w:t>Der er således ikke behov for at plast med PBDE eller a</w:t>
      </w:r>
      <w:r w:rsidR="00DD7912">
        <w:t xml:space="preserve">ndre </w:t>
      </w:r>
      <w:proofErr w:type="spellStart"/>
      <w:r w:rsidR="00DD7912">
        <w:t>bromerede</w:t>
      </w:r>
      <w:proofErr w:type="spellEnd"/>
      <w:r w:rsidR="00DD7912">
        <w:t xml:space="preserve"> </w:t>
      </w:r>
      <w:proofErr w:type="spellStart"/>
      <w:r w:rsidR="00DD7912">
        <w:t>flammehæmmere</w:t>
      </w:r>
      <w:proofErr w:type="spellEnd"/>
      <w:r w:rsidR="00DD7912">
        <w:t xml:space="preserve"> </w:t>
      </w:r>
      <w:r w:rsidR="005E6665">
        <w:t>for</w:t>
      </w:r>
      <w:r w:rsidR="00DD7912">
        <w:t>bræ</w:t>
      </w:r>
      <w:r>
        <w:t xml:space="preserve">ndes på anlæg for farligt affald. Dette er i overensstemmelse med praksis i Danmark. </w:t>
      </w:r>
    </w:p>
    <w:p w14:paraId="44668809" w14:textId="273B89B8" w:rsidR="000A06BA" w:rsidRDefault="00187F22" w:rsidP="00A17014">
      <w:pPr>
        <w:pStyle w:val="Brdtekst"/>
      </w:pPr>
      <w:r>
        <w:t>D</w:t>
      </w:r>
      <w:r w:rsidR="00DD7912">
        <w:t>et kan</w:t>
      </w:r>
      <w:r w:rsidR="0084760D">
        <w:t xml:space="preserve"> dog</w:t>
      </w:r>
      <w:r w:rsidR="00DD7912">
        <w:t xml:space="preserve"> ikke betragtes at være i overensstemmelse med konventionens bestemmelser </w:t>
      </w:r>
      <w:r w:rsidR="000A06BA">
        <w:t xml:space="preserve">at afbrænde plast med disse </w:t>
      </w:r>
      <w:proofErr w:type="spellStart"/>
      <w:r w:rsidR="000A06BA">
        <w:t>bromerede</w:t>
      </w:r>
      <w:proofErr w:type="spellEnd"/>
      <w:r w:rsidR="000A06BA">
        <w:t xml:space="preserve"> </w:t>
      </w:r>
      <w:proofErr w:type="spellStart"/>
      <w:r w:rsidR="000A06BA">
        <w:t>flammehæmmere</w:t>
      </w:r>
      <w:proofErr w:type="spellEnd"/>
      <w:r w:rsidR="000A06BA">
        <w:t xml:space="preserve"> i forb</w:t>
      </w:r>
      <w:r>
        <w:t>r</w:t>
      </w:r>
      <w:r w:rsidR="000A06BA">
        <w:t>ændingsanlæg</w:t>
      </w:r>
      <w:r w:rsidR="00B64D42">
        <w:t>,</w:t>
      </w:r>
      <w:r w:rsidR="000A06BA">
        <w:t xml:space="preserve"> der ikke lever op til BAT. </w:t>
      </w:r>
    </w:p>
    <w:p w14:paraId="499B9DB8" w14:textId="29FE2784" w:rsidR="00807C00" w:rsidRDefault="000A06BA" w:rsidP="00807C00">
      <w:pPr>
        <w:pStyle w:val="Brdtekst"/>
      </w:pPr>
      <w:r>
        <w:t xml:space="preserve">Der er derfor en sammenhæng mellem dette punkt og </w:t>
      </w:r>
      <w:r w:rsidR="00187F22">
        <w:t xml:space="preserve">hensigten om at forbrændingsanlæg i Grønland på sigt skal leve op til BAT omtalt i afsnit </w:t>
      </w:r>
      <w:r w:rsidR="00187F22">
        <w:fldChar w:fldCharType="begin"/>
      </w:r>
      <w:r w:rsidR="00187F22">
        <w:instrText xml:space="preserve"> REF _Ref455645319 \r \h </w:instrText>
      </w:r>
      <w:r w:rsidR="00187F22">
        <w:fldChar w:fldCharType="separate"/>
      </w:r>
      <w:r w:rsidR="00432B8C">
        <w:t>4.1</w:t>
      </w:r>
      <w:r w:rsidR="00187F22">
        <w:fldChar w:fldCharType="end"/>
      </w:r>
      <w:r w:rsidR="00187F22">
        <w:t>. Indtil disse anlæg er etableret</w:t>
      </w:r>
      <w:r w:rsidR="00AD2343">
        <w:t>,</w:t>
      </w:r>
      <w:r w:rsidR="00187F22">
        <w:t xml:space="preserve"> bør </w:t>
      </w:r>
      <w:r w:rsidR="00B64D42">
        <w:t xml:space="preserve">det overvejes om </w:t>
      </w:r>
      <w:proofErr w:type="spellStart"/>
      <w:r w:rsidR="00187F22">
        <w:t>bromeret</w:t>
      </w:r>
      <w:proofErr w:type="spellEnd"/>
      <w:r w:rsidR="00187F22">
        <w:t xml:space="preserve"> plast fra elektronikaffald </w:t>
      </w:r>
      <w:r w:rsidR="000C13B5">
        <w:t xml:space="preserve">skal </w:t>
      </w:r>
      <w:r w:rsidR="00187F22">
        <w:t xml:space="preserve">bortskaffes til forbrænding uden for Grønland, hvis man skal leve op til konventionens bestemmelser. </w:t>
      </w:r>
    </w:p>
    <w:p w14:paraId="2D869D73" w14:textId="5F8CBC02" w:rsidR="0084760D" w:rsidRDefault="00945422" w:rsidP="00807C00">
      <w:pPr>
        <w:pStyle w:val="Brdtekst"/>
      </w:pPr>
      <w:r>
        <w:t xml:space="preserve">Andre væsentlige anvendelser af </w:t>
      </w:r>
      <w:proofErr w:type="spellStart"/>
      <w:r>
        <w:t>decaBDE</w:t>
      </w:r>
      <w:proofErr w:type="spellEnd"/>
      <w:r>
        <w:t xml:space="preserve"> har været flammehæmning af sæder i biler og polstrede møbler i offentlige områder, hvor der har været krav om flammehæmning af tekstiler. Omkring 1/3 af forbruget i EU omkring 2010 blev anvendt til tekstiler, og </w:t>
      </w:r>
      <w:r w:rsidR="00C73C5A">
        <w:t xml:space="preserve">i </w:t>
      </w:r>
      <w:r>
        <w:t xml:space="preserve">en undersøgelse fra Danmark i 1999 vurderede </w:t>
      </w:r>
      <w:r w:rsidR="00C73C5A">
        <w:t xml:space="preserve">man, </w:t>
      </w:r>
      <w:r>
        <w:t xml:space="preserve">at forbruget med tekstiler udgjorde en mindre del af forbruget. </w:t>
      </w:r>
      <w:proofErr w:type="spellStart"/>
      <w:r>
        <w:t>DecaBDE</w:t>
      </w:r>
      <w:proofErr w:type="spellEnd"/>
      <w:r>
        <w:t xml:space="preserve"> har været anvendt i enkelte bilmærker, men der er ikke detaljerede oplysninger om hvilke. Lige som der i Danmark ikke er taget tiltag til identifikation og specifik fjernelse af tekstiler med </w:t>
      </w:r>
      <w:proofErr w:type="spellStart"/>
      <w:r>
        <w:t>decaBDE</w:t>
      </w:r>
      <w:proofErr w:type="spellEnd"/>
      <w:r>
        <w:t xml:space="preserve"> fra biler ved skrotning, vurderes det</w:t>
      </w:r>
      <w:r w:rsidR="00C73C5A">
        <w:t>,</w:t>
      </w:r>
      <w:r>
        <w:t xml:space="preserve"> at der </w:t>
      </w:r>
      <w:r w:rsidR="00C73C5A">
        <w:t xml:space="preserve">heller </w:t>
      </w:r>
      <w:r>
        <w:t xml:space="preserve">ikke </w:t>
      </w:r>
      <w:r w:rsidR="00C73C5A">
        <w:t xml:space="preserve">i Grønland </w:t>
      </w:r>
      <w:r>
        <w:t xml:space="preserve">vil være behov for dette for at leve op til konventionens krav. </w:t>
      </w:r>
    </w:p>
    <w:p w14:paraId="520FEC34" w14:textId="77777777" w:rsidR="00C82475" w:rsidRDefault="00C46F25" w:rsidP="00C82475">
      <w:pPr>
        <w:pStyle w:val="Overskrift4"/>
      </w:pPr>
      <w:r w:rsidRPr="00C46F25">
        <w:t>HBCDD</w:t>
      </w:r>
      <w:r w:rsidR="00C82475">
        <w:t xml:space="preserve"> </w:t>
      </w:r>
    </w:p>
    <w:p w14:paraId="287FCE1A" w14:textId="2F019F1F" w:rsidR="000F3027" w:rsidRDefault="000B3118" w:rsidP="00AB0087">
      <w:pPr>
        <w:pStyle w:val="Brdtekst"/>
      </w:pPr>
      <w:r>
        <w:t xml:space="preserve">Der foreligger </w:t>
      </w:r>
      <w:r w:rsidR="00CD6D10">
        <w:t>ingen opgørelse af brugen af HBCDD i Grøn</w:t>
      </w:r>
      <w:r w:rsidR="0081402A">
        <w:t>l</w:t>
      </w:r>
      <w:r w:rsidR="00CD6D10">
        <w:t>and</w:t>
      </w:r>
      <w:r>
        <w:t>.</w:t>
      </w:r>
      <w:r w:rsidR="00CD6D10">
        <w:t xml:space="preserve"> Som tidligere nævnt har der i Danmark ikke været krav om</w:t>
      </w:r>
      <w:r w:rsidR="000C13B5">
        <w:t>,</w:t>
      </w:r>
      <w:r w:rsidR="00CD6D10">
        <w:t xml:space="preserve"> at EPS og XPS var flammehæmmet, men importerede produkter - især fra Tyskland, hvor der er andre krav om anvendelse af </w:t>
      </w:r>
      <w:proofErr w:type="spellStart"/>
      <w:r w:rsidR="00CD6D10">
        <w:t>flammehæmmere</w:t>
      </w:r>
      <w:proofErr w:type="spellEnd"/>
      <w:r w:rsidR="00CD6D10">
        <w:t xml:space="preserve"> - har i et vist omfang indeholdt HBCDD. </w:t>
      </w:r>
      <w:r w:rsidR="008D27FF">
        <w:t xml:space="preserve">I følge en </w:t>
      </w:r>
      <w:proofErr w:type="spellStart"/>
      <w:r w:rsidR="008D27FF">
        <w:t>massestrømsanalyse</w:t>
      </w:r>
      <w:proofErr w:type="spellEnd"/>
      <w:r w:rsidR="008D27FF">
        <w:t xml:space="preserve"> for </w:t>
      </w:r>
      <w:proofErr w:type="spellStart"/>
      <w:r w:rsidR="008D27FF">
        <w:t>bromerede</w:t>
      </w:r>
      <w:proofErr w:type="spellEnd"/>
      <w:r w:rsidR="008D27FF">
        <w:t xml:space="preserve"> </w:t>
      </w:r>
      <w:proofErr w:type="spellStart"/>
      <w:r w:rsidR="008D27FF">
        <w:t>flammehæmmere</w:t>
      </w:r>
      <w:proofErr w:type="spellEnd"/>
      <w:r w:rsidR="008D27FF">
        <w:t xml:space="preserve"> fra 1999 var XPS anvendt i Danmark typisk flammehæmmet</w:t>
      </w:r>
      <w:r w:rsidR="000C13B5">
        <w:t>,</w:t>
      </w:r>
      <w:r w:rsidR="008D27FF">
        <w:t xml:space="preserve"> mens EPS kun var det i sjældne tilfælde, og den største del af forbruget</w:t>
      </w:r>
      <w:r w:rsidR="00E667BC">
        <w:t xml:space="preserve"> på 12-32 t/år</w:t>
      </w:r>
      <w:r w:rsidR="008D27FF">
        <w:t xml:space="preserve"> af HBCDD var i XPS (Lasse</w:t>
      </w:r>
      <w:r w:rsidR="003523BE">
        <w:t>n</w:t>
      </w:r>
      <w:r w:rsidR="008D27FF">
        <w:t xml:space="preserve"> m.fl., 1999). </w:t>
      </w:r>
      <w:r w:rsidR="00CD6D10">
        <w:t>I følge den seneste opgørelse</w:t>
      </w:r>
      <w:r w:rsidR="0081402A">
        <w:t xml:space="preserve"> af </w:t>
      </w:r>
      <w:proofErr w:type="spellStart"/>
      <w:r w:rsidR="0081402A">
        <w:t>bromerede</w:t>
      </w:r>
      <w:proofErr w:type="spellEnd"/>
      <w:r w:rsidR="0081402A">
        <w:t xml:space="preserve"> </w:t>
      </w:r>
      <w:proofErr w:type="spellStart"/>
      <w:r w:rsidR="0081402A">
        <w:t>flammehæmmere</w:t>
      </w:r>
      <w:proofErr w:type="spellEnd"/>
      <w:r w:rsidR="008D27FF">
        <w:t xml:space="preserve"> i Danmark</w:t>
      </w:r>
      <w:r w:rsidR="00CD6D10">
        <w:t xml:space="preserve"> </w:t>
      </w:r>
      <w:r w:rsidR="008D27FF">
        <w:t xml:space="preserve">fra 2014 </w:t>
      </w:r>
      <w:r w:rsidR="000C13B5">
        <w:t>h</w:t>
      </w:r>
      <w:r w:rsidR="008D27FF">
        <w:t>ar</w:t>
      </w:r>
      <w:r w:rsidR="00CD6D10">
        <w:t xml:space="preserve"> mindst 90-95% af forbruget</w:t>
      </w:r>
      <w:r w:rsidR="0081402A">
        <w:t xml:space="preserve"> af EPS i byggeriet været uden flammehæmmer</w:t>
      </w:r>
      <w:r w:rsidR="000C13B5">
        <w:t>,</w:t>
      </w:r>
      <w:r w:rsidR="0081402A">
        <w:t xml:space="preserve"> mens mindst 75% af forbruget af XPS er uden flammehæmmer (Lassen m.fl., 2013b).</w:t>
      </w:r>
      <w:r w:rsidR="00E667BC">
        <w:t xml:space="preserve"> Der er ikke estimeret et samlet forbrug</w:t>
      </w:r>
      <w:r w:rsidR="000C13B5">
        <w:t>,</w:t>
      </w:r>
      <w:r w:rsidR="00E667BC">
        <w:t xml:space="preserve"> men det angives</w:t>
      </w:r>
      <w:r w:rsidR="000C13B5">
        <w:t>,</w:t>
      </w:r>
      <w:r w:rsidR="00E667BC">
        <w:t xml:space="preserve"> at forbruget med importeret EPS kan være op til 21 t/år.</w:t>
      </w:r>
      <w:r w:rsidR="0081402A">
        <w:t xml:space="preserve"> Sammenlignet med andre lande er der ikke brugt ret meget EPS i byggeriet i Danmark</w:t>
      </w:r>
      <w:r w:rsidR="00AE03DE">
        <w:t>,</w:t>
      </w:r>
      <w:r w:rsidR="0081402A">
        <w:t xml:space="preserve"> fordi der kun har været få anvendelser, hvor materialet var tilladt (uanset om det er flammehæmmet eller ej). </w:t>
      </w:r>
      <w:r w:rsidR="00C6714B">
        <w:t>Der findes ingen opgørelser af</w:t>
      </w:r>
      <w:r w:rsidR="00AE03DE">
        <w:t>,</w:t>
      </w:r>
      <w:r w:rsidR="00C6714B">
        <w:t xml:space="preserve"> hvor meget HBCDD der er akkumuleret i bygninger og terrændæk i Danmark, og der findes </w:t>
      </w:r>
      <w:r w:rsidR="00C6714B">
        <w:lastRenderedPageBreak/>
        <w:t>ingen anvisninger på</w:t>
      </w:r>
      <w:r w:rsidR="00AE03DE">
        <w:t>,</w:t>
      </w:r>
      <w:r w:rsidR="00C6714B">
        <w:t xml:space="preserve"> hvorledes EPS/XPS fra disse anvendelser skal håndteres</w:t>
      </w:r>
      <w:r w:rsidR="00853C12">
        <w:t>,</w:t>
      </w:r>
      <w:r w:rsidR="00C6714B">
        <w:t xml:space="preserve"> når de bliver til affald. </w:t>
      </w:r>
    </w:p>
    <w:p w14:paraId="2CFF1ED8" w14:textId="744C2071" w:rsidR="006E38C3" w:rsidRDefault="0081402A" w:rsidP="00AB0087">
      <w:pPr>
        <w:pStyle w:val="Brdtekst"/>
      </w:pPr>
      <w:r>
        <w:t>I følge Jesper Johansen med mangeårig erfaring fra bygningssektoren i Grønland, har der ikke i særlig grad været anvendt EPS i byggeriet</w:t>
      </w:r>
      <w:r w:rsidR="00A34D02">
        <w:t xml:space="preserve"> i </w:t>
      </w:r>
      <w:r>
        <w:t>Grønland, men det kan være anvendt enkelte steder (</w:t>
      </w:r>
      <w:r w:rsidRPr="00A17014">
        <w:t xml:space="preserve">LH </w:t>
      </w:r>
      <w:proofErr w:type="spellStart"/>
      <w:r w:rsidRPr="00A17014">
        <w:t>Siunnersorti</w:t>
      </w:r>
      <w:proofErr w:type="spellEnd"/>
      <w:r>
        <w:t>, 2016)</w:t>
      </w:r>
      <w:r w:rsidR="00AE03DE">
        <w:t>.</w:t>
      </w:r>
      <w:r>
        <w:t xml:space="preserve"> </w:t>
      </w:r>
      <w:r w:rsidRPr="00117E1F">
        <w:t xml:space="preserve">Byggeskikken har </w:t>
      </w:r>
      <w:r w:rsidR="00A34D02">
        <w:t>hovedsageligt</w:t>
      </w:r>
      <w:r w:rsidRPr="00117E1F">
        <w:t xml:space="preserve"> </w:t>
      </w:r>
      <w:r w:rsidR="008D27FF" w:rsidRPr="00117E1F">
        <w:t xml:space="preserve">været </w:t>
      </w:r>
      <w:r w:rsidRPr="00117E1F">
        <w:t xml:space="preserve">at lave en krybekælder under bygningen </w:t>
      </w:r>
      <w:proofErr w:type="gramStart"/>
      <w:r w:rsidRPr="00117E1F">
        <w:t>fremfor</w:t>
      </w:r>
      <w:proofErr w:type="gramEnd"/>
      <w:r w:rsidRPr="00117E1F">
        <w:t xml:space="preserve"> terrændæk</w:t>
      </w:r>
      <w:r w:rsidR="00A34D02">
        <w:t>,</w:t>
      </w:r>
      <w:r>
        <w:t xml:space="preserve"> og der har derfor ikke i særlig grad været anvendt XPS. Der er ingen oplysninger om anvendelse af flammehæmmede kvaliteter</w:t>
      </w:r>
      <w:r w:rsidR="00A34D02">
        <w:t>, men ligesom i Danmark har det formentlig været afhængig</w:t>
      </w:r>
      <w:r w:rsidR="000C13B5">
        <w:t>t</w:t>
      </w:r>
      <w:r w:rsidR="00A34D02">
        <w:t xml:space="preserve"> af</w:t>
      </w:r>
      <w:r w:rsidR="008D27FF">
        <w:t>,</w:t>
      </w:r>
      <w:r w:rsidR="00A34D02">
        <w:t xml:space="preserve"> hvor isoleringsmaterialerne var produceret. </w:t>
      </w:r>
    </w:p>
    <w:p w14:paraId="4D5B6180" w14:textId="1E1F829E" w:rsidR="006E38C3" w:rsidRDefault="00A34D02" w:rsidP="00AB0087">
      <w:pPr>
        <w:pStyle w:val="Brdtekst"/>
      </w:pPr>
      <w:r>
        <w:t xml:space="preserve">De flammehæmmede kvaliteter har </w:t>
      </w:r>
      <w:r w:rsidR="00853C12">
        <w:t xml:space="preserve">i Danmark </w:t>
      </w:r>
      <w:r w:rsidR="006E38C3">
        <w:t xml:space="preserve">traditionelt haft </w:t>
      </w:r>
      <w:r>
        <w:t>en anden farve end ikke-flammehæmmede kvaliteter, men farverne er ikke</w:t>
      </w:r>
      <w:r w:rsidR="008D27FF">
        <w:t xml:space="preserve"> internationalt standardiserede</w:t>
      </w:r>
      <w:r w:rsidR="000C13B5">
        <w:t>.</w:t>
      </w:r>
      <w:r w:rsidR="006E38C3" w:rsidRPr="006E38C3">
        <w:t xml:space="preserve"> </w:t>
      </w:r>
    </w:p>
    <w:p w14:paraId="32E8862B" w14:textId="6F88CD48" w:rsidR="00CD6D10" w:rsidRDefault="00E667BC" w:rsidP="00AB0087">
      <w:pPr>
        <w:pStyle w:val="Brdtekst"/>
      </w:pPr>
      <w:r>
        <w:t>Hvis det groft antages</w:t>
      </w:r>
      <w:r w:rsidR="000C13B5">
        <w:t>,</w:t>
      </w:r>
      <w:r>
        <w:t xml:space="preserve"> at forbruget i Grønland har svaret til 1/100 af forbruget i Danmark (i størrelsen 30 t/år), og der er akkumuleret noget der svarer til 30 års forbrug, vil den samlede akkumulerede mængde i bygninger og terrændæk være ma</w:t>
      </w:r>
      <w:r w:rsidR="000C13B5">
        <w:t>ks</w:t>
      </w:r>
      <w:r>
        <w:t xml:space="preserve">imalt 9 tons. </w:t>
      </w:r>
    </w:p>
    <w:p w14:paraId="7406B71C" w14:textId="4A1322D2" w:rsidR="000F3027" w:rsidRDefault="000F3027" w:rsidP="00AB0087">
      <w:pPr>
        <w:pStyle w:val="Brdtekst"/>
      </w:pPr>
      <w:r>
        <w:t xml:space="preserve">Andre væsentlige anvendelser af HBCDD har været flammehæmning af sæder i biler og polstrede møbler i offentlige områder, hvor der har været krav om flammehæmning af tekstiler, hvor forbruget i Danmark i 1999 svarede til mængderne i byggematerialer. HBCDD har været anvendt </w:t>
      </w:r>
      <w:r w:rsidR="005829CE">
        <w:t>i enkelte bilmærker, men der er ikke detaljerede oplysninger om hvilke.</w:t>
      </w:r>
      <w:r w:rsidR="0084760D">
        <w:t xml:space="preserve"> Lige som der i Danmark ikke er taget tiltag til identifikation og specifik fjernelse af tekstiler med HBCDD </w:t>
      </w:r>
      <w:r w:rsidR="00945422">
        <w:t>fra biler ved skrotning, vurderes det</w:t>
      </w:r>
      <w:r w:rsidR="005435B3">
        <w:t>,</w:t>
      </w:r>
      <w:r w:rsidR="00945422">
        <w:t xml:space="preserve"> at der </w:t>
      </w:r>
      <w:r w:rsidR="00C73C5A">
        <w:t xml:space="preserve">heller </w:t>
      </w:r>
      <w:r w:rsidR="00945422">
        <w:t xml:space="preserve">ikke </w:t>
      </w:r>
      <w:r w:rsidR="00C73C5A">
        <w:t xml:space="preserve">i Grønland </w:t>
      </w:r>
      <w:r w:rsidR="00945422">
        <w:t xml:space="preserve">vil være behov for dette for at leve op til konventionens krav. </w:t>
      </w:r>
    </w:p>
    <w:p w14:paraId="22C7A436" w14:textId="184BEE28" w:rsidR="00C6714B" w:rsidRDefault="00C6714B" w:rsidP="00AB0087">
      <w:pPr>
        <w:pStyle w:val="Brdtekst"/>
      </w:pPr>
      <w:r>
        <w:t xml:space="preserve">Der er i de senere år introduceret alternativer til HBCDD i EPS og XPS og </w:t>
      </w:r>
      <w:r w:rsidR="00B32D23">
        <w:t xml:space="preserve">introduceret </w:t>
      </w:r>
      <w:r w:rsidR="00AE03DE">
        <w:t xml:space="preserve">et </w:t>
      </w:r>
      <w:r>
        <w:t>forbud mod brugen af stoffet til dette formål i EU</w:t>
      </w:r>
      <w:r w:rsidR="00B32D23">
        <w:t>. Det</w:t>
      </w:r>
      <w:r>
        <w:t xml:space="preserve"> må </w:t>
      </w:r>
      <w:r w:rsidR="00853C12">
        <w:t xml:space="preserve">derfor </w:t>
      </w:r>
      <w:r>
        <w:t xml:space="preserve">forventes, at der fremover ikke vil være en import til Grønland af </w:t>
      </w:r>
      <w:r w:rsidR="00B32D23">
        <w:t>produkter med HBCDD</w:t>
      </w:r>
      <w:r>
        <w:t xml:space="preserve">. </w:t>
      </w:r>
    </w:p>
    <w:p w14:paraId="3D487F32" w14:textId="25409E78" w:rsidR="006E38C3" w:rsidRDefault="000B3118" w:rsidP="00AB0087">
      <w:pPr>
        <w:pStyle w:val="Brdtekst"/>
      </w:pPr>
      <w:r>
        <w:t>Der er i regi af Stockholmkonventione</w:t>
      </w:r>
      <w:r w:rsidR="00A34D02">
        <w:t>n udarbejdet en</w:t>
      </w:r>
      <w:r>
        <w:t xml:space="preserve"> vejledning </w:t>
      </w:r>
      <w:r w:rsidR="008D27FF">
        <w:t xml:space="preserve">i kortlægning og substitution af HCBDD (UNEP, 2015b). </w:t>
      </w:r>
      <w:r w:rsidR="000F3027">
        <w:t>Vejledningen lægger op til at meget omfattende kortlægning</w:t>
      </w:r>
      <w:r w:rsidR="000F04EC">
        <w:t>,</w:t>
      </w:r>
      <w:r w:rsidR="000F3027">
        <w:t xml:space="preserve"> som i omfang kan minde om kortlægning af PCB. Der er ikke foretaget en sådan kortlægning i Danmark</w:t>
      </w:r>
      <w:r w:rsidR="006B2FF9">
        <w:t xml:space="preserve">, men LOUS kortlægning af </w:t>
      </w:r>
      <w:proofErr w:type="spellStart"/>
      <w:r w:rsidR="006B2FF9">
        <w:t>bromerede</w:t>
      </w:r>
      <w:proofErr w:type="spellEnd"/>
      <w:r w:rsidR="006B2FF9">
        <w:t xml:space="preserve"> </w:t>
      </w:r>
      <w:proofErr w:type="spellStart"/>
      <w:r w:rsidR="006B2FF9">
        <w:t>flammehæmmere</w:t>
      </w:r>
      <w:proofErr w:type="spellEnd"/>
      <w:r w:rsidR="006B2FF9">
        <w:t xml:space="preserve"> indeholder oplysninger om brugen ad HBCDD (</w:t>
      </w:r>
      <w:r w:rsidR="0099426A">
        <w:t>Lassen m.fl., 2013b</w:t>
      </w:r>
      <w:r w:rsidR="006B2FF9">
        <w:t>)</w:t>
      </w:r>
      <w:r w:rsidR="000F3027">
        <w:t>. I betragtning af</w:t>
      </w:r>
      <w:r w:rsidR="005F0669">
        <w:t>,</w:t>
      </w:r>
      <w:r w:rsidR="000F3027">
        <w:t xml:space="preserve"> at stoffet </w:t>
      </w:r>
      <w:r w:rsidR="0099426A">
        <w:t xml:space="preserve">under konventionen </w:t>
      </w:r>
      <w:r w:rsidR="000F3027">
        <w:t xml:space="preserve">stadig er tilladt at anvende til visse formål synes en </w:t>
      </w:r>
      <w:r w:rsidR="000F04EC">
        <w:t xml:space="preserve">mere detaljeret </w:t>
      </w:r>
      <w:r w:rsidR="000F3027">
        <w:t>kortlægning a</w:t>
      </w:r>
      <w:r w:rsidR="000F04EC">
        <w:t>f, hvor HBCDD-</w:t>
      </w:r>
      <w:proofErr w:type="spellStart"/>
      <w:r w:rsidR="000F04EC">
        <w:t>holdige</w:t>
      </w:r>
      <w:proofErr w:type="spellEnd"/>
      <w:r w:rsidR="000F04EC">
        <w:t xml:space="preserve"> produkter har været anvendt og er til stede i byggeriet, at være</w:t>
      </w:r>
      <w:r w:rsidR="000F3027">
        <w:t xml:space="preserve"> ude af proportion. </w:t>
      </w:r>
      <w:r w:rsidR="006E38C3">
        <w:t>Vejledningen angiver, at emissioner fra forbrændingsanlæg</w:t>
      </w:r>
      <w:r w:rsidR="005F0669">
        <w:t>,</w:t>
      </w:r>
      <w:r w:rsidR="006E38C3">
        <w:t xml:space="preserve"> der levet op til BAT</w:t>
      </w:r>
      <w:r w:rsidR="005F0669">
        <w:t>,</w:t>
      </w:r>
      <w:r w:rsidR="006E38C3">
        <w:t xml:space="preserve"> må regnes at </w:t>
      </w:r>
      <w:r w:rsidR="005F0669">
        <w:t xml:space="preserve">være </w:t>
      </w:r>
      <w:r w:rsidR="006E38C3">
        <w:t xml:space="preserve">lave, mens der er risiko for dannelse af </w:t>
      </w:r>
      <w:proofErr w:type="spellStart"/>
      <w:r w:rsidR="006E38C3">
        <w:t>bromerede</w:t>
      </w:r>
      <w:proofErr w:type="spellEnd"/>
      <w:r w:rsidR="006E38C3">
        <w:t xml:space="preserve"> dioxiner ved åben afbrænding eller afbrænding på anlæg</w:t>
      </w:r>
      <w:r w:rsidR="005F0669">
        <w:t>,</w:t>
      </w:r>
      <w:r w:rsidR="006E38C3">
        <w:t xml:space="preserve"> der ikke lever op til BAT.</w:t>
      </w:r>
    </w:p>
    <w:p w14:paraId="2417F37C" w14:textId="01DBEBDD" w:rsidR="006E38C3" w:rsidRDefault="006E38C3" w:rsidP="00AB0087">
      <w:pPr>
        <w:pStyle w:val="Brdtekst"/>
      </w:pPr>
      <w:r>
        <w:t>Det v</w:t>
      </w:r>
      <w:r w:rsidR="00E044CF">
        <w:t xml:space="preserve">il derfor være relevant at anbefale at farvede EPS/XPS </w:t>
      </w:r>
      <w:r w:rsidR="00124F0B">
        <w:t xml:space="preserve">plader </w:t>
      </w:r>
      <w:r w:rsidR="00E044CF">
        <w:t>fra</w:t>
      </w:r>
      <w:r w:rsidR="00124F0B">
        <w:t xml:space="preserve"> nedrivning/renovering af</w:t>
      </w:r>
      <w:r w:rsidR="00E044CF">
        <w:t xml:space="preserve"> bygninger og terrændæk på sigt bortskaffes til anlæg, som </w:t>
      </w:r>
      <w:r w:rsidR="00E044CF">
        <w:lastRenderedPageBreak/>
        <w:t>lever op til BAT</w:t>
      </w:r>
      <w:r w:rsidR="00124F0B">
        <w:t>,</w:t>
      </w:r>
      <w:r w:rsidR="00E044CF">
        <w:t xml:space="preserve"> og </w:t>
      </w:r>
      <w:r w:rsidR="00124F0B">
        <w:t xml:space="preserve">der er derfor en kobling til kapitel </w:t>
      </w:r>
      <w:r w:rsidR="00124F0B">
        <w:fldChar w:fldCharType="begin"/>
      </w:r>
      <w:r w:rsidR="00124F0B">
        <w:instrText xml:space="preserve"> REF _Ref455645319 \r \h </w:instrText>
      </w:r>
      <w:r w:rsidR="00124F0B">
        <w:fldChar w:fldCharType="separate"/>
      </w:r>
      <w:r w:rsidR="00432B8C">
        <w:t>4.1</w:t>
      </w:r>
      <w:r w:rsidR="00124F0B">
        <w:fldChar w:fldCharType="end"/>
      </w:r>
      <w:r w:rsidR="00124F0B">
        <w:t xml:space="preserve"> om </w:t>
      </w:r>
      <w:r w:rsidR="00D37BB0">
        <w:t>utilsigtet dannede POP-stoffer</w:t>
      </w:r>
      <w:r w:rsidR="00124F0B">
        <w:t>.</w:t>
      </w:r>
    </w:p>
    <w:p w14:paraId="3F28C9FF" w14:textId="3ED50E13" w:rsidR="00653C3A" w:rsidRDefault="00653C3A" w:rsidP="00653C3A">
      <w:pPr>
        <w:pStyle w:val="Overskrift3"/>
      </w:pPr>
      <w:r>
        <w:t>Overslag over omkostninger</w:t>
      </w:r>
    </w:p>
    <w:p w14:paraId="29C511BF" w14:textId="38783575" w:rsidR="000B3118" w:rsidRDefault="00653C3A" w:rsidP="00653C3A">
      <w:pPr>
        <w:pStyle w:val="Brdtekst"/>
      </w:pPr>
      <w:r>
        <w:t xml:space="preserve">Det vurderes ikke at være særlige omkostninger knyttet til implementering af bestemmelserne for </w:t>
      </w:r>
      <w:r w:rsidR="000B3118">
        <w:t xml:space="preserve">de </w:t>
      </w:r>
      <w:proofErr w:type="spellStart"/>
      <w:r w:rsidR="000B3118">
        <w:t>bromerede</w:t>
      </w:r>
      <w:proofErr w:type="spellEnd"/>
      <w:r w:rsidR="000B3118">
        <w:t xml:space="preserve"> </w:t>
      </w:r>
      <w:proofErr w:type="spellStart"/>
      <w:r w:rsidR="000B3118">
        <w:t>flammehæmmere</w:t>
      </w:r>
      <w:proofErr w:type="spellEnd"/>
      <w:r>
        <w:t xml:space="preserve">. </w:t>
      </w:r>
    </w:p>
    <w:p w14:paraId="50109EA2" w14:textId="698D5C71" w:rsidR="00653C3A" w:rsidRDefault="00653C3A" w:rsidP="00653C3A">
      <w:pPr>
        <w:pStyle w:val="Brdtekst"/>
      </w:pPr>
      <w:r>
        <w:t>Generelle omkostninger, som går på tværs af alle stof</w:t>
      </w:r>
      <w:r w:rsidR="006A7A29">
        <w:t>fer</w:t>
      </w:r>
      <w:r>
        <w:t xml:space="preserve">, er omtalt i kapitel </w:t>
      </w:r>
      <w:r>
        <w:fldChar w:fldCharType="begin"/>
      </w:r>
      <w:r>
        <w:instrText xml:space="preserve"> REF _Ref468698372 \r \h </w:instrText>
      </w:r>
      <w:r>
        <w:fldChar w:fldCharType="separate"/>
      </w:r>
      <w:r w:rsidR="00432B8C">
        <w:t>5</w:t>
      </w:r>
      <w:r>
        <w:fldChar w:fldCharType="end"/>
      </w:r>
      <w:r>
        <w:t xml:space="preserve"> og </w:t>
      </w:r>
      <w:r>
        <w:fldChar w:fldCharType="begin"/>
      </w:r>
      <w:r>
        <w:instrText xml:space="preserve"> REF _Ref468698374 \r \h </w:instrText>
      </w:r>
      <w:r>
        <w:fldChar w:fldCharType="separate"/>
      </w:r>
      <w:r w:rsidR="00432B8C">
        <w:t>6</w:t>
      </w:r>
      <w:r>
        <w:fldChar w:fldCharType="end"/>
      </w:r>
      <w:r>
        <w:t>.</w:t>
      </w:r>
    </w:p>
    <w:p w14:paraId="7BEA4C6A" w14:textId="77777777" w:rsidR="00DD3A3A" w:rsidRDefault="004F0F32" w:rsidP="0062571E">
      <w:pPr>
        <w:pStyle w:val="Overskrift2"/>
      </w:pPr>
      <w:bookmarkStart w:id="87" w:name="_Toc10205720"/>
      <w:r>
        <w:t xml:space="preserve">Kortkædede </w:t>
      </w:r>
      <w:proofErr w:type="spellStart"/>
      <w:r>
        <w:t>chlorparaffiner</w:t>
      </w:r>
      <w:bookmarkEnd w:id="87"/>
      <w:proofErr w:type="spellEnd"/>
    </w:p>
    <w:p w14:paraId="5044951D" w14:textId="77777777" w:rsidR="008A0904" w:rsidRDefault="00DD3A3A">
      <w:pPr>
        <w:pStyle w:val="Overskrift3"/>
      </w:pPr>
      <w:r>
        <w:t>Omfattede stoffer</w:t>
      </w:r>
    </w:p>
    <w:p w14:paraId="05D7B7E8" w14:textId="317F096E" w:rsidR="008A0904" w:rsidRDefault="004F0F32" w:rsidP="004F0F32">
      <w:pPr>
        <w:pStyle w:val="Brdtekst"/>
      </w:pPr>
      <w:r w:rsidRPr="00454DE5">
        <w:t xml:space="preserve">Kortkædede </w:t>
      </w:r>
      <w:proofErr w:type="spellStart"/>
      <w:r w:rsidRPr="00454DE5">
        <w:t>chlorparaffiner</w:t>
      </w:r>
      <w:proofErr w:type="spellEnd"/>
      <w:r w:rsidRPr="00454DE5">
        <w:t xml:space="preserve"> </w:t>
      </w:r>
      <w:r>
        <w:t>(SCCP, short</w:t>
      </w:r>
      <w:r w:rsidR="00EE0C3B">
        <w:t>-</w:t>
      </w:r>
      <w:proofErr w:type="spellStart"/>
      <w:r>
        <w:t>chain</w:t>
      </w:r>
      <w:proofErr w:type="spellEnd"/>
      <w:r>
        <w:t xml:space="preserve"> </w:t>
      </w:r>
      <w:proofErr w:type="spellStart"/>
      <w:r>
        <w:t>chlorinated</w:t>
      </w:r>
      <w:proofErr w:type="spellEnd"/>
      <w:r>
        <w:t xml:space="preserve"> paraffins)</w:t>
      </w:r>
      <w:r w:rsidR="008A0904">
        <w:t xml:space="preserve"> </w:t>
      </w:r>
      <w:r w:rsidRPr="00D67E26">
        <w:t>er blevet optaget under Stockholmkonventionen i 2017</w:t>
      </w:r>
      <w:r w:rsidRPr="00945422">
        <w:t>.</w:t>
      </w:r>
      <w:r>
        <w:t xml:space="preserve"> </w:t>
      </w:r>
      <w:r w:rsidR="008A0904">
        <w:t xml:space="preserve">Der findes tre typer af </w:t>
      </w:r>
      <w:proofErr w:type="spellStart"/>
      <w:r w:rsidR="008A0904" w:rsidRPr="00945422">
        <w:t>chlorparaffiner</w:t>
      </w:r>
      <w:proofErr w:type="spellEnd"/>
      <w:r w:rsidR="008A0904">
        <w:t xml:space="preserve">: kortkædede, mellemkædede og langkædede. Det er kun de kortkædede med en kædelængde på 10 til 13 kulstofatomer og et </w:t>
      </w:r>
      <w:proofErr w:type="spellStart"/>
      <w:r w:rsidR="008A0904">
        <w:t>chlorindhold</w:t>
      </w:r>
      <w:proofErr w:type="spellEnd"/>
      <w:r w:rsidR="008A0904">
        <w:t xml:space="preserve"> på mere end 48</w:t>
      </w:r>
      <w:r w:rsidR="00C73C5A">
        <w:t xml:space="preserve"> </w:t>
      </w:r>
      <w:r w:rsidR="008A0904">
        <w:t xml:space="preserve">%, der er omfattet af konventionen. </w:t>
      </w:r>
    </w:p>
    <w:p w14:paraId="2493748B" w14:textId="424D31BC" w:rsidR="004F0F32" w:rsidRDefault="004F0F32" w:rsidP="004F0F32">
      <w:pPr>
        <w:pStyle w:val="Brdtekst"/>
      </w:pPr>
      <w:r w:rsidRPr="00945422">
        <w:t xml:space="preserve">Kortkædede </w:t>
      </w:r>
      <w:proofErr w:type="spellStart"/>
      <w:r w:rsidRPr="00945422">
        <w:t>chlorparaffiner</w:t>
      </w:r>
      <w:proofErr w:type="spellEnd"/>
      <w:r w:rsidRPr="00945422">
        <w:t xml:space="preserve"> har</w:t>
      </w:r>
      <w:r w:rsidR="008A0904">
        <w:t xml:space="preserve"> primært</w:t>
      </w:r>
      <w:r w:rsidRPr="00945422">
        <w:t xml:space="preserve"> været anvendt</w:t>
      </w:r>
      <w:r w:rsidR="0017251B">
        <w:t xml:space="preserve"> i</w:t>
      </w:r>
      <w:r w:rsidRPr="00945422">
        <w:t xml:space="preserve"> </w:t>
      </w:r>
      <w:r w:rsidR="008A0904">
        <w:t xml:space="preserve">køle-/skæremidler </w:t>
      </w:r>
      <w:r w:rsidR="0017251B">
        <w:t>og</w:t>
      </w:r>
      <w:r w:rsidR="008A0904">
        <w:t xml:space="preserve"> </w:t>
      </w:r>
      <w:r w:rsidRPr="00945422">
        <w:t xml:space="preserve">i byggematerialer til nogle af de samme formål som PCB. </w:t>
      </w:r>
    </w:p>
    <w:p w14:paraId="0FE2700F" w14:textId="652DD9D6" w:rsidR="00296C57" w:rsidRDefault="00296C57" w:rsidP="0062571E">
      <w:pPr>
        <w:pStyle w:val="Overskrift3"/>
      </w:pPr>
      <w:r>
        <w:t>Konventionens krav</w:t>
      </w:r>
    </w:p>
    <w:p w14:paraId="4735D655" w14:textId="5C728A1F" w:rsidR="008A0904" w:rsidRDefault="008A0904" w:rsidP="008A0904">
      <w:pPr>
        <w:pStyle w:val="Brdtekst"/>
        <w:rPr>
          <w:lang w:eastAsia="en-US"/>
        </w:rPr>
      </w:pPr>
      <w:r>
        <w:t xml:space="preserve">Konventionen indeholder en række krav til parterne om </w:t>
      </w:r>
      <w:r w:rsidRPr="00AB0087">
        <w:rPr>
          <w:lang w:eastAsia="en-US"/>
        </w:rPr>
        <w:t xml:space="preserve">at træffe de retslige og administrative foranstaltninger, der er nødvendige for at begrænse fremstilling, brug, import og eksport af </w:t>
      </w:r>
      <w:r>
        <w:rPr>
          <w:lang w:eastAsia="en-US"/>
        </w:rPr>
        <w:t>SCCP</w:t>
      </w:r>
      <w:r w:rsidR="008878B1">
        <w:rPr>
          <w:lang w:eastAsia="en-US"/>
        </w:rPr>
        <w:t>.</w:t>
      </w:r>
    </w:p>
    <w:p w14:paraId="1F54D638" w14:textId="7705A456" w:rsidR="008748AA" w:rsidRDefault="008A0904">
      <w:pPr>
        <w:pStyle w:val="Brdtekst"/>
        <w:rPr>
          <w:lang w:eastAsia="en-US"/>
        </w:rPr>
      </w:pPr>
      <w:r w:rsidRPr="008B7823">
        <w:rPr>
          <w:b/>
          <w:lang w:eastAsia="en-US"/>
        </w:rPr>
        <w:t>Lagre, affald og forurenede grunde</w:t>
      </w:r>
      <w:r w:rsidRPr="008B7823">
        <w:rPr>
          <w:lang w:eastAsia="en-US"/>
        </w:rPr>
        <w:t xml:space="preserve"> - </w:t>
      </w:r>
      <w:r w:rsidR="008748AA" w:rsidRPr="00AB0087">
        <w:rPr>
          <w:lang w:eastAsia="en-US"/>
        </w:rPr>
        <w:t xml:space="preserve">Konventionsbestemmelserne vedr. udslip af de omfattede </w:t>
      </w:r>
      <w:r w:rsidR="0017251B">
        <w:rPr>
          <w:lang w:eastAsia="en-US"/>
        </w:rPr>
        <w:t>SCCP</w:t>
      </w:r>
      <w:r w:rsidR="008748AA" w:rsidRPr="00AB0087">
        <w:rPr>
          <w:lang w:eastAsia="en-US"/>
        </w:rPr>
        <w:t xml:space="preserve"> fra lagre,</w:t>
      </w:r>
      <w:r w:rsidR="008748AA">
        <w:rPr>
          <w:lang w:eastAsia="en-US"/>
        </w:rPr>
        <w:t xml:space="preserve"> ved</w:t>
      </w:r>
      <w:r w:rsidR="008748AA" w:rsidRPr="00AB0087">
        <w:rPr>
          <w:lang w:eastAsia="en-US"/>
        </w:rPr>
        <w:t xml:space="preserve"> affald</w:t>
      </w:r>
      <w:r w:rsidR="008748AA">
        <w:rPr>
          <w:lang w:eastAsia="en-US"/>
        </w:rPr>
        <w:t xml:space="preserve">sbehandling </w:t>
      </w:r>
      <w:r w:rsidR="008748AA" w:rsidRPr="00AB0087">
        <w:rPr>
          <w:lang w:eastAsia="en-US"/>
        </w:rPr>
        <w:t xml:space="preserve">og </w:t>
      </w:r>
      <w:r w:rsidR="008748AA">
        <w:rPr>
          <w:lang w:eastAsia="en-US"/>
        </w:rPr>
        <w:t xml:space="preserve">fra </w:t>
      </w:r>
      <w:r w:rsidR="008748AA" w:rsidRPr="00AB0087">
        <w:rPr>
          <w:lang w:eastAsia="en-US"/>
        </w:rPr>
        <w:t xml:space="preserve">forurenede grunde er de samme som </w:t>
      </w:r>
      <w:r w:rsidR="008748AA">
        <w:rPr>
          <w:lang w:eastAsia="en-US"/>
        </w:rPr>
        <w:t xml:space="preserve">beskrevet ovenfor for </w:t>
      </w:r>
      <w:proofErr w:type="spellStart"/>
      <w:r w:rsidR="008748AA">
        <w:rPr>
          <w:lang w:eastAsia="en-US"/>
        </w:rPr>
        <w:t>bromerede</w:t>
      </w:r>
      <w:proofErr w:type="spellEnd"/>
      <w:r w:rsidR="008748AA">
        <w:rPr>
          <w:lang w:eastAsia="en-US"/>
        </w:rPr>
        <w:t xml:space="preserve"> </w:t>
      </w:r>
      <w:proofErr w:type="spellStart"/>
      <w:r w:rsidR="008748AA">
        <w:rPr>
          <w:lang w:eastAsia="en-US"/>
        </w:rPr>
        <w:t>flammehæmmere</w:t>
      </w:r>
      <w:proofErr w:type="spellEnd"/>
      <w:r w:rsidR="008748AA" w:rsidRPr="00AB0087">
        <w:rPr>
          <w:lang w:eastAsia="en-US"/>
        </w:rPr>
        <w:t>.</w:t>
      </w:r>
      <w:r w:rsidR="008748AA">
        <w:rPr>
          <w:lang w:eastAsia="en-US"/>
        </w:rPr>
        <w:t xml:space="preserve"> </w:t>
      </w:r>
    </w:p>
    <w:p w14:paraId="221DF5D5" w14:textId="44C081E6" w:rsidR="008A0904" w:rsidRDefault="0029162A">
      <w:pPr>
        <w:pStyle w:val="Brdtekst"/>
      </w:pPr>
      <w:r>
        <w:t>Der er i konventionen ikke specifikke krav om at identificere SCCP i brug, men stofgruppen er omfattet af de generelle krav om</w:t>
      </w:r>
      <w:r w:rsidR="00B32D23" w:rsidRPr="00B32D23">
        <w:t xml:space="preserve"> </w:t>
      </w:r>
      <w:r w:rsidR="00B32D23">
        <w:t>at sikre at stofferne destrueres</w:t>
      </w:r>
      <w:r>
        <w:t xml:space="preserve"> </w:t>
      </w:r>
      <w:r w:rsidR="008748AA">
        <w:t>i</w:t>
      </w:r>
      <w:r>
        <w:t xml:space="preserve"> forbindelse med bortskaffelse af materialer indeholdende POP-stoffer</w:t>
      </w:r>
      <w:r w:rsidR="008748AA">
        <w:t xml:space="preserve">. </w:t>
      </w:r>
      <w:r w:rsidR="007A4C74">
        <w:t xml:space="preserve">I følge en </w:t>
      </w:r>
      <w:r w:rsidR="007A4C74" w:rsidRPr="007A4C74">
        <w:t xml:space="preserve">dansk udredning om </w:t>
      </w:r>
      <w:proofErr w:type="spellStart"/>
      <w:r w:rsidR="007A4C74" w:rsidRPr="007A4C74">
        <w:t>chlorparaffiner</w:t>
      </w:r>
      <w:proofErr w:type="spellEnd"/>
      <w:r w:rsidR="007A4C74" w:rsidRPr="007A4C74">
        <w:t xml:space="preserve"> dekomponerer </w:t>
      </w:r>
      <w:r w:rsidR="008748AA" w:rsidRPr="007A4C74">
        <w:t xml:space="preserve">SCCP </w:t>
      </w:r>
      <w:r w:rsidR="007A4C74" w:rsidRPr="0062571E">
        <w:t>ved</w:t>
      </w:r>
      <w:r w:rsidR="008748AA" w:rsidRPr="007A4C74">
        <w:t xml:space="preserve"> temperature</w:t>
      </w:r>
      <w:r w:rsidR="007A4C74" w:rsidRPr="0062571E">
        <w:t>r</w:t>
      </w:r>
      <w:r w:rsidR="008748AA" w:rsidRPr="007A4C74">
        <w:t xml:space="preserve"> </w:t>
      </w:r>
      <w:r w:rsidR="007A4C74" w:rsidRPr="0062571E">
        <w:t>over</w:t>
      </w:r>
      <w:r w:rsidR="008748AA" w:rsidRPr="007A4C74">
        <w:t xml:space="preserve"> 200 °C </w:t>
      </w:r>
      <w:r w:rsidR="007A4C74" w:rsidRPr="0062571E">
        <w:t>og destrueres dermed ved de temperaturer, der anvendes i almindelige forbrændingsanlæg (Lassen m. fl., 2014</w:t>
      </w:r>
      <w:r w:rsidR="00515AE8">
        <w:t>; UNEP, 2016</w:t>
      </w:r>
      <w:r w:rsidR="007A4C74" w:rsidRPr="0062571E">
        <w:t>)</w:t>
      </w:r>
      <w:r w:rsidR="00960842">
        <w:t>, men i følge den seneste danske implementeringsplan er der dog stadig en vis usikkerhed om effektiviteten af destruktionen af SCCP i forbrændingsanlæg til husholdningsaffald (MFVM, 2018)</w:t>
      </w:r>
      <w:r w:rsidR="007A4C74" w:rsidRPr="0062571E">
        <w:t xml:space="preserve">. </w:t>
      </w:r>
      <w:r w:rsidR="007A4C74">
        <w:t xml:space="preserve">I relation </w:t>
      </w:r>
      <w:r w:rsidR="0017251B">
        <w:t xml:space="preserve">til </w:t>
      </w:r>
      <w:r w:rsidR="00505057">
        <w:t xml:space="preserve">dannelse af dioxiner </w:t>
      </w:r>
      <w:r w:rsidR="007A4C74" w:rsidRPr="0062571E">
        <w:t>ved forbrænding</w:t>
      </w:r>
      <w:r w:rsidR="007A4C74">
        <w:t>, vil</w:t>
      </w:r>
      <w:r w:rsidR="007A4C74" w:rsidRPr="0062571E">
        <w:t xml:space="preserve"> SCCP</w:t>
      </w:r>
      <w:r w:rsidR="007A4C74">
        <w:t xml:space="preserve"> kunne fungere som en </w:t>
      </w:r>
      <w:proofErr w:type="spellStart"/>
      <w:r w:rsidR="007A4C74">
        <w:t>chlorkilde</w:t>
      </w:r>
      <w:proofErr w:type="spellEnd"/>
      <w:r w:rsidR="007A4C74">
        <w:t xml:space="preserve"> </w:t>
      </w:r>
      <w:r w:rsidR="00505057">
        <w:t>lige</w:t>
      </w:r>
      <w:r w:rsidR="00C73C5A">
        <w:t xml:space="preserve"> </w:t>
      </w:r>
      <w:r w:rsidR="007A4C74">
        <w:t xml:space="preserve">som andre </w:t>
      </w:r>
      <w:proofErr w:type="spellStart"/>
      <w:r w:rsidR="007A4C74">
        <w:t>chlorholdige</w:t>
      </w:r>
      <w:proofErr w:type="spellEnd"/>
      <w:r w:rsidR="007A4C74">
        <w:t xml:space="preserve"> materialer, men vil ikke som PCB eller PCP kunne fungere som "</w:t>
      </w:r>
      <w:proofErr w:type="spellStart"/>
      <w:r w:rsidR="007A4C74">
        <w:t>precursor</w:t>
      </w:r>
      <w:proofErr w:type="spellEnd"/>
      <w:r w:rsidR="007A4C74">
        <w:t xml:space="preserve">" (kemisk mellemprodukt) for dannelse af </w:t>
      </w:r>
      <w:r w:rsidR="00505057">
        <w:t>dioxiner</w:t>
      </w:r>
      <w:r w:rsidR="007A4C74" w:rsidRPr="0062571E">
        <w:t>.</w:t>
      </w:r>
      <w:r w:rsidR="00E96B53">
        <w:t xml:space="preserve"> </w:t>
      </w:r>
    </w:p>
    <w:p w14:paraId="3129BA34" w14:textId="5B66E258" w:rsidR="008878B1" w:rsidRDefault="008878B1">
      <w:pPr>
        <w:pStyle w:val="Brdtekst"/>
      </w:pPr>
      <w:r w:rsidRPr="0062571E">
        <w:rPr>
          <w:b/>
        </w:rPr>
        <w:lastRenderedPageBreak/>
        <w:t>Undtagelser</w:t>
      </w:r>
      <w:r>
        <w:t xml:space="preserve"> - </w:t>
      </w:r>
      <w:r w:rsidRPr="00AB0087">
        <w:rPr>
          <w:lang w:eastAsia="en-US"/>
        </w:rPr>
        <w:t xml:space="preserve">Konventionen </w:t>
      </w:r>
      <w:r>
        <w:rPr>
          <w:lang w:eastAsia="en-US"/>
        </w:rPr>
        <w:t>åbner op for</w:t>
      </w:r>
      <w:r w:rsidR="005435B3">
        <w:rPr>
          <w:lang w:eastAsia="en-US"/>
        </w:rPr>
        <w:t>,</w:t>
      </w:r>
      <w:r>
        <w:rPr>
          <w:lang w:eastAsia="en-US"/>
        </w:rPr>
        <w:t xml:space="preserve"> at parter, som er </w:t>
      </w:r>
      <w:r w:rsidR="005435B3">
        <w:rPr>
          <w:lang w:eastAsia="en-US"/>
        </w:rPr>
        <w:t xml:space="preserve">opført </w:t>
      </w:r>
      <w:r>
        <w:rPr>
          <w:lang w:eastAsia="en-US"/>
        </w:rPr>
        <w:t>i et register, kan fortsætte med at producere SCCP. Desuden er der er en række undtagelser herunder brug i transportbånd af gummi, i læderindustri, vand- og brandbeskyttende maling, lime og væsker til metalbearbejdning. Det er således en meget stor del af de kendte anvendelser som er undtaget, men de fleste af disse anvendelser er i dag forbudte i EU.</w:t>
      </w:r>
      <w:r w:rsidR="00E96B53">
        <w:rPr>
          <w:lang w:eastAsia="en-US"/>
        </w:rPr>
        <w:t xml:space="preserve"> </w:t>
      </w:r>
    </w:p>
    <w:p w14:paraId="2AA2042F" w14:textId="78950273" w:rsidR="00515AE8" w:rsidRPr="008A0904" w:rsidRDefault="00515AE8" w:rsidP="00515AE8">
      <w:pPr>
        <w:pStyle w:val="Brdtekst"/>
      </w:pPr>
      <w:r w:rsidRPr="0062571E">
        <w:rPr>
          <w:b/>
        </w:rPr>
        <w:t>Krav i POP-Protokollen</w:t>
      </w:r>
      <w:r>
        <w:t xml:space="preserve"> - POP-protokollen, som Grønland har til</w:t>
      </w:r>
      <w:r w:rsidR="00853C12">
        <w:t>trådt</w:t>
      </w:r>
      <w:bookmarkStart w:id="88" w:name="her"/>
      <w:bookmarkEnd w:id="88"/>
      <w:r w:rsidR="00853C12">
        <w:t>,</w:t>
      </w:r>
      <w:r>
        <w:t xml:space="preserve"> indeholder en række krav vedrørende begrænsning af brugen af SCCP </w:t>
      </w:r>
      <w:r w:rsidR="00235AD6">
        <w:t>samt</w:t>
      </w:r>
      <w:r>
        <w:t xml:space="preserve"> krav om at SCCP i artikler, når de bliver til affald</w:t>
      </w:r>
      <w:r w:rsidR="00235AD6">
        <w:t>,</w:t>
      </w:r>
      <w:r>
        <w:t xml:space="preserve"> destrueres eller på anden måde bortskaffes</w:t>
      </w:r>
      <w:r w:rsidR="00B61A2D">
        <w:t xml:space="preserve"> på en miljømæssig forsvarlig måde.</w:t>
      </w:r>
    </w:p>
    <w:p w14:paraId="298BC7E8" w14:textId="1433887E" w:rsidR="00554EF4" w:rsidRDefault="0017251B" w:rsidP="0062571E">
      <w:pPr>
        <w:pStyle w:val="Overskrift3"/>
      </w:pPr>
      <w:r>
        <w:t>Status</w:t>
      </w:r>
      <w:r w:rsidR="00554EF4">
        <w:t xml:space="preserve"> for Grønland</w:t>
      </w:r>
    </w:p>
    <w:p w14:paraId="150FF060" w14:textId="5A53093E" w:rsidR="004F0F32" w:rsidRDefault="004F0F32" w:rsidP="004F0F32">
      <w:pPr>
        <w:pStyle w:val="Brdtekst"/>
      </w:pPr>
      <w:r>
        <w:t>Det vurderes, at der i relation til Grønland primært er en problemstilling i relation til SCCP i byggematerialer og i bygningsaffald.</w:t>
      </w:r>
    </w:p>
    <w:p w14:paraId="1F855929" w14:textId="77777777" w:rsidR="004F0F32" w:rsidRPr="00B2183A" w:rsidRDefault="004F0F32" w:rsidP="004F0F32">
      <w:pPr>
        <w:pStyle w:val="Brdtekst"/>
      </w:pPr>
      <w:r w:rsidRPr="00B2183A">
        <w:t xml:space="preserve">Der er ikke fundet målinger af </w:t>
      </w:r>
      <w:proofErr w:type="spellStart"/>
      <w:r w:rsidRPr="00B2183A">
        <w:t>chlorparaffiner</w:t>
      </w:r>
      <w:proofErr w:type="spellEnd"/>
      <w:r w:rsidRPr="00B2183A">
        <w:t xml:space="preserve"> i byggematerialer i Grønland, men forekomsten i Danmark kan give en indikation på, hvad der med stor sandsynlighed vil kunne findes.</w:t>
      </w:r>
    </w:p>
    <w:p w14:paraId="59BA3BE8" w14:textId="0C6B5D5E" w:rsidR="004F0F32" w:rsidRDefault="004F0F32" w:rsidP="004F0F32">
      <w:pPr>
        <w:pStyle w:val="Brdtekst"/>
      </w:pPr>
      <w:r>
        <w:t xml:space="preserve">Resultaterne af en </w:t>
      </w:r>
      <w:r w:rsidRPr="00B82880">
        <w:t>indsamling af data om fund af</w:t>
      </w:r>
      <w:r w:rsidRPr="00945422">
        <w:t xml:space="preserve"> </w:t>
      </w:r>
      <w:r w:rsidR="0017251B">
        <w:t>SCCP</w:t>
      </w:r>
      <w:r w:rsidRPr="00945422">
        <w:t xml:space="preserve"> </w:t>
      </w:r>
      <w:r w:rsidR="00DA1BEC">
        <w:t>i danske bygninger (</w:t>
      </w:r>
      <w:proofErr w:type="spellStart"/>
      <w:r w:rsidR="00DA1BEC">
        <w:t>Odsb</w:t>
      </w:r>
      <w:r w:rsidRPr="00945422">
        <w:t>jer</w:t>
      </w:r>
      <w:r w:rsidR="00DA1BEC">
        <w:t>g</w:t>
      </w:r>
      <w:proofErr w:type="spellEnd"/>
      <w:r w:rsidRPr="00945422">
        <w:t xml:space="preserve"> </w:t>
      </w:r>
      <w:r>
        <w:t>m.fl</w:t>
      </w:r>
      <w:r w:rsidRPr="00945422">
        <w:t>., 2016)</w:t>
      </w:r>
      <w:r>
        <w:t xml:space="preserve"> er sammenfattet i nedenstående tabel. Af de i alt 743 </w:t>
      </w:r>
      <w:r w:rsidR="005435B3">
        <w:t xml:space="preserve">udførte </w:t>
      </w:r>
      <w:r>
        <w:t xml:space="preserve">analyser er der påvist indhold af SCCP i de 573, svarende til 77 % af prøverne. </w:t>
      </w:r>
      <w:r w:rsidR="000D0326">
        <w:t xml:space="preserve">Prøverne repræsenterer materialer fra 116 bygninger fordelt </w:t>
      </w:r>
      <w:r w:rsidR="00B32D23">
        <w:t xml:space="preserve">på </w:t>
      </w:r>
      <w:r w:rsidR="000D0326">
        <w:t xml:space="preserve">forskellige bygningstyper. </w:t>
      </w:r>
      <w:r>
        <w:t>I 23</w:t>
      </w:r>
      <w:r w:rsidR="00235AD6">
        <w:t xml:space="preserve"> </w:t>
      </w:r>
      <w:r>
        <w:t>% af alle prøver var der SCCP i koncentrationer på over 10,000 mg/kg (1</w:t>
      </w:r>
      <w:r w:rsidR="00235AD6">
        <w:t xml:space="preserve"> </w:t>
      </w:r>
      <w:r>
        <w:t>%), som i Danmark betyder, at materialerne ved bortskaffelse skal bortskaffes som farligt affald. Prøverne stammer fra boligblokke og erhverv opført i perioden 1900-1999. Det angives i rapporten, at SCCP også har kunnet anvendes i nyere bygninger</w:t>
      </w:r>
      <w:r w:rsidR="00B32D23">
        <w:t>,</w:t>
      </w:r>
      <w:r w:rsidR="00743310">
        <w:t xml:space="preserve"> men almi</w:t>
      </w:r>
      <w:r w:rsidR="008B1B83">
        <w:t>ndeli</w:t>
      </w:r>
      <w:r w:rsidR="00235AD6">
        <w:t>g</w:t>
      </w:r>
      <w:r w:rsidR="008B1B83">
        <w:t>vis regnes der med</w:t>
      </w:r>
      <w:r w:rsidR="00235AD6">
        <w:t>,</w:t>
      </w:r>
      <w:r w:rsidR="008B1B83">
        <w:t xml:space="preserve"> at SCCP</w:t>
      </w:r>
      <w:r w:rsidR="00B82DC4">
        <w:t xml:space="preserve"> </w:t>
      </w:r>
      <w:r w:rsidR="00BA6797">
        <w:t>er anvendt ind</w:t>
      </w:r>
      <w:r w:rsidR="00B82DC4">
        <w:t>til 2002</w:t>
      </w:r>
      <w:r>
        <w:t>. SCCP har således været anvendt senere end PCB</w:t>
      </w:r>
      <w:r w:rsidR="005435B3">
        <w:t>,</w:t>
      </w:r>
      <w:r>
        <w:t xml:space="preserve"> og fugemasser med SCCP blev i et vist omfang anvendt som alternativ til </w:t>
      </w:r>
      <w:proofErr w:type="spellStart"/>
      <w:r>
        <w:t>PCB-holdige</w:t>
      </w:r>
      <w:proofErr w:type="spellEnd"/>
      <w:r>
        <w:t xml:space="preserve"> fuge</w:t>
      </w:r>
      <w:r w:rsidR="00B32D23">
        <w:t>masser</w:t>
      </w:r>
      <w:r>
        <w:t xml:space="preserve">. I undersøgelsen er der ikke </w:t>
      </w:r>
      <w:r w:rsidR="005435B3">
        <w:t>analyse</w:t>
      </w:r>
      <w:r>
        <w:t xml:space="preserve">resultater </w:t>
      </w:r>
      <w:r w:rsidR="005435B3">
        <w:t>for</w:t>
      </w:r>
      <w:r>
        <w:t xml:space="preserve"> fuger fra termoruder, men der er i undersøgelser i Norge påvist SCCP i termoruder (Lassen m.fl., 2014). </w:t>
      </w:r>
    </w:p>
    <w:p w14:paraId="3D02E7A9" w14:textId="3A7827F6" w:rsidR="00764646" w:rsidRDefault="00764646" w:rsidP="004F0F32">
      <w:pPr>
        <w:pStyle w:val="Brdtekst"/>
      </w:pPr>
      <w:r>
        <w:t xml:space="preserve">Rapporten indeholder også resultater vedrørende mellemkædede </w:t>
      </w:r>
      <w:proofErr w:type="spellStart"/>
      <w:r>
        <w:t>chlorparaffiner</w:t>
      </w:r>
      <w:proofErr w:type="spellEnd"/>
      <w:r>
        <w:t xml:space="preserve"> (MCCP, med en kædelængde på 14-17 </w:t>
      </w:r>
      <w:r w:rsidR="00743310">
        <w:t>kulstofatomer</w:t>
      </w:r>
      <w:r>
        <w:t>)</w:t>
      </w:r>
      <w:r w:rsidR="00743310">
        <w:t>,</w:t>
      </w:r>
      <w:r>
        <w:t xml:space="preserve"> som ikke er omfattet af Stockholmkonventionen og heller ikke er under vurdering for optagelse. MCCP er fundet i de samme typer materialer, men er kun fundet i 15</w:t>
      </w:r>
      <w:r w:rsidR="00235AD6">
        <w:t xml:space="preserve"> </w:t>
      </w:r>
      <w:r>
        <w:t xml:space="preserve">% af 680 prøver analyseret for MCCP. </w:t>
      </w:r>
    </w:p>
    <w:p w14:paraId="58990E18" w14:textId="1F264ED1" w:rsidR="004F0F32" w:rsidRDefault="004F0F32" w:rsidP="004F0F32">
      <w:pPr>
        <w:pStyle w:val="Brdtekst"/>
      </w:pPr>
      <w:r>
        <w:t xml:space="preserve">I en udredning om </w:t>
      </w:r>
      <w:proofErr w:type="spellStart"/>
      <w:r>
        <w:t>chlorparaffiner</w:t>
      </w:r>
      <w:proofErr w:type="spellEnd"/>
      <w:r>
        <w:t xml:space="preserve"> i Danmark (Lassen m.fl., 2014) vurderes fugemasser og maling a</w:t>
      </w:r>
      <w:r w:rsidR="00D874D0">
        <w:t>t repræsentere</w:t>
      </w:r>
      <w:r>
        <w:t xml:space="preserve"> de største mængder i affald med henh. 2,5 og 2,9 tons</w:t>
      </w:r>
      <w:r w:rsidR="00D874D0">
        <w:t xml:space="preserve"> SCCP pr. </w:t>
      </w:r>
      <w:r>
        <w:t>år. Hvis forekomsten i Grønland svarer til</w:t>
      </w:r>
      <w:r w:rsidR="00235AD6">
        <w:t xml:space="preserve"> den</w:t>
      </w:r>
      <w:r w:rsidR="00B82DC4">
        <w:t xml:space="preserve"> i Danmark, </w:t>
      </w:r>
      <w:r>
        <w:t>vil der bortskaffes i størrelsen 20-30 kg om året</w:t>
      </w:r>
      <w:r w:rsidR="00D874D0">
        <w:t xml:space="preserve"> (svarende til mindre end 1 tons materiale)</w:t>
      </w:r>
      <w:r>
        <w:t>.</w:t>
      </w:r>
      <w:r w:rsidR="00E96B53">
        <w:t xml:space="preserve"> </w:t>
      </w:r>
    </w:p>
    <w:p w14:paraId="02BE8E42" w14:textId="05E27BE9" w:rsidR="004F0F32" w:rsidRPr="00B2183A" w:rsidRDefault="004F0F32" w:rsidP="00236DEC">
      <w:pPr>
        <w:pStyle w:val="Brdtekst"/>
        <w:keepNext/>
        <w:ind w:left="850" w:hanging="850"/>
      </w:pPr>
      <w:r w:rsidRPr="00B2183A">
        <w:rPr>
          <w:i/>
        </w:rPr>
        <w:lastRenderedPageBreak/>
        <w:t xml:space="preserve">Tabel </w:t>
      </w:r>
      <w:r w:rsidRPr="00B2183A">
        <w:rPr>
          <w:i/>
        </w:rPr>
        <w:fldChar w:fldCharType="begin"/>
      </w:r>
      <w:r w:rsidRPr="00B2183A">
        <w:rPr>
          <w:i/>
        </w:rPr>
        <w:instrText xml:space="preserve"> SEQ Tabel \* ARABIC </w:instrText>
      </w:r>
      <w:r w:rsidRPr="00B2183A">
        <w:rPr>
          <w:i/>
        </w:rPr>
        <w:fldChar w:fldCharType="separate"/>
      </w:r>
      <w:r w:rsidR="00432B8C">
        <w:rPr>
          <w:i/>
          <w:noProof/>
        </w:rPr>
        <w:t>5</w:t>
      </w:r>
      <w:r w:rsidRPr="00B2183A">
        <w:rPr>
          <w:i/>
        </w:rPr>
        <w:fldChar w:fldCharType="end"/>
      </w:r>
      <w:r w:rsidRPr="00B2183A">
        <w:rPr>
          <w:i/>
        </w:rPr>
        <w:tab/>
        <w:t xml:space="preserve">Kortkædede </w:t>
      </w:r>
      <w:proofErr w:type="spellStart"/>
      <w:r w:rsidRPr="00B2183A">
        <w:rPr>
          <w:i/>
        </w:rPr>
        <w:t>chlorparaffiner</w:t>
      </w:r>
      <w:proofErr w:type="spellEnd"/>
      <w:r w:rsidRPr="00B2183A">
        <w:rPr>
          <w:i/>
        </w:rPr>
        <w:t xml:space="preserve"> fundet ved analyser af </w:t>
      </w:r>
      <w:r w:rsidR="00DA1BEC">
        <w:rPr>
          <w:i/>
        </w:rPr>
        <w:t>byggematerialer i Danmark (</w:t>
      </w:r>
      <w:proofErr w:type="spellStart"/>
      <w:r w:rsidR="00DA1BEC">
        <w:rPr>
          <w:i/>
        </w:rPr>
        <w:t>Odsb</w:t>
      </w:r>
      <w:r w:rsidRPr="00B2183A">
        <w:rPr>
          <w:i/>
        </w:rPr>
        <w:t>jer</w:t>
      </w:r>
      <w:r w:rsidR="00DA1BEC">
        <w:rPr>
          <w:i/>
        </w:rPr>
        <w:t>g</w:t>
      </w:r>
      <w:proofErr w:type="spellEnd"/>
      <w:r w:rsidRPr="00B2183A">
        <w:rPr>
          <w:i/>
        </w:rPr>
        <w:t xml:space="preserve"> m.fl., 2016).</w:t>
      </w:r>
    </w:p>
    <w:tbl>
      <w:tblPr>
        <w:tblStyle w:val="Tabel-Gitter"/>
        <w:tblW w:w="0" w:type="auto"/>
        <w:tblInd w:w="-1026" w:type="dxa"/>
        <w:tblLook w:val="04A0" w:firstRow="1" w:lastRow="0" w:firstColumn="1" w:lastColumn="0" w:noHBand="0" w:noVBand="1"/>
      </w:tblPr>
      <w:tblGrid>
        <w:gridCol w:w="1672"/>
        <w:gridCol w:w="1673"/>
        <w:gridCol w:w="1675"/>
        <w:gridCol w:w="1680"/>
        <w:gridCol w:w="1686"/>
      </w:tblGrid>
      <w:tr w:rsidR="000D0326" w:rsidRPr="000D0326" w14:paraId="246087F1" w14:textId="77777777" w:rsidTr="000D0326">
        <w:tc>
          <w:tcPr>
            <w:tcW w:w="1723" w:type="dxa"/>
            <w:shd w:val="clear" w:color="auto" w:fill="F2F2F2" w:themeFill="background1" w:themeFillShade="F2"/>
          </w:tcPr>
          <w:p w14:paraId="63641DCA" w14:textId="2945D928" w:rsidR="004F0F32" w:rsidRPr="0062571E" w:rsidRDefault="000D0326" w:rsidP="00EF6E14">
            <w:pPr>
              <w:pStyle w:val="Table"/>
              <w:keepNext/>
              <w:rPr>
                <w:b/>
                <w:color w:val="000000" w:themeColor="text1"/>
              </w:rPr>
            </w:pPr>
            <w:r>
              <w:rPr>
                <w:b/>
                <w:color w:val="000000" w:themeColor="text1"/>
              </w:rPr>
              <w:t>Materiale</w:t>
            </w:r>
          </w:p>
        </w:tc>
        <w:tc>
          <w:tcPr>
            <w:tcW w:w="1723" w:type="dxa"/>
            <w:shd w:val="clear" w:color="auto" w:fill="F2F2F2" w:themeFill="background1" w:themeFillShade="F2"/>
          </w:tcPr>
          <w:p w14:paraId="12D7C7D9" w14:textId="77777777" w:rsidR="004F0F32" w:rsidRPr="0062571E" w:rsidRDefault="004F0F32" w:rsidP="00EF6E14">
            <w:pPr>
              <w:pStyle w:val="Table"/>
              <w:keepNext/>
              <w:rPr>
                <w:b/>
                <w:color w:val="000000" w:themeColor="text1"/>
              </w:rPr>
            </w:pPr>
            <w:r w:rsidRPr="0062571E">
              <w:rPr>
                <w:b/>
                <w:color w:val="000000" w:themeColor="text1"/>
              </w:rPr>
              <w:t>Samlet antal analyser</w:t>
            </w:r>
          </w:p>
        </w:tc>
        <w:tc>
          <w:tcPr>
            <w:tcW w:w="1722" w:type="dxa"/>
            <w:shd w:val="clear" w:color="auto" w:fill="F2F2F2" w:themeFill="background1" w:themeFillShade="F2"/>
          </w:tcPr>
          <w:p w14:paraId="7B1A84CE" w14:textId="77777777" w:rsidR="004F0F32" w:rsidRPr="0062571E" w:rsidRDefault="004F0F32" w:rsidP="00EF6E14">
            <w:pPr>
              <w:pStyle w:val="Table"/>
              <w:keepNext/>
              <w:rPr>
                <w:b/>
                <w:color w:val="000000" w:themeColor="text1"/>
              </w:rPr>
            </w:pPr>
            <w:r w:rsidRPr="0062571E">
              <w:rPr>
                <w:b/>
                <w:color w:val="000000" w:themeColor="text1"/>
              </w:rPr>
              <w:t xml:space="preserve">Antal med påvist SCCP </w:t>
            </w:r>
          </w:p>
        </w:tc>
        <w:tc>
          <w:tcPr>
            <w:tcW w:w="1722" w:type="dxa"/>
            <w:shd w:val="clear" w:color="auto" w:fill="F2F2F2" w:themeFill="background1" w:themeFillShade="F2"/>
          </w:tcPr>
          <w:p w14:paraId="4365BCC9" w14:textId="77777777" w:rsidR="004F0F32" w:rsidRPr="0062571E" w:rsidRDefault="004F0F32" w:rsidP="00EF6E14">
            <w:pPr>
              <w:pStyle w:val="Table"/>
              <w:keepNext/>
              <w:rPr>
                <w:b/>
                <w:color w:val="000000" w:themeColor="text1"/>
              </w:rPr>
            </w:pPr>
            <w:r w:rsidRPr="0062571E">
              <w:rPr>
                <w:b/>
                <w:color w:val="000000" w:themeColor="text1"/>
              </w:rPr>
              <w:t xml:space="preserve">Antal med </w:t>
            </w:r>
            <w:r w:rsidRPr="0062571E">
              <w:rPr>
                <w:b/>
                <w:color w:val="000000" w:themeColor="text1"/>
              </w:rPr>
              <w:br/>
              <w:t>&gt; 10.000 mg/kg</w:t>
            </w:r>
          </w:p>
        </w:tc>
        <w:tc>
          <w:tcPr>
            <w:tcW w:w="1722" w:type="dxa"/>
            <w:shd w:val="clear" w:color="auto" w:fill="F2F2F2" w:themeFill="background1" w:themeFillShade="F2"/>
          </w:tcPr>
          <w:p w14:paraId="31083EDE" w14:textId="77777777" w:rsidR="004F0F32" w:rsidRPr="0062571E" w:rsidRDefault="004F0F32" w:rsidP="00EF6E14">
            <w:pPr>
              <w:pStyle w:val="Table"/>
              <w:keepNext/>
              <w:rPr>
                <w:b/>
                <w:color w:val="000000" w:themeColor="text1"/>
              </w:rPr>
            </w:pPr>
            <w:r w:rsidRPr="0062571E">
              <w:rPr>
                <w:b/>
                <w:color w:val="000000" w:themeColor="text1"/>
              </w:rPr>
              <w:t>Antal med</w:t>
            </w:r>
            <w:r w:rsidRPr="0062571E">
              <w:rPr>
                <w:b/>
                <w:color w:val="000000" w:themeColor="text1"/>
              </w:rPr>
              <w:br/>
              <w:t>&gt; 100.000 mg/kg</w:t>
            </w:r>
          </w:p>
        </w:tc>
      </w:tr>
      <w:tr w:rsidR="004F0F32" w:rsidRPr="00B2183A" w14:paraId="21F7AD9B" w14:textId="77777777" w:rsidTr="00EF6E14">
        <w:tc>
          <w:tcPr>
            <w:tcW w:w="1723" w:type="dxa"/>
          </w:tcPr>
          <w:p w14:paraId="264BF25B" w14:textId="77777777" w:rsidR="004F0F32" w:rsidRPr="00B2183A" w:rsidRDefault="004F0F32" w:rsidP="00EF6E14">
            <w:pPr>
              <w:pStyle w:val="Table"/>
              <w:keepNext/>
            </w:pPr>
            <w:r w:rsidRPr="00B2183A">
              <w:t>Fuger</w:t>
            </w:r>
          </w:p>
        </w:tc>
        <w:tc>
          <w:tcPr>
            <w:tcW w:w="1723" w:type="dxa"/>
          </w:tcPr>
          <w:p w14:paraId="4A9D63AD" w14:textId="77777777" w:rsidR="004F0F32" w:rsidRPr="00B2183A" w:rsidRDefault="004F0F32" w:rsidP="00EF6E14">
            <w:pPr>
              <w:pStyle w:val="Table"/>
              <w:keepNext/>
              <w:jc w:val="center"/>
            </w:pPr>
            <w:r w:rsidRPr="00B2183A">
              <w:t>563</w:t>
            </w:r>
          </w:p>
        </w:tc>
        <w:tc>
          <w:tcPr>
            <w:tcW w:w="1722" w:type="dxa"/>
          </w:tcPr>
          <w:p w14:paraId="1305BCCA" w14:textId="77777777" w:rsidR="004F0F32" w:rsidRPr="00B2183A" w:rsidRDefault="004F0F32" w:rsidP="00EF6E14">
            <w:pPr>
              <w:pStyle w:val="Table"/>
              <w:keepNext/>
              <w:jc w:val="center"/>
            </w:pPr>
            <w:r w:rsidRPr="00B2183A">
              <w:t>162</w:t>
            </w:r>
            <w:r w:rsidRPr="00B2183A">
              <w:br/>
              <w:t>(29%)</w:t>
            </w:r>
          </w:p>
        </w:tc>
        <w:tc>
          <w:tcPr>
            <w:tcW w:w="1722" w:type="dxa"/>
          </w:tcPr>
          <w:p w14:paraId="5E285C29" w14:textId="77777777" w:rsidR="004F0F32" w:rsidRPr="00B2183A" w:rsidRDefault="004F0F32" w:rsidP="00EF6E14">
            <w:pPr>
              <w:pStyle w:val="Table"/>
              <w:keepNext/>
              <w:jc w:val="center"/>
            </w:pPr>
            <w:r w:rsidRPr="00B2183A">
              <w:t>113</w:t>
            </w:r>
            <w:r w:rsidRPr="00B2183A">
              <w:br/>
              <w:t>(20%)</w:t>
            </w:r>
          </w:p>
        </w:tc>
        <w:tc>
          <w:tcPr>
            <w:tcW w:w="1722" w:type="dxa"/>
          </w:tcPr>
          <w:p w14:paraId="4D64755F" w14:textId="77777777" w:rsidR="004F0F32" w:rsidRPr="00B2183A" w:rsidRDefault="004F0F32" w:rsidP="00EF6E14">
            <w:pPr>
              <w:pStyle w:val="Table"/>
              <w:keepNext/>
              <w:jc w:val="center"/>
            </w:pPr>
            <w:r w:rsidRPr="00B2183A">
              <w:t>ikke angivet</w:t>
            </w:r>
          </w:p>
        </w:tc>
      </w:tr>
      <w:tr w:rsidR="004F0F32" w:rsidRPr="00B2183A" w14:paraId="4CCEDDE8" w14:textId="77777777" w:rsidTr="00EF6E14">
        <w:tc>
          <w:tcPr>
            <w:tcW w:w="1723" w:type="dxa"/>
          </w:tcPr>
          <w:p w14:paraId="35CBE2F5" w14:textId="77777777" w:rsidR="004F0F32" w:rsidRPr="00B2183A" w:rsidRDefault="004F0F32" w:rsidP="00EF6E14">
            <w:pPr>
              <w:pStyle w:val="Table"/>
              <w:keepNext/>
            </w:pPr>
            <w:r w:rsidRPr="00B2183A">
              <w:t>Maling</w:t>
            </w:r>
          </w:p>
        </w:tc>
        <w:tc>
          <w:tcPr>
            <w:tcW w:w="1723" w:type="dxa"/>
          </w:tcPr>
          <w:p w14:paraId="69CEAE10" w14:textId="6EC63EBC" w:rsidR="004F0F32" w:rsidRPr="00B2183A" w:rsidRDefault="000D0326" w:rsidP="00EF6E14">
            <w:pPr>
              <w:pStyle w:val="Table"/>
              <w:keepNext/>
              <w:jc w:val="center"/>
            </w:pPr>
            <w:r>
              <w:t>132</w:t>
            </w:r>
          </w:p>
        </w:tc>
        <w:tc>
          <w:tcPr>
            <w:tcW w:w="1722" w:type="dxa"/>
          </w:tcPr>
          <w:p w14:paraId="38F88C95" w14:textId="77777777" w:rsidR="004F0F32" w:rsidRPr="00B2183A" w:rsidRDefault="004F0F32" w:rsidP="00EF6E14">
            <w:pPr>
              <w:pStyle w:val="Table"/>
              <w:keepNext/>
              <w:jc w:val="center"/>
            </w:pPr>
            <w:r w:rsidRPr="00B2183A">
              <w:t xml:space="preserve">3 </w:t>
            </w:r>
            <w:r w:rsidRPr="00B2183A">
              <w:br/>
              <w:t>(2%)</w:t>
            </w:r>
          </w:p>
        </w:tc>
        <w:tc>
          <w:tcPr>
            <w:tcW w:w="1722" w:type="dxa"/>
          </w:tcPr>
          <w:p w14:paraId="3235F1C4" w14:textId="77777777" w:rsidR="004F0F32" w:rsidRPr="00B2183A" w:rsidRDefault="004F0F32" w:rsidP="00EF6E14">
            <w:pPr>
              <w:pStyle w:val="Table"/>
              <w:keepNext/>
              <w:jc w:val="center"/>
            </w:pPr>
            <w:r w:rsidRPr="00B2183A">
              <w:t>2</w:t>
            </w:r>
            <w:r w:rsidRPr="00B2183A">
              <w:br/>
              <w:t>(2%)</w:t>
            </w:r>
          </w:p>
        </w:tc>
        <w:tc>
          <w:tcPr>
            <w:tcW w:w="1722" w:type="dxa"/>
          </w:tcPr>
          <w:p w14:paraId="5A88CA89" w14:textId="77777777" w:rsidR="004F0F32" w:rsidRPr="00B2183A" w:rsidRDefault="004F0F32" w:rsidP="00EF6E14">
            <w:pPr>
              <w:pStyle w:val="Table"/>
              <w:keepNext/>
              <w:jc w:val="center"/>
            </w:pPr>
            <w:r w:rsidRPr="00B2183A">
              <w:t>ikke angivet</w:t>
            </w:r>
          </w:p>
        </w:tc>
      </w:tr>
      <w:tr w:rsidR="004F0F32" w:rsidRPr="00B2183A" w14:paraId="4ABBA288" w14:textId="77777777" w:rsidTr="00EF6E14">
        <w:tc>
          <w:tcPr>
            <w:tcW w:w="1723" w:type="dxa"/>
          </w:tcPr>
          <w:p w14:paraId="3723FBF4" w14:textId="77777777" w:rsidR="004F0F32" w:rsidRPr="00B2183A" w:rsidRDefault="004F0F32" w:rsidP="00EF6E14">
            <w:pPr>
              <w:pStyle w:val="Table"/>
              <w:keepNext/>
            </w:pPr>
            <w:r w:rsidRPr="00B2183A">
              <w:t>Gulvbelægning</w:t>
            </w:r>
          </w:p>
        </w:tc>
        <w:tc>
          <w:tcPr>
            <w:tcW w:w="1723" w:type="dxa"/>
          </w:tcPr>
          <w:p w14:paraId="7A857DFA" w14:textId="77777777" w:rsidR="004F0F32" w:rsidRPr="00B2183A" w:rsidRDefault="004F0F32" w:rsidP="00EF6E14">
            <w:pPr>
              <w:pStyle w:val="Table"/>
              <w:keepNext/>
              <w:jc w:val="center"/>
            </w:pPr>
            <w:r w:rsidRPr="00B2183A">
              <w:t>27</w:t>
            </w:r>
          </w:p>
        </w:tc>
        <w:tc>
          <w:tcPr>
            <w:tcW w:w="1722" w:type="dxa"/>
          </w:tcPr>
          <w:p w14:paraId="6E3EE4D1" w14:textId="77777777" w:rsidR="004F0F32" w:rsidRPr="00B2183A" w:rsidRDefault="004F0F32" w:rsidP="00EF6E14">
            <w:pPr>
              <w:pStyle w:val="Table"/>
              <w:keepNext/>
              <w:jc w:val="center"/>
            </w:pPr>
            <w:r w:rsidRPr="00B2183A">
              <w:t xml:space="preserve">2 </w:t>
            </w:r>
            <w:r w:rsidRPr="00B2183A">
              <w:br/>
              <w:t>(7%)</w:t>
            </w:r>
          </w:p>
        </w:tc>
        <w:tc>
          <w:tcPr>
            <w:tcW w:w="1722" w:type="dxa"/>
          </w:tcPr>
          <w:p w14:paraId="7DDD0FA5" w14:textId="77777777" w:rsidR="004F0F32" w:rsidRPr="00B2183A" w:rsidRDefault="004F0F32" w:rsidP="00EF6E14">
            <w:pPr>
              <w:pStyle w:val="Table"/>
              <w:keepNext/>
              <w:jc w:val="center"/>
            </w:pPr>
            <w:r w:rsidRPr="00B2183A">
              <w:t>0</w:t>
            </w:r>
            <w:r w:rsidRPr="00B2183A">
              <w:br/>
              <w:t>(0%)</w:t>
            </w:r>
          </w:p>
        </w:tc>
        <w:tc>
          <w:tcPr>
            <w:tcW w:w="1722" w:type="dxa"/>
          </w:tcPr>
          <w:p w14:paraId="24AE3889" w14:textId="77777777" w:rsidR="004F0F32" w:rsidRPr="00B2183A" w:rsidRDefault="004F0F32" w:rsidP="00EF6E14">
            <w:pPr>
              <w:pStyle w:val="Table"/>
              <w:keepNext/>
              <w:jc w:val="center"/>
            </w:pPr>
            <w:r w:rsidRPr="00B2183A">
              <w:t>ikke angivet</w:t>
            </w:r>
          </w:p>
        </w:tc>
      </w:tr>
      <w:tr w:rsidR="004F0F32" w:rsidRPr="00B2183A" w14:paraId="280BB8E9" w14:textId="77777777" w:rsidTr="00EF6E14">
        <w:tc>
          <w:tcPr>
            <w:tcW w:w="1723" w:type="dxa"/>
          </w:tcPr>
          <w:p w14:paraId="1B570F2E" w14:textId="77777777" w:rsidR="004F0F32" w:rsidRPr="00B2183A" w:rsidRDefault="004F0F32" w:rsidP="00EF6E14">
            <w:pPr>
              <w:pStyle w:val="Table"/>
            </w:pPr>
            <w:r w:rsidRPr="00B2183A">
              <w:t>Klæber til gulvbelægning</w:t>
            </w:r>
          </w:p>
        </w:tc>
        <w:tc>
          <w:tcPr>
            <w:tcW w:w="1723" w:type="dxa"/>
          </w:tcPr>
          <w:p w14:paraId="75EE0E08" w14:textId="77777777" w:rsidR="004F0F32" w:rsidRPr="00B2183A" w:rsidRDefault="004F0F32" w:rsidP="00EF6E14">
            <w:pPr>
              <w:pStyle w:val="Table"/>
              <w:jc w:val="center"/>
            </w:pPr>
            <w:r w:rsidRPr="00B2183A">
              <w:t>15</w:t>
            </w:r>
          </w:p>
        </w:tc>
        <w:tc>
          <w:tcPr>
            <w:tcW w:w="1722" w:type="dxa"/>
          </w:tcPr>
          <w:p w14:paraId="489D3D32" w14:textId="77777777" w:rsidR="004F0F32" w:rsidRPr="00B2183A" w:rsidRDefault="004F0F32" w:rsidP="00EF6E14">
            <w:pPr>
              <w:pStyle w:val="Table"/>
              <w:jc w:val="center"/>
            </w:pPr>
            <w:r w:rsidRPr="00B2183A">
              <w:t xml:space="preserve">3 </w:t>
            </w:r>
            <w:r w:rsidRPr="00B2183A">
              <w:br/>
              <w:t>(25%)</w:t>
            </w:r>
          </w:p>
        </w:tc>
        <w:tc>
          <w:tcPr>
            <w:tcW w:w="1722" w:type="dxa"/>
          </w:tcPr>
          <w:p w14:paraId="53417D68" w14:textId="77777777" w:rsidR="004F0F32" w:rsidRPr="00B2183A" w:rsidRDefault="004F0F32" w:rsidP="00EF6E14">
            <w:pPr>
              <w:pStyle w:val="Table"/>
              <w:jc w:val="center"/>
            </w:pPr>
            <w:r w:rsidRPr="00B2183A">
              <w:t>1</w:t>
            </w:r>
            <w:r w:rsidRPr="00B2183A">
              <w:br/>
              <w:t>(7%)</w:t>
            </w:r>
          </w:p>
        </w:tc>
        <w:tc>
          <w:tcPr>
            <w:tcW w:w="1722" w:type="dxa"/>
          </w:tcPr>
          <w:p w14:paraId="1274DB3F" w14:textId="77777777" w:rsidR="004F0F32" w:rsidRPr="00B2183A" w:rsidRDefault="004F0F32" w:rsidP="00EF6E14">
            <w:pPr>
              <w:pStyle w:val="Table"/>
              <w:jc w:val="center"/>
            </w:pPr>
            <w:r w:rsidRPr="00B2183A">
              <w:t>ikke angivet</w:t>
            </w:r>
          </w:p>
        </w:tc>
      </w:tr>
      <w:tr w:rsidR="004F0F32" w:rsidRPr="00B2183A" w14:paraId="52907B8A" w14:textId="77777777" w:rsidTr="00EF6E14">
        <w:tc>
          <w:tcPr>
            <w:tcW w:w="1723" w:type="dxa"/>
          </w:tcPr>
          <w:p w14:paraId="64C17EE3" w14:textId="77777777" w:rsidR="004F0F32" w:rsidRPr="00B2183A" w:rsidRDefault="004F0F32" w:rsidP="00EF6E14">
            <w:pPr>
              <w:pStyle w:val="Table"/>
            </w:pPr>
            <w:r w:rsidRPr="00B2183A">
              <w:t>Gulvlak</w:t>
            </w:r>
          </w:p>
        </w:tc>
        <w:tc>
          <w:tcPr>
            <w:tcW w:w="1723" w:type="dxa"/>
          </w:tcPr>
          <w:p w14:paraId="6E2DA5CD" w14:textId="77777777" w:rsidR="004F0F32" w:rsidRPr="00B2183A" w:rsidRDefault="004F0F32" w:rsidP="00EF6E14">
            <w:pPr>
              <w:pStyle w:val="Table"/>
              <w:jc w:val="center"/>
            </w:pPr>
            <w:r w:rsidRPr="00B2183A">
              <w:t>3</w:t>
            </w:r>
          </w:p>
        </w:tc>
        <w:tc>
          <w:tcPr>
            <w:tcW w:w="1722" w:type="dxa"/>
          </w:tcPr>
          <w:p w14:paraId="683E936B" w14:textId="77777777" w:rsidR="004F0F32" w:rsidRPr="00B2183A" w:rsidRDefault="004F0F32" w:rsidP="00EF6E14">
            <w:pPr>
              <w:pStyle w:val="Table"/>
              <w:jc w:val="center"/>
            </w:pPr>
            <w:r w:rsidRPr="00B2183A">
              <w:t>0</w:t>
            </w:r>
          </w:p>
        </w:tc>
        <w:tc>
          <w:tcPr>
            <w:tcW w:w="1722" w:type="dxa"/>
          </w:tcPr>
          <w:p w14:paraId="43AA6A14" w14:textId="77777777" w:rsidR="004F0F32" w:rsidRPr="00B2183A" w:rsidRDefault="004F0F32" w:rsidP="00EF6E14">
            <w:pPr>
              <w:pStyle w:val="Table"/>
              <w:jc w:val="center"/>
            </w:pPr>
            <w:r w:rsidRPr="00B2183A">
              <w:t>0</w:t>
            </w:r>
          </w:p>
        </w:tc>
        <w:tc>
          <w:tcPr>
            <w:tcW w:w="1722" w:type="dxa"/>
          </w:tcPr>
          <w:p w14:paraId="7BB464EB" w14:textId="77777777" w:rsidR="004F0F32" w:rsidRPr="00B2183A" w:rsidRDefault="004F0F32" w:rsidP="00EF6E14">
            <w:pPr>
              <w:pStyle w:val="Table"/>
              <w:jc w:val="center"/>
            </w:pPr>
            <w:r w:rsidRPr="00B2183A">
              <w:t>ikke angivet</w:t>
            </w:r>
          </w:p>
        </w:tc>
      </w:tr>
      <w:tr w:rsidR="004F0F32" w:rsidRPr="00B2183A" w14:paraId="39CA7B32" w14:textId="77777777" w:rsidTr="00EF6E14">
        <w:tc>
          <w:tcPr>
            <w:tcW w:w="1723" w:type="dxa"/>
          </w:tcPr>
          <w:p w14:paraId="0BE033D4" w14:textId="77777777" w:rsidR="004F0F32" w:rsidRPr="00B2183A" w:rsidRDefault="004F0F32" w:rsidP="00EF6E14">
            <w:pPr>
              <w:pStyle w:val="Table"/>
            </w:pPr>
            <w:r w:rsidRPr="00B2183A">
              <w:t>Andre materialer</w:t>
            </w:r>
          </w:p>
        </w:tc>
        <w:tc>
          <w:tcPr>
            <w:tcW w:w="1723" w:type="dxa"/>
          </w:tcPr>
          <w:p w14:paraId="33310590" w14:textId="2D90C43F" w:rsidR="004F0F32" w:rsidRPr="00B2183A" w:rsidRDefault="000D0326" w:rsidP="00EF6E14">
            <w:pPr>
              <w:pStyle w:val="Table"/>
              <w:jc w:val="center"/>
            </w:pPr>
            <w:r>
              <w:t>3</w:t>
            </w:r>
          </w:p>
        </w:tc>
        <w:tc>
          <w:tcPr>
            <w:tcW w:w="1722" w:type="dxa"/>
          </w:tcPr>
          <w:p w14:paraId="7AAF2BF7" w14:textId="77777777" w:rsidR="004F0F32" w:rsidRPr="00B2183A" w:rsidRDefault="004F0F32" w:rsidP="00EF6E14">
            <w:pPr>
              <w:pStyle w:val="Table"/>
              <w:jc w:val="center"/>
            </w:pPr>
            <w:r w:rsidRPr="00B2183A">
              <w:t>ikke angivet</w:t>
            </w:r>
          </w:p>
        </w:tc>
        <w:tc>
          <w:tcPr>
            <w:tcW w:w="1722" w:type="dxa"/>
          </w:tcPr>
          <w:p w14:paraId="2D36ADF3" w14:textId="77777777" w:rsidR="004F0F32" w:rsidRPr="00B2183A" w:rsidRDefault="004F0F32" w:rsidP="00EF6E14">
            <w:pPr>
              <w:pStyle w:val="Table"/>
              <w:jc w:val="center"/>
            </w:pPr>
            <w:r w:rsidRPr="00B2183A">
              <w:t>ikke angivet</w:t>
            </w:r>
          </w:p>
        </w:tc>
        <w:tc>
          <w:tcPr>
            <w:tcW w:w="1722" w:type="dxa"/>
          </w:tcPr>
          <w:p w14:paraId="25BC09A3" w14:textId="77777777" w:rsidR="004F0F32" w:rsidRPr="00B2183A" w:rsidRDefault="004F0F32" w:rsidP="00EF6E14">
            <w:pPr>
              <w:pStyle w:val="Table"/>
              <w:jc w:val="center"/>
            </w:pPr>
            <w:r w:rsidRPr="00B2183A">
              <w:t>ikke angivet</w:t>
            </w:r>
          </w:p>
        </w:tc>
      </w:tr>
      <w:tr w:rsidR="004F0F32" w:rsidRPr="00196EBF" w14:paraId="206F32DD" w14:textId="77777777" w:rsidTr="00EF6E14">
        <w:tc>
          <w:tcPr>
            <w:tcW w:w="1723" w:type="dxa"/>
          </w:tcPr>
          <w:p w14:paraId="27E503DC" w14:textId="77777777" w:rsidR="004F0F32" w:rsidRPr="00B2183A" w:rsidRDefault="004F0F32" w:rsidP="00EF6E14">
            <w:pPr>
              <w:pStyle w:val="Table"/>
            </w:pPr>
            <w:r w:rsidRPr="00B2183A">
              <w:t>Alle materialer</w:t>
            </w:r>
          </w:p>
        </w:tc>
        <w:tc>
          <w:tcPr>
            <w:tcW w:w="1723" w:type="dxa"/>
          </w:tcPr>
          <w:p w14:paraId="17D1C878" w14:textId="77777777" w:rsidR="004F0F32" w:rsidRPr="00B2183A" w:rsidRDefault="004F0F32" w:rsidP="00EF6E14">
            <w:pPr>
              <w:pStyle w:val="Table"/>
              <w:jc w:val="center"/>
            </w:pPr>
            <w:r w:rsidRPr="00B2183A">
              <w:t>743</w:t>
            </w:r>
          </w:p>
        </w:tc>
        <w:tc>
          <w:tcPr>
            <w:tcW w:w="1722" w:type="dxa"/>
          </w:tcPr>
          <w:p w14:paraId="66046A40" w14:textId="77777777" w:rsidR="004F0F32" w:rsidRPr="00B2183A" w:rsidRDefault="004F0F32" w:rsidP="00EF6E14">
            <w:pPr>
              <w:pStyle w:val="Table"/>
              <w:jc w:val="center"/>
            </w:pPr>
            <w:r w:rsidRPr="00B2183A">
              <w:t xml:space="preserve">573 </w:t>
            </w:r>
            <w:r w:rsidRPr="00B2183A">
              <w:br/>
              <w:t>(77%)</w:t>
            </w:r>
          </w:p>
        </w:tc>
        <w:tc>
          <w:tcPr>
            <w:tcW w:w="1722" w:type="dxa"/>
          </w:tcPr>
          <w:p w14:paraId="526CFE1A" w14:textId="77777777" w:rsidR="004F0F32" w:rsidRPr="00B2183A" w:rsidRDefault="004F0F32" w:rsidP="00EF6E14">
            <w:pPr>
              <w:pStyle w:val="Table"/>
              <w:jc w:val="center"/>
            </w:pPr>
            <w:r w:rsidRPr="00B2183A">
              <w:t>170</w:t>
            </w:r>
            <w:r w:rsidRPr="00B2183A">
              <w:br/>
              <w:t>(23%)</w:t>
            </w:r>
          </w:p>
        </w:tc>
        <w:tc>
          <w:tcPr>
            <w:tcW w:w="1722" w:type="dxa"/>
          </w:tcPr>
          <w:p w14:paraId="3A5D1804" w14:textId="77777777" w:rsidR="004F0F32" w:rsidRPr="00B2183A" w:rsidRDefault="004F0F32" w:rsidP="00EF6E14">
            <w:pPr>
              <w:pStyle w:val="Table"/>
              <w:jc w:val="center"/>
            </w:pPr>
            <w:r w:rsidRPr="00B2183A">
              <w:t>31</w:t>
            </w:r>
            <w:r w:rsidRPr="00B2183A">
              <w:br/>
              <w:t>(4%)</w:t>
            </w:r>
          </w:p>
        </w:tc>
      </w:tr>
    </w:tbl>
    <w:p w14:paraId="06B79A2C" w14:textId="77777777" w:rsidR="00693C9D" w:rsidRDefault="00693C9D" w:rsidP="00653C3A">
      <w:pPr>
        <w:pStyle w:val="Brdtekst"/>
      </w:pPr>
    </w:p>
    <w:p w14:paraId="7F5D0767" w14:textId="33BE325E" w:rsidR="004F0F32" w:rsidRDefault="004F0F32" w:rsidP="00653C3A">
      <w:pPr>
        <w:pStyle w:val="Brdtekst"/>
      </w:pPr>
      <w:r>
        <w:t>SCCP er i Sverige fundet i relativt lave koncentrationer i indendørsluft</w:t>
      </w:r>
      <w:r w:rsidR="00B82DC4">
        <w:t>,</w:t>
      </w:r>
      <w:r>
        <w:t xml:space="preserve"> og SCCP i byggematerialer vurderes generelt ikke at </w:t>
      </w:r>
      <w:r w:rsidR="009F577E">
        <w:t>give</w:t>
      </w:r>
      <w:r>
        <w:t xml:space="preserve"> anledning til bekymring i relation til indeklima. </w:t>
      </w:r>
    </w:p>
    <w:p w14:paraId="36219D1E" w14:textId="3885B421" w:rsidR="00D874D0" w:rsidRDefault="00D874D0" w:rsidP="00653C3A">
      <w:pPr>
        <w:pStyle w:val="Brdtekst"/>
      </w:pPr>
      <w:r w:rsidRPr="009E41E2">
        <w:t>Affald med SCCP i koncentrationer over 10</w:t>
      </w:r>
      <w:r w:rsidR="00235AD6">
        <w:t>.</w:t>
      </w:r>
      <w:r w:rsidRPr="009E41E2">
        <w:t xml:space="preserve">000 mg/kg er i Danmark </w:t>
      </w:r>
      <w:r>
        <w:t xml:space="preserve">og i resten af EU </w:t>
      </w:r>
      <w:r w:rsidRPr="009E41E2">
        <w:t>karakteriseret som farligt affald</w:t>
      </w:r>
      <w:r>
        <w:t>. Til sammenligning er grænseværdien for PCB (som i byggematerialer indgår med koncentrationer i samme størrelsesorden som SCCP) på 50 mg/kg. Den lave grænseværdi for PCB sammenlignet med koncentrationen af PCB i byggematerialerne, betyder</w:t>
      </w:r>
      <w:r w:rsidR="00D814A6">
        <w:t>,</w:t>
      </w:r>
      <w:r>
        <w:t xml:space="preserve"> at koncentrationen i omgivende materialer som beton eller tegl ofte er højere end grænseværdien</w:t>
      </w:r>
      <w:r w:rsidR="00D814A6">
        <w:t xml:space="preserve"> og skal fjernes selektivt</w:t>
      </w:r>
      <w:r>
        <w:t xml:space="preserve">. Dette er ikke en </w:t>
      </w:r>
      <w:r w:rsidR="00235AD6">
        <w:t xml:space="preserve">relevant </w:t>
      </w:r>
      <w:r>
        <w:t>problematik i relation til SCCP, hvor koncentrationen i omgivende materialer</w:t>
      </w:r>
      <w:r w:rsidR="00D814A6">
        <w:t xml:space="preserve"> typisk</w:t>
      </w:r>
      <w:r>
        <w:t xml:space="preserve"> er mindre end </w:t>
      </w:r>
      <w:r w:rsidR="00D814A6" w:rsidRPr="009E41E2">
        <w:t>10</w:t>
      </w:r>
      <w:r w:rsidR="00235AD6">
        <w:t>.</w:t>
      </w:r>
      <w:r w:rsidR="00D814A6" w:rsidRPr="009E41E2">
        <w:t>000 mg/kg</w:t>
      </w:r>
      <w:r w:rsidR="00D814A6">
        <w:t>, således at der kun er behov for selektivt at håndtere det SCCP-</w:t>
      </w:r>
      <w:proofErr w:type="spellStart"/>
      <w:r w:rsidR="00D814A6">
        <w:t>holdige</w:t>
      </w:r>
      <w:proofErr w:type="spellEnd"/>
      <w:r w:rsidR="00D814A6">
        <w:t xml:space="preserve"> materiale.</w:t>
      </w:r>
    </w:p>
    <w:p w14:paraId="64AE3147" w14:textId="4EBFC362" w:rsidR="00554EF4" w:rsidRDefault="00554EF4" w:rsidP="0062571E">
      <w:pPr>
        <w:pStyle w:val="Overskrift3"/>
      </w:pPr>
      <w:r>
        <w:t>Overslag over omkostninger</w:t>
      </w:r>
    </w:p>
    <w:p w14:paraId="45CEAC3E" w14:textId="7C5C1F31" w:rsidR="00515AE8" w:rsidRPr="0062571E" w:rsidRDefault="00735527">
      <w:pPr>
        <w:pStyle w:val="Brdtekst"/>
      </w:pPr>
      <w:r>
        <w:t xml:space="preserve">Kortkædede </w:t>
      </w:r>
      <w:proofErr w:type="spellStart"/>
      <w:r>
        <w:t>chlor</w:t>
      </w:r>
      <w:r w:rsidR="00DA7B96" w:rsidRPr="009C7C2E">
        <w:t>paraffiner</w:t>
      </w:r>
      <w:proofErr w:type="spellEnd"/>
      <w:r w:rsidR="00DA7B96" w:rsidRPr="009C7C2E">
        <w:t xml:space="preserve"> er </w:t>
      </w:r>
      <w:r w:rsidR="000D0326" w:rsidRPr="0062571E">
        <w:t>klassificeret som k</w:t>
      </w:r>
      <w:r w:rsidR="00DA7B96" w:rsidRPr="009C7C2E">
        <w:t>ræftfrem</w:t>
      </w:r>
      <w:r w:rsidR="000D0326" w:rsidRPr="0062571E">
        <w:t>k</w:t>
      </w:r>
      <w:r w:rsidR="00DA7B96" w:rsidRPr="009C7C2E">
        <w:t>alde</w:t>
      </w:r>
      <w:r w:rsidR="000D0326" w:rsidRPr="0062571E">
        <w:t>nde</w:t>
      </w:r>
      <w:r w:rsidR="00DA7B96" w:rsidRPr="009C7C2E">
        <w:t xml:space="preserve"> og </w:t>
      </w:r>
      <w:r w:rsidR="000D0326" w:rsidRPr="0062571E">
        <w:t>dermed omfattet af Arbejdstilsyne</w:t>
      </w:r>
      <w:r w:rsidR="00DA7B96" w:rsidRPr="009C7C2E">
        <w:t xml:space="preserve">ts </w:t>
      </w:r>
      <w:r w:rsidR="000D0326" w:rsidRPr="0062571E">
        <w:t>regler</w:t>
      </w:r>
      <w:r w:rsidR="00DA7B96" w:rsidRPr="009C7C2E">
        <w:t xml:space="preserve"> o</w:t>
      </w:r>
      <w:r w:rsidR="000D0326" w:rsidRPr="0062571E">
        <w:t xml:space="preserve">m arbejde med kræftfremkaldende stoffer. </w:t>
      </w:r>
      <w:r w:rsidR="00743310" w:rsidRPr="000A62AC">
        <w:t>D</w:t>
      </w:r>
      <w:r w:rsidR="00743310">
        <w:t>isse regler</w:t>
      </w:r>
      <w:r w:rsidR="009C7C2E" w:rsidRPr="0062571E">
        <w:t xml:space="preserve"> gælder også for Grønland. </w:t>
      </w:r>
      <w:r w:rsidR="00743310" w:rsidRPr="007C579E">
        <w:t>Dette indebærer, at der ved nedrivninger og renoveringer skal etableres særlige arbejdsmiljøforanstaltninger</w:t>
      </w:r>
      <w:r w:rsidR="00743310">
        <w:t>, og i Danmark anvendes der generelt samme foranstaltninger som ved arbejde med PCB</w:t>
      </w:r>
      <w:r w:rsidR="00743310" w:rsidRPr="007C579E">
        <w:t xml:space="preserve">. </w:t>
      </w:r>
      <w:r w:rsidR="009C7C2E" w:rsidRPr="0062571E">
        <w:t xml:space="preserve">Udviklingen i Danmark </w:t>
      </w:r>
      <w:r w:rsidR="00235AD6">
        <w:t xml:space="preserve">har i </w:t>
      </w:r>
      <w:r w:rsidR="009C7C2E" w:rsidRPr="0062571E">
        <w:t xml:space="preserve">de seneste år </w:t>
      </w:r>
      <w:r w:rsidR="00235AD6">
        <w:t>været</w:t>
      </w:r>
      <w:r w:rsidR="00764646">
        <w:t>,</w:t>
      </w:r>
      <w:r w:rsidR="009C7C2E" w:rsidRPr="0062571E">
        <w:t xml:space="preserve"> at der i stigende grad analyseres for SCCP i forbindelse med renoveringer og nedbrydninger; dels for at sikre de rette arbejdsmiljøforanstaltninger, dels for selektivt at bortskaffe SCCP-</w:t>
      </w:r>
      <w:proofErr w:type="spellStart"/>
      <w:r w:rsidR="009C7C2E" w:rsidRPr="0062571E">
        <w:t>holdige</w:t>
      </w:r>
      <w:proofErr w:type="spellEnd"/>
      <w:r w:rsidR="009C7C2E" w:rsidRPr="0062571E">
        <w:t xml:space="preserve"> materialer. </w:t>
      </w:r>
    </w:p>
    <w:p w14:paraId="045B4185" w14:textId="32AEEC22" w:rsidR="009C7C2E" w:rsidRDefault="009C7C2E">
      <w:pPr>
        <w:pStyle w:val="Brdtekst"/>
        <w:rPr>
          <w:highlight w:val="yellow"/>
        </w:rPr>
      </w:pPr>
      <w:r w:rsidRPr="0062571E">
        <w:lastRenderedPageBreak/>
        <w:t xml:space="preserve">Der foreligger ikke nogen </w:t>
      </w:r>
      <w:r>
        <w:t>erfaringer med SCCP i byggeriet i Grønland</w:t>
      </w:r>
      <w:r w:rsidR="00B82DC4">
        <w:t>,</w:t>
      </w:r>
      <w:r>
        <w:t xml:space="preserve"> og der findes ingen vejledning om håndtering af SCCP-</w:t>
      </w:r>
      <w:proofErr w:type="spellStart"/>
      <w:r>
        <w:t>holdige</w:t>
      </w:r>
      <w:proofErr w:type="spellEnd"/>
      <w:r>
        <w:t xml:space="preserve"> materialer. </w:t>
      </w:r>
    </w:p>
    <w:p w14:paraId="1A373B16" w14:textId="460AC447" w:rsidR="009C7C2E" w:rsidRPr="0062571E" w:rsidRDefault="002D367A">
      <w:pPr>
        <w:pStyle w:val="Brdtekst"/>
      </w:pPr>
      <w:r w:rsidRPr="0062571E">
        <w:t>Arbejdsmiljøforanstaltninger i relation til arbejde med materialer</w:t>
      </w:r>
      <w:r w:rsidR="00B82DC4">
        <w:t>,</w:t>
      </w:r>
      <w:r w:rsidRPr="0062571E">
        <w:t xml:space="preserve"> som indeholder SCCP</w:t>
      </w:r>
      <w:r w:rsidR="00B82DC4">
        <w:t>,</w:t>
      </w:r>
      <w:r w:rsidRPr="0062571E">
        <w:t xml:space="preserve"> vil ikke være en konsekvens af </w:t>
      </w:r>
      <w:r w:rsidR="004F2E6E">
        <w:t>at tiltræde konventionen</w:t>
      </w:r>
      <w:r w:rsidR="00D874D0" w:rsidRPr="0062571E">
        <w:t>,</w:t>
      </w:r>
      <w:r w:rsidRPr="0062571E">
        <w:t xml:space="preserve"> men følger af eksisterende regler.</w:t>
      </w:r>
    </w:p>
    <w:p w14:paraId="0CC2578C" w14:textId="7C5AFED8" w:rsidR="009C7C2E" w:rsidRDefault="009D3132">
      <w:pPr>
        <w:pStyle w:val="Brdtekst"/>
        <w:rPr>
          <w:highlight w:val="yellow"/>
        </w:rPr>
      </w:pPr>
      <w:r>
        <w:t>Der er stadig en vis usikkerhed om</w:t>
      </w:r>
      <w:r w:rsidR="00853C12">
        <w:t>,</w:t>
      </w:r>
      <w:r>
        <w:t xml:space="preserve"> hvor effektivt </w:t>
      </w:r>
      <w:r w:rsidR="002D367A" w:rsidRPr="0062571E">
        <w:t xml:space="preserve">SCCP </w:t>
      </w:r>
      <w:r>
        <w:t xml:space="preserve">destrueres </w:t>
      </w:r>
      <w:r w:rsidR="002D367A" w:rsidRPr="0062571E">
        <w:t>i forbrændingsanlæg til almindeligt husholdningsaffald</w:t>
      </w:r>
      <w:r>
        <w:t xml:space="preserve"> og en undersøgelse af dette er </w:t>
      </w:r>
      <w:r w:rsidR="00960842">
        <w:t>igangsat i Danmark</w:t>
      </w:r>
      <w:r w:rsidR="002D367A" w:rsidRPr="0062571E">
        <w:t>. Det vurderes</w:t>
      </w:r>
      <w:r w:rsidR="00960842">
        <w:t>, at de eksisterende anlæg i Grønland næppe er effektive nok til at destruere SCCP. D</w:t>
      </w:r>
      <w:r w:rsidR="002D367A" w:rsidRPr="0062571E">
        <w:t>et skal sikres at affaldet forbrændes i et anlæg med den fornødne temperatur og opholdstid</w:t>
      </w:r>
      <w:r w:rsidR="00960842">
        <w:t>, og i praksis vil det betyde at SCCP-</w:t>
      </w:r>
      <w:proofErr w:type="spellStart"/>
      <w:r w:rsidR="00960842">
        <w:t>holdige</w:t>
      </w:r>
      <w:proofErr w:type="spellEnd"/>
      <w:r w:rsidR="00960842">
        <w:t xml:space="preserve"> fuger, ligesom </w:t>
      </w:r>
      <w:proofErr w:type="spellStart"/>
      <w:r w:rsidR="00960842">
        <w:t>PCB-holdige</w:t>
      </w:r>
      <w:proofErr w:type="spellEnd"/>
      <w:r w:rsidR="00960842">
        <w:t>, skal eksporteres som farligt affald</w:t>
      </w:r>
      <w:r w:rsidR="00B42EEA">
        <w:t xml:space="preserve"> med henblik på acceptabel destruktion</w:t>
      </w:r>
      <w:r w:rsidR="00960842">
        <w:t xml:space="preserve">. </w:t>
      </w:r>
    </w:p>
    <w:p w14:paraId="068C2C0E" w14:textId="38A4B35E" w:rsidR="009C7C2E" w:rsidRDefault="00D814A6">
      <w:pPr>
        <w:pStyle w:val="Brdtekst"/>
      </w:pPr>
      <w:r w:rsidRPr="0062571E">
        <w:t>Som nævnt ovenfor er der ikke en problemstilling i relation til kontaminering af andre materialer, og der vil kun være behov for selektivt at bortskaffe SCCP-</w:t>
      </w:r>
      <w:proofErr w:type="spellStart"/>
      <w:r w:rsidRPr="0062571E">
        <w:t>holdige</w:t>
      </w:r>
      <w:proofErr w:type="spellEnd"/>
      <w:r w:rsidRPr="0062571E">
        <w:t xml:space="preserve"> materialer i forbindelse med renoveringer og nedrivninger. </w:t>
      </w:r>
    </w:p>
    <w:p w14:paraId="6A949348" w14:textId="2181E562" w:rsidR="00996A3C" w:rsidRDefault="00996A3C">
      <w:pPr>
        <w:pStyle w:val="Brdtekst"/>
      </w:pPr>
      <w:r>
        <w:t xml:space="preserve">Der vurderes i første omgang at være behov for at fastlægge, hvordan SCCP- </w:t>
      </w:r>
      <w:proofErr w:type="spellStart"/>
      <w:r>
        <w:t>holdige</w:t>
      </w:r>
      <w:proofErr w:type="spellEnd"/>
      <w:r>
        <w:t xml:space="preserve"> materialer i byggeriet skal håndteres i Grønland og </w:t>
      </w:r>
      <w:r w:rsidR="00B42EEA">
        <w:t xml:space="preserve">for </w:t>
      </w:r>
      <w:r w:rsidR="00235AD6">
        <w:t xml:space="preserve">at </w:t>
      </w:r>
      <w:r>
        <w:t>udarbejde en vejledning, der beskriver hvorledes materialerne skal håndteres. Da kortlægning og håndtering for en stor del af de bygninger, der skal nedrives i løbet af de næste ti</w:t>
      </w:r>
      <w:r w:rsidR="00235AD6">
        <w:t xml:space="preserve"> </w:t>
      </w:r>
      <w:r>
        <w:t>år, vil foregå i samspil med kortlægning af andre materialer, foreslås det at den eksisterende vejledning om håndtering af PCB i byggeriet udvides med en beskrivelse for SCCP. Omkostningerne til dette anslås til 0,1 mio. kr. Herudover vil der være omkostninger til selve kortlægningerne, der dog ikke vurderes at være en konsekvens af Stockholmkonventionens krav</w:t>
      </w:r>
      <w:r w:rsidR="00235AD6">
        <w:t>,</w:t>
      </w:r>
      <w:r>
        <w:t xml:space="preserve"> men </w:t>
      </w:r>
      <w:r w:rsidR="00235AD6">
        <w:t xml:space="preserve">følger af </w:t>
      </w:r>
      <w:r>
        <w:t xml:space="preserve">allerede gældende arbejdsmiljøkrav. </w:t>
      </w:r>
    </w:p>
    <w:p w14:paraId="53FDE825" w14:textId="2618BA53" w:rsidR="00554EF4" w:rsidRPr="00554EF4" w:rsidRDefault="00996A3C">
      <w:pPr>
        <w:pStyle w:val="Brdtekst"/>
      </w:pPr>
      <w:r>
        <w:t xml:space="preserve">Det skal i forbindelse med ovennævnte aktivitet afklares, om SCCP kan bortskaffes til forbrændingsanlæg i Grønland inden for rammerne af </w:t>
      </w:r>
      <w:r w:rsidR="00EA6FEC">
        <w:t xml:space="preserve">anlæggenes </w:t>
      </w:r>
      <w:r>
        <w:t>m</w:t>
      </w:r>
      <w:r w:rsidR="00EA6FEC">
        <w:t>i</w:t>
      </w:r>
      <w:r>
        <w:t xml:space="preserve">ljøgodkendelser. </w:t>
      </w:r>
      <w:r w:rsidR="00EA6FEC">
        <w:t>Følgende overslag er udarbejde</w:t>
      </w:r>
      <w:r w:rsidR="00AA2F4F">
        <w:t>t</w:t>
      </w:r>
      <w:r w:rsidR="00EA6FEC">
        <w:t xml:space="preserve"> under forudsætning af</w:t>
      </w:r>
      <w:r w:rsidR="00AA2F4F">
        <w:t>,</w:t>
      </w:r>
      <w:r w:rsidR="00EA6FEC">
        <w:t xml:space="preserve"> at dette affald</w:t>
      </w:r>
      <w:r w:rsidR="00613711">
        <w:t xml:space="preserve"> ikke</w:t>
      </w:r>
      <w:r w:rsidR="00EA6FEC">
        <w:t xml:space="preserve"> kan forbrændes i </w:t>
      </w:r>
      <w:r w:rsidR="00AA2F4F">
        <w:t xml:space="preserve">eksisterende </w:t>
      </w:r>
      <w:r w:rsidR="00EA6FEC">
        <w:t>grønlandske anlæg. Samlet set anslås omkostningerne til selektiv</w:t>
      </w:r>
      <w:r w:rsidR="00613711">
        <w:t xml:space="preserve"> fjernelse fra bygningerne og</w:t>
      </w:r>
      <w:r w:rsidR="00EA6FEC">
        <w:t xml:space="preserve"> bortskaffelse, der vil kunne være en følge af </w:t>
      </w:r>
      <w:r w:rsidR="004F2E6E">
        <w:t>at tiltræde konventionen</w:t>
      </w:r>
      <w:r w:rsidR="00EA6FEC">
        <w:t xml:space="preserve">, groft at være i størrelsen </w:t>
      </w:r>
      <w:r w:rsidR="00FE08D5">
        <w:t>0,5-2</w:t>
      </w:r>
      <w:r w:rsidR="00EA6FEC">
        <w:t xml:space="preserve"> mio. kr. </w:t>
      </w:r>
    </w:p>
    <w:p w14:paraId="4E310EA6" w14:textId="72B90865" w:rsidR="00252A60" w:rsidRPr="00252A60" w:rsidRDefault="007121D1">
      <w:pPr>
        <w:pStyle w:val="Overskrift2"/>
      </w:pPr>
      <w:bookmarkStart w:id="89" w:name="_Toc469053547"/>
      <w:bookmarkStart w:id="90" w:name="_Toc469057828"/>
      <w:bookmarkStart w:id="91" w:name="_Toc469304926"/>
      <w:bookmarkStart w:id="92" w:name="_Toc10205721"/>
      <w:r>
        <w:t>A</w:t>
      </w:r>
      <w:r w:rsidR="001C7DA0">
        <w:t>ndre stoffer</w:t>
      </w:r>
      <w:bookmarkEnd w:id="89"/>
      <w:bookmarkEnd w:id="90"/>
      <w:bookmarkEnd w:id="91"/>
      <w:bookmarkEnd w:id="92"/>
    </w:p>
    <w:p w14:paraId="7D6CF7CA" w14:textId="77777777" w:rsidR="007121D1" w:rsidRDefault="00193271" w:rsidP="007121D1">
      <w:pPr>
        <w:pStyle w:val="Overskrift3"/>
      </w:pPr>
      <w:r>
        <w:t>P</w:t>
      </w:r>
      <w:r w:rsidR="007121D1">
        <w:t>esticider</w:t>
      </w:r>
    </w:p>
    <w:p w14:paraId="713BD3E5" w14:textId="382D05AE" w:rsidR="00AB0087" w:rsidRPr="00AB0087" w:rsidRDefault="003E6362" w:rsidP="005F0669">
      <w:pPr>
        <w:pStyle w:val="Brdtekst"/>
        <w:rPr>
          <w:lang w:eastAsia="en-US"/>
        </w:rPr>
      </w:pPr>
      <w:r>
        <w:rPr>
          <w:lang w:eastAsia="en-US"/>
        </w:rPr>
        <w:t>I følge konventionen er p</w:t>
      </w:r>
      <w:r w:rsidR="00E35BCD">
        <w:rPr>
          <w:lang w:eastAsia="en-US"/>
        </w:rPr>
        <w:t>arterne</w:t>
      </w:r>
      <w:r w:rsidR="00AB0087" w:rsidRPr="00AB0087">
        <w:rPr>
          <w:lang w:eastAsia="en-US"/>
        </w:rPr>
        <w:t xml:space="preserve"> forpligtet til at forbyde og/eller træffe de retslige og administrative foranstaltninger, der er nødvendige for at forbyde fremstilling, brug, import og eksport </w:t>
      </w:r>
      <w:r w:rsidR="0042440E">
        <w:rPr>
          <w:lang w:eastAsia="en-US"/>
        </w:rPr>
        <w:t xml:space="preserve">af </w:t>
      </w:r>
      <w:proofErr w:type="spellStart"/>
      <w:r w:rsidR="0042440E">
        <w:rPr>
          <w:lang w:eastAsia="en-US"/>
        </w:rPr>
        <w:t>aldrin</w:t>
      </w:r>
      <w:proofErr w:type="spellEnd"/>
      <w:r w:rsidR="0042440E">
        <w:rPr>
          <w:lang w:eastAsia="en-US"/>
        </w:rPr>
        <w:t xml:space="preserve">, </w:t>
      </w:r>
      <w:proofErr w:type="spellStart"/>
      <w:r w:rsidR="0042440E">
        <w:rPr>
          <w:lang w:eastAsia="en-US"/>
        </w:rPr>
        <w:t>chlordan</w:t>
      </w:r>
      <w:proofErr w:type="spellEnd"/>
      <w:r w:rsidR="0042440E">
        <w:rPr>
          <w:lang w:eastAsia="en-US"/>
        </w:rPr>
        <w:t xml:space="preserve">, </w:t>
      </w:r>
      <w:proofErr w:type="spellStart"/>
      <w:r w:rsidR="0042440E">
        <w:rPr>
          <w:lang w:eastAsia="en-US"/>
        </w:rPr>
        <w:t>chlordecon</w:t>
      </w:r>
      <w:proofErr w:type="spellEnd"/>
      <w:r w:rsidR="00AB0087" w:rsidRPr="00AB0087">
        <w:rPr>
          <w:lang w:eastAsia="en-US"/>
        </w:rPr>
        <w:t xml:space="preserve">, </w:t>
      </w:r>
      <w:r w:rsidR="0042440E">
        <w:rPr>
          <w:lang w:eastAsia="en-US"/>
        </w:rPr>
        <w:t xml:space="preserve">DDT, </w:t>
      </w:r>
      <w:proofErr w:type="spellStart"/>
      <w:r w:rsidR="00AB0087" w:rsidRPr="00AB0087">
        <w:rPr>
          <w:lang w:eastAsia="en-US"/>
        </w:rPr>
        <w:t>dieldrin</w:t>
      </w:r>
      <w:proofErr w:type="spellEnd"/>
      <w:r w:rsidR="00AB0087" w:rsidRPr="00AB0087">
        <w:rPr>
          <w:lang w:eastAsia="en-US"/>
        </w:rPr>
        <w:t xml:space="preserve">, </w:t>
      </w:r>
      <w:proofErr w:type="spellStart"/>
      <w:r w:rsidR="00AB0087" w:rsidRPr="00AB0087">
        <w:rPr>
          <w:lang w:eastAsia="en-US"/>
        </w:rPr>
        <w:t>endrin</w:t>
      </w:r>
      <w:proofErr w:type="spellEnd"/>
      <w:r w:rsidR="00AB0087" w:rsidRPr="00AB0087">
        <w:rPr>
          <w:lang w:eastAsia="en-US"/>
        </w:rPr>
        <w:t xml:space="preserve">, </w:t>
      </w:r>
      <w:proofErr w:type="spellStart"/>
      <w:r w:rsidR="00AB0087" w:rsidRPr="00AB0087">
        <w:rPr>
          <w:lang w:eastAsia="en-US"/>
        </w:rPr>
        <w:t>heptachlor</w:t>
      </w:r>
      <w:proofErr w:type="spellEnd"/>
      <w:r w:rsidR="00AB0087" w:rsidRPr="00AB0087">
        <w:rPr>
          <w:lang w:eastAsia="en-US"/>
        </w:rPr>
        <w:t xml:space="preserve">, </w:t>
      </w:r>
      <w:proofErr w:type="spellStart"/>
      <w:r w:rsidR="00AB0087" w:rsidRPr="00AB0087">
        <w:rPr>
          <w:lang w:eastAsia="en-US"/>
        </w:rPr>
        <w:t>hexachlorbenzen</w:t>
      </w:r>
      <w:proofErr w:type="spellEnd"/>
      <w:r w:rsidR="00AB0087" w:rsidRPr="00AB0087">
        <w:rPr>
          <w:lang w:eastAsia="en-US"/>
        </w:rPr>
        <w:t xml:space="preserve"> (HCB),</w:t>
      </w:r>
      <w:r w:rsidR="0042440E">
        <w:rPr>
          <w:lang w:eastAsia="en-US"/>
        </w:rPr>
        <w:t xml:space="preserve"> </w:t>
      </w:r>
      <w:proofErr w:type="spellStart"/>
      <w:r w:rsidR="005F0669">
        <w:rPr>
          <w:lang w:eastAsia="en-US"/>
        </w:rPr>
        <w:t>h</w:t>
      </w:r>
      <w:r w:rsidR="0042440E" w:rsidRPr="0042440E">
        <w:rPr>
          <w:lang w:eastAsia="en-US"/>
        </w:rPr>
        <w:t>exachlorbutadien</w:t>
      </w:r>
      <w:proofErr w:type="spellEnd"/>
      <w:r w:rsidR="0042440E" w:rsidRPr="0042440E">
        <w:rPr>
          <w:lang w:eastAsia="en-US"/>
        </w:rPr>
        <w:t xml:space="preserve"> </w:t>
      </w:r>
      <w:r w:rsidR="0042440E">
        <w:rPr>
          <w:lang w:eastAsia="en-US"/>
        </w:rPr>
        <w:t>(</w:t>
      </w:r>
      <w:r w:rsidR="0042440E" w:rsidRPr="0042440E">
        <w:rPr>
          <w:lang w:eastAsia="en-US"/>
        </w:rPr>
        <w:t>HCBD</w:t>
      </w:r>
      <w:r w:rsidR="0042440E">
        <w:rPr>
          <w:lang w:eastAsia="en-US"/>
        </w:rPr>
        <w:t xml:space="preserve">), </w:t>
      </w:r>
      <w:proofErr w:type="spellStart"/>
      <w:r w:rsidR="00AB0087" w:rsidRPr="00AB0087">
        <w:rPr>
          <w:lang w:eastAsia="en-US"/>
        </w:rPr>
        <w:t>he</w:t>
      </w:r>
      <w:r w:rsidR="0042440E">
        <w:rPr>
          <w:lang w:eastAsia="en-US"/>
        </w:rPr>
        <w:t>xachlorcyclohexan</w:t>
      </w:r>
      <w:proofErr w:type="spellEnd"/>
      <w:r w:rsidR="0042440E">
        <w:rPr>
          <w:lang w:eastAsia="en-US"/>
        </w:rPr>
        <w:t xml:space="preserve"> (HCH),</w:t>
      </w:r>
      <w:r w:rsidR="00AB0087" w:rsidRPr="00AB0087">
        <w:rPr>
          <w:lang w:eastAsia="en-US"/>
        </w:rPr>
        <w:t xml:space="preserve"> </w:t>
      </w:r>
      <w:proofErr w:type="spellStart"/>
      <w:r>
        <w:rPr>
          <w:lang w:eastAsia="en-US"/>
        </w:rPr>
        <w:t>lindan</w:t>
      </w:r>
      <w:proofErr w:type="spellEnd"/>
      <w:r>
        <w:rPr>
          <w:lang w:eastAsia="en-US"/>
        </w:rPr>
        <w:t xml:space="preserve">, </w:t>
      </w:r>
      <w:proofErr w:type="spellStart"/>
      <w:r>
        <w:rPr>
          <w:lang w:eastAsia="en-US"/>
        </w:rPr>
        <w:t>mirex</w:t>
      </w:r>
      <w:proofErr w:type="spellEnd"/>
      <w:r>
        <w:rPr>
          <w:lang w:eastAsia="en-US"/>
        </w:rPr>
        <w:t xml:space="preserve">, </w:t>
      </w:r>
      <w:proofErr w:type="spellStart"/>
      <w:r>
        <w:rPr>
          <w:lang w:eastAsia="en-US"/>
        </w:rPr>
        <w:t>pentachlorobenzen</w:t>
      </w:r>
      <w:proofErr w:type="spellEnd"/>
      <w:r w:rsidR="005F0669">
        <w:rPr>
          <w:lang w:eastAsia="en-US"/>
        </w:rPr>
        <w:t xml:space="preserve"> </w:t>
      </w:r>
      <w:r w:rsidR="0042440E">
        <w:rPr>
          <w:lang w:eastAsia="en-US"/>
        </w:rPr>
        <w:t>(</w:t>
      </w:r>
      <w:proofErr w:type="spellStart"/>
      <w:r w:rsidR="0042440E">
        <w:rPr>
          <w:lang w:eastAsia="en-US"/>
        </w:rPr>
        <w:t>PeCB</w:t>
      </w:r>
      <w:proofErr w:type="spellEnd"/>
      <w:r w:rsidR="0042440E">
        <w:rPr>
          <w:lang w:eastAsia="en-US"/>
        </w:rPr>
        <w:t>),</w:t>
      </w:r>
      <w:r w:rsidR="00AB0087" w:rsidRPr="00AB0087">
        <w:rPr>
          <w:lang w:eastAsia="en-US"/>
        </w:rPr>
        <w:t xml:space="preserve"> </w:t>
      </w:r>
      <w:proofErr w:type="spellStart"/>
      <w:r w:rsidR="00AB0087" w:rsidRPr="00AB0087">
        <w:rPr>
          <w:lang w:eastAsia="en-US"/>
        </w:rPr>
        <w:t>toxaphen</w:t>
      </w:r>
      <w:proofErr w:type="spellEnd"/>
      <w:r w:rsidR="005F0669">
        <w:rPr>
          <w:lang w:eastAsia="en-US"/>
        </w:rPr>
        <w:t>,</w:t>
      </w:r>
      <w:r w:rsidR="00AB0087" w:rsidRPr="00AB0087">
        <w:rPr>
          <w:lang w:eastAsia="en-US"/>
        </w:rPr>
        <w:t xml:space="preserve"> </w:t>
      </w:r>
      <w:proofErr w:type="spellStart"/>
      <w:r w:rsidR="0042440E">
        <w:rPr>
          <w:lang w:eastAsia="en-US"/>
        </w:rPr>
        <w:t>dicofol</w:t>
      </w:r>
      <w:proofErr w:type="spellEnd"/>
      <w:r w:rsidR="0042440E">
        <w:rPr>
          <w:lang w:eastAsia="en-US"/>
        </w:rPr>
        <w:t xml:space="preserve"> og teknisk </w:t>
      </w:r>
      <w:proofErr w:type="spellStart"/>
      <w:r w:rsidR="0042440E">
        <w:rPr>
          <w:lang w:eastAsia="en-US"/>
        </w:rPr>
        <w:t>endosulfan</w:t>
      </w:r>
      <w:proofErr w:type="spellEnd"/>
      <w:r w:rsidR="0042440E">
        <w:rPr>
          <w:lang w:eastAsia="en-US"/>
        </w:rPr>
        <w:t xml:space="preserve">. </w:t>
      </w:r>
    </w:p>
    <w:p w14:paraId="7D6CF7CB" w14:textId="5C849BE9" w:rsidR="00193271" w:rsidRDefault="003E6362" w:rsidP="00193271">
      <w:pPr>
        <w:pStyle w:val="Brdtekst"/>
      </w:pPr>
      <w:r>
        <w:lastRenderedPageBreak/>
        <w:t xml:space="preserve">I følge </w:t>
      </w:r>
      <w:r w:rsidR="005F0669">
        <w:t xml:space="preserve">en </w:t>
      </w:r>
      <w:r>
        <w:t>tidligere vurdering af POP-situationen i Grønland (Rambøll,</w:t>
      </w:r>
      <w:r w:rsidR="00B70E27">
        <w:t xml:space="preserve"> </w:t>
      </w:r>
      <w:r>
        <w:t>2005a)</w:t>
      </w:r>
      <w:r w:rsidR="00B90869">
        <w:t>,</w:t>
      </w:r>
      <w:r>
        <w:t xml:space="preserve"> er der ingen væsentlig</w:t>
      </w:r>
      <w:r w:rsidR="005F0669">
        <w:t>e</w:t>
      </w:r>
      <w:r>
        <w:t xml:space="preserve"> problemstilling</w:t>
      </w:r>
      <w:r w:rsidR="00B90869">
        <w:t>er</w:t>
      </w:r>
      <w:r>
        <w:t xml:space="preserve"> i relation til POP-pesticider i Grønland</w:t>
      </w:r>
      <w:r w:rsidR="00B90869">
        <w:t>, da de stort set ikke har været anvendt</w:t>
      </w:r>
      <w:r>
        <w:t>.</w:t>
      </w:r>
      <w:r w:rsidR="00E75449">
        <w:t xml:space="preserve"> Der vurderes heller ikke at være væsentlig</w:t>
      </w:r>
      <w:r w:rsidR="00853C12">
        <w:t>e</w:t>
      </w:r>
      <w:r w:rsidR="00E75449">
        <w:t xml:space="preserve"> problemstillinger </w:t>
      </w:r>
      <w:r w:rsidR="00853C12">
        <w:t xml:space="preserve">i relation </w:t>
      </w:r>
      <w:r w:rsidR="00E75449">
        <w:t>til de pesticider</w:t>
      </w:r>
      <w:r w:rsidR="005F0669">
        <w:t>,</w:t>
      </w:r>
      <w:r w:rsidR="00E75449">
        <w:t xml:space="preserve"> som senere er blevet optaget under konventionen. </w:t>
      </w:r>
    </w:p>
    <w:p w14:paraId="05AB2213" w14:textId="523D874E" w:rsidR="003E6362" w:rsidRPr="00193271" w:rsidRDefault="003E6362" w:rsidP="00193271">
      <w:pPr>
        <w:pStyle w:val="Brdtekst"/>
      </w:pPr>
      <w:r>
        <w:t xml:space="preserve">Uanset </w:t>
      </w:r>
      <w:r w:rsidR="005F0669">
        <w:t xml:space="preserve">at </w:t>
      </w:r>
      <w:r>
        <w:t>pesticiderne ikke anvendes i Grønland vil forbud mod</w:t>
      </w:r>
      <w:r w:rsidRPr="003E6362">
        <w:t xml:space="preserve"> fremstilling, brug, import og eksport </w:t>
      </w:r>
      <w:r>
        <w:t xml:space="preserve">skulle indskrives i en </w:t>
      </w:r>
      <w:r w:rsidR="00B90869">
        <w:t>bekendtgørelse.</w:t>
      </w:r>
    </w:p>
    <w:p w14:paraId="7D6CF7D0" w14:textId="77777777" w:rsidR="00193271" w:rsidRDefault="00193271" w:rsidP="00193271">
      <w:pPr>
        <w:pStyle w:val="Overskrift3"/>
      </w:pPr>
      <w:proofErr w:type="spellStart"/>
      <w:r>
        <w:t>Polychorerede</w:t>
      </w:r>
      <w:proofErr w:type="spellEnd"/>
      <w:r>
        <w:t xml:space="preserve"> </w:t>
      </w:r>
      <w:proofErr w:type="spellStart"/>
      <w:r>
        <w:t>naphthalener</w:t>
      </w:r>
      <w:proofErr w:type="spellEnd"/>
    </w:p>
    <w:p w14:paraId="0DAAF33F" w14:textId="51BD067B" w:rsidR="0099426A" w:rsidRDefault="0099426A" w:rsidP="0099426A">
      <w:pPr>
        <w:pStyle w:val="Brdtekst"/>
      </w:pPr>
      <w:r>
        <w:t xml:space="preserve">I den seneste danske implementeringsplan for Stockholmkonventionen fra 2018 vurderes det, at der ikke er væsentlige problemstillinger knyttet til den tidligere tilsigtede anvendelse af </w:t>
      </w:r>
      <w:proofErr w:type="spellStart"/>
      <w:r>
        <w:t>p</w:t>
      </w:r>
      <w:r w:rsidRPr="0099426A">
        <w:t>olychorerede</w:t>
      </w:r>
      <w:proofErr w:type="spellEnd"/>
      <w:r w:rsidRPr="0099426A">
        <w:t xml:space="preserve"> </w:t>
      </w:r>
      <w:proofErr w:type="spellStart"/>
      <w:r w:rsidRPr="0099426A">
        <w:t>naphthalener</w:t>
      </w:r>
      <w:proofErr w:type="spellEnd"/>
      <w:r>
        <w:t>, PCN (MFVM, 2018)</w:t>
      </w:r>
      <w:r w:rsidR="00E335E8">
        <w:t>.</w:t>
      </w:r>
      <w:r>
        <w:t xml:space="preserve"> </w:t>
      </w:r>
    </w:p>
    <w:p w14:paraId="4E2E10F3" w14:textId="50EDC661" w:rsidR="001151A4" w:rsidRDefault="006548CD" w:rsidP="0099426A">
      <w:pPr>
        <w:pStyle w:val="Brdtekst"/>
      </w:pPr>
      <w:r>
        <w:t>I følge en undersøgelse for Europakommissionen i 2011</w:t>
      </w:r>
      <w:r w:rsidR="003E6362">
        <w:t xml:space="preserve"> </w:t>
      </w:r>
      <w:r w:rsidR="0079707B">
        <w:t>(ESWI, 2011)</w:t>
      </w:r>
      <w:r w:rsidR="007A74F1">
        <w:t xml:space="preserve"> blev PCN produceret i Europa i mængder på </w:t>
      </w:r>
      <w:r w:rsidR="00490924">
        <w:t>1</w:t>
      </w:r>
      <w:r w:rsidR="007A74F1">
        <w:t>00-</w:t>
      </w:r>
      <w:r w:rsidR="00490924">
        <w:t>3</w:t>
      </w:r>
      <w:r w:rsidR="007A74F1">
        <w:t xml:space="preserve">00 t/år frem til 1983. Hovedanvendelserne var i træimprægneringsmidler, additiv til maling og maskinolier, kabelisolering og kondensatorer og transformatorer. Der er </w:t>
      </w:r>
      <w:r w:rsidR="00B90869">
        <w:t xml:space="preserve">i følge rapporten </w:t>
      </w:r>
      <w:r w:rsidR="007A74F1">
        <w:t>meget begræ</w:t>
      </w:r>
      <w:r w:rsidR="00B90869">
        <w:t>nse</w:t>
      </w:r>
      <w:r w:rsidR="007A74F1">
        <w:t>t viden o</w:t>
      </w:r>
      <w:r w:rsidR="00B90869">
        <w:t>m</w:t>
      </w:r>
      <w:r w:rsidR="001151A4">
        <w:t xml:space="preserve"> anvendelser og </w:t>
      </w:r>
      <w:r w:rsidR="005F0669">
        <w:t>om</w:t>
      </w:r>
      <w:r w:rsidR="006F7A6B">
        <w:t>,</w:t>
      </w:r>
      <w:r w:rsidR="005F0669">
        <w:t xml:space="preserve"> </w:t>
      </w:r>
      <w:r w:rsidR="001151A4">
        <w:t>hvor PCN</w:t>
      </w:r>
      <w:r w:rsidR="00B90869">
        <w:t xml:space="preserve"> i dag vil kunne optræde i </w:t>
      </w:r>
      <w:r w:rsidR="001151A4">
        <w:t xml:space="preserve">produkter og i affaldsstrømmen. Da PCN ikke har været anvendt i Europa i 33 år vurderes </w:t>
      </w:r>
      <w:r w:rsidR="005D5C10">
        <w:t xml:space="preserve">stoffet </w:t>
      </w:r>
      <w:r w:rsidR="001151A4">
        <w:t xml:space="preserve">stort set at være ude af affaldsstrømmen. </w:t>
      </w:r>
    </w:p>
    <w:p w14:paraId="60738C19" w14:textId="4CE05EDD" w:rsidR="007A74F1" w:rsidRDefault="001151A4" w:rsidP="007A74F1">
      <w:pPr>
        <w:pStyle w:val="Brdtekst"/>
      </w:pPr>
      <w:r>
        <w:t xml:space="preserve">Stofgruppen er også omfattet af </w:t>
      </w:r>
      <w:proofErr w:type="spellStart"/>
      <w:r>
        <w:t>Annex</w:t>
      </w:r>
      <w:proofErr w:type="spellEnd"/>
      <w:r>
        <w:t xml:space="preserve"> C til konventionen, og rapporten for Europakommissionen nævner den utilsigtede dannelse som den vigtigste kilde til udledninger til miljøet i dag. Kilder til utilsigtet dannelse er de samme som kilder til dannelse af dioxiner</w:t>
      </w:r>
      <w:r w:rsidR="005F0669">
        <w:t>, hvilket</w:t>
      </w:r>
      <w:r>
        <w:t xml:space="preserve"> i Grønland </w:t>
      </w:r>
      <w:r w:rsidR="005F0669">
        <w:t xml:space="preserve">primært er </w:t>
      </w:r>
      <w:r>
        <w:t>affaldsforbrænding.</w:t>
      </w:r>
      <w:r w:rsidR="00E96B53">
        <w:t xml:space="preserve"> </w:t>
      </w:r>
    </w:p>
    <w:p w14:paraId="69C743C6" w14:textId="25177413" w:rsidR="001151A4" w:rsidRDefault="001151A4" w:rsidP="007A74F1">
      <w:pPr>
        <w:pStyle w:val="Brdtekst"/>
      </w:pPr>
      <w:r>
        <w:t>Der vurderes ikke at være behov for tiltag</w:t>
      </w:r>
      <w:r w:rsidR="006F7A6B">
        <w:t>,</w:t>
      </w:r>
      <w:r>
        <w:t xml:space="preserve"> ud over de</w:t>
      </w:r>
      <w:r w:rsidR="00312478">
        <w:t xml:space="preserve"> som </w:t>
      </w:r>
      <w:r>
        <w:t xml:space="preserve">omtales i afsnit </w:t>
      </w:r>
      <w:r>
        <w:fldChar w:fldCharType="begin"/>
      </w:r>
      <w:r>
        <w:instrText xml:space="preserve"> REF _Ref455645319 \r \h </w:instrText>
      </w:r>
      <w:r>
        <w:fldChar w:fldCharType="separate"/>
      </w:r>
      <w:r w:rsidR="00432B8C">
        <w:t>4.1</w:t>
      </w:r>
      <w:r>
        <w:fldChar w:fldCharType="end"/>
      </w:r>
      <w:r w:rsidR="006F7A6B">
        <w:t>,</w:t>
      </w:r>
      <w:r w:rsidR="00E75449">
        <w:t xml:space="preserve"> og at</w:t>
      </w:r>
      <w:r w:rsidR="00E75449">
        <w:rPr>
          <w:lang w:eastAsia="en-US"/>
        </w:rPr>
        <w:t xml:space="preserve"> forbud mod</w:t>
      </w:r>
      <w:r w:rsidR="00E75449" w:rsidRPr="00AB0087">
        <w:rPr>
          <w:lang w:eastAsia="en-US"/>
        </w:rPr>
        <w:t xml:space="preserve"> fremstilling, brug, import og eksport</w:t>
      </w:r>
      <w:r w:rsidR="00E75449">
        <w:rPr>
          <w:lang w:eastAsia="en-US"/>
        </w:rPr>
        <w:t xml:space="preserve"> </w:t>
      </w:r>
      <w:r w:rsidR="00312478">
        <w:rPr>
          <w:lang w:eastAsia="en-US"/>
        </w:rPr>
        <w:t>skal indgå</w:t>
      </w:r>
      <w:r w:rsidR="00E75449">
        <w:rPr>
          <w:lang w:eastAsia="en-US"/>
        </w:rPr>
        <w:t xml:space="preserve"> i en bekendtgørelse.</w:t>
      </w:r>
    </w:p>
    <w:p w14:paraId="71023C8E" w14:textId="236F4619" w:rsidR="00536CA6" w:rsidRDefault="0069617F" w:rsidP="00536CA6">
      <w:pPr>
        <w:pStyle w:val="Overskrift3"/>
        <w:rPr>
          <w:lang w:eastAsia="en-US"/>
        </w:rPr>
      </w:pPr>
      <w:proofErr w:type="spellStart"/>
      <w:r w:rsidRPr="000D0869">
        <w:rPr>
          <w:lang w:eastAsia="en-US"/>
        </w:rPr>
        <w:t>Hexachlorbenzen</w:t>
      </w:r>
      <w:proofErr w:type="spellEnd"/>
      <w:r w:rsidRPr="000D0869">
        <w:rPr>
          <w:lang w:eastAsia="en-US"/>
        </w:rPr>
        <w:t xml:space="preserve"> (HCB) </w:t>
      </w:r>
      <w:r w:rsidR="003E6362">
        <w:rPr>
          <w:lang w:eastAsia="en-US"/>
        </w:rPr>
        <w:t xml:space="preserve">og </w:t>
      </w:r>
      <w:proofErr w:type="spellStart"/>
      <w:r w:rsidR="003E6362">
        <w:rPr>
          <w:lang w:eastAsia="en-US"/>
        </w:rPr>
        <w:t>pentachlorbenzen</w:t>
      </w:r>
      <w:proofErr w:type="spellEnd"/>
      <w:r w:rsidR="003E6362">
        <w:rPr>
          <w:lang w:eastAsia="en-US"/>
        </w:rPr>
        <w:t xml:space="preserve"> (</w:t>
      </w:r>
      <w:proofErr w:type="spellStart"/>
      <w:r w:rsidR="001151A4">
        <w:rPr>
          <w:lang w:eastAsia="en-US"/>
        </w:rPr>
        <w:t>PeCB</w:t>
      </w:r>
      <w:proofErr w:type="spellEnd"/>
      <w:r w:rsidR="001151A4">
        <w:rPr>
          <w:lang w:eastAsia="en-US"/>
        </w:rPr>
        <w:t>)</w:t>
      </w:r>
    </w:p>
    <w:p w14:paraId="205AB2E2" w14:textId="5A2E5188" w:rsidR="00C253D9" w:rsidRDefault="0069617F" w:rsidP="00C253D9">
      <w:pPr>
        <w:pStyle w:val="Brdtekst"/>
        <w:rPr>
          <w:lang w:eastAsia="en-US"/>
        </w:rPr>
      </w:pPr>
      <w:r w:rsidRPr="000D0869">
        <w:rPr>
          <w:lang w:eastAsia="en-US"/>
        </w:rPr>
        <w:t xml:space="preserve">HCB </w:t>
      </w:r>
      <w:r w:rsidR="00C253D9">
        <w:rPr>
          <w:lang w:eastAsia="en-US"/>
        </w:rPr>
        <w:t xml:space="preserve">og </w:t>
      </w:r>
      <w:proofErr w:type="spellStart"/>
      <w:r w:rsidR="00C253D9">
        <w:rPr>
          <w:lang w:eastAsia="en-US"/>
        </w:rPr>
        <w:t>PeCB</w:t>
      </w:r>
      <w:proofErr w:type="spellEnd"/>
      <w:r w:rsidR="00C253D9">
        <w:rPr>
          <w:lang w:eastAsia="en-US"/>
        </w:rPr>
        <w:t xml:space="preserve"> </w:t>
      </w:r>
      <w:r w:rsidRPr="000D0869">
        <w:rPr>
          <w:lang w:eastAsia="en-US"/>
        </w:rPr>
        <w:t>har tidligere haft udbredt anvendelse som pesticid</w:t>
      </w:r>
      <w:r w:rsidR="00F61FCF">
        <w:rPr>
          <w:lang w:eastAsia="en-US"/>
        </w:rPr>
        <w:t>er</w:t>
      </w:r>
      <w:r w:rsidRPr="000D0869">
        <w:rPr>
          <w:lang w:eastAsia="en-US"/>
        </w:rPr>
        <w:t xml:space="preserve"> og som kemisk</w:t>
      </w:r>
      <w:r w:rsidR="00F61FCF">
        <w:rPr>
          <w:lang w:eastAsia="en-US"/>
        </w:rPr>
        <w:t>e</w:t>
      </w:r>
      <w:r w:rsidRPr="000D0869">
        <w:rPr>
          <w:lang w:eastAsia="en-US"/>
        </w:rPr>
        <w:t xml:space="preserve"> mellemprodukt</w:t>
      </w:r>
      <w:r w:rsidR="00F61FCF">
        <w:rPr>
          <w:lang w:eastAsia="en-US"/>
        </w:rPr>
        <w:t>er</w:t>
      </w:r>
      <w:r w:rsidRPr="000D0869">
        <w:rPr>
          <w:lang w:eastAsia="en-US"/>
        </w:rPr>
        <w:t xml:space="preserve"> ved fremstilling af andre kemiske stoffer</w:t>
      </w:r>
      <w:r w:rsidR="00F61FCF">
        <w:rPr>
          <w:lang w:eastAsia="en-US"/>
        </w:rPr>
        <w:t>.</w:t>
      </w:r>
      <w:r w:rsidRPr="000D0869">
        <w:rPr>
          <w:lang w:eastAsia="en-US"/>
        </w:rPr>
        <w:t xml:space="preserve"> </w:t>
      </w:r>
      <w:r w:rsidR="00F61FCF">
        <w:rPr>
          <w:lang w:eastAsia="en-US"/>
        </w:rPr>
        <w:t>Stofferne</w:t>
      </w:r>
      <w:r w:rsidRPr="000D0869">
        <w:rPr>
          <w:lang w:eastAsia="en-US"/>
        </w:rPr>
        <w:t xml:space="preserve"> dannes i øvrigt utilsigtet i termiske og visse kemiske processer.</w:t>
      </w:r>
    </w:p>
    <w:p w14:paraId="61DFDF96" w14:textId="3D09EEB8" w:rsidR="0069617F" w:rsidRDefault="00C253D9" w:rsidP="00C253D9">
      <w:pPr>
        <w:pStyle w:val="Brdtekst"/>
        <w:rPr>
          <w:lang w:eastAsia="en-US"/>
        </w:rPr>
      </w:pPr>
      <w:r>
        <w:rPr>
          <w:lang w:eastAsia="en-US"/>
        </w:rPr>
        <w:t>I relation til Grønland er problemstillingen for de to stoff</w:t>
      </w:r>
      <w:r w:rsidR="00B406D1">
        <w:rPr>
          <w:lang w:eastAsia="en-US"/>
        </w:rPr>
        <w:t>er knyttet til utilsigtet dannelse</w:t>
      </w:r>
      <w:r w:rsidR="00E75449">
        <w:rPr>
          <w:lang w:eastAsia="en-US"/>
        </w:rPr>
        <w:t xml:space="preserve"> ved affaldsforbrænding. </w:t>
      </w:r>
      <w:r w:rsidR="00E75449">
        <w:t xml:space="preserve">Der vurderes ikke at være behov for tiltag ud over de, som omtales i afsnit </w:t>
      </w:r>
      <w:r w:rsidR="00E75449">
        <w:fldChar w:fldCharType="begin"/>
      </w:r>
      <w:r w:rsidR="00E75449">
        <w:instrText xml:space="preserve"> REF _Ref455645319 \r \h </w:instrText>
      </w:r>
      <w:r w:rsidR="00E75449">
        <w:fldChar w:fldCharType="separate"/>
      </w:r>
      <w:r w:rsidR="00432B8C">
        <w:t>4.1</w:t>
      </w:r>
      <w:r w:rsidR="00E75449">
        <w:fldChar w:fldCharType="end"/>
      </w:r>
      <w:r w:rsidR="005F0669">
        <w:t>,</w:t>
      </w:r>
      <w:r w:rsidR="00E75449">
        <w:t xml:space="preserve"> og at</w:t>
      </w:r>
      <w:r w:rsidR="00E75449">
        <w:rPr>
          <w:lang w:eastAsia="en-US"/>
        </w:rPr>
        <w:t xml:space="preserve"> forbud mod</w:t>
      </w:r>
      <w:r w:rsidR="00E75449" w:rsidRPr="00AB0087">
        <w:rPr>
          <w:lang w:eastAsia="en-US"/>
        </w:rPr>
        <w:t xml:space="preserve"> fremstilling, brug, import og eksport</w:t>
      </w:r>
      <w:r w:rsidR="00E75449">
        <w:rPr>
          <w:lang w:eastAsia="en-US"/>
        </w:rPr>
        <w:t xml:space="preserve"> </w:t>
      </w:r>
      <w:r w:rsidR="00312478">
        <w:rPr>
          <w:lang w:eastAsia="en-US"/>
        </w:rPr>
        <w:t>skal indgå</w:t>
      </w:r>
      <w:r w:rsidR="00E75449">
        <w:rPr>
          <w:lang w:eastAsia="en-US"/>
        </w:rPr>
        <w:t xml:space="preserve"> i en bekendtgørelse.</w:t>
      </w:r>
    </w:p>
    <w:p w14:paraId="06AF5D44" w14:textId="286D6E4E" w:rsidR="003E6362" w:rsidRDefault="003E6362" w:rsidP="003E6362">
      <w:pPr>
        <w:pStyle w:val="Overskrift3"/>
        <w:rPr>
          <w:lang w:eastAsia="en-US"/>
        </w:rPr>
      </w:pPr>
      <w:proofErr w:type="spellStart"/>
      <w:r>
        <w:rPr>
          <w:lang w:eastAsia="en-US"/>
        </w:rPr>
        <w:t>Pentachlorphenol</w:t>
      </w:r>
      <w:proofErr w:type="spellEnd"/>
    </w:p>
    <w:p w14:paraId="3A39DED3" w14:textId="5FD2A084" w:rsidR="002A6633" w:rsidRDefault="002A6633" w:rsidP="003E6362">
      <w:pPr>
        <w:pStyle w:val="Brdtekst"/>
      </w:pPr>
      <w:r>
        <w:t xml:space="preserve">I følge en undersøgelse for Europakommissionen i 2011 (ESWI, 2011) blev </w:t>
      </w:r>
      <w:r w:rsidR="005F0669">
        <w:t xml:space="preserve">PCP </w:t>
      </w:r>
      <w:r>
        <w:t xml:space="preserve">især anvendt til imprægnering af træ og vil i et vist omfang stadig kunne forekomme i affaldsstrømmen i form af imprægneret træ (ikke trykimprægneret). </w:t>
      </w:r>
    </w:p>
    <w:p w14:paraId="280267EC" w14:textId="14A1B1A2" w:rsidR="00496CAF" w:rsidRDefault="00496CAF" w:rsidP="003E6362">
      <w:pPr>
        <w:pStyle w:val="Brdtekst"/>
        <w:rPr>
          <w:highlight w:val="yellow"/>
        </w:rPr>
      </w:pPr>
      <w:r w:rsidRPr="0097584A">
        <w:lastRenderedPageBreak/>
        <w:t xml:space="preserve">I følge den opdaterede nationale implementeringsplan for Stockholmkonventionen i Danmark, blev </w:t>
      </w:r>
      <w:proofErr w:type="spellStart"/>
      <w:r w:rsidRPr="0097584A">
        <w:t>pentachlorphenol</w:t>
      </w:r>
      <w:proofErr w:type="spellEnd"/>
      <w:r w:rsidRPr="0097584A">
        <w:t xml:space="preserve"> (PCP) tidligere</w:t>
      </w:r>
      <w:r w:rsidR="00E96B53">
        <w:t xml:space="preserve"> </w:t>
      </w:r>
      <w:r w:rsidRPr="0097584A">
        <w:t>anvendt til træbeskyttelse med et forbrug i midten af 1970'erne i Danmark på 1,0-1,5 t/år (MFVM, 2018). PCP blev primært anvendt til overfladebehandling og er ikke rapporteret anvendt til sveller eller telefonpæle.</w:t>
      </w:r>
    </w:p>
    <w:p w14:paraId="54CDCFB9" w14:textId="56A42624" w:rsidR="00496CAF" w:rsidRDefault="002A6633" w:rsidP="003E6362">
      <w:pPr>
        <w:pStyle w:val="Brdtekst"/>
        <w:rPr>
          <w:lang w:eastAsia="en-US"/>
        </w:rPr>
      </w:pPr>
      <w:r>
        <w:rPr>
          <w:lang w:eastAsia="en-US"/>
        </w:rPr>
        <w:t>PCP har traditio</w:t>
      </w:r>
      <w:r w:rsidRPr="0097584A">
        <w:rPr>
          <w:lang w:eastAsia="en-US"/>
        </w:rPr>
        <w:t>nelt indeholdt væsentlige mængder dioxiner</w:t>
      </w:r>
      <w:r w:rsidR="00312478" w:rsidRPr="0097584A">
        <w:rPr>
          <w:lang w:eastAsia="en-US"/>
        </w:rPr>
        <w:t xml:space="preserve"> </w:t>
      </w:r>
      <w:r w:rsidRPr="0097584A">
        <w:rPr>
          <w:lang w:eastAsia="en-US"/>
        </w:rPr>
        <w:t xml:space="preserve">som forurening fra fremstillingen. </w:t>
      </w:r>
      <w:r w:rsidR="005F0669" w:rsidRPr="0097584A">
        <w:rPr>
          <w:lang w:eastAsia="en-US"/>
        </w:rPr>
        <w:t xml:space="preserve">Der foreligger en </w:t>
      </w:r>
      <w:r w:rsidRPr="0097584A">
        <w:rPr>
          <w:lang w:eastAsia="en-US"/>
        </w:rPr>
        <w:t xml:space="preserve">undersøgelse af dioxiner i PCP-imprægneret træ </w:t>
      </w:r>
      <w:r w:rsidR="006F7A6B">
        <w:rPr>
          <w:lang w:eastAsia="en-US"/>
        </w:rPr>
        <w:t xml:space="preserve">i Danmark </w:t>
      </w:r>
      <w:r w:rsidRPr="0097584A">
        <w:rPr>
          <w:lang w:eastAsia="en-US"/>
        </w:rPr>
        <w:t xml:space="preserve">fra </w:t>
      </w:r>
      <w:r w:rsidR="006F7A6B">
        <w:rPr>
          <w:lang w:eastAsia="en-US"/>
        </w:rPr>
        <w:t xml:space="preserve">2004 </w:t>
      </w:r>
      <w:r w:rsidRPr="0097584A">
        <w:rPr>
          <w:lang w:eastAsia="en-US"/>
        </w:rPr>
        <w:t>(Hansen og Hansen, 2004)</w:t>
      </w:r>
      <w:r w:rsidR="00B406D1" w:rsidRPr="0097584A">
        <w:rPr>
          <w:lang w:eastAsia="en-US"/>
        </w:rPr>
        <w:t>. Træet blev i Danmark behandlet med PCP i perioden 1950 til ca. 197</w:t>
      </w:r>
      <w:r w:rsidR="00496CAF" w:rsidRPr="0097584A">
        <w:rPr>
          <w:lang w:eastAsia="en-US"/>
        </w:rPr>
        <w:t>9</w:t>
      </w:r>
      <w:r w:rsidR="00496CAF" w:rsidRPr="0097584A">
        <w:t>, men PCP blev først endeligt forbudt i 1996.</w:t>
      </w:r>
      <w:r w:rsidR="00B70E27">
        <w:t xml:space="preserve"> </w:t>
      </w:r>
      <w:r w:rsidR="00B406D1" w:rsidRPr="0097584A">
        <w:rPr>
          <w:lang w:eastAsia="en-US"/>
        </w:rPr>
        <w:t>Derudover var der i 2004 import af træ imprægneret med PCP, først og fremmest transportpaller. Konklusionen var</w:t>
      </w:r>
      <w:r w:rsidR="005F0669" w:rsidRPr="0097584A">
        <w:rPr>
          <w:lang w:eastAsia="en-US"/>
        </w:rPr>
        <w:t>,</w:t>
      </w:r>
      <w:r w:rsidR="00B406D1" w:rsidRPr="0097584A">
        <w:rPr>
          <w:lang w:eastAsia="en-US"/>
        </w:rPr>
        <w:t xml:space="preserve"> at pallerne bidrog med beskedne mængder, men at ældre, behandlet træværk indehold</w:t>
      </w:r>
      <w:r w:rsidR="00B406D1">
        <w:rPr>
          <w:lang w:eastAsia="en-US"/>
        </w:rPr>
        <w:t>t væsentlige mængder af dioxiner</w:t>
      </w:r>
      <w:r w:rsidR="005F0669">
        <w:rPr>
          <w:lang w:eastAsia="en-US"/>
        </w:rPr>
        <w:t>,</w:t>
      </w:r>
      <w:r w:rsidR="00312478">
        <w:rPr>
          <w:lang w:eastAsia="en-US"/>
        </w:rPr>
        <w:t xml:space="preserve"> </w:t>
      </w:r>
      <w:r w:rsidR="00B406D1">
        <w:rPr>
          <w:lang w:eastAsia="en-US"/>
        </w:rPr>
        <w:t>som langsomt blev afgivet fr</w:t>
      </w:r>
      <w:r w:rsidR="005F0669">
        <w:rPr>
          <w:lang w:eastAsia="en-US"/>
        </w:rPr>
        <w:t>a</w:t>
      </w:r>
      <w:r w:rsidR="00B406D1">
        <w:rPr>
          <w:lang w:eastAsia="en-US"/>
        </w:rPr>
        <w:t xml:space="preserve"> træet under brug.</w:t>
      </w:r>
    </w:p>
    <w:p w14:paraId="7205055E" w14:textId="449A2A51" w:rsidR="00B406D1" w:rsidRDefault="00B406D1" w:rsidP="003E6362">
      <w:pPr>
        <w:pStyle w:val="Brdtekst"/>
        <w:rPr>
          <w:lang w:eastAsia="en-US"/>
        </w:rPr>
      </w:pPr>
      <w:r>
        <w:rPr>
          <w:lang w:eastAsia="en-US"/>
        </w:rPr>
        <w:t>Det er ikke undersøgt, i hvilket omfang PCP har været anvendt til imprægnering i Grønland, men da det var meget udb</w:t>
      </w:r>
      <w:r w:rsidR="005F0669">
        <w:rPr>
          <w:lang w:eastAsia="en-US"/>
        </w:rPr>
        <w:t>r</w:t>
      </w:r>
      <w:r>
        <w:rPr>
          <w:lang w:eastAsia="en-US"/>
        </w:rPr>
        <w:t>edt at bruge PCP i Danmark er det sandsynligt</w:t>
      </w:r>
      <w:r w:rsidR="005F0669">
        <w:rPr>
          <w:lang w:eastAsia="en-US"/>
        </w:rPr>
        <w:t>,</w:t>
      </w:r>
      <w:r>
        <w:rPr>
          <w:lang w:eastAsia="en-US"/>
        </w:rPr>
        <w:t xml:space="preserve"> at det også har fundet anvendelse i Grønland. Ved bortskaffelse af træ fra byggeriet vil der derfor kunne forekomme PCP i affaldsstrømmen. PCP kan ved forbrænding på samme måde som PCB virke som </w:t>
      </w:r>
      <w:proofErr w:type="spellStart"/>
      <w:r>
        <w:rPr>
          <w:lang w:eastAsia="en-US"/>
        </w:rPr>
        <w:t>precursor</w:t>
      </w:r>
      <w:proofErr w:type="spellEnd"/>
      <w:r>
        <w:rPr>
          <w:lang w:eastAsia="en-US"/>
        </w:rPr>
        <w:t xml:space="preserve"> for dannelse af dioxiner og furaner. </w:t>
      </w:r>
    </w:p>
    <w:p w14:paraId="429B5FC6" w14:textId="49E7C1B3" w:rsidR="00CE3C75" w:rsidRDefault="00B406D1" w:rsidP="00193271">
      <w:pPr>
        <w:pStyle w:val="Brdtekst"/>
        <w:rPr>
          <w:lang w:eastAsia="en-US"/>
        </w:rPr>
      </w:pPr>
      <w:r>
        <w:rPr>
          <w:lang w:eastAsia="en-US"/>
        </w:rPr>
        <w:t xml:space="preserve">I relation til Grønland vurderes problemstillingen i relation til PCP primært at </w:t>
      </w:r>
      <w:r w:rsidR="005F0669">
        <w:rPr>
          <w:lang w:eastAsia="en-US"/>
        </w:rPr>
        <w:t xml:space="preserve">være </w:t>
      </w:r>
      <w:r>
        <w:rPr>
          <w:lang w:eastAsia="en-US"/>
        </w:rPr>
        <w:t>knyttet til utilsigtet dannelse af dioxiner</w:t>
      </w:r>
      <w:r w:rsidR="00312478">
        <w:rPr>
          <w:lang w:eastAsia="en-US"/>
        </w:rPr>
        <w:t xml:space="preserve"> </w:t>
      </w:r>
      <w:r>
        <w:rPr>
          <w:lang w:eastAsia="en-US"/>
        </w:rPr>
        <w:t xml:space="preserve">ved affaldsforbrænding, og </w:t>
      </w:r>
      <w:r>
        <w:t>der vurderes ikke at være behov for tiltag ud over de, som tages i relation til dioxiner, som omtales i afsnit</w:t>
      </w:r>
      <w:r w:rsidR="00B80C01">
        <w:t xml:space="preserve"> </w:t>
      </w:r>
      <w:r w:rsidR="00B80C01">
        <w:fldChar w:fldCharType="begin"/>
      </w:r>
      <w:r w:rsidR="00B80C01">
        <w:instrText xml:space="preserve"> REF _Ref455645319 \r \h </w:instrText>
      </w:r>
      <w:r w:rsidR="00B80C01">
        <w:fldChar w:fldCharType="separate"/>
      </w:r>
      <w:r w:rsidR="00432B8C">
        <w:t>4.1</w:t>
      </w:r>
      <w:r w:rsidR="00B80C01">
        <w:fldChar w:fldCharType="end"/>
      </w:r>
      <w:r w:rsidR="00B80C01">
        <w:t>.</w:t>
      </w:r>
      <w:r w:rsidR="00E75449">
        <w:t xml:space="preserve"> F</w:t>
      </w:r>
      <w:r w:rsidR="00E75449">
        <w:rPr>
          <w:lang w:eastAsia="en-US"/>
        </w:rPr>
        <w:t>orbud mod</w:t>
      </w:r>
      <w:r w:rsidR="00E75449" w:rsidRPr="00AB0087">
        <w:rPr>
          <w:lang w:eastAsia="en-US"/>
        </w:rPr>
        <w:t xml:space="preserve"> fremstilling, brug, import og eksport</w:t>
      </w:r>
      <w:r w:rsidR="00E75449">
        <w:rPr>
          <w:lang w:eastAsia="en-US"/>
        </w:rPr>
        <w:t xml:space="preserve"> skal endvidere indgå i en bekendtgørelse.</w:t>
      </w:r>
    </w:p>
    <w:p w14:paraId="7D6CF7D2" w14:textId="77777777" w:rsidR="00193271" w:rsidRPr="00C4337F" w:rsidRDefault="00193271" w:rsidP="00193271">
      <w:pPr>
        <w:pStyle w:val="Overskrift3"/>
      </w:pPr>
      <w:r w:rsidRPr="00C4337F">
        <w:t>Foreslåede nye POP-stoffer</w:t>
      </w:r>
    </w:p>
    <w:p w14:paraId="67978E52" w14:textId="22E02BBA" w:rsidR="006F7A6B" w:rsidRDefault="00E75449">
      <w:pPr>
        <w:pStyle w:val="Brdtekst"/>
      </w:pPr>
      <w:r w:rsidRPr="00C4337F">
        <w:t xml:space="preserve">Der </w:t>
      </w:r>
      <w:r w:rsidR="00613711">
        <w:t>var per 1. maj 2019 tre st</w:t>
      </w:r>
      <w:r w:rsidRPr="00C4337F">
        <w:t>offer</w:t>
      </w:r>
      <w:r w:rsidR="00AF4B7C" w:rsidRPr="00C4337F">
        <w:t>,</w:t>
      </w:r>
      <w:r w:rsidRPr="00C4337F">
        <w:t xml:space="preserve"> som er under vurdering </w:t>
      </w:r>
      <w:r w:rsidR="005F0669" w:rsidRPr="00C4337F">
        <w:t xml:space="preserve">med henblik på eventuel </w:t>
      </w:r>
      <w:r w:rsidRPr="00C4337F">
        <w:t>optagelse</w:t>
      </w:r>
      <w:r>
        <w:t xml:space="preserve"> under konventionen.</w:t>
      </w:r>
      <w:r w:rsidR="006F7A6B">
        <w:t xml:space="preserve"> </w:t>
      </w:r>
    </w:p>
    <w:p w14:paraId="7D6CF7D6" w14:textId="7A219132" w:rsidR="00193271" w:rsidRDefault="00AF4B7C">
      <w:pPr>
        <w:pStyle w:val="Brdtekst"/>
      </w:pPr>
      <w:r>
        <w:t>Der vil løbende kunne komme andre stoffer, som v</w:t>
      </w:r>
      <w:r w:rsidR="007C51A3">
        <w:t>il blive vurderet, men næppe nogle stoffer</w:t>
      </w:r>
      <w:r w:rsidR="00C06AB9">
        <w:t>,</w:t>
      </w:r>
      <w:r w:rsidR="007C51A3">
        <w:t xml:space="preserve"> som afgørende vil ændre på de samlede omkostninger ved at </w:t>
      </w:r>
      <w:r w:rsidR="004F2E6E">
        <w:t>tiltræde konventionen</w:t>
      </w:r>
      <w:r w:rsidR="007C51A3">
        <w:t>.</w:t>
      </w:r>
    </w:p>
    <w:p w14:paraId="7D6CF7D7" w14:textId="7E9EFD68" w:rsidR="00193271" w:rsidRDefault="00193271" w:rsidP="00193271">
      <w:pPr>
        <w:pStyle w:val="Overskrift4"/>
      </w:pPr>
      <w:r>
        <w:t>PFOA</w:t>
      </w:r>
      <w:r w:rsidR="00AF4B7C" w:rsidRPr="00AF4B7C">
        <w:t xml:space="preserve"> </w:t>
      </w:r>
      <w:r w:rsidR="00AF4B7C">
        <w:t xml:space="preserve">dets salte </w:t>
      </w:r>
      <w:r w:rsidR="007C51A3">
        <w:t>og</w:t>
      </w:r>
      <w:r w:rsidR="00AF4B7C">
        <w:t xml:space="preserve"> PFOA-relaterede stoffer</w:t>
      </w:r>
    </w:p>
    <w:p w14:paraId="0B46D12B" w14:textId="74CC15EF" w:rsidR="00960842" w:rsidRDefault="00960842" w:rsidP="00193271">
      <w:pPr>
        <w:pStyle w:val="Brdtekst"/>
      </w:pPr>
      <w:r>
        <w:t xml:space="preserve">Det er </w:t>
      </w:r>
      <w:r w:rsidR="005D5C10">
        <w:t xml:space="preserve">i </w:t>
      </w:r>
      <w:r>
        <w:t>maj 2019 besluttet, at PFOA skal optages under konventionen</w:t>
      </w:r>
      <w:r w:rsidR="00853C12">
        <w:t>, men stoffet er endnu ikke opført på bilagene til konventionen.</w:t>
      </w:r>
    </w:p>
    <w:p w14:paraId="4DA1C9A8" w14:textId="78229C4C" w:rsidR="00960842" w:rsidRDefault="007C51A3" w:rsidP="00193271">
      <w:pPr>
        <w:pStyle w:val="Brdtekst"/>
      </w:pPr>
      <w:proofErr w:type="spellStart"/>
      <w:r>
        <w:t>Perfluoroctansyre</w:t>
      </w:r>
      <w:proofErr w:type="spellEnd"/>
      <w:r>
        <w:t xml:space="preserve"> (</w:t>
      </w:r>
      <w:r w:rsidR="00AF4B7C">
        <w:t>PFOA</w:t>
      </w:r>
      <w:r>
        <w:t>)</w:t>
      </w:r>
      <w:r w:rsidR="00AF4B7C">
        <w:t xml:space="preserve"> og relaterede stoffer anvendes primært som mellemprodukt eller hjælpekemikalie i den kemiske industri ved fremstilling af fluorpolymerer og </w:t>
      </w:r>
      <w:proofErr w:type="spellStart"/>
      <w:r w:rsidR="00AF4B7C">
        <w:t>perfluorerede</w:t>
      </w:r>
      <w:proofErr w:type="spellEnd"/>
      <w:r w:rsidR="00AF4B7C">
        <w:t xml:space="preserve"> stoffer, som primært anvendes som imprægneringsmidler. Stofferne vurderes ikke at blive anvendt i Grønland</w:t>
      </w:r>
      <w:r w:rsidR="00C97443">
        <w:t>, som ikke har denne type kemisk industri</w:t>
      </w:r>
      <w:r w:rsidR="00AF4B7C">
        <w:t>. De væsentligste problemstillinger knytter sig til restindhold af PFOA i produkter med</w:t>
      </w:r>
      <w:r w:rsidR="00C97443">
        <w:t xml:space="preserve"> indhold af</w:t>
      </w:r>
      <w:r w:rsidR="00AF4B7C">
        <w:t xml:space="preserve"> fluorpolymerer (f</w:t>
      </w:r>
      <w:r w:rsidR="00C06AB9">
        <w:t>.eks</w:t>
      </w:r>
      <w:r w:rsidR="006F7A6B">
        <w:t>.</w:t>
      </w:r>
      <w:r w:rsidR="00C06AB9">
        <w:t>,</w:t>
      </w:r>
      <w:r w:rsidR="00C97443">
        <w:t xml:space="preserve"> belægningen på</w:t>
      </w:r>
      <w:r w:rsidR="00AF4B7C">
        <w:t xml:space="preserve"> "slip-let" pander) eller produkter imprægneret med </w:t>
      </w:r>
      <w:proofErr w:type="spellStart"/>
      <w:r>
        <w:t>perfluorerede</w:t>
      </w:r>
      <w:proofErr w:type="spellEnd"/>
      <w:r>
        <w:t xml:space="preserve"> stoffer (f</w:t>
      </w:r>
      <w:r w:rsidR="00C06AB9">
        <w:t>.eks.</w:t>
      </w:r>
      <w:r>
        <w:t xml:space="preserve"> alt-</w:t>
      </w:r>
      <w:r>
        <w:lastRenderedPageBreak/>
        <w:t>vejrs tøj). PFOA vil kunne forekomme i lave koncentrationer (</w:t>
      </w:r>
      <w:proofErr w:type="spellStart"/>
      <w:r>
        <w:t>ppm</w:t>
      </w:r>
      <w:proofErr w:type="spellEnd"/>
      <w:r>
        <w:t xml:space="preserve"> niveau) i produkter importeret til Grønland. En optagelse af stofferne under konvent</w:t>
      </w:r>
      <w:r w:rsidR="00C97443">
        <w:t>ionen vi</w:t>
      </w:r>
      <w:r>
        <w:t xml:space="preserve">l primært have konsekvenser for lande, hvor stofferne direkte anvendes i produktionsprocesser. Der vurderes ikke, at der vil kunne være en væsentlig ny problemstilling i relation til PFOA i affaldsstrømmen i Grønland. </w:t>
      </w:r>
    </w:p>
    <w:p w14:paraId="4F0C34AA" w14:textId="68CFF367" w:rsidR="004F0F32" w:rsidRDefault="004F0F32" w:rsidP="0062571E">
      <w:pPr>
        <w:pStyle w:val="Overskrift4"/>
      </w:pPr>
      <w:proofErr w:type="spellStart"/>
      <w:r>
        <w:t>PFHxS</w:t>
      </w:r>
      <w:proofErr w:type="spellEnd"/>
      <w:r>
        <w:t>,</w:t>
      </w:r>
      <w:r w:rsidRPr="00AF4B7C">
        <w:t xml:space="preserve"> </w:t>
      </w:r>
      <w:r>
        <w:t xml:space="preserve">dets salte og </w:t>
      </w:r>
      <w:proofErr w:type="spellStart"/>
      <w:r>
        <w:t>PFHxS</w:t>
      </w:r>
      <w:proofErr w:type="spellEnd"/>
      <w:r>
        <w:t>-relaterede stoffer</w:t>
      </w:r>
    </w:p>
    <w:p w14:paraId="78AAD3BA" w14:textId="12A609B8" w:rsidR="004F0F32" w:rsidRDefault="004F0F32" w:rsidP="0062571E">
      <w:pPr>
        <w:pStyle w:val="Brdtekst"/>
      </w:pPr>
      <w:proofErr w:type="spellStart"/>
      <w:r>
        <w:rPr>
          <w:lang w:eastAsia="en-US"/>
        </w:rPr>
        <w:t>P</w:t>
      </w:r>
      <w:r w:rsidRPr="000D0869">
        <w:rPr>
          <w:lang w:eastAsia="en-US"/>
        </w:rPr>
        <w:t>erfluor</w:t>
      </w:r>
      <w:r>
        <w:rPr>
          <w:lang w:eastAsia="en-US"/>
        </w:rPr>
        <w:t>hexan</w:t>
      </w:r>
      <w:r w:rsidRPr="000D0869">
        <w:rPr>
          <w:lang w:eastAsia="en-US"/>
        </w:rPr>
        <w:t>sulfonsyre</w:t>
      </w:r>
      <w:proofErr w:type="spellEnd"/>
      <w:r>
        <w:rPr>
          <w:lang w:eastAsia="en-US"/>
        </w:rPr>
        <w:t xml:space="preserve"> </w:t>
      </w:r>
      <w:r>
        <w:t>(</w:t>
      </w:r>
      <w:proofErr w:type="spellStart"/>
      <w:r>
        <w:t>PFHxS</w:t>
      </w:r>
      <w:proofErr w:type="spellEnd"/>
      <w:r>
        <w:t>) og relaterede stoffer anvendes som overfladeaktivt stof. Stoffe</w:t>
      </w:r>
      <w:r w:rsidR="00382F40">
        <w:t>t</w:t>
      </w:r>
      <w:r>
        <w:t xml:space="preserve"> minder om PFOS, men med en </w:t>
      </w:r>
      <w:proofErr w:type="spellStart"/>
      <w:r>
        <w:t>perfluoreret</w:t>
      </w:r>
      <w:proofErr w:type="spellEnd"/>
      <w:r>
        <w:t xml:space="preserve"> kædelængde på seks i stedet for otte kulstofatomer. </w:t>
      </w:r>
      <w:r w:rsidR="00D03D5F">
        <w:t>Det blev introduceret af det amerikanske firma 3M som alternativ til PFOS og anvendt som udgangsstof for brandslukningsskum og vand- og smuds</w:t>
      </w:r>
      <w:r w:rsidR="00382F40">
        <w:t>afvisende</w:t>
      </w:r>
      <w:r w:rsidR="00D03D5F">
        <w:t xml:space="preserve"> midler</w:t>
      </w:r>
      <w:r w:rsidR="00382F40">
        <w:t>,</w:t>
      </w:r>
      <w:r w:rsidR="00D03D5F">
        <w:t xml:space="preserve"> især til tæpper. Det produceres ikke længere i USA eller EU, men der foregår en vis produktion i Kina. Problemstillingen i relation til Grønland vurderes primært at </w:t>
      </w:r>
      <w:r w:rsidR="00382F40">
        <w:t xml:space="preserve">være </w:t>
      </w:r>
      <w:r w:rsidR="00D03D5F">
        <w:t>en mulig forurening af brandøvelsespladser.</w:t>
      </w:r>
      <w:r w:rsidR="00EE0C3B">
        <w:t xml:space="preserve"> </w:t>
      </w:r>
      <w:proofErr w:type="spellStart"/>
      <w:r w:rsidR="00B70E27">
        <w:t>PFHxS</w:t>
      </w:r>
      <w:proofErr w:type="spellEnd"/>
      <w:r w:rsidR="00B70E27">
        <w:t xml:space="preserve"> </w:t>
      </w:r>
      <w:r w:rsidR="00EE0C3B">
        <w:t xml:space="preserve">er ligesom PFOS fundet på brandøvelsespladser i Danmark, og på </w:t>
      </w:r>
      <w:r w:rsidR="00AE1714">
        <w:t>é</w:t>
      </w:r>
      <w:r w:rsidR="00EE0C3B">
        <w:t>n af pladserne var det den dominerende FPAS (</w:t>
      </w:r>
      <w:proofErr w:type="spellStart"/>
      <w:r w:rsidR="00EE0C3B">
        <w:t>Tsitonaki</w:t>
      </w:r>
      <w:proofErr w:type="spellEnd"/>
      <w:r w:rsidR="00EE0C3B">
        <w:t xml:space="preserve"> m.fl.,</w:t>
      </w:r>
      <w:r w:rsidR="00AE1714">
        <w:t xml:space="preserve"> </w:t>
      </w:r>
      <w:r w:rsidR="00EE0C3B">
        <w:t>2014).</w:t>
      </w:r>
      <w:r w:rsidR="00D03D5F">
        <w:t xml:space="preserve"> Hvis der igangsættes en undersøgelse for PFOS på brandøvelsespladser, vil det derfor også være relevant at analysere for </w:t>
      </w:r>
      <w:proofErr w:type="spellStart"/>
      <w:r w:rsidR="00D03D5F">
        <w:t>PFHxS</w:t>
      </w:r>
      <w:proofErr w:type="spellEnd"/>
      <w:r w:rsidR="00D03D5F">
        <w:t>.</w:t>
      </w:r>
      <w:r w:rsidR="00222BA6">
        <w:t xml:space="preserve"> Ud over dette vurderes der ikke at være væsentlig</w:t>
      </w:r>
      <w:r w:rsidR="00382F40">
        <w:t>e</w:t>
      </w:r>
      <w:r w:rsidR="00222BA6">
        <w:t xml:space="preserve"> konsekvenser for Grønland af at stoffet optages under konventionen. </w:t>
      </w:r>
    </w:p>
    <w:p w14:paraId="7D6CF7D9" w14:textId="77777777" w:rsidR="00193271" w:rsidRDefault="00193271" w:rsidP="00193271">
      <w:pPr>
        <w:pStyle w:val="Overskrift4"/>
      </w:pPr>
      <w:proofErr w:type="spellStart"/>
      <w:r>
        <w:t>Dicofol</w:t>
      </w:r>
      <w:proofErr w:type="spellEnd"/>
      <w:r>
        <w:t xml:space="preserve"> </w:t>
      </w:r>
    </w:p>
    <w:p w14:paraId="4F8C515C" w14:textId="10E8D335" w:rsidR="004F0F32" w:rsidRDefault="00E75449" w:rsidP="00193271">
      <w:pPr>
        <w:pStyle w:val="Brdtekst"/>
      </w:pPr>
      <w:proofErr w:type="spellStart"/>
      <w:r>
        <w:t>Dicofol</w:t>
      </w:r>
      <w:proofErr w:type="spellEnd"/>
      <w:r>
        <w:t xml:space="preserve"> er et pesticid</w:t>
      </w:r>
      <w:r w:rsidR="00382F40">
        <w:t xml:space="preserve"> (middel mod insekter og mider)</w:t>
      </w:r>
      <w:r>
        <w:t xml:space="preserve">, og der vurderes ikke at </w:t>
      </w:r>
      <w:r w:rsidR="00AF4B7C">
        <w:t>være konsekvenser for Grønland</w:t>
      </w:r>
      <w:r w:rsidR="00382F40">
        <w:t>,</w:t>
      </w:r>
      <w:r w:rsidR="00AF4B7C">
        <w:t xml:space="preserve"> hvis stoffet optages.</w:t>
      </w:r>
    </w:p>
    <w:p w14:paraId="0C65AB77" w14:textId="60068577" w:rsidR="00653C3A" w:rsidRPr="00653C3A" w:rsidRDefault="00AF4B7C" w:rsidP="00653C3A">
      <w:pPr>
        <w:pStyle w:val="Brdtekst"/>
      </w:pPr>
      <w:r>
        <w:t xml:space="preserve"> </w:t>
      </w:r>
    </w:p>
    <w:p w14:paraId="7D6CF7DB" w14:textId="77777777" w:rsidR="00193271" w:rsidRDefault="00193271" w:rsidP="00193271">
      <w:pPr>
        <w:pStyle w:val="Brdtekst"/>
      </w:pPr>
    </w:p>
    <w:p w14:paraId="7D6CF7DC" w14:textId="77777777" w:rsidR="00193271" w:rsidRPr="00193271" w:rsidRDefault="00193271" w:rsidP="00193271">
      <w:pPr>
        <w:pStyle w:val="Brdtekst"/>
      </w:pPr>
    </w:p>
    <w:p w14:paraId="7D6CF7DD" w14:textId="77777777" w:rsidR="00193271" w:rsidRDefault="00193271" w:rsidP="00193271">
      <w:pPr>
        <w:pStyle w:val="Brdtekst"/>
      </w:pPr>
    </w:p>
    <w:p w14:paraId="7D6CF7DE" w14:textId="77777777" w:rsidR="00193271" w:rsidRPr="00193271" w:rsidRDefault="00193271" w:rsidP="00193271">
      <w:pPr>
        <w:pStyle w:val="Brdtekst"/>
      </w:pPr>
    </w:p>
    <w:p w14:paraId="7D6CF7DF" w14:textId="77777777" w:rsidR="001C7DA0" w:rsidRPr="001C7DA0" w:rsidRDefault="001C7DA0" w:rsidP="001C7DA0">
      <w:pPr>
        <w:pStyle w:val="Brdtekst"/>
      </w:pPr>
    </w:p>
    <w:p w14:paraId="7D6CF7E0" w14:textId="77777777" w:rsidR="001C7DA0" w:rsidRPr="001C7DA0" w:rsidRDefault="001C7DA0" w:rsidP="001C7DA0">
      <w:pPr>
        <w:pStyle w:val="Brdtekst"/>
      </w:pPr>
    </w:p>
    <w:p w14:paraId="7D6CF7E3" w14:textId="77777777" w:rsidR="00581408" w:rsidRDefault="00581408" w:rsidP="001C7DA0">
      <w:pPr>
        <w:pStyle w:val="Overskrift1"/>
      </w:pPr>
      <w:bookmarkStart w:id="93" w:name="_Ref468698372"/>
      <w:bookmarkStart w:id="94" w:name="_Toc469053548"/>
      <w:bookmarkStart w:id="95" w:name="_Toc469057829"/>
      <w:bookmarkStart w:id="96" w:name="_Toc469304927"/>
      <w:bookmarkStart w:id="97" w:name="_Toc10205722"/>
      <w:r>
        <w:lastRenderedPageBreak/>
        <w:t>Andre konsekvenser</w:t>
      </w:r>
      <w:bookmarkEnd w:id="93"/>
      <w:bookmarkEnd w:id="94"/>
      <w:bookmarkEnd w:id="95"/>
      <w:bookmarkEnd w:id="96"/>
      <w:bookmarkEnd w:id="97"/>
    </w:p>
    <w:p w14:paraId="7D6CF7E4" w14:textId="77777777" w:rsidR="00AC6327" w:rsidRDefault="003716BA" w:rsidP="00AC6327">
      <w:pPr>
        <w:pStyle w:val="Overskrift2"/>
      </w:pPr>
      <w:bookmarkStart w:id="98" w:name="_Toc469053549"/>
      <w:bookmarkStart w:id="99" w:name="_Toc469057830"/>
      <w:bookmarkStart w:id="100" w:name="_Toc469304928"/>
      <w:bookmarkStart w:id="101" w:name="_Toc10205723"/>
      <w:r>
        <w:t>Rapporteringsforpligtelser</w:t>
      </w:r>
      <w:bookmarkEnd w:id="98"/>
      <w:bookmarkEnd w:id="99"/>
      <w:bookmarkEnd w:id="100"/>
      <w:bookmarkEnd w:id="101"/>
    </w:p>
    <w:p w14:paraId="116CAB34" w14:textId="03992D47" w:rsidR="006267D0" w:rsidRDefault="006267D0" w:rsidP="006267D0">
      <w:pPr>
        <w:pStyle w:val="Overskrift3"/>
      </w:pPr>
      <w:r>
        <w:t>Implementeringsplaner</w:t>
      </w:r>
    </w:p>
    <w:p w14:paraId="553C4112" w14:textId="27B690B6" w:rsidR="006267D0" w:rsidRDefault="006267D0" w:rsidP="006267D0">
      <w:pPr>
        <w:pStyle w:val="Brdtekst"/>
      </w:pPr>
      <w:r>
        <w:t xml:space="preserve">Parter til konventionen skal hvert 5. år opdatere deres implementeringsplaner. </w:t>
      </w:r>
      <w:r w:rsidR="005D5C10">
        <w:br/>
      </w:r>
      <w:r w:rsidR="00496CAF">
        <w:t xml:space="preserve">I praksis er det sket hver 6. år. </w:t>
      </w:r>
      <w:r>
        <w:t>Danmark har således udarbejdet implementeringsplaner i 2006</w:t>
      </w:r>
      <w:r w:rsidR="00496CAF">
        <w:t xml:space="preserve">, </w:t>
      </w:r>
      <w:r>
        <w:t xml:space="preserve">2012 og </w:t>
      </w:r>
      <w:r w:rsidR="00496CAF">
        <w:t>senest</w:t>
      </w:r>
      <w:r>
        <w:t xml:space="preserve"> i 2018. </w:t>
      </w:r>
      <w:r w:rsidR="00496CAF">
        <w:t xml:space="preserve">Den næste plan må forventes at skulle indsendes i 2023/2024. </w:t>
      </w:r>
    </w:p>
    <w:p w14:paraId="429D3069" w14:textId="4CB0626F" w:rsidR="00AE1714" w:rsidRDefault="00AE1714" w:rsidP="00AE1714">
      <w:pPr>
        <w:pStyle w:val="Brdtekst"/>
      </w:pPr>
      <w:r>
        <w:t xml:space="preserve">Ingen af de tre implementering planer har indeholdt oplysninger om POP-situationen i Grønland eller Færøerne. Det skal især bemærkes, at den seneste implementeringsplan ikke indeholdt oplysninger om Færøerne, selvom det territoriale forbehold er blevet hævet for flere år siden. </w:t>
      </w:r>
    </w:p>
    <w:p w14:paraId="075B75C8" w14:textId="035A33AE" w:rsidR="00AE1714" w:rsidRDefault="00AE1714" w:rsidP="00AE1714">
      <w:pPr>
        <w:pStyle w:val="Brdtekst"/>
      </w:pPr>
      <w:r>
        <w:t>H</w:t>
      </w:r>
      <w:r w:rsidR="006267D0">
        <w:t xml:space="preserve">vis det territoriale forbehold for Grønland hæves, vil </w:t>
      </w:r>
      <w:r w:rsidR="00ED3F3C">
        <w:t xml:space="preserve">der </w:t>
      </w:r>
      <w:r>
        <w:t xml:space="preserve">muligvis </w:t>
      </w:r>
      <w:r w:rsidR="006267D0">
        <w:t xml:space="preserve">skulle </w:t>
      </w:r>
      <w:r w:rsidR="00D24752">
        <w:t xml:space="preserve">udarbejdes en kort </w:t>
      </w:r>
      <w:proofErr w:type="spellStart"/>
      <w:r w:rsidR="002F1D4E">
        <w:t>landebasislinie</w:t>
      </w:r>
      <w:proofErr w:type="spellEnd"/>
      <w:r w:rsidR="00D24752">
        <w:t xml:space="preserve"> </w:t>
      </w:r>
      <w:r w:rsidR="006267D0">
        <w:t xml:space="preserve">for Grønland </w:t>
      </w:r>
      <w:r w:rsidR="00D24752">
        <w:t xml:space="preserve">og </w:t>
      </w:r>
      <w:r w:rsidR="006267D0">
        <w:t>handlingsplaner for dioxiner og</w:t>
      </w:r>
      <w:r w:rsidR="00D24752">
        <w:t xml:space="preserve"> PFOS</w:t>
      </w:r>
      <w:r w:rsidR="006267D0">
        <w:t>, som skal indarbejdes i Danmarks</w:t>
      </w:r>
      <w:r w:rsidR="00496CAF">
        <w:t xml:space="preserve"> næste</w:t>
      </w:r>
      <w:r w:rsidR="006267D0">
        <w:t xml:space="preserve"> opdaterede implementeringsplan</w:t>
      </w:r>
      <w:r>
        <w:t>. Som nævnt indeholder den seneste implementeringsplan ikke et bidrag fra Færøerne. Det har tidligere været oplyst fra Miljøstyrelsen</w:t>
      </w:r>
      <w:r w:rsidR="005D5C10">
        <w:t>,</w:t>
      </w:r>
      <w:r>
        <w:t xml:space="preserve"> at det kunne komme på tale, at Grønland skulle bidrage hvis det territoriale forbehold blev ophævet. Det kan derfor ikke afvises, at der til kommende planer vil </w:t>
      </w:r>
      <w:r w:rsidR="005D5C10">
        <w:t xml:space="preserve">kunne </w:t>
      </w:r>
      <w:r>
        <w:t>være krav om at bidrage.</w:t>
      </w:r>
    </w:p>
    <w:p w14:paraId="494DF397" w14:textId="4B63AAD2" w:rsidR="00EE7564" w:rsidRDefault="00EE7564" w:rsidP="00AC6327">
      <w:pPr>
        <w:pStyle w:val="Brdtekst"/>
      </w:pPr>
      <w:r w:rsidRPr="00EE7564">
        <w:rPr>
          <w:b/>
        </w:rPr>
        <w:t>Omkostninger</w:t>
      </w:r>
      <w:r>
        <w:t xml:space="preserve"> - Omkostninger til udarbejdelse af næste implementeringsplan</w:t>
      </w:r>
      <w:r w:rsidR="00496CAF">
        <w:t>, hvis de regnes med at Grønland skal levere input til planen,</w:t>
      </w:r>
      <w:r>
        <w:t xml:space="preserve"> vurderes </w:t>
      </w:r>
      <w:r w:rsidR="00BA46F8">
        <w:t xml:space="preserve">at være </w:t>
      </w:r>
      <w:r w:rsidR="00AE1714">
        <w:t xml:space="preserve">¼ </w:t>
      </w:r>
      <w:r w:rsidR="00BA46F8">
        <w:t>-</w:t>
      </w:r>
      <w:r w:rsidR="002B281F">
        <w:t xml:space="preserve">1 </w:t>
      </w:r>
      <w:r w:rsidR="00BA46F8">
        <w:t xml:space="preserve">mandmåned, og </w:t>
      </w:r>
      <w:r w:rsidR="002B281F">
        <w:t xml:space="preserve">maksimalt en </w:t>
      </w:r>
      <w:r>
        <w:t>mand</w:t>
      </w:r>
      <w:r w:rsidR="002B281F">
        <w:t>uge</w:t>
      </w:r>
      <w:r>
        <w:t xml:space="preserve"> hver</w:t>
      </w:r>
      <w:r w:rsidR="002B281F">
        <w:t>t</w:t>
      </w:r>
      <w:r>
        <w:t xml:space="preserve"> femte år til efterfølgende implementeringsplaner.</w:t>
      </w:r>
    </w:p>
    <w:p w14:paraId="38166100" w14:textId="77777777" w:rsidR="00E552B6" w:rsidRDefault="00E552B6" w:rsidP="00E552B6">
      <w:pPr>
        <w:pStyle w:val="Overskrift3"/>
      </w:pPr>
      <w:r>
        <w:t xml:space="preserve">Anden rapportering </w:t>
      </w:r>
    </w:p>
    <w:p w14:paraId="4D941DCF" w14:textId="77777777" w:rsidR="00E552B6" w:rsidRDefault="00E552B6" w:rsidP="00E552B6">
      <w:pPr>
        <w:pStyle w:val="Brdtekst"/>
      </w:pPr>
      <w:r>
        <w:t>Danmark udarbejder hver 4. år en såkaldt artikel 15-rapport til sekretariatet. Næste rapport vil skulle udarbejdes i 2022. Rapporteringen foregår via et online system. Danmarks seneste rapportering fra 2018 kan findes på nedenstående link</w:t>
      </w:r>
      <w:r>
        <w:rPr>
          <w:rStyle w:val="Fodnotehenvisning"/>
        </w:rPr>
        <w:footnoteReference w:id="17"/>
      </w:r>
      <w:r>
        <w:t xml:space="preserve">. Det er værd at bemærke, at rapporten ikke nævner Færøerne og ikke indeholder referencer til lovgivning og initiativer på Færøerne. </w:t>
      </w:r>
    </w:p>
    <w:p w14:paraId="46485BC0" w14:textId="77777777" w:rsidR="00E552B6" w:rsidRDefault="00E552B6" w:rsidP="00E552B6">
      <w:pPr>
        <w:pStyle w:val="Brdtekst"/>
      </w:pPr>
      <w:r>
        <w:t>Rapporteringen bruges til at angive, hvor langt Danmark er i forhold til implementering af konventionens krav. Systemet er bygget op omkring en række valgmuligheder, hvor der krydses af, og gives supplerende information.</w:t>
      </w:r>
    </w:p>
    <w:p w14:paraId="60F4AE83" w14:textId="77777777" w:rsidR="00E552B6" w:rsidRDefault="00E552B6" w:rsidP="00E552B6">
      <w:pPr>
        <w:pStyle w:val="Brdtekst"/>
      </w:pPr>
      <w:r>
        <w:lastRenderedPageBreak/>
        <w:t xml:space="preserve">Som eksempel spørges der under punkt 9 til, hvilke tiltag der er taget i relation til PCB i byggematerialer. </w:t>
      </w:r>
    </w:p>
    <w:p w14:paraId="25D7C8A9" w14:textId="77777777" w:rsidR="00E552B6" w:rsidRDefault="00E552B6" w:rsidP="00E552B6">
      <w:pPr>
        <w:pStyle w:val="Brdtekst"/>
      </w:pPr>
      <w:r>
        <w:t>Mere specifikt omkring tiltag spørges der i 9.2 "</w:t>
      </w:r>
      <w:proofErr w:type="spellStart"/>
      <w:r w:rsidRPr="00D42BF5">
        <w:rPr>
          <w:i/>
        </w:rPr>
        <w:t>Please</w:t>
      </w:r>
      <w:proofErr w:type="spellEnd"/>
      <w:r w:rsidRPr="00D42BF5">
        <w:rPr>
          <w:i/>
        </w:rPr>
        <w:t xml:space="preserve"> </w:t>
      </w:r>
      <w:proofErr w:type="spellStart"/>
      <w:r w:rsidRPr="00D42BF5">
        <w:rPr>
          <w:i/>
        </w:rPr>
        <w:t>select</w:t>
      </w:r>
      <w:proofErr w:type="spellEnd"/>
      <w:r w:rsidRPr="00D42BF5">
        <w:rPr>
          <w:i/>
        </w:rPr>
        <w:t xml:space="preserve"> all measures </w:t>
      </w:r>
      <w:proofErr w:type="spellStart"/>
      <w:r w:rsidRPr="00D42BF5">
        <w:rPr>
          <w:i/>
        </w:rPr>
        <w:t>that</w:t>
      </w:r>
      <w:proofErr w:type="spellEnd"/>
      <w:r w:rsidRPr="00D42BF5">
        <w:rPr>
          <w:i/>
        </w:rPr>
        <w:t xml:space="preserve"> </w:t>
      </w:r>
      <w:proofErr w:type="spellStart"/>
      <w:r w:rsidRPr="00D42BF5">
        <w:rPr>
          <w:i/>
        </w:rPr>
        <w:t>apply</w:t>
      </w:r>
      <w:proofErr w:type="spellEnd"/>
      <w:r>
        <w:t xml:space="preserve"> ", og svarmulighederne er: </w:t>
      </w:r>
    </w:p>
    <w:p w14:paraId="6239B28A" w14:textId="77777777" w:rsidR="00E552B6" w:rsidRPr="00D42BF5" w:rsidRDefault="00E552B6" w:rsidP="00E552B6">
      <w:pPr>
        <w:pStyle w:val="Brdtekst"/>
      </w:pPr>
      <w:r>
        <w:sym w:font="Wingdings" w:char="F078"/>
      </w:r>
      <w:r>
        <w:t xml:space="preserve"> </w:t>
      </w:r>
      <w:proofErr w:type="spellStart"/>
      <w:r w:rsidRPr="00D42BF5">
        <w:rPr>
          <w:i/>
        </w:rPr>
        <w:t>Constitution</w:t>
      </w:r>
      <w:proofErr w:type="spellEnd"/>
      <w:r w:rsidRPr="00D42BF5">
        <w:rPr>
          <w:i/>
        </w:rPr>
        <w:t xml:space="preserve"> of </w:t>
      </w:r>
      <w:proofErr w:type="spellStart"/>
      <w:r w:rsidRPr="00D42BF5">
        <w:rPr>
          <w:i/>
        </w:rPr>
        <w:t>task</w:t>
      </w:r>
      <w:proofErr w:type="spellEnd"/>
      <w:r w:rsidRPr="00D42BF5">
        <w:rPr>
          <w:i/>
        </w:rPr>
        <w:t xml:space="preserve"> force</w:t>
      </w:r>
      <w:r w:rsidRPr="00D42BF5">
        <w:t>. [dannelse af særligt udvalg]</w:t>
      </w:r>
    </w:p>
    <w:p w14:paraId="5A834C58" w14:textId="77777777" w:rsidR="00E552B6" w:rsidRPr="00976611" w:rsidRDefault="00E552B6" w:rsidP="00E552B6">
      <w:pPr>
        <w:pStyle w:val="Brdtekst"/>
        <w:rPr>
          <w:i/>
          <w:lang w:val="en-US"/>
        </w:rPr>
      </w:pPr>
      <w:r w:rsidRPr="00D42BF5">
        <w:rPr>
          <w:i/>
        </w:rPr>
        <w:sym w:font="Wingdings" w:char="F071"/>
      </w:r>
      <w:r w:rsidRPr="00976611">
        <w:rPr>
          <w:i/>
          <w:lang w:val="en-US"/>
        </w:rPr>
        <w:t xml:space="preserve"> Questionnaire survey.</w:t>
      </w:r>
      <w:r w:rsidRPr="00976611">
        <w:rPr>
          <w:lang w:val="en-US"/>
        </w:rPr>
        <w:t xml:space="preserve"> [</w:t>
      </w:r>
      <w:proofErr w:type="spellStart"/>
      <w:proofErr w:type="gramStart"/>
      <w:r w:rsidRPr="00976611">
        <w:rPr>
          <w:lang w:val="en-US"/>
        </w:rPr>
        <w:t>spørgeskemaundersøgelse</w:t>
      </w:r>
      <w:proofErr w:type="spellEnd"/>
      <w:proofErr w:type="gramEnd"/>
      <w:r w:rsidRPr="00976611">
        <w:rPr>
          <w:lang w:val="en-US"/>
        </w:rPr>
        <w:t>]</w:t>
      </w:r>
    </w:p>
    <w:p w14:paraId="7A14C19A" w14:textId="77777777" w:rsidR="00E552B6" w:rsidRPr="00976611" w:rsidRDefault="00E552B6" w:rsidP="00E552B6">
      <w:pPr>
        <w:pStyle w:val="Brdtekst"/>
        <w:rPr>
          <w:i/>
          <w:lang w:val="en-US"/>
        </w:rPr>
      </w:pPr>
      <w:r w:rsidRPr="00D42BF5">
        <w:rPr>
          <w:i/>
        </w:rPr>
        <w:sym w:font="Wingdings" w:char="F078"/>
      </w:r>
      <w:r w:rsidRPr="00976611">
        <w:rPr>
          <w:i/>
          <w:lang w:val="en-US"/>
        </w:rPr>
        <w:t xml:space="preserve"> Legislation/regulation. </w:t>
      </w:r>
      <w:r w:rsidRPr="00976611">
        <w:rPr>
          <w:lang w:val="en-US"/>
        </w:rPr>
        <w:t>[</w:t>
      </w:r>
      <w:proofErr w:type="spellStart"/>
      <w:proofErr w:type="gramStart"/>
      <w:r w:rsidRPr="00976611">
        <w:rPr>
          <w:lang w:val="en-US"/>
        </w:rPr>
        <w:t>lovgivning</w:t>
      </w:r>
      <w:proofErr w:type="spellEnd"/>
      <w:proofErr w:type="gramEnd"/>
      <w:r w:rsidRPr="00976611">
        <w:rPr>
          <w:lang w:val="en-US"/>
        </w:rPr>
        <w:t>]</w:t>
      </w:r>
    </w:p>
    <w:p w14:paraId="095437E5" w14:textId="77777777" w:rsidR="00E552B6" w:rsidRPr="00976611" w:rsidRDefault="00E552B6" w:rsidP="00E552B6">
      <w:pPr>
        <w:pStyle w:val="Brdtekst"/>
        <w:rPr>
          <w:i/>
          <w:lang w:val="en-US"/>
        </w:rPr>
      </w:pPr>
      <w:r w:rsidRPr="00D42BF5">
        <w:rPr>
          <w:i/>
        </w:rPr>
        <w:sym w:font="Wingdings" w:char="F071"/>
      </w:r>
      <w:r w:rsidRPr="00976611">
        <w:rPr>
          <w:i/>
          <w:lang w:val="en-US"/>
        </w:rPr>
        <w:t xml:space="preserve"> Development of inventory</w:t>
      </w:r>
      <w:r w:rsidRPr="00976611">
        <w:rPr>
          <w:lang w:val="en-US"/>
        </w:rPr>
        <w:t>. [</w:t>
      </w:r>
      <w:proofErr w:type="spellStart"/>
      <w:proofErr w:type="gramStart"/>
      <w:r w:rsidRPr="00976611">
        <w:rPr>
          <w:lang w:val="en-US"/>
        </w:rPr>
        <w:t>detaljeret</w:t>
      </w:r>
      <w:proofErr w:type="spellEnd"/>
      <w:proofErr w:type="gramEnd"/>
      <w:r w:rsidRPr="00976611">
        <w:rPr>
          <w:lang w:val="en-US"/>
        </w:rPr>
        <w:t xml:space="preserve"> </w:t>
      </w:r>
      <w:proofErr w:type="spellStart"/>
      <w:r w:rsidRPr="00976611">
        <w:rPr>
          <w:lang w:val="en-US"/>
        </w:rPr>
        <w:t>kortlægning</w:t>
      </w:r>
      <w:proofErr w:type="spellEnd"/>
      <w:r w:rsidRPr="00976611">
        <w:rPr>
          <w:lang w:val="en-US"/>
        </w:rPr>
        <w:t>]</w:t>
      </w:r>
      <w:r w:rsidRPr="00976611">
        <w:rPr>
          <w:i/>
          <w:lang w:val="en-US"/>
        </w:rPr>
        <w:t xml:space="preserve"> </w:t>
      </w:r>
    </w:p>
    <w:p w14:paraId="7EF104E9" w14:textId="77777777" w:rsidR="00E552B6" w:rsidRPr="00976611" w:rsidRDefault="00E552B6" w:rsidP="00E552B6">
      <w:pPr>
        <w:pStyle w:val="Brdtekst"/>
        <w:rPr>
          <w:lang w:val="en-US"/>
        </w:rPr>
      </w:pPr>
      <w:r w:rsidRPr="00D42BF5">
        <w:rPr>
          <w:i/>
        </w:rPr>
        <w:sym w:font="Wingdings" w:char="F078"/>
      </w:r>
      <w:r w:rsidRPr="00976611">
        <w:rPr>
          <w:i/>
          <w:lang w:val="en-US"/>
        </w:rPr>
        <w:t xml:space="preserve"> </w:t>
      </w:r>
      <w:proofErr w:type="gramStart"/>
      <w:r w:rsidRPr="00976611">
        <w:rPr>
          <w:i/>
          <w:lang w:val="en-US"/>
        </w:rPr>
        <w:t>Other :</w:t>
      </w:r>
      <w:proofErr w:type="gramEnd"/>
      <w:r w:rsidRPr="00976611">
        <w:rPr>
          <w:i/>
          <w:lang w:val="en-US"/>
        </w:rPr>
        <w:t xml:space="preserve"> (Please specify) "Data from a survey on PCB in buildings in Denmark has been published in 2013</w:t>
      </w:r>
      <w:r w:rsidRPr="00976611">
        <w:rPr>
          <w:lang w:val="en-US"/>
        </w:rPr>
        <w:t xml:space="preserve">" </w:t>
      </w:r>
    </w:p>
    <w:p w14:paraId="7F564BBD" w14:textId="77777777" w:rsidR="00E552B6" w:rsidRDefault="00E552B6" w:rsidP="00E552B6">
      <w:pPr>
        <w:pStyle w:val="Brdtekst"/>
      </w:pPr>
      <w:r>
        <w:t xml:space="preserve">Der angives i øvrigt, hvilke materialer, der er identificeret PCB i, men ikke yderligere detaljer eller mængdeangivelser. </w:t>
      </w:r>
    </w:p>
    <w:p w14:paraId="2CA47D7C" w14:textId="7781F248" w:rsidR="00E552B6" w:rsidRDefault="00E552B6" w:rsidP="00E552B6">
      <w:pPr>
        <w:pStyle w:val="Brdtekst"/>
      </w:pPr>
      <w:r>
        <w:t xml:space="preserve">De mest kontante data gives for dioxiner, hvor emissioner til luft angives for 2012 opdelt på 5 kategorier på basis af emissionsopgørelserne til UNECE (FN's Økonomiske Kommission for Europa). Desuden opgives mængden af PFOS anvendt til hårdforkromning, som </w:t>
      </w:r>
      <w:r w:rsidR="00853C12">
        <w:t>va</w:t>
      </w:r>
      <w:r>
        <w:t>r den eneste daværende anvendelse af PFOS i Danmark (er nu ophørt).</w:t>
      </w:r>
    </w:p>
    <w:p w14:paraId="3D6EC036" w14:textId="77777777" w:rsidR="00E552B6" w:rsidRDefault="00E552B6" w:rsidP="00E552B6">
      <w:pPr>
        <w:pStyle w:val="Brdtekst"/>
      </w:pPr>
      <w:r>
        <w:t>Der vil ikke skulle være specifik rapportering for Grønland, men udelukkende en samlet rapport for Danmark.</w:t>
      </w:r>
    </w:p>
    <w:p w14:paraId="5CD09A01" w14:textId="510FDF6D" w:rsidR="00E552B6" w:rsidRDefault="00E552B6" w:rsidP="00E552B6">
      <w:pPr>
        <w:pStyle w:val="Brdtekst"/>
      </w:pPr>
      <w:r>
        <w:t>Det kan ikke afvises, at Miljø</w:t>
      </w:r>
      <w:r w:rsidR="00853C12">
        <w:t>- og Fødevareministeriet</w:t>
      </w:r>
      <w:r>
        <w:t xml:space="preserve"> i forbindelse med rapportering vil spørge til implementeringen i Grønland, men der forventes ikke at skulle foretages en mere indgående rapportering. Af størst betydning vil formentlig være, hvorvidt der er udarbejdet den nødvendige lovgivning, der implementerer konventionens krav. </w:t>
      </w:r>
    </w:p>
    <w:p w14:paraId="49B0EFA8" w14:textId="77777777" w:rsidR="00E552B6" w:rsidRDefault="00E552B6" w:rsidP="00E552B6">
      <w:pPr>
        <w:pStyle w:val="Brdtekst"/>
      </w:pPr>
      <w:r>
        <w:t xml:space="preserve">Da der ikke er særlige grønlandske anvendelser af PFOS eller andre af POP-stofferne omfattet af konventionen, vil specifikke informationer om anvendelser og udledninger i Grønland ikke have væsentlig betydning for, hvad Danmark rapporterer. </w:t>
      </w:r>
    </w:p>
    <w:p w14:paraId="499D2330" w14:textId="6D3E3A0E" w:rsidR="00E552B6" w:rsidRDefault="00E552B6" w:rsidP="00AC6327">
      <w:pPr>
        <w:pStyle w:val="Brdtekst"/>
      </w:pPr>
      <w:r w:rsidRPr="00EE7564">
        <w:rPr>
          <w:b/>
        </w:rPr>
        <w:t>Omkostninger</w:t>
      </w:r>
      <w:r>
        <w:t xml:space="preserve"> - Omkostningerne vurderes til ikke at være over 1 manddag hvert fjerde år. </w:t>
      </w:r>
    </w:p>
    <w:p w14:paraId="7D6CF7E7" w14:textId="77777777" w:rsidR="00C52AF9" w:rsidRDefault="00C52AF9" w:rsidP="00AC6327">
      <w:pPr>
        <w:pStyle w:val="Overskrift2"/>
      </w:pPr>
      <w:bookmarkStart w:id="102" w:name="_Ref468973304"/>
      <w:bookmarkStart w:id="103" w:name="_Toc469053550"/>
      <w:bookmarkStart w:id="104" w:name="_Toc469057831"/>
      <w:bookmarkStart w:id="105" w:name="_Toc469304929"/>
      <w:bookmarkStart w:id="106" w:name="_Toc10205724"/>
      <w:r>
        <w:t>Tilsynsmyndighed</w:t>
      </w:r>
      <w:bookmarkEnd w:id="102"/>
      <w:bookmarkEnd w:id="103"/>
      <w:bookmarkEnd w:id="104"/>
      <w:bookmarkEnd w:id="105"/>
      <w:bookmarkEnd w:id="106"/>
    </w:p>
    <w:p w14:paraId="7D6CF7E8" w14:textId="44A192E5" w:rsidR="00C52AF9" w:rsidRDefault="00C52AF9" w:rsidP="00C52AF9">
      <w:pPr>
        <w:pStyle w:val="Brdtekst"/>
      </w:pPr>
      <w:r>
        <w:t xml:space="preserve">Ved </w:t>
      </w:r>
      <w:r w:rsidR="00083C99">
        <w:t xml:space="preserve">den </w:t>
      </w:r>
      <w:r>
        <w:t xml:space="preserve">tidligere behandling i </w:t>
      </w:r>
      <w:proofErr w:type="spellStart"/>
      <w:r w:rsidR="00ED3F3C" w:rsidRPr="00ED3F3C">
        <w:t>Inatsisartut</w:t>
      </w:r>
      <w:proofErr w:type="spellEnd"/>
      <w:r w:rsidR="00ED3F3C">
        <w:t xml:space="preserve"> (</w:t>
      </w:r>
      <w:r w:rsidR="00C37679">
        <w:t>2008</w:t>
      </w:r>
      <w:r w:rsidR="00ED3F3C">
        <w:t>)</w:t>
      </w:r>
      <w:r>
        <w:t xml:space="preserve"> blev de</w:t>
      </w:r>
      <w:r w:rsidR="00083C99">
        <w:t>r</w:t>
      </w:r>
      <w:r>
        <w:t xml:space="preserve"> spurgt</w:t>
      </w:r>
      <w:r w:rsidR="00083C99">
        <w:t>,</w:t>
      </w:r>
      <w:r>
        <w:t xml:space="preserve"> </w:t>
      </w:r>
      <w:r w:rsidR="00E45943">
        <w:t>hvem der ville have tilsynsmyndigheden for</w:t>
      </w:r>
      <w:r w:rsidR="005D5C10">
        <w:t>,</w:t>
      </w:r>
      <w:r w:rsidR="00E45943">
        <w:t xml:space="preserve"> at konventionen blev overhol</w:t>
      </w:r>
      <w:r w:rsidR="006267D0">
        <w:t>dt.</w:t>
      </w:r>
    </w:p>
    <w:p w14:paraId="674F2959" w14:textId="0D95E671" w:rsidR="006267D0" w:rsidRDefault="005D5C10" w:rsidP="00C52AF9">
      <w:pPr>
        <w:pStyle w:val="Brdtekst"/>
      </w:pPr>
      <w:r>
        <w:lastRenderedPageBreak/>
        <w:t>I</w:t>
      </w:r>
      <w:r w:rsidR="0054589B">
        <w:t xml:space="preserve">følge artikel 17 i konventionen </w:t>
      </w:r>
      <w:r w:rsidR="0054589B" w:rsidRPr="00D8487A">
        <w:t>udarbejder og vedtager Partskonferencen hurtigst muligt procedurer og institutionelle mekanismer til konstatering af mangelfuld overholdelse af bestemmelserne i konvention</w:t>
      </w:r>
      <w:r w:rsidR="0054589B">
        <w:t>en</w:t>
      </w:r>
      <w:r w:rsidR="00613711">
        <w:t>.</w:t>
      </w:r>
      <w:r w:rsidR="0054589B" w:rsidRPr="00D8487A">
        <w:t xml:space="preserve"> </w:t>
      </w:r>
      <w:r w:rsidR="0054589B">
        <w:t>Det er indtil videre ikke etableret en</w:t>
      </w:r>
      <w:r w:rsidR="006267D0">
        <w:t xml:space="preserve"> såkaldt </w:t>
      </w:r>
      <w:proofErr w:type="spellStart"/>
      <w:r w:rsidR="006267D0">
        <w:t>Compliance</w:t>
      </w:r>
      <w:proofErr w:type="spellEnd"/>
      <w:r w:rsidR="006267D0">
        <w:t xml:space="preserve"> </w:t>
      </w:r>
      <w:proofErr w:type="spellStart"/>
      <w:r w:rsidR="006267D0">
        <w:t>Committee</w:t>
      </w:r>
      <w:proofErr w:type="spellEnd"/>
      <w:r w:rsidR="0054589B">
        <w:t xml:space="preserve"> under Stockholmkonventionen</w:t>
      </w:r>
      <w:r w:rsidR="006267D0">
        <w:t>, som eksempelvis kendes fra Baselkonventionen</w:t>
      </w:r>
      <w:r w:rsidR="0054589B">
        <w:t>.</w:t>
      </w:r>
    </w:p>
    <w:p w14:paraId="2607993A" w14:textId="4AB6248A" w:rsidR="00EE7564" w:rsidRDefault="006267D0" w:rsidP="00C52AF9">
      <w:pPr>
        <w:pStyle w:val="Brdtekst"/>
      </w:pPr>
      <w:r>
        <w:t xml:space="preserve">I følge </w:t>
      </w:r>
      <w:r w:rsidR="00ED2C61">
        <w:t xml:space="preserve">Miljø- og Fødevareministeriet i Danmark </w:t>
      </w:r>
      <w:r>
        <w:t>vil Danmark ikke føre tilsyn med Grønlands overholdelse af konventionen.</w:t>
      </w:r>
    </w:p>
    <w:p w14:paraId="7D6CF7E9" w14:textId="3070126C" w:rsidR="00AC6327" w:rsidRDefault="00AC6327" w:rsidP="00AC6327">
      <w:pPr>
        <w:pStyle w:val="Overskrift2"/>
      </w:pPr>
      <w:bookmarkStart w:id="107" w:name="_Ref468092923"/>
      <w:bookmarkStart w:id="108" w:name="_Ref468092942"/>
      <w:bookmarkStart w:id="109" w:name="_Toc469053551"/>
      <w:bookmarkStart w:id="110" w:name="_Toc469057832"/>
      <w:bookmarkStart w:id="111" w:name="_Toc469304930"/>
      <w:bookmarkStart w:id="112" w:name="_Toc10205725"/>
      <w:r>
        <w:t>Monitering</w:t>
      </w:r>
      <w:bookmarkEnd w:id="107"/>
      <w:bookmarkEnd w:id="108"/>
      <w:r w:rsidR="00EF6171">
        <w:t xml:space="preserve"> og forskning</w:t>
      </w:r>
      <w:bookmarkEnd w:id="109"/>
      <w:bookmarkEnd w:id="110"/>
      <w:bookmarkEnd w:id="111"/>
      <w:bookmarkEnd w:id="112"/>
    </w:p>
    <w:p w14:paraId="683B4496" w14:textId="285EC38E" w:rsidR="00EF6171" w:rsidRDefault="00EF6171" w:rsidP="00AC6327">
      <w:pPr>
        <w:pStyle w:val="Brdtekst"/>
      </w:pPr>
      <w:r>
        <w:t xml:space="preserve">I følge konventionen skal parterne </w:t>
      </w:r>
      <w:r w:rsidR="00083C99">
        <w:t xml:space="preserve">efter formåen </w:t>
      </w:r>
      <w:r>
        <w:t>fremme og/eller gennemføre</w:t>
      </w:r>
      <w:r w:rsidRPr="00EF6171">
        <w:t xml:space="preserve">, på nationalt og internationalt plan, forskning, udvikling, </w:t>
      </w:r>
      <w:r w:rsidR="003C2AB2">
        <w:t>monitering</w:t>
      </w:r>
      <w:r w:rsidRPr="00EF6171">
        <w:t xml:space="preserve"> og samarbejde vedrørende </w:t>
      </w:r>
      <w:r w:rsidR="003C2AB2">
        <w:t>POP-stoffer</w:t>
      </w:r>
      <w:r w:rsidRPr="00EF6171">
        <w:t xml:space="preserve"> og, hvor det er relevant, deres alternativer</w:t>
      </w:r>
      <w:r>
        <w:t>.</w:t>
      </w:r>
      <w:r w:rsidR="00E96B53">
        <w:t xml:space="preserve"> </w:t>
      </w:r>
    </w:p>
    <w:p w14:paraId="705D174A" w14:textId="058D3436" w:rsidR="00EF6171" w:rsidRDefault="00D93556" w:rsidP="00AC6327">
      <w:pPr>
        <w:pStyle w:val="Brdtekst"/>
      </w:pPr>
      <w:r>
        <w:t xml:space="preserve">Monitering af POP-stoffer i miljøet foregår i regi af </w:t>
      </w:r>
      <w:r w:rsidR="004153CB">
        <w:t>AMAP (</w:t>
      </w:r>
      <w:proofErr w:type="spellStart"/>
      <w:r w:rsidR="004153CB">
        <w:t>Arctic</w:t>
      </w:r>
      <w:proofErr w:type="spellEnd"/>
      <w:r w:rsidR="004153CB">
        <w:t xml:space="preserve"> </w:t>
      </w:r>
      <w:proofErr w:type="spellStart"/>
      <w:r w:rsidR="004153CB">
        <w:t>Monitor</w:t>
      </w:r>
      <w:r>
        <w:t>ing</w:t>
      </w:r>
      <w:proofErr w:type="spellEnd"/>
      <w:r>
        <w:t xml:space="preserve"> and </w:t>
      </w:r>
      <w:proofErr w:type="spellStart"/>
      <w:r>
        <w:t>Assessment</w:t>
      </w:r>
      <w:proofErr w:type="spellEnd"/>
      <w:r>
        <w:t xml:space="preserve"> Programme</w:t>
      </w:r>
      <w:r w:rsidR="004153CB">
        <w:t>), hvor monitering i og omkring Grønland finansieres af Miljøstyrelsen</w:t>
      </w:r>
      <w:r>
        <w:t>. Miljøstyrelsen vurderer</w:t>
      </w:r>
      <w:r w:rsidR="0052795A">
        <w:t>,</w:t>
      </w:r>
      <w:r>
        <w:t xml:space="preserve"> at</w:t>
      </w:r>
      <w:r w:rsidR="00D24752">
        <w:t xml:space="preserve"> </w:t>
      </w:r>
      <w:r w:rsidR="00ED3F3C">
        <w:t xml:space="preserve">der </w:t>
      </w:r>
      <w:r w:rsidR="00D24752">
        <w:t xml:space="preserve">ikke </w:t>
      </w:r>
      <w:r w:rsidR="00ED3F3C">
        <w:t xml:space="preserve">vil </w:t>
      </w:r>
      <w:r w:rsidR="00D24752">
        <w:t xml:space="preserve">være behov </w:t>
      </w:r>
      <w:r>
        <w:t>for monitering</w:t>
      </w:r>
      <w:r w:rsidR="00EF6171">
        <w:t xml:space="preserve"> af POP-stoffer i miljøet </w:t>
      </w:r>
      <w:r>
        <w:t xml:space="preserve">ud over </w:t>
      </w:r>
      <w:r w:rsidR="00DD7EB8">
        <w:t>denne monitering</w:t>
      </w:r>
      <w:r w:rsidR="0052795A">
        <w:t xml:space="preserve"> i AMAP regi</w:t>
      </w:r>
      <w:r>
        <w:t xml:space="preserve">. </w:t>
      </w:r>
      <w:r w:rsidR="00EF6171">
        <w:t>De</w:t>
      </w:r>
      <w:r w:rsidR="003C2AB2">
        <w:t>r stilles i konventionen ikke di</w:t>
      </w:r>
      <w:r w:rsidR="00EF6171">
        <w:t xml:space="preserve">rekte </w:t>
      </w:r>
      <w:r w:rsidR="003C2AB2">
        <w:t>krav om monitering af udledninger af utilsigtet danne</w:t>
      </w:r>
      <w:r w:rsidR="000D76CA">
        <w:t>de</w:t>
      </w:r>
      <w:r w:rsidR="003C2AB2">
        <w:t xml:space="preserve"> POP-stoffer.</w:t>
      </w:r>
      <w:r w:rsidR="00E96B53">
        <w:t xml:space="preserve"> </w:t>
      </w:r>
    </w:p>
    <w:p w14:paraId="7D6CF7EA" w14:textId="0021E4D0" w:rsidR="00AC6327" w:rsidRDefault="00EE7564" w:rsidP="00AC6327">
      <w:pPr>
        <w:pStyle w:val="Brdtekst"/>
      </w:pPr>
      <w:r w:rsidRPr="00EE7564">
        <w:rPr>
          <w:b/>
        </w:rPr>
        <w:t>Omkostning</w:t>
      </w:r>
      <w:r>
        <w:t xml:space="preserve"> - Omkostningerne for Grønland vurderes at være ubetydelig</w:t>
      </w:r>
      <w:r w:rsidR="00382F40">
        <w:t>e</w:t>
      </w:r>
      <w:r>
        <w:t>.</w:t>
      </w:r>
    </w:p>
    <w:p w14:paraId="7D6CF7EB" w14:textId="77777777" w:rsidR="00AC6327" w:rsidRDefault="00AC6327" w:rsidP="00AC6327">
      <w:pPr>
        <w:pStyle w:val="Overskrift2"/>
      </w:pPr>
      <w:bookmarkStart w:id="113" w:name="_Toc469053552"/>
      <w:bookmarkStart w:id="114" w:name="_Ref469053903"/>
      <w:bookmarkStart w:id="115" w:name="_Toc469057833"/>
      <w:bookmarkStart w:id="116" w:name="_Toc469304931"/>
      <w:bookmarkStart w:id="117" w:name="_Toc10205726"/>
      <w:r>
        <w:t>Oplysning til borgerne</w:t>
      </w:r>
      <w:bookmarkEnd w:id="113"/>
      <w:bookmarkEnd w:id="114"/>
      <w:bookmarkEnd w:id="115"/>
      <w:bookmarkEnd w:id="116"/>
      <w:bookmarkEnd w:id="117"/>
    </w:p>
    <w:p w14:paraId="5601ACE5" w14:textId="68FB27F2" w:rsidR="00FC1EA3" w:rsidRDefault="0052795A" w:rsidP="00D24752">
      <w:pPr>
        <w:pStyle w:val="Brdtekst"/>
      </w:pPr>
      <w:r>
        <w:t>Konventionen indeholder et krav om</w:t>
      </w:r>
      <w:r w:rsidR="00FC1EA3">
        <w:t>,</w:t>
      </w:r>
      <w:r>
        <w:t xml:space="preserve"> at parterne </w:t>
      </w:r>
      <w:r w:rsidR="00FC1EA3">
        <w:t>- under hensyn til deres formåen</w:t>
      </w:r>
      <w:r>
        <w:t xml:space="preserve"> </w:t>
      </w:r>
      <w:r w:rsidR="00FC1EA3">
        <w:t xml:space="preserve">- </w:t>
      </w:r>
      <w:r>
        <w:t>skal tage forskellige tiltag med henblik på at oplyse befolkninge</w:t>
      </w:r>
      <w:r w:rsidR="00FC1EA3">
        <w:t>n om POP-stoffer. Eksempelvis næ</w:t>
      </w:r>
      <w:r>
        <w:t xml:space="preserve">vnes </w:t>
      </w:r>
      <w:r w:rsidRPr="0052795A">
        <w:t xml:space="preserve">udvikling og gennemførelse af undervisnings- og oplysningsprogrammer om </w:t>
      </w:r>
      <w:r w:rsidR="00FC1EA3">
        <w:t>POP-stoffer</w:t>
      </w:r>
      <w:r w:rsidRPr="0052795A">
        <w:t xml:space="preserve"> og deres indvirkning på sundhed og miljø samt om alternativer hertil, specielt rettet mod kvinder, børn og </w:t>
      </w:r>
      <w:proofErr w:type="spellStart"/>
      <w:r w:rsidRPr="0052795A">
        <w:t>lavtuddannede</w:t>
      </w:r>
      <w:proofErr w:type="spellEnd"/>
      <w:r>
        <w:t xml:space="preserve">. </w:t>
      </w:r>
      <w:r w:rsidR="00FC1EA3">
        <w:t>Der er desuden krav om</w:t>
      </w:r>
      <w:r w:rsidR="00083C99">
        <w:t>,</w:t>
      </w:r>
      <w:r w:rsidR="00FC1EA3">
        <w:t xml:space="preserve"> at offentligheden har adgang til oplysningerne</w:t>
      </w:r>
      <w:r w:rsidR="00853C12">
        <w:t>,</w:t>
      </w:r>
      <w:r w:rsidR="00FC1EA3">
        <w:t xml:space="preserve"> og at de holdes ajour. Kravene er ikke specifikke og parterne kan selv vælge, hvilke oplysningsaktiviteter der igangsættes - og som det mange steder i konventionen understreges</w:t>
      </w:r>
      <w:r w:rsidR="000D76CA">
        <w:t>,</w:t>
      </w:r>
      <w:r w:rsidR="00FC1EA3">
        <w:t xml:space="preserve"> vil der i forhold til tiltagene skulle tages højde for, hvilke midler der er til rådighed.</w:t>
      </w:r>
    </w:p>
    <w:p w14:paraId="6F5E34D5" w14:textId="0CB7756A" w:rsidR="004A7AAD" w:rsidRDefault="00FC1EA3" w:rsidP="004A7AAD">
      <w:pPr>
        <w:pStyle w:val="Brdtekst"/>
      </w:pPr>
      <w:bookmarkStart w:id="118" w:name="_Hlk8389388"/>
      <w:r>
        <w:t xml:space="preserve">I forhold til situationen i Grønland </w:t>
      </w:r>
      <w:r w:rsidR="004A7AAD">
        <w:t xml:space="preserve">er </w:t>
      </w:r>
      <w:r>
        <w:t xml:space="preserve">eksempelvis oplysning om POP-stoffer </w:t>
      </w:r>
      <w:r w:rsidR="00DD7EB8">
        <w:t>i fødevarer</w:t>
      </w:r>
      <w:r w:rsidR="004A7AAD">
        <w:t xml:space="preserve"> relevant. Sådan information findes allerede bl.a. i pjecen ”Forurening og grønlandsk mad”, som er udgivet af Grønlands Ernæringsråd på både dansk og grønlands</w:t>
      </w:r>
      <w:r w:rsidR="005D5C10">
        <w:t>k</w:t>
      </w:r>
      <w:r w:rsidR="004A7AAD">
        <w:rPr>
          <w:rStyle w:val="Fodnotehenvisning"/>
        </w:rPr>
        <w:footnoteReference w:id="18"/>
      </w:r>
      <w:r w:rsidR="004A7AAD">
        <w:t>.</w:t>
      </w:r>
      <w:bookmarkEnd w:id="118"/>
      <w:r w:rsidR="004A7AAD">
        <w:t xml:space="preserve"> Pjece</w:t>
      </w:r>
      <w:r w:rsidR="005D5C10">
        <w:t>n</w:t>
      </w:r>
      <w:r w:rsidR="004A7AAD">
        <w:t xml:space="preserve"> nævner også</w:t>
      </w:r>
      <w:r w:rsidR="005D5C10">
        <w:t>,</w:t>
      </w:r>
      <w:r w:rsidR="004A7AAD">
        <w:t xml:space="preserve"> at forureningsstofferne kommer fra hele verden og transporteres gennem havet og luften til Arktis, hvor de ophobes i dyrelivet i havet.</w:t>
      </w:r>
    </w:p>
    <w:p w14:paraId="13517D3F" w14:textId="1518A701" w:rsidR="004A7AAD" w:rsidRDefault="004A7AAD" w:rsidP="004A7AAD">
      <w:pPr>
        <w:pStyle w:val="Brdtekst"/>
      </w:pPr>
      <w:r>
        <w:lastRenderedPageBreak/>
        <w:t>I relation til dette oplysningsarbejde vurdere</w:t>
      </w:r>
      <w:r w:rsidR="00290CF9">
        <w:t>s det</w:t>
      </w:r>
      <w:r>
        <w:t xml:space="preserve">, at det vil styrke oplysningsarbejdet, at Grønland tiltræder konventionen. Det vil være af betydning i oplysningsarbejdet, at Grønland gør en aktiv indsats også for at mindske den udsættelse, som skyldes </w:t>
      </w:r>
      <w:r w:rsidR="00627CAC">
        <w:t>POP-stoffer</w:t>
      </w:r>
      <w:r>
        <w:t>, som via atmosfæren transporteres til Grønland fra andre dele af kloden.</w:t>
      </w:r>
    </w:p>
    <w:p w14:paraId="01FEEBD0" w14:textId="75201196" w:rsidR="00FC1EA3" w:rsidRDefault="00FC1EA3" w:rsidP="00D24752">
      <w:pPr>
        <w:pStyle w:val="Brdtekst"/>
      </w:pPr>
      <w:r>
        <w:t>Ligeledes vil det kunne være relevant at sikre</w:t>
      </w:r>
      <w:r w:rsidR="00DD7EB8">
        <w:t>,</w:t>
      </w:r>
      <w:r>
        <w:t xml:space="preserve"> at viden om PCB i byggematerialer og håndt</w:t>
      </w:r>
      <w:r w:rsidR="00DD7EB8">
        <w:t>eringen af disse er tilgængelig</w:t>
      </w:r>
      <w:r>
        <w:t xml:space="preserve"> for befolkningen. </w:t>
      </w:r>
    </w:p>
    <w:p w14:paraId="7D6CF7EC" w14:textId="6A4F9C87" w:rsidR="00D24752" w:rsidRPr="00D24752" w:rsidRDefault="00EE7564" w:rsidP="00D24752">
      <w:pPr>
        <w:pStyle w:val="Brdtekst"/>
      </w:pPr>
      <w:r w:rsidRPr="0097584A">
        <w:rPr>
          <w:b/>
        </w:rPr>
        <w:t>Omkostninger</w:t>
      </w:r>
      <w:r>
        <w:t xml:space="preserve"> - Omkostningerne vurderes at være af størrelsen ½ - 2 </w:t>
      </w:r>
      <w:r w:rsidR="002F1D4E">
        <w:t>mandmåneder</w:t>
      </w:r>
      <w:r>
        <w:t xml:space="preserve"> de</w:t>
      </w:r>
      <w:r w:rsidR="0008114D">
        <w:t>t</w:t>
      </w:r>
      <w:r>
        <w:t xml:space="preserve"> første år.</w:t>
      </w:r>
    </w:p>
    <w:p w14:paraId="7D6CF7ED" w14:textId="77777777" w:rsidR="001C7DA0" w:rsidRDefault="001C7DA0" w:rsidP="001C7DA0">
      <w:pPr>
        <w:pStyle w:val="Overskrift1"/>
      </w:pPr>
      <w:bookmarkStart w:id="119" w:name="_Ref468698374"/>
      <w:bookmarkStart w:id="120" w:name="_Toc469053553"/>
      <w:bookmarkStart w:id="121" w:name="_Toc469057834"/>
      <w:bookmarkStart w:id="122" w:name="_Toc469304932"/>
      <w:bookmarkStart w:id="123" w:name="_Toc10205727"/>
      <w:r>
        <w:lastRenderedPageBreak/>
        <w:t>Juridiske og teknisk/administrative forhold</w:t>
      </w:r>
      <w:bookmarkEnd w:id="119"/>
      <w:bookmarkEnd w:id="120"/>
      <w:bookmarkEnd w:id="121"/>
      <w:bookmarkEnd w:id="122"/>
      <w:bookmarkEnd w:id="123"/>
    </w:p>
    <w:p w14:paraId="7D6CF7EE" w14:textId="0B34DCC2" w:rsidR="00581408" w:rsidRDefault="00581408" w:rsidP="00581408">
      <w:bookmarkStart w:id="124" w:name="_Hlk4759712"/>
      <w:r>
        <w:t xml:space="preserve">I </w:t>
      </w:r>
      <w:proofErr w:type="spellStart"/>
      <w:r w:rsidRPr="005B64C9">
        <w:t>Inatsisartutlov</w:t>
      </w:r>
      <w:proofErr w:type="spellEnd"/>
      <w:r w:rsidRPr="005B64C9">
        <w:t xml:space="preserve"> nr. 9 af 22. november 2011 om beskyttelse af miljøet</w:t>
      </w:r>
      <w:r>
        <w:t xml:space="preserve"> er der i § 10 givet hjemmel til at </w:t>
      </w:r>
      <w:proofErr w:type="spellStart"/>
      <w:r>
        <w:t>Naalakkersuisut</w:t>
      </w:r>
      <w:proofErr w:type="spellEnd"/>
      <w:r>
        <w:t xml:space="preserve"> </w:t>
      </w:r>
      <w:r w:rsidR="00F87BC5">
        <w:t xml:space="preserve">- </w:t>
      </w:r>
      <w:r>
        <w:t>med henblik på</w:t>
      </w:r>
      <w:r w:rsidR="001122F6">
        <w:t xml:space="preserve"> varetagelse af de </w:t>
      </w:r>
      <w:r w:rsidR="00F87BC5">
        <w:t xml:space="preserve">i </w:t>
      </w:r>
      <w:r w:rsidR="001122F6">
        <w:t>loven nævnte</w:t>
      </w:r>
      <w:r>
        <w:t xml:space="preserve"> formål</w:t>
      </w:r>
      <w:r w:rsidR="00F87BC5">
        <w:t xml:space="preserve"> -</w:t>
      </w:r>
      <w:r>
        <w:t xml:space="preserve"> kan fastsætte regler vedrørende bl.a.:</w:t>
      </w:r>
      <w:r w:rsidR="00A35EBC">
        <w:br/>
      </w:r>
    </w:p>
    <w:p w14:paraId="7D6CF7EF" w14:textId="58E26157" w:rsidR="00581408" w:rsidRPr="00581408" w:rsidRDefault="00581408" w:rsidP="00222C65">
      <w:pPr>
        <w:pStyle w:val="Opstilling-punkttegn"/>
        <w:rPr>
          <w:i/>
        </w:rPr>
      </w:pPr>
      <w:r w:rsidRPr="00581408">
        <w:rPr>
          <w:i/>
        </w:rPr>
        <w:t>"1)</w:t>
      </w:r>
      <w:r w:rsidR="00E96B53">
        <w:rPr>
          <w:i/>
        </w:rPr>
        <w:t xml:space="preserve"> </w:t>
      </w:r>
      <w:r w:rsidRPr="00581408">
        <w:rPr>
          <w:i/>
        </w:rPr>
        <w:t>Begrænsning af forurening fra virksomheder, anlæg, maskiner, redskaber, fyringsanlæg og transportmidler samt indretning, drift, vedligeholdelse og bortskaffelse heraf.</w:t>
      </w:r>
    </w:p>
    <w:p w14:paraId="7D6CF7F0" w14:textId="7FBD3306" w:rsidR="00581408" w:rsidRDefault="00581408" w:rsidP="00222C65">
      <w:pPr>
        <w:pStyle w:val="Opstilling-punkttegn"/>
      </w:pPr>
      <w:r w:rsidRPr="00581408">
        <w:rPr>
          <w:i/>
        </w:rPr>
        <w:t>2)</w:t>
      </w:r>
      <w:r w:rsidR="00E96B53">
        <w:rPr>
          <w:i/>
        </w:rPr>
        <w:t xml:space="preserve"> </w:t>
      </w:r>
      <w:r w:rsidRPr="00581408">
        <w:rPr>
          <w:i/>
        </w:rPr>
        <w:t>Begrænsning af forurening fra spildevandsanlæg, forbrændingsanlæg, dumpe, deponier med videre, samt om indretning, drift, vedligeholdelse og bortskaffelse af sådanne anlæg"</w:t>
      </w:r>
    </w:p>
    <w:p w14:paraId="7D6CF7F1" w14:textId="185B6704" w:rsidR="00581408" w:rsidRPr="00581408" w:rsidRDefault="00581408" w:rsidP="00222C65">
      <w:pPr>
        <w:pStyle w:val="Opstilling-punkttegn"/>
        <w:rPr>
          <w:i/>
        </w:rPr>
      </w:pPr>
      <w:r w:rsidRPr="00581408">
        <w:rPr>
          <w:i/>
        </w:rPr>
        <w:t>"7)</w:t>
      </w:r>
      <w:r w:rsidR="00E96B53">
        <w:rPr>
          <w:i/>
        </w:rPr>
        <w:t xml:space="preserve"> </w:t>
      </w:r>
      <w:r w:rsidRPr="00581408">
        <w:rPr>
          <w:i/>
        </w:rPr>
        <w:t>Forbud mod eller begrænsning af indførsel, udførsel, fremstilling, opbevaring, anvendelse, transport og salg, samt om identifikation, mærkning og bortskaffelse af bestemte stoffer og produkter, blandinger med bestemte stoffer og produkter, samt organisk materiale, såfremt disse er til fare for befolkningens sundhed eller kan skade miljøet."</w:t>
      </w:r>
    </w:p>
    <w:p w14:paraId="7D6CF7F2" w14:textId="77777777" w:rsidR="00581408" w:rsidRDefault="00EA529F" w:rsidP="00581408">
      <w:pPr>
        <w:pStyle w:val="Brdtekst"/>
      </w:pPr>
      <w:r>
        <w:t>Det vurderes</w:t>
      </w:r>
      <w:r w:rsidR="00581408">
        <w:t>, at der således er den nødvendige lovhjemmel til at udstede de bekendtgørelser</w:t>
      </w:r>
      <w:r>
        <w:t>,</w:t>
      </w:r>
      <w:r w:rsidR="00581408">
        <w:t xml:space="preserve"> som vil være relevante for </w:t>
      </w:r>
      <w:r>
        <w:t xml:space="preserve">at kunne implementere Stockholmkonventionen i Grønland. </w:t>
      </w:r>
    </w:p>
    <w:p w14:paraId="7D6CF7F3" w14:textId="77777777" w:rsidR="00EA529F" w:rsidRDefault="00EA529F" w:rsidP="00EA529F">
      <w:pPr>
        <w:pStyle w:val="Overskrift2"/>
      </w:pPr>
      <w:bookmarkStart w:id="125" w:name="_Toc469053554"/>
      <w:bookmarkStart w:id="126" w:name="_Toc469057835"/>
      <w:bookmarkStart w:id="127" w:name="_Toc469304933"/>
      <w:bookmarkStart w:id="128" w:name="_Toc10205728"/>
      <w:bookmarkEnd w:id="124"/>
      <w:r w:rsidRPr="00581408">
        <w:t>Forbud mod eller begrænsning af indførsel, udførsel, fremstilling</w:t>
      </w:r>
      <w:r>
        <w:t>, anvendelse mm</w:t>
      </w:r>
      <w:bookmarkEnd w:id="125"/>
      <w:bookmarkEnd w:id="126"/>
      <w:bookmarkEnd w:id="127"/>
      <w:bookmarkEnd w:id="128"/>
    </w:p>
    <w:p w14:paraId="7D6CF7F4" w14:textId="4A8FCE06" w:rsidR="00EA529F" w:rsidRDefault="00EA529F" w:rsidP="00EA529F">
      <w:pPr>
        <w:pStyle w:val="Brdtekst"/>
      </w:pPr>
      <w:r>
        <w:t>Der vurderes at være et behov for en bekendtgørelse</w:t>
      </w:r>
      <w:r w:rsidR="00A35EBC">
        <w:t>,</w:t>
      </w:r>
      <w:r>
        <w:t xml:space="preserve"> der gennemfører konventionens</w:t>
      </w:r>
      <w:r w:rsidRPr="00581408">
        <w:t xml:space="preserve"> begrænsning af indførsel, udførsel, fremstilling</w:t>
      </w:r>
      <w:r>
        <w:t xml:space="preserve">, anvendelse mm. af de i </w:t>
      </w:r>
      <w:proofErr w:type="spellStart"/>
      <w:r>
        <w:t>Annex</w:t>
      </w:r>
      <w:proofErr w:type="spellEnd"/>
      <w:r>
        <w:t xml:space="preserve"> 1 og 2 opførte POP-stoffer. </w:t>
      </w:r>
    </w:p>
    <w:p w14:paraId="7D6CF7F5" w14:textId="753DA78C" w:rsidR="00EA529F" w:rsidRDefault="00EA529F" w:rsidP="00EA529F">
      <w:pPr>
        <w:pStyle w:val="Brdtekst"/>
      </w:pPr>
      <w:r>
        <w:t xml:space="preserve">En lignende bekendtgørelse er tidligere udarbejdet ved gennemførelse af </w:t>
      </w:r>
      <w:r w:rsidR="00AC6327">
        <w:t>Montreal</w:t>
      </w:r>
      <w:r w:rsidR="00A35EBC">
        <w:t>-</w:t>
      </w:r>
      <w:r w:rsidR="00AC6327">
        <w:t>protokollens</w:t>
      </w:r>
      <w:r w:rsidR="00AC6327">
        <w:rPr>
          <w:rStyle w:val="Fodnotehenvisning"/>
        </w:rPr>
        <w:footnoteReference w:id="19"/>
      </w:r>
      <w:r w:rsidR="00AC6327">
        <w:t xml:space="preserve"> </w:t>
      </w:r>
      <w:r>
        <w:t xml:space="preserve">krav vedrørende </w:t>
      </w:r>
      <w:r w:rsidRPr="00EA529F">
        <w:t>ozonlagsnedbrydende</w:t>
      </w:r>
      <w:r>
        <w:t xml:space="preserve"> stoffer. </w:t>
      </w:r>
      <w:r w:rsidRPr="00EA529F">
        <w:t>Hjemmestyrets bekendtgørelse nr. 30 af 10. august 2001 om forbud mod anvendelse af visse ozonlagsnedbrydende stoffer</w:t>
      </w:r>
      <w:r>
        <w:t xml:space="preserve"> nævner eksempelvis</w:t>
      </w:r>
      <w:r w:rsidR="00A35EBC">
        <w:t>,</w:t>
      </w:r>
      <w:r>
        <w:t xml:space="preserve"> at e</w:t>
      </w:r>
      <w:r w:rsidRPr="00EA529F">
        <w:t xml:space="preserve">rhvervsmæssig fremstilling, eksport og salg af produkter indeholdende de i </w:t>
      </w:r>
      <w:r>
        <w:t>bekendtgørelse</w:t>
      </w:r>
      <w:r w:rsidR="00AC6327">
        <w:t>n</w:t>
      </w:r>
      <w:r>
        <w:t xml:space="preserve"> </w:t>
      </w:r>
      <w:r w:rsidRPr="00EA529F">
        <w:t>nævnte stoffer er forbudt.</w:t>
      </w:r>
    </w:p>
    <w:p w14:paraId="38C20BDC" w14:textId="09DF9FD7" w:rsidR="001122F6" w:rsidRDefault="00EA529F" w:rsidP="00EA529F">
      <w:pPr>
        <w:pStyle w:val="Brdtekst"/>
      </w:pPr>
      <w:r>
        <w:t>Det enkleste vil formentlig være at udarbejde en bekendtgørelse</w:t>
      </w:r>
      <w:r w:rsidR="00A35EBC">
        <w:t>,</w:t>
      </w:r>
      <w:r>
        <w:t xml:space="preserve"> der begrænser de stoffer</w:t>
      </w:r>
      <w:r w:rsidR="00186E01">
        <w:t>,</w:t>
      </w:r>
      <w:r>
        <w:t xml:space="preserve"> de</w:t>
      </w:r>
      <w:r w:rsidR="00186E01">
        <w:t>r</w:t>
      </w:r>
      <w:r>
        <w:t xml:space="preserve"> er omfattet af såvel Stockholmkonventionen </w:t>
      </w:r>
      <w:r w:rsidR="00186E01">
        <w:t>som</w:t>
      </w:r>
      <w:r>
        <w:t xml:space="preserve"> POP-protokollen.</w:t>
      </w:r>
      <w:r w:rsidR="00186E01">
        <w:t xml:space="preserve"> Ved at lave henvisning til konventionernes lister kunne det evt. undgås at skulle udarbejde ændringer</w:t>
      </w:r>
      <w:r w:rsidR="00C368EB">
        <w:t>,</w:t>
      </w:r>
      <w:r w:rsidR="00186E01">
        <w:t xml:space="preserve"> hver gang nye stoffer opføres på de relevante lister. </w:t>
      </w:r>
    </w:p>
    <w:p w14:paraId="0118452D" w14:textId="77777777" w:rsidR="00003CBA" w:rsidRDefault="00003CBA" w:rsidP="00EA529F">
      <w:pPr>
        <w:pStyle w:val="Brdtekst"/>
      </w:pPr>
      <w:r>
        <w:lastRenderedPageBreak/>
        <w:t xml:space="preserve">Der kunne i denne bekendtgørelse endvidere præciseres krav til kortlægning og bortskaffelse af PCB </w:t>
      </w:r>
      <w:proofErr w:type="spellStart"/>
      <w:r>
        <w:t>holdige</w:t>
      </w:r>
      <w:proofErr w:type="spellEnd"/>
      <w:r>
        <w:t xml:space="preserve"> materialer, herunder </w:t>
      </w:r>
      <w:proofErr w:type="spellStart"/>
      <w:r>
        <w:t>PCB-holdigt</w:t>
      </w:r>
      <w:proofErr w:type="spellEnd"/>
      <w:r>
        <w:t xml:space="preserve"> byggeaffald og </w:t>
      </w:r>
      <w:proofErr w:type="spellStart"/>
      <w:r>
        <w:t>PCB-holdigt</w:t>
      </w:r>
      <w:proofErr w:type="spellEnd"/>
      <w:r>
        <w:t xml:space="preserve"> olieaffald. </w:t>
      </w:r>
    </w:p>
    <w:p w14:paraId="7D6CF7F6" w14:textId="34AE1287" w:rsidR="003E4C8E" w:rsidRDefault="00186E01" w:rsidP="00EA529F">
      <w:pPr>
        <w:pStyle w:val="Brdtekst"/>
      </w:pPr>
      <w:r>
        <w:t xml:space="preserve">Bekendtgørelsen kunne danne forlæg for en bekendtgørelse om kviksølv til gennemførelse af </w:t>
      </w:r>
      <w:proofErr w:type="spellStart"/>
      <w:r>
        <w:t>Minamatakonventionens</w:t>
      </w:r>
      <w:proofErr w:type="spellEnd"/>
      <w:r>
        <w:t xml:space="preserve"> krav</w:t>
      </w:r>
      <w:r w:rsidR="001122F6">
        <w:t xml:space="preserve"> </w:t>
      </w:r>
      <w:r w:rsidR="0008114D">
        <w:t>(</w:t>
      </w:r>
      <w:r w:rsidR="00223210">
        <w:t xml:space="preserve">hvis </w:t>
      </w:r>
      <w:r w:rsidR="004F2E6E">
        <w:t>konventionen tiltrædes</w:t>
      </w:r>
      <w:r w:rsidR="00223210">
        <w:t xml:space="preserve">) </w:t>
      </w:r>
      <w:r w:rsidR="001122F6">
        <w:t>eller bekendtgørelsen kunne</w:t>
      </w:r>
      <w:r w:rsidR="00003CBA">
        <w:t xml:space="preserve"> alternativt</w:t>
      </w:r>
      <w:r w:rsidR="001122F6">
        <w:t xml:space="preserve"> udarbejdes på en måde </w:t>
      </w:r>
      <w:r w:rsidR="0008114D">
        <w:t xml:space="preserve">så den omfatter flere stoffer, </w:t>
      </w:r>
      <w:r w:rsidR="001122F6">
        <w:t>så</w:t>
      </w:r>
      <w:r w:rsidR="005D5C10">
        <w:t>ledes at</w:t>
      </w:r>
      <w:r w:rsidR="001122F6">
        <w:t xml:space="preserve"> </w:t>
      </w:r>
      <w:proofErr w:type="spellStart"/>
      <w:r w:rsidR="001122F6">
        <w:t>Minamatakonventionens</w:t>
      </w:r>
      <w:proofErr w:type="spellEnd"/>
      <w:r w:rsidR="00003CBA">
        <w:t xml:space="preserve"> krav kunne indarbejdes i bekendtgørelsen</w:t>
      </w:r>
      <w:r>
        <w:t>.</w:t>
      </w:r>
    </w:p>
    <w:p w14:paraId="33E01168" w14:textId="2B15ED50" w:rsidR="0008114D" w:rsidRDefault="0008114D" w:rsidP="00EA529F">
      <w:pPr>
        <w:pStyle w:val="Brdtekst"/>
      </w:pPr>
      <w:r>
        <w:t>Tidsforbrug</w:t>
      </w:r>
      <w:r w:rsidR="00382F40">
        <w:t>et</w:t>
      </w:r>
      <w:r>
        <w:t xml:space="preserve"> til udarbejdelse af </w:t>
      </w:r>
      <w:r w:rsidR="00382F40">
        <w:t xml:space="preserve">en </w:t>
      </w:r>
      <w:r>
        <w:t>bekendtgørelse</w:t>
      </w:r>
      <w:r w:rsidR="00DD34B3">
        <w:t>, inkl. høring af forskellige interessenter og indarbejdelse af ændringer,</w:t>
      </w:r>
      <w:r>
        <w:t xml:space="preserve"> vurderes at være </w:t>
      </w:r>
      <w:r w:rsidR="00DD34B3">
        <w:t>2</w:t>
      </w:r>
      <w:r>
        <w:t>-</w:t>
      </w:r>
      <w:r w:rsidR="00DD34B3">
        <w:t xml:space="preserve">4 </w:t>
      </w:r>
      <w:r>
        <w:t xml:space="preserve">mandmåneder. </w:t>
      </w:r>
    </w:p>
    <w:p w14:paraId="7D6CF7F8" w14:textId="77777777" w:rsidR="00EA529F" w:rsidRDefault="003E4C8E" w:rsidP="003E4C8E">
      <w:pPr>
        <w:pStyle w:val="Overskrift2"/>
      </w:pPr>
      <w:bookmarkStart w:id="129" w:name="_Toc469053555"/>
      <w:bookmarkStart w:id="130" w:name="_Toc469057836"/>
      <w:bookmarkStart w:id="131" w:name="_Toc469304934"/>
      <w:bookmarkStart w:id="132" w:name="_Toc10205729"/>
      <w:bookmarkStart w:id="133" w:name="_Hlk8391593"/>
      <w:r>
        <w:t>Begrænsn</w:t>
      </w:r>
      <w:r w:rsidR="00AC6327">
        <w:t>ing af emissioner</w:t>
      </w:r>
      <w:bookmarkEnd w:id="129"/>
      <w:bookmarkEnd w:id="130"/>
      <w:bookmarkEnd w:id="131"/>
      <w:bookmarkEnd w:id="132"/>
    </w:p>
    <w:p w14:paraId="7D6CF7F9" w14:textId="0E9BAFA0" w:rsidR="00AC6327" w:rsidRDefault="00AC6327" w:rsidP="00AC6327">
      <w:pPr>
        <w:pStyle w:val="Brdtekst"/>
      </w:pPr>
      <w:r>
        <w:t xml:space="preserve">Begrænsninger af emissioner fra industrielle anlæg, herunder affaldsforbrændingsanlæg er reguleret af to bekendtgørelser: </w:t>
      </w:r>
    </w:p>
    <w:p w14:paraId="7D6CF7FA" w14:textId="77777777" w:rsidR="00C200E0" w:rsidRPr="00C64430" w:rsidRDefault="00AC6327" w:rsidP="00C200E0">
      <w:pPr>
        <w:pStyle w:val="Opstilling-punkttegn"/>
        <w:rPr>
          <w:rFonts w:ascii="Calibri" w:eastAsia="Calibri" w:hAnsi="Calibri" w:cs="Times New Roman"/>
          <w:sz w:val="22"/>
          <w:szCs w:val="22"/>
          <w:lang w:eastAsia="en-US"/>
        </w:rPr>
      </w:pPr>
      <w:r w:rsidRPr="00C200E0">
        <w:rPr>
          <w:b/>
        </w:rPr>
        <w:t>Hjemmestyrets bekendtgørelse nr. 11 af 20. august 2004 om miljøgodkendelse af særligt forurenende virksomheder m.v.</w:t>
      </w:r>
      <w:r w:rsidR="00C200E0">
        <w:t xml:space="preserve"> fastlægger at </w:t>
      </w:r>
      <w:r w:rsidR="00C200E0" w:rsidRPr="00507C0F">
        <w:rPr>
          <w:rFonts w:asciiTheme="minorHAnsi" w:hAnsiTheme="minorHAnsi"/>
          <w:szCs w:val="18"/>
        </w:rPr>
        <w:t>"</w:t>
      </w:r>
      <w:r w:rsidR="00C200E0" w:rsidRPr="00C64430">
        <w:rPr>
          <w:rFonts w:asciiTheme="minorHAnsi" w:eastAsia="Calibri" w:hAnsiTheme="minorHAnsi" w:cs="Times New Roman"/>
          <w:i/>
          <w:szCs w:val="18"/>
          <w:lang w:eastAsia="en-US"/>
        </w:rPr>
        <w:t>Emissionsgrænseværdierne og de andre parametre kan fastsættes på grundlag af den bedste tilgængelige teknik, uden at der dog foreskrives anvendelse af en bestemt teknik eller teknologi."</w:t>
      </w:r>
    </w:p>
    <w:p w14:paraId="7D6CF7FB" w14:textId="308CDB3E" w:rsidR="00C200E0" w:rsidRDefault="00C200E0" w:rsidP="00C200E0">
      <w:pPr>
        <w:pStyle w:val="Opstilling-punkttegn"/>
      </w:pPr>
      <w:r w:rsidRPr="00C200E0">
        <w:rPr>
          <w:b/>
        </w:rPr>
        <w:t>Selvstyrets bekendtgørelse nr. 5 af 27. marts 2013 om vurdering af visse anlægs virkninger på miljøet og betaling for miljøtilsyn</w:t>
      </w:r>
      <w:r>
        <w:t>. Bekendtgørelsen nævner i §11, stk.2 at</w:t>
      </w:r>
      <w:r w:rsidRPr="00C200E0">
        <w:t xml:space="preserve"> </w:t>
      </w:r>
      <w:r>
        <w:t xml:space="preserve">redegørelsen </w:t>
      </w:r>
      <w:r w:rsidRPr="00C200E0">
        <w:t xml:space="preserve">i den udstrækning der identificeres negative konsekvenser for miljøet, </w:t>
      </w:r>
      <w:r>
        <w:t>skal "</w:t>
      </w:r>
      <w:r w:rsidRPr="00C200E0">
        <w:rPr>
          <w:i/>
        </w:rPr>
        <w:t>fremkomme med forslag til foranstaltninger, som bygherren vil implementere for at modvirke de negative konsekvenser fremkomme med forslag til foranstaltninger, som bygherren vil implementere for at modvirke de negative konsekvenser. Foreslåede foranstaltninger skal baseres på den bedste tilgængelige teknologi (BAT-princippet) med henblik på minimering af anlæggets forurening og sikring af et højt beskyttelsesniveau for miljøet som helhed under hensyn til de tekniske karakteristika ved det pågældende anlæg, dets geografiske beliggenhed og de lokale miljøforhold."</w:t>
      </w:r>
      <w:r>
        <w:t xml:space="preserve"> </w:t>
      </w:r>
    </w:p>
    <w:p w14:paraId="26C3B324" w14:textId="76519D2D" w:rsidR="00221B8D" w:rsidRDefault="00221B8D" w:rsidP="000050A7">
      <w:pPr>
        <w:pStyle w:val="Brdtekst"/>
      </w:pPr>
      <w:r>
        <w:t>Ingen af bekendtgørelserne indeholder konkrete grænseværdier for POP-stoffer.</w:t>
      </w:r>
    </w:p>
    <w:bookmarkEnd w:id="133"/>
    <w:p w14:paraId="7D6CF7FC" w14:textId="77777777" w:rsidR="003E4C8E" w:rsidRDefault="00C200E0" w:rsidP="003E4C8E">
      <w:pPr>
        <w:pStyle w:val="Brdtekst"/>
      </w:pPr>
      <w:r>
        <w:t xml:space="preserve">Hertil kommer at </w:t>
      </w:r>
      <w:r w:rsidR="00BB3332">
        <w:t xml:space="preserve">indsamling of </w:t>
      </w:r>
      <w:r>
        <w:t xml:space="preserve">behandling af affald </w:t>
      </w:r>
      <w:r w:rsidR="00BB3332">
        <w:t>er reguleret af:</w:t>
      </w:r>
    </w:p>
    <w:p w14:paraId="7D6CF7FD" w14:textId="53BE01A3" w:rsidR="00C200E0" w:rsidRPr="00BB3332" w:rsidRDefault="00C200E0" w:rsidP="00A35D58">
      <w:pPr>
        <w:pStyle w:val="Opstilling-punkttegn"/>
        <w:rPr>
          <w:b/>
        </w:rPr>
      </w:pPr>
      <w:r w:rsidRPr="00BB3332">
        <w:rPr>
          <w:b/>
        </w:rPr>
        <w:t xml:space="preserve">Hjemmestyrets bekendtgørelse nr. 28 af 17. september 1993 om bortskaffelse af affald. </w:t>
      </w:r>
      <w:r>
        <w:t xml:space="preserve">Bekendtgørelsen fastsætter i </w:t>
      </w:r>
      <w:r w:rsidRPr="00C200E0">
        <w:t>§ 2.</w:t>
      </w:r>
      <w:r>
        <w:t xml:space="preserve"> at</w:t>
      </w:r>
      <w:r w:rsidRPr="00C200E0">
        <w:t xml:space="preserve"> </w:t>
      </w:r>
      <w:r w:rsidRPr="00507C0F">
        <w:rPr>
          <w:i/>
        </w:rPr>
        <w:t>"Alt affald skal bortskaffes efter de til enhver tid gældende landsdækkende særregler for særlige affaldstyper og efter kommunalbestyrelsens anvisninger i henhold til denne bekendtgørelse"</w:t>
      </w:r>
      <w:r>
        <w:t>. Bekendtgørelse</w:t>
      </w:r>
      <w:r w:rsidR="00221B8D">
        <w:t>n</w:t>
      </w:r>
      <w:r>
        <w:t xml:space="preserve"> fastsætter, at </w:t>
      </w:r>
      <w:r w:rsidR="00BB3332">
        <w:t xml:space="preserve">affald bl.a. kan bortskaffes ved deponering på godkendt losseplads eller afbrænding i godkendt forbrændingsanlæg. Det fastsættes således i bekendtgørelsen at afbrænding af affald kun må ske på godkendte forbrændingsanlæg, men </w:t>
      </w:r>
      <w:r w:rsidR="00BB3332">
        <w:lastRenderedPageBreak/>
        <w:t>bekendtgørelsen fastsætter ikke krav til foranstaltninger til at undgå at affald</w:t>
      </w:r>
      <w:r w:rsidR="000076B8">
        <w:t>,</w:t>
      </w:r>
      <w:r w:rsidR="00BB3332">
        <w:t xml:space="preserve"> som er deponeret</w:t>
      </w:r>
      <w:r w:rsidR="000076B8">
        <w:t>,</w:t>
      </w:r>
      <w:r w:rsidR="00BB3332">
        <w:t xml:space="preserve"> antændes.</w:t>
      </w:r>
      <w:r w:rsidR="00E96B53">
        <w:t xml:space="preserve"> </w:t>
      </w:r>
    </w:p>
    <w:p w14:paraId="7D6CF7FE" w14:textId="63BAD55F" w:rsidR="00BB3332" w:rsidRPr="00BB3332" w:rsidRDefault="00BB3332" w:rsidP="00BB3332">
      <w:pPr>
        <w:pStyle w:val="Opstilling-punkttegn"/>
        <w:rPr>
          <w:b/>
        </w:rPr>
      </w:pPr>
      <w:r w:rsidRPr="00BB3332">
        <w:rPr>
          <w:b/>
        </w:rPr>
        <w:t>Hjemmestyrets bekendtgørelse nr. 29 af 17. september 1993 om olie- og kemikalieaffald</w:t>
      </w:r>
      <w:r>
        <w:rPr>
          <w:b/>
        </w:rPr>
        <w:t xml:space="preserve">. </w:t>
      </w:r>
      <w:r>
        <w:t>Bekendtgørelsen fastsætter</w:t>
      </w:r>
      <w:r w:rsidR="00A35EBC">
        <w:t>,</w:t>
      </w:r>
      <w:r>
        <w:t xml:space="preserve"> at det er k</w:t>
      </w:r>
      <w:r w:rsidRPr="00BB3332">
        <w:t>ommunalbestyrelse</w:t>
      </w:r>
      <w:r>
        <w:t>r</w:t>
      </w:r>
      <w:r w:rsidRPr="00BB3332">
        <w:t>n</w:t>
      </w:r>
      <w:r>
        <w:t>e</w:t>
      </w:r>
      <w:r w:rsidR="00E83EBC">
        <w:t>,</w:t>
      </w:r>
      <w:r w:rsidRPr="00BB3332">
        <w:t xml:space="preserve"> </w:t>
      </w:r>
      <w:r>
        <w:t xml:space="preserve">der skal </w:t>
      </w:r>
      <w:r w:rsidRPr="00BB3332">
        <w:t>anvise en bortskaffelsesmuligh</w:t>
      </w:r>
      <w:r>
        <w:t>ed for olie- og kemikalieaffald. Bekendtgørelsen indeholder ingen krav om at bortskaffe olie- og kemikalieaffald til virksomheder</w:t>
      </w:r>
      <w:r w:rsidR="00E83EBC">
        <w:t>,</w:t>
      </w:r>
      <w:r>
        <w:t xml:space="preserve"> der er godkendte til at modtage og behandle sådant affald. Der er ingen bestemmelser </w:t>
      </w:r>
      <w:r w:rsidR="00AE53EA">
        <w:t>i relation til</w:t>
      </w:r>
      <w:r>
        <w:t xml:space="preserve"> PCB i affaldet.</w:t>
      </w:r>
    </w:p>
    <w:p w14:paraId="7D6CF7FF" w14:textId="3B51A507" w:rsidR="00C368EB" w:rsidRDefault="00AE53EA" w:rsidP="00BB3332">
      <w:pPr>
        <w:pStyle w:val="Brdtekst"/>
      </w:pPr>
      <w:r>
        <w:t>Stockholmkonventionen indeholder ikke konkrete grænseværdier for emission af POP-stoffer</w:t>
      </w:r>
      <w:r w:rsidR="00E83EBC">
        <w:t>,</w:t>
      </w:r>
      <w:r>
        <w:t xml:space="preserve"> men mere </w:t>
      </w:r>
      <w:r w:rsidR="00C368EB">
        <w:t>bløde formuleringer om at</w:t>
      </w:r>
      <w:r w:rsidRPr="00AE53EA">
        <w:t xml:space="preserve"> fremme brugen af tilgængelige og praktiske mulige foranstaltninger, der hurtigt</w:t>
      </w:r>
      <w:r w:rsidR="00221B8D">
        <w:t xml:space="preserve"> muligt</w:t>
      </w:r>
      <w:r w:rsidRPr="00AE53EA">
        <w:t xml:space="preserve"> kan resultere i en realistisk og signifikant reduktion af udslip eller </w:t>
      </w:r>
      <w:r>
        <w:t>eliminering af kilder. For nye forbrændingsanlæg (</w:t>
      </w:r>
      <w:r w:rsidRPr="00D8487A">
        <w:t>bilag C, del II</w:t>
      </w:r>
      <w:r>
        <w:t xml:space="preserve"> kildekategori) er der krav om anvendelse af </w:t>
      </w:r>
      <w:r w:rsidR="00C368EB">
        <w:t xml:space="preserve">bedst tilgængelige teknik (BAT) </w:t>
      </w:r>
      <w:r w:rsidR="00C368EB" w:rsidRPr="00C368EB">
        <w:t xml:space="preserve">senest fire år efter konventionens ikrafttræden for den </w:t>
      </w:r>
      <w:r w:rsidR="00C368EB">
        <w:t>enkelte</w:t>
      </w:r>
      <w:r w:rsidR="00C368EB" w:rsidRPr="00C368EB">
        <w:t xml:space="preserve"> par</w:t>
      </w:r>
      <w:r w:rsidR="00C368EB">
        <w:t>t. POP-protokollen har mere kontante emissionsgrænseværdier, men kun for eksisterende anlæg</w:t>
      </w:r>
      <w:r w:rsidR="00E83EBC">
        <w:t>,</w:t>
      </w:r>
      <w:r w:rsidR="00C368EB">
        <w:t xml:space="preserve"> der er større end de forbrændingsanlæg der i dag anvendes i Grønland. For nye anlæg er der emissionskrav</w:t>
      </w:r>
      <w:r w:rsidR="00E83EBC">
        <w:t>,</w:t>
      </w:r>
      <w:r w:rsidR="00C368EB">
        <w:t xml:space="preserve"> som svarer til BAT</w:t>
      </w:r>
      <w:r w:rsidR="00E83EBC">
        <w:t>-</w:t>
      </w:r>
      <w:r w:rsidR="00C368EB">
        <w:t>krav.</w:t>
      </w:r>
      <w:r w:rsidR="00003CBA">
        <w:t xml:space="preserve"> Grønland er således allerede forpligtet til</w:t>
      </w:r>
      <w:r w:rsidR="000076B8">
        <w:t>,</w:t>
      </w:r>
      <w:r w:rsidR="00003CBA">
        <w:t xml:space="preserve"> at nye anlæg skal leve op til BAT</w:t>
      </w:r>
      <w:r w:rsidR="00E83EBC">
        <w:t>.</w:t>
      </w:r>
    </w:p>
    <w:p w14:paraId="7D6CF800" w14:textId="3D956041" w:rsidR="00C368EB" w:rsidRDefault="00C368EB" w:rsidP="00BB3332">
      <w:pPr>
        <w:pStyle w:val="Brdtekst"/>
      </w:pPr>
      <w:r>
        <w:t xml:space="preserve">Hvis det er muligt at </w:t>
      </w:r>
      <w:r w:rsidRPr="00AE53EA">
        <w:t>fremme bru</w:t>
      </w:r>
      <w:r>
        <w:t>gen af tilgængelige og praktisk</w:t>
      </w:r>
      <w:r w:rsidRPr="00AE53EA">
        <w:t xml:space="preserve"> mulige foranstaltninger</w:t>
      </w:r>
      <w:r>
        <w:t xml:space="preserve"> uden at indføre ny lovgivning med konkrete emissionskrav</w:t>
      </w:r>
      <w:r w:rsidR="00853C12">
        <w:t>,</w:t>
      </w:r>
      <w:r>
        <w:t xml:space="preserve"> vurderes dette at kunne være tilstrækkeligt for at implementere </w:t>
      </w:r>
      <w:r w:rsidR="000575A1">
        <w:t>konventionens</w:t>
      </w:r>
      <w:r>
        <w:t xml:space="preserve"> krav.</w:t>
      </w:r>
      <w:r w:rsidR="003D7275">
        <w:t xml:space="preserve"> </w:t>
      </w:r>
      <w:r w:rsidR="00853C12">
        <w:t>Dette kan f</w:t>
      </w:r>
      <w:r w:rsidR="003D7275">
        <w:t xml:space="preserve">.eks. </w:t>
      </w:r>
      <w:r w:rsidR="00853C12">
        <w:t xml:space="preserve">gennemføres </w:t>
      </w:r>
      <w:r w:rsidR="003D7275">
        <w:t>via vilkår i miljøgodkendelsen af</w:t>
      </w:r>
      <w:r w:rsidR="003D7275" w:rsidRPr="003D7275">
        <w:t xml:space="preserve"> særligt forurenende virksomheder</w:t>
      </w:r>
      <w:r w:rsidR="003D7275">
        <w:t>.</w:t>
      </w:r>
    </w:p>
    <w:p w14:paraId="7D6CF801" w14:textId="6C593EF0" w:rsidR="00C368EB" w:rsidRDefault="00C368EB" w:rsidP="00BB3332">
      <w:pPr>
        <w:pStyle w:val="Brdtekst"/>
      </w:pPr>
      <w:r>
        <w:t xml:space="preserve">Hvad angår </w:t>
      </w:r>
      <w:proofErr w:type="spellStart"/>
      <w:r>
        <w:t>PCB-holdigt</w:t>
      </w:r>
      <w:proofErr w:type="spellEnd"/>
      <w:r>
        <w:t xml:space="preserve"> kemikalie- og olieaffald kunne der stilles krav om bortskaffelse af affald med mere end 50 mg/kg PC</w:t>
      </w:r>
      <w:r w:rsidR="000575A1">
        <w:t>B</w:t>
      </w:r>
      <w:r>
        <w:t xml:space="preserve"> til særlige anlæg </w:t>
      </w:r>
      <w:r w:rsidR="006E4DB9">
        <w:t>i overensstemmelse med de regler</w:t>
      </w:r>
      <w:r w:rsidR="00E83EBC">
        <w:t>,</w:t>
      </w:r>
      <w:r w:rsidR="006E4DB9">
        <w:t xml:space="preserve"> der er gældende i Danmark og det øvrige EU. Som nævnt ovenfor kunne disse krav indeholdes i en bekendtgørelse</w:t>
      </w:r>
      <w:r w:rsidR="00E83EBC">
        <w:t>,</w:t>
      </w:r>
      <w:r w:rsidR="006E4DB9">
        <w:t xml:space="preserve"> der regulerer produktionen, import, anvendelse, bortskaffelse mm</w:t>
      </w:r>
      <w:r w:rsidR="00E83EBC">
        <w:t>.</w:t>
      </w:r>
      <w:r w:rsidR="006E4DB9">
        <w:t xml:space="preserve"> af POP-stoffer. Anvisninger til kortlægning og bortskaffelse er allerede angivet i vejledningen for PCB</w:t>
      </w:r>
      <w:r w:rsidR="003D7275">
        <w:t xml:space="preserve"> fra 2014</w:t>
      </w:r>
      <w:r w:rsidR="006E4DB9">
        <w:t xml:space="preserve">, men indførelse af kravene i en </w:t>
      </w:r>
      <w:r w:rsidR="002736A4">
        <w:t>bekendtgørelse</w:t>
      </w:r>
      <w:r w:rsidR="006E4DB9">
        <w:t xml:space="preserve"> ville styrke implementeringen af vejledningens anvisninger.</w:t>
      </w:r>
    </w:p>
    <w:p w14:paraId="7D6CF802" w14:textId="77777777" w:rsidR="006E4DB9" w:rsidRDefault="006E4DB9" w:rsidP="00BB3332">
      <w:pPr>
        <w:pStyle w:val="Brdtekst"/>
      </w:pPr>
    </w:p>
    <w:p w14:paraId="7D6CF808" w14:textId="77777777" w:rsidR="001C7DA0" w:rsidRDefault="001C7DA0" w:rsidP="001C7DA0">
      <w:pPr>
        <w:pStyle w:val="Brdtekst"/>
      </w:pPr>
    </w:p>
    <w:p w14:paraId="7A832A7D" w14:textId="21D23A88" w:rsidR="008C4637" w:rsidRDefault="008C4637" w:rsidP="001C7DA0">
      <w:pPr>
        <w:pStyle w:val="Overskrift1"/>
      </w:pPr>
      <w:bookmarkStart w:id="134" w:name="_Toc469053556"/>
      <w:bookmarkStart w:id="135" w:name="_Toc469057837"/>
      <w:bookmarkStart w:id="136" w:name="_Toc469304935"/>
      <w:bookmarkStart w:id="137" w:name="_Toc10205730"/>
      <w:r>
        <w:lastRenderedPageBreak/>
        <w:t>Erfaringer fra Færøerne</w:t>
      </w:r>
      <w:bookmarkEnd w:id="134"/>
      <w:bookmarkEnd w:id="135"/>
      <w:bookmarkEnd w:id="136"/>
      <w:bookmarkEnd w:id="137"/>
    </w:p>
    <w:p w14:paraId="191C3053" w14:textId="49D22D13" w:rsidR="008C4637" w:rsidRDefault="008C4637" w:rsidP="008C4637">
      <w:pPr>
        <w:pStyle w:val="Brdtekst"/>
      </w:pPr>
      <w:r w:rsidRPr="008C4637">
        <w:t xml:space="preserve">Lagtinget </w:t>
      </w:r>
      <w:r>
        <w:t xml:space="preserve">på </w:t>
      </w:r>
      <w:r w:rsidRPr="008C4637">
        <w:t>Færøerne</w:t>
      </w:r>
      <w:r>
        <w:t xml:space="preserve"> </w:t>
      </w:r>
      <w:r w:rsidRPr="008C4637">
        <w:t>vedtog Stockh</w:t>
      </w:r>
      <w:r>
        <w:t>olmkonventionen den 5. maj 20</w:t>
      </w:r>
      <w:r w:rsidR="00506AFF">
        <w:t>1</w:t>
      </w:r>
      <w:r>
        <w:t xml:space="preserve">1. Forud for beslutningen </w:t>
      </w:r>
      <w:r w:rsidR="00E83EBC">
        <w:t xml:space="preserve">blev </w:t>
      </w:r>
      <w:r>
        <w:t>der udarbejdet en redegørelse for konsekvenserne af at tiltræde konventionen (</w:t>
      </w:r>
      <w:proofErr w:type="spellStart"/>
      <w:r w:rsidRPr="008C4637">
        <w:t>Heilsufrøðiliga</w:t>
      </w:r>
      <w:proofErr w:type="spellEnd"/>
      <w:r w:rsidRPr="008C4637">
        <w:t xml:space="preserve"> </w:t>
      </w:r>
      <w:proofErr w:type="spellStart"/>
      <w:r w:rsidRPr="008C4637">
        <w:t>starvsstovan</w:t>
      </w:r>
      <w:proofErr w:type="spellEnd"/>
      <w:r>
        <w:t>, 2007).</w:t>
      </w:r>
    </w:p>
    <w:p w14:paraId="779A230A" w14:textId="6032CB78" w:rsidR="008C4637" w:rsidRDefault="00255861" w:rsidP="008C4637">
      <w:pPr>
        <w:pStyle w:val="Brdtekst"/>
      </w:pPr>
      <w:r>
        <w:t>De vigtigste konklusioner i</w:t>
      </w:r>
      <w:r w:rsidR="008C4637">
        <w:t xml:space="preserve"> redegørelsen vurderes at være: </w:t>
      </w:r>
    </w:p>
    <w:p w14:paraId="5B1447DD" w14:textId="1C963746" w:rsidR="008C4637" w:rsidRDefault="008C4637" w:rsidP="004F37EE">
      <w:pPr>
        <w:pStyle w:val="Opstilling-punkttegn"/>
      </w:pPr>
      <w:r>
        <w:t>At der</w:t>
      </w:r>
      <w:r w:rsidR="00255861">
        <w:t xml:space="preserve"> skal</w:t>
      </w:r>
      <w:r>
        <w:t xml:space="preserve"> iværksættes tiltag på Færøerne vedrørende udfasning af PCB. En plan skal udføres </w:t>
      </w:r>
      <w:r w:rsidR="00C13C6E">
        <w:t xml:space="preserve">vedrørende </w:t>
      </w:r>
      <w:r>
        <w:t>kortlægning og udfasning af PCB. Det vurderes, at affaldshåndtering af udstyr, der kan indeholde PCB</w:t>
      </w:r>
      <w:r w:rsidR="00E83EBC">
        <w:t>,</w:t>
      </w:r>
      <w:r>
        <w:t xml:space="preserve"> er tilfred</w:t>
      </w:r>
      <w:r w:rsidR="00E83EBC">
        <w:t>s</w:t>
      </w:r>
      <w:r>
        <w:t>stillende</w:t>
      </w:r>
      <w:r w:rsidR="000076B8">
        <w:t>. D</w:t>
      </w:r>
      <w:r w:rsidR="00255861">
        <w:t>og skal der derudover oplyses</w:t>
      </w:r>
      <w:r>
        <w:t xml:space="preserve"> om andre forureningskilde</w:t>
      </w:r>
      <w:r w:rsidR="00255861">
        <w:t>r, som f</w:t>
      </w:r>
      <w:r w:rsidR="00E83EBC">
        <w:t>.eks.</w:t>
      </w:r>
      <w:r w:rsidR="00255861">
        <w:t xml:space="preserve"> ruder og byggematerialer</w:t>
      </w:r>
      <w:r>
        <w:t xml:space="preserve">. </w:t>
      </w:r>
    </w:p>
    <w:p w14:paraId="39EF45BA" w14:textId="49D345FB" w:rsidR="00255861" w:rsidRDefault="00255861" w:rsidP="004F37EE">
      <w:pPr>
        <w:pStyle w:val="Opstilling-punkttegn"/>
      </w:pPr>
      <w:r>
        <w:t>I</w:t>
      </w:r>
      <w:r w:rsidR="008C4637">
        <w:t xml:space="preserve">mplementering af protokol og konvention </w:t>
      </w:r>
      <w:r>
        <w:t xml:space="preserve">vil </w:t>
      </w:r>
      <w:r w:rsidR="008C4637">
        <w:t xml:space="preserve">ikke medføre forandringer vedrørende </w:t>
      </w:r>
      <w:r>
        <w:t>forbrændingsanlæggene</w:t>
      </w:r>
      <w:r w:rsidR="008C4637">
        <w:t>, da der allerede er iværksat tilstrækkelige tiltag.</w:t>
      </w:r>
      <w:r>
        <w:t xml:space="preserve"> POP-protokollen stiller krav til, at affaldsforbrændingsanlæg med en kapacitet større end 3 tons per time, skal have e</w:t>
      </w:r>
      <w:r w:rsidR="00E83EBC">
        <w:t>n</w:t>
      </w:r>
      <w:r>
        <w:t xml:space="preserve"> grænseværdi for dioxinemissionen. Affaldsforbrændingsanlæggene på Færøerne forbrænder omkring 2 til 2,5 tons per time og er derfor under grænsen til at være omfattet af </w:t>
      </w:r>
      <w:r w:rsidR="00E83EBC">
        <w:t>protokollen</w:t>
      </w:r>
      <w:r>
        <w:t xml:space="preserve">. Forbrændingsanlæggene på Færøerne har i 2006 iværksat nødvendige tiltag for at holde sig </w:t>
      </w:r>
      <w:r w:rsidR="00E83EBC">
        <w:t xml:space="preserve">under </w:t>
      </w:r>
      <w:r>
        <w:t>grænseværdi</w:t>
      </w:r>
      <w:r w:rsidR="00C13C6E">
        <w:t>en fastsat</w:t>
      </w:r>
      <w:r w:rsidR="009E5ECE">
        <w:t xml:space="preserve"> </w:t>
      </w:r>
      <w:r w:rsidR="00C13C6E">
        <w:t>i POP-protokollen</w:t>
      </w:r>
      <w:r>
        <w:t xml:space="preserve">. </w:t>
      </w:r>
    </w:p>
    <w:p w14:paraId="1D1D6321" w14:textId="493087F3" w:rsidR="008C4637" w:rsidRDefault="008C4637" w:rsidP="004F37EE">
      <w:pPr>
        <w:pStyle w:val="Opstilling-punkttegn"/>
      </w:pPr>
      <w:r>
        <w:t xml:space="preserve">Det er særligt vedrørende registrering af luftemission, </w:t>
      </w:r>
      <w:r w:rsidR="00E83EBC">
        <w:t xml:space="preserve">at </w:t>
      </w:r>
      <w:r>
        <w:t>der skal sættes ind. Det anbefales at udføre undersøgelser a</w:t>
      </w:r>
      <w:r w:rsidR="00255861">
        <w:t>f</w:t>
      </w:r>
      <w:r>
        <w:t xml:space="preserve"> emissionen af PAH, </w:t>
      </w:r>
      <w:r w:rsidR="00255861">
        <w:t>HCB, diox</w:t>
      </w:r>
      <w:r>
        <w:t>in</w:t>
      </w:r>
      <w:r w:rsidR="00894591">
        <w:t>er</w:t>
      </w:r>
      <w:r>
        <w:t xml:space="preserve"> og PCB for både energianlægget og </w:t>
      </w:r>
      <w:r w:rsidR="00255861">
        <w:t>affaldsforbrænd</w:t>
      </w:r>
      <w:r>
        <w:t xml:space="preserve">ingsanlæggene og </w:t>
      </w:r>
      <w:r w:rsidR="00C13C6E">
        <w:t xml:space="preserve">fremover </w:t>
      </w:r>
      <w:r>
        <w:t>reg</w:t>
      </w:r>
      <w:r w:rsidR="00255861">
        <w:t>i</w:t>
      </w:r>
      <w:r>
        <w:t>strere målinger af disse stoffer.</w:t>
      </w:r>
      <w:r w:rsidR="00E96B53">
        <w:t xml:space="preserve"> </w:t>
      </w:r>
    </w:p>
    <w:p w14:paraId="0D57683B" w14:textId="71960E92" w:rsidR="008C4637" w:rsidRDefault="008C4637" w:rsidP="004F37EE">
      <w:pPr>
        <w:pStyle w:val="Opstilling-punkttegn"/>
      </w:pPr>
      <w:r>
        <w:t xml:space="preserve">Der skal opmuntres til forskning, udvikling og overvågning og samarbejde om særligt påvirkninger på </w:t>
      </w:r>
      <w:r w:rsidR="00E83EBC">
        <w:t xml:space="preserve">menneskets sundhed </w:t>
      </w:r>
      <w:r>
        <w:t xml:space="preserve">og miljø, herunder </w:t>
      </w:r>
      <w:r w:rsidR="00255861">
        <w:t>kvantificering</w:t>
      </w:r>
      <w:r>
        <w:t xml:space="preserve"> af disse påvirkninger. Det anbefales</w:t>
      </w:r>
      <w:r w:rsidR="00C13C6E">
        <w:t>,</w:t>
      </w:r>
      <w:r>
        <w:t xml:space="preserve"> at der tilskyndes til sådanne tiltag.</w:t>
      </w:r>
    </w:p>
    <w:p w14:paraId="5D531551" w14:textId="4D8F5DB2" w:rsidR="008C4637" w:rsidRDefault="00C13C6E" w:rsidP="004F37EE">
      <w:pPr>
        <w:pStyle w:val="Opstilling-punkttegn"/>
      </w:pPr>
      <w:r>
        <w:t xml:space="preserve">Der skal udarbejdes en </w:t>
      </w:r>
      <w:r w:rsidR="008C4637">
        <w:t>plan om</w:t>
      </w:r>
      <w:r w:rsidR="00555E7B">
        <w:t>,</w:t>
      </w:r>
      <w:r w:rsidR="008C4637">
        <w:t xml:space="preserve"> hvordan information bedst kan nå kommuner, myndigheder og borgere. Det anbefales, at Færøerne samler registreringer, undersøgelser, rapporter m.m. på en hjemmeside</w:t>
      </w:r>
      <w:r w:rsidR="00555E7B">
        <w:t>.</w:t>
      </w:r>
    </w:p>
    <w:p w14:paraId="25140BEC" w14:textId="53B13E99" w:rsidR="00801913" w:rsidRDefault="008C4637" w:rsidP="004F37EE">
      <w:pPr>
        <w:pStyle w:val="Opstilling-punkttegn"/>
      </w:pPr>
      <w:r>
        <w:t>Det vurderes</w:t>
      </w:r>
      <w:r w:rsidR="00712B86">
        <w:t>,</w:t>
      </w:r>
      <w:r>
        <w:t xml:space="preserve"> at implementering af POP</w:t>
      </w:r>
      <w:r w:rsidR="00555E7B">
        <w:t>-</w:t>
      </w:r>
      <w:r>
        <w:t xml:space="preserve">protokollen og Stockholm konventionen </w:t>
      </w:r>
      <w:r w:rsidR="00255861">
        <w:t xml:space="preserve">tilsammen </w:t>
      </w:r>
      <w:r>
        <w:t xml:space="preserve">vil kræve 1½ årsarbejde det første år og sidenhen ½ årsarbejde hvert år. </w:t>
      </w:r>
      <w:r w:rsidR="00255861">
        <w:t>Fordelingen af tidsforbruget på forskellige opgaver er ikke angive</w:t>
      </w:r>
      <w:r w:rsidR="00555E7B">
        <w:t>t</w:t>
      </w:r>
      <w:r w:rsidR="003B4E0D">
        <w:t xml:space="preserve">. </w:t>
      </w:r>
    </w:p>
    <w:p w14:paraId="252C5263" w14:textId="18C9E317" w:rsidR="008C4637" w:rsidRDefault="003B4E0D" w:rsidP="00507C0F">
      <w:pPr>
        <w:pStyle w:val="Brdtekst"/>
      </w:pPr>
      <w:r>
        <w:t>Det skal bemærkes</w:t>
      </w:r>
      <w:r w:rsidR="00801913">
        <w:t xml:space="preserve">, at det angivne </w:t>
      </w:r>
      <w:r>
        <w:t xml:space="preserve">tidsforbrug ikke </w:t>
      </w:r>
      <w:r w:rsidR="00801913">
        <w:t xml:space="preserve">kun </w:t>
      </w:r>
      <w:r>
        <w:t xml:space="preserve">vedrører </w:t>
      </w:r>
      <w:r w:rsidR="00801913">
        <w:t>de administrative omkostninger</w:t>
      </w:r>
      <w:r w:rsidR="00555E7B">
        <w:t>,</w:t>
      </w:r>
      <w:r w:rsidR="00801913">
        <w:t xml:space="preserve"> men alle omkostning</w:t>
      </w:r>
      <w:r w:rsidR="00555E7B">
        <w:t>er</w:t>
      </w:r>
      <w:r w:rsidR="00801913">
        <w:t xml:space="preserve"> inkl. tiltag i relation til PCB i byggematerialer og monitering af POP-stoffer. </w:t>
      </w:r>
    </w:p>
    <w:p w14:paraId="624C8C91" w14:textId="74CCEE39" w:rsidR="00B621AF" w:rsidRDefault="00712B86" w:rsidP="00712B86">
      <w:pPr>
        <w:pStyle w:val="Brdtekst"/>
      </w:pPr>
      <w:r>
        <w:t>Der har været rette</w:t>
      </w:r>
      <w:r w:rsidR="00555E7B">
        <w:t>t</w:t>
      </w:r>
      <w:r>
        <w:t xml:space="preserve"> henvendelse til miljømyndighederne på Færøerne (</w:t>
      </w:r>
      <w:proofErr w:type="spellStart"/>
      <w:r w:rsidR="00C13C6E">
        <w:t>U</w:t>
      </w:r>
      <w:r w:rsidR="00C13C6E" w:rsidRPr="00712B86">
        <w:t>mhvørvisstovan</w:t>
      </w:r>
      <w:proofErr w:type="spellEnd"/>
      <w:r>
        <w:t>) for at få yderligere oplysninger om</w:t>
      </w:r>
      <w:r w:rsidR="00801913">
        <w:t xml:space="preserve"> de faktiske</w:t>
      </w:r>
      <w:r>
        <w:t xml:space="preserve"> konsekvenser </w:t>
      </w:r>
      <w:r w:rsidR="00555E7B">
        <w:t xml:space="preserve">i </w:t>
      </w:r>
      <w:r w:rsidR="00801913">
        <w:t xml:space="preserve">de senere år </w:t>
      </w:r>
      <w:r>
        <w:t>af at tiltræde Stockholmkonventionen. I følge de oplysninger</w:t>
      </w:r>
      <w:r w:rsidR="00555E7B">
        <w:t>,</w:t>
      </w:r>
      <w:r>
        <w:t xml:space="preserve"> som er </w:t>
      </w:r>
      <w:r>
        <w:lastRenderedPageBreak/>
        <w:t>indhentet</w:t>
      </w:r>
      <w:r w:rsidR="00B621AF">
        <w:t>,</w:t>
      </w:r>
      <w:r>
        <w:t xml:space="preserve"> har opgaverne primært været knyttet til monitering og forskningsundersøgelser af POP-stoffer i miljøet og i human mælk. Undersøgerne er udført af det færøske forskningsråd (</w:t>
      </w:r>
      <w:proofErr w:type="spellStart"/>
      <w:r>
        <w:t>Gransking</w:t>
      </w:r>
      <w:proofErr w:type="spellEnd"/>
      <w:r>
        <w:t>), og er gennemført i AMAP</w:t>
      </w:r>
      <w:r w:rsidR="000076B8">
        <w:t>-</w:t>
      </w:r>
      <w:r>
        <w:t xml:space="preserve">regi støttet af den danske Miljøstyrelse. </w:t>
      </w:r>
    </w:p>
    <w:p w14:paraId="3C7FE7CF" w14:textId="7B442B56" w:rsidR="00712B86" w:rsidRDefault="00B621AF" w:rsidP="00712B86">
      <w:pPr>
        <w:pStyle w:val="Brdtekst"/>
      </w:pPr>
      <w:r>
        <w:t>Der er ikke oplyst om omfanget af aktiviteter i relation til PCB i byggematerialer eller monitering af emissioner af POP</w:t>
      </w:r>
      <w:r w:rsidR="00555E7B">
        <w:t>-</w:t>
      </w:r>
      <w:r>
        <w:t>stoffer fra forbrændings- og energianlæg.</w:t>
      </w:r>
    </w:p>
    <w:p w14:paraId="013F8C6A" w14:textId="510E391B" w:rsidR="00ED2C61" w:rsidRPr="008C4637" w:rsidRDefault="00ED2C61" w:rsidP="00712B86">
      <w:pPr>
        <w:pStyle w:val="Brdtekst"/>
      </w:pPr>
      <w:r w:rsidRPr="000050A7">
        <w:rPr>
          <w:color w:val="000000" w:themeColor="text1"/>
        </w:rPr>
        <w:t xml:space="preserve">Færøerne er i forbindelse med udarbejdelsen af den opdaterede nationale implementeringsplan for Stockholmkonventionen i Danmark i 2018 ikke blevet bedt om at levere input til planen. </w:t>
      </w:r>
    </w:p>
    <w:p w14:paraId="14D5D57B" w14:textId="2A1EC2A5" w:rsidR="00AC46CD" w:rsidRDefault="00AC46CD" w:rsidP="001C7DA0">
      <w:pPr>
        <w:pStyle w:val="Overskrift1"/>
      </w:pPr>
      <w:bookmarkStart w:id="138" w:name="_Toc10205731"/>
      <w:bookmarkStart w:id="139" w:name="_Toc469053557"/>
      <w:bookmarkStart w:id="140" w:name="_Toc469057838"/>
      <w:bookmarkStart w:id="141" w:name="_Toc469304936"/>
      <w:r>
        <w:lastRenderedPageBreak/>
        <w:t>Samlede omkostninger</w:t>
      </w:r>
      <w:bookmarkEnd w:id="138"/>
    </w:p>
    <w:p w14:paraId="32D0E061" w14:textId="0FE2636F" w:rsidR="006475F0" w:rsidRDefault="003D7275" w:rsidP="003D7275">
      <w:pPr>
        <w:pStyle w:val="Brdtekst"/>
      </w:pPr>
      <w:bookmarkStart w:id="142" w:name="_Hlk8632659"/>
      <w:r w:rsidRPr="003D7275">
        <w:t xml:space="preserve">Grønland har allerede igangsat en række tiltag i forhold til PCB og dioxin. Der tages i dag hånd om </w:t>
      </w:r>
      <w:proofErr w:type="spellStart"/>
      <w:r w:rsidRPr="003D7275">
        <w:t>PCB-holdigt</w:t>
      </w:r>
      <w:proofErr w:type="spellEnd"/>
      <w:r w:rsidRPr="003D7275">
        <w:t xml:space="preserve"> affald og bibeholdes planerne om at etablere to nye forbrændingsanlæg, som skal modtage affald fra alle byer og bygder, så er det begrænset</w:t>
      </w:r>
      <w:r w:rsidR="00853C12">
        <w:t>,</w:t>
      </w:r>
      <w:r w:rsidRPr="003D7275">
        <w:t xml:space="preserve"> hvilke nye ekstra omkostninger der vil være </w:t>
      </w:r>
      <w:r w:rsidR="004F2E6E">
        <w:t>en</w:t>
      </w:r>
      <w:r w:rsidRPr="003D7275">
        <w:t xml:space="preserve"> følge af </w:t>
      </w:r>
      <w:r w:rsidR="004F2E6E">
        <w:t>at tiltræde konventionen</w:t>
      </w:r>
      <w:r w:rsidRPr="003D7275">
        <w:t xml:space="preserve">. </w:t>
      </w:r>
      <w:r w:rsidR="00436924">
        <w:t xml:space="preserve">I nedenstående tabel 6 er omkostningerne til </w:t>
      </w:r>
      <w:r w:rsidR="00853C12">
        <w:t>allerede vedtagne</w:t>
      </w:r>
      <w:r w:rsidR="00436924">
        <w:t xml:space="preserve"> tiltag anført med henblik på at perspektivere </w:t>
      </w:r>
      <w:r w:rsidR="00853C12">
        <w:t xml:space="preserve">de yderligere </w:t>
      </w:r>
      <w:r w:rsidR="00436924">
        <w:t>omkostninger</w:t>
      </w:r>
      <w:r w:rsidR="00853C12">
        <w:t>,</w:t>
      </w:r>
      <w:r w:rsidR="00436924">
        <w:t xml:space="preserve"> som vil være en følge af at tiltræde konventionen. Som det fremgår</w:t>
      </w:r>
      <w:r w:rsidR="00853C12">
        <w:t>,</w:t>
      </w:r>
      <w:r w:rsidR="00436924">
        <w:t xml:space="preserve"> er omkostningerne af tiltag som allerede er vedtaget - og som altså er uafhængige af </w:t>
      </w:r>
      <w:r w:rsidR="00F73036">
        <w:t xml:space="preserve">om </w:t>
      </w:r>
      <w:r w:rsidR="00436924">
        <w:t>konventionen tiltrædes - meget større end de ekstra omkostninger, der kan følge af at tiltræde konventionen</w:t>
      </w:r>
    </w:p>
    <w:p w14:paraId="11BF3301" w14:textId="2EBD0C50" w:rsidR="00AC46CD" w:rsidRDefault="003D7275" w:rsidP="003D7275">
      <w:pPr>
        <w:pStyle w:val="Brdtekst"/>
        <w:rPr>
          <w:bCs/>
          <w:iCs/>
          <w:color w:val="000000" w:themeColor="text1"/>
        </w:rPr>
      </w:pPr>
      <w:r w:rsidRPr="003D7275">
        <w:t>Foruden de tiltag</w:t>
      </w:r>
      <w:r w:rsidR="004F2E6E">
        <w:t>,</w:t>
      </w:r>
      <w:r w:rsidRPr="003D7275">
        <w:t xml:space="preserve"> der allerede er igangsat</w:t>
      </w:r>
      <w:r w:rsidR="004F2E6E">
        <w:t>,</w:t>
      </w:r>
      <w:r w:rsidRPr="003D7275">
        <w:t xml:space="preserve"> vurderes en </w:t>
      </w:r>
      <w:r w:rsidR="004F2E6E">
        <w:t>tiltrædelse af konventionen</w:t>
      </w:r>
      <w:r w:rsidRPr="003D7275">
        <w:t xml:space="preserve"> at medføre ekstra omkostningerne </w:t>
      </w:r>
      <w:r>
        <w:t>t</w:t>
      </w:r>
      <w:r w:rsidR="00AC46CD">
        <w:t xml:space="preserve">il </w:t>
      </w:r>
      <w:r w:rsidR="00AC46CD" w:rsidRPr="007879D8">
        <w:rPr>
          <w:bCs/>
          <w:iCs/>
          <w:color w:val="000000" w:themeColor="text1"/>
        </w:rPr>
        <w:t>1,</w:t>
      </w:r>
      <w:r w:rsidR="00F73036">
        <w:rPr>
          <w:bCs/>
          <w:iCs/>
          <w:color w:val="000000" w:themeColor="text1"/>
        </w:rPr>
        <w:t>1</w:t>
      </w:r>
      <w:r w:rsidR="00F73036" w:rsidRPr="007879D8">
        <w:rPr>
          <w:bCs/>
          <w:iCs/>
          <w:color w:val="000000" w:themeColor="text1"/>
        </w:rPr>
        <w:t xml:space="preserve"> </w:t>
      </w:r>
      <w:r w:rsidR="00AC46CD" w:rsidRPr="007879D8">
        <w:rPr>
          <w:bCs/>
          <w:iCs/>
          <w:color w:val="000000" w:themeColor="text1"/>
        </w:rPr>
        <w:t>- 3,</w:t>
      </w:r>
      <w:r w:rsidR="00F73036">
        <w:rPr>
          <w:bCs/>
          <w:iCs/>
          <w:color w:val="000000" w:themeColor="text1"/>
        </w:rPr>
        <w:t>1</w:t>
      </w:r>
      <w:r w:rsidR="00F73036" w:rsidRPr="007879D8">
        <w:rPr>
          <w:bCs/>
          <w:iCs/>
          <w:color w:val="000000" w:themeColor="text1"/>
        </w:rPr>
        <w:t xml:space="preserve"> </w:t>
      </w:r>
      <w:r w:rsidR="00AC46CD">
        <w:rPr>
          <w:bCs/>
          <w:iCs/>
          <w:color w:val="000000" w:themeColor="text1"/>
        </w:rPr>
        <w:t>mio. kr.</w:t>
      </w:r>
    </w:p>
    <w:p w14:paraId="59A6CCFE" w14:textId="77777777" w:rsidR="00AC46CD" w:rsidRDefault="00AC46CD" w:rsidP="00AC46CD">
      <w:pPr>
        <w:pStyle w:val="Brdtekst"/>
        <w:rPr>
          <w:bCs/>
          <w:iCs/>
          <w:color w:val="000000" w:themeColor="text1"/>
        </w:rPr>
      </w:pPr>
      <w:r>
        <w:rPr>
          <w:bCs/>
          <w:iCs/>
          <w:color w:val="000000" w:themeColor="text1"/>
        </w:rPr>
        <w:t>De største udgifter vurderes at være knyttet til:</w:t>
      </w:r>
    </w:p>
    <w:p w14:paraId="35E5DBEE" w14:textId="2E46C656" w:rsidR="00C42291" w:rsidRPr="009622C5" w:rsidRDefault="00C42291" w:rsidP="00C42291">
      <w:pPr>
        <w:pStyle w:val="Opstilling-punkttegn"/>
      </w:pPr>
      <w:r>
        <w:t xml:space="preserve">Omkostninger på </w:t>
      </w:r>
      <w:r w:rsidR="00DD34B3">
        <w:t xml:space="preserve">0,1 </w:t>
      </w:r>
      <w:r>
        <w:t>-</w:t>
      </w:r>
      <w:r w:rsidR="00DD34B3">
        <w:t xml:space="preserve"> </w:t>
      </w:r>
      <w:r>
        <w:t>0,</w:t>
      </w:r>
      <w:r w:rsidR="00DD34B3">
        <w:t>2</w:t>
      </w:r>
      <w:r>
        <w:t xml:space="preserve"> mio. kr. til udarbejdelse af en bekendtgørelse, der regulerer produktion, brug, import og eksport af POP-stoffer </w:t>
      </w:r>
    </w:p>
    <w:p w14:paraId="77048942" w14:textId="07F9DBB9" w:rsidR="00C42291" w:rsidRDefault="00C42291" w:rsidP="00C42291">
      <w:pPr>
        <w:pStyle w:val="Opstilling-punkttegn"/>
      </w:pPr>
      <w:r>
        <w:t>E</w:t>
      </w:r>
      <w:r w:rsidRPr="00A6746D">
        <w:t xml:space="preserve">kstraomkostninger til håndtering af SCCP </w:t>
      </w:r>
      <w:r>
        <w:t xml:space="preserve">ved renovering og nedrivning af bygninger på 0,5 - 2,0 mio. kr., som vil påhvile bygningsejere. Det skal bemærkes, at der i relation til arbejdsmiljømæssige hensyn allerede vil være krav om at registrere forekomsten af SCCP ved renovering og nedrivning af bygninger. </w:t>
      </w:r>
    </w:p>
    <w:p w14:paraId="6A4C2183" w14:textId="119F3A8B" w:rsidR="00AC46CD" w:rsidRDefault="00AC46CD" w:rsidP="00716F7F">
      <w:pPr>
        <w:pStyle w:val="Opstilling-punkttegn"/>
      </w:pPr>
      <w:r>
        <w:t>En forundersøgelse af PFOS på brandøvelsespladser og 0,3 - 0,6 mio. kr.</w:t>
      </w:r>
      <w:r w:rsidR="000076B8">
        <w:t>,</w:t>
      </w:r>
      <w:r>
        <w:t xml:space="preserve"> som vil påhvile</w:t>
      </w:r>
      <w:r w:rsidR="00716F7F" w:rsidRPr="00716F7F">
        <w:t xml:space="preserve"> Grønlands Selvstyre</w:t>
      </w:r>
      <w:r w:rsidR="00DD34B3">
        <w:t>.</w:t>
      </w:r>
      <w:r>
        <w:t xml:space="preserve"> </w:t>
      </w:r>
    </w:p>
    <w:bookmarkEnd w:id="142"/>
    <w:p w14:paraId="1FE637CB" w14:textId="77777777" w:rsidR="00AC46CD" w:rsidRDefault="00AC46CD" w:rsidP="00AC46CD">
      <w:pPr>
        <w:pStyle w:val="Billedtekst"/>
        <w:keepNext/>
      </w:pPr>
    </w:p>
    <w:p w14:paraId="5DF718F2" w14:textId="77777777" w:rsidR="00AC46CD" w:rsidRDefault="00AC46CD" w:rsidP="00AC46CD">
      <w:pPr>
        <w:pStyle w:val="Brdtekst"/>
        <w:rPr>
          <w:sz w:val="16"/>
        </w:rPr>
      </w:pPr>
      <w:r>
        <w:br w:type="page"/>
      </w:r>
    </w:p>
    <w:p w14:paraId="6B84F093" w14:textId="7501D5AC" w:rsidR="00AC46CD" w:rsidRDefault="00AC46CD" w:rsidP="00AC46CD">
      <w:pPr>
        <w:pStyle w:val="Billedtekst"/>
        <w:keepNext/>
      </w:pPr>
      <w:r>
        <w:lastRenderedPageBreak/>
        <w:t xml:space="preserve">Tabel </w:t>
      </w:r>
      <w:r>
        <w:rPr>
          <w:noProof/>
        </w:rPr>
        <w:fldChar w:fldCharType="begin"/>
      </w:r>
      <w:r>
        <w:rPr>
          <w:noProof/>
        </w:rPr>
        <w:instrText xml:space="preserve"> SEQ Tabel \* ARABIC </w:instrText>
      </w:r>
      <w:r>
        <w:rPr>
          <w:noProof/>
        </w:rPr>
        <w:fldChar w:fldCharType="separate"/>
      </w:r>
      <w:r w:rsidR="00432B8C">
        <w:rPr>
          <w:noProof/>
        </w:rPr>
        <w:t>6</w:t>
      </w:r>
      <w:r>
        <w:rPr>
          <w:noProof/>
        </w:rPr>
        <w:fldChar w:fldCharType="end"/>
      </w:r>
      <w:r>
        <w:tab/>
      </w:r>
      <w:r w:rsidRPr="00172F5A">
        <w:t>Overslag over omkostninger af planlagte og forventede aktiviteter</w:t>
      </w:r>
      <w:r>
        <w:t>.</w:t>
      </w:r>
    </w:p>
    <w:tbl>
      <w:tblPr>
        <w:tblStyle w:val="Tabel-Klassisk4"/>
        <w:tblW w:w="9463" w:type="dxa"/>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94"/>
        <w:gridCol w:w="3197"/>
        <w:gridCol w:w="1808"/>
        <w:gridCol w:w="1532"/>
        <w:gridCol w:w="1532"/>
      </w:tblGrid>
      <w:tr w:rsidR="00AC46CD" w:rsidRPr="008B1B83" w14:paraId="11C26F64" w14:textId="77777777" w:rsidTr="00236DEC">
        <w:trPr>
          <w:cnfStyle w:val="100000000000" w:firstRow="1" w:lastRow="0" w:firstColumn="0" w:lastColumn="0" w:oddVBand="0" w:evenVBand="0" w:oddHBand="0" w:evenHBand="0" w:firstRowFirstColumn="0" w:firstRowLastColumn="0" w:lastRowFirstColumn="0" w:lastRowLastColumn="0"/>
          <w:tblHeader/>
        </w:trPr>
        <w:tc>
          <w:tcPr>
            <w:tcW w:w="1394" w:type="dxa"/>
            <w:shd w:val="clear" w:color="auto" w:fill="F2F2F2" w:themeFill="background1" w:themeFillShade="F2"/>
          </w:tcPr>
          <w:p w14:paraId="660E307C" w14:textId="77777777" w:rsidR="00AC46CD" w:rsidRPr="0062571E" w:rsidRDefault="00AC46CD" w:rsidP="00236DEC">
            <w:pPr>
              <w:pStyle w:val="Table"/>
              <w:rPr>
                <w:bCs w:val="0"/>
                <w:i w:val="0"/>
                <w:iCs w:val="0"/>
                <w:color w:val="000000" w:themeColor="text1"/>
              </w:rPr>
            </w:pPr>
            <w:r w:rsidRPr="0062571E">
              <w:rPr>
                <w:color w:val="000000" w:themeColor="text1"/>
              </w:rPr>
              <w:t>Stoffer</w:t>
            </w:r>
          </w:p>
        </w:tc>
        <w:tc>
          <w:tcPr>
            <w:tcW w:w="3197" w:type="dxa"/>
            <w:shd w:val="clear" w:color="auto" w:fill="F2F2F2" w:themeFill="background1" w:themeFillShade="F2"/>
            <w:hideMark/>
          </w:tcPr>
          <w:p w14:paraId="4966F344" w14:textId="77777777" w:rsidR="00AC46CD" w:rsidRPr="0062571E" w:rsidRDefault="00AC46CD" w:rsidP="00236DEC">
            <w:pPr>
              <w:pStyle w:val="Table"/>
              <w:rPr>
                <w:bCs w:val="0"/>
                <w:i w:val="0"/>
                <w:iCs w:val="0"/>
                <w:color w:val="000000" w:themeColor="text1"/>
              </w:rPr>
            </w:pPr>
            <w:r w:rsidRPr="0062571E">
              <w:rPr>
                <w:color w:val="000000" w:themeColor="text1"/>
              </w:rPr>
              <w:t>Aktivitet</w:t>
            </w:r>
          </w:p>
        </w:tc>
        <w:tc>
          <w:tcPr>
            <w:tcW w:w="1808" w:type="dxa"/>
            <w:shd w:val="clear" w:color="auto" w:fill="F2F2F2" w:themeFill="background1" w:themeFillShade="F2"/>
            <w:hideMark/>
          </w:tcPr>
          <w:p w14:paraId="0D8F58F7" w14:textId="4949B7AB" w:rsidR="00AC46CD" w:rsidRPr="0062571E" w:rsidRDefault="00AC46CD" w:rsidP="00236DEC">
            <w:pPr>
              <w:pStyle w:val="Table"/>
              <w:rPr>
                <w:bCs w:val="0"/>
                <w:i w:val="0"/>
                <w:iCs w:val="0"/>
                <w:color w:val="000000" w:themeColor="text1"/>
              </w:rPr>
            </w:pPr>
            <w:r w:rsidRPr="0062571E">
              <w:rPr>
                <w:color w:val="000000" w:themeColor="text1"/>
              </w:rPr>
              <w:t xml:space="preserve">Anslåede omkostninger, som forventes </w:t>
            </w:r>
            <w:r>
              <w:rPr>
                <w:i w:val="0"/>
                <w:color w:val="000000" w:themeColor="text1"/>
              </w:rPr>
              <w:t>på basis af eksisterende initiativer</w:t>
            </w:r>
            <w:r w:rsidR="00DD34B3">
              <w:rPr>
                <w:i w:val="0"/>
                <w:color w:val="000000" w:themeColor="text1"/>
              </w:rPr>
              <w:t xml:space="preserve"> og beslutninger</w:t>
            </w:r>
          </w:p>
        </w:tc>
        <w:tc>
          <w:tcPr>
            <w:tcW w:w="1532" w:type="dxa"/>
            <w:shd w:val="clear" w:color="auto" w:fill="F2F2F2" w:themeFill="background1" w:themeFillShade="F2"/>
          </w:tcPr>
          <w:p w14:paraId="4F54A65D" w14:textId="77777777" w:rsidR="00AC46CD" w:rsidRPr="0062571E" w:rsidRDefault="00AC46CD" w:rsidP="00236DEC">
            <w:pPr>
              <w:pStyle w:val="Table"/>
              <w:rPr>
                <w:bCs w:val="0"/>
                <w:i w:val="0"/>
                <w:iCs w:val="0"/>
                <w:color w:val="000000" w:themeColor="text1"/>
              </w:rPr>
            </w:pPr>
            <w:r w:rsidRPr="0062571E">
              <w:rPr>
                <w:color w:val="000000" w:themeColor="text1"/>
              </w:rPr>
              <w:t xml:space="preserve">Anslåede omkostninger </w:t>
            </w:r>
            <w:r>
              <w:rPr>
                <w:color w:val="000000" w:themeColor="text1"/>
              </w:rPr>
              <w:t>ved</w:t>
            </w:r>
            <w:r w:rsidRPr="0062571E">
              <w:rPr>
                <w:color w:val="000000" w:themeColor="text1"/>
              </w:rPr>
              <w:t xml:space="preserve"> ekstra aktiviteter, hvis forbeholdet hæves</w:t>
            </w:r>
            <w:r>
              <w:rPr>
                <w:color w:val="000000" w:themeColor="text1"/>
              </w:rPr>
              <w:t xml:space="preserve">, mio. </w:t>
            </w:r>
            <w:proofErr w:type="spellStart"/>
            <w:r>
              <w:rPr>
                <w:color w:val="000000" w:themeColor="text1"/>
              </w:rPr>
              <w:t>kr</w:t>
            </w:r>
            <w:proofErr w:type="spellEnd"/>
            <w:r>
              <w:rPr>
                <w:color w:val="000000" w:themeColor="text1"/>
              </w:rPr>
              <w:t xml:space="preserve"> *</w:t>
            </w:r>
          </w:p>
        </w:tc>
        <w:tc>
          <w:tcPr>
            <w:tcW w:w="1532" w:type="dxa"/>
            <w:shd w:val="clear" w:color="auto" w:fill="F2F2F2" w:themeFill="background1" w:themeFillShade="F2"/>
          </w:tcPr>
          <w:p w14:paraId="7D7F252F" w14:textId="77777777" w:rsidR="00AC46CD" w:rsidRPr="0062571E" w:rsidRDefault="00AC46CD" w:rsidP="00236DEC">
            <w:pPr>
              <w:pStyle w:val="Table"/>
              <w:rPr>
                <w:color w:val="000000" w:themeColor="text1"/>
              </w:rPr>
            </w:pPr>
            <w:r>
              <w:rPr>
                <w:color w:val="000000" w:themeColor="text1"/>
              </w:rPr>
              <w:t>Aktører som ekstra omkostninger påhviler</w:t>
            </w:r>
          </w:p>
        </w:tc>
      </w:tr>
      <w:tr w:rsidR="00AC46CD" w:rsidRPr="00222C65" w14:paraId="2EBBA3ED" w14:textId="77777777" w:rsidTr="00236DEC">
        <w:tc>
          <w:tcPr>
            <w:tcW w:w="1394" w:type="dxa"/>
          </w:tcPr>
          <w:p w14:paraId="6B3817C8" w14:textId="77777777" w:rsidR="00AC46CD" w:rsidRPr="00AB6E10" w:rsidRDefault="00AC46CD" w:rsidP="00236DEC">
            <w:pPr>
              <w:pStyle w:val="Table"/>
              <w:rPr>
                <w:b/>
              </w:rPr>
            </w:pPr>
            <w:r w:rsidRPr="0062571E">
              <w:rPr>
                <w:b/>
              </w:rPr>
              <w:t>Dioxiner</w:t>
            </w:r>
          </w:p>
        </w:tc>
        <w:tc>
          <w:tcPr>
            <w:tcW w:w="3197" w:type="dxa"/>
          </w:tcPr>
          <w:p w14:paraId="61F5464B" w14:textId="009A0490" w:rsidR="00AC46CD" w:rsidRDefault="00AC46CD" w:rsidP="00236DEC">
            <w:pPr>
              <w:pStyle w:val="Table"/>
            </w:pPr>
            <w:r>
              <w:t>Etablering af 2 nye forbrændingsanlæg og spildolieanlæg</w:t>
            </w:r>
            <w:r w:rsidR="009E5ECE">
              <w:t xml:space="preserve"> </w:t>
            </w:r>
            <w:r>
              <w:t>(en lille del af omkostning knyttet til rensning for dioxiner)</w:t>
            </w:r>
          </w:p>
        </w:tc>
        <w:tc>
          <w:tcPr>
            <w:tcW w:w="1808" w:type="dxa"/>
          </w:tcPr>
          <w:p w14:paraId="1996A827" w14:textId="77777777" w:rsidR="00AC46CD" w:rsidRDefault="00AC46CD" w:rsidP="000050A7">
            <w:pPr>
              <w:pStyle w:val="Table"/>
              <w:jc w:val="center"/>
            </w:pPr>
            <w:r>
              <w:t>400 mio. kr.</w:t>
            </w:r>
          </w:p>
        </w:tc>
        <w:tc>
          <w:tcPr>
            <w:tcW w:w="1532" w:type="dxa"/>
          </w:tcPr>
          <w:p w14:paraId="43BDB224" w14:textId="77777777" w:rsidR="00AC46CD" w:rsidRDefault="00AC46CD" w:rsidP="000050A7">
            <w:pPr>
              <w:pStyle w:val="Table"/>
              <w:jc w:val="center"/>
            </w:pPr>
            <w:r>
              <w:t>-</w:t>
            </w:r>
          </w:p>
        </w:tc>
        <w:tc>
          <w:tcPr>
            <w:tcW w:w="1532" w:type="dxa"/>
          </w:tcPr>
          <w:p w14:paraId="5F67DDFA" w14:textId="77777777" w:rsidR="00AC46CD" w:rsidRDefault="00AC46CD" w:rsidP="00236DEC">
            <w:pPr>
              <w:pStyle w:val="Table"/>
            </w:pPr>
            <w:r>
              <w:t>-</w:t>
            </w:r>
          </w:p>
        </w:tc>
      </w:tr>
      <w:tr w:rsidR="00AC46CD" w:rsidRPr="00222C65" w14:paraId="7CC53934" w14:textId="77777777" w:rsidTr="00236DEC">
        <w:tc>
          <w:tcPr>
            <w:tcW w:w="1394" w:type="dxa"/>
            <w:vMerge w:val="restart"/>
          </w:tcPr>
          <w:p w14:paraId="6F8C8859" w14:textId="3C19F749" w:rsidR="00AC46CD" w:rsidRPr="0062571E" w:rsidRDefault="00AC46CD" w:rsidP="00236DEC">
            <w:pPr>
              <w:pStyle w:val="Table"/>
              <w:rPr>
                <w:b/>
              </w:rPr>
            </w:pPr>
            <w:r w:rsidRPr="0062571E">
              <w:rPr>
                <w:b/>
              </w:rPr>
              <w:t>PCB</w:t>
            </w:r>
            <w:r>
              <w:rPr>
                <w:b/>
              </w:rPr>
              <w:t xml:space="preserve"> </w:t>
            </w:r>
            <w:r w:rsidRPr="0062571E">
              <w:t>(konsekvenser af anvisninger i PCB vejledning</w:t>
            </w:r>
            <w:r w:rsidR="003D7275">
              <w:t xml:space="preserve"> 2014</w:t>
            </w:r>
            <w:r w:rsidRPr="0062571E">
              <w:t>)</w:t>
            </w:r>
          </w:p>
        </w:tc>
        <w:tc>
          <w:tcPr>
            <w:tcW w:w="3197" w:type="dxa"/>
            <w:hideMark/>
          </w:tcPr>
          <w:p w14:paraId="7D57A295" w14:textId="77777777" w:rsidR="00AC46CD" w:rsidRPr="00045909" w:rsidRDefault="00AC46CD" w:rsidP="00236DEC">
            <w:pPr>
              <w:pStyle w:val="Table"/>
            </w:pPr>
            <w:r w:rsidRPr="00045909">
              <w:t xml:space="preserve">Kortlægning af PCB i byggematerialer </w:t>
            </w:r>
          </w:p>
        </w:tc>
        <w:tc>
          <w:tcPr>
            <w:tcW w:w="1808" w:type="dxa"/>
            <w:hideMark/>
          </w:tcPr>
          <w:p w14:paraId="26052FD5" w14:textId="77777777" w:rsidR="00AC46CD" w:rsidRPr="00045909" w:rsidRDefault="00AC46CD" w:rsidP="000050A7">
            <w:pPr>
              <w:pStyle w:val="Table"/>
              <w:jc w:val="center"/>
            </w:pPr>
            <w:r w:rsidRPr="00045909">
              <w:t>8-20 mio. kr.</w:t>
            </w:r>
          </w:p>
        </w:tc>
        <w:tc>
          <w:tcPr>
            <w:tcW w:w="1532" w:type="dxa"/>
          </w:tcPr>
          <w:p w14:paraId="3008C20A" w14:textId="77777777" w:rsidR="00AC46CD" w:rsidRPr="00045909" w:rsidRDefault="00AC46CD" w:rsidP="000050A7">
            <w:pPr>
              <w:pStyle w:val="Table"/>
              <w:jc w:val="center"/>
            </w:pPr>
            <w:r>
              <w:t>-</w:t>
            </w:r>
          </w:p>
        </w:tc>
        <w:tc>
          <w:tcPr>
            <w:tcW w:w="1532" w:type="dxa"/>
          </w:tcPr>
          <w:p w14:paraId="5B08D44B" w14:textId="77777777" w:rsidR="00AC46CD" w:rsidRDefault="00AC46CD" w:rsidP="00236DEC">
            <w:pPr>
              <w:pStyle w:val="Table"/>
            </w:pPr>
            <w:r>
              <w:t>-</w:t>
            </w:r>
          </w:p>
        </w:tc>
      </w:tr>
      <w:tr w:rsidR="00AC46CD" w:rsidRPr="00222C65" w14:paraId="5914BB4C" w14:textId="77777777" w:rsidTr="00236DEC">
        <w:tc>
          <w:tcPr>
            <w:tcW w:w="1394" w:type="dxa"/>
            <w:vMerge/>
          </w:tcPr>
          <w:p w14:paraId="353078AD" w14:textId="77777777" w:rsidR="00AC46CD" w:rsidRPr="00045909" w:rsidRDefault="00AC46CD" w:rsidP="00236DEC">
            <w:pPr>
              <w:pStyle w:val="Table"/>
            </w:pPr>
          </w:p>
        </w:tc>
        <w:tc>
          <w:tcPr>
            <w:tcW w:w="3197" w:type="dxa"/>
            <w:hideMark/>
          </w:tcPr>
          <w:p w14:paraId="1F925732" w14:textId="77777777" w:rsidR="00AC46CD" w:rsidRPr="00045909" w:rsidRDefault="00AC46CD" w:rsidP="00236DEC">
            <w:pPr>
              <w:pStyle w:val="Table"/>
            </w:pPr>
            <w:r w:rsidRPr="00045909">
              <w:t>Udarbejdelse af affaldshåndteringsplaner og myndighedsbehandling (me</w:t>
            </w:r>
            <w:r>
              <w:t>r</w:t>
            </w:r>
            <w:r w:rsidRPr="00045909">
              <w:t>udgift for miljøfarlige stoffer)</w:t>
            </w:r>
          </w:p>
        </w:tc>
        <w:tc>
          <w:tcPr>
            <w:tcW w:w="1808" w:type="dxa"/>
            <w:hideMark/>
          </w:tcPr>
          <w:p w14:paraId="4C27E48B" w14:textId="77777777" w:rsidR="00AC46CD" w:rsidRPr="00045909" w:rsidRDefault="00AC46CD" w:rsidP="000050A7">
            <w:pPr>
              <w:pStyle w:val="Table"/>
              <w:jc w:val="center"/>
            </w:pPr>
            <w:r w:rsidRPr="00045909">
              <w:t xml:space="preserve">5-20 mio. kr. </w:t>
            </w:r>
            <w:r>
              <w:br/>
            </w:r>
            <w:r w:rsidRPr="00045909">
              <w:t>(bygherre)</w:t>
            </w:r>
          </w:p>
          <w:p w14:paraId="317777FF" w14:textId="77777777" w:rsidR="00AC46CD" w:rsidRPr="00045909" w:rsidRDefault="00AC46CD" w:rsidP="000050A7">
            <w:pPr>
              <w:pStyle w:val="Table"/>
              <w:jc w:val="center"/>
            </w:pPr>
            <w:r w:rsidRPr="00045909">
              <w:t xml:space="preserve">1,5-6 mio. kr. </w:t>
            </w:r>
            <w:r>
              <w:br/>
            </w:r>
            <w:r w:rsidRPr="00045909">
              <w:t>(kommune)</w:t>
            </w:r>
          </w:p>
        </w:tc>
        <w:tc>
          <w:tcPr>
            <w:tcW w:w="1532" w:type="dxa"/>
          </w:tcPr>
          <w:p w14:paraId="4F4340C3" w14:textId="77777777" w:rsidR="00AC46CD" w:rsidRPr="00045909" w:rsidRDefault="00AC46CD" w:rsidP="000050A7">
            <w:pPr>
              <w:pStyle w:val="Table"/>
              <w:jc w:val="center"/>
            </w:pPr>
            <w:r>
              <w:t>-</w:t>
            </w:r>
          </w:p>
        </w:tc>
        <w:tc>
          <w:tcPr>
            <w:tcW w:w="1532" w:type="dxa"/>
          </w:tcPr>
          <w:p w14:paraId="62184B7C" w14:textId="77777777" w:rsidR="00AC46CD" w:rsidRDefault="00AC46CD" w:rsidP="00236DEC">
            <w:pPr>
              <w:pStyle w:val="Table"/>
            </w:pPr>
            <w:r>
              <w:t>-</w:t>
            </w:r>
          </w:p>
        </w:tc>
      </w:tr>
      <w:tr w:rsidR="00AC46CD" w:rsidRPr="00222C65" w14:paraId="76978ECD" w14:textId="77777777" w:rsidTr="00236DEC">
        <w:tc>
          <w:tcPr>
            <w:tcW w:w="1394" w:type="dxa"/>
            <w:vMerge/>
          </w:tcPr>
          <w:p w14:paraId="0B6237FE" w14:textId="77777777" w:rsidR="00AC46CD" w:rsidRPr="00045909" w:rsidRDefault="00AC46CD" w:rsidP="00236DEC">
            <w:pPr>
              <w:pStyle w:val="Table"/>
            </w:pPr>
          </w:p>
        </w:tc>
        <w:tc>
          <w:tcPr>
            <w:tcW w:w="3197" w:type="dxa"/>
            <w:hideMark/>
          </w:tcPr>
          <w:p w14:paraId="520AB588" w14:textId="77777777" w:rsidR="00AC46CD" w:rsidRPr="00045909" w:rsidRDefault="00AC46CD" w:rsidP="00236DEC">
            <w:pPr>
              <w:pStyle w:val="Table"/>
            </w:pPr>
            <w:r w:rsidRPr="00045909">
              <w:t xml:space="preserve">Håndtering og bortskaffelse af </w:t>
            </w:r>
            <w:proofErr w:type="spellStart"/>
            <w:r w:rsidRPr="00045909">
              <w:t>PCB-holdigt</w:t>
            </w:r>
            <w:proofErr w:type="spellEnd"/>
            <w:r w:rsidRPr="00045909">
              <w:t xml:space="preserve"> byggeaffald</w:t>
            </w:r>
          </w:p>
        </w:tc>
        <w:tc>
          <w:tcPr>
            <w:tcW w:w="1808" w:type="dxa"/>
            <w:hideMark/>
          </w:tcPr>
          <w:p w14:paraId="7FE30D53" w14:textId="77777777" w:rsidR="00AC46CD" w:rsidRPr="00045909" w:rsidRDefault="00AC46CD" w:rsidP="000050A7">
            <w:pPr>
              <w:pStyle w:val="Table"/>
              <w:jc w:val="center"/>
            </w:pPr>
            <w:r w:rsidRPr="00045909">
              <w:t>100-400 mio. kr.</w:t>
            </w:r>
          </w:p>
        </w:tc>
        <w:tc>
          <w:tcPr>
            <w:tcW w:w="1532" w:type="dxa"/>
          </w:tcPr>
          <w:p w14:paraId="44833113" w14:textId="77777777" w:rsidR="00AC46CD" w:rsidRPr="00045909" w:rsidRDefault="00AC46CD" w:rsidP="000050A7">
            <w:pPr>
              <w:pStyle w:val="Table"/>
              <w:jc w:val="center"/>
            </w:pPr>
            <w:r>
              <w:t>-</w:t>
            </w:r>
          </w:p>
        </w:tc>
        <w:tc>
          <w:tcPr>
            <w:tcW w:w="1532" w:type="dxa"/>
          </w:tcPr>
          <w:p w14:paraId="77FE6C8E" w14:textId="77777777" w:rsidR="00AC46CD" w:rsidRDefault="00AC46CD" w:rsidP="00236DEC">
            <w:pPr>
              <w:pStyle w:val="Table"/>
            </w:pPr>
            <w:r>
              <w:t>-</w:t>
            </w:r>
          </w:p>
        </w:tc>
      </w:tr>
      <w:tr w:rsidR="00AC46CD" w:rsidRPr="00222C65" w14:paraId="0FFCBADD" w14:textId="77777777" w:rsidTr="00236DEC">
        <w:tc>
          <w:tcPr>
            <w:tcW w:w="1394" w:type="dxa"/>
            <w:vMerge/>
          </w:tcPr>
          <w:p w14:paraId="2F4E3B32" w14:textId="77777777" w:rsidR="00AC46CD" w:rsidRPr="00045909" w:rsidRDefault="00AC46CD" w:rsidP="00236DEC">
            <w:pPr>
              <w:pStyle w:val="Table"/>
            </w:pPr>
          </w:p>
        </w:tc>
        <w:tc>
          <w:tcPr>
            <w:tcW w:w="3197" w:type="dxa"/>
            <w:hideMark/>
          </w:tcPr>
          <w:p w14:paraId="6741B638" w14:textId="77777777" w:rsidR="00AC46CD" w:rsidRPr="00045909" w:rsidRDefault="00AC46CD" w:rsidP="00236DEC">
            <w:pPr>
              <w:pStyle w:val="Table"/>
            </w:pPr>
            <w:r w:rsidRPr="00045909">
              <w:t xml:space="preserve">Håndtering og bortskaffelse af </w:t>
            </w:r>
            <w:proofErr w:type="spellStart"/>
            <w:r w:rsidRPr="00045909">
              <w:t>PCB-holdige</w:t>
            </w:r>
            <w:proofErr w:type="spellEnd"/>
            <w:r w:rsidRPr="00045909">
              <w:t xml:space="preserve"> termoruder og kondensatorer</w:t>
            </w:r>
          </w:p>
        </w:tc>
        <w:tc>
          <w:tcPr>
            <w:tcW w:w="1808" w:type="dxa"/>
            <w:hideMark/>
          </w:tcPr>
          <w:p w14:paraId="5EF86001" w14:textId="4F4DEB25" w:rsidR="00AC46CD" w:rsidRPr="00045909" w:rsidRDefault="00AC46CD" w:rsidP="000050A7">
            <w:pPr>
              <w:pStyle w:val="Table"/>
              <w:jc w:val="center"/>
            </w:pPr>
            <w:r w:rsidRPr="00045909">
              <w:t>0,1-1,0 mio. kr.</w:t>
            </w:r>
          </w:p>
        </w:tc>
        <w:tc>
          <w:tcPr>
            <w:tcW w:w="1532" w:type="dxa"/>
          </w:tcPr>
          <w:p w14:paraId="7987E226" w14:textId="77777777" w:rsidR="00AC46CD" w:rsidRPr="00045909" w:rsidRDefault="00AC46CD" w:rsidP="000050A7">
            <w:pPr>
              <w:pStyle w:val="Table"/>
              <w:jc w:val="center"/>
            </w:pPr>
            <w:r>
              <w:t>-</w:t>
            </w:r>
          </w:p>
        </w:tc>
        <w:tc>
          <w:tcPr>
            <w:tcW w:w="1532" w:type="dxa"/>
          </w:tcPr>
          <w:p w14:paraId="6CFBB933" w14:textId="77777777" w:rsidR="00AC46CD" w:rsidRDefault="00AC46CD" w:rsidP="00236DEC">
            <w:pPr>
              <w:pStyle w:val="Table"/>
            </w:pPr>
            <w:r>
              <w:t>-</w:t>
            </w:r>
          </w:p>
        </w:tc>
      </w:tr>
      <w:tr w:rsidR="00AC46CD" w:rsidRPr="00222C65" w14:paraId="082CDF30" w14:textId="77777777" w:rsidTr="00236DEC">
        <w:tc>
          <w:tcPr>
            <w:tcW w:w="1394" w:type="dxa"/>
            <w:vMerge/>
          </w:tcPr>
          <w:p w14:paraId="6D9961F6" w14:textId="77777777" w:rsidR="00AC46CD" w:rsidRPr="00045909" w:rsidRDefault="00AC46CD" w:rsidP="00236DEC">
            <w:pPr>
              <w:pStyle w:val="Table"/>
            </w:pPr>
          </w:p>
        </w:tc>
        <w:tc>
          <w:tcPr>
            <w:tcW w:w="3197" w:type="dxa"/>
            <w:hideMark/>
          </w:tcPr>
          <w:p w14:paraId="3050049E" w14:textId="77777777" w:rsidR="00AC46CD" w:rsidRPr="00045909" w:rsidRDefault="00AC46CD" w:rsidP="00236DEC">
            <w:pPr>
              <w:pStyle w:val="Table"/>
            </w:pPr>
            <w:r>
              <w:t>Kortlægning</w:t>
            </w:r>
            <w:r w:rsidRPr="00045909">
              <w:t xml:space="preserve"> af </w:t>
            </w:r>
            <w:proofErr w:type="spellStart"/>
            <w:r w:rsidRPr="00045909">
              <w:t>PCB-holdigt</w:t>
            </w:r>
            <w:proofErr w:type="spellEnd"/>
            <w:r w:rsidRPr="00045909">
              <w:t xml:space="preserve"> udstyr</w:t>
            </w:r>
            <w:r>
              <w:t xml:space="preserve"> i </w:t>
            </w:r>
            <w:proofErr w:type="spellStart"/>
            <w:r>
              <w:t>elnettet</w:t>
            </w:r>
            <w:proofErr w:type="spellEnd"/>
          </w:p>
        </w:tc>
        <w:tc>
          <w:tcPr>
            <w:tcW w:w="1808" w:type="dxa"/>
            <w:hideMark/>
          </w:tcPr>
          <w:p w14:paraId="08CDEAC2" w14:textId="7B42C5C7" w:rsidR="00AC46CD" w:rsidRPr="00045909" w:rsidRDefault="00AC46CD" w:rsidP="000050A7">
            <w:pPr>
              <w:pStyle w:val="Table"/>
              <w:jc w:val="center"/>
            </w:pPr>
            <w:r w:rsidRPr="00045909">
              <w:t>Kortlægning &lt;0,05 mio. kr</w:t>
            </w:r>
            <w:r>
              <w:t>.</w:t>
            </w:r>
          </w:p>
        </w:tc>
        <w:tc>
          <w:tcPr>
            <w:tcW w:w="1532" w:type="dxa"/>
          </w:tcPr>
          <w:p w14:paraId="5EB3C148" w14:textId="77777777" w:rsidR="00AC46CD" w:rsidRPr="00045909" w:rsidRDefault="00AC46CD" w:rsidP="000050A7">
            <w:pPr>
              <w:pStyle w:val="Table"/>
              <w:jc w:val="center"/>
            </w:pPr>
            <w:r>
              <w:t>-</w:t>
            </w:r>
          </w:p>
        </w:tc>
        <w:tc>
          <w:tcPr>
            <w:tcW w:w="1532" w:type="dxa"/>
          </w:tcPr>
          <w:p w14:paraId="310AD8D3" w14:textId="77777777" w:rsidR="00AC46CD" w:rsidRPr="00045909" w:rsidRDefault="00AC46CD" w:rsidP="00236DEC">
            <w:pPr>
              <w:pStyle w:val="Table"/>
            </w:pPr>
            <w:r>
              <w:t>-</w:t>
            </w:r>
          </w:p>
        </w:tc>
      </w:tr>
      <w:tr w:rsidR="00AC46CD" w:rsidRPr="00222C65" w14:paraId="455980DF" w14:textId="77777777" w:rsidTr="00236DEC">
        <w:tc>
          <w:tcPr>
            <w:tcW w:w="1394" w:type="dxa"/>
            <w:vMerge/>
          </w:tcPr>
          <w:p w14:paraId="3C7AE152" w14:textId="77777777" w:rsidR="00AC46CD" w:rsidRPr="00045909" w:rsidRDefault="00AC46CD" w:rsidP="00236DEC">
            <w:pPr>
              <w:pStyle w:val="Table"/>
            </w:pPr>
          </w:p>
        </w:tc>
        <w:tc>
          <w:tcPr>
            <w:tcW w:w="3197" w:type="dxa"/>
          </w:tcPr>
          <w:p w14:paraId="5122D90F" w14:textId="77777777" w:rsidR="00AC46CD" w:rsidRPr="00045909" w:rsidRDefault="00AC46CD" w:rsidP="00236DEC">
            <w:pPr>
              <w:pStyle w:val="Table"/>
            </w:pPr>
            <w:r>
              <w:t>Udfasning af udstyr, hvis det stadig findes (s</w:t>
            </w:r>
            <w:r w:rsidRPr="00045909">
              <w:t>andsynligvis vil udstyr</w:t>
            </w:r>
            <w:r>
              <w:t xml:space="preserve"> med PCB</w:t>
            </w:r>
            <w:r w:rsidRPr="00045909">
              <w:t xml:space="preserve"> være udfaset</w:t>
            </w:r>
            <w:r>
              <w:t>)</w:t>
            </w:r>
          </w:p>
        </w:tc>
        <w:tc>
          <w:tcPr>
            <w:tcW w:w="1808" w:type="dxa"/>
          </w:tcPr>
          <w:p w14:paraId="40EDFF39" w14:textId="4BAA4D3E" w:rsidR="00AC46CD" w:rsidRPr="00045909" w:rsidRDefault="00AC46CD" w:rsidP="000050A7">
            <w:pPr>
              <w:pStyle w:val="Table"/>
              <w:jc w:val="center"/>
            </w:pPr>
            <w:r>
              <w:t>A</w:t>
            </w:r>
            <w:r w:rsidRPr="00045909">
              <w:t>fhænger af resultat af kortlægning.</w:t>
            </w:r>
          </w:p>
        </w:tc>
        <w:tc>
          <w:tcPr>
            <w:tcW w:w="1532" w:type="dxa"/>
          </w:tcPr>
          <w:p w14:paraId="05650155" w14:textId="77777777" w:rsidR="00AC46CD" w:rsidRPr="00045909" w:rsidRDefault="00AC46CD" w:rsidP="000050A7">
            <w:pPr>
              <w:pStyle w:val="Table"/>
              <w:jc w:val="center"/>
            </w:pPr>
            <w:r>
              <w:t>-</w:t>
            </w:r>
          </w:p>
        </w:tc>
        <w:tc>
          <w:tcPr>
            <w:tcW w:w="1532" w:type="dxa"/>
          </w:tcPr>
          <w:p w14:paraId="0EF0C245" w14:textId="77777777" w:rsidR="00AC46CD" w:rsidRDefault="00AC46CD" w:rsidP="00236DEC">
            <w:pPr>
              <w:pStyle w:val="Table"/>
            </w:pPr>
            <w:r>
              <w:t>-</w:t>
            </w:r>
          </w:p>
        </w:tc>
      </w:tr>
      <w:tr w:rsidR="00AC46CD" w:rsidRPr="00222C65" w14:paraId="3E802240" w14:textId="77777777" w:rsidTr="00236DEC">
        <w:tc>
          <w:tcPr>
            <w:tcW w:w="1394" w:type="dxa"/>
            <w:vMerge w:val="restart"/>
          </w:tcPr>
          <w:p w14:paraId="15B1C082" w14:textId="77777777" w:rsidR="00AC46CD" w:rsidRPr="006B1699" w:rsidRDefault="00AC46CD" w:rsidP="00236DEC">
            <w:pPr>
              <w:pStyle w:val="Table"/>
              <w:rPr>
                <w:b/>
                <w:bCs/>
                <w:iCs/>
              </w:rPr>
            </w:pPr>
            <w:bookmarkStart w:id="143" w:name="_Hlk8631875"/>
            <w:r w:rsidRPr="004E612D">
              <w:rPr>
                <w:b/>
                <w:bCs/>
                <w:iCs/>
              </w:rPr>
              <w:t>PFOS</w:t>
            </w:r>
          </w:p>
        </w:tc>
        <w:tc>
          <w:tcPr>
            <w:tcW w:w="3197" w:type="dxa"/>
          </w:tcPr>
          <w:p w14:paraId="5F32F85E" w14:textId="77777777" w:rsidR="00AC46CD" w:rsidRDefault="00AC46CD" w:rsidP="00236DEC">
            <w:pPr>
              <w:pStyle w:val="Table"/>
              <w:rPr>
                <w:bCs/>
                <w:iCs/>
              </w:rPr>
            </w:pPr>
            <w:r>
              <w:rPr>
                <w:bCs/>
                <w:iCs/>
              </w:rPr>
              <w:t>Forundersøgelse af mulig forekomst af PFOS på brandøvelsespladser</w:t>
            </w:r>
          </w:p>
        </w:tc>
        <w:tc>
          <w:tcPr>
            <w:tcW w:w="1808" w:type="dxa"/>
          </w:tcPr>
          <w:p w14:paraId="416F1061" w14:textId="77777777" w:rsidR="00AC46CD" w:rsidRDefault="00AC46CD" w:rsidP="000050A7">
            <w:pPr>
              <w:pStyle w:val="Table"/>
              <w:jc w:val="center"/>
              <w:rPr>
                <w:bCs/>
                <w:iCs/>
              </w:rPr>
            </w:pPr>
            <w:r>
              <w:rPr>
                <w:bCs/>
                <w:iCs/>
              </w:rPr>
              <w:t>-</w:t>
            </w:r>
          </w:p>
        </w:tc>
        <w:tc>
          <w:tcPr>
            <w:tcW w:w="1532" w:type="dxa"/>
          </w:tcPr>
          <w:p w14:paraId="5CD43819" w14:textId="77777777" w:rsidR="00AC46CD" w:rsidRDefault="00AC46CD" w:rsidP="000050A7">
            <w:pPr>
              <w:pStyle w:val="Table"/>
              <w:jc w:val="center"/>
              <w:rPr>
                <w:bCs/>
                <w:iCs/>
              </w:rPr>
            </w:pPr>
            <w:r w:rsidRPr="00DE65E6">
              <w:t>0,3</w:t>
            </w:r>
            <w:r>
              <w:t xml:space="preserve"> </w:t>
            </w:r>
            <w:r w:rsidRPr="00DE65E6">
              <w:t>-</w:t>
            </w:r>
            <w:r>
              <w:t xml:space="preserve"> </w:t>
            </w:r>
            <w:r w:rsidRPr="00DE65E6">
              <w:t>0,6</w:t>
            </w:r>
          </w:p>
        </w:tc>
        <w:tc>
          <w:tcPr>
            <w:tcW w:w="1532" w:type="dxa"/>
          </w:tcPr>
          <w:p w14:paraId="5478EF46" w14:textId="084D48AB" w:rsidR="00AC46CD" w:rsidRPr="00DE65E6" w:rsidRDefault="003D7275" w:rsidP="003D7275">
            <w:pPr>
              <w:pStyle w:val="Table"/>
            </w:pPr>
            <w:r w:rsidRPr="003D7275">
              <w:t xml:space="preserve">Grønlands Selvstyre </w:t>
            </w:r>
            <w:r w:rsidR="00AC46CD">
              <w:t>(</w:t>
            </w:r>
            <w:proofErr w:type="spellStart"/>
            <w:r w:rsidR="00AC46CD" w:rsidRPr="007879D8">
              <w:t>Mittarfeqarfiit</w:t>
            </w:r>
            <w:proofErr w:type="spellEnd"/>
            <w:r w:rsidR="00AC46CD">
              <w:t>)</w:t>
            </w:r>
          </w:p>
        </w:tc>
      </w:tr>
      <w:bookmarkEnd w:id="143"/>
      <w:tr w:rsidR="00AC46CD" w:rsidRPr="00222C65" w14:paraId="68DBE874" w14:textId="77777777" w:rsidTr="00236DEC">
        <w:tc>
          <w:tcPr>
            <w:tcW w:w="1394" w:type="dxa"/>
            <w:vMerge/>
          </w:tcPr>
          <w:p w14:paraId="54AED893" w14:textId="77777777" w:rsidR="00AC46CD" w:rsidRPr="006B1699" w:rsidRDefault="00AC46CD" w:rsidP="00236DEC">
            <w:pPr>
              <w:pStyle w:val="Table"/>
              <w:rPr>
                <w:b/>
                <w:bCs/>
                <w:iCs/>
              </w:rPr>
            </w:pPr>
          </w:p>
        </w:tc>
        <w:tc>
          <w:tcPr>
            <w:tcW w:w="3197" w:type="dxa"/>
          </w:tcPr>
          <w:p w14:paraId="52B76BBF" w14:textId="77777777" w:rsidR="00AC46CD" w:rsidRDefault="00AC46CD" w:rsidP="00236DEC">
            <w:pPr>
              <w:pStyle w:val="Table"/>
              <w:rPr>
                <w:bCs/>
                <w:iCs/>
              </w:rPr>
            </w:pPr>
            <w:r>
              <w:rPr>
                <w:bCs/>
                <w:iCs/>
              </w:rPr>
              <w:t>Eventuel oprydning eller yderligere undersøgelser af brandøvelsespladser</w:t>
            </w:r>
          </w:p>
        </w:tc>
        <w:tc>
          <w:tcPr>
            <w:tcW w:w="1808" w:type="dxa"/>
          </w:tcPr>
          <w:p w14:paraId="61AD7140" w14:textId="77777777" w:rsidR="00AC46CD" w:rsidRDefault="00AC46CD" w:rsidP="000050A7">
            <w:pPr>
              <w:pStyle w:val="Table"/>
              <w:jc w:val="center"/>
              <w:rPr>
                <w:bCs/>
                <w:iCs/>
              </w:rPr>
            </w:pPr>
            <w:r>
              <w:rPr>
                <w:bCs/>
                <w:iCs/>
              </w:rPr>
              <w:t>-</w:t>
            </w:r>
          </w:p>
        </w:tc>
        <w:tc>
          <w:tcPr>
            <w:tcW w:w="1532" w:type="dxa"/>
          </w:tcPr>
          <w:p w14:paraId="55DE8F8C" w14:textId="77777777" w:rsidR="00AC46CD" w:rsidRDefault="00AC46CD" w:rsidP="000050A7">
            <w:pPr>
              <w:pStyle w:val="Table"/>
              <w:jc w:val="center"/>
              <w:rPr>
                <w:bCs/>
                <w:iCs/>
              </w:rPr>
            </w:pPr>
            <w:r>
              <w:rPr>
                <w:bCs/>
                <w:iCs/>
              </w:rPr>
              <w:t>Afhænger af resultater af forundersøgelse</w:t>
            </w:r>
          </w:p>
        </w:tc>
        <w:tc>
          <w:tcPr>
            <w:tcW w:w="1532" w:type="dxa"/>
          </w:tcPr>
          <w:p w14:paraId="5635CBE5" w14:textId="74D27BC2" w:rsidR="00AC46CD" w:rsidRPr="00C72958" w:rsidRDefault="003D7275" w:rsidP="00236DEC">
            <w:pPr>
              <w:pStyle w:val="Table"/>
            </w:pPr>
            <w:r w:rsidRPr="003D7275">
              <w:t xml:space="preserve">Grønlands Selvstyre </w:t>
            </w:r>
            <w:r w:rsidR="00AC46CD">
              <w:t>(</w:t>
            </w:r>
            <w:proofErr w:type="spellStart"/>
            <w:r w:rsidR="00AC46CD" w:rsidRPr="00FF50AF">
              <w:t>Mittarfeqarfiit</w:t>
            </w:r>
            <w:proofErr w:type="spellEnd"/>
            <w:r w:rsidR="00AC46CD">
              <w:t>)</w:t>
            </w:r>
          </w:p>
        </w:tc>
      </w:tr>
      <w:tr w:rsidR="00AC46CD" w:rsidRPr="00222C65" w14:paraId="74E79FC8" w14:textId="77777777" w:rsidTr="00236DEC">
        <w:tc>
          <w:tcPr>
            <w:tcW w:w="1394" w:type="dxa"/>
            <w:vMerge w:val="restart"/>
          </w:tcPr>
          <w:p w14:paraId="5771A94B" w14:textId="77777777" w:rsidR="00AC46CD" w:rsidRPr="0062571E" w:rsidRDefault="00AC46CD" w:rsidP="00236DEC">
            <w:pPr>
              <w:pStyle w:val="Table"/>
              <w:rPr>
                <w:b/>
                <w:bCs/>
                <w:iCs/>
              </w:rPr>
            </w:pPr>
            <w:r w:rsidRPr="0062571E">
              <w:rPr>
                <w:b/>
                <w:bCs/>
                <w:iCs/>
              </w:rPr>
              <w:t xml:space="preserve">Kortkædede </w:t>
            </w:r>
            <w:proofErr w:type="spellStart"/>
            <w:r w:rsidRPr="0062571E">
              <w:rPr>
                <w:b/>
                <w:bCs/>
                <w:iCs/>
              </w:rPr>
              <w:t>chlorparaffiner</w:t>
            </w:r>
            <w:proofErr w:type="spellEnd"/>
            <w:r w:rsidRPr="0062571E">
              <w:rPr>
                <w:b/>
                <w:bCs/>
                <w:iCs/>
              </w:rPr>
              <w:t xml:space="preserve"> (SCCP)</w:t>
            </w:r>
          </w:p>
        </w:tc>
        <w:tc>
          <w:tcPr>
            <w:tcW w:w="3197" w:type="dxa"/>
          </w:tcPr>
          <w:p w14:paraId="3E788574" w14:textId="77777777" w:rsidR="00AC46CD" w:rsidRDefault="00AC46CD" w:rsidP="00236DEC">
            <w:pPr>
              <w:pStyle w:val="Table"/>
              <w:rPr>
                <w:bCs/>
                <w:iCs/>
              </w:rPr>
            </w:pPr>
            <w:r>
              <w:rPr>
                <w:bCs/>
                <w:iCs/>
              </w:rPr>
              <w:t>Udbygning af vejledning om håndtering af PCB i bygninger</w:t>
            </w:r>
          </w:p>
        </w:tc>
        <w:tc>
          <w:tcPr>
            <w:tcW w:w="1808" w:type="dxa"/>
          </w:tcPr>
          <w:p w14:paraId="30A47980" w14:textId="77777777" w:rsidR="00AC46CD" w:rsidRDefault="00AC46CD" w:rsidP="000050A7">
            <w:pPr>
              <w:pStyle w:val="Table"/>
              <w:jc w:val="center"/>
              <w:rPr>
                <w:bCs/>
                <w:iCs/>
              </w:rPr>
            </w:pPr>
            <w:r>
              <w:rPr>
                <w:bCs/>
                <w:iCs/>
              </w:rPr>
              <w:t>-</w:t>
            </w:r>
          </w:p>
        </w:tc>
        <w:tc>
          <w:tcPr>
            <w:tcW w:w="1532" w:type="dxa"/>
          </w:tcPr>
          <w:p w14:paraId="30D5EC7B" w14:textId="5F62175E" w:rsidR="00AC46CD" w:rsidRDefault="00AC46CD" w:rsidP="000050A7">
            <w:pPr>
              <w:pStyle w:val="Table"/>
              <w:jc w:val="center"/>
              <w:rPr>
                <w:bCs/>
                <w:iCs/>
              </w:rPr>
            </w:pPr>
            <w:r>
              <w:rPr>
                <w:bCs/>
                <w:iCs/>
              </w:rPr>
              <w:t>0,1</w:t>
            </w:r>
          </w:p>
        </w:tc>
        <w:tc>
          <w:tcPr>
            <w:tcW w:w="1532" w:type="dxa"/>
          </w:tcPr>
          <w:p w14:paraId="19DE0161" w14:textId="1907FA96" w:rsidR="00AC46CD" w:rsidRPr="00C72958" w:rsidRDefault="003D7275" w:rsidP="00236DEC">
            <w:pPr>
              <w:pStyle w:val="Table"/>
            </w:pPr>
            <w:r w:rsidRPr="003D7275">
              <w:t>Grønlands Selvstyre</w:t>
            </w:r>
          </w:p>
        </w:tc>
      </w:tr>
      <w:tr w:rsidR="00AC46CD" w:rsidRPr="00222C65" w14:paraId="6EE6AF33" w14:textId="77777777" w:rsidTr="00236DEC">
        <w:tc>
          <w:tcPr>
            <w:tcW w:w="1394" w:type="dxa"/>
            <w:vMerge/>
          </w:tcPr>
          <w:p w14:paraId="74E9A8AD" w14:textId="77777777" w:rsidR="00AC46CD" w:rsidRPr="0062571E" w:rsidRDefault="00AC46CD" w:rsidP="00236DEC">
            <w:pPr>
              <w:pStyle w:val="Table"/>
              <w:rPr>
                <w:b/>
                <w:bCs/>
                <w:iCs/>
              </w:rPr>
            </w:pPr>
          </w:p>
        </w:tc>
        <w:tc>
          <w:tcPr>
            <w:tcW w:w="3197" w:type="dxa"/>
          </w:tcPr>
          <w:p w14:paraId="42F8D9C7" w14:textId="77777777" w:rsidR="00AC46CD" w:rsidRDefault="00AC46CD" w:rsidP="00236DEC">
            <w:pPr>
              <w:pStyle w:val="Table"/>
              <w:rPr>
                <w:bCs/>
                <w:iCs/>
              </w:rPr>
            </w:pPr>
            <w:r>
              <w:rPr>
                <w:bCs/>
                <w:iCs/>
              </w:rPr>
              <w:t>Ekstraomkostninger til kortlægning og håndtering af SCCP i byggeriet</w:t>
            </w:r>
          </w:p>
        </w:tc>
        <w:tc>
          <w:tcPr>
            <w:tcW w:w="1808" w:type="dxa"/>
          </w:tcPr>
          <w:p w14:paraId="5FC7748B" w14:textId="77777777" w:rsidR="00AC46CD" w:rsidRDefault="00AC46CD" w:rsidP="000050A7">
            <w:pPr>
              <w:pStyle w:val="Table"/>
              <w:jc w:val="center"/>
              <w:rPr>
                <w:bCs/>
                <w:iCs/>
              </w:rPr>
            </w:pPr>
            <w:r>
              <w:rPr>
                <w:bCs/>
                <w:iCs/>
              </w:rPr>
              <w:t>-</w:t>
            </w:r>
          </w:p>
        </w:tc>
        <w:tc>
          <w:tcPr>
            <w:tcW w:w="1532" w:type="dxa"/>
          </w:tcPr>
          <w:p w14:paraId="01CEDCC1" w14:textId="77777777" w:rsidR="00AC46CD" w:rsidRDefault="00AC46CD" w:rsidP="000050A7">
            <w:pPr>
              <w:pStyle w:val="Table"/>
              <w:jc w:val="center"/>
              <w:rPr>
                <w:bCs/>
                <w:iCs/>
              </w:rPr>
            </w:pPr>
            <w:r>
              <w:rPr>
                <w:bCs/>
                <w:iCs/>
              </w:rPr>
              <w:t>0,5 - 2</w:t>
            </w:r>
            <w:r>
              <w:t>,0</w:t>
            </w:r>
          </w:p>
        </w:tc>
        <w:tc>
          <w:tcPr>
            <w:tcW w:w="1532" w:type="dxa"/>
          </w:tcPr>
          <w:p w14:paraId="77F78CEF" w14:textId="6225135F" w:rsidR="00AC46CD" w:rsidRDefault="00AC46CD" w:rsidP="003D7275">
            <w:pPr>
              <w:pStyle w:val="Table"/>
              <w:rPr>
                <w:bCs/>
                <w:iCs/>
              </w:rPr>
            </w:pPr>
            <w:r>
              <w:t>Bygningsejere (</w:t>
            </w:r>
            <w:r w:rsidR="003D7275">
              <w:t xml:space="preserve"> </w:t>
            </w:r>
            <w:r w:rsidR="003D7275" w:rsidRPr="003D7275">
              <w:t>Grønlands Selvstyre</w:t>
            </w:r>
            <w:r>
              <w:t>, kommuner, private)</w:t>
            </w:r>
          </w:p>
        </w:tc>
      </w:tr>
      <w:tr w:rsidR="00AC46CD" w:rsidRPr="00222C65" w14:paraId="55228CE4" w14:textId="77777777" w:rsidTr="00236DEC">
        <w:tc>
          <w:tcPr>
            <w:tcW w:w="1394" w:type="dxa"/>
          </w:tcPr>
          <w:p w14:paraId="22DC2A8B" w14:textId="77777777" w:rsidR="00AC46CD" w:rsidRPr="0062571E" w:rsidRDefault="00AC46CD" w:rsidP="00236DEC">
            <w:pPr>
              <w:pStyle w:val="Table"/>
              <w:rPr>
                <w:b/>
                <w:bCs/>
                <w:iCs/>
              </w:rPr>
            </w:pPr>
            <w:proofErr w:type="spellStart"/>
            <w:r w:rsidRPr="0062571E">
              <w:rPr>
                <w:b/>
                <w:bCs/>
                <w:iCs/>
              </w:rPr>
              <w:t>Bromerede</w:t>
            </w:r>
            <w:proofErr w:type="spellEnd"/>
            <w:r w:rsidRPr="0062571E">
              <w:rPr>
                <w:b/>
                <w:bCs/>
                <w:iCs/>
              </w:rPr>
              <w:t xml:space="preserve"> </w:t>
            </w:r>
            <w:proofErr w:type="spellStart"/>
            <w:r w:rsidRPr="0062571E">
              <w:rPr>
                <w:b/>
                <w:bCs/>
                <w:iCs/>
              </w:rPr>
              <w:t>flammehæmmere</w:t>
            </w:r>
            <w:proofErr w:type="spellEnd"/>
            <w:r>
              <w:rPr>
                <w:b/>
                <w:bCs/>
                <w:iCs/>
              </w:rPr>
              <w:t>, pesticider og andre stoffer</w:t>
            </w:r>
          </w:p>
        </w:tc>
        <w:tc>
          <w:tcPr>
            <w:tcW w:w="3197" w:type="dxa"/>
          </w:tcPr>
          <w:p w14:paraId="7358E970" w14:textId="77777777" w:rsidR="00AC46CD" w:rsidRDefault="00AC46CD" w:rsidP="00236DEC">
            <w:pPr>
              <w:pStyle w:val="Table"/>
              <w:rPr>
                <w:bCs/>
                <w:iCs/>
              </w:rPr>
            </w:pPr>
            <w:r>
              <w:rPr>
                <w:bCs/>
                <w:iCs/>
              </w:rPr>
              <w:t>Der vurderes ikke at være omkostninger knyttet til disse stoffer</w:t>
            </w:r>
          </w:p>
        </w:tc>
        <w:tc>
          <w:tcPr>
            <w:tcW w:w="1808" w:type="dxa"/>
          </w:tcPr>
          <w:p w14:paraId="350070D0" w14:textId="77777777" w:rsidR="00AC46CD" w:rsidRDefault="00AC46CD" w:rsidP="000050A7">
            <w:pPr>
              <w:pStyle w:val="Table"/>
              <w:jc w:val="center"/>
              <w:rPr>
                <w:bCs/>
                <w:iCs/>
              </w:rPr>
            </w:pPr>
            <w:r>
              <w:rPr>
                <w:bCs/>
                <w:iCs/>
              </w:rPr>
              <w:t>-</w:t>
            </w:r>
          </w:p>
        </w:tc>
        <w:tc>
          <w:tcPr>
            <w:tcW w:w="1532" w:type="dxa"/>
          </w:tcPr>
          <w:p w14:paraId="6CF4B09B" w14:textId="77777777" w:rsidR="00AC46CD" w:rsidRDefault="00AC46CD" w:rsidP="000050A7">
            <w:pPr>
              <w:pStyle w:val="Table"/>
              <w:jc w:val="center"/>
              <w:rPr>
                <w:bCs/>
                <w:iCs/>
              </w:rPr>
            </w:pPr>
            <w:r>
              <w:rPr>
                <w:bCs/>
                <w:iCs/>
              </w:rPr>
              <w:t>-</w:t>
            </w:r>
          </w:p>
        </w:tc>
        <w:tc>
          <w:tcPr>
            <w:tcW w:w="1532" w:type="dxa"/>
          </w:tcPr>
          <w:p w14:paraId="02280A5F" w14:textId="77777777" w:rsidR="00AC46CD" w:rsidRDefault="00AC46CD" w:rsidP="00236DEC">
            <w:pPr>
              <w:pStyle w:val="Table"/>
              <w:rPr>
                <w:bCs/>
                <w:iCs/>
              </w:rPr>
            </w:pPr>
          </w:p>
        </w:tc>
      </w:tr>
      <w:tr w:rsidR="00AC46CD" w:rsidRPr="00222C65" w14:paraId="48A115CE" w14:textId="77777777" w:rsidTr="00236DEC">
        <w:tc>
          <w:tcPr>
            <w:tcW w:w="1394" w:type="dxa"/>
          </w:tcPr>
          <w:p w14:paraId="2983F161" w14:textId="77777777" w:rsidR="00AC46CD" w:rsidRPr="0062571E" w:rsidRDefault="00AC46CD" w:rsidP="00236DEC">
            <w:pPr>
              <w:pStyle w:val="Table"/>
              <w:rPr>
                <w:b/>
                <w:bCs/>
                <w:iCs/>
              </w:rPr>
            </w:pPr>
            <w:r w:rsidRPr="0062571E">
              <w:rPr>
                <w:b/>
                <w:bCs/>
                <w:iCs/>
              </w:rPr>
              <w:t>Folkeoplysning</w:t>
            </w:r>
          </w:p>
        </w:tc>
        <w:tc>
          <w:tcPr>
            <w:tcW w:w="3197" w:type="dxa"/>
          </w:tcPr>
          <w:p w14:paraId="45CFEBF5" w14:textId="77777777" w:rsidR="00AC46CD" w:rsidRDefault="00AC46CD" w:rsidP="00236DEC">
            <w:pPr>
              <w:pStyle w:val="Table"/>
              <w:rPr>
                <w:bCs/>
                <w:iCs/>
              </w:rPr>
            </w:pPr>
            <w:r>
              <w:rPr>
                <w:bCs/>
                <w:iCs/>
              </w:rPr>
              <w:t>Udarbejdelse af oplysningsmateriale til kommuner og befolkning og udbredelse af dette materiale</w:t>
            </w:r>
          </w:p>
        </w:tc>
        <w:tc>
          <w:tcPr>
            <w:tcW w:w="1808" w:type="dxa"/>
          </w:tcPr>
          <w:p w14:paraId="549BE80D" w14:textId="77777777" w:rsidR="00AC46CD" w:rsidRDefault="00AC46CD" w:rsidP="000050A7">
            <w:pPr>
              <w:pStyle w:val="Table"/>
              <w:jc w:val="center"/>
              <w:rPr>
                <w:bCs/>
                <w:iCs/>
              </w:rPr>
            </w:pPr>
            <w:r>
              <w:rPr>
                <w:bCs/>
                <w:iCs/>
              </w:rPr>
              <w:t>-</w:t>
            </w:r>
          </w:p>
        </w:tc>
        <w:tc>
          <w:tcPr>
            <w:tcW w:w="1532" w:type="dxa"/>
          </w:tcPr>
          <w:p w14:paraId="7C221096" w14:textId="512754CD" w:rsidR="00AC46CD" w:rsidRPr="007879D8" w:rsidRDefault="00AC46CD">
            <w:pPr>
              <w:pStyle w:val="Table"/>
              <w:jc w:val="center"/>
              <w:rPr>
                <w:bCs/>
                <w:iCs/>
                <w:color w:val="000000" w:themeColor="text1"/>
              </w:rPr>
            </w:pPr>
            <w:r w:rsidRPr="007879D8">
              <w:rPr>
                <w:bCs/>
                <w:iCs/>
                <w:color w:val="000000" w:themeColor="text1"/>
              </w:rPr>
              <w:t>0,025 - 0,1</w:t>
            </w:r>
          </w:p>
        </w:tc>
        <w:tc>
          <w:tcPr>
            <w:tcW w:w="1532" w:type="dxa"/>
          </w:tcPr>
          <w:p w14:paraId="41E350D7" w14:textId="1920C047" w:rsidR="00AC46CD" w:rsidRDefault="003D7275" w:rsidP="00236DEC">
            <w:pPr>
              <w:pStyle w:val="Table"/>
              <w:rPr>
                <w:bCs/>
                <w:iCs/>
              </w:rPr>
            </w:pPr>
            <w:r w:rsidRPr="003D7275">
              <w:t>Grønlands Selvstyre</w:t>
            </w:r>
          </w:p>
        </w:tc>
      </w:tr>
      <w:tr w:rsidR="00AC46CD" w:rsidRPr="00222C65" w14:paraId="46BC5FDB" w14:textId="77777777" w:rsidTr="00236DEC">
        <w:tc>
          <w:tcPr>
            <w:tcW w:w="1394" w:type="dxa"/>
            <w:vMerge w:val="restart"/>
          </w:tcPr>
          <w:p w14:paraId="66CE6789" w14:textId="77777777" w:rsidR="00AC46CD" w:rsidRPr="0062571E" w:rsidRDefault="00AC46CD" w:rsidP="00236DEC">
            <w:pPr>
              <w:pStyle w:val="Table"/>
              <w:rPr>
                <w:b/>
                <w:bCs/>
                <w:iCs/>
              </w:rPr>
            </w:pPr>
            <w:r w:rsidRPr="0062571E">
              <w:rPr>
                <w:b/>
                <w:bCs/>
                <w:iCs/>
              </w:rPr>
              <w:lastRenderedPageBreak/>
              <w:t>Administrative omkostninger</w:t>
            </w:r>
          </w:p>
        </w:tc>
        <w:tc>
          <w:tcPr>
            <w:tcW w:w="3197" w:type="dxa"/>
          </w:tcPr>
          <w:p w14:paraId="1766DB99" w14:textId="77777777" w:rsidR="00AC46CD" w:rsidRDefault="00AC46CD" w:rsidP="00236DEC">
            <w:pPr>
              <w:pStyle w:val="Table"/>
              <w:rPr>
                <w:bCs/>
                <w:iCs/>
              </w:rPr>
            </w:pPr>
            <w:r>
              <w:rPr>
                <w:bCs/>
                <w:iCs/>
              </w:rPr>
              <w:t xml:space="preserve">Udarbejdelse af bekendtgørelse (evt. sammen med krav i relation til </w:t>
            </w:r>
            <w:proofErr w:type="spellStart"/>
            <w:r>
              <w:rPr>
                <w:bCs/>
                <w:iCs/>
              </w:rPr>
              <w:t>Minamatakonventionen</w:t>
            </w:r>
            <w:proofErr w:type="spellEnd"/>
            <w:r>
              <w:rPr>
                <w:bCs/>
                <w:iCs/>
              </w:rPr>
              <w:t>)</w:t>
            </w:r>
          </w:p>
        </w:tc>
        <w:tc>
          <w:tcPr>
            <w:tcW w:w="1808" w:type="dxa"/>
          </w:tcPr>
          <w:p w14:paraId="6003347A" w14:textId="77777777" w:rsidR="00AC46CD" w:rsidRDefault="00AC46CD" w:rsidP="000050A7">
            <w:pPr>
              <w:pStyle w:val="Table"/>
              <w:jc w:val="center"/>
              <w:rPr>
                <w:bCs/>
                <w:iCs/>
              </w:rPr>
            </w:pPr>
            <w:r>
              <w:rPr>
                <w:bCs/>
                <w:iCs/>
              </w:rPr>
              <w:t>-</w:t>
            </w:r>
          </w:p>
        </w:tc>
        <w:tc>
          <w:tcPr>
            <w:tcW w:w="1532" w:type="dxa"/>
          </w:tcPr>
          <w:p w14:paraId="7601197D" w14:textId="133FF4BD" w:rsidR="00AC46CD" w:rsidRPr="007879D8" w:rsidRDefault="00AC46CD">
            <w:pPr>
              <w:pStyle w:val="Table"/>
              <w:jc w:val="center"/>
              <w:rPr>
                <w:bCs/>
                <w:iCs/>
                <w:color w:val="000000" w:themeColor="text1"/>
              </w:rPr>
            </w:pPr>
            <w:r w:rsidRPr="007879D8">
              <w:rPr>
                <w:bCs/>
                <w:iCs/>
                <w:color w:val="000000" w:themeColor="text1"/>
              </w:rPr>
              <w:t>0,</w:t>
            </w:r>
            <w:r w:rsidR="00DD34B3">
              <w:rPr>
                <w:bCs/>
                <w:iCs/>
                <w:color w:val="000000" w:themeColor="text1"/>
              </w:rPr>
              <w:t>1</w:t>
            </w:r>
            <w:r w:rsidRPr="007879D8">
              <w:rPr>
                <w:bCs/>
                <w:iCs/>
                <w:color w:val="000000" w:themeColor="text1"/>
              </w:rPr>
              <w:t>-0,</w:t>
            </w:r>
            <w:r w:rsidR="00DD34B3">
              <w:rPr>
                <w:bCs/>
                <w:iCs/>
                <w:color w:val="000000" w:themeColor="text1"/>
              </w:rPr>
              <w:t>2</w:t>
            </w:r>
          </w:p>
        </w:tc>
        <w:tc>
          <w:tcPr>
            <w:tcW w:w="1532" w:type="dxa"/>
          </w:tcPr>
          <w:p w14:paraId="233BC334" w14:textId="733FEF77" w:rsidR="00AC46CD" w:rsidRDefault="003D7275" w:rsidP="00236DEC">
            <w:pPr>
              <w:pStyle w:val="Table"/>
              <w:rPr>
                <w:bCs/>
                <w:iCs/>
              </w:rPr>
            </w:pPr>
            <w:r w:rsidRPr="003D7275">
              <w:t>Grønlands Selvstyre</w:t>
            </w:r>
          </w:p>
        </w:tc>
      </w:tr>
      <w:tr w:rsidR="00AC46CD" w:rsidRPr="00222C65" w14:paraId="2AC5B3FF" w14:textId="77777777" w:rsidTr="00236DEC">
        <w:tc>
          <w:tcPr>
            <w:tcW w:w="1394" w:type="dxa"/>
            <w:vMerge/>
          </w:tcPr>
          <w:p w14:paraId="43B636B7" w14:textId="77777777" w:rsidR="00AC46CD" w:rsidRDefault="00AC46CD" w:rsidP="00236DEC">
            <w:pPr>
              <w:pStyle w:val="Table"/>
              <w:rPr>
                <w:bCs/>
                <w:iCs/>
              </w:rPr>
            </w:pPr>
          </w:p>
        </w:tc>
        <w:tc>
          <w:tcPr>
            <w:tcW w:w="3197" w:type="dxa"/>
          </w:tcPr>
          <w:p w14:paraId="405DE25F" w14:textId="13D4B7CC" w:rsidR="00AC46CD" w:rsidRDefault="00AC46CD" w:rsidP="00236DEC">
            <w:pPr>
              <w:pStyle w:val="Table"/>
              <w:rPr>
                <w:bCs/>
                <w:iCs/>
              </w:rPr>
            </w:pPr>
            <w:r>
              <w:rPr>
                <w:bCs/>
                <w:iCs/>
              </w:rPr>
              <w:t xml:space="preserve">Udarbejdelse af </w:t>
            </w:r>
            <w:r w:rsidR="00DD34B3">
              <w:rPr>
                <w:bCs/>
                <w:iCs/>
              </w:rPr>
              <w:t xml:space="preserve">bidrag til </w:t>
            </w:r>
            <w:r>
              <w:rPr>
                <w:bCs/>
                <w:iCs/>
              </w:rPr>
              <w:t>implementeringsplaner samt anden rapportering</w:t>
            </w:r>
          </w:p>
        </w:tc>
        <w:tc>
          <w:tcPr>
            <w:tcW w:w="1808" w:type="dxa"/>
          </w:tcPr>
          <w:p w14:paraId="6CC232D2" w14:textId="77777777" w:rsidR="00AC46CD" w:rsidRDefault="00AC46CD" w:rsidP="000050A7">
            <w:pPr>
              <w:pStyle w:val="Table"/>
              <w:jc w:val="center"/>
              <w:rPr>
                <w:bCs/>
                <w:iCs/>
              </w:rPr>
            </w:pPr>
            <w:r>
              <w:rPr>
                <w:bCs/>
                <w:iCs/>
              </w:rPr>
              <w:t>-</w:t>
            </w:r>
          </w:p>
        </w:tc>
        <w:tc>
          <w:tcPr>
            <w:tcW w:w="1532" w:type="dxa"/>
          </w:tcPr>
          <w:p w14:paraId="71249A19" w14:textId="32D6B66B" w:rsidR="00AC46CD" w:rsidRPr="007879D8" w:rsidRDefault="00AC46CD" w:rsidP="000C7767">
            <w:pPr>
              <w:pStyle w:val="Table"/>
              <w:jc w:val="center"/>
              <w:rPr>
                <w:bCs/>
                <w:iCs/>
                <w:color w:val="000000" w:themeColor="text1"/>
              </w:rPr>
            </w:pPr>
            <w:r w:rsidRPr="007879D8">
              <w:rPr>
                <w:bCs/>
                <w:iCs/>
                <w:color w:val="000000" w:themeColor="text1"/>
              </w:rPr>
              <w:t xml:space="preserve">Første plan: 0,025-0,05; </w:t>
            </w:r>
            <w:r w:rsidR="000C7767">
              <w:rPr>
                <w:bCs/>
                <w:iCs/>
                <w:color w:val="000000" w:themeColor="text1"/>
              </w:rPr>
              <w:br/>
            </w:r>
            <w:r w:rsidRPr="007879D8">
              <w:rPr>
                <w:bCs/>
                <w:iCs/>
                <w:color w:val="000000" w:themeColor="text1"/>
              </w:rPr>
              <w:t xml:space="preserve">Hvert 6. år: </w:t>
            </w:r>
            <w:r w:rsidRPr="007879D8">
              <w:rPr>
                <w:color w:val="000000" w:themeColor="text1"/>
              </w:rPr>
              <w:t>0,013</w:t>
            </w:r>
          </w:p>
        </w:tc>
        <w:tc>
          <w:tcPr>
            <w:tcW w:w="1532" w:type="dxa"/>
          </w:tcPr>
          <w:p w14:paraId="24389C02" w14:textId="0A7D7D1C" w:rsidR="00AC46CD" w:rsidRDefault="003D7275" w:rsidP="00236DEC">
            <w:pPr>
              <w:pStyle w:val="Table"/>
              <w:rPr>
                <w:bCs/>
                <w:iCs/>
              </w:rPr>
            </w:pPr>
            <w:r w:rsidRPr="003D7275">
              <w:t>Grønlands Selvstyre</w:t>
            </w:r>
          </w:p>
        </w:tc>
      </w:tr>
      <w:tr w:rsidR="00AC46CD" w:rsidRPr="00222C65" w14:paraId="4F4A710B" w14:textId="77777777" w:rsidTr="00236DEC">
        <w:tc>
          <w:tcPr>
            <w:tcW w:w="1394" w:type="dxa"/>
          </w:tcPr>
          <w:p w14:paraId="7D970B1C" w14:textId="77777777" w:rsidR="00AC46CD" w:rsidRDefault="00AC46CD" w:rsidP="00236DEC">
            <w:pPr>
              <w:pStyle w:val="Table"/>
              <w:rPr>
                <w:bCs/>
                <w:iCs/>
              </w:rPr>
            </w:pPr>
            <w:r>
              <w:rPr>
                <w:bCs/>
                <w:iCs/>
              </w:rPr>
              <w:t xml:space="preserve">I alt </w:t>
            </w:r>
          </w:p>
        </w:tc>
        <w:tc>
          <w:tcPr>
            <w:tcW w:w="3197" w:type="dxa"/>
          </w:tcPr>
          <w:p w14:paraId="26922A55" w14:textId="77777777" w:rsidR="00AC46CD" w:rsidRDefault="00AC46CD" w:rsidP="00236DEC">
            <w:pPr>
              <w:pStyle w:val="Table"/>
              <w:rPr>
                <w:bCs/>
                <w:iCs/>
              </w:rPr>
            </w:pPr>
          </w:p>
        </w:tc>
        <w:tc>
          <w:tcPr>
            <w:tcW w:w="1808" w:type="dxa"/>
          </w:tcPr>
          <w:p w14:paraId="506ECDC7" w14:textId="77777777" w:rsidR="00AC46CD" w:rsidRDefault="00AC46CD" w:rsidP="000050A7">
            <w:pPr>
              <w:pStyle w:val="Table"/>
              <w:jc w:val="center"/>
              <w:rPr>
                <w:bCs/>
                <w:iCs/>
              </w:rPr>
            </w:pPr>
          </w:p>
        </w:tc>
        <w:tc>
          <w:tcPr>
            <w:tcW w:w="1532" w:type="dxa"/>
          </w:tcPr>
          <w:p w14:paraId="37FC294E" w14:textId="174505E9" w:rsidR="00AC46CD" w:rsidRPr="007879D8" w:rsidRDefault="00AC46CD" w:rsidP="000C7767">
            <w:pPr>
              <w:pStyle w:val="Table"/>
              <w:jc w:val="center"/>
              <w:rPr>
                <w:bCs/>
                <w:iCs/>
                <w:color w:val="000000" w:themeColor="text1"/>
              </w:rPr>
            </w:pPr>
            <w:r w:rsidRPr="007879D8">
              <w:rPr>
                <w:bCs/>
                <w:iCs/>
                <w:color w:val="000000" w:themeColor="text1"/>
              </w:rPr>
              <w:t>1,</w:t>
            </w:r>
            <w:r w:rsidR="00DD34B3">
              <w:rPr>
                <w:bCs/>
                <w:iCs/>
                <w:color w:val="000000" w:themeColor="text1"/>
              </w:rPr>
              <w:t>1</w:t>
            </w:r>
            <w:r w:rsidR="00DD34B3" w:rsidRPr="007879D8">
              <w:rPr>
                <w:bCs/>
                <w:iCs/>
                <w:color w:val="000000" w:themeColor="text1"/>
              </w:rPr>
              <w:t xml:space="preserve"> </w:t>
            </w:r>
            <w:r w:rsidRPr="007879D8">
              <w:rPr>
                <w:bCs/>
                <w:iCs/>
                <w:color w:val="000000" w:themeColor="text1"/>
              </w:rPr>
              <w:t>- 3,</w:t>
            </w:r>
            <w:r w:rsidR="00DD34B3">
              <w:rPr>
                <w:bCs/>
                <w:iCs/>
                <w:color w:val="000000" w:themeColor="text1"/>
              </w:rPr>
              <w:t>1</w:t>
            </w:r>
            <w:r w:rsidR="00DD34B3" w:rsidRPr="007879D8">
              <w:rPr>
                <w:bCs/>
                <w:iCs/>
                <w:color w:val="000000" w:themeColor="text1"/>
              </w:rPr>
              <w:t xml:space="preserve"> </w:t>
            </w:r>
            <w:r w:rsidRPr="007879D8">
              <w:rPr>
                <w:bCs/>
                <w:iCs/>
                <w:color w:val="000000" w:themeColor="text1"/>
              </w:rPr>
              <w:t>(inkl. første implementeringsplan)</w:t>
            </w:r>
          </w:p>
        </w:tc>
        <w:tc>
          <w:tcPr>
            <w:tcW w:w="1532" w:type="dxa"/>
          </w:tcPr>
          <w:p w14:paraId="5FC97997" w14:textId="77777777" w:rsidR="00AC46CD" w:rsidRDefault="00AC46CD" w:rsidP="00236DEC">
            <w:pPr>
              <w:pStyle w:val="Table"/>
              <w:rPr>
                <w:bCs/>
                <w:iCs/>
              </w:rPr>
            </w:pPr>
          </w:p>
        </w:tc>
      </w:tr>
    </w:tbl>
    <w:p w14:paraId="75DF8F01" w14:textId="77777777" w:rsidR="00AC46CD" w:rsidRDefault="00AC46CD" w:rsidP="00AC46CD">
      <w:pPr>
        <w:pStyle w:val="Table"/>
      </w:pPr>
      <w:r>
        <w:t>* Der er til beregningen regnet med at en mandmåned svarer til 50.000 kr.</w:t>
      </w:r>
    </w:p>
    <w:p w14:paraId="1C7E1BAB" w14:textId="77777777" w:rsidR="00AC46CD" w:rsidRDefault="00AC46CD" w:rsidP="00AC46CD">
      <w:pPr>
        <w:pStyle w:val="Brdtekst"/>
      </w:pPr>
      <w:r>
        <w:t xml:space="preserve"> </w:t>
      </w:r>
    </w:p>
    <w:p w14:paraId="791E0A1B" w14:textId="77777777" w:rsidR="00AC46CD" w:rsidRPr="00236DEC" w:rsidRDefault="00AC46CD" w:rsidP="000050A7">
      <w:pPr>
        <w:pStyle w:val="Brdtekst"/>
      </w:pPr>
    </w:p>
    <w:p w14:paraId="0462B671" w14:textId="1CF59806" w:rsidR="00CD692F" w:rsidRDefault="00CD692F" w:rsidP="001C7DA0">
      <w:pPr>
        <w:pStyle w:val="Overskrift1"/>
      </w:pPr>
      <w:bookmarkStart w:id="144" w:name="_Toc10205732"/>
      <w:r>
        <w:lastRenderedPageBreak/>
        <w:t>Forkortelser og akronymer</w:t>
      </w:r>
      <w:bookmarkEnd w:id="139"/>
      <w:bookmarkEnd w:id="140"/>
      <w:bookmarkEnd w:id="141"/>
      <w:bookmarkEnd w:id="144"/>
    </w:p>
    <w:tbl>
      <w:tblPr>
        <w:tblStyle w:val="CowiTableGrid"/>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5473"/>
      </w:tblGrid>
      <w:tr w:rsidR="003953FA" w:rsidRPr="003953FA" w14:paraId="5270FA4C" w14:textId="77777777" w:rsidTr="00507C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06" w:type="dxa"/>
            <w:noWrap/>
            <w:hideMark/>
          </w:tcPr>
          <w:p w14:paraId="59A9A18F" w14:textId="77777777" w:rsidR="003953FA" w:rsidRPr="003953FA" w:rsidRDefault="003953FA" w:rsidP="00894591">
            <w:pPr>
              <w:spacing w:line="240" w:lineRule="auto"/>
              <w:rPr>
                <w:rFonts w:asciiTheme="minorHAnsi" w:hAnsiTheme="minorHAnsi" w:cs="Times New Roman"/>
                <w:color w:val="000000" w:themeColor="text1"/>
                <w:szCs w:val="18"/>
              </w:rPr>
            </w:pPr>
            <w:bookmarkStart w:id="145" w:name="_Toc469053558"/>
            <w:r w:rsidRPr="003953FA">
              <w:rPr>
                <w:rFonts w:asciiTheme="minorHAnsi" w:hAnsiTheme="minorHAnsi" w:cs="Times New Roman"/>
                <w:color w:val="000000" w:themeColor="text1"/>
                <w:szCs w:val="18"/>
              </w:rPr>
              <w:t>ABS</w:t>
            </w:r>
          </w:p>
        </w:tc>
        <w:tc>
          <w:tcPr>
            <w:tcW w:w="5473" w:type="dxa"/>
            <w:noWrap/>
            <w:hideMark/>
          </w:tcPr>
          <w:p w14:paraId="5BA7E109" w14:textId="77777777" w:rsidR="003953FA" w:rsidRPr="003953FA" w:rsidRDefault="003953FA" w:rsidP="00894591">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Acrylonitril</w:t>
            </w:r>
            <w:proofErr w:type="spellEnd"/>
            <w:r w:rsidRPr="003953FA">
              <w:rPr>
                <w:rFonts w:asciiTheme="minorHAnsi" w:hAnsiTheme="minorHAnsi" w:cs="Times New Roman"/>
                <w:color w:val="000000" w:themeColor="text1"/>
                <w:szCs w:val="18"/>
              </w:rPr>
              <w:t xml:space="preserve"> </w:t>
            </w:r>
            <w:proofErr w:type="spellStart"/>
            <w:r w:rsidRPr="003953FA">
              <w:rPr>
                <w:rFonts w:asciiTheme="minorHAnsi" w:hAnsiTheme="minorHAnsi" w:cs="Times New Roman"/>
                <w:color w:val="000000" w:themeColor="text1"/>
                <w:szCs w:val="18"/>
              </w:rPr>
              <w:t>butadien</w:t>
            </w:r>
            <w:proofErr w:type="spellEnd"/>
            <w:r w:rsidRPr="003953FA">
              <w:rPr>
                <w:rFonts w:asciiTheme="minorHAnsi" w:hAnsiTheme="minorHAnsi" w:cs="Times New Roman"/>
                <w:color w:val="000000" w:themeColor="text1"/>
                <w:szCs w:val="18"/>
              </w:rPr>
              <w:t xml:space="preserve"> styren</w:t>
            </w:r>
          </w:p>
        </w:tc>
      </w:tr>
      <w:tr w:rsidR="003953FA" w:rsidRPr="003953FA" w14:paraId="259667BA"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533F2241"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AFFF</w:t>
            </w:r>
          </w:p>
        </w:tc>
        <w:tc>
          <w:tcPr>
            <w:tcW w:w="5473" w:type="dxa"/>
            <w:noWrap/>
            <w:hideMark/>
          </w:tcPr>
          <w:p w14:paraId="3811FFFD" w14:textId="0762CE72" w:rsidR="003953FA" w:rsidRPr="003953FA" w:rsidRDefault="00F8233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Theme="minorHAnsi" w:hAnsiTheme="minorHAnsi" w:cs="Times New Roman"/>
                <w:color w:val="000000" w:themeColor="text1"/>
                <w:szCs w:val="18"/>
              </w:rPr>
              <w:t>F</w:t>
            </w:r>
            <w:r w:rsidR="00EE0C3B" w:rsidRPr="003953FA">
              <w:rPr>
                <w:rFonts w:asciiTheme="minorHAnsi" w:hAnsiTheme="minorHAnsi" w:cs="Times New Roman"/>
                <w:color w:val="000000" w:themeColor="text1"/>
                <w:szCs w:val="18"/>
              </w:rPr>
              <w:t>lydende brandslukningsskum</w:t>
            </w:r>
            <w:r w:rsidR="00EE0C3B">
              <w:rPr>
                <w:rFonts w:asciiTheme="minorHAnsi" w:hAnsiTheme="minorHAnsi" w:cs="Times New Roman"/>
                <w:color w:val="000000" w:themeColor="text1"/>
                <w:szCs w:val="18"/>
              </w:rPr>
              <w:t xml:space="preserve"> (</w:t>
            </w:r>
            <w:proofErr w:type="spellStart"/>
            <w:r w:rsidR="003953FA" w:rsidRPr="003953FA">
              <w:rPr>
                <w:rFonts w:asciiTheme="minorHAnsi" w:hAnsiTheme="minorHAnsi" w:cs="Times New Roman"/>
                <w:color w:val="000000" w:themeColor="text1"/>
                <w:szCs w:val="18"/>
              </w:rPr>
              <w:t>Aqueous</w:t>
            </w:r>
            <w:proofErr w:type="spellEnd"/>
            <w:r w:rsidR="003953FA" w:rsidRPr="003953FA">
              <w:rPr>
                <w:rFonts w:asciiTheme="minorHAnsi" w:hAnsiTheme="minorHAnsi" w:cs="Times New Roman"/>
                <w:color w:val="000000" w:themeColor="text1"/>
                <w:szCs w:val="18"/>
              </w:rPr>
              <w:t xml:space="preserve"> Film </w:t>
            </w:r>
            <w:proofErr w:type="spellStart"/>
            <w:r w:rsidR="003953FA" w:rsidRPr="003953FA">
              <w:rPr>
                <w:rFonts w:asciiTheme="minorHAnsi" w:hAnsiTheme="minorHAnsi" w:cs="Times New Roman"/>
                <w:color w:val="000000" w:themeColor="text1"/>
                <w:szCs w:val="18"/>
              </w:rPr>
              <w:t>Forming</w:t>
            </w:r>
            <w:proofErr w:type="spellEnd"/>
            <w:r w:rsidR="003953FA" w:rsidRPr="003953FA">
              <w:rPr>
                <w:rFonts w:asciiTheme="minorHAnsi" w:hAnsiTheme="minorHAnsi" w:cs="Times New Roman"/>
                <w:color w:val="000000" w:themeColor="text1"/>
                <w:szCs w:val="18"/>
              </w:rPr>
              <w:t xml:space="preserve"> </w:t>
            </w:r>
            <w:proofErr w:type="spellStart"/>
            <w:r w:rsidR="003953FA" w:rsidRPr="003953FA">
              <w:rPr>
                <w:rFonts w:asciiTheme="minorHAnsi" w:hAnsiTheme="minorHAnsi" w:cs="Times New Roman"/>
                <w:color w:val="000000" w:themeColor="text1"/>
                <w:szCs w:val="18"/>
              </w:rPr>
              <w:t>Foam</w:t>
            </w:r>
            <w:proofErr w:type="spellEnd"/>
            <w:r w:rsidR="00EE0C3B">
              <w:rPr>
                <w:rFonts w:asciiTheme="minorHAnsi" w:hAnsiTheme="minorHAnsi" w:cs="Times New Roman"/>
                <w:color w:val="000000" w:themeColor="text1"/>
                <w:szCs w:val="18"/>
              </w:rPr>
              <w:t>)</w:t>
            </w:r>
          </w:p>
        </w:tc>
      </w:tr>
      <w:tr w:rsidR="003953FA" w:rsidRPr="003953FA" w14:paraId="6D834FFC"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161603BE"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AMAP</w:t>
            </w:r>
          </w:p>
        </w:tc>
        <w:tc>
          <w:tcPr>
            <w:tcW w:w="5473" w:type="dxa"/>
            <w:noWrap/>
            <w:hideMark/>
          </w:tcPr>
          <w:p w14:paraId="659A5A33" w14:textId="77777777" w:rsidR="003953FA" w:rsidRPr="003953FA" w:rsidRDefault="003953FA" w:rsidP="00323FA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Det Arktiske Moniterings- og Vurderingsprogram (</w:t>
            </w:r>
            <w:proofErr w:type="spellStart"/>
            <w:r w:rsidRPr="003953FA">
              <w:rPr>
                <w:rFonts w:asciiTheme="minorHAnsi" w:hAnsiTheme="minorHAnsi" w:cs="Times New Roman"/>
                <w:color w:val="000000" w:themeColor="text1"/>
                <w:szCs w:val="18"/>
              </w:rPr>
              <w:t>Arctic</w:t>
            </w:r>
            <w:proofErr w:type="spellEnd"/>
            <w:r w:rsidRPr="003953FA">
              <w:rPr>
                <w:rFonts w:asciiTheme="minorHAnsi" w:hAnsiTheme="minorHAnsi" w:cs="Times New Roman"/>
                <w:color w:val="000000" w:themeColor="text1"/>
                <w:szCs w:val="18"/>
              </w:rPr>
              <w:t xml:space="preserve"> </w:t>
            </w:r>
            <w:proofErr w:type="spellStart"/>
            <w:r w:rsidRPr="003953FA">
              <w:rPr>
                <w:rFonts w:asciiTheme="minorHAnsi" w:hAnsiTheme="minorHAnsi" w:cs="Times New Roman"/>
                <w:color w:val="000000" w:themeColor="text1"/>
                <w:szCs w:val="18"/>
              </w:rPr>
              <w:t>Monitoring</w:t>
            </w:r>
            <w:proofErr w:type="spellEnd"/>
            <w:r w:rsidRPr="003953FA">
              <w:rPr>
                <w:rFonts w:asciiTheme="minorHAnsi" w:hAnsiTheme="minorHAnsi" w:cs="Times New Roman"/>
                <w:color w:val="000000" w:themeColor="text1"/>
                <w:szCs w:val="18"/>
              </w:rPr>
              <w:t xml:space="preserve"> and </w:t>
            </w:r>
            <w:proofErr w:type="spellStart"/>
            <w:r w:rsidRPr="003953FA">
              <w:rPr>
                <w:rFonts w:asciiTheme="minorHAnsi" w:hAnsiTheme="minorHAnsi" w:cs="Times New Roman"/>
                <w:color w:val="000000" w:themeColor="text1"/>
                <w:szCs w:val="18"/>
              </w:rPr>
              <w:t>Assessent</w:t>
            </w:r>
            <w:proofErr w:type="spellEnd"/>
            <w:r w:rsidRPr="003953FA">
              <w:rPr>
                <w:rFonts w:asciiTheme="minorHAnsi" w:hAnsiTheme="minorHAnsi" w:cs="Times New Roman"/>
                <w:color w:val="000000" w:themeColor="text1"/>
                <w:szCs w:val="18"/>
              </w:rPr>
              <w:t xml:space="preserve"> Programme)</w:t>
            </w:r>
          </w:p>
        </w:tc>
      </w:tr>
      <w:tr w:rsidR="003953FA" w:rsidRPr="003953FA" w14:paraId="2CCCD301"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61A0613E"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BAT</w:t>
            </w:r>
          </w:p>
        </w:tc>
        <w:tc>
          <w:tcPr>
            <w:tcW w:w="5473" w:type="dxa"/>
            <w:noWrap/>
            <w:hideMark/>
          </w:tcPr>
          <w:p w14:paraId="60BF7A89" w14:textId="7496900D"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 xml:space="preserve">Bedste tilgængelige teknik (Best </w:t>
            </w:r>
            <w:proofErr w:type="spellStart"/>
            <w:r w:rsidRPr="003953FA">
              <w:rPr>
                <w:rFonts w:asciiTheme="minorHAnsi" w:hAnsiTheme="minorHAnsi" w:cs="Times New Roman"/>
                <w:color w:val="000000" w:themeColor="text1"/>
                <w:szCs w:val="18"/>
              </w:rPr>
              <w:t>Available</w:t>
            </w:r>
            <w:proofErr w:type="spellEnd"/>
            <w:r w:rsidRPr="003953FA">
              <w:rPr>
                <w:rFonts w:asciiTheme="minorHAnsi" w:hAnsiTheme="minorHAnsi" w:cs="Times New Roman"/>
                <w:color w:val="000000" w:themeColor="text1"/>
                <w:szCs w:val="18"/>
              </w:rPr>
              <w:t xml:space="preserve"> </w:t>
            </w:r>
            <w:proofErr w:type="spellStart"/>
            <w:r w:rsidRPr="003953FA">
              <w:rPr>
                <w:rFonts w:asciiTheme="minorHAnsi" w:hAnsiTheme="minorHAnsi" w:cs="Times New Roman"/>
                <w:color w:val="000000" w:themeColor="text1"/>
                <w:szCs w:val="18"/>
              </w:rPr>
              <w:t>Technique</w:t>
            </w:r>
            <w:proofErr w:type="spellEnd"/>
            <w:r w:rsidRPr="003953FA">
              <w:rPr>
                <w:rFonts w:asciiTheme="minorHAnsi" w:hAnsiTheme="minorHAnsi" w:cs="Times New Roman"/>
                <w:color w:val="000000" w:themeColor="text1"/>
                <w:szCs w:val="18"/>
              </w:rPr>
              <w:t>)</w:t>
            </w:r>
          </w:p>
        </w:tc>
      </w:tr>
      <w:tr w:rsidR="003953FA" w:rsidRPr="003953FA" w14:paraId="61F9E29B"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48C7A328"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BEP</w:t>
            </w:r>
          </w:p>
        </w:tc>
        <w:tc>
          <w:tcPr>
            <w:tcW w:w="5473" w:type="dxa"/>
            <w:noWrap/>
            <w:hideMark/>
          </w:tcPr>
          <w:p w14:paraId="2DCB0E8C" w14:textId="4F213C1B" w:rsidR="003953FA" w:rsidRPr="003953FA" w:rsidRDefault="003953FA" w:rsidP="00E9371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 xml:space="preserve">Bedste miljømæssige praksis (Best </w:t>
            </w:r>
            <w:proofErr w:type="spellStart"/>
            <w:r w:rsidR="00E93711">
              <w:rPr>
                <w:rFonts w:asciiTheme="minorHAnsi" w:hAnsiTheme="minorHAnsi" w:cs="Times New Roman"/>
                <w:color w:val="000000" w:themeColor="text1"/>
                <w:szCs w:val="18"/>
              </w:rPr>
              <w:t>Environmental</w:t>
            </w:r>
            <w:proofErr w:type="spellEnd"/>
            <w:r w:rsidR="00E93711" w:rsidRPr="003953FA">
              <w:rPr>
                <w:rFonts w:asciiTheme="minorHAnsi" w:hAnsiTheme="minorHAnsi" w:cs="Times New Roman"/>
                <w:color w:val="000000" w:themeColor="text1"/>
                <w:szCs w:val="18"/>
              </w:rPr>
              <w:t xml:space="preserve"> </w:t>
            </w:r>
            <w:proofErr w:type="spellStart"/>
            <w:r w:rsidRPr="003953FA">
              <w:rPr>
                <w:rFonts w:asciiTheme="minorHAnsi" w:hAnsiTheme="minorHAnsi" w:cs="Times New Roman"/>
                <w:color w:val="000000" w:themeColor="text1"/>
                <w:szCs w:val="18"/>
              </w:rPr>
              <w:t>Practice</w:t>
            </w:r>
            <w:proofErr w:type="spellEnd"/>
            <w:r w:rsidRPr="003953FA">
              <w:rPr>
                <w:rFonts w:asciiTheme="minorHAnsi" w:hAnsiTheme="minorHAnsi" w:cs="Times New Roman"/>
                <w:color w:val="000000" w:themeColor="text1"/>
                <w:szCs w:val="18"/>
              </w:rPr>
              <w:t>)</w:t>
            </w:r>
          </w:p>
        </w:tc>
      </w:tr>
      <w:tr w:rsidR="003953FA" w:rsidRPr="003953FA" w14:paraId="70C1D332"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4A7734AB"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BFR</w:t>
            </w:r>
          </w:p>
        </w:tc>
        <w:tc>
          <w:tcPr>
            <w:tcW w:w="5473" w:type="dxa"/>
            <w:noWrap/>
            <w:hideMark/>
          </w:tcPr>
          <w:p w14:paraId="5A2C4E39"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Bromerede</w:t>
            </w:r>
            <w:proofErr w:type="spellEnd"/>
            <w:r w:rsidRPr="003953FA">
              <w:rPr>
                <w:rFonts w:asciiTheme="minorHAnsi" w:hAnsiTheme="minorHAnsi" w:cs="Times New Roman"/>
                <w:color w:val="000000" w:themeColor="text1"/>
                <w:szCs w:val="18"/>
              </w:rPr>
              <w:t xml:space="preserve"> </w:t>
            </w:r>
            <w:proofErr w:type="spellStart"/>
            <w:r w:rsidRPr="003953FA">
              <w:rPr>
                <w:rFonts w:asciiTheme="minorHAnsi" w:hAnsiTheme="minorHAnsi" w:cs="Times New Roman"/>
                <w:color w:val="000000" w:themeColor="text1"/>
                <w:szCs w:val="18"/>
              </w:rPr>
              <w:t>flammehæmmere</w:t>
            </w:r>
            <w:proofErr w:type="spellEnd"/>
          </w:p>
        </w:tc>
      </w:tr>
      <w:tr w:rsidR="00433EC3" w:rsidRPr="003953FA" w14:paraId="71F6332E"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tcPr>
          <w:p w14:paraId="53148690" w14:textId="1D00F1A7" w:rsidR="00433EC3" w:rsidRPr="003953FA" w:rsidRDefault="00433EC3" w:rsidP="00894591">
            <w:pPr>
              <w:spacing w:line="240" w:lineRule="auto"/>
              <w:rPr>
                <w:rFonts w:asciiTheme="minorHAnsi" w:hAnsiTheme="minorHAnsi" w:cs="Times New Roman"/>
                <w:color w:val="000000" w:themeColor="text1"/>
                <w:szCs w:val="18"/>
              </w:rPr>
            </w:pPr>
            <w:r>
              <w:rPr>
                <w:rFonts w:asciiTheme="minorHAnsi" w:hAnsiTheme="minorHAnsi" w:cs="Times New Roman"/>
                <w:color w:val="000000" w:themeColor="text1"/>
                <w:szCs w:val="18"/>
              </w:rPr>
              <w:t>CAS</w:t>
            </w:r>
          </w:p>
        </w:tc>
        <w:tc>
          <w:tcPr>
            <w:tcW w:w="5473" w:type="dxa"/>
            <w:noWrap/>
          </w:tcPr>
          <w:p w14:paraId="557B303B" w14:textId="6D303E37" w:rsidR="00433EC3" w:rsidRPr="003953FA" w:rsidRDefault="00433EC3"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Theme="minorHAnsi" w:hAnsiTheme="minorHAnsi" w:cs="Times New Roman"/>
                <w:color w:val="000000" w:themeColor="text1"/>
                <w:szCs w:val="18"/>
              </w:rPr>
              <w:t>Chemical Abstract Service (identifikationsnummer for kemiske stoffer)</w:t>
            </w:r>
          </w:p>
        </w:tc>
      </w:tr>
      <w:tr w:rsidR="003953FA" w:rsidRPr="003953FA" w14:paraId="722D32EA"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56D013FB" w14:textId="77777777" w:rsidR="003953FA" w:rsidRPr="003953FA" w:rsidRDefault="003953FA" w:rsidP="00894591">
            <w:pPr>
              <w:spacing w:line="240" w:lineRule="auto"/>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Dancea</w:t>
            </w:r>
            <w:proofErr w:type="spellEnd"/>
          </w:p>
        </w:tc>
        <w:tc>
          <w:tcPr>
            <w:tcW w:w="5473" w:type="dxa"/>
            <w:noWrap/>
            <w:hideMark/>
          </w:tcPr>
          <w:p w14:paraId="079B76E7"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Miljøstyrelsens ordning for miljøstøtte til Arktis</w:t>
            </w:r>
          </w:p>
        </w:tc>
      </w:tr>
      <w:tr w:rsidR="003953FA" w:rsidRPr="003953FA" w14:paraId="455AA9F9"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4B072149"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DDT</w:t>
            </w:r>
          </w:p>
        </w:tc>
        <w:tc>
          <w:tcPr>
            <w:tcW w:w="5473" w:type="dxa"/>
            <w:noWrap/>
            <w:hideMark/>
          </w:tcPr>
          <w:p w14:paraId="6B94C51C"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Dichlordiphenyltrichlorethan</w:t>
            </w:r>
            <w:proofErr w:type="spellEnd"/>
          </w:p>
        </w:tc>
      </w:tr>
      <w:tr w:rsidR="003953FA" w:rsidRPr="003953FA" w14:paraId="43A7D7BD"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42379763" w14:textId="77777777" w:rsidR="003953FA" w:rsidRPr="003953FA" w:rsidRDefault="003953FA" w:rsidP="00894591">
            <w:pPr>
              <w:spacing w:line="240" w:lineRule="auto"/>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decaBDE</w:t>
            </w:r>
            <w:proofErr w:type="spellEnd"/>
          </w:p>
        </w:tc>
        <w:tc>
          <w:tcPr>
            <w:tcW w:w="5473" w:type="dxa"/>
            <w:noWrap/>
            <w:hideMark/>
          </w:tcPr>
          <w:p w14:paraId="69B79A50"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Decabromdiphenylether</w:t>
            </w:r>
            <w:proofErr w:type="spellEnd"/>
          </w:p>
        </w:tc>
      </w:tr>
      <w:tr w:rsidR="003953FA" w:rsidRPr="003953FA" w14:paraId="34D3A843"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190C3DFC"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EPS</w:t>
            </w:r>
          </w:p>
        </w:tc>
        <w:tc>
          <w:tcPr>
            <w:tcW w:w="5473" w:type="dxa"/>
            <w:noWrap/>
            <w:hideMark/>
          </w:tcPr>
          <w:p w14:paraId="05B2BB9A" w14:textId="490BBB8A" w:rsidR="003953FA" w:rsidRPr="003953FA" w:rsidRDefault="003953FA" w:rsidP="00E9371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 xml:space="preserve">Ekspanderet </w:t>
            </w:r>
            <w:r w:rsidR="00E93711" w:rsidRPr="003953FA">
              <w:rPr>
                <w:rFonts w:asciiTheme="minorHAnsi" w:hAnsiTheme="minorHAnsi" w:cs="Times New Roman"/>
                <w:color w:val="000000" w:themeColor="text1"/>
                <w:szCs w:val="18"/>
              </w:rPr>
              <w:t>poly</w:t>
            </w:r>
            <w:r w:rsidR="00E93711">
              <w:rPr>
                <w:rFonts w:asciiTheme="minorHAnsi" w:hAnsiTheme="minorHAnsi" w:cs="Times New Roman"/>
                <w:color w:val="000000" w:themeColor="text1"/>
                <w:szCs w:val="18"/>
              </w:rPr>
              <w:t>styren</w:t>
            </w:r>
          </w:p>
        </w:tc>
      </w:tr>
      <w:tr w:rsidR="003953FA" w:rsidRPr="003953FA" w14:paraId="4080F563"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36EAD75A"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EUMEPS</w:t>
            </w:r>
          </w:p>
        </w:tc>
        <w:tc>
          <w:tcPr>
            <w:tcW w:w="5473" w:type="dxa"/>
            <w:noWrap/>
            <w:hideMark/>
          </w:tcPr>
          <w:p w14:paraId="6A545655" w14:textId="62266DE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Europæisk brancheorganisationen for producenter af ekspanderet poly</w:t>
            </w:r>
            <w:r w:rsidR="00E93711">
              <w:rPr>
                <w:rFonts w:asciiTheme="minorHAnsi" w:hAnsiTheme="minorHAnsi" w:cs="Times New Roman"/>
                <w:color w:val="000000" w:themeColor="text1"/>
                <w:szCs w:val="18"/>
              </w:rPr>
              <w:t>styren</w:t>
            </w:r>
            <w:r w:rsidRPr="003953FA">
              <w:rPr>
                <w:rFonts w:asciiTheme="minorHAnsi" w:hAnsiTheme="minorHAnsi" w:cs="Times New Roman"/>
                <w:color w:val="000000" w:themeColor="text1"/>
                <w:szCs w:val="18"/>
              </w:rPr>
              <w:t xml:space="preserve"> (EPS)</w:t>
            </w:r>
          </w:p>
        </w:tc>
      </w:tr>
      <w:tr w:rsidR="003953FA" w:rsidRPr="003953FA" w14:paraId="5081BB99"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2E52B022"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HBCDD</w:t>
            </w:r>
          </w:p>
        </w:tc>
        <w:tc>
          <w:tcPr>
            <w:tcW w:w="5473" w:type="dxa"/>
            <w:noWrap/>
            <w:hideMark/>
          </w:tcPr>
          <w:p w14:paraId="353BC1AC" w14:textId="7C09CFCC"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Hexabromcyclododecan</w:t>
            </w:r>
            <w:proofErr w:type="spellEnd"/>
            <w:r w:rsidR="00E93711">
              <w:rPr>
                <w:rFonts w:asciiTheme="minorHAnsi" w:hAnsiTheme="minorHAnsi" w:cs="Times New Roman"/>
                <w:color w:val="000000" w:themeColor="text1"/>
                <w:szCs w:val="18"/>
              </w:rPr>
              <w:t xml:space="preserve"> (også betegnet HBCD)</w:t>
            </w:r>
          </w:p>
        </w:tc>
      </w:tr>
      <w:tr w:rsidR="003953FA" w:rsidRPr="003953FA" w14:paraId="682C918E"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1C06CDCD"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HCB</w:t>
            </w:r>
          </w:p>
        </w:tc>
        <w:tc>
          <w:tcPr>
            <w:tcW w:w="5473" w:type="dxa"/>
            <w:noWrap/>
            <w:hideMark/>
          </w:tcPr>
          <w:p w14:paraId="4C11F68E"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Hexachlorbenzen</w:t>
            </w:r>
            <w:proofErr w:type="spellEnd"/>
          </w:p>
        </w:tc>
      </w:tr>
      <w:tr w:rsidR="003953FA" w:rsidRPr="003953FA" w14:paraId="6393B1CC"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10D8EAFA"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HCBD</w:t>
            </w:r>
          </w:p>
        </w:tc>
        <w:tc>
          <w:tcPr>
            <w:tcW w:w="5473" w:type="dxa"/>
            <w:noWrap/>
            <w:hideMark/>
          </w:tcPr>
          <w:p w14:paraId="6CBB2BFE"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Hexachlorbutadien</w:t>
            </w:r>
            <w:proofErr w:type="spellEnd"/>
            <w:r w:rsidRPr="003953FA">
              <w:rPr>
                <w:rFonts w:asciiTheme="minorHAnsi" w:hAnsiTheme="minorHAnsi" w:cs="Times New Roman"/>
                <w:color w:val="000000" w:themeColor="text1"/>
                <w:szCs w:val="18"/>
              </w:rPr>
              <w:t xml:space="preserve"> </w:t>
            </w:r>
          </w:p>
        </w:tc>
      </w:tr>
      <w:tr w:rsidR="003953FA" w:rsidRPr="003953FA" w14:paraId="457F830D"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3418C922"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HCH</w:t>
            </w:r>
          </w:p>
        </w:tc>
        <w:tc>
          <w:tcPr>
            <w:tcW w:w="5473" w:type="dxa"/>
            <w:noWrap/>
            <w:hideMark/>
          </w:tcPr>
          <w:p w14:paraId="35E8F804"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Hexachlorcyclohexan</w:t>
            </w:r>
            <w:proofErr w:type="spellEnd"/>
          </w:p>
        </w:tc>
      </w:tr>
      <w:tr w:rsidR="003953FA" w:rsidRPr="003953FA" w14:paraId="3E8415C3"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47D35C25" w14:textId="77777777" w:rsidR="003953FA" w:rsidRPr="003953FA" w:rsidRDefault="003953FA" w:rsidP="00894591">
            <w:pPr>
              <w:spacing w:line="240" w:lineRule="auto"/>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HexaBB</w:t>
            </w:r>
            <w:proofErr w:type="spellEnd"/>
          </w:p>
        </w:tc>
        <w:tc>
          <w:tcPr>
            <w:tcW w:w="5473" w:type="dxa"/>
            <w:noWrap/>
            <w:hideMark/>
          </w:tcPr>
          <w:p w14:paraId="1282C9CA"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Hexabrombiphenyl</w:t>
            </w:r>
            <w:proofErr w:type="spellEnd"/>
            <w:r w:rsidRPr="003953FA">
              <w:rPr>
                <w:rFonts w:asciiTheme="minorHAnsi" w:hAnsiTheme="minorHAnsi" w:cs="Times New Roman"/>
                <w:color w:val="000000" w:themeColor="text1"/>
                <w:szCs w:val="18"/>
              </w:rPr>
              <w:t xml:space="preserve"> </w:t>
            </w:r>
          </w:p>
        </w:tc>
      </w:tr>
      <w:tr w:rsidR="003953FA" w:rsidRPr="003953FA" w14:paraId="55810194"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6C43A956"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LRTAP</w:t>
            </w:r>
          </w:p>
        </w:tc>
        <w:tc>
          <w:tcPr>
            <w:tcW w:w="5473" w:type="dxa"/>
            <w:noWrap/>
            <w:hideMark/>
          </w:tcPr>
          <w:p w14:paraId="7AC43DBA" w14:textId="4F105A14" w:rsidR="003953FA" w:rsidRPr="003953FA" w:rsidRDefault="003953FA" w:rsidP="00E9371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 xml:space="preserve">LRTAP </w:t>
            </w:r>
            <w:r w:rsidR="00E93711">
              <w:rPr>
                <w:rFonts w:asciiTheme="minorHAnsi" w:hAnsiTheme="minorHAnsi" w:cs="Times New Roman"/>
                <w:color w:val="000000" w:themeColor="text1"/>
                <w:szCs w:val="18"/>
              </w:rPr>
              <w:t xml:space="preserve">[Long-range </w:t>
            </w:r>
            <w:proofErr w:type="spellStart"/>
            <w:r w:rsidR="00E93711">
              <w:rPr>
                <w:rFonts w:asciiTheme="minorHAnsi" w:hAnsiTheme="minorHAnsi" w:cs="Times New Roman"/>
                <w:color w:val="000000" w:themeColor="text1"/>
                <w:szCs w:val="18"/>
              </w:rPr>
              <w:t>Transboundary</w:t>
            </w:r>
            <w:proofErr w:type="spellEnd"/>
            <w:r w:rsidR="00E93711">
              <w:rPr>
                <w:rFonts w:asciiTheme="minorHAnsi" w:hAnsiTheme="minorHAnsi" w:cs="Times New Roman"/>
                <w:color w:val="000000" w:themeColor="text1"/>
                <w:szCs w:val="18"/>
              </w:rPr>
              <w:t xml:space="preserve"> Air Pollution] konventionen </w:t>
            </w:r>
            <w:r w:rsidRPr="003953FA">
              <w:rPr>
                <w:rFonts w:asciiTheme="minorHAnsi" w:hAnsiTheme="minorHAnsi" w:cs="Times New Roman"/>
                <w:color w:val="000000" w:themeColor="text1"/>
                <w:szCs w:val="18"/>
              </w:rPr>
              <w:t xml:space="preserve">er en konvention i regi af FN's Økonomiske Kommission for Europa om langtrækkende, grænseoverskridende luftforurening </w:t>
            </w:r>
          </w:p>
        </w:tc>
      </w:tr>
      <w:tr w:rsidR="00764646" w:rsidRPr="003953FA" w14:paraId="3329285C"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tcPr>
          <w:p w14:paraId="0C08F8EB" w14:textId="11386B02" w:rsidR="00764646" w:rsidRPr="003953FA" w:rsidRDefault="00764646" w:rsidP="00894591">
            <w:pPr>
              <w:spacing w:line="240" w:lineRule="auto"/>
              <w:rPr>
                <w:rFonts w:asciiTheme="minorHAnsi" w:hAnsiTheme="minorHAnsi" w:cs="Times New Roman"/>
                <w:color w:val="000000" w:themeColor="text1"/>
                <w:szCs w:val="18"/>
              </w:rPr>
            </w:pPr>
            <w:r>
              <w:rPr>
                <w:rFonts w:asciiTheme="minorHAnsi" w:hAnsiTheme="minorHAnsi" w:cs="Times New Roman"/>
                <w:color w:val="000000" w:themeColor="text1"/>
                <w:szCs w:val="18"/>
              </w:rPr>
              <w:t xml:space="preserve">MCCP </w:t>
            </w:r>
          </w:p>
        </w:tc>
        <w:tc>
          <w:tcPr>
            <w:tcW w:w="5473" w:type="dxa"/>
            <w:noWrap/>
          </w:tcPr>
          <w:p w14:paraId="4F420791" w14:textId="22F76DBF" w:rsidR="00764646" w:rsidRPr="003953FA" w:rsidRDefault="00764646" w:rsidP="000A62A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Theme="minorHAnsi" w:hAnsiTheme="minorHAnsi" w:cs="Times New Roman"/>
                <w:color w:val="000000" w:themeColor="text1"/>
                <w:szCs w:val="18"/>
              </w:rPr>
              <w:t>Mellem</w:t>
            </w:r>
            <w:r w:rsidR="00735527">
              <w:rPr>
                <w:rFonts w:asciiTheme="minorHAnsi" w:hAnsiTheme="minorHAnsi" w:cs="Times New Roman"/>
                <w:color w:val="000000" w:themeColor="text1"/>
                <w:szCs w:val="18"/>
              </w:rPr>
              <w:t xml:space="preserve">kædede </w:t>
            </w:r>
            <w:proofErr w:type="spellStart"/>
            <w:r w:rsidR="00735527">
              <w:rPr>
                <w:rFonts w:asciiTheme="minorHAnsi" w:hAnsiTheme="minorHAnsi" w:cs="Times New Roman"/>
                <w:color w:val="000000" w:themeColor="text1"/>
                <w:szCs w:val="18"/>
              </w:rPr>
              <w:t>chlor</w:t>
            </w:r>
            <w:r w:rsidRPr="003953FA">
              <w:rPr>
                <w:rFonts w:asciiTheme="minorHAnsi" w:hAnsiTheme="minorHAnsi" w:cs="Times New Roman"/>
                <w:color w:val="000000" w:themeColor="text1"/>
                <w:szCs w:val="18"/>
              </w:rPr>
              <w:t>paraffiner</w:t>
            </w:r>
            <w:proofErr w:type="spellEnd"/>
            <w:r>
              <w:rPr>
                <w:rFonts w:asciiTheme="minorHAnsi" w:hAnsiTheme="minorHAnsi" w:cs="Times New Roman"/>
                <w:color w:val="000000" w:themeColor="text1"/>
                <w:szCs w:val="18"/>
              </w:rPr>
              <w:t xml:space="preserve"> (medium-</w:t>
            </w:r>
            <w:proofErr w:type="spellStart"/>
            <w:r>
              <w:rPr>
                <w:rFonts w:asciiTheme="minorHAnsi" w:hAnsiTheme="minorHAnsi" w:cs="Times New Roman"/>
                <w:color w:val="000000" w:themeColor="text1"/>
                <w:szCs w:val="18"/>
              </w:rPr>
              <w:t>chain</w:t>
            </w:r>
            <w:proofErr w:type="spellEnd"/>
            <w:r>
              <w:rPr>
                <w:rFonts w:asciiTheme="minorHAnsi" w:hAnsiTheme="minorHAnsi" w:cs="Times New Roman"/>
                <w:color w:val="000000" w:themeColor="text1"/>
                <w:szCs w:val="18"/>
              </w:rPr>
              <w:t xml:space="preserve"> </w:t>
            </w:r>
            <w:proofErr w:type="spellStart"/>
            <w:r>
              <w:rPr>
                <w:rFonts w:asciiTheme="minorHAnsi" w:hAnsiTheme="minorHAnsi" w:cs="Times New Roman"/>
                <w:color w:val="000000" w:themeColor="text1"/>
                <w:szCs w:val="18"/>
              </w:rPr>
              <w:t>chlorinated</w:t>
            </w:r>
            <w:proofErr w:type="spellEnd"/>
            <w:r>
              <w:rPr>
                <w:rFonts w:asciiTheme="minorHAnsi" w:hAnsiTheme="minorHAnsi" w:cs="Times New Roman"/>
                <w:color w:val="000000" w:themeColor="text1"/>
                <w:szCs w:val="18"/>
              </w:rPr>
              <w:t xml:space="preserve"> paraffins)</w:t>
            </w:r>
          </w:p>
        </w:tc>
      </w:tr>
      <w:tr w:rsidR="003953FA" w:rsidRPr="003953FA" w14:paraId="05676DE5"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51267217" w14:textId="77777777" w:rsidR="003953FA" w:rsidRPr="003953FA" w:rsidRDefault="003953FA" w:rsidP="00894591">
            <w:pPr>
              <w:spacing w:line="240" w:lineRule="auto"/>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NOx</w:t>
            </w:r>
            <w:proofErr w:type="spellEnd"/>
          </w:p>
        </w:tc>
        <w:tc>
          <w:tcPr>
            <w:tcW w:w="5473" w:type="dxa"/>
            <w:noWrap/>
            <w:hideMark/>
          </w:tcPr>
          <w:p w14:paraId="4AF3C8B4"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Samlet betegnelse for kvælstofoxiderne NO og NO</w:t>
            </w:r>
            <w:r w:rsidRPr="003953FA">
              <w:rPr>
                <w:rFonts w:ascii="Cambria Math" w:hAnsi="Cambria Math" w:cs="Cambria Math"/>
                <w:color w:val="000000" w:themeColor="text1"/>
                <w:szCs w:val="18"/>
              </w:rPr>
              <w:t>₂</w:t>
            </w:r>
          </w:p>
        </w:tc>
      </w:tr>
      <w:tr w:rsidR="003953FA" w:rsidRPr="003953FA" w14:paraId="5409F7BC"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6BEFAF20"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PAH</w:t>
            </w:r>
          </w:p>
        </w:tc>
        <w:tc>
          <w:tcPr>
            <w:tcW w:w="5473" w:type="dxa"/>
            <w:noWrap/>
            <w:hideMark/>
          </w:tcPr>
          <w:p w14:paraId="651E3CA8" w14:textId="3BB9DD6A"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Polycykliske</w:t>
            </w:r>
            <w:proofErr w:type="spellEnd"/>
            <w:r w:rsidRPr="003953FA">
              <w:rPr>
                <w:rFonts w:asciiTheme="minorHAnsi" w:hAnsiTheme="minorHAnsi" w:cs="Times New Roman"/>
                <w:color w:val="000000" w:themeColor="text1"/>
                <w:szCs w:val="18"/>
              </w:rPr>
              <w:t xml:space="preserve"> aromatiske </w:t>
            </w:r>
            <w:proofErr w:type="spellStart"/>
            <w:r w:rsidRPr="003953FA">
              <w:rPr>
                <w:rFonts w:asciiTheme="minorHAnsi" w:hAnsiTheme="minorHAnsi" w:cs="Times New Roman"/>
                <w:color w:val="000000" w:themeColor="text1"/>
                <w:szCs w:val="18"/>
              </w:rPr>
              <w:t>hydrocarboner</w:t>
            </w:r>
            <w:proofErr w:type="spellEnd"/>
            <w:r w:rsidRPr="003953FA">
              <w:rPr>
                <w:rFonts w:asciiTheme="minorHAnsi" w:hAnsiTheme="minorHAnsi" w:cs="Times New Roman"/>
                <w:color w:val="000000" w:themeColor="text1"/>
                <w:szCs w:val="18"/>
              </w:rPr>
              <w:t> </w:t>
            </w:r>
          </w:p>
        </w:tc>
      </w:tr>
      <w:tr w:rsidR="003953FA" w:rsidRPr="003953FA" w14:paraId="3F93B5B8"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1D71C70F"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PBDE</w:t>
            </w:r>
          </w:p>
        </w:tc>
        <w:tc>
          <w:tcPr>
            <w:tcW w:w="5473" w:type="dxa"/>
            <w:noWrap/>
            <w:hideMark/>
          </w:tcPr>
          <w:p w14:paraId="30EE432C"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Polybromerede</w:t>
            </w:r>
            <w:proofErr w:type="spellEnd"/>
            <w:r w:rsidRPr="003953FA">
              <w:rPr>
                <w:rFonts w:asciiTheme="minorHAnsi" w:hAnsiTheme="minorHAnsi" w:cs="Times New Roman"/>
                <w:color w:val="000000" w:themeColor="text1"/>
                <w:szCs w:val="18"/>
              </w:rPr>
              <w:t xml:space="preserve"> </w:t>
            </w:r>
            <w:proofErr w:type="spellStart"/>
            <w:r w:rsidRPr="003953FA">
              <w:rPr>
                <w:rFonts w:asciiTheme="minorHAnsi" w:hAnsiTheme="minorHAnsi" w:cs="Times New Roman"/>
                <w:color w:val="000000" w:themeColor="text1"/>
                <w:szCs w:val="18"/>
              </w:rPr>
              <w:t>diphenylethere</w:t>
            </w:r>
            <w:proofErr w:type="spellEnd"/>
          </w:p>
        </w:tc>
      </w:tr>
      <w:tr w:rsidR="003953FA" w:rsidRPr="003953FA" w14:paraId="29DA1C04"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20AF194E"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PCB</w:t>
            </w:r>
          </w:p>
        </w:tc>
        <w:tc>
          <w:tcPr>
            <w:tcW w:w="5473" w:type="dxa"/>
            <w:noWrap/>
            <w:hideMark/>
          </w:tcPr>
          <w:p w14:paraId="786A876B"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Polychlorerede</w:t>
            </w:r>
            <w:proofErr w:type="spellEnd"/>
            <w:r w:rsidRPr="003953FA">
              <w:rPr>
                <w:rFonts w:asciiTheme="minorHAnsi" w:hAnsiTheme="minorHAnsi" w:cs="Times New Roman"/>
                <w:color w:val="000000" w:themeColor="text1"/>
                <w:szCs w:val="18"/>
              </w:rPr>
              <w:t xml:space="preserve"> </w:t>
            </w:r>
            <w:proofErr w:type="spellStart"/>
            <w:r w:rsidRPr="003953FA">
              <w:rPr>
                <w:rFonts w:asciiTheme="minorHAnsi" w:hAnsiTheme="minorHAnsi" w:cs="Times New Roman"/>
                <w:color w:val="000000" w:themeColor="text1"/>
                <w:szCs w:val="18"/>
              </w:rPr>
              <w:t>biphenyler</w:t>
            </w:r>
            <w:proofErr w:type="spellEnd"/>
          </w:p>
        </w:tc>
      </w:tr>
      <w:tr w:rsidR="003953FA" w:rsidRPr="003953FA" w14:paraId="42A7175B"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2F71A0F1"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PCDD</w:t>
            </w:r>
          </w:p>
        </w:tc>
        <w:tc>
          <w:tcPr>
            <w:tcW w:w="5473" w:type="dxa"/>
            <w:noWrap/>
            <w:hideMark/>
          </w:tcPr>
          <w:p w14:paraId="35380F13"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Polychlorerede</w:t>
            </w:r>
            <w:proofErr w:type="spellEnd"/>
            <w:r w:rsidRPr="003953FA">
              <w:rPr>
                <w:rFonts w:asciiTheme="minorHAnsi" w:hAnsiTheme="minorHAnsi" w:cs="Times New Roman"/>
                <w:color w:val="000000" w:themeColor="text1"/>
                <w:szCs w:val="18"/>
              </w:rPr>
              <w:t xml:space="preserve"> </w:t>
            </w:r>
            <w:proofErr w:type="spellStart"/>
            <w:r w:rsidRPr="003953FA">
              <w:rPr>
                <w:rFonts w:asciiTheme="minorHAnsi" w:hAnsiTheme="minorHAnsi" w:cs="Times New Roman"/>
                <w:color w:val="000000" w:themeColor="text1"/>
                <w:szCs w:val="18"/>
              </w:rPr>
              <w:t>dibenzo</w:t>
            </w:r>
            <w:proofErr w:type="spellEnd"/>
            <w:r w:rsidRPr="003953FA">
              <w:rPr>
                <w:rFonts w:asciiTheme="minorHAnsi" w:hAnsiTheme="minorHAnsi" w:cs="Times New Roman"/>
                <w:color w:val="000000" w:themeColor="text1"/>
                <w:szCs w:val="18"/>
              </w:rPr>
              <w:t>-p-dioxiner</w:t>
            </w:r>
          </w:p>
        </w:tc>
      </w:tr>
      <w:tr w:rsidR="003953FA" w:rsidRPr="003953FA" w14:paraId="434B4161"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1F37D487"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PCDF</w:t>
            </w:r>
          </w:p>
        </w:tc>
        <w:tc>
          <w:tcPr>
            <w:tcW w:w="5473" w:type="dxa"/>
            <w:noWrap/>
            <w:hideMark/>
          </w:tcPr>
          <w:p w14:paraId="3BE10A0C"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Polychlorerede</w:t>
            </w:r>
            <w:proofErr w:type="spellEnd"/>
            <w:r w:rsidRPr="003953FA">
              <w:rPr>
                <w:rFonts w:asciiTheme="minorHAnsi" w:hAnsiTheme="minorHAnsi" w:cs="Times New Roman"/>
                <w:color w:val="000000" w:themeColor="text1"/>
                <w:szCs w:val="18"/>
              </w:rPr>
              <w:t xml:space="preserve"> </w:t>
            </w:r>
            <w:proofErr w:type="spellStart"/>
            <w:r w:rsidRPr="003953FA">
              <w:rPr>
                <w:rFonts w:asciiTheme="minorHAnsi" w:hAnsiTheme="minorHAnsi" w:cs="Times New Roman"/>
                <w:color w:val="000000" w:themeColor="text1"/>
                <w:szCs w:val="18"/>
              </w:rPr>
              <w:t>dibenzofuraner</w:t>
            </w:r>
            <w:proofErr w:type="spellEnd"/>
            <w:r w:rsidRPr="003953FA">
              <w:rPr>
                <w:rFonts w:asciiTheme="minorHAnsi" w:hAnsiTheme="minorHAnsi" w:cs="Times New Roman"/>
                <w:color w:val="000000" w:themeColor="text1"/>
                <w:szCs w:val="18"/>
              </w:rPr>
              <w:t xml:space="preserve"> </w:t>
            </w:r>
          </w:p>
        </w:tc>
      </w:tr>
      <w:tr w:rsidR="003953FA" w:rsidRPr="003953FA" w14:paraId="30F5FA25"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391809F8"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PCN</w:t>
            </w:r>
          </w:p>
        </w:tc>
        <w:tc>
          <w:tcPr>
            <w:tcW w:w="5473" w:type="dxa"/>
            <w:noWrap/>
            <w:hideMark/>
          </w:tcPr>
          <w:p w14:paraId="6A433FDD"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Polychlorerede</w:t>
            </w:r>
            <w:proofErr w:type="spellEnd"/>
            <w:r w:rsidRPr="003953FA">
              <w:rPr>
                <w:rFonts w:asciiTheme="minorHAnsi" w:hAnsiTheme="minorHAnsi" w:cs="Times New Roman"/>
                <w:color w:val="000000" w:themeColor="text1"/>
                <w:szCs w:val="18"/>
              </w:rPr>
              <w:t xml:space="preserve"> </w:t>
            </w:r>
            <w:proofErr w:type="spellStart"/>
            <w:r w:rsidRPr="003953FA">
              <w:rPr>
                <w:rFonts w:asciiTheme="minorHAnsi" w:hAnsiTheme="minorHAnsi" w:cs="Times New Roman"/>
                <w:color w:val="000000" w:themeColor="text1"/>
                <w:szCs w:val="18"/>
              </w:rPr>
              <w:t>naphthalener</w:t>
            </w:r>
            <w:proofErr w:type="spellEnd"/>
          </w:p>
        </w:tc>
      </w:tr>
      <w:tr w:rsidR="003953FA" w:rsidRPr="003953FA" w14:paraId="190E2E52"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30525E97"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lastRenderedPageBreak/>
              <w:t>PCP</w:t>
            </w:r>
          </w:p>
        </w:tc>
        <w:tc>
          <w:tcPr>
            <w:tcW w:w="5473" w:type="dxa"/>
            <w:noWrap/>
            <w:hideMark/>
          </w:tcPr>
          <w:p w14:paraId="630384E5" w14:textId="77777777" w:rsidR="003953FA" w:rsidRPr="003953FA" w:rsidRDefault="003953FA" w:rsidP="00555E7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Pentachlorphenol</w:t>
            </w:r>
            <w:proofErr w:type="spellEnd"/>
            <w:r w:rsidRPr="003953FA">
              <w:rPr>
                <w:rFonts w:asciiTheme="minorHAnsi" w:hAnsiTheme="minorHAnsi" w:cs="Times New Roman"/>
                <w:color w:val="000000" w:themeColor="text1"/>
                <w:szCs w:val="18"/>
              </w:rPr>
              <w:t xml:space="preserve"> og dets salte og estere </w:t>
            </w:r>
          </w:p>
        </w:tc>
      </w:tr>
      <w:tr w:rsidR="003953FA" w:rsidRPr="003953FA" w14:paraId="701A001E"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5013AD32" w14:textId="77777777" w:rsidR="003953FA" w:rsidRPr="003953FA" w:rsidRDefault="003953FA" w:rsidP="00894591">
            <w:pPr>
              <w:spacing w:line="240" w:lineRule="auto"/>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PeCB</w:t>
            </w:r>
            <w:proofErr w:type="spellEnd"/>
          </w:p>
        </w:tc>
        <w:tc>
          <w:tcPr>
            <w:tcW w:w="5473" w:type="dxa"/>
            <w:noWrap/>
            <w:hideMark/>
          </w:tcPr>
          <w:p w14:paraId="1DE833DA"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Pentachlorbenzen</w:t>
            </w:r>
            <w:proofErr w:type="spellEnd"/>
            <w:r w:rsidRPr="003953FA">
              <w:rPr>
                <w:rFonts w:asciiTheme="minorHAnsi" w:hAnsiTheme="minorHAnsi" w:cs="Times New Roman"/>
                <w:color w:val="000000" w:themeColor="text1"/>
                <w:szCs w:val="18"/>
              </w:rPr>
              <w:t xml:space="preserve"> </w:t>
            </w:r>
          </w:p>
        </w:tc>
      </w:tr>
      <w:tr w:rsidR="003953FA" w:rsidRPr="003953FA" w14:paraId="499003EF"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4E706744"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PFAS</w:t>
            </w:r>
          </w:p>
        </w:tc>
        <w:tc>
          <w:tcPr>
            <w:tcW w:w="5473" w:type="dxa"/>
            <w:noWrap/>
            <w:hideMark/>
          </w:tcPr>
          <w:p w14:paraId="4936776A" w14:textId="50FB6A68" w:rsidR="003953FA" w:rsidRPr="003953FA" w:rsidRDefault="00120EC7"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Pr>
                <w:rFonts w:asciiTheme="minorHAnsi" w:hAnsiTheme="minorHAnsi" w:cs="Times New Roman"/>
                <w:color w:val="000000" w:themeColor="text1"/>
                <w:szCs w:val="18"/>
              </w:rPr>
              <w:t>P</w:t>
            </w:r>
            <w:r w:rsidRPr="006619EF">
              <w:t>erfluorerede</w:t>
            </w:r>
            <w:proofErr w:type="spellEnd"/>
            <w:r w:rsidRPr="00AF4B82" w:rsidDel="00E14B5A">
              <w:rPr>
                <w:lang w:eastAsia="en-US"/>
              </w:rPr>
              <w:t xml:space="preserve"> </w:t>
            </w:r>
            <w:proofErr w:type="spellStart"/>
            <w:r w:rsidRPr="00AF4B82">
              <w:rPr>
                <w:lang w:eastAsia="en-US"/>
              </w:rPr>
              <w:t>alkylstoffer</w:t>
            </w:r>
            <w:proofErr w:type="spellEnd"/>
          </w:p>
        </w:tc>
      </w:tr>
      <w:tr w:rsidR="003953FA" w:rsidRPr="003953FA" w14:paraId="73AA3A66"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34F3CD47" w14:textId="77777777" w:rsidR="003953FA" w:rsidRPr="003953FA" w:rsidRDefault="003953FA" w:rsidP="00894591">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PFC</w:t>
            </w:r>
          </w:p>
        </w:tc>
        <w:tc>
          <w:tcPr>
            <w:tcW w:w="5473" w:type="dxa"/>
            <w:noWrap/>
            <w:hideMark/>
          </w:tcPr>
          <w:p w14:paraId="0816F463" w14:textId="77777777" w:rsidR="003953FA" w:rsidRPr="003953FA" w:rsidRDefault="003953FA" w:rsidP="00894591">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Perfluorerede</w:t>
            </w:r>
            <w:proofErr w:type="spellEnd"/>
            <w:r w:rsidRPr="003953FA">
              <w:rPr>
                <w:rFonts w:asciiTheme="minorHAnsi" w:hAnsiTheme="minorHAnsi" w:cs="Times New Roman"/>
                <w:color w:val="000000" w:themeColor="text1"/>
                <w:szCs w:val="18"/>
              </w:rPr>
              <w:t xml:space="preserve"> stoffer</w:t>
            </w:r>
          </w:p>
        </w:tc>
      </w:tr>
      <w:tr w:rsidR="00EE0C3B" w:rsidRPr="003953FA" w14:paraId="0D5E1D11"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tcPr>
          <w:p w14:paraId="0D3478F9" w14:textId="54BA8F86" w:rsidR="00EE0C3B" w:rsidRPr="003953FA" w:rsidRDefault="00EE0C3B" w:rsidP="00EE0C3B">
            <w:pPr>
              <w:spacing w:line="240" w:lineRule="auto"/>
              <w:rPr>
                <w:rFonts w:asciiTheme="minorHAnsi" w:hAnsiTheme="minorHAnsi" w:cs="Times New Roman"/>
                <w:color w:val="000000" w:themeColor="text1"/>
                <w:szCs w:val="18"/>
              </w:rPr>
            </w:pPr>
            <w:proofErr w:type="spellStart"/>
            <w:r>
              <w:rPr>
                <w:rFonts w:asciiTheme="minorHAnsi" w:hAnsiTheme="minorHAnsi" w:cs="Times New Roman"/>
                <w:color w:val="000000" w:themeColor="text1"/>
                <w:szCs w:val="18"/>
              </w:rPr>
              <w:t>PFHx</w:t>
            </w:r>
            <w:r w:rsidRPr="003953FA">
              <w:rPr>
                <w:rFonts w:asciiTheme="minorHAnsi" w:hAnsiTheme="minorHAnsi" w:cs="Times New Roman"/>
                <w:color w:val="000000" w:themeColor="text1"/>
                <w:szCs w:val="18"/>
              </w:rPr>
              <w:t>S</w:t>
            </w:r>
            <w:proofErr w:type="spellEnd"/>
          </w:p>
        </w:tc>
        <w:tc>
          <w:tcPr>
            <w:tcW w:w="5473" w:type="dxa"/>
            <w:noWrap/>
          </w:tcPr>
          <w:p w14:paraId="3111A7C6" w14:textId="2327797E" w:rsidR="00EE0C3B" w:rsidRPr="003953FA" w:rsidRDefault="00EE0C3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Perfluor</w:t>
            </w:r>
            <w:r>
              <w:rPr>
                <w:rFonts w:asciiTheme="minorHAnsi" w:hAnsiTheme="minorHAnsi" w:cs="Times New Roman"/>
                <w:color w:val="000000" w:themeColor="text1"/>
                <w:szCs w:val="18"/>
              </w:rPr>
              <w:t>hex</w:t>
            </w:r>
            <w:r w:rsidRPr="003953FA">
              <w:rPr>
                <w:rFonts w:asciiTheme="minorHAnsi" w:hAnsiTheme="minorHAnsi" w:cs="Times New Roman"/>
                <w:color w:val="000000" w:themeColor="text1"/>
                <w:szCs w:val="18"/>
              </w:rPr>
              <w:t>ansulfonsyre</w:t>
            </w:r>
            <w:proofErr w:type="spellEnd"/>
          </w:p>
        </w:tc>
      </w:tr>
      <w:tr w:rsidR="00EE0C3B" w:rsidRPr="003953FA" w14:paraId="06B879C3"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648F6359" w14:textId="77777777" w:rsidR="00EE0C3B" w:rsidRPr="003953FA" w:rsidRDefault="00EE0C3B" w:rsidP="00EE0C3B">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PFOS</w:t>
            </w:r>
          </w:p>
        </w:tc>
        <w:tc>
          <w:tcPr>
            <w:tcW w:w="5473" w:type="dxa"/>
            <w:noWrap/>
            <w:hideMark/>
          </w:tcPr>
          <w:p w14:paraId="6BE336C1" w14:textId="77777777" w:rsidR="00EE0C3B" w:rsidRPr="003953FA" w:rsidRDefault="00EE0C3B" w:rsidP="00EE0C3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Perfluoroctansulfonsyre</w:t>
            </w:r>
            <w:proofErr w:type="spellEnd"/>
          </w:p>
        </w:tc>
      </w:tr>
      <w:tr w:rsidR="00EE0C3B" w:rsidRPr="003953FA" w14:paraId="7445CE4D"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6E23D3D3" w14:textId="77777777" w:rsidR="00EE0C3B" w:rsidRPr="003953FA" w:rsidRDefault="00EE0C3B" w:rsidP="00EE0C3B">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PFOSA</w:t>
            </w:r>
          </w:p>
        </w:tc>
        <w:tc>
          <w:tcPr>
            <w:tcW w:w="5473" w:type="dxa"/>
            <w:noWrap/>
            <w:hideMark/>
          </w:tcPr>
          <w:p w14:paraId="6F824960" w14:textId="77777777" w:rsidR="00EE0C3B" w:rsidRPr="003953FA" w:rsidRDefault="00EE0C3B" w:rsidP="00EE0C3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Perfluoroctansulfonamid</w:t>
            </w:r>
            <w:proofErr w:type="spellEnd"/>
          </w:p>
        </w:tc>
      </w:tr>
      <w:tr w:rsidR="00EE0C3B" w:rsidRPr="003953FA" w14:paraId="7113E7FF"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35084580" w14:textId="77777777" w:rsidR="00EE0C3B" w:rsidRPr="003953FA" w:rsidRDefault="00EE0C3B" w:rsidP="00EE0C3B">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PFOSF</w:t>
            </w:r>
          </w:p>
        </w:tc>
        <w:tc>
          <w:tcPr>
            <w:tcW w:w="5473" w:type="dxa"/>
            <w:noWrap/>
            <w:hideMark/>
          </w:tcPr>
          <w:p w14:paraId="195F1E23" w14:textId="77777777" w:rsidR="00EE0C3B" w:rsidRPr="003953FA" w:rsidRDefault="00EE0C3B" w:rsidP="00EE0C3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proofErr w:type="spellStart"/>
            <w:r w:rsidRPr="003953FA">
              <w:rPr>
                <w:rFonts w:asciiTheme="minorHAnsi" w:hAnsiTheme="minorHAnsi" w:cs="Times New Roman"/>
                <w:color w:val="000000" w:themeColor="text1"/>
                <w:szCs w:val="18"/>
              </w:rPr>
              <w:t>Perfluoroctansulfonylfluorid</w:t>
            </w:r>
            <w:proofErr w:type="spellEnd"/>
          </w:p>
        </w:tc>
      </w:tr>
      <w:tr w:rsidR="00EE0C3B" w:rsidRPr="0047254F" w14:paraId="5D1B60A5" w14:textId="77777777" w:rsidTr="00A354B8">
        <w:tc>
          <w:tcPr>
            <w:cnfStyle w:val="001000000000" w:firstRow="0" w:lastRow="0" w:firstColumn="1" w:lastColumn="0" w:oddVBand="0" w:evenVBand="0" w:oddHBand="0" w:evenHBand="0" w:firstRowFirstColumn="0" w:firstRowLastColumn="0" w:lastRowFirstColumn="0" w:lastRowLastColumn="0"/>
            <w:tcW w:w="2006" w:type="dxa"/>
            <w:noWrap/>
            <w:hideMark/>
          </w:tcPr>
          <w:p w14:paraId="39D0BBF5" w14:textId="77777777" w:rsidR="00EE0C3B" w:rsidRPr="0047254F" w:rsidRDefault="00EE0C3B" w:rsidP="00EE0C3B">
            <w:pPr>
              <w:spacing w:line="240" w:lineRule="auto"/>
              <w:rPr>
                <w:rFonts w:asciiTheme="minorHAnsi" w:hAnsiTheme="minorHAnsi" w:cs="Times New Roman"/>
                <w:color w:val="000000"/>
                <w:szCs w:val="18"/>
              </w:rPr>
            </w:pPr>
            <w:r w:rsidRPr="0047254F">
              <w:rPr>
                <w:rFonts w:asciiTheme="minorHAnsi" w:hAnsiTheme="minorHAnsi" w:cs="Times New Roman"/>
                <w:color w:val="000000"/>
                <w:szCs w:val="18"/>
              </w:rPr>
              <w:t>POP</w:t>
            </w:r>
          </w:p>
        </w:tc>
        <w:tc>
          <w:tcPr>
            <w:tcW w:w="5473" w:type="dxa"/>
            <w:noWrap/>
            <w:hideMark/>
          </w:tcPr>
          <w:p w14:paraId="17C78A8F" w14:textId="77777777" w:rsidR="00EE0C3B" w:rsidRPr="0047254F" w:rsidRDefault="00EE0C3B" w:rsidP="00EE0C3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szCs w:val="18"/>
              </w:rPr>
            </w:pPr>
            <w:proofErr w:type="spellStart"/>
            <w:r w:rsidRPr="0047254F">
              <w:rPr>
                <w:rFonts w:asciiTheme="minorHAnsi" w:hAnsiTheme="minorHAnsi" w:cs="Times New Roman"/>
                <w:color w:val="000000"/>
                <w:szCs w:val="18"/>
              </w:rPr>
              <w:t>Persistente</w:t>
            </w:r>
            <w:proofErr w:type="spellEnd"/>
            <w:r w:rsidRPr="0047254F">
              <w:rPr>
                <w:rFonts w:asciiTheme="minorHAnsi" w:hAnsiTheme="minorHAnsi" w:cs="Times New Roman"/>
                <w:color w:val="000000"/>
                <w:szCs w:val="18"/>
              </w:rPr>
              <w:t xml:space="preserve"> organiske miljøgifte</w:t>
            </w:r>
          </w:p>
        </w:tc>
      </w:tr>
      <w:tr w:rsidR="00EE0C3B" w:rsidRPr="00432B8C" w14:paraId="40C2B736"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23B82630" w14:textId="77777777" w:rsidR="00EE0C3B" w:rsidRPr="003953FA" w:rsidRDefault="00EE0C3B" w:rsidP="00EE0C3B">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SCCP</w:t>
            </w:r>
          </w:p>
        </w:tc>
        <w:tc>
          <w:tcPr>
            <w:tcW w:w="5473" w:type="dxa"/>
            <w:noWrap/>
            <w:hideMark/>
          </w:tcPr>
          <w:p w14:paraId="6A9DBF59" w14:textId="0572DEEC" w:rsidR="00EE0C3B" w:rsidRPr="00C64430" w:rsidRDefault="00EE0C3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lang w:val="en-US"/>
              </w:rPr>
            </w:pPr>
            <w:proofErr w:type="spellStart"/>
            <w:r w:rsidRPr="00C64430">
              <w:rPr>
                <w:rFonts w:asciiTheme="minorHAnsi" w:hAnsiTheme="minorHAnsi" w:cs="Times New Roman"/>
                <w:color w:val="000000" w:themeColor="text1"/>
                <w:szCs w:val="18"/>
                <w:lang w:val="en-US"/>
              </w:rPr>
              <w:t>Kortkædede</w:t>
            </w:r>
            <w:proofErr w:type="spellEnd"/>
            <w:r w:rsidRPr="00C64430">
              <w:rPr>
                <w:rFonts w:asciiTheme="minorHAnsi" w:hAnsiTheme="minorHAnsi" w:cs="Times New Roman"/>
                <w:color w:val="000000" w:themeColor="text1"/>
                <w:szCs w:val="18"/>
                <w:lang w:val="en-US"/>
              </w:rPr>
              <w:t xml:space="preserve"> </w:t>
            </w:r>
            <w:proofErr w:type="spellStart"/>
            <w:r w:rsidR="00735527" w:rsidRPr="00C64430">
              <w:rPr>
                <w:rFonts w:asciiTheme="minorHAnsi" w:hAnsiTheme="minorHAnsi" w:cs="Times New Roman"/>
                <w:color w:val="000000" w:themeColor="text1"/>
                <w:szCs w:val="18"/>
                <w:lang w:val="en-US"/>
              </w:rPr>
              <w:t>chlorparaffiner</w:t>
            </w:r>
            <w:proofErr w:type="spellEnd"/>
            <w:r w:rsidR="00735527" w:rsidRPr="00C64430">
              <w:rPr>
                <w:rFonts w:asciiTheme="minorHAnsi" w:hAnsiTheme="minorHAnsi" w:cs="Times New Roman"/>
                <w:color w:val="000000" w:themeColor="text1"/>
                <w:szCs w:val="18"/>
                <w:lang w:val="en-US"/>
              </w:rPr>
              <w:t xml:space="preserve"> </w:t>
            </w:r>
            <w:r w:rsidRPr="00C64430">
              <w:rPr>
                <w:rFonts w:asciiTheme="minorHAnsi" w:hAnsiTheme="minorHAnsi" w:cs="Times New Roman"/>
                <w:color w:val="000000" w:themeColor="text1"/>
                <w:szCs w:val="18"/>
                <w:lang w:val="en-US"/>
              </w:rPr>
              <w:t xml:space="preserve">(short-chain chlorinated </w:t>
            </w:r>
            <w:proofErr w:type="spellStart"/>
            <w:r w:rsidRPr="00C64430">
              <w:rPr>
                <w:rFonts w:asciiTheme="minorHAnsi" w:hAnsiTheme="minorHAnsi" w:cs="Times New Roman"/>
                <w:color w:val="000000" w:themeColor="text1"/>
                <w:szCs w:val="18"/>
                <w:lang w:val="en-US"/>
              </w:rPr>
              <w:t>paraffins</w:t>
            </w:r>
            <w:proofErr w:type="spellEnd"/>
            <w:r w:rsidRPr="00C64430">
              <w:rPr>
                <w:rFonts w:asciiTheme="minorHAnsi" w:hAnsiTheme="minorHAnsi" w:cs="Times New Roman"/>
                <w:color w:val="000000" w:themeColor="text1"/>
                <w:szCs w:val="18"/>
                <w:lang w:val="en-US"/>
              </w:rPr>
              <w:t>)</w:t>
            </w:r>
          </w:p>
        </w:tc>
      </w:tr>
      <w:tr w:rsidR="00EE0C3B" w:rsidRPr="003953FA" w14:paraId="2C9B2CFE"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08FB7274" w14:textId="77777777" w:rsidR="00EE0C3B" w:rsidRPr="003953FA" w:rsidRDefault="00EE0C3B" w:rsidP="00EE0C3B">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SNCR</w:t>
            </w:r>
          </w:p>
        </w:tc>
        <w:tc>
          <w:tcPr>
            <w:tcW w:w="5473" w:type="dxa"/>
            <w:noWrap/>
            <w:hideMark/>
          </w:tcPr>
          <w:p w14:paraId="31628BD5" w14:textId="77777777" w:rsidR="00EE0C3B" w:rsidRPr="003953FA" w:rsidRDefault="00EE0C3B" w:rsidP="00EE0C3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Ikke-katalytisk reduktionsteknologi til reduktion af emissioner af kvælstofoxider</w:t>
            </w:r>
          </w:p>
        </w:tc>
      </w:tr>
      <w:tr w:rsidR="00EE0C3B" w:rsidRPr="003953FA" w14:paraId="5E4031D6"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5819D21B" w14:textId="77777777" w:rsidR="00EE0C3B" w:rsidRPr="003953FA" w:rsidRDefault="00EE0C3B" w:rsidP="00EE0C3B">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TDI</w:t>
            </w:r>
          </w:p>
        </w:tc>
        <w:tc>
          <w:tcPr>
            <w:tcW w:w="5473" w:type="dxa"/>
            <w:noWrap/>
            <w:hideMark/>
          </w:tcPr>
          <w:p w14:paraId="719E3ABC" w14:textId="77777777" w:rsidR="00EE0C3B" w:rsidRPr="003953FA" w:rsidRDefault="00EE0C3B" w:rsidP="00EE0C3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Tolerabel daglig indtagelse</w:t>
            </w:r>
          </w:p>
        </w:tc>
      </w:tr>
      <w:tr w:rsidR="00EE0C3B" w:rsidRPr="003953FA" w14:paraId="10EE559E"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5FC4BC2D" w14:textId="77777777" w:rsidR="00EE0C3B" w:rsidRPr="003953FA" w:rsidRDefault="00EE0C3B" w:rsidP="00EE0C3B">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 xml:space="preserve">Teknisk </w:t>
            </w:r>
            <w:proofErr w:type="spellStart"/>
            <w:r w:rsidRPr="003953FA">
              <w:rPr>
                <w:rFonts w:asciiTheme="minorHAnsi" w:hAnsiTheme="minorHAnsi" w:cs="Times New Roman"/>
                <w:color w:val="000000" w:themeColor="text1"/>
                <w:szCs w:val="18"/>
              </w:rPr>
              <w:t>octaBDE</w:t>
            </w:r>
            <w:proofErr w:type="spellEnd"/>
          </w:p>
        </w:tc>
        <w:tc>
          <w:tcPr>
            <w:tcW w:w="5473" w:type="dxa"/>
            <w:noWrap/>
            <w:hideMark/>
          </w:tcPr>
          <w:p w14:paraId="1973F799" w14:textId="582E0553" w:rsidR="00EE0C3B" w:rsidRPr="003953FA" w:rsidRDefault="00976292" w:rsidP="00EE0C3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Theme="minorHAnsi" w:hAnsiTheme="minorHAnsi" w:cs="Times New Roman"/>
                <w:color w:val="000000" w:themeColor="text1"/>
                <w:szCs w:val="18"/>
              </w:rPr>
              <w:t xml:space="preserve">Blanding indeholdende </w:t>
            </w:r>
            <w:proofErr w:type="spellStart"/>
            <w:r>
              <w:rPr>
                <w:rFonts w:asciiTheme="minorHAnsi" w:hAnsiTheme="minorHAnsi" w:cs="Times New Roman"/>
                <w:color w:val="000000" w:themeColor="text1"/>
                <w:szCs w:val="18"/>
              </w:rPr>
              <w:t>h</w:t>
            </w:r>
            <w:r w:rsidR="00EE0C3B" w:rsidRPr="003953FA">
              <w:rPr>
                <w:rFonts w:asciiTheme="minorHAnsi" w:hAnsiTheme="minorHAnsi" w:cs="Times New Roman"/>
                <w:color w:val="000000" w:themeColor="text1"/>
                <w:szCs w:val="18"/>
              </w:rPr>
              <w:t>exabromdiphenylether</w:t>
            </w:r>
            <w:proofErr w:type="spellEnd"/>
            <w:r w:rsidR="00EE0C3B" w:rsidRPr="003953FA">
              <w:rPr>
                <w:rFonts w:asciiTheme="minorHAnsi" w:hAnsiTheme="minorHAnsi" w:cs="Times New Roman"/>
                <w:color w:val="000000" w:themeColor="text1"/>
                <w:szCs w:val="18"/>
              </w:rPr>
              <w:t xml:space="preserve"> og </w:t>
            </w:r>
            <w:proofErr w:type="spellStart"/>
            <w:r w:rsidR="00EE0C3B" w:rsidRPr="003953FA">
              <w:rPr>
                <w:rFonts w:asciiTheme="minorHAnsi" w:hAnsiTheme="minorHAnsi" w:cs="Times New Roman"/>
                <w:color w:val="000000" w:themeColor="text1"/>
                <w:szCs w:val="18"/>
              </w:rPr>
              <w:t>heptabromdiphenylether</w:t>
            </w:r>
            <w:proofErr w:type="spellEnd"/>
          </w:p>
        </w:tc>
      </w:tr>
      <w:tr w:rsidR="00EE0C3B" w:rsidRPr="003953FA" w14:paraId="5B7ACE74"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2257483F" w14:textId="77777777" w:rsidR="00EE0C3B" w:rsidRPr="003953FA" w:rsidRDefault="00EE0C3B" w:rsidP="00EE0C3B">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 xml:space="preserve">Teknisk </w:t>
            </w:r>
            <w:proofErr w:type="spellStart"/>
            <w:r w:rsidRPr="003953FA">
              <w:rPr>
                <w:rFonts w:asciiTheme="minorHAnsi" w:hAnsiTheme="minorHAnsi" w:cs="Times New Roman"/>
                <w:color w:val="000000" w:themeColor="text1"/>
                <w:szCs w:val="18"/>
              </w:rPr>
              <w:t>pentaBDE</w:t>
            </w:r>
            <w:proofErr w:type="spellEnd"/>
          </w:p>
        </w:tc>
        <w:tc>
          <w:tcPr>
            <w:tcW w:w="5473" w:type="dxa"/>
            <w:noWrap/>
            <w:hideMark/>
          </w:tcPr>
          <w:p w14:paraId="097B550F" w14:textId="788F306B" w:rsidR="00EE0C3B" w:rsidRPr="003953FA" w:rsidRDefault="00976292" w:rsidP="00EE0C3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Theme="minorHAnsi" w:hAnsiTheme="minorHAnsi" w:cs="Times New Roman"/>
                <w:color w:val="000000" w:themeColor="text1"/>
                <w:szCs w:val="18"/>
              </w:rPr>
              <w:t>Blanding indeholdende</w:t>
            </w:r>
            <w:r w:rsidRPr="003953FA">
              <w:rPr>
                <w:rFonts w:asciiTheme="minorHAnsi" w:hAnsiTheme="minorHAnsi" w:cs="Times New Roman"/>
                <w:color w:val="000000" w:themeColor="text1"/>
                <w:szCs w:val="18"/>
              </w:rPr>
              <w:t xml:space="preserve"> </w:t>
            </w:r>
            <w:proofErr w:type="spellStart"/>
            <w:r>
              <w:rPr>
                <w:rFonts w:asciiTheme="minorHAnsi" w:hAnsiTheme="minorHAnsi" w:cs="Times New Roman"/>
                <w:color w:val="000000" w:themeColor="text1"/>
                <w:szCs w:val="18"/>
              </w:rPr>
              <w:t>t</w:t>
            </w:r>
            <w:r w:rsidR="00EE0C3B" w:rsidRPr="003953FA">
              <w:rPr>
                <w:rFonts w:asciiTheme="minorHAnsi" w:hAnsiTheme="minorHAnsi" w:cs="Times New Roman"/>
                <w:color w:val="000000" w:themeColor="text1"/>
                <w:szCs w:val="18"/>
              </w:rPr>
              <w:t>etrabromdiphenylether</w:t>
            </w:r>
            <w:proofErr w:type="spellEnd"/>
            <w:r w:rsidR="00EE0C3B" w:rsidRPr="003953FA">
              <w:rPr>
                <w:rFonts w:asciiTheme="minorHAnsi" w:hAnsiTheme="minorHAnsi" w:cs="Times New Roman"/>
                <w:color w:val="000000" w:themeColor="text1"/>
                <w:szCs w:val="18"/>
              </w:rPr>
              <w:t xml:space="preserve"> og </w:t>
            </w:r>
            <w:proofErr w:type="spellStart"/>
            <w:r w:rsidR="00EE0C3B" w:rsidRPr="003953FA">
              <w:rPr>
                <w:rFonts w:asciiTheme="minorHAnsi" w:hAnsiTheme="minorHAnsi" w:cs="Times New Roman"/>
                <w:color w:val="000000" w:themeColor="text1"/>
                <w:szCs w:val="18"/>
              </w:rPr>
              <w:t>pentabromdiphenylether</w:t>
            </w:r>
            <w:proofErr w:type="spellEnd"/>
            <w:r w:rsidR="00EE0C3B" w:rsidRPr="003953FA">
              <w:rPr>
                <w:rFonts w:asciiTheme="minorHAnsi" w:hAnsiTheme="minorHAnsi" w:cs="Times New Roman"/>
                <w:color w:val="000000" w:themeColor="text1"/>
                <w:szCs w:val="18"/>
              </w:rPr>
              <w:t xml:space="preserve"> </w:t>
            </w:r>
          </w:p>
        </w:tc>
      </w:tr>
      <w:tr w:rsidR="00EE0C3B" w:rsidRPr="003953FA" w14:paraId="6CB8A86D"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114F2637" w14:textId="50F6FD29" w:rsidR="00EE0C3B" w:rsidRPr="003953FA" w:rsidRDefault="00EE0C3B" w:rsidP="00EE0C3B">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TEQ</w:t>
            </w:r>
          </w:p>
        </w:tc>
        <w:tc>
          <w:tcPr>
            <w:tcW w:w="5473" w:type="dxa"/>
            <w:noWrap/>
            <w:hideMark/>
          </w:tcPr>
          <w:p w14:paraId="2479B8F1" w14:textId="1D9774B2" w:rsidR="00EE0C3B" w:rsidRPr="003953FA" w:rsidRDefault="00EE0C3B" w:rsidP="00EE0C3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Theme="minorHAnsi" w:hAnsiTheme="minorHAnsi" w:cs="Times New Roman"/>
                <w:color w:val="000000" w:themeColor="text1"/>
                <w:szCs w:val="18"/>
              </w:rPr>
              <w:t>[</w:t>
            </w:r>
            <w:r w:rsidRPr="003953FA">
              <w:rPr>
                <w:rFonts w:asciiTheme="minorHAnsi" w:hAnsiTheme="minorHAnsi" w:cs="Times New Roman"/>
                <w:color w:val="000000" w:themeColor="text1"/>
                <w:szCs w:val="18"/>
              </w:rPr>
              <w:t>Dioxin</w:t>
            </w:r>
            <w:r>
              <w:rPr>
                <w:rFonts w:asciiTheme="minorHAnsi" w:hAnsiTheme="minorHAnsi" w:cs="Times New Roman"/>
                <w:color w:val="000000" w:themeColor="text1"/>
                <w:szCs w:val="18"/>
              </w:rPr>
              <w:t>]</w:t>
            </w:r>
            <w:r w:rsidRPr="003953FA">
              <w:rPr>
                <w:rFonts w:asciiTheme="minorHAnsi" w:hAnsiTheme="minorHAnsi" w:cs="Times New Roman"/>
                <w:color w:val="000000" w:themeColor="text1"/>
                <w:szCs w:val="18"/>
              </w:rPr>
              <w:t xml:space="preserve"> toksicitets ækvivalent</w:t>
            </w:r>
          </w:p>
        </w:tc>
      </w:tr>
      <w:tr w:rsidR="00EE0C3B" w:rsidRPr="003953FA" w14:paraId="443E3EDC"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03224441" w14:textId="77777777" w:rsidR="00EE0C3B" w:rsidRPr="003953FA" w:rsidRDefault="00EE0C3B" w:rsidP="00EE0C3B">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TI</w:t>
            </w:r>
          </w:p>
        </w:tc>
        <w:tc>
          <w:tcPr>
            <w:tcW w:w="5473" w:type="dxa"/>
            <w:noWrap/>
            <w:hideMark/>
          </w:tcPr>
          <w:p w14:paraId="54A11F65" w14:textId="77777777" w:rsidR="00EE0C3B" w:rsidRPr="003953FA" w:rsidRDefault="00EE0C3B" w:rsidP="00EE0C3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Teknologisk Institut</w:t>
            </w:r>
          </w:p>
        </w:tc>
      </w:tr>
      <w:tr w:rsidR="00EE0C3B" w:rsidRPr="003953FA" w14:paraId="2AE0E3DE"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22FE4E3F" w14:textId="77777777" w:rsidR="00EE0C3B" w:rsidRPr="003953FA" w:rsidRDefault="00EE0C3B" w:rsidP="00EE0C3B">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TS</w:t>
            </w:r>
          </w:p>
        </w:tc>
        <w:tc>
          <w:tcPr>
            <w:tcW w:w="5473" w:type="dxa"/>
            <w:noWrap/>
            <w:hideMark/>
          </w:tcPr>
          <w:p w14:paraId="110C95F0" w14:textId="77777777" w:rsidR="00EE0C3B" w:rsidRPr="003953FA" w:rsidRDefault="00EE0C3B" w:rsidP="00EE0C3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Tørstof</w:t>
            </w:r>
          </w:p>
        </w:tc>
      </w:tr>
      <w:tr w:rsidR="00EE0C3B" w:rsidRPr="003953FA" w14:paraId="4A15376A"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109280A9" w14:textId="77777777" w:rsidR="00EE0C3B" w:rsidRPr="003953FA" w:rsidRDefault="00EE0C3B" w:rsidP="00EE0C3B">
            <w:pPr>
              <w:spacing w:line="240" w:lineRule="auto"/>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UNECE</w:t>
            </w:r>
          </w:p>
        </w:tc>
        <w:tc>
          <w:tcPr>
            <w:tcW w:w="5473" w:type="dxa"/>
            <w:noWrap/>
            <w:hideMark/>
          </w:tcPr>
          <w:p w14:paraId="5F5E9208" w14:textId="77777777" w:rsidR="00EE0C3B" w:rsidRPr="003953FA" w:rsidRDefault="00EE0C3B" w:rsidP="00EE0C3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sidRPr="003953FA">
              <w:rPr>
                <w:rFonts w:asciiTheme="minorHAnsi" w:hAnsiTheme="minorHAnsi" w:cs="Times New Roman"/>
                <w:color w:val="000000" w:themeColor="text1"/>
                <w:szCs w:val="18"/>
              </w:rPr>
              <w:t xml:space="preserve">FN's Økonomiske Kommission for Europa (United Nations </w:t>
            </w:r>
            <w:proofErr w:type="spellStart"/>
            <w:r w:rsidRPr="003953FA">
              <w:rPr>
                <w:rFonts w:asciiTheme="minorHAnsi" w:hAnsiTheme="minorHAnsi" w:cs="Times New Roman"/>
                <w:color w:val="000000" w:themeColor="text1"/>
                <w:szCs w:val="18"/>
              </w:rPr>
              <w:t>Economic</w:t>
            </w:r>
            <w:proofErr w:type="spellEnd"/>
            <w:r w:rsidRPr="003953FA">
              <w:rPr>
                <w:rFonts w:asciiTheme="minorHAnsi" w:hAnsiTheme="minorHAnsi" w:cs="Times New Roman"/>
                <w:color w:val="000000" w:themeColor="text1"/>
                <w:szCs w:val="18"/>
              </w:rPr>
              <w:t xml:space="preserve"> </w:t>
            </w:r>
            <w:proofErr w:type="spellStart"/>
            <w:r w:rsidRPr="003953FA">
              <w:rPr>
                <w:rFonts w:asciiTheme="minorHAnsi" w:hAnsiTheme="minorHAnsi" w:cs="Times New Roman"/>
                <w:color w:val="000000" w:themeColor="text1"/>
                <w:szCs w:val="18"/>
              </w:rPr>
              <w:t>Commission</w:t>
            </w:r>
            <w:proofErr w:type="spellEnd"/>
            <w:r w:rsidRPr="003953FA">
              <w:rPr>
                <w:rFonts w:asciiTheme="minorHAnsi" w:hAnsiTheme="minorHAnsi" w:cs="Times New Roman"/>
                <w:color w:val="000000" w:themeColor="text1"/>
                <w:szCs w:val="18"/>
              </w:rPr>
              <w:t xml:space="preserve"> for Europe)</w:t>
            </w:r>
          </w:p>
        </w:tc>
      </w:tr>
      <w:tr w:rsidR="00EE0C3B" w:rsidRPr="0047254F" w14:paraId="13C17DBD" w14:textId="77777777" w:rsidTr="00507C0F">
        <w:tc>
          <w:tcPr>
            <w:cnfStyle w:val="001000000000" w:firstRow="0" w:lastRow="0" w:firstColumn="1" w:lastColumn="0" w:oddVBand="0" w:evenVBand="0" w:oddHBand="0" w:evenHBand="0" w:firstRowFirstColumn="0" w:firstRowLastColumn="0" w:lastRowFirstColumn="0" w:lastRowLastColumn="0"/>
            <w:tcW w:w="2006" w:type="dxa"/>
            <w:noWrap/>
            <w:hideMark/>
          </w:tcPr>
          <w:p w14:paraId="2AFBB6AD" w14:textId="77777777" w:rsidR="00EE0C3B" w:rsidRPr="0047254F" w:rsidRDefault="00EE0C3B" w:rsidP="00EE0C3B">
            <w:pPr>
              <w:spacing w:line="240" w:lineRule="auto"/>
              <w:rPr>
                <w:rFonts w:asciiTheme="minorHAnsi" w:hAnsiTheme="minorHAnsi" w:cs="Times New Roman"/>
                <w:color w:val="000000"/>
                <w:szCs w:val="18"/>
              </w:rPr>
            </w:pPr>
            <w:r w:rsidRPr="0047254F">
              <w:rPr>
                <w:rFonts w:asciiTheme="minorHAnsi" w:hAnsiTheme="minorHAnsi" w:cs="Times New Roman"/>
                <w:color w:val="000000"/>
                <w:szCs w:val="18"/>
              </w:rPr>
              <w:t>XPS</w:t>
            </w:r>
          </w:p>
        </w:tc>
        <w:tc>
          <w:tcPr>
            <w:tcW w:w="5473" w:type="dxa"/>
            <w:noWrap/>
            <w:hideMark/>
          </w:tcPr>
          <w:p w14:paraId="159BC42C" w14:textId="22DEB1E4" w:rsidR="00EE0C3B" w:rsidRPr="0047254F" w:rsidRDefault="00EE0C3B" w:rsidP="00EE0C3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szCs w:val="18"/>
              </w:rPr>
            </w:pPr>
            <w:r w:rsidRPr="0047254F">
              <w:rPr>
                <w:rFonts w:asciiTheme="minorHAnsi" w:hAnsiTheme="minorHAnsi" w:cs="Times New Roman"/>
                <w:color w:val="000000"/>
                <w:szCs w:val="18"/>
              </w:rPr>
              <w:t>Ekstruderet poly</w:t>
            </w:r>
            <w:r>
              <w:rPr>
                <w:rFonts w:asciiTheme="minorHAnsi" w:hAnsiTheme="minorHAnsi" w:cs="Times New Roman"/>
                <w:color w:val="000000"/>
                <w:szCs w:val="18"/>
              </w:rPr>
              <w:t>styren</w:t>
            </w:r>
          </w:p>
        </w:tc>
      </w:tr>
    </w:tbl>
    <w:p w14:paraId="7884EA1B" w14:textId="77777777" w:rsidR="0047254F" w:rsidRPr="0047254F" w:rsidRDefault="0047254F" w:rsidP="0047254F">
      <w:pPr>
        <w:pStyle w:val="Brdtekst"/>
      </w:pPr>
    </w:p>
    <w:p w14:paraId="7D6CF809" w14:textId="77777777" w:rsidR="001C7DA0" w:rsidRDefault="001C7DA0" w:rsidP="001C7DA0">
      <w:pPr>
        <w:pStyle w:val="Overskrift1"/>
      </w:pPr>
      <w:bookmarkStart w:id="146" w:name="_Toc469057839"/>
      <w:bookmarkStart w:id="147" w:name="_Toc469304937"/>
      <w:bookmarkStart w:id="148" w:name="_Toc10205733"/>
      <w:r>
        <w:lastRenderedPageBreak/>
        <w:t>R</w:t>
      </w:r>
      <w:bookmarkStart w:id="149" w:name="ref"/>
      <w:bookmarkEnd w:id="149"/>
      <w:r>
        <w:t>eferencer</w:t>
      </w:r>
      <w:bookmarkEnd w:id="145"/>
      <w:bookmarkEnd w:id="146"/>
      <w:bookmarkEnd w:id="147"/>
      <w:bookmarkEnd w:id="148"/>
    </w:p>
    <w:p w14:paraId="5E54C53F" w14:textId="6ACCD1D9" w:rsidR="005336DD" w:rsidRPr="00C64430" w:rsidRDefault="005336DD" w:rsidP="001F6BF2">
      <w:pPr>
        <w:pStyle w:val="Brdtekst"/>
        <w:rPr>
          <w:lang w:val="en-US"/>
        </w:rPr>
      </w:pPr>
      <w:r w:rsidRPr="00C64430">
        <w:rPr>
          <w:lang w:val="en-US"/>
        </w:rPr>
        <w:t xml:space="preserve">AMAP (2014). Trends in Stockholm Convention </w:t>
      </w:r>
      <w:r w:rsidR="00C13C6E" w:rsidRPr="00C64430">
        <w:rPr>
          <w:lang w:val="en-US"/>
        </w:rPr>
        <w:t xml:space="preserve">persistent organic pollutants </w:t>
      </w:r>
      <w:r w:rsidRPr="00C64430">
        <w:rPr>
          <w:lang w:val="en-US"/>
        </w:rPr>
        <w:t xml:space="preserve">(POPs) in Arctic </w:t>
      </w:r>
      <w:r w:rsidR="00C13C6E" w:rsidRPr="00C64430">
        <w:rPr>
          <w:lang w:val="en-US"/>
        </w:rPr>
        <w:t>air, human media and biota</w:t>
      </w:r>
      <w:r w:rsidRPr="00C64430">
        <w:rPr>
          <w:lang w:val="en-US"/>
        </w:rPr>
        <w:t xml:space="preserve">. AMAP Technical Report No, 7 (2014). </w:t>
      </w:r>
      <w:r w:rsidR="00441272" w:rsidRPr="00C64430">
        <w:rPr>
          <w:lang w:val="en-US"/>
        </w:rPr>
        <w:t xml:space="preserve">Arctic Monitoring and Assessment </w:t>
      </w:r>
      <w:proofErr w:type="spellStart"/>
      <w:r w:rsidR="00441272" w:rsidRPr="00C64430">
        <w:rPr>
          <w:lang w:val="en-US"/>
        </w:rPr>
        <w:t>Programme</w:t>
      </w:r>
      <w:proofErr w:type="spellEnd"/>
      <w:r w:rsidR="00441272" w:rsidRPr="00C64430">
        <w:rPr>
          <w:lang w:val="en-US"/>
        </w:rPr>
        <w:t xml:space="preserve"> (AMAP), Oslo.</w:t>
      </w:r>
    </w:p>
    <w:p w14:paraId="4347A4A4" w14:textId="398CF662" w:rsidR="00441272" w:rsidRPr="00C64430" w:rsidRDefault="00441272" w:rsidP="001F6BF2">
      <w:pPr>
        <w:pStyle w:val="Brdtekst"/>
        <w:rPr>
          <w:lang w:val="en-US"/>
        </w:rPr>
      </w:pPr>
      <w:r w:rsidRPr="00C64430">
        <w:rPr>
          <w:lang w:val="en-US"/>
        </w:rPr>
        <w:t xml:space="preserve">AMAP (2017). AMAP Assessment 2016: Chemicals of Emerging Arctic Concern. Arctic Monitoring and Assessment </w:t>
      </w:r>
      <w:proofErr w:type="spellStart"/>
      <w:r w:rsidRPr="00C64430">
        <w:rPr>
          <w:lang w:val="en-US"/>
        </w:rPr>
        <w:t>Programme</w:t>
      </w:r>
      <w:proofErr w:type="spellEnd"/>
      <w:r w:rsidRPr="00C64430">
        <w:rPr>
          <w:lang w:val="en-US"/>
        </w:rPr>
        <w:t xml:space="preserve"> (AMAP), Oslo.</w:t>
      </w:r>
    </w:p>
    <w:p w14:paraId="751FF1E7" w14:textId="4AF14A1F" w:rsidR="005336DD" w:rsidRPr="00C64430" w:rsidRDefault="005336DD" w:rsidP="001F6BF2">
      <w:pPr>
        <w:pStyle w:val="Brdtekst"/>
        <w:rPr>
          <w:lang w:val="en-US"/>
        </w:rPr>
      </w:pPr>
      <w:r w:rsidRPr="00C64430">
        <w:rPr>
          <w:lang w:val="en-US"/>
        </w:rPr>
        <w:t>AMAP (2015). AMAP Assessment 2015: Human Health in the Arctic. AMAP Report, Oslo</w:t>
      </w:r>
      <w:r w:rsidR="00AA581E" w:rsidRPr="00C64430">
        <w:rPr>
          <w:lang w:val="en-US"/>
        </w:rPr>
        <w:t>.</w:t>
      </w:r>
      <w:r w:rsidRPr="00C64430">
        <w:rPr>
          <w:lang w:val="en-US"/>
        </w:rPr>
        <w:t xml:space="preserve"> </w:t>
      </w:r>
    </w:p>
    <w:p w14:paraId="659019F6" w14:textId="3650E9BD" w:rsidR="005336DD" w:rsidRPr="00C64430" w:rsidRDefault="005336DD" w:rsidP="001F6BF2">
      <w:pPr>
        <w:pStyle w:val="Brdtekst"/>
        <w:rPr>
          <w:lang w:val="en-US"/>
        </w:rPr>
      </w:pPr>
      <w:proofErr w:type="spellStart"/>
      <w:r w:rsidRPr="00C64430">
        <w:rPr>
          <w:lang w:val="en-US"/>
        </w:rPr>
        <w:t>Bonefeld</w:t>
      </w:r>
      <w:proofErr w:type="spellEnd"/>
      <w:r w:rsidRPr="00C64430">
        <w:rPr>
          <w:lang w:val="en-US"/>
        </w:rPr>
        <w:t>-Jørgensen, E.C. (2010)</w:t>
      </w:r>
      <w:r w:rsidR="003523BE" w:rsidRPr="00C64430">
        <w:rPr>
          <w:lang w:val="en-US"/>
        </w:rPr>
        <w:t>.</w:t>
      </w:r>
      <w:r w:rsidRPr="00C64430">
        <w:rPr>
          <w:lang w:val="en-US"/>
        </w:rPr>
        <w:t xml:space="preserve"> Biomonitoring in Greenland: human biomarkers of exposure and effects – a short review. Rural and Remote Health. Circumpolar Special Issue: Human Health at the Ends of the Earth. 10(2), 1362.</w:t>
      </w:r>
    </w:p>
    <w:p w14:paraId="6440D3B2" w14:textId="5923D505" w:rsidR="005336DD" w:rsidRPr="00C64430" w:rsidRDefault="005336DD" w:rsidP="001F6BF2">
      <w:pPr>
        <w:pStyle w:val="Brdtekst"/>
        <w:rPr>
          <w:lang w:val="en-US"/>
        </w:rPr>
      </w:pPr>
      <w:proofErr w:type="spellStart"/>
      <w:r w:rsidRPr="00C64430">
        <w:rPr>
          <w:lang w:val="en-US"/>
        </w:rPr>
        <w:t>Bonefeld</w:t>
      </w:r>
      <w:proofErr w:type="spellEnd"/>
      <w:r w:rsidRPr="00C64430">
        <w:rPr>
          <w:lang w:val="en-US"/>
        </w:rPr>
        <w:t xml:space="preserve">-Jørgensen, E.C., Long, M., </w:t>
      </w:r>
      <w:proofErr w:type="spellStart"/>
      <w:r w:rsidRPr="00C64430">
        <w:rPr>
          <w:lang w:val="en-US"/>
        </w:rPr>
        <w:t>Bossi</w:t>
      </w:r>
      <w:proofErr w:type="spellEnd"/>
      <w:r w:rsidRPr="00C64430">
        <w:rPr>
          <w:lang w:val="en-US"/>
        </w:rPr>
        <w:t xml:space="preserve">, R., Ayotte, P., </w:t>
      </w:r>
      <w:proofErr w:type="spellStart"/>
      <w:r w:rsidRPr="00C64430">
        <w:rPr>
          <w:lang w:val="en-US"/>
        </w:rPr>
        <w:t>Krüger</w:t>
      </w:r>
      <w:proofErr w:type="gramStart"/>
      <w:r w:rsidRPr="00C64430">
        <w:rPr>
          <w:lang w:val="en-US"/>
        </w:rPr>
        <w:t>,T</w:t>
      </w:r>
      <w:proofErr w:type="spellEnd"/>
      <w:proofErr w:type="gramEnd"/>
      <w:r w:rsidRPr="00C64430">
        <w:rPr>
          <w:lang w:val="en-US"/>
        </w:rPr>
        <w:t xml:space="preserve">., </w:t>
      </w:r>
      <w:proofErr w:type="spellStart"/>
      <w:r w:rsidRPr="00C64430">
        <w:rPr>
          <w:lang w:val="en-US"/>
        </w:rPr>
        <w:t>Ghisari</w:t>
      </w:r>
      <w:proofErr w:type="spellEnd"/>
      <w:r w:rsidRPr="00C64430">
        <w:rPr>
          <w:lang w:val="en-US"/>
        </w:rPr>
        <w:t xml:space="preserve">, M., </w:t>
      </w:r>
      <w:proofErr w:type="spellStart"/>
      <w:r w:rsidRPr="00C64430">
        <w:rPr>
          <w:lang w:val="en-US"/>
        </w:rPr>
        <w:t>Mulvad</w:t>
      </w:r>
      <w:proofErr w:type="spellEnd"/>
      <w:r w:rsidRPr="00C64430">
        <w:rPr>
          <w:lang w:val="en-US"/>
        </w:rPr>
        <w:t xml:space="preserve">, P., </w:t>
      </w:r>
      <w:proofErr w:type="spellStart"/>
      <w:r w:rsidRPr="00C64430">
        <w:rPr>
          <w:lang w:val="en-US"/>
        </w:rPr>
        <w:t>Nzulumiki</w:t>
      </w:r>
      <w:proofErr w:type="spellEnd"/>
      <w:r w:rsidRPr="00C64430">
        <w:rPr>
          <w:lang w:val="en-US"/>
        </w:rPr>
        <w:t xml:space="preserve">, P., </w:t>
      </w:r>
      <w:proofErr w:type="spellStart"/>
      <w:r w:rsidRPr="00C64430">
        <w:rPr>
          <w:lang w:val="en-US"/>
        </w:rPr>
        <w:t>Dewailly</w:t>
      </w:r>
      <w:proofErr w:type="spellEnd"/>
      <w:r w:rsidRPr="00C64430">
        <w:rPr>
          <w:lang w:val="en-US"/>
        </w:rPr>
        <w:t xml:space="preserve">, E. (2011). </w:t>
      </w:r>
      <w:proofErr w:type="spellStart"/>
      <w:r w:rsidRPr="00C64430">
        <w:rPr>
          <w:lang w:val="en-US"/>
        </w:rPr>
        <w:t>Perfluorinated</w:t>
      </w:r>
      <w:proofErr w:type="spellEnd"/>
      <w:r w:rsidRPr="00C64430">
        <w:rPr>
          <w:lang w:val="en-US"/>
        </w:rPr>
        <w:t xml:space="preserve"> compounds </w:t>
      </w:r>
      <w:proofErr w:type="gramStart"/>
      <w:r w:rsidRPr="00C64430">
        <w:rPr>
          <w:lang w:val="en-US"/>
        </w:rPr>
        <w:t>are related</w:t>
      </w:r>
      <w:proofErr w:type="gramEnd"/>
      <w:r w:rsidRPr="00C64430">
        <w:rPr>
          <w:lang w:val="en-US"/>
        </w:rPr>
        <w:t xml:space="preserve"> to breast cancer risk in Greenlandic Inuit: A case control study. Environmental Health, 10</w:t>
      </w:r>
      <w:r w:rsidR="003523BE" w:rsidRPr="00C64430">
        <w:rPr>
          <w:lang w:val="en-US"/>
        </w:rPr>
        <w:t xml:space="preserve">, </w:t>
      </w:r>
      <w:r w:rsidRPr="00C64430">
        <w:rPr>
          <w:lang w:val="en-US"/>
        </w:rPr>
        <w:t>88.</w:t>
      </w:r>
    </w:p>
    <w:p w14:paraId="260651FF" w14:textId="4EB00718" w:rsidR="005336DD" w:rsidRDefault="005336DD" w:rsidP="001F6BF2">
      <w:pPr>
        <w:pStyle w:val="Brdtekst"/>
      </w:pPr>
      <w:proofErr w:type="spellStart"/>
      <w:r w:rsidRPr="00C64430">
        <w:rPr>
          <w:lang w:val="en-US"/>
        </w:rPr>
        <w:t>Bossi</w:t>
      </w:r>
      <w:proofErr w:type="spellEnd"/>
      <w:r w:rsidRPr="00C64430">
        <w:rPr>
          <w:lang w:val="en-US"/>
        </w:rPr>
        <w:t xml:space="preserve">, R., Dam, M., </w:t>
      </w:r>
      <w:proofErr w:type="spellStart"/>
      <w:r w:rsidRPr="00C64430">
        <w:rPr>
          <w:lang w:val="en-US"/>
        </w:rPr>
        <w:t>Rigét</w:t>
      </w:r>
      <w:proofErr w:type="spellEnd"/>
      <w:r w:rsidRPr="00C64430">
        <w:rPr>
          <w:lang w:val="en-US"/>
        </w:rPr>
        <w:t xml:space="preserve">, F.F. (2015). </w:t>
      </w:r>
      <w:proofErr w:type="spellStart"/>
      <w:r w:rsidRPr="00C64430">
        <w:rPr>
          <w:lang w:val="en-US"/>
        </w:rPr>
        <w:t>Perfluorinated</w:t>
      </w:r>
      <w:proofErr w:type="spellEnd"/>
      <w:r w:rsidRPr="00C64430">
        <w:rPr>
          <w:lang w:val="en-US"/>
        </w:rPr>
        <w:t xml:space="preserve"> alkyl substances (PFAS) in terrestrial environments in Greenland and Faroe Islands. </w:t>
      </w:r>
      <w:proofErr w:type="spellStart"/>
      <w:r>
        <w:t>Chemosphere</w:t>
      </w:r>
      <w:proofErr w:type="spellEnd"/>
      <w:r w:rsidR="003523BE">
        <w:t>,</w:t>
      </w:r>
      <w:r>
        <w:t xml:space="preserve"> 129</w:t>
      </w:r>
      <w:r w:rsidR="003523BE">
        <w:t>,</w:t>
      </w:r>
      <w:r>
        <w:t>164-169.</w:t>
      </w:r>
    </w:p>
    <w:p w14:paraId="56C2B733" w14:textId="0ACEFFFC" w:rsidR="00B82880" w:rsidRDefault="00B82880" w:rsidP="001F6BF2">
      <w:pPr>
        <w:pStyle w:val="Brdtekst"/>
      </w:pPr>
      <w:r>
        <w:t>Departementet for Miljø og Natur (2014). V</w:t>
      </w:r>
      <w:r w:rsidRPr="00B82880">
        <w:t xml:space="preserve">ejledning om </w:t>
      </w:r>
      <w:proofErr w:type="spellStart"/>
      <w:r>
        <w:t>PCB</w:t>
      </w:r>
      <w:r w:rsidRPr="00B82880">
        <w:t>-holdigt</w:t>
      </w:r>
      <w:proofErr w:type="spellEnd"/>
      <w:r w:rsidRPr="00B82880">
        <w:t xml:space="preserve"> affald i byggeriet i </w:t>
      </w:r>
      <w:r>
        <w:t>G</w:t>
      </w:r>
      <w:r w:rsidRPr="00B82880">
        <w:t>rønland</w:t>
      </w:r>
      <w:r>
        <w:t>.</w:t>
      </w:r>
    </w:p>
    <w:p w14:paraId="2BDAACBA" w14:textId="4896541F" w:rsidR="006548CD" w:rsidRDefault="006548CD" w:rsidP="001F6BF2">
      <w:pPr>
        <w:pStyle w:val="Brdtekst"/>
      </w:pPr>
      <w:r w:rsidRPr="00C64430">
        <w:rPr>
          <w:lang w:val="en-US"/>
        </w:rPr>
        <w:t>ESWI (2011)</w:t>
      </w:r>
      <w:r w:rsidR="003523BE" w:rsidRPr="00C64430">
        <w:rPr>
          <w:lang w:val="en-US"/>
        </w:rPr>
        <w:t>.</w:t>
      </w:r>
      <w:r w:rsidRPr="00C64430">
        <w:rPr>
          <w:lang w:val="en-US"/>
        </w:rPr>
        <w:t xml:space="preserve"> </w:t>
      </w:r>
      <w:r w:rsidRPr="008F5CFB">
        <w:rPr>
          <w:lang w:val="en-GB"/>
        </w:rPr>
        <w:t>Study on waste related issues of newly li</w:t>
      </w:r>
      <w:r>
        <w:rPr>
          <w:lang w:val="en-GB"/>
        </w:rPr>
        <w:t xml:space="preserve">sted POPs and candidate POPs. </w:t>
      </w:r>
      <w:proofErr w:type="spellStart"/>
      <w:r w:rsidRPr="00C64430">
        <w:t>Consortium</w:t>
      </w:r>
      <w:proofErr w:type="spellEnd"/>
      <w:r w:rsidRPr="00C64430">
        <w:t xml:space="preserve"> ESWI for Europakommissionen.</w:t>
      </w:r>
    </w:p>
    <w:p w14:paraId="5B84608D" w14:textId="507CBB12" w:rsidR="005336DD" w:rsidRDefault="005336DD" w:rsidP="005336DD">
      <w:pPr>
        <w:pStyle w:val="Brdtekst"/>
      </w:pPr>
      <w:r>
        <w:t>Falkenberg, J.A., Christensen, A.G., Filipovic, M. (2016). Spredning og sammensætning i grundvand ved PFAS-forureninger. Litteraturstudie. Miljøprojekt nr. 1892. Miljøstyrelsen, København.</w:t>
      </w:r>
    </w:p>
    <w:p w14:paraId="6AB83779" w14:textId="59389BAD" w:rsidR="00BF3690" w:rsidRDefault="00BF3690" w:rsidP="00B406D1">
      <w:pPr>
        <w:pStyle w:val="Brdtekst"/>
      </w:pPr>
      <w:r w:rsidRPr="00BF3690">
        <w:t>Guðmundsson</w:t>
      </w:r>
      <w:r>
        <w:t xml:space="preserve"> (2016), personlig kommunikation med </w:t>
      </w:r>
      <w:proofErr w:type="spellStart"/>
      <w:r w:rsidRPr="00BF3690">
        <w:t>Pétur</w:t>
      </w:r>
      <w:proofErr w:type="spellEnd"/>
      <w:r w:rsidRPr="00BF3690">
        <w:t xml:space="preserve"> H Guðmundsson</w:t>
      </w:r>
      <w:r>
        <w:t xml:space="preserve">, </w:t>
      </w:r>
      <w:proofErr w:type="spellStart"/>
      <w:r>
        <w:t>Kanukoka</w:t>
      </w:r>
      <w:proofErr w:type="spellEnd"/>
      <w:r>
        <w:t xml:space="preserve">. </w:t>
      </w:r>
    </w:p>
    <w:p w14:paraId="32A9EF62" w14:textId="5053373A" w:rsidR="00B406D1" w:rsidRDefault="00B406D1" w:rsidP="00B406D1">
      <w:pPr>
        <w:pStyle w:val="Brdtekst"/>
      </w:pPr>
      <w:r w:rsidRPr="00C64430">
        <w:rPr>
          <w:lang w:val="en-US"/>
        </w:rPr>
        <w:t>Hansen, L., Hansen, E. (2004).</w:t>
      </w:r>
      <w:r w:rsidR="00E96B53" w:rsidRPr="00C64430">
        <w:rPr>
          <w:lang w:val="en-US"/>
        </w:rPr>
        <w:t xml:space="preserve"> </w:t>
      </w:r>
      <w:r w:rsidRPr="00C64430">
        <w:rPr>
          <w:lang w:val="en-US"/>
        </w:rPr>
        <w:t xml:space="preserve">Survey of dioxin emission from PCP-treated wood. </w:t>
      </w:r>
      <w:proofErr w:type="spellStart"/>
      <w:r>
        <w:t>Environmental</w:t>
      </w:r>
      <w:proofErr w:type="spellEnd"/>
      <w:r>
        <w:t xml:space="preserve"> Project</w:t>
      </w:r>
      <w:r w:rsidR="00E96B53">
        <w:t xml:space="preserve"> </w:t>
      </w:r>
      <w:r>
        <w:t>No</w:t>
      </w:r>
      <w:r w:rsidRPr="00B406D1">
        <w:t>. 940</w:t>
      </w:r>
      <w:r>
        <w:t>. Miljøstyrelsen, København.</w:t>
      </w:r>
    </w:p>
    <w:p w14:paraId="0078F4EB" w14:textId="25B56CB7" w:rsidR="005336DD" w:rsidRDefault="005336DD" w:rsidP="001F6BF2">
      <w:pPr>
        <w:pStyle w:val="Brdtekst"/>
      </w:pPr>
      <w:r w:rsidRPr="00BA47D5">
        <w:t>Hansen</w:t>
      </w:r>
      <w:r>
        <w:t xml:space="preserve"> E., </w:t>
      </w:r>
      <w:r w:rsidRPr="00BA47D5">
        <w:t>Christensen</w:t>
      </w:r>
      <w:r>
        <w:t xml:space="preserve"> </w:t>
      </w:r>
      <w:r w:rsidR="003523BE">
        <w:t>C.</w:t>
      </w:r>
      <w:r w:rsidR="003523BE" w:rsidRPr="00BA47D5">
        <w:t>L</w:t>
      </w:r>
      <w:r w:rsidR="003523BE">
        <w:t xml:space="preserve">. </w:t>
      </w:r>
      <w:r>
        <w:t>(</w:t>
      </w:r>
      <w:r w:rsidR="00E34F50">
        <w:t>2007</w:t>
      </w:r>
      <w:r>
        <w:t xml:space="preserve">). Lokale grønlandske kilders bidrag til forureningen med tungt nedbrydelige miljøgifte. COWI A/S. </w:t>
      </w:r>
    </w:p>
    <w:p w14:paraId="3B5879DE" w14:textId="53FF53DA" w:rsidR="005336DD" w:rsidRDefault="005336DD" w:rsidP="008C4637">
      <w:pPr>
        <w:pStyle w:val="Brdtekst"/>
      </w:pPr>
      <w:proofErr w:type="spellStart"/>
      <w:r w:rsidRPr="008C4637">
        <w:t>Heilsufrøðiliga</w:t>
      </w:r>
      <w:proofErr w:type="spellEnd"/>
      <w:r w:rsidRPr="008C4637">
        <w:t xml:space="preserve"> </w:t>
      </w:r>
      <w:proofErr w:type="spellStart"/>
      <w:r w:rsidRPr="008C4637">
        <w:t>starvsstovan</w:t>
      </w:r>
      <w:proofErr w:type="spellEnd"/>
      <w:r>
        <w:t xml:space="preserve"> (2007). POP- og HM-</w:t>
      </w:r>
      <w:proofErr w:type="spellStart"/>
      <w:r>
        <w:t>protokollirnar</w:t>
      </w:r>
      <w:proofErr w:type="spellEnd"/>
      <w:r>
        <w:t xml:space="preserve"> og Stockholm-</w:t>
      </w:r>
      <w:proofErr w:type="spellStart"/>
      <w:r>
        <w:t>sáttmálin</w:t>
      </w:r>
      <w:proofErr w:type="spellEnd"/>
      <w:r>
        <w:t xml:space="preserve">. Her </w:t>
      </w:r>
      <w:proofErr w:type="spellStart"/>
      <w:r>
        <w:t>verður</w:t>
      </w:r>
      <w:proofErr w:type="spellEnd"/>
      <w:r>
        <w:t xml:space="preserve"> </w:t>
      </w:r>
      <w:proofErr w:type="spellStart"/>
      <w:r>
        <w:t>lýst</w:t>
      </w:r>
      <w:proofErr w:type="spellEnd"/>
      <w:r>
        <w:t xml:space="preserve">, </w:t>
      </w:r>
      <w:proofErr w:type="spellStart"/>
      <w:r>
        <w:t>hvørji</w:t>
      </w:r>
      <w:proofErr w:type="spellEnd"/>
      <w:r>
        <w:t xml:space="preserve"> </w:t>
      </w:r>
      <w:proofErr w:type="spellStart"/>
      <w:r>
        <w:t>tiltøk</w:t>
      </w:r>
      <w:proofErr w:type="spellEnd"/>
      <w:r>
        <w:t xml:space="preserve"> </w:t>
      </w:r>
      <w:proofErr w:type="spellStart"/>
      <w:r>
        <w:t>skulu</w:t>
      </w:r>
      <w:proofErr w:type="spellEnd"/>
      <w:r>
        <w:t xml:space="preserve"> </w:t>
      </w:r>
      <w:proofErr w:type="spellStart"/>
      <w:r>
        <w:t>fremjast</w:t>
      </w:r>
      <w:proofErr w:type="spellEnd"/>
      <w:r>
        <w:t xml:space="preserve"> í </w:t>
      </w:r>
      <w:proofErr w:type="spellStart"/>
      <w:r>
        <w:t>Føroyum</w:t>
      </w:r>
      <w:proofErr w:type="spellEnd"/>
      <w:r>
        <w:t xml:space="preserve"> </w:t>
      </w:r>
      <w:proofErr w:type="spellStart"/>
      <w:r>
        <w:t>fyri</w:t>
      </w:r>
      <w:proofErr w:type="spellEnd"/>
      <w:r>
        <w:t xml:space="preserve"> at </w:t>
      </w:r>
      <w:proofErr w:type="spellStart"/>
      <w:r>
        <w:t>seta</w:t>
      </w:r>
      <w:proofErr w:type="spellEnd"/>
      <w:r>
        <w:t xml:space="preserve"> í </w:t>
      </w:r>
      <w:proofErr w:type="spellStart"/>
      <w:r>
        <w:t>verk</w:t>
      </w:r>
      <w:proofErr w:type="spellEnd"/>
      <w:r>
        <w:t xml:space="preserve"> POP- og HM-</w:t>
      </w:r>
      <w:proofErr w:type="spellStart"/>
      <w:r>
        <w:t>protokollirnar</w:t>
      </w:r>
      <w:proofErr w:type="spellEnd"/>
      <w:r>
        <w:t xml:space="preserve"> og Stockholm-</w:t>
      </w:r>
      <w:proofErr w:type="spellStart"/>
      <w:r>
        <w:t>sáttmálan</w:t>
      </w:r>
      <w:proofErr w:type="spellEnd"/>
      <w:r>
        <w:t xml:space="preserve">. </w:t>
      </w:r>
      <w:proofErr w:type="spellStart"/>
      <w:r w:rsidRPr="008C4637">
        <w:t>Heilsufrøðiliga</w:t>
      </w:r>
      <w:proofErr w:type="spellEnd"/>
      <w:r w:rsidRPr="008C4637">
        <w:t xml:space="preserve"> </w:t>
      </w:r>
      <w:proofErr w:type="spellStart"/>
      <w:r w:rsidRPr="008C4637">
        <w:t>starvsstovan</w:t>
      </w:r>
      <w:proofErr w:type="spellEnd"/>
      <w:r>
        <w:t xml:space="preserve"> [</w:t>
      </w:r>
      <w:r w:rsidRPr="008C4637">
        <w:t>Færøernes sundhedsdirektorat</w:t>
      </w:r>
      <w:r>
        <w:t>]</w:t>
      </w:r>
    </w:p>
    <w:p w14:paraId="0540C1EB" w14:textId="1221C4BE" w:rsidR="00C37679" w:rsidRDefault="00C37679" w:rsidP="00C37679">
      <w:pPr>
        <w:pStyle w:val="Brdtekst"/>
      </w:pPr>
      <w:proofErr w:type="spellStart"/>
      <w:r>
        <w:lastRenderedPageBreak/>
        <w:t>Inatsiartut</w:t>
      </w:r>
      <w:proofErr w:type="spellEnd"/>
      <w:r>
        <w:t xml:space="preserve"> (2008). </w:t>
      </w:r>
      <w:r w:rsidRPr="00C37679">
        <w:t>Forslag til Landstingsbeslutning om at Landsstyret arbejder for, at Grønland ratificerer Stockholm-konventionen.</w:t>
      </w:r>
      <w:r>
        <w:t xml:space="preserve"> Svarnotat (Landsstyremedlemmet for Infrastruktur, Miljø og Råstoffer).</w:t>
      </w:r>
    </w:p>
    <w:p w14:paraId="23149035" w14:textId="6AD9C514" w:rsidR="00DB41DD" w:rsidRDefault="00DB41DD" w:rsidP="00DB41DD">
      <w:pPr>
        <w:pStyle w:val="Brdtekst"/>
      </w:pPr>
      <w:r>
        <w:t xml:space="preserve">Larsen, P.B, </w:t>
      </w:r>
      <w:proofErr w:type="spellStart"/>
      <w:r w:rsidRPr="00DB41DD">
        <w:t>Giovalle</w:t>
      </w:r>
      <w:proofErr w:type="spellEnd"/>
      <w:r>
        <w:t xml:space="preserve">, E. (2015) </w:t>
      </w:r>
      <w:proofErr w:type="spellStart"/>
      <w:r>
        <w:t>Perfluoroalkylated</w:t>
      </w:r>
      <w:proofErr w:type="spellEnd"/>
      <w:r>
        <w:t xml:space="preserve"> </w:t>
      </w:r>
      <w:proofErr w:type="spellStart"/>
      <w:r>
        <w:t>substances</w:t>
      </w:r>
      <w:proofErr w:type="spellEnd"/>
      <w:r>
        <w:t xml:space="preserve">: PFOA, PFOS and PFOSA. </w:t>
      </w:r>
      <w:r w:rsidRPr="00C64430">
        <w:rPr>
          <w:lang w:val="en-US"/>
        </w:rPr>
        <w:t xml:space="preserve">Evaluation of health hazards and proposal of a health based quality criterion for drinking water, soil and ground water. </w:t>
      </w:r>
      <w:proofErr w:type="spellStart"/>
      <w:r>
        <w:t>Environmental</w:t>
      </w:r>
      <w:proofErr w:type="spellEnd"/>
      <w:r>
        <w:t xml:space="preserve"> </w:t>
      </w:r>
      <w:proofErr w:type="spellStart"/>
      <w:r>
        <w:t>project</w:t>
      </w:r>
      <w:proofErr w:type="spellEnd"/>
      <w:r>
        <w:t xml:space="preserve"> No. 1665. Miljøstyrelsen, København.</w:t>
      </w:r>
    </w:p>
    <w:p w14:paraId="18A13751" w14:textId="7CD82FDD" w:rsidR="00336C1A" w:rsidRDefault="00336C1A" w:rsidP="00336C1A">
      <w:pPr>
        <w:pStyle w:val="Brdtekst"/>
      </w:pPr>
      <w:r>
        <w:t>Lassen</w:t>
      </w:r>
      <w:r w:rsidR="0022088C">
        <w:t>, C., Løkke, S., Andersen, L.I. (1999).</w:t>
      </w:r>
      <w:r>
        <w:t xml:space="preserve"> </w:t>
      </w:r>
      <w:r w:rsidRPr="00C64430">
        <w:rPr>
          <w:lang w:val="en-US"/>
        </w:rPr>
        <w:t>Brominated Flame Retardants. Substan</w:t>
      </w:r>
      <w:r w:rsidR="00C13C6E" w:rsidRPr="00C64430">
        <w:rPr>
          <w:lang w:val="en-US"/>
        </w:rPr>
        <w:t>ce flow analysis and assessment of altern</w:t>
      </w:r>
      <w:r w:rsidRPr="00C64430">
        <w:rPr>
          <w:lang w:val="en-US"/>
        </w:rPr>
        <w:t>atives</w:t>
      </w:r>
      <w:r w:rsidR="0022088C" w:rsidRPr="00C64430">
        <w:rPr>
          <w:lang w:val="en-US"/>
        </w:rPr>
        <w:t>.</w:t>
      </w:r>
      <w:r w:rsidRPr="00C64430">
        <w:rPr>
          <w:lang w:val="en-US"/>
        </w:rPr>
        <w:t xml:space="preserve"> </w:t>
      </w:r>
      <w:proofErr w:type="spellStart"/>
      <w:r w:rsidRPr="00336C1A">
        <w:t>En</w:t>
      </w:r>
      <w:r>
        <w:t>vironmental</w:t>
      </w:r>
      <w:proofErr w:type="spellEnd"/>
      <w:r>
        <w:t xml:space="preserve"> Project Nr. 49. Miljøstyrelsen, København. </w:t>
      </w:r>
    </w:p>
    <w:p w14:paraId="45879CCC" w14:textId="04A9E086" w:rsidR="00C4337F" w:rsidRDefault="00C4337F" w:rsidP="001F6BF2">
      <w:pPr>
        <w:pStyle w:val="Brdtekst"/>
      </w:pPr>
      <w:r w:rsidRPr="00491AA3">
        <w:t xml:space="preserve">Lassen, </w:t>
      </w:r>
      <w:r>
        <w:t xml:space="preserve">C., </w:t>
      </w:r>
      <w:r w:rsidRPr="00491AA3">
        <w:t>Maag,</w:t>
      </w:r>
      <w:r>
        <w:t xml:space="preserve"> J.,</w:t>
      </w:r>
      <w:r w:rsidRPr="00491AA3">
        <w:t xml:space="preserve"> </w:t>
      </w:r>
      <w:proofErr w:type="spellStart"/>
      <w:r w:rsidRPr="00491AA3">
        <w:t>Høibye</w:t>
      </w:r>
      <w:proofErr w:type="spellEnd"/>
      <w:r w:rsidRPr="00491AA3">
        <w:t>,</w:t>
      </w:r>
      <w:r>
        <w:t xml:space="preserve"> L.,</w:t>
      </w:r>
      <w:r w:rsidRPr="00491AA3">
        <w:t xml:space="preserve"> </w:t>
      </w:r>
      <w:proofErr w:type="spellStart"/>
      <w:r w:rsidRPr="00491AA3">
        <w:t>Vesterlykke</w:t>
      </w:r>
      <w:proofErr w:type="spellEnd"/>
      <w:r w:rsidRPr="00491AA3">
        <w:t>,</w:t>
      </w:r>
      <w:r>
        <w:t xml:space="preserve"> M.,</w:t>
      </w:r>
      <w:r w:rsidRPr="00491AA3">
        <w:t xml:space="preserve"> Lundegaard</w:t>
      </w:r>
      <w:r>
        <w:t xml:space="preserve">, T. (2011). </w:t>
      </w:r>
      <w:r w:rsidRPr="00C64430">
        <w:rPr>
          <w:lang w:val="en-US"/>
        </w:rPr>
        <w:t xml:space="preserve">Alternatives to the use of flame retarded EPS in buildings. </w:t>
      </w:r>
      <w:r>
        <w:t xml:space="preserve">TA-2827/2011. Klima- og </w:t>
      </w:r>
      <w:proofErr w:type="spellStart"/>
      <w:r>
        <w:t>forurensningsdirektoratet</w:t>
      </w:r>
      <w:proofErr w:type="spellEnd"/>
      <w:r>
        <w:t>, Oslo.</w:t>
      </w:r>
    </w:p>
    <w:p w14:paraId="4C4810B7" w14:textId="7E971266" w:rsidR="005336DD" w:rsidRDefault="005336DD" w:rsidP="001F6BF2">
      <w:pPr>
        <w:pStyle w:val="Brdtekst"/>
      </w:pPr>
      <w:r w:rsidRPr="001F6BF2">
        <w:t xml:space="preserve">Lassen, C., H. Husum, J. </w:t>
      </w:r>
      <w:proofErr w:type="spellStart"/>
      <w:r w:rsidRPr="001F6BF2">
        <w:t>Kjølholt</w:t>
      </w:r>
      <w:proofErr w:type="spellEnd"/>
      <w:r w:rsidRPr="001F6BF2">
        <w:t>, E.</w:t>
      </w:r>
      <w:r>
        <w:t xml:space="preserve"> </w:t>
      </w:r>
      <w:r w:rsidRPr="001F6BF2">
        <w:t>Hansen, C.N. Jeppesen.</w:t>
      </w:r>
      <w:r>
        <w:t xml:space="preserve"> (</w:t>
      </w:r>
      <w:r w:rsidRPr="001F6BF2">
        <w:t>2013</w:t>
      </w:r>
      <w:r w:rsidR="00187F22">
        <w:t>a</w:t>
      </w:r>
      <w:r>
        <w:t>)</w:t>
      </w:r>
      <w:r w:rsidRPr="001F6BF2">
        <w:t>. Opdateret national implementeringsplan for Stockholmkonventionen</w:t>
      </w:r>
      <w:r>
        <w:t xml:space="preserve"> </w:t>
      </w:r>
      <w:r w:rsidRPr="001F6BF2">
        <w:t>2012. Redegørelse fra Miljøstyrelsen nr. 2</w:t>
      </w:r>
      <w:r>
        <w:t>.</w:t>
      </w:r>
      <w:r w:rsidR="00DB41DD">
        <w:t xml:space="preserve"> Miljøstyrelsen, København.</w:t>
      </w:r>
    </w:p>
    <w:p w14:paraId="61D77CF5" w14:textId="732A204F" w:rsidR="00C35ABC" w:rsidRPr="00432B8C" w:rsidRDefault="00C35ABC" w:rsidP="00C35ABC">
      <w:pPr>
        <w:pStyle w:val="Brdtekst"/>
      </w:pPr>
      <w:r w:rsidRPr="00432B8C">
        <w:t xml:space="preserve">Lassen, C., Jensen, A.A, </w:t>
      </w:r>
      <w:proofErr w:type="spellStart"/>
      <w:r w:rsidRPr="00432B8C">
        <w:t>Crookes</w:t>
      </w:r>
      <w:proofErr w:type="spellEnd"/>
      <w:r w:rsidRPr="00432B8C">
        <w:t>, M., Christensen, F., Jeppesen, C.N., Clausen, A.J., Mikkelsen, S.</w:t>
      </w:r>
      <w:r w:rsidR="00234A7B" w:rsidRPr="00432B8C">
        <w:t>H</w:t>
      </w:r>
      <w:r w:rsidRPr="00432B8C">
        <w:t>. (2013</w:t>
      </w:r>
      <w:r w:rsidR="00187F22" w:rsidRPr="00432B8C">
        <w:t>b</w:t>
      </w:r>
      <w:r w:rsidRPr="00432B8C">
        <w:t xml:space="preserve">). </w:t>
      </w:r>
      <w:r w:rsidRPr="00C64430">
        <w:rPr>
          <w:lang w:val="en-US"/>
        </w:rPr>
        <w:t xml:space="preserve">Survey of brominated </w:t>
      </w:r>
      <w:proofErr w:type="gramStart"/>
      <w:r w:rsidRPr="00C64430">
        <w:rPr>
          <w:lang w:val="en-US"/>
        </w:rPr>
        <w:t>flame retardants</w:t>
      </w:r>
      <w:proofErr w:type="gramEnd"/>
      <w:r w:rsidRPr="00C64430">
        <w:rPr>
          <w:lang w:val="en-US"/>
        </w:rPr>
        <w:t xml:space="preserve">. Part of the LOUS-review. </w:t>
      </w:r>
      <w:proofErr w:type="spellStart"/>
      <w:r w:rsidRPr="00432B8C">
        <w:t>Environmental</w:t>
      </w:r>
      <w:proofErr w:type="spellEnd"/>
      <w:r w:rsidRPr="00432B8C">
        <w:t xml:space="preserve"> Project No. 1536</w:t>
      </w:r>
      <w:r w:rsidR="003523BE" w:rsidRPr="00432B8C">
        <w:t>.</w:t>
      </w:r>
      <w:r w:rsidRPr="00432B8C">
        <w:t xml:space="preserve"> Miljøstyrelsen, København.</w:t>
      </w:r>
    </w:p>
    <w:p w14:paraId="1B6BC4BD" w14:textId="3F546B21" w:rsidR="00117E1F" w:rsidRDefault="00117E1F" w:rsidP="001F6BF2">
      <w:pPr>
        <w:pStyle w:val="Brdtekst"/>
      </w:pPr>
      <w:r w:rsidRPr="00117E1F">
        <w:t xml:space="preserve">LH </w:t>
      </w:r>
      <w:proofErr w:type="spellStart"/>
      <w:r w:rsidRPr="00117E1F">
        <w:t>Siunnersorti</w:t>
      </w:r>
      <w:proofErr w:type="spellEnd"/>
      <w:r>
        <w:t xml:space="preserve"> (2016), personlig kommunikation med Jesper Johannesen, </w:t>
      </w:r>
      <w:proofErr w:type="gramStart"/>
      <w:r>
        <w:t>December</w:t>
      </w:r>
      <w:proofErr w:type="gramEnd"/>
      <w:r>
        <w:t xml:space="preserve"> 2016. </w:t>
      </w:r>
    </w:p>
    <w:p w14:paraId="03B62456" w14:textId="093EE726" w:rsidR="005336DD" w:rsidRDefault="005336DD" w:rsidP="001F6BF2">
      <w:pPr>
        <w:pStyle w:val="Brdtekst"/>
      </w:pPr>
      <w:proofErr w:type="spellStart"/>
      <w:r>
        <w:t>Letcher</w:t>
      </w:r>
      <w:proofErr w:type="spellEnd"/>
      <w:r>
        <w:t xml:space="preserve">, R.J., </w:t>
      </w:r>
      <w:proofErr w:type="spellStart"/>
      <w:r>
        <w:t>Bustnes</w:t>
      </w:r>
      <w:proofErr w:type="spellEnd"/>
      <w:r>
        <w:t xml:space="preserve"> J.O., Dietz, R., Jenssen, B.M., Jørgensen, E.H., Sonne, C., </w:t>
      </w:r>
      <w:proofErr w:type="spellStart"/>
      <w:r>
        <w:t>Verreault</w:t>
      </w:r>
      <w:proofErr w:type="spellEnd"/>
      <w:r>
        <w:t xml:space="preserve">, J., </w:t>
      </w:r>
      <w:proofErr w:type="spellStart"/>
      <w:r>
        <w:t>Vijayan</w:t>
      </w:r>
      <w:proofErr w:type="spellEnd"/>
      <w:r>
        <w:t xml:space="preserve">, M.M., Gabrielsen, G.W. (2010). </w:t>
      </w:r>
      <w:r w:rsidRPr="00C64430">
        <w:rPr>
          <w:lang w:val="en-US"/>
        </w:rPr>
        <w:t xml:space="preserve">Exposure and effects assessment of persistent </w:t>
      </w:r>
      <w:proofErr w:type="spellStart"/>
      <w:r w:rsidRPr="00C64430">
        <w:rPr>
          <w:lang w:val="en-US"/>
        </w:rPr>
        <w:t>organohalogen</w:t>
      </w:r>
      <w:proofErr w:type="spellEnd"/>
      <w:r w:rsidRPr="00C64430">
        <w:rPr>
          <w:lang w:val="en-US"/>
        </w:rPr>
        <w:t xml:space="preserve"> contaminants in arctic wildlife and fish. </w:t>
      </w:r>
      <w:r>
        <w:t>Science of the Total Environment</w:t>
      </w:r>
      <w:r w:rsidR="003523BE">
        <w:t>,</w:t>
      </w:r>
      <w:r>
        <w:t xml:space="preserve"> 408</w:t>
      </w:r>
      <w:r w:rsidR="003523BE">
        <w:t>,</w:t>
      </w:r>
      <w:r>
        <w:t xml:space="preserve"> 2995-3043.</w:t>
      </w:r>
    </w:p>
    <w:p w14:paraId="7D9CA146" w14:textId="4D364B69" w:rsidR="005336DD" w:rsidRDefault="005336DD" w:rsidP="001F6BF2">
      <w:pPr>
        <w:pStyle w:val="Brdtekst"/>
      </w:pPr>
      <w:r>
        <w:t xml:space="preserve">Miljøministeriet (2006). National implementeringsplan. Stockholmkonventionen om </w:t>
      </w:r>
      <w:proofErr w:type="spellStart"/>
      <w:r>
        <w:t>persistente</w:t>
      </w:r>
      <w:proofErr w:type="spellEnd"/>
      <w:r>
        <w:t xml:space="preserve"> organiske forurenende stoffer.</w:t>
      </w:r>
    </w:p>
    <w:p w14:paraId="575DA1B4" w14:textId="75414864" w:rsidR="007E42C2" w:rsidRDefault="007E42C2" w:rsidP="007E42C2">
      <w:pPr>
        <w:pStyle w:val="Brdtekst"/>
      </w:pPr>
      <w:r>
        <w:t xml:space="preserve">Miljøstyrelsen (2015). Administrative overvejelser og fastlæggelse af grænseværdier for </w:t>
      </w:r>
      <w:proofErr w:type="spellStart"/>
      <w:r>
        <w:t>perfluorerede</w:t>
      </w:r>
      <w:proofErr w:type="spellEnd"/>
      <w:r>
        <w:t xml:space="preserve"> </w:t>
      </w:r>
      <w:proofErr w:type="spellStart"/>
      <w:r>
        <w:t>alkylsyreforbindelser</w:t>
      </w:r>
      <w:proofErr w:type="spellEnd"/>
      <w:r>
        <w:t xml:space="preserve"> (PFAS-forbindelser), inkl. PFOA, PFOS og PFOSA i drikkevand, samt jord og grundvand til vurdering af forurenede grunde. Miljøstyrelse</w:t>
      </w:r>
      <w:r w:rsidR="003523BE">
        <w:t>n</w:t>
      </w:r>
      <w:r>
        <w:t xml:space="preserve">, København. </w:t>
      </w:r>
    </w:p>
    <w:p w14:paraId="64831073" w14:textId="3212A296" w:rsidR="00AF1FCA" w:rsidRDefault="00AF1FCA" w:rsidP="00AF1FCA">
      <w:pPr>
        <w:pStyle w:val="Brdtekst"/>
      </w:pPr>
      <w:r>
        <w:t xml:space="preserve">MFVM (2018). </w:t>
      </w:r>
      <w:proofErr w:type="spellStart"/>
      <w:r>
        <w:t>Updated</w:t>
      </w:r>
      <w:proofErr w:type="spellEnd"/>
      <w:r>
        <w:t xml:space="preserve"> National </w:t>
      </w:r>
      <w:proofErr w:type="spellStart"/>
      <w:r>
        <w:t>Implementation</w:t>
      </w:r>
      <w:proofErr w:type="spellEnd"/>
      <w:r>
        <w:t xml:space="preserve"> Plan for the Stockholm </w:t>
      </w:r>
      <w:proofErr w:type="spellStart"/>
      <w:r>
        <w:t>Convention</w:t>
      </w:r>
      <w:proofErr w:type="spellEnd"/>
      <w:r>
        <w:t xml:space="preserve"> 2018. Miljø- og Fødevareministeriet, København. </w:t>
      </w:r>
    </w:p>
    <w:p w14:paraId="661859F3" w14:textId="21E24964" w:rsidR="008B7823" w:rsidRDefault="008B7823" w:rsidP="005B2729">
      <w:pPr>
        <w:pStyle w:val="Brdtekst"/>
      </w:pPr>
      <w:proofErr w:type="spellStart"/>
      <w:r w:rsidRPr="006C4D11">
        <w:t>Mittarfeqarfiit</w:t>
      </w:r>
      <w:proofErr w:type="spellEnd"/>
      <w:r>
        <w:t xml:space="preserve"> (2016). Personlig kontakt med Niels Grosen, </w:t>
      </w:r>
      <w:proofErr w:type="spellStart"/>
      <w:r w:rsidRPr="006C4D11">
        <w:t>Mittarfeqarfiit</w:t>
      </w:r>
      <w:proofErr w:type="spellEnd"/>
      <w:r>
        <w:t xml:space="preserve">. </w:t>
      </w:r>
    </w:p>
    <w:p w14:paraId="7CE3F6CF" w14:textId="77777777" w:rsidR="005336DD" w:rsidRDefault="005336DD" w:rsidP="005B2729">
      <w:pPr>
        <w:pStyle w:val="Brdtekst"/>
      </w:pPr>
      <w:proofErr w:type="spellStart"/>
      <w:r>
        <w:t>Naalakkersuisut</w:t>
      </w:r>
      <w:proofErr w:type="spellEnd"/>
      <w:r>
        <w:t xml:space="preserve"> (2015). Anlægssektorplan for affaldsområdet. </w:t>
      </w:r>
      <w:r w:rsidRPr="005B2729">
        <w:t>Departementet for Natur, Miljø og Justitsområdet</w:t>
      </w:r>
      <w:r>
        <w:t xml:space="preserve">, </w:t>
      </w:r>
      <w:proofErr w:type="spellStart"/>
      <w:r>
        <w:t>Naalakkersuisut</w:t>
      </w:r>
      <w:proofErr w:type="spellEnd"/>
      <w:r>
        <w:t xml:space="preserve">, </w:t>
      </w:r>
      <w:proofErr w:type="gramStart"/>
      <w:r w:rsidRPr="005B2729">
        <w:t>April</w:t>
      </w:r>
      <w:proofErr w:type="gramEnd"/>
      <w:r w:rsidRPr="005B2729">
        <w:t xml:space="preserve"> 2015</w:t>
      </w:r>
      <w:r>
        <w:t xml:space="preserve">. </w:t>
      </w:r>
    </w:p>
    <w:p w14:paraId="7072E447" w14:textId="4B39A46B" w:rsidR="00D03D5F" w:rsidRDefault="00D03D5F" w:rsidP="00D03D5F">
      <w:pPr>
        <w:pStyle w:val="Brdtekst"/>
      </w:pPr>
      <w:r>
        <w:lastRenderedPageBreak/>
        <w:t xml:space="preserve">Nikolaisen, E.S., </w:t>
      </w:r>
      <w:proofErr w:type="spellStart"/>
      <w:r>
        <w:t>Tsi</w:t>
      </w:r>
      <w:r w:rsidR="006619EF">
        <w:t>tonaki</w:t>
      </w:r>
      <w:proofErr w:type="spellEnd"/>
      <w:r w:rsidR="006619EF">
        <w:t>, K. (2016).</w:t>
      </w:r>
      <w:r>
        <w:t xml:space="preserve"> Kortlægnin</w:t>
      </w:r>
      <w:r w:rsidR="008B1B83">
        <w:t>g af brancher der anvender PFAS</w:t>
      </w:r>
      <w:r>
        <w:t xml:space="preserve">. Miljøprojekt nr. 1905. Miljøstyrelsen, København. </w:t>
      </w:r>
    </w:p>
    <w:p w14:paraId="3A5B370A" w14:textId="3C188012" w:rsidR="00A354B8" w:rsidRDefault="00A354B8" w:rsidP="00A354B8">
      <w:pPr>
        <w:pStyle w:val="Brdtekst"/>
        <w:keepLines/>
      </w:pPr>
      <w:proofErr w:type="spellStart"/>
      <w:r>
        <w:t>Odsbjerg</w:t>
      </w:r>
      <w:proofErr w:type="spellEnd"/>
      <w:r>
        <w:t xml:space="preserve">, L., </w:t>
      </w:r>
      <w:proofErr w:type="spellStart"/>
      <w:r>
        <w:t>Sejerøe</w:t>
      </w:r>
      <w:proofErr w:type="spellEnd"/>
      <w:r>
        <w:t xml:space="preserve">, L.H., Damsgaard, J.T., Jensen, S. (2016). Indsamling af data om fund af kort- og mellemkædede </w:t>
      </w:r>
      <w:proofErr w:type="spellStart"/>
      <w:r>
        <w:t>chlorparaffiner</w:t>
      </w:r>
      <w:proofErr w:type="spellEnd"/>
      <w:r>
        <w:t xml:space="preserve"> i danske bygninger. Miljøprojekt nr. 1830</w:t>
      </w:r>
      <w:r w:rsidR="00AA581E">
        <w:t>.</w:t>
      </w:r>
      <w:r>
        <w:t xml:space="preserve"> </w:t>
      </w:r>
    </w:p>
    <w:p w14:paraId="5080511E" w14:textId="36F7D43C" w:rsidR="005336DD" w:rsidRPr="00C64430" w:rsidRDefault="005336DD" w:rsidP="00507C0F">
      <w:pPr>
        <w:pStyle w:val="Brdtekst"/>
        <w:keepLines/>
        <w:rPr>
          <w:lang w:val="en-US"/>
        </w:rPr>
      </w:pPr>
      <w:proofErr w:type="spellStart"/>
      <w:r>
        <w:t>Pavlova</w:t>
      </w:r>
      <w:proofErr w:type="spellEnd"/>
      <w:r>
        <w:t xml:space="preserve">, V.M., Grimm, V., Sonne, C., </w:t>
      </w:r>
      <w:proofErr w:type="spellStart"/>
      <w:r>
        <w:t>Vorkamp</w:t>
      </w:r>
      <w:proofErr w:type="spellEnd"/>
      <w:r>
        <w:t xml:space="preserve">, K., </w:t>
      </w:r>
      <w:proofErr w:type="spellStart"/>
      <w:r>
        <w:t>Rigét</w:t>
      </w:r>
      <w:proofErr w:type="spellEnd"/>
      <w:r>
        <w:t xml:space="preserve">, F.F., </w:t>
      </w:r>
      <w:proofErr w:type="spellStart"/>
      <w:r>
        <w:t>Letcher</w:t>
      </w:r>
      <w:proofErr w:type="spellEnd"/>
      <w:r>
        <w:t xml:space="preserve">, R.J., Gustavson, K., </w:t>
      </w:r>
      <w:proofErr w:type="spellStart"/>
      <w:r>
        <w:t>Desforges</w:t>
      </w:r>
      <w:proofErr w:type="spellEnd"/>
      <w:r>
        <w:t xml:space="preserve">, </w:t>
      </w:r>
      <w:proofErr w:type="gramStart"/>
      <w:r>
        <w:t>J,-</w:t>
      </w:r>
      <w:proofErr w:type="gramEnd"/>
      <w:r>
        <w:t xml:space="preserve">P., Nabe-Nielsen, J. (2016). </w:t>
      </w:r>
      <w:r w:rsidRPr="00C64430">
        <w:rPr>
          <w:lang w:val="en-US"/>
        </w:rPr>
        <w:t>Modeling Population-Level Consequences of Polychlorinated Biphenyl Exposure in East Greenland Polar Bears. Archives of Environmental Contamination and Toxicology</w:t>
      </w:r>
      <w:r w:rsidR="003523BE" w:rsidRPr="00C64430">
        <w:rPr>
          <w:lang w:val="en-US"/>
        </w:rPr>
        <w:t>,</w:t>
      </w:r>
      <w:r w:rsidRPr="00C64430">
        <w:rPr>
          <w:lang w:val="en-US"/>
        </w:rPr>
        <w:t xml:space="preserve"> 70</w:t>
      </w:r>
      <w:r w:rsidR="003523BE" w:rsidRPr="00C64430">
        <w:rPr>
          <w:lang w:val="en-US"/>
        </w:rPr>
        <w:t>,</w:t>
      </w:r>
      <w:r w:rsidRPr="00C64430">
        <w:rPr>
          <w:lang w:val="en-US"/>
        </w:rPr>
        <w:t>143-154.</w:t>
      </w:r>
    </w:p>
    <w:p w14:paraId="65B4D7B8" w14:textId="77777777" w:rsidR="005336DD" w:rsidRPr="00432B8C" w:rsidRDefault="005336DD" w:rsidP="00453337">
      <w:pPr>
        <w:pStyle w:val="Brdtekst"/>
        <w:rPr>
          <w:lang w:val="en-US"/>
        </w:rPr>
      </w:pPr>
      <w:proofErr w:type="spellStart"/>
      <w:r w:rsidRPr="00432B8C">
        <w:rPr>
          <w:lang w:val="en-US"/>
        </w:rPr>
        <w:t>Rambøll</w:t>
      </w:r>
      <w:proofErr w:type="spellEnd"/>
      <w:r w:rsidRPr="00432B8C">
        <w:rPr>
          <w:lang w:val="en-US"/>
        </w:rPr>
        <w:t xml:space="preserve"> (2005a). </w:t>
      </w:r>
      <w:proofErr w:type="spellStart"/>
      <w:r w:rsidRPr="00432B8C">
        <w:rPr>
          <w:lang w:val="en-US"/>
        </w:rPr>
        <w:t>Implementering</w:t>
      </w:r>
      <w:proofErr w:type="spellEnd"/>
      <w:r w:rsidRPr="00432B8C">
        <w:rPr>
          <w:lang w:val="en-US"/>
        </w:rPr>
        <w:t xml:space="preserve"> </w:t>
      </w:r>
      <w:proofErr w:type="spellStart"/>
      <w:proofErr w:type="gramStart"/>
      <w:r w:rsidRPr="00432B8C">
        <w:rPr>
          <w:lang w:val="en-US"/>
        </w:rPr>
        <w:t>af</w:t>
      </w:r>
      <w:proofErr w:type="spellEnd"/>
      <w:proofErr w:type="gramEnd"/>
      <w:r w:rsidRPr="00432B8C">
        <w:rPr>
          <w:lang w:val="en-US"/>
        </w:rPr>
        <w:t xml:space="preserve"> Stockholm </w:t>
      </w:r>
      <w:proofErr w:type="spellStart"/>
      <w:r w:rsidRPr="00432B8C">
        <w:rPr>
          <w:lang w:val="en-US"/>
        </w:rPr>
        <w:t>konventionen</w:t>
      </w:r>
      <w:proofErr w:type="spellEnd"/>
      <w:r w:rsidRPr="00432B8C">
        <w:rPr>
          <w:lang w:val="en-US"/>
        </w:rPr>
        <w:t xml:space="preserve"> </w:t>
      </w:r>
      <w:proofErr w:type="spellStart"/>
      <w:r w:rsidRPr="00432B8C">
        <w:rPr>
          <w:lang w:val="en-US"/>
        </w:rPr>
        <w:t>og</w:t>
      </w:r>
      <w:proofErr w:type="spellEnd"/>
      <w:r w:rsidRPr="00432B8C">
        <w:rPr>
          <w:lang w:val="en-US"/>
        </w:rPr>
        <w:t xml:space="preserve"> POP-</w:t>
      </w:r>
      <w:proofErr w:type="spellStart"/>
      <w:r w:rsidRPr="00432B8C">
        <w:rPr>
          <w:lang w:val="en-US"/>
        </w:rPr>
        <w:t>protokollen</w:t>
      </w:r>
      <w:proofErr w:type="spellEnd"/>
      <w:r w:rsidRPr="00432B8C">
        <w:rPr>
          <w:lang w:val="en-US"/>
        </w:rPr>
        <w:t xml:space="preserve"> </w:t>
      </w:r>
      <w:proofErr w:type="spellStart"/>
      <w:r w:rsidRPr="00432B8C">
        <w:rPr>
          <w:lang w:val="en-US"/>
        </w:rPr>
        <w:t>i</w:t>
      </w:r>
      <w:proofErr w:type="spellEnd"/>
      <w:r w:rsidRPr="00432B8C">
        <w:rPr>
          <w:lang w:val="en-US"/>
        </w:rPr>
        <w:t xml:space="preserve"> </w:t>
      </w:r>
      <w:proofErr w:type="spellStart"/>
      <w:r w:rsidRPr="00432B8C">
        <w:rPr>
          <w:lang w:val="en-US"/>
        </w:rPr>
        <w:t>Grønland</w:t>
      </w:r>
      <w:proofErr w:type="spellEnd"/>
      <w:r w:rsidRPr="00432B8C">
        <w:rPr>
          <w:lang w:val="en-US"/>
        </w:rPr>
        <w:t xml:space="preserve">. </w:t>
      </w:r>
      <w:proofErr w:type="spellStart"/>
      <w:r w:rsidRPr="00432B8C">
        <w:rPr>
          <w:lang w:val="en-US"/>
        </w:rPr>
        <w:t>Rambøll</w:t>
      </w:r>
      <w:proofErr w:type="spellEnd"/>
      <w:r w:rsidRPr="00432B8C">
        <w:rPr>
          <w:lang w:val="en-US"/>
        </w:rPr>
        <w:t xml:space="preserve"> </w:t>
      </w:r>
      <w:proofErr w:type="spellStart"/>
      <w:r w:rsidRPr="00432B8C">
        <w:rPr>
          <w:lang w:val="en-US"/>
        </w:rPr>
        <w:t>Danmark</w:t>
      </w:r>
      <w:proofErr w:type="spellEnd"/>
      <w:r w:rsidRPr="00432B8C">
        <w:rPr>
          <w:lang w:val="en-US"/>
        </w:rPr>
        <w:t xml:space="preserve"> A/S.</w:t>
      </w:r>
    </w:p>
    <w:p w14:paraId="65C4964B" w14:textId="77777777" w:rsidR="005336DD" w:rsidRPr="004D57DA" w:rsidRDefault="005336DD" w:rsidP="00453337">
      <w:pPr>
        <w:pStyle w:val="Brdtekst"/>
      </w:pPr>
      <w:r w:rsidRPr="00B263ED">
        <w:t xml:space="preserve">Rambøll (2005b). </w:t>
      </w:r>
      <w:r w:rsidRPr="004D57DA">
        <w:t xml:space="preserve">Grønlands Hjemmestyre </w:t>
      </w:r>
      <w:r>
        <w:t xml:space="preserve">- </w:t>
      </w:r>
      <w:r w:rsidRPr="004D57DA">
        <w:t>begrænsning af PCB-udledninger fra det grønlandske samfund</w:t>
      </w:r>
      <w:r>
        <w:t xml:space="preserve">. </w:t>
      </w:r>
      <w:r w:rsidRPr="009620E4">
        <w:t>Oplæg til handlingsplan</w:t>
      </w:r>
      <w:r>
        <w:t xml:space="preserve">. Rambøll Danmark A/S med støtte fra </w:t>
      </w:r>
      <w:r w:rsidRPr="00453337">
        <w:t>Miljøministeriet i Danmark via programmet for Miljøstøtte til Arktis</w:t>
      </w:r>
      <w:r>
        <w:t>.</w:t>
      </w:r>
    </w:p>
    <w:p w14:paraId="41C69D07" w14:textId="237A8277" w:rsidR="005336DD" w:rsidRDefault="005336DD" w:rsidP="00453337">
      <w:pPr>
        <w:pStyle w:val="Brdtekst"/>
      </w:pPr>
      <w:r w:rsidRPr="00B263ED">
        <w:t xml:space="preserve">Rambøll (2005c). </w:t>
      </w:r>
      <w:r w:rsidRPr="004D57DA">
        <w:t>Grønlands Hjemmestyre –</w:t>
      </w:r>
      <w:r w:rsidR="00E96B53">
        <w:t xml:space="preserve"> </w:t>
      </w:r>
      <w:r w:rsidRPr="004D57DA">
        <w:t>begrænsning af dioxinudledninger fra det grønlandske samfund.</w:t>
      </w:r>
      <w:r>
        <w:t xml:space="preserve"> </w:t>
      </w:r>
      <w:r w:rsidRPr="009620E4">
        <w:t>Oplæg til handlingsplan</w:t>
      </w:r>
      <w:r>
        <w:t>.</w:t>
      </w:r>
      <w:r w:rsidRPr="004D57DA">
        <w:t xml:space="preserve"> </w:t>
      </w:r>
      <w:r>
        <w:t>Rambøll Danmark A/S.</w:t>
      </w:r>
    </w:p>
    <w:p w14:paraId="7B82F0F4" w14:textId="77777777" w:rsidR="005336DD" w:rsidRDefault="005336DD" w:rsidP="00453337">
      <w:pPr>
        <w:pStyle w:val="Brdtekst"/>
      </w:pPr>
      <w:r>
        <w:t>Rambøll (2012). Forbrænding af affald. Strategi og organisering. Rambøll for Departementet for Indenrigsanliggender, Miljø og Natur, Grønlands Selvstyre.</w:t>
      </w:r>
    </w:p>
    <w:p w14:paraId="6962B18E" w14:textId="334D51A8" w:rsidR="005336DD" w:rsidRDefault="005336DD" w:rsidP="000C74D9">
      <w:pPr>
        <w:pStyle w:val="Brdtekst"/>
      </w:pPr>
      <w:r>
        <w:t xml:space="preserve">Rambøll (2016). Gennemgang af tilstandsvurderinger. Anbefalinger for forbrændingsanlæg. Rambøll maj 2016. Inkl. rapporter for hvert anlæg. </w:t>
      </w:r>
    </w:p>
    <w:p w14:paraId="384265C9" w14:textId="52DDA05F" w:rsidR="001313DB" w:rsidRDefault="001313DB" w:rsidP="000C74D9">
      <w:pPr>
        <w:pStyle w:val="Brdtekst"/>
      </w:pPr>
      <w:r w:rsidRPr="001313DB">
        <w:t xml:space="preserve">Rasmussen (2019). Personlig kontakt med Frank Rasmussen, </w:t>
      </w:r>
      <w:proofErr w:type="spellStart"/>
      <w:r w:rsidRPr="001313DB">
        <w:t>Kommuneqarfik</w:t>
      </w:r>
      <w:proofErr w:type="spellEnd"/>
      <w:r w:rsidRPr="001313DB">
        <w:t xml:space="preserve"> </w:t>
      </w:r>
      <w:proofErr w:type="spellStart"/>
      <w:r w:rsidRPr="001313DB">
        <w:t>Sermersooq</w:t>
      </w:r>
      <w:proofErr w:type="spellEnd"/>
      <w:r w:rsidRPr="001313DB">
        <w:t>.</w:t>
      </w:r>
    </w:p>
    <w:p w14:paraId="0A428A9A" w14:textId="12F61958" w:rsidR="005336DD" w:rsidRPr="00C64430" w:rsidRDefault="005336DD" w:rsidP="000C74D9">
      <w:pPr>
        <w:pStyle w:val="Brdtekst"/>
        <w:rPr>
          <w:lang w:val="en-US"/>
        </w:rPr>
      </w:pPr>
      <w:proofErr w:type="spellStart"/>
      <w:r>
        <w:t>Rigét</w:t>
      </w:r>
      <w:proofErr w:type="spellEnd"/>
      <w:r>
        <w:t xml:space="preserve">, F.F., </w:t>
      </w:r>
      <w:proofErr w:type="spellStart"/>
      <w:r>
        <w:t>Vorkamp</w:t>
      </w:r>
      <w:proofErr w:type="spellEnd"/>
      <w:r>
        <w:t xml:space="preserve">, K., </w:t>
      </w:r>
      <w:proofErr w:type="spellStart"/>
      <w:r>
        <w:t>Bossi</w:t>
      </w:r>
      <w:proofErr w:type="spellEnd"/>
      <w:r>
        <w:t xml:space="preserve">, R., </w:t>
      </w:r>
      <w:proofErr w:type="spellStart"/>
      <w:r>
        <w:t>Lethcher</w:t>
      </w:r>
      <w:proofErr w:type="spellEnd"/>
      <w:r>
        <w:t xml:space="preserve">, R.J., Dietz, R. (2015). </w:t>
      </w:r>
      <w:r w:rsidRPr="00C64430">
        <w:rPr>
          <w:lang w:val="en-US"/>
        </w:rPr>
        <w:t>Twenty years of monitoring of persistent organic pollutants in Greenland biota. A review. Environmental Pollution</w:t>
      </w:r>
      <w:r w:rsidR="00592042" w:rsidRPr="00C64430">
        <w:rPr>
          <w:lang w:val="en-US"/>
        </w:rPr>
        <w:t>,</w:t>
      </w:r>
      <w:r w:rsidRPr="00C64430">
        <w:rPr>
          <w:lang w:val="en-US"/>
        </w:rPr>
        <w:t xml:space="preserve"> </w:t>
      </w:r>
      <w:r w:rsidR="00592042" w:rsidRPr="00C64430">
        <w:rPr>
          <w:lang w:val="en-US"/>
        </w:rPr>
        <w:t>217</w:t>
      </w:r>
      <w:r w:rsidR="00AA581E" w:rsidRPr="00C64430">
        <w:rPr>
          <w:lang w:val="en-US"/>
        </w:rPr>
        <w:t xml:space="preserve">, </w:t>
      </w:r>
      <w:r w:rsidR="00592042" w:rsidRPr="00C64430">
        <w:rPr>
          <w:lang w:val="en-US"/>
        </w:rPr>
        <w:t>114-123.</w:t>
      </w:r>
    </w:p>
    <w:p w14:paraId="35CBECA5" w14:textId="32922AE5" w:rsidR="005336DD" w:rsidRPr="00C64430" w:rsidRDefault="005336DD" w:rsidP="000C74D9">
      <w:pPr>
        <w:pStyle w:val="Brdtekst"/>
        <w:rPr>
          <w:lang w:val="en-US"/>
        </w:rPr>
      </w:pPr>
      <w:proofErr w:type="spellStart"/>
      <w:r w:rsidRPr="00C64430">
        <w:rPr>
          <w:lang w:val="en-US"/>
        </w:rPr>
        <w:t>Sonne</w:t>
      </w:r>
      <w:proofErr w:type="spellEnd"/>
      <w:r w:rsidRPr="00C64430">
        <w:rPr>
          <w:lang w:val="en-US"/>
        </w:rPr>
        <w:t xml:space="preserve">, C., Dietz, R., Letcher, R.J. (2013). Chemical cocktail party in East Greenland: A first time evaluation of human </w:t>
      </w:r>
      <w:proofErr w:type="spellStart"/>
      <w:r w:rsidRPr="00C64430">
        <w:rPr>
          <w:lang w:val="en-US"/>
        </w:rPr>
        <w:t>organohalogen</w:t>
      </w:r>
      <w:proofErr w:type="spellEnd"/>
      <w:r w:rsidRPr="00C64430">
        <w:rPr>
          <w:lang w:val="en-US"/>
        </w:rPr>
        <w:t xml:space="preserve"> exposure from consumption of ringed seal and polar bear tissues and possible health implications. Toxicological &amp; Environmental Chemistry</w:t>
      </w:r>
      <w:r w:rsidR="003523BE" w:rsidRPr="00C64430">
        <w:rPr>
          <w:lang w:val="en-US"/>
        </w:rPr>
        <w:t xml:space="preserve">, </w:t>
      </w:r>
      <w:r w:rsidRPr="00C64430">
        <w:rPr>
          <w:lang w:val="en-US"/>
        </w:rPr>
        <w:t>95</w:t>
      </w:r>
      <w:r w:rsidR="003523BE" w:rsidRPr="00C64430">
        <w:rPr>
          <w:lang w:val="en-US"/>
        </w:rPr>
        <w:t xml:space="preserve">(5), </w:t>
      </w:r>
      <w:r w:rsidRPr="00C64430">
        <w:rPr>
          <w:lang w:val="en-US"/>
        </w:rPr>
        <w:t xml:space="preserve">853-859. </w:t>
      </w:r>
    </w:p>
    <w:p w14:paraId="6B424058" w14:textId="77777777" w:rsidR="005336DD" w:rsidRPr="00C64430" w:rsidRDefault="005336DD" w:rsidP="000C74D9">
      <w:pPr>
        <w:pStyle w:val="Brdtekst"/>
        <w:rPr>
          <w:lang w:val="en-US"/>
        </w:rPr>
      </w:pPr>
      <w:proofErr w:type="spellStart"/>
      <w:r w:rsidRPr="00C64430">
        <w:rPr>
          <w:lang w:val="en-US"/>
        </w:rPr>
        <w:t>Sørensen</w:t>
      </w:r>
      <w:proofErr w:type="spellEnd"/>
      <w:r w:rsidRPr="00C64430">
        <w:rPr>
          <w:lang w:val="en-US"/>
        </w:rPr>
        <w:t xml:space="preserve">, P.B., </w:t>
      </w:r>
      <w:proofErr w:type="spellStart"/>
      <w:r w:rsidRPr="00C64430">
        <w:rPr>
          <w:lang w:val="en-US"/>
        </w:rPr>
        <w:t>Vorkamp</w:t>
      </w:r>
      <w:proofErr w:type="spellEnd"/>
      <w:r w:rsidRPr="00C64430">
        <w:rPr>
          <w:lang w:val="en-US"/>
        </w:rPr>
        <w:t xml:space="preserve">, K., Thomsen, M., Falk, K., </w:t>
      </w:r>
      <w:proofErr w:type="spellStart"/>
      <w:r w:rsidRPr="00C64430">
        <w:rPr>
          <w:lang w:val="en-US"/>
        </w:rPr>
        <w:t>Møller</w:t>
      </w:r>
      <w:proofErr w:type="spellEnd"/>
      <w:r w:rsidRPr="00C64430">
        <w:rPr>
          <w:lang w:val="en-US"/>
        </w:rPr>
        <w:t>, S. (2004). Persistent organic pollutants (POPs) in the Greenland environment – Long-term temporal changes and effects on eggs of a bird of prey. NERI Technical Report No. 509, 2004. National Environmental Research Institute (NERI), Denmark.</w:t>
      </w:r>
    </w:p>
    <w:p w14:paraId="67AB57F8" w14:textId="4B14AED8" w:rsidR="005336DD" w:rsidRPr="00C64430" w:rsidRDefault="005336DD" w:rsidP="00E177E9">
      <w:pPr>
        <w:pStyle w:val="Brdtekst"/>
        <w:rPr>
          <w:lang w:val="en-US"/>
        </w:rPr>
      </w:pPr>
      <w:proofErr w:type="spellStart"/>
      <w:r>
        <w:t>Tsitonaki</w:t>
      </w:r>
      <w:proofErr w:type="spellEnd"/>
      <w:r>
        <w:t>, K., Jepsen, T.S., Hauerberg Larsen, T.H. (2014). Screeningsundersøgelse af udvalgte PFAS forbindelser som jord- og grundvandsforurening i forbindelse med</w:t>
      </w:r>
      <w:r w:rsidR="00E96B53">
        <w:t xml:space="preserve"> </w:t>
      </w:r>
      <w:r>
        <w:t>punktkilder.</w:t>
      </w:r>
      <w:r w:rsidR="00E96B53">
        <w:t xml:space="preserve"> </w:t>
      </w:r>
      <w:proofErr w:type="spellStart"/>
      <w:r w:rsidRPr="00C64430">
        <w:rPr>
          <w:lang w:val="en-US"/>
        </w:rPr>
        <w:t>Miljøprojekt</w:t>
      </w:r>
      <w:proofErr w:type="spellEnd"/>
      <w:r w:rsidRPr="00C64430">
        <w:rPr>
          <w:lang w:val="en-US"/>
        </w:rPr>
        <w:t xml:space="preserve"> </w:t>
      </w:r>
      <w:proofErr w:type="spellStart"/>
      <w:r w:rsidRPr="00C64430">
        <w:rPr>
          <w:lang w:val="en-US"/>
        </w:rPr>
        <w:t>nr</w:t>
      </w:r>
      <w:proofErr w:type="spellEnd"/>
      <w:r w:rsidRPr="00C64430">
        <w:rPr>
          <w:lang w:val="en-US"/>
        </w:rPr>
        <w:t xml:space="preserve">. 1600. </w:t>
      </w:r>
      <w:proofErr w:type="spellStart"/>
      <w:r w:rsidRPr="00C64430">
        <w:rPr>
          <w:lang w:val="en-US"/>
        </w:rPr>
        <w:t>Miljøstyrelsen</w:t>
      </w:r>
      <w:proofErr w:type="spellEnd"/>
      <w:r w:rsidRPr="00C64430">
        <w:rPr>
          <w:lang w:val="en-US"/>
        </w:rPr>
        <w:t xml:space="preserve">, </w:t>
      </w:r>
      <w:proofErr w:type="spellStart"/>
      <w:r w:rsidRPr="00C64430">
        <w:rPr>
          <w:lang w:val="en-US"/>
        </w:rPr>
        <w:t>København</w:t>
      </w:r>
      <w:proofErr w:type="spellEnd"/>
      <w:r w:rsidRPr="00C64430">
        <w:rPr>
          <w:lang w:val="en-US"/>
        </w:rPr>
        <w:t>.</w:t>
      </w:r>
    </w:p>
    <w:p w14:paraId="335AA36E" w14:textId="77777777" w:rsidR="005336DD" w:rsidRPr="00C64430" w:rsidRDefault="005336DD" w:rsidP="0096043F">
      <w:pPr>
        <w:pStyle w:val="Brdtekst"/>
        <w:rPr>
          <w:lang w:val="en-US"/>
        </w:rPr>
      </w:pPr>
      <w:r w:rsidRPr="00C64430">
        <w:rPr>
          <w:lang w:val="en-US"/>
        </w:rPr>
        <w:lastRenderedPageBreak/>
        <w:t xml:space="preserve">UNEP (2008). Guidelines On Best Available Techniques And Provisional Guidance On Best Environmental Practices relevant to Article 5 and Annex C of the Stockholm Convention on Persistent Organic Pollutants. Secretariat of the Stockholm Convention on Persistent Organic Pollutants, </w:t>
      </w:r>
      <w:proofErr w:type="spellStart"/>
      <w:r w:rsidRPr="00C64430">
        <w:rPr>
          <w:lang w:val="en-US"/>
        </w:rPr>
        <w:t>Geneve</w:t>
      </w:r>
      <w:proofErr w:type="spellEnd"/>
      <w:r w:rsidRPr="00C64430">
        <w:rPr>
          <w:lang w:val="en-US"/>
        </w:rPr>
        <w:t xml:space="preserve">. </w:t>
      </w:r>
    </w:p>
    <w:p w14:paraId="723166D0" w14:textId="10758510" w:rsidR="00E24A66" w:rsidRPr="00C64430" w:rsidRDefault="00E24A66" w:rsidP="00E24A66">
      <w:pPr>
        <w:pStyle w:val="Brdtekst"/>
        <w:rPr>
          <w:lang w:val="en-US"/>
        </w:rPr>
      </w:pPr>
      <w:r w:rsidRPr="00C64430">
        <w:rPr>
          <w:lang w:val="en-US"/>
        </w:rPr>
        <w:t>UNEP (2015</w:t>
      </w:r>
      <w:r w:rsidR="00200594" w:rsidRPr="00C64430">
        <w:rPr>
          <w:lang w:val="en-US"/>
        </w:rPr>
        <w:t>a</w:t>
      </w:r>
      <w:r w:rsidRPr="00C64430">
        <w:rPr>
          <w:lang w:val="en-US"/>
        </w:rPr>
        <w:t xml:space="preserve">). Guidance on best available techniques and best environmental practices for the recycling and disposal of wastes containing </w:t>
      </w:r>
      <w:proofErr w:type="spellStart"/>
      <w:r w:rsidRPr="00C64430">
        <w:rPr>
          <w:lang w:val="en-US"/>
        </w:rPr>
        <w:t>polybrominated</w:t>
      </w:r>
      <w:proofErr w:type="spellEnd"/>
      <w:r w:rsidRPr="00C64430">
        <w:rPr>
          <w:lang w:val="en-US"/>
        </w:rPr>
        <w:t xml:space="preserve"> diphenyl ethers (PBDEs) listed under the Stockholm Convention on Persistent Organic Pollutants. Draft </w:t>
      </w:r>
      <w:r w:rsidR="00200594" w:rsidRPr="00C64430">
        <w:rPr>
          <w:lang w:val="en-US"/>
        </w:rPr>
        <w:t xml:space="preserve">Revised January 2015. </w:t>
      </w:r>
      <w:r w:rsidRPr="00C64430">
        <w:rPr>
          <w:lang w:val="en-US"/>
        </w:rPr>
        <w:t>Secretariat of the Stockholm Convention on Persistent Organic Pollutants</w:t>
      </w:r>
      <w:r w:rsidR="00200594" w:rsidRPr="00C64430">
        <w:rPr>
          <w:lang w:val="en-US"/>
        </w:rPr>
        <w:t>, Geneva.</w:t>
      </w:r>
    </w:p>
    <w:p w14:paraId="7F571DBF" w14:textId="0EBE162E" w:rsidR="00200594" w:rsidRPr="00C64430" w:rsidRDefault="00200594" w:rsidP="00200594">
      <w:pPr>
        <w:pStyle w:val="Brdtekst"/>
        <w:rPr>
          <w:lang w:val="en-US"/>
        </w:rPr>
      </w:pPr>
      <w:r w:rsidRPr="00C64430">
        <w:rPr>
          <w:lang w:val="en-US"/>
        </w:rPr>
        <w:t xml:space="preserve">UNEP (2015b). Guidance for the inventory, identification and substitution of </w:t>
      </w:r>
      <w:proofErr w:type="spellStart"/>
      <w:r w:rsidRPr="00C64430">
        <w:rPr>
          <w:lang w:val="en-US"/>
        </w:rPr>
        <w:t>Hexabromocyclododecane</w:t>
      </w:r>
      <w:proofErr w:type="spellEnd"/>
      <w:r w:rsidRPr="00C64430">
        <w:rPr>
          <w:lang w:val="en-US"/>
        </w:rPr>
        <w:t xml:space="preserve"> (HBCD). Draft, April, 2015. Secretariat of the Stockholm Convention on Persistent Organic Pollutants, Geneva.</w:t>
      </w:r>
    </w:p>
    <w:p w14:paraId="3598DB8F" w14:textId="1E02C0BD" w:rsidR="00200594" w:rsidRPr="00C64430" w:rsidRDefault="00660315" w:rsidP="00660315">
      <w:pPr>
        <w:pStyle w:val="Brdtekst"/>
        <w:rPr>
          <w:lang w:val="en-US"/>
        </w:rPr>
      </w:pPr>
      <w:r w:rsidRPr="00C64430">
        <w:rPr>
          <w:lang w:val="en-US"/>
        </w:rPr>
        <w:t xml:space="preserve">UNEP (2015c). Guidance for the inventory of </w:t>
      </w:r>
      <w:proofErr w:type="spellStart"/>
      <w:r w:rsidRPr="00C64430">
        <w:rPr>
          <w:lang w:val="en-US"/>
        </w:rPr>
        <w:t>polybrominated</w:t>
      </w:r>
      <w:proofErr w:type="spellEnd"/>
      <w:r w:rsidRPr="00C64430">
        <w:rPr>
          <w:lang w:val="en-US"/>
        </w:rPr>
        <w:t xml:space="preserve"> diphenyl ethers (PBDEs) listed under the Stockholm Convention on Persistent Organic Pollutants. Draft, Revised March 2015. Secretariat of the Stockholm Convention on Persistent Organic Pollutants, Geneva.</w:t>
      </w:r>
    </w:p>
    <w:p w14:paraId="3A2ADBF6" w14:textId="738477D2" w:rsidR="00515AE8" w:rsidRPr="00C64430" w:rsidRDefault="00515AE8" w:rsidP="00515AE8">
      <w:pPr>
        <w:pStyle w:val="Brdtekst"/>
        <w:rPr>
          <w:lang w:val="en-US"/>
        </w:rPr>
      </w:pPr>
      <w:r w:rsidRPr="00C64430">
        <w:rPr>
          <w:lang w:val="en-US"/>
        </w:rPr>
        <w:t xml:space="preserve">UNEP (2016). Short-Chain Chlorinated </w:t>
      </w:r>
      <w:proofErr w:type="spellStart"/>
      <w:r w:rsidRPr="00C64430">
        <w:rPr>
          <w:lang w:val="en-US"/>
        </w:rPr>
        <w:t>Paraffins</w:t>
      </w:r>
      <w:proofErr w:type="spellEnd"/>
      <w:r w:rsidRPr="00C64430">
        <w:rPr>
          <w:lang w:val="en-US"/>
        </w:rPr>
        <w:t xml:space="preserve"> (SCCPs).</w:t>
      </w:r>
      <w:r w:rsidR="00E96B53" w:rsidRPr="00C64430">
        <w:rPr>
          <w:lang w:val="en-US"/>
        </w:rPr>
        <w:t xml:space="preserve"> </w:t>
      </w:r>
      <w:r w:rsidRPr="00C64430">
        <w:rPr>
          <w:lang w:val="en-US"/>
        </w:rPr>
        <w:t>Risk Management Evaluation. UNEP/POPS/POPRC.12/11/Add.3. Report of the Persistent Organic Pollutants Review Committee on the work of its twelfth meeting.</w:t>
      </w:r>
    </w:p>
    <w:p w14:paraId="373C80BD" w14:textId="6A515D77" w:rsidR="005336DD" w:rsidRDefault="005336DD" w:rsidP="0096043F">
      <w:pPr>
        <w:pStyle w:val="Brdtekst"/>
      </w:pPr>
      <w:r>
        <w:t>Videnskab.dk (2015). Kemikalier hjerneskader isbjørnen i Arktis.</w:t>
      </w:r>
      <w:r w:rsidR="003A4A17">
        <w:t xml:space="preserve"> </w:t>
      </w:r>
      <w:hyperlink r:id="rId22" w:history="1">
        <w:r w:rsidR="003A4A17" w:rsidRPr="008E64FF">
          <w:rPr>
            <w:rStyle w:val="Hyperlink"/>
          </w:rPr>
          <w:t>http://videnskab.dk/krop-sundhed/kemikalier-hjerneskader-isbjornene-i-arktis</w:t>
        </w:r>
      </w:hyperlink>
      <w:r w:rsidR="003A4A17">
        <w:t xml:space="preserve"> (besøgt december 2016)</w:t>
      </w:r>
    </w:p>
    <w:p w14:paraId="27239AF8" w14:textId="0637008A" w:rsidR="005336DD" w:rsidRDefault="005336DD" w:rsidP="0096043F">
      <w:pPr>
        <w:pStyle w:val="Brdtekst"/>
      </w:pPr>
      <w:proofErr w:type="spellStart"/>
      <w:r>
        <w:t>Vorkamp</w:t>
      </w:r>
      <w:proofErr w:type="spellEnd"/>
      <w:r>
        <w:t>, K.</w:t>
      </w:r>
      <w:r w:rsidR="003A4A17">
        <w:t>,</w:t>
      </w:r>
      <w:r>
        <w:t xml:space="preserve"> </w:t>
      </w:r>
      <w:proofErr w:type="spellStart"/>
      <w:r>
        <w:t>Rigét</w:t>
      </w:r>
      <w:proofErr w:type="spellEnd"/>
      <w:r>
        <w:t xml:space="preserve">, F.F. (2013). Nye </w:t>
      </w:r>
      <w:proofErr w:type="spellStart"/>
      <w:r>
        <w:t>kontaminanter</w:t>
      </w:r>
      <w:proofErr w:type="spellEnd"/>
      <w:r>
        <w:t xml:space="preserve"> med relevans for det grønlandske miljø. Teknisk rapport nr. 19, 2013 fra DCE – Nationalt Center for Miljø og Energi. </w:t>
      </w:r>
    </w:p>
    <w:p w14:paraId="1BFCDA70" w14:textId="14167D85" w:rsidR="005336DD" w:rsidRDefault="005336DD" w:rsidP="00BA47D5">
      <w:pPr>
        <w:pStyle w:val="Brdtekst"/>
      </w:pPr>
      <w:r>
        <w:t>Zielke, U.,</w:t>
      </w:r>
      <w:r w:rsidR="00E25F73">
        <w:t xml:space="preserve"> </w:t>
      </w:r>
      <w:r>
        <w:t>Kriegbaum</w:t>
      </w:r>
      <w:r w:rsidR="003A4A17">
        <w:t xml:space="preserve">, M., </w:t>
      </w:r>
      <w:r>
        <w:t>Knudsen</w:t>
      </w:r>
      <w:r w:rsidR="003A4A17">
        <w:t>, K.U.</w:t>
      </w:r>
      <w:r>
        <w:t xml:space="preserve"> (2002). Emissioner fra affaldsforbrænding i Grønland. Teknologisk Institut.</w:t>
      </w:r>
    </w:p>
    <w:p w14:paraId="7D6CF81B" w14:textId="77777777" w:rsidR="001C7DA0" w:rsidRPr="001C7DA0" w:rsidRDefault="001C7DA0" w:rsidP="001C7DA0">
      <w:pPr>
        <w:pStyle w:val="Brdtekst"/>
      </w:pPr>
    </w:p>
    <w:sectPr w:rsidR="001C7DA0" w:rsidRPr="001C7DA0">
      <w:type w:val="oddPage"/>
      <w:pgSz w:w="11907" w:h="16840" w:code="9"/>
      <w:pgMar w:top="1701" w:right="851" w:bottom="1134" w:left="3119" w:header="851" w:footer="36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717AE" w14:textId="77777777" w:rsidR="004C3B1B" w:rsidRDefault="004C3B1B">
      <w:r>
        <w:separator/>
      </w:r>
    </w:p>
    <w:p w14:paraId="72245143" w14:textId="77777777" w:rsidR="004C3B1B" w:rsidRDefault="004C3B1B"/>
    <w:p w14:paraId="764E7CA2" w14:textId="77777777" w:rsidR="004C3B1B" w:rsidRDefault="004C3B1B"/>
  </w:endnote>
  <w:endnote w:type="continuationSeparator" w:id="0">
    <w:p w14:paraId="5A1E0885" w14:textId="77777777" w:rsidR="004C3B1B" w:rsidRDefault="004C3B1B">
      <w:r>
        <w:continuationSeparator/>
      </w:r>
    </w:p>
    <w:p w14:paraId="4D39C0DD" w14:textId="77777777" w:rsidR="004C3B1B" w:rsidRDefault="004C3B1B"/>
    <w:p w14:paraId="3BA8C35D" w14:textId="77777777" w:rsidR="004C3B1B" w:rsidRDefault="004C3B1B"/>
  </w:endnote>
  <w:endnote w:type="continuationNotice" w:id="1">
    <w:p w14:paraId="5A5EC999" w14:textId="77777777" w:rsidR="004C3B1B" w:rsidRDefault="004C3B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yanmar Text">
    <w:altName w:val="Arial"/>
    <w:panose1 w:val="020B0502040204020203"/>
    <w:charset w:val="00"/>
    <w:family w:val="swiss"/>
    <w:pitch w:val="variable"/>
    <w:sig w:usb0="80000003" w:usb1="00000000" w:usb2="00000400" w:usb3="00000000" w:csb0="00000001" w:csb1="00000000"/>
  </w:font>
  <w:font w:name="Open Sans">
    <w:altName w:val="Segoe U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20000287" w:usb1="00000000"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F834" w14:textId="77777777" w:rsidR="00432B8C" w:rsidRDefault="00432B8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vertAnchor="text" w:horzAnchor="page"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10716"/>
    </w:tblGrid>
    <w:tr w:rsidR="00432B8C" w14:paraId="7D6CF84D" w14:textId="77777777">
      <w:trPr>
        <w:trHeight w:val="113"/>
      </w:trPr>
      <w:tc>
        <w:tcPr>
          <w:tcW w:w="851" w:type="dxa"/>
        </w:tcPr>
        <w:p w14:paraId="7D6CF84B" w14:textId="77777777" w:rsidR="00432B8C" w:rsidRDefault="00432B8C">
          <w:pPr>
            <w:pStyle w:val="FooterLeft"/>
          </w:pPr>
        </w:p>
      </w:tc>
      <w:tc>
        <w:tcPr>
          <w:tcW w:w="10716" w:type="dxa"/>
        </w:tcPr>
        <w:p w14:paraId="7D6CF84C" w14:textId="77777777" w:rsidR="00432B8C" w:rsidRDefault="00432B8C">
          <w:pPr>
            <w:pStyle w:val="FooterLeft"/>
          </w:pPr>
        </w:p>
      </w:tc>
    </w:tr>
  </w:tbl>
  <w:p w14:paraId="7D6CF84E" w14:textId="77777777" w:rsidR="00432B8C" w:rsidRDefault="00432B8C">
    <w:pPr>
      <w:pStyle w:val="FooterLeft"/>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leftFromText="142" w:rightFromText="142" w:vertAnchor="text" w:horzAnchor="page" w:tblpXSpec="right" w:tblpY="1"/>
      <w:tblOverlap w:val="never"/>
      <w:tblW w:w="0" w:type="auto"/>
      <w:tblLayout w:type="fixed"/>
      <w:tblCellMar>
        <w:left w:w="0" w:type="dxa"/>
        <w:right w:w="0" w:type="dxa"/>
      </w:tblCellMar>
      <w:tblLook w:val="04A0" w:firstRow="1" w:lastRow="0" w:firstColumn="1" w:lastColumn="0" w:noHBand="0" w:noVBand="1"/>
    </w:tblPr>
    <w:tblGrid>
      <w:gridCol w:w="10206"/>
      <w:gridCol w:w="851"/>
    </w:tblGrid>
    <w:tr w:rsidR="00432B8C" w14:paraId="7D6CF851" w14:textId="77777777">
      <w:trPr>
        <w:cantSplit/>
        <w:trHeight w:val="113"/>
      </w:trPr>
      <w:tc>
        <w:tcPr>
          <w:tcW w:w="10206" w:type="dxa"/>
          <w:tcBorders>
            <w:top w:val="nil"/>
            <w:left w:val="nil"/>
            <w:bottom w:val="nil"/>
            <w:right w:val="nil"/>
          </w:tcBorders>
        </w:tcPr>
        <w:p w14:paraId="7D6CF84F" w14:textId="77777777" w:rsidR="00432B8C" w:rsidRDefault="00432B8C" w:rsidP="0043287E">
          <w:pPr>
            <w:pStyle w:val="FooterRight"/>
          </w:pPr>
        </w:p>
      </w:tc>
      <w:tc>
        <w:tcPr>
          <w:tcW w:w="851" w:type="dxa"/>
          <w:tcBorders>
            <w:top w:val="nil"/>
            <w:left w:val="nil"/>
            <w:bottom w:val="nil"/>
            <w:right w:val="nil"/>
          </w:tcBorders>
        </w:tcPr>
        <w:p w14:paraId="7D6CF850" w14:textId="77777777" w:rsidR="00432B8C" w:rsidRDefault="00432B8C">
          <w:pPr>
            <w:pStyle w:val="Sidefod"/>
          </w:pPr>
        </w:p>
      </w:tc>
    </w:tr>
  </w:tbl>
  <w:p w14:paraId="7D6CF852" w14:textId="77777777" w:rsidR="00432B8C" w:rsidRDefault="00432B8C">
    <w:pPr>
      <w:pStyle w:val="Sidefod"/>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4618D" w14:textId="77777777" w:rsidR="004C3B1B" w:rsidRDefault="004C3B1B">
      <w:r>
        <w:separator/>
      </w:r>
    </w:p>
  </w:footnote>
  <w:footnote w:type="continuationSeparator" w:id="0">
    <w:p w14:paraId="173E1B63" w14:textId="77777777" w:rsidR="004C3B1B" w:rsidRDefault="004C3B1B">
      <w:r>
        <w:continuationSeparator/>
      </w:r>
    </w:p>
    <w:p w14:paraId="44AD53A5" w14:textId="77777777" w:rsidR="004C3B1B" w:rsidRDefault="004C3B1B"/>
    <w:p w14:paraId="486EC100" w14:textId="77777777" w:rsidR="004C3B1B" w:rsidRDefault="004C3B1B"/>
  </w:footnote>
  <w:footnote w:type="continuationNotice" w:id="1">
    <w:p w14:paraId="78B730D4" w14:textId="77777777" w:rsidR="004C3B1B" w:rsidRDefault="004C3B1B">
      <w:pPr>
        <w:spacing w:line="240" w:lineRule="auto"/>
      </w:pPr>
    </w:p>
  </w:footnote>
  <w:footnote w:id="2">
    <w:p w14:paraId="7D6CF85A" w14:textId="4E7B7BF7" w:rsidR="00432B8C" w:rsidRDefault="00432B8C" w:rsidP="00D636B2">
      <w:pPr>
        <w:pStyle w:val="Fodnotetekst"/>
      </w:pPr>
      <w:r>
        <w:rPr>
          <w:rStyle w:val="Fodnotehenvisning"/>
        </w:rPr>
        <w:footnoteRef/>
      </w:r>
      <w:r>
        <w:t xml:space="preserve"> </w:t>
      </w:r>
      <w:hyperlink r:id="rId1" w:history="1">
        <w:r w:rsidRPr="00507C0F">
          <w:rPr>
            <w:rStyle w:val="Hyperlink"/>
            <w:sz w:val="16"/>
            <w:szCs w:val="16"/>
          </w:rPr>
          <w:t>http://um.dk/~/media/UM/Danish-site/Documents/Udenrigspolitik/Udenrigspolitik-ny/Lande%20og%20regioner/Arktisk/Arktis%20strategi.pdf?la=da</w:t>
        </w:r>
      </w:hyperlink>
      <w:r w:rsidRPr="00507C0F">
        <w:rPr>
          <w:sz w:val="16"/>
          <w:szCs w:val="16"/>
        </w:rPr>
        <w:t xml:space="preserve"> </w:t>
      </w:r>
    </w:p>
  </w:footnote>
  <w:footnote w:id="3">
    <w:p w14:paraId="205A8169" w14:textId="77777777" w:rsidR="00432B8C" w:rsidRDefault="00432B8C" w:rsidP="00526E09">
      <w:pPr>
        <w:pStyle w:val="Fodnotetekst"/>
      </w:pPr>
      <w:r>
        <w:rPr>
          <w:rStyle w:val="Fodnotehenvisning"/>
        </w:rPr>
        <w:footnoteRef/>
      </w:r>
      <w:r>
        <w:t xml:space="preserve"> </w:t>
      </w:r>
      <w:r w:rsidRPr="00684FC6">
        <w:rPr>
          <w:sz w:val="16"/>
          <w:szCs w:val="16"/>
        </w:rPr>
        <w:t>https://oaarchive.arctic-council.org/bitstream/handle/11374/1910/EDOCS-4339-v1-ACMMUS10_FAIRBANKS_2017_Fairbanks_Declaration_Brochure_Version_w_Layout.PDF?sequence=8&amp;isAllowed=y</w:t>
      </w:r>
    </w:p>
  </w:footnote>
  <w:footnote w:id="4">
    <w:p w14:paraId="25C8948D" w14:textId="77777777" w:rsidR="00432B8C" w:rsidRPr="00507C0F" w:rsidRDefault="00432B8C" w:rsidP="007A7373">
      <w:pPr>
        <w:pStyle w:val="Fodnotetekst"/>
        <w:rPr>
          <w:sz w:val="16"/>
          <w:szCs w:val="16"/>
        </w:rPr>
      </w:pPr>
      <w:r>
        <w:rPr>
          <w:rStyle w:val="Fodnotehenvisning"/>
        </w:rPr>
        <w:footnoteRef/>
      </w:r>
      <w:r>
        <w:t xml:space="preserve"> </w:t>
      </w:r>
      <w:proofErr w:type="spellStart"/>
      <w:r w:rsidRPr="00507C0F">
        <w:rPr>
          <w:sz w:val="16"/>
          <w:szCs w:val="16"/>
        </w:rPr>
        <w:t>Minamatakonventionen</w:t>
      </w:r>
      <w:proofErr w:type="spellEnd"/>
      <w:r w:rsidRPr="00507C0F">
        <w:rPr>
          <w:sz w:val="16"/>
          <w:szCs w:val="16"/>
        </w:rPr>
        <w:t xml:space="preserve"> om kviksølv fra oktober 2013 er </w:t>
      </w:r>
      <w:r>
        <w:rPr>
          <w:sz w:val="16"/>
          <w:szCs w:val="16"/>
        </w:rPr>
        <w:t xml:space="preserve">pr maj 2019 </w:t>
      </w:r>
      <w:r w:rsidRPr="00507C0F">
        <w:rPr>
          <w:sz w:val="16"/>
          <w:szCs w:val="16"/>
        </w:rPr>
        <w:t xml:space="preserve">underskrevet af 128 </w:t>
      </w:r>
      <w:r>
        <w:rPr>
          <w:sz w:val="16"/>
          <w:szCs w:val="16"/>
        </w:rPr>
        <w:t>parter og ratificeret af 107</w:t>
      </w:r>
      <w:r w:rsidRPr="00507C0F">
        <w:rPr>
          <w:sz w:val="16"/>
          <w:szCs w:val="16"/>
        </w:rPr>
        <w:t>, herunder Danmark.</w:t>
      </w:r>
    </w:p>
  </w:footnote>
  <w:footnote w:id="5">
    <w:p w14:paraId="657DDBC1" w14:textId="77777777" w:rsidR="00432B8C" w:rsidRDefault="00432B8C" w:rsidP="00601EAD">
      <w:pPr>
        <w:pStyle w:val="Fodnotetekst"/>
      </w:pPr>
      <w:r>
        <w:rPr>
          <w:rStyle w:val="Fodnotehenvisning"/>
        </w:rPr>
        <w:footnoteRef/>
      </w:r>
      <w:r>
        <w:t xml:space="preserve"> "Dioxiner" anvendes her som samlebetegnelse for </w:t>
      </w:r>
      <w:proofErr w:type="spellStart"/>
      <w:r>
        <w:t>polychlorerede</w:t>
      </w:r>
      <w:proofErr w:type="spellEnd"/>
      <w:r>
        <w:t xml:space="preserve"> </w:t>
      </w:r>
      <w:proofErr w:type="spellStart"/>
      <w:r>
        <w:t>dibenzo</w:t>
      </w:r>
      <w:proofErr w:type="spellEnd"/>
      <w:r>
        <w:t xml:space="preserve">-p-dioxiner (PCDD) og </w:t>
      </w:r>
      <w:proofErr w:type="spellStart"/>
      <w:r>
        <w:t>polychlorerede</w:t>
      </w:r>
      <w:proofErr w:type="spellEnd"/>
      <w:r>
        <w:t xml:space="preserve"> </w:t>
      </w:r>
      <w:proofErr w:type="spellStart"/>
      <w:r>
        <w:t>dibenzofuraner</w:t>
      </w:r>
      <w:proofErr w:type="spellEnd"/>
      <w:r>
        <w:t xml:space="preserve"> (PCDF) som måles samlet som den såkaldte dioxin-toksicitets-ækvivalent.</w:t>
      </w:r>
    </w:p>
    <w:p w14:paraId="286464C4" w14:textId="77777777" w:rsidR="00432B8C" w:rsidRDefault="00432B8C" w:rsidP="00601EAD">
      <w:pPr>
        <w:pStyle w:val="Fodnotetekst"/>
      </w:pPr>
    </w:p>
  </w:footnote>
  <w:footnote w:id="6">
    <w:p w14:paraId="627CC5A0" w14:textId="292169DA" w:rsidR="00432B8C" w:rsidRDefault="00432B8C">
      <w:pPr>
        <w:pStyle w:val="Fodnotetekst"/>
      </w:pPr>
      <w:r>
        <w:rPr>
          <w:rStyle w:val="Fodnotehenvisning"/>
        </w:rPr>
        <w:footnoteRef/>
      </w:r>
      <w:r>
        <w:t xml:space="preserve"> Mange af "stofferne", eksempelvis PCB, er i realiteten grupper af meget ens stoffer, men vil for enkelthedens skyld her omtales som stoffer. </w:t>
      </w:r>
    </w:p>
  </w:footnote>
  <w:footnote w:id="7">
    <w:p w14:paraId="1CF8ECFD" w14:textId="6F5EF6B4" w:rsidR="00432B8C" w:rsidRDefault="00432B8C" w:rsidP="00AF5F74">
      <w:pPr>
        <w:pStyle w:val="Fodnotetekst"/>
      </w:pPr>
      <w:r>
        <w:rPr>
          <w:rStyle w:val="Fodnotehenvisning"/>
        </w:rPr>
        <w:footnoteRef/>
      </w:r>
      <w:r>
        <w:t xml:space="preserve"> "Dioxiner" anvendes her som samlebetegnelse for </w:t>
      </w:r>
      <w:proofErr w:type="spellStart"/>
      <w:r>
        <w:t>polychlorerede</w:t>
      </w:r>
      <w:proofErr w:type="spellEnd"/>
      <w:r>
        <w:t xml:space="preserve"> </w:t>
      </w:r>
      <w:proofErr w:type="spellStart"/>
      <w:r>
        <w:t>dibenzo</w:t>
      </w:r>
      <w:proofErr w:type="spellEnd"/>
      <w:r>
        <w:t xml:space="preserve">-p-dioxiner (PCDD) og </w:t>
      </w:r>
      <w:proofErr w:type="spellStart"/>
      <w:r>
        <w:t>polychlorerede</w:t>
      </w:r>
      <w:proofErr w:type="spellEnd"/>
      <w:r>
        <w:t xml:space="preserve"> </w:t>
      </w:r>
      <w:proofErr w:type="spellStart"/>
      <w:r>
        <w:t>dibenzofuraner</w:t>
      </w:r>
      <w:proofErr w:type="spellEnd"/>
      <w:r>
        <w:t xml:space="preserve"> (PCDF), som måles samlet som den såkaldte dioxin-toksicitets-ækvivalent</w:t>
      </w:r>
    </w:p>
    <w:p w14:paraId="4F58A89A" w14:textId="6CCADEA3" w:rsidR="00432B8C" w:rsidRDefault="00432B8C" w:rsidP="00AF5F74">
      <w:pPr>
        <w:pStyle w:val="Fodnotetekst"/>
      </w:pPr>
    </w:p>
  </w:footnote>
  <w:footnote w:id="8">
    <w:p w14:paraId="4DD50DAF" w14:textId="77777777" w:rsidR="00432B8C" w:rsidRDefault="00432B8C" w:rsidP="00C001E0">
      <w:pPr>
        <w:pStyle w:val="Fodnotetekst"/>
      </w:pPr>
      <w:r>
        <w:rPr>
          <w:rStyle w:val="Fodnotehenvisning"/>
        </w:rPr>
        <w:footnoteRef/>
      </w:r>
      <w:r>
        <w:t xml:space="preserve"> </w:t>
      </w:r>
      <w:r w:rsidRPr="00B41C36">
        <w:rPr>
          <w:sz w:val="14"/>
          <w:szCs w:val="14"/>
        </w:rPr>
        <w:t>Se bl.a. nyhed på: https://knr.gl/da/nyheder/nye-forbr%C3%A6ndingsanl%C3%A6g-koster-op-mod-400-millioner-kroner</w:t>
      </w:r>
    </w:p>
  </w:footnote>
  <w:footnote w:id="9">
    <w:p w14:paraId="7D6CF85B" w14:textId="724F957C" w:rsidR="00432B8C" w:rsidRPr="00507C0F" w:rsidRDefault="00432B8C">
      <w:pPr>
        <w:pStyle w:val="Fodnotetekst"/>
        <w:rPr>
          <w:sz w:val="16"/>
          <w:szCs w:val="16"/>
        </w:rPr>
      </w:pPr>
      <w:r>
        <w:rPr>
          <w:rStyle w:val="Fodnotehenvisning"/>
        </w:rPr>
        <w:footnoteRef/>
      </w:r>
      <w:r>
        <w:t xml:space="preserve"> </w:t>
      </w:r>
      <w:hyperlink r:id="rId2" w:history="1">
        <w:r w:rsidRPr="00507C0F">
          <w:rPr>
            <w:rStyle w:val="Hyperlink"/>
            <w:sz w:val="16"/>
            <w:szCs w:val="16"/>
          </w:rPr>
          <w:t>http://cms.inatsisartut.gl/upload/labu/fm2009/udsatte_pkt/pkt32_dk.pdf</w:t>
        </w:r>
      </w:hyperlink>
      <w:r>
        <w:rPr>
          <w:sz w:val="16"/>
          <w:szCs w:val="16"/>
        </w:rPr>
        <w:t xml:space="preserve"> </w:t>
      </w:r>
    </w:p>
  </w:footnote>
  <w:footnote w:id="10">
    <w:p w14:paraId="7D6CF85C" w14:textId="1445DD9F" w:rsidR="00432B8C" w:rsidRDefault="00432B8C">
      <w:pPr>
        <w:pStyle w:val="Fodnotetekst"/>
      </w:pPr>
      <w:r>
        <w:rPr>
          <w:rStyle w:val="Fodnotehenvisning"/>
        </w:rPr>
        <w:footnoteRef/>
      </w:r>
      <w:r>
        <w:t xml:space="preserve"> Kilde: </w:t>
      </w:r>
      <w:r w:rsidRPr="008202B3">
        <w:t>https://en.wikipedia.org/wiki/Stockholm_Convention_on_Persistent_Organic_Pollutants</w:t>
      </w:r>
    </w:p>
  </w:footnote>
  <w:footnote w:id="11">
    <w:p w14:paraId="7D6CF85D" w14:textId="4A8928A6" w:rsidR="00432B8C" w:rsidRDefault="00432B8C">
      <w:pPr>
        <w:pStyle w:val="Fodnotetekst"/>
      </w:pPr>
      <w:r>
        <w:rPr>
          <w:rStyle w:val="Fodnotehenvisning"/>
        </w:rPr>
        <w:footnoteRef/>
      </w:r>
      <w:r>
        <w:t xml:space="preserve"> </w:t>
      </w:r>
      <w:proofErr w:type="spellStart"/>
      <w:r w:rsidRPr="00507C0F">
        <w:rPr>
          <w:sz w:val="16"/>
          <w:szCs w:val="16"/>
        </w:rPr>
        <w:t>Biomagnifikation</w:t>
      </w:r>
      <w:proofErr w:type="spellEnd"/>
      <w:r w:rsidRPr="00507C0F">
        <w:rPr>
          <w:sz w:val="16"/>
          <w:szCs w:val="16"/>
        </w:rPr>
        <w:t xml:space="preserve"> er </w:t>
      </w:r>
      <w:r>
        <w:rPr>
          <w:sz w:val="16"/>
          <w:szCs w:val="16"/>
        </w:rPr>
        <w:t xml:space="preserve">betegnelsen for </w:t>
      </w:r>
      <w:r w:rsidRPr="00507C0F">
        <w:rPr>
          <w:sz w:val="16"/>
          <w:szCs w:val="16"/>
        </w:rPr>
        <w:t>det forhold</w:t>
      </w:r>
      <w:r>
        <w:rPr>
          <w:sz w:val="16"/>
          <w:szCs w:val="16"/>
        </w:rPr>
        <w:t>,</w:t>
      </w:r>
      <w:r w:rsidRPr="00507C0F">
        <w:rPr>
          <w:sz w:val="16"/>
          <w:szCs w:val="16"/>
        </w:rPr>
        <w:t xml:space="preserve"> at der </w:t>
      </w:r>
      <w:r>
        <w:rPr>
          <w:sz w:val="16"/>
          <w:szCs w:val="16"/>
        </w:rPr>
        <w:t>for visse stoffer forekomm</w:t>
      </w:r>
      <w:r w:rsidRPr="00507C0F">
        <w:rPr>
          <w:sz w:val="16"/>
          <w:szCs w:val="16"/>
        </w:rPr>
        <w:t>er stigende koncentration af stoffer</w:t>
      </w:r>
      <w:r>
        <w:rPr>
          <w:sz w:val="16"/>
          <w:szCs w:val="16"/>
        </w:rPr>
        <w:t>ne</w:t>
      </w:r>
      <w:r w:rsidRPr="00507C0F">
        <w:rPr>
          <w:sz w:val="16"/>
          <w:szCs w:val="16"/>
        </w:rPr>
        <w:t xml:space="preserve"> op gennem fødekæden.</w:t>
      </w:r>
      <w:r w:rsidRPr="00D07962">
        <w:rPr>
          <w:i/>
        </w:rPr>
        <w:t xml:space="preserve"> </w:t>
      </w:r>
    </w:p>
  </w:footnote>
  <w:footnote w:id="12">
    <w:p w14:paraId="31F0FD4F" w14:textId="4D9FB32F" w:rsidR="00432B8C" w:rsidRDefault="00432B8C">
      <w:pPr>
        <w:pStyle w:val="Fodnotetekst"/>
      </w:pPr>
      <w:r w:rsidRPr="00C64430">
        <w:rPr>
          <w:sz w:val="16"/>
          <w:szCs w:val="16"/>
          <w:vertAlign w:val="superscript"/>
        </w:rPr>
        <w:footnoteRef/>
      </w:r>
      <w:r w:rsidRPr="000050A7">
        <w:rPr>
          <w:sz w:val="16"/>
          <w:szCs w:val="16"/>
        </w:rPr>
        <w:t xml:space="preserve"> Citat fra den danske oversættelse af konventionen på Retsinformation: </w:t>
      </w:r>
      <w:r w:rsidRPr="00433EC3">
        <w:rPr>
          <w:sz w:val="16"/>
          <w:szCs w:val="16"/>
        </w:rPr>
        <w:t>https://www.retsinformation.dk/Forms/R0710.aspx?id=23056</w:t>
      </w:r>
    </w:p>
  </w:footnote>
  <w:footnote w:id="13">
    <w:p w14:paraId="7D6CF85E" w14:textId="5C75675E" w:rsidR="00432B8C" w:rsidRPr="00F63968" w:rsidRDefault="00432B8C">
      <w:pPr>
        <w:pStyle w:val="Fodnotetekst"/>
        <w:rPr>
          <w:lang w:val="en-US"/>
        </w:rPr>
      </w:pPr>
      <w:r>
        <w:rPr>
          <w:rStyle w:val="Fodnotehenvisning"/>
        </w:rPr>
        <w:footnoteRef/>
      </w:r>
      <w:r w:rsidRPr="00F63968">
        <w:rPr>
          <w:lang w:val="en-US"/>
        </w:rPr>
        <w:t xml:space="preserve"> </w:t>
      </w:r>
      <w:r w:rsidRPr="00F63968">
        <w:rPr>
          <w:sz w:val="16"/>
          <w:szCs w:val="16"/>
          <w:lang w:val="en-US"/>
        </w:rPr>
        <w:t xml:space="preserve">AMAP = Arctic Monitoring and Assessment </w:t>
      </w:r>
      <w:proofErr w:type="spellStart"/>
      <w:r w:rsidRPr="00F63968">
        <w:rPr>
          <w:sz w:val="16"/>
          <w:szCs w:val="16"/>
          <w:lang w:val="en-US"/>
        </w:rPr>
        <w:t>Programme</w:t>
      </w:r>
      <w:proofErr w:type="spellEnd"/>
      <w:r w:rsidRPr="00F63968">
        <w:rPr>
          <w:sz w:val="16"/>
          <w:szCs w:val="16"/>
          <w:lang w:val="en-US"/>
        </w:rPr>
        <w:t>.</w:t>
      </w:r>
    </w:p>
  </w:footnote>
  <w:footnote w:id="14">
    <w:p w14:paraId="3DAC2EBB" w14:textId="4C9B912C" w:rsidR="00432B8C" w:rsidRDefault="00432B8C">
      <w:pPr>
        <w:pStyle w:val="Fodnotetekst"/>
      </w:pPr>
      <w:r>
        <w:rPr>
          <w:rStyle w:val="Fodnotehenvisning"/>
        </w:rPr>
        <w:footnoteRef/>
      </w:r>
      <w:r>
        <w:t xml:space="preserve"> </w:t>
      </w:r>
      <w:r w:rsidRPr="000050A7">
        <w:rPr>
          <w:sz w:val="16"/>
          <w:szCs w:val="16"/>
        </w:rPr>
        <w:t>Den danske version af konventionen anvender begrebet ”udslip” som en samlebetegnelse for emissioner, tab og udledninger. På engelsk anvendes ”</w:t>
      </w:r>
      <w:proofErr w:type="spellStart"/>
      <w:r w:rsidRPr="000050A7">
        <w:rPr>
          <w:sz w:val="16"/>
          <w:szCs w:val="16"/>
        </w:rPr>
        <w:t>releases</w:t>
      </w:r>
      <w:proofErr w:type="spellEnd"/>
      <w:r w:rsidRPr="000050A7">
        <w:rPr>
          <w:sz w:val="16"/>
          <w:szCs w:val="16"/>
        </w:rPr>
        <w:t>”. Det skal bemærkes</w:t>
      </w:r>
      <w:r>
        <w:rPr>
          <w:sz w:val="16"/>
          <w:szCs w:val="16"/>
        </w:rPr>
        <w:t>,</w:t>
      </w:r>
      <w:r w:rsidRPr="000050A7">
        <w:rPr>
          <w:sz w:val="16"/>
          <w:szCs w:val="16"/>
        </w:rPr>
        <w:t xml:space="preserve"> at denne brug af begreberne er anderledes end den</w:t>
      </w:r>
      <w:r>
        <w:rPr>
          <w:sz w:val="16"/>
          <w:szCs w:val="16"/>
        </w:rPr>
        <w:t>,</w:t>
      </w:r>
      <w:r w:rsidRPr="000050A7">
        <w:rPr>
          <w:sz w:val="16"/>
          <w:szCs w:val="16"/>
        </w:rPr>
        <w:t xml:space="preserve"> der anvendes i </w:t>
      </w:r>
      <w:proofErr w:type="spellStart"/>
      <w:r w:rsidRPr="000050A7">
        <w:rPr>
          <w:sz w:val="16"/>
          <w:szCs w:val="16"/>
        </w:rPr>
        <w:t>Minamatakonventionen</w:t>
      </w:r>
      <w:proofErr w:type="spellEnd"/>
      <w:r w:rsidRPr="000050A7">
        <w:rPr>
          <w:sz w:val="16"/>
          <w:szCs w:val="16"/>
        </w:rPr>
        <w:t xml:space="preserve"> om kviksølv.</w:t>
      </w:r>
    </w:p>
  </w:footnote>
  <w:footnote w:id="15">
    <w:p w14:paraId="1CD4A7FF" w14:textId="77777777" w:rsidR="00432B8C" w:rsidRDefault="00432B8C" w:rsidP="005A3E8D">
      <w:pPr>
        <w:pStyle w:val="Fodnotetekst"/>
      </w:pPr>
      <w:r>
        <w:rPr>
          <w:rStyle w:val="Fodnotehenvisning"/>
        </w:rPr>
        <w:footnoteRef/>
      </w:r>
      <w:r>
        <w:t xml:space="preserve"> </w:t>
      </w:r>
      <w:r w:rsidRPr="000866A0">
        <w:rPr>
          <w:sz w:val="16"/>
          <w:szCs w:val="16"/>
        </w:rPr>
        <w:t>I-TEQ/normal m</w:t>
      </w:r>
      <w:r w:rsidRPr="000866A0">
        <w:rPr>
          <w:sz w:val="16"/>
          <w:szCs w:val="16"/>
          <w:vertAlign w:val="superscript"/>
        </w:rPr>
        <w:t>3</w:t>
      </w:r>
      <w:r>
        <w:rPr>
          <w:sz w:val="16"/>
          <w:szCs w:val="16"/>
        </w:rPr>
        <w:t xml:space="preserve"> = udtryk for dio</w:t>
      </w:r>
      <w:r w:rsidRPr="000866A0">
        <w:rPr>
          <w:sz w:val="16"/>
          <w:szCs w:val="16"/>
        </w:rPr>
        <w:t>xintoksiciteten beregnet med det internationale system hvor der indgår 17 forskellige dioxiner og furaner. "N" betyder at koncentrationerne er normaliseret til bestemt tryk, temperatur, fugtighed og iltindhold.</w:t>
      </w:r>
    </w:p>
  </w:footnote>
  <w:footnote w:id="16">
    <w:p w14:paraId="4BDD2F34" w14:textId="77777777" w:rsidR="00432B8C" w:rsidRDefault="00432B8C" w:rsidP="004C173B">
      <w:pPr>
        <w:pStyle w:val="Fodnotetekst"/>
      </w:pPr>
      <w:r>
        <w:rPr>
          <w:rStyle w:val="Fodnotehenvisning"/>
        </w:rPr>
        <w:footnoteRef/>
      </w:r>
      <w:r>
        <w:t xml:space="preserve"> </w:t>
      </w:r>
      <w:r w:rsidRPr="00B41C36">
        <w:rPr>
          <w:sz w:val="14"/>
          <w:szCs w:val="14"/>
        </w:rPr>
        <w:t>Se bl.a. nyhed på: https://knr.gl/da/nyheder/nye-forbr%C3%A6ndingsanl%C3%A6g-koster-op-mod-400-millioner-kroner</w:t>
      </w:r>
    </w:p>
  </w:footnote>
  <w:footnote w:id="17">
    <w:p w14:paraId="5A605C9B" w14:textId="77777777" w:rsidR="00432B8C" w:rsidRDefault="00432B8C" w:rsidP="00E552B6">
      <w:pPr>
        <w:pStyle w:val="Fodnotetekst"/>
      </w:pPr>
      <w:r>
        <w:rPr>
          <w:rStyle w:val="Fodnotehenvisning"/>
        </w:rPr>
        <w:footnoteRef/>
      </w:r>
      <w:hyperlink r:id="rId3" w:history="1">
        <w:r w:rsidRPr="007C0763">
          <w:rPr>
            <w:rStyle w:val="Hyperlink"/>
            <w:sz w:val="16"/>
            <w:szCs w:val="16"/>
          </w:rPr>
          <w:t>http://chm.pops.int/Countries/NationalReports/FourthRoundPartyReports/tabid/6346/Default.aspx</w:t>
        </w:r>
      </w:hyperlink>
    </w:p>
    <w:p w14:paraId="3DCD7C54" w14:textId="77777777" w:rsidR="00432B8C" w:rsidRDefault="00432B8C" w:rsidP="00E552B6">
      <w:pPr>
        <w:pStyle w:val="Fodnotetekst"/>
      </w:pPr>
    </w:p>
  </w:footnote>
  <w:footnote w:id="18">
    <w:p w14:paraId="76BD1931" w14:textId="72269F52" w:rsidR="00432B8C" w:rsidRDefault="00432B8C">
      <w:pPr>
        <w:pStyle w:val="Fodnotetekst"/>
      </w:pPr>
      <w:r>
        <w:rPr>
          <w:rStyle w:val="Fodnotehenvisning"/>
        </w:rPr>
        <w:footnoteRef/>
      </w:r>
      <w:r>
        <w:t xml:space="preserve"> </w:t>
      </w:r>
      <w:hyperlink r:id="rId4" w:history="1">
        <w:r w:rsidRPr="00D94D23">
          <w:rPr>
            <w:rStyle w:val="Hyperlink"/>
          </w:rPr>
          <w:t>https://www.peqqik.gl/-/media/Files/Materialebestilling/Kontaminant_pjece/Forurening-og-grønlandsk-mad_KAL.pdf</w:t>
        </w:r>
      </w:hyperlink>
    </w:p>
    <w:p w14:paraId="340D50A0" w14:textId="77777777" w:rsidR="00432B8C" w:rsidRDefault="00432B8C">
      <w:pPr>
        <w:pStyle w:val="Fodnotetekst"/>
      </w:pPr>
    </w:p>
  </w:footnote>
  <w:footnote w:id="19">
    <w:p w14:paraId="7D6CF861" w14:textId="77777777" w:rsidR="00432B8C" w:rsidRDefault="00432B8C">
      <w:pPr>
        <w:pStyle w:val="Fodnotetekst"/>
      </w:pPr>
      <w:r>
        <w:rPr>
          <w:rStyle w:val="Fodnotehenvisning"/>
        </w:rPr>
        <w:footnoteRef/>
      </w:r>
      <w:r>
        <w:t xml:space="preserve"> Protokol under Wienkonventionen til beskyttelse af ozonlaget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F832" w14:textId="77777777" w:rsidR="00432B8C" w:rsidRDefault="00432B8C">
    <w:pPr>
      <w:pStyle w:val="Sidehoved"/>
    </w:pPr>
    <w:r>
      <w:rPr>
        <w:noProof/>
        <w:lang w:val="kl-GL" w:eastAsia="kl-GL"/>
      </w:rPr>
      <mc:AlternateContent>
        <mc:Choice Requires="wpg">
          <w:drawing>
            <wp:anchor distT="0" distB="0" distL="114300" distR="114300" simplePos="0" relativeHeight="251657216" behindDoc="0" locked="0" layoutInCell="1" allowOverlap="1" wp14:anchorId="7D6CF854" wp14:editId="7D6CF855">
              <wp:simplePos x="0" y="0"/>
              <wp:positionH relativeFrom="page">
                <wp:posOffset>456565</wp:posOffset>
              </wp:positionH>
              <wp:positionV relativeFrom="margin">
                <wp:posOffset>1537335</wp:posOffset>
              </wp:positionV>
              <wp:extent cx="6648450" cy="7353300"/>
              <wp:effectExtent l="0" t="0" r="0" b="0"/>
              <wp:wrapNone/>
              <wp:docPr id="9" name="Group 9" descr="COWI Cover Origami"/>
              <wp:cNvGraphicFramePr/>
              <a:graphic xmlns:a="http://schemas.openxmlformats.org/drawingml/2006/main">
                <a:graphicData uri="http://schemas.microsoft.com/office/word/2010/wordprocessingGroup">
                  <wpg:wgp>
                    <wpg:cNvGrpSpPr/>
                    <wpg:grpSpPr>
                      <a:xfrm>
                        <a:off x="0" y="0"/>
                        <a:ext cx="6648450" cy="7353300"/>
                        <a:chOff x="0" y="0"/>
                        <a:chExt cx="6642101" cy="7346951"/>
                      </a:xfrm>
                    </wpg:grpSpPr>
                    <wps:wsp>
                      <wps:cNvPr id="1" name="P1"/>
                      <wps:cNvSpPr/>
                      <wps:spPr>
                        <a:xfrm>
                          <a:off x="0" y="0"/>
                          <a:ext cx="3721101" cy="1841501"/>
                        </a:xfrm>
                        <a:custGeom>
                          <a:avLst/>
                          <a:gdLst/>
                          <a:ahLst/>
                          <a:cxnLst/>
                          <a:rect l="0" t="0" r="0" b="0"/>
                          <a:pathLst>
                            <a:path w="3721101" h="1841501">
                              <a:moveTo>
                                <a:pt x="0" y="0"/>
                              </a:moveTo>
                              <a:lnTo>
                                <a:pt x="3708400" y="647700"/>
                              </a:lnTo>
                              <a:lnTo>
                                <a:pt x="3721100" y="660400"/>
                              </a:lnTo>
                              <a:lnTo>
                                <a:pt x="2692400" y="1841500"/>
                              </a:lnTo>
                              <a:lnTo>
                                <a:pt x="2679700" y="1828800"/>
                              </a:lnTo>
                              <a:close/>
                            </a:path>
                          </a:pathLst>
                        </a:custGeom>
                        <a:gradFill flip="none" rotWithShape="1">
                          <a:gsLst>
                            <a:gs pos="0">
                              <a:srgbClr val="E6E6E6"/>
                            </a:gs>
                            <a:gs pos="100000">
                              <a:srgbClr val="E6E6E6">
                                <a:tint val="30000"/>
                              </a:srgbClr>
                            </a:gs>
                          </a:gsLst>
                          <a:lin ang="16200000" scaled="1"/>
                          <a:tileRect/>
                        </a:gradFill>
                        <a:ln w="0" cap="flat" cmpd="sng" algn="ctr">
                          <a:noFill/>
                          <a:prstDash val="solid"/>
                          <a:round/>
                          <a:headEnd type="none" w="med" len="med"/>
                          <a:tailEnd type="none" w="med" len="med"/>
                        </a:ln>
                        <a:effectLst/>
                        <a:extLst>
                          <a:ext uri="{91240B29-F687-4F45-9708-019B960494DF}">
                            <a14:hiddenLine xmlns:a14="http://schemas.microsoft.com/office/drawing/2010/main" w="0" cap="flat" cmpd="sng" algn="ctr">
                              <a:solidFill>
                                <a:schemeClr val="accent1">
                                  <a:shade val="5000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wps:wsp>
                    <wps:wsp>
                      <wps:cNvPr id="2" name="P2"/>
                      <wps:cNvSpPr/>
                      <wps:spPr>
                        <a:xfrm>
                          <a:off x="1981200" y="647700"/>
                          <a:ext cx="1714501" cy="3784601"/>
                        </a:xfrm>
                        <a:custGeom>
                          <a:avLst/>
                          <a:gdLst/>
                          <a:ahLst/>
                          <a:cxnLst/>
                          <a:rect l="0" t="0" r="0" b="0"/>
                          <a:pathLst>
                            <a:path w="1714501" h="3784601">
                              <a:moveTo>
                                <a:pt x="1714500" y="0"/>
                              </a:moveTo>
                              <a:lnTo>
                                <a:pt x="342900" y="3771900"/>
                              </a:lnTo>
                              <a:lnTo>
                                <a:pt x="355600" y="3784600"/>
                              </a:lnTo>
                              <a:lnTo>
                                <a:pt x="12700" y="1981200"/>
                              </a:lnTo>
                              <a:lnTo>
                                <a:pt x="0" y="1968500"/>
                              </a:lnTo>
                              <a:close/>
                            </a:path>
                          </a:pathLst>
                        </a:custGeom>
                        <a:gradFill flip="none" rotWithShape="1">
                          <a:gsLst>
                            <a:gs pos="0">
                              <a:srgbClr val="E6E6E6"/>
                            </a:gs>
                            <a:gs pos="100000">
                              <a:srgbClr val="E6E6E6">
                                <a:tint val="60000"/>
                              </a:srgbClr>
                            </a:gs>
                          </a:gsLst>
                          <a:lin ang="16200000" scaled="1"/>
                          <a:tileRect/>
                        </a:gradFill>
                        <a:ln w="0" cap="flat" cmpd="sng" algn="ctr">
                          <a:noFill/>
                          <a:prstDash val="solid"/>
                          <a:round/>
                          <a:headEnd type="none" w="med" len="med"/>
                          <a:tailEnd type="none" w="med" len="med"/>
                        </a:ln>
                        <a:effectLst/>
                        <a:extLst>
                          <a:ext uri="{91240B29-F687-4F45-9708-019B960494DF}">
                            <a14:hiddenLine xmlns:a14="http://schemas.microsoft.com/office/drawing/2010/main" w="0" cap="flat" cmpd="sng" algn="ctr">
                              <a:solidFill>
                                <a:schemeClr val="accent1">
                                  <a:shade val="5000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wps:wsp>
                    <wps:wsp>
                      <wps:cNvPr id="4" name="P3"/>
                      <wps:cNvSpPr/>
                      <wps:spPr>
                        <a:xfrm>
                          <a:off x="3695700" y="171450"/>
                          <a:ext cx="2946401" cy="1968501"/>
                        </a:xfrm>
                        <a:custGeom>
                          <a:avLst/>
                          <a:gdLst/>
                          <a:ahLst/>
                          <a:cxnLst/>
                          <a:rect l="0" t="0" r="0" b="0"/>
                          <a:pathLst>
                            <a:path w="2946401" h="1968501">
                              <a:moveTo>
                                <a:pt x="2946400" y="0"/>
                              </a:moveTo>
                              <a:lnTo>
                                <a:pt x="2400300" y="1955800"/>
                              </a:lnTo>
                              <a:lnTo>
                                <a:pt x="2400300" y="1968500"/>
                              </a:lnTo>
                              <a:lnTo>
                                <a:pt x="0" y="482600"/>
                              </a:lnTo>
                              <a:lnTo>
                                <a:pt x="0" y="469900"/>
                              </a:lnTo>
                              <a:close/>
                            </a:path>
                          </a:pathLst>
                        </a:custGeom>
                        <a:gradFill flip="none" rotWithShape="1">
                          <a:gsLst>
                            <a:gs pos="0">
                              <a:srgbClr val="EBEBEB"/>
                            </a:gs>
                            <a:gs pos="100000">
                              <a:srgbClr val="EBEBEB">
                                <a:tint val="10000"/>
                              </a:srgbClr>
                            </a:gs>
                          </a:gsLst>
                          <a:lin ang="0" scaled="1"/>
                          <a:tileRect/>
                        </a:gradFill>
                        <a:ln w="0" cap="flat" cmpd="sng" algn="ctr">
                          <a:noFill/>
                          <a:prstDash val="solid"/>
                          <a:round/>
                          <a:headEnd type="none" w="med" len="med"/>
                          <a:tailEnd type="none" w="med" len="med"/>
                        </a:ln>
                        <a:effectLst/>
                        <a:extLst>
                          <a:ext uri="{91240B29-F687-4F45-9708-019B960494DF}">
                            <a14:hiddenLine xmlns:a14="http://schemas.microsoft.com/office/drawing/2010/main" w="0" cap="flat" cmpd="sng" algn="ctr">
                              <a:solidFill>
                                <a:schemeClr val="accent1">
                                  <a:shade val="5000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wps:wsp>
                    <wps:wsp>
                      <wps:cNvPr id="5" name="T1"/>
                      <wps:cNvSpPr/>
                      <wps:spPr>
                        <a:xfrm>
                          <a:off x="1263650" y="641350"/>
                          <a:ext cx="5105401" cy="6705601"/>
                        </a:xfrm>
                        <a:custGeom>
                          <a:avLst/>
                          <a:gdLst/>
                          <a:ahLst/>
                          <a:cxnLst/>
                          <a:rect l="0" t="0" r="0" b="0"/>
                          <a:pathLst>
                            <a:path w="5105401" h="6705601">
                              <a:moveTo>
                                <a:pt x="2438400" y="0"/>
                              </a:moveTo>
                              <a:lnTo>
                                <a:pt x="5105400" y="1651000"/>
                              </a:lnTo>
                              <a:lnTo>
                                <a:pt x="0" y="6705600"/>
                              </a:lnTo>
                              <a:close/>
                            </a:path>
                          </a:pathLst>
                        </a:custGeom>
                        <a:solidFill>
                          <a:schemeClr val="bg1">
                            <a:lumMod val="85000"/>
                          </a:schemeClr>
                        </a:solidFill>
                        <a:ln w="0" cap="flat" cmpd="sng" algn="ctr">
                          <a:noFill/>
                          <a:prstDash val="solid"/>
                          <a:round/>
                          <a:headEnd type="none" w="med" len="med"/>
                          <a:tailEnd type="none" w="med" len="med"/>
                        </a:ln>
                        <a:effectLst/>
                        <a:extLst>
                          <a:ext uri="{91240B29-F687-4F45-9708-019B960494DF}">
                            <a14:hiddenLine xmlns:a14="http://schemas.microsoft.com/office/drawing/2010/main" w="0" cap="flat" cmpd="sng" algn="ctr">
                              <a:solidFill>
                                <a:schemeClr val="accent1">
                                  <a:shade val="5000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AEE9ADA" id="Group 9" o:spid="_x0000_s1026" alt="COWI Cover Origami" style="position:absolute;margin-left:35.95pt;margin-top:121.05pt;width:523.5pt;height:579pt;z-index:251657216;mso-position-horizontal-relative:page;mso-position-vertical-relative:margin" coordsize="66421,7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">
              <v:shape id="P1" o:spid="_x0000_s1027" style="position:absolute;width:37211;height:18415;visibility:visible;mso-wrap-style:square;v-text-anchor:top" coordsize="3721101,184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" path="m,l3708400,647700r12700,12700l2692400,1841500r-12700,-12700l,xe" fillcolor="#e6e6e6" stroked="f" strokecolor="#212c34 [1604]" strokeweight="0">
                <v:fill color2="#f8f8f8" rotate="t" angle="180" focus="100%" type="gradient"/>
                <v:path arrowok="t" textboxrect="0,0,3721101,1841501"/>
              </v:shape>
              <v:shape id="P2" o:spid="_x0000_s1028" style="position:absolute;left:19812;top:6477;width:17145;height:37846;visibility:visible;mso-wrap-style:square;v-text-anchor:top" coordsize="1714501,378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" path="m1714500,l342900,3771900r12700,12700l12700,1981200,,1968500,1714500,xe" fillcolor="#e6e6e6" stroked="f" strokecolor="#212c34 [1604]" strokeweight="0">
                <v:fill color2="#f0f0f0" rotate="t" angle="180" focus="100%" type="gradient"/>
                <v:path arrowok="t" textboxrect="0,0,1714501,3784601"/>
              </v:shape>
              <v:shape id="P3" o:spid="_x0000_s1029" style="position:absolute;left:36957;top:1714;width:29464;height:19685;visibility:visible;mso-wrap-style:square;v-text-anchor:top" coordsize="2946401,196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" path="m2946400,l2400300,1955800r,12700l,482600,,469900,2946400,xe" fillcolor="#ebebeb" stroked="f" strokecolor="#212c34 [1604]" strokeweight="0">
                <v:fill color2="#fdfdfd" rotate="t" angle="90" focus="100%" type="gradient"/>
                <v:path arrowok="t" textboxrect="0,0,2946401,1968501"/>
              </v:shape>
              <v:shape id="T1" o:spid="_x0000_s1030" style="position:absolute;left:12636;top:6413;width:51054;height:67056;visibility:visible;mso-wrap-style:square;v-text-anchor:top" coordsize="5105401,6705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" path="m2438400,l5105400,1651000,,6705600,2438400,xe" fillcolor="#d8d8d8 [2732]" stroked="f" strokecolor="#212c34 [1604]" strokeweight="0">
                <v:path arrowok="t" textboxrect="0,0,5105401,6705601"/>
              </v:shape>
              <w10:wrap anchorx="page"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F833" w14:textId="77777777" w:rsidR="00432B8C" w:rsidRDefault="00432B8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leftFromText="142" w:rightFromText="142" w:vertAnchor="text" w:horzAnchor="page"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340"/>
      <w:gridCol w:w="170"/>
      <w:gridCol w:w="10206"/>
    </w:tblGrid>
    <w:tr w:rsidR="00432B8C" w14:paraId="7D6CF839" w14:textId="77777777">
      <w:trPr>
        <w:trHeight w:val="113"/>
      </w:trPr>
      <w:tc>
        <w:tcPr>
          <w:tcW w:w="851" w:type="dxa"/>
        </w:tcPr>
        <w:p w14:paraId="7D6CF835" w14:textId="77777777" w:rsidR="00432B8C" w:rsidRDefault="00432B8C">
          <w:pPr>
            <w:pStyle w:val="HeaderLeft"/>
          </w:pPr>
        </w:p>
      </w:tc>
      <w:tc>
        <w:tcPr>
          <w:tcW w:w="340" w:type="dxa"/>
        </w:tcPr>
        <w:p w14:paraId="7D6CF836" w14:textId="77777777" w:rsidR="00432B8C" w:rsidRDefault="00432B8C">
          <w:pPr>
            <w:pStyle w:val="HeaderLeft"/>
          </w:pPr>
        </w:p>
      </w:tc>
      <w:tc>
        <w:tcPr>
          <w:tcW w:w="170" w:type="dxa"/>
        </w:tcPr>
        <w:p w14:paraId="7D6CF837" w14:textId="77777777" w:rsidR="00432B8C" w:rsidRDefault="00432B8C">
          <w:pPr>
            <w:pStyle w:val="HeaderLeft"/>
            <w:rPr>
              <w:noProof/>
            </w:rPr>
          </w:pPr>
        </w:p>
      </w:tc>
      <w:tc>
        <w:tcPr>
          <w:tcW w:w="10206" w:type="dxa"/>
        </w:tcPr>
        <w:p w14:paraId="7D6CF838" w14:textId="77777777" w:rsidR="00432B8C" w:rsidRDefault="00432B8C">
          <w:pPr>
            <w:pStyle w:val="HeaderLeft"/>
          </w:pPr>
          <w:r>
            <w:rPr>
              <w:noProof/>
              <w:lang w:val="kl-GL" w:eastAsia="kl-GL"/>
            </w:rPr>
            <w:drawing>
              <wp:inline distT="0" distB="0" distL="0" distR="0" wp14:anchorId="7D6CF856" wp14:editId="7D6CF857">
                <wp:extent cx="237600" cy="7200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iOrange.emf"/>
                        <pic:cNvPicPr/>
                      </pic:nvPicPr>
                      <pic:blipFill>
                        <a:blip r:embed="rId1">
                          <a:extLst>
                            <a:ext uri="{28A0092B-C50C-407E-A947-70E740481C1C}">
                              <a14:useLocalDpi xmlns:a14="http://schemas.microsoft.com/office/drawing/2010/main" val="0"/>
                            </a:ext>
                          </a:extLst>
                        </a:blip>
                        <a:stretch>
                          <a:fillRect/>
                        </a:stretch>
                      </pic:blipFill>
                      <pic:spPr>
                        <a:xfrm>
                          <a:off x="0" y="0"/>
                          <a:ext cx="237600" cy="72000"/>
                        </a:xfrm>
                        <a:prstGeom prst="rect">
                          <a:avLst/>
                        </a:prstGeom>
                      </pic:spPr>
                    </pic:pic>
                  </a:graphicData>
                </a:graphic>
              </wp:inline>
            </w:drawing>
          </w:r>
          <w:r>
            <w:t xml:space="preserve"> </w:t>
          </w:r>
        </w:p>
      </w:tc>
    </w:tr>
    <w:tr w:rsidR="00432B8C" w14:paraId="7D6CF83E" w14:textId="77777777">
      <w:trPr>
        <w:trHeight w:val="113"/>
      </w:trPr>
      <w:tc>
        <w:tcPr>
          <w:tcW w:w="851" w:type="dxa"/>
        </w:tcPr>
        <w:p w14:paraId="7D6CF83A" w14:textId="77777777" w:rsidR="00432B8C" w:rsidRDefault="00432B8C">
          <w:pPr>
            <w:pStyle w:val="HeaderLeft"/>
          </w:pPr>
        </w:p>
      </w:tc>
      <w:tc>
        <w:tcPr>
          <w:tcW w:w="340" w:type="dxa"/>
        </w:tcPr>
        <w:p w14:paraId="7D6CF83B" w14:textId="7059764D" w:rsidR="00432B8C" w:rsidRDefault="00432B8C">
          <w:pPr>
            <w:pStyle w:val="HeaderLeft"/>
          </w:pPr>
          <w:r>
            <w:fldChar w:fldCharType="begin"/>
          </w:r>
          <w:r>
            <w:instrText xml:space="preserve"> PAGE </w:instrText>
          </w:r>
          <w:r>
            <w:fldChar w:fldCharType="separate"/>
          </w:r>
          <w:r w:rsidR="00EF0E63">
            <w:rPr>
              <w:noProof/>
            </w:rPr>
            <w:t>38</w:t>
          </w:r>
          <w:r>
            <w:fldChar w:fldCharType="end"/>
          </w:r>
        </w:p>
      </w:tc>
      <w:tc>
        <w:tcPr>
          <w:tcW w:w="170" w:type="dxa"/>
        </w:tcPr>
        <w:p w14:paraId="7D6CF83C" w14:textId="77777777" w:rsidR="00432B8C" w:rsidRDefault="00432B8C">
          <w:pPr>
            <w:pStyle w:val="HeaderLeft"/>
          </w:pPr>
        </w:p>
      </w:tc>
      <w:tc>
        <w:tcPr>
          <w:tcW w:w="10206" w:type="dxa"/>
        </w:tcPr>
        <w:p w14:paraId="7D6CF83D" w14:textId="77777777" w:rsidR="00432B8C" w:rsidRDefault="00432B8C">
          <w:pPr>
            <w:pStyle w:val="HeaderLeft"/>
          </w:pPr>
          <w:r>
            <w:t>Konsekvenser af ophævelse af territorialt forbehold for Grønland i relation til Stockholmkonventionen</w:t>
          </w:r>
        </w:p>
      </w:tc>
    </w:tr>
  </w:tbl>
  <w:p w14:paraId="7D6CF83F" w14:textId="77777777" w:rsidR="00432B8C" w:rsidRDefault="00432B8C">
    <w:pPr>
      <w:pStyle w:val="Header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leftFromText="142" w:rightFromText="142" w:vertAnchor="text" w:horzAnchor="page"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gridCol w:w="170"/>
      <w:gridCol w:w="340"/>
      <w:gridCol w:w="851"/>
    </w:tblGrid>
    <w:tr w:rsidR="00432B8C" w14:paraId="7D6CF844" w14:textId="77777777">
      <w:trPr>
        <w:cantSplit/>
        <w:trHeight w:val="113"/>
      </w:trPr>
      <w:tc>
        <w:tcPr>
          <w:tcW w:w="10206" w:type="dxa"/>
        </w:tcPr>
        <w:p w14:paraId="7D6CF840" w14:textId="77777777" w:rsidR="00432B8C" w:rsidRDefault="00432B8C">
          <w:pPr>
            <w:pStyle w:val="HeaderRight"/>
          </w:pPr>
          <w:r>
            <w:t xml:space="preserve"> </w:t>
          </w:r>
          <w:r>
            <w:rPr>
              <w:noProof/>
              <w:lang w:val="kl-GL" w:eastAsia="kl-GL"/>
            </w:rPr>
            <w:drawing>
              <wp:inline distT="0" distB="0" distL="0" distR="0" wp14:anchorId="7D6CF858" wp14:editId="7D6CF859">
                <wp:extent cx="237600" cy="7200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iOrange.emf"/>
                        <pic:cNvPicPr/>
                      </pic:nvPicPr>
                      <pic:blipFill>
                        <a:blip r:embed="rId1">
                          <a:extLst>
                            <a:ext uri="{28A0092B-C50C-407E-A947-70E740481C1C}">
                              <a14:useLocalDpi xmlns:a14="http://schemas.microsoft.com/office/drawing/2010/main" val="0"/>
                            </a:ext>
                          </a:extLst>
                        </a:blip>
                        <a:stretch>
                          <a:fillRect/>
                        </a:stretch>
                      </pic:blipFill>
                      <pic:spPr>
                        <a:xfrm>
                          <a:off x="0" y="0"/>
                          <a:ext cx="237600" cy="72000"/>
                        </a:xfrm>
                        <a:prstGeom prst="rect">
                          <a:avLst/>
                        </a:prstGeom>
                      </pic:spPr>
                    </pic:pic>
                  </a:graphicData>
                </a:graphic>
              </wp:inline>
            </w:drawing>
          </w:r>
        </w:p>
      </w:tc>
      <w:tc>
        <w:tcPr>
          <w:tcW w:w="170" w:type="dxa"/>
        </w:tcPr>
        <w:p w14:paraId="7D6CF841" w14:textId="77777777" w:rsidR="00432B8C" w:rsidRDefault="00432B8C">
          <w:pPr>
            <w:pStyle w:val="HeaderRight"/>
          </w:pPr>
        </w:p>
      </w:tc>
      <w:tc>
        <w:tcPr>
          <w:tcW w:w="340" w:type="dxa"/>
        </w:tcPr>
        <w:p w14:paraId="7D6CF842" w14:textId="77777777" w:rsidR="00432B8C" w:rsidRDefault="00432B8C">
          <w:pPr>
            <w:pStyle w:val="HeaderRight"/>
          </w:pPr>
        </w:p>
      </w:tc>
      <w:tc>
        <w:tcPr>
          <w:tcW w:w="851" w:type="dxa"/>
        </w:tcPr>
        <w:p w14:paraId="7D6CF843" w14:textId="77777777" w:rsidR="00432B8C" w:rsidRDefault="00432B8C">
          <w:pPr>
            <w:pStyle w:val="HeaderRight"/>
          </w:pPr>
        </w:p>
      </w:tc>
    </w:tr>
    <w:tr w:rsidR="00432B8C" w14:paraId="7D6CF849" w14:textId="77777777">
      <w:trPr>
        <w:cantSplit/>
        <w:trHeight w:val="113"/>
      </w:trPr>
      <w:tc>
        <w:tcPr>
          <w:tcW w:w="10206" w:type="dxa"/>
        </w:tcPr>
        <w:p w14:paraId="7D6CF845" w14:textId="77777777" w:rsidR="00432B8C" w:rsidRDefault="00432B8C">
          <w:pPr>
            <w:pStyle w:val="HeaderRight"/>
          </w:pPr>
          <w:r>
            <w:t>Konsekvenser af tilbagekaldelse af territorialt forbehold for Grønland i relation til Stockholmkonventionen</w:t>
          </w:r>
        </w:p>
      </w:tc>
      <w:tc>
        <w:tcPr>
          <w:tcW w:w="170" w:type="dxa"/>
        </w:tcPr>
        <w:p w14:paraId="7D6CF846" w14:textId="77777777" w:rsidR="00432B8C" w:rsidRDefault="00432B8C">
          <w:pPr>
            <w:pStyle w:val="HeaderRight"/>
          </w:pPr>
        </w:p>
      </w:tc>
      <w:tc>
        <w:tcPr>
          <w:tcW w:w="340" w:type="dxa"/>
        </w:tcPr>
        <w:p w14:paraId="7D6CF847" w14:textId="62A50D2A" w:rsidR="00432B8C" w:rsidRDefault="00432B8C">
          <w:pPr>
            <w:pStyle w:val="HeaderRight"/>
          </w:pPr>
          <w:r>
            <w:fldChar w:fldCharType="begin"/>
          </w:r>
          <w:r>
            <w:instrText xml:space="preserve"> Page </w:instrText>
          </w:r>
          <w:r>
            <w:fldChar w:fldCharType="separate"/>
          </w:r>
          <w:r w:rsidR="00EF0E63">
            <w:rPr>
              <w:noProof/>
            </w:rPr>
            <w:t>37</w:t>
          </w:r>
          <w:r>
            <w:fldChar w:fldCharType="end"/>
          </w:r>
        </w:p>
      </w:tc>
      <w:tc>
        <w:tcPr>
          <w:tcW w:w="851" w:type="dxa"/>
        </w:tcPr>
        <w:p w14:paraId="7D6CF848" w14:textId="77777777" w:rsidR="00432B8C" w:rsidRDefault="00432B8C">
          <w:pPr>
            <w:pStyle w:val="HeaderRight"/>
          </w:pPr>
        </w:p>
      </w:tc>
    </w:tr>
  </w:tbl>
  <w:p w14:paraId="7D6CF84A" w14:textId="77777777" w:rsidR="00432B8C" w:rsidRDefault="00432B8C">
    <w:pPr>
      <w:pStyle w:val="Header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F853" w14:textId="77777777" w:rsidR="00432B8C" w:rsidRDefault="00432B8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9AE89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68AD6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F025C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46C63B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A23ED4A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884FE7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E65CEB76"/>
    <w:lvl w:ilvl="0">
      <w:start w:val="1"/>
      <w:numFmt w:val="none"/>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none"/>
      <w:suff w:val="nothing"/>
      <w:lvlText w:val=""/>
      <w:lvlJc w:val="left"/>
      <w:pPr>
        <w:ind w:left="0" w:firstLine="0"/>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35162AF"/>
    <w:multiLevelType w:val="singleLevel"/>
    <w:tmpl w:val="E03022E2"/>
    <w:lvl w:ilvl="0">
      <w:start w:val="1"/>
      <w:numFmt w:val="decimal"/>
      <w:lvlText w:val="%1."/>
      <w:legacy w:legacy="1" w:legacySpace="0" w:legacyIndent="283"/>
      <w:lvlJc w:val="left"/>
      <w:pPr>
        <w:ind w:left="283" w:hanging="283"/>
      </w:pPr>
    </w:lvl>
  </w:abstractNum>
  <w:abstractNum w:abstractNumId="9" w15:restartNumberingAfterBreak="0">
    <w:nsid w:val="046D7436"/>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BC83254"/>
    <w:multiLevelType w:val="multilevel"/>
    <w:tmpl w:val="680E4530"/>
    <w:lvl w:ilvl="0">
      <w:start w:val="1"/>
      <w:numFmt w:val="decimal"/>
      <w:lvlText w:val="%1"/>
      <w:lvlJc w:val="left"/>
      <w:pPr>
        <w:tabs>
          <w:tab w:val="num" w:pos="851"/>
        </w:tabs>
        <w:ind w:left="851" w:hanging="851"/>
      </w:pPr>
    </w:lvl>
    <w:lvl w:ilvl="1">
      <w:start w:val="1"/>
      <w:numFmt w:val="decimal"/>
      <w:lvlText w:val="%1.%2"/>
      <w:lvlJc w:val="left"/>
      <w:pPr>
        <w:tabs>
          <w:tab w:val="num" w:pos="0"/>
        </w:tabs>
        <w:ind w:left="851" w:hanging="851"/>
      </w:pPr>
    </w:lvl>
    <w:lvl w:ilvl="2">
      <w:start w:val="1"/>
      <w:numFmt w:val="decimal"/>
      <w:lvlText w:val="%1.%2.%3"/>
      <w:lvlJc w:val="left"/>
      <w:pPr>
        <w:tabs>
          <w:tab w:val="num" w:pos="720"/>
        </w:tabs>
        <w:ind w:left="0" w:firstLine="0"/>
      </w:pPr>
    </w:lvl>
    <w:lvl w:ilvl="3">
      <w:start w:val="1"/>
      <w:numFmt w:val="none"/>
      <w:suff w:val="nothing"/>
      <w:lvlText w:val=""/>
      <w:lvlJc w:val="left"/>
      <w:pPr>
        <w:ind w:left="0" w:firstLine="0"/>
      </w:pPr>
    </w:lvl>
    <w:lvl w:ilvl="4">
      <w:start w:val="1"/>
      <w:numFmt w:val="decimal"/>
      <w:lvlText w:val="(%5)"/>
      <w:lvlJc w:val="left"/>
      <w:pPr>
        <w:tabs>
          <w:tab w:val="num" w:pos="0"/>
        </w:tabs>
        <w:ind w:left="2410" w:hanging="708"/>
      </w:pPr>
    </w:lvl>
    <w:lvl w:ilvl="5">
      <w:start w:val="1"/>
      <w:numFmt w:val="lowerLetter"/>
      <w:lvlText w:val="(%6)"/>
      <w:lvlJc w:val="left"/>
      <w:pPr>
        <w:tabs>
          <w:tab w:val="num" w:pos="0"/>
        </w:tabs>
        <w:ind w:left="3118" w:hanging="708"/>
      </w:pPr>
    </w:lvl>
    <w:lvl w:ilvl="6">
      <w:start w:val="1"/>
      <w:numFmt w:val="lowerRoman"/>
      <w:lvlText w:val="(%7)"/>
      <w:lvlJc w:val="left"/>
      <w:pPr>
        <w:tabs>
          <w:tab w:val="num" w:pos="0"/>
        </w:tabs>
        <w:ind w:left="3826" w:hanging="708"/>
      </w:pPr>
    </w:lvl>
    <w:lvl w:ilvl="7">
      <w:start w:val="1"/>
      <w:numFmt w:val="lowerLetter"/>
      <w:lvlText w:val="(%8)"/>
      <w:lvlJc w:val="left"/>
      <w:pPr>
        <w:tabs>
          <w:tab w:val="num" w:pos="0"/>
        </w:tabs>
        <w:ind w:left="4534" w:hanging="708"/>
      </w:pPr>
    </w:lvl>
    <w:lvl w:ilvl="8">
      <w:start w:val="1"/>
      <w:numFmt w:val="lowerRoman"/>
      <w:lvlText w:val="(%9)"/>
      <w:lvlJc w:val="left"/>
      <w:pPr>
        <w:tabs>
          <w:tab w:val="num" w:pos="0"/>
        </w:tabs>
        <w:ind w:left="5242" w:hanging="708"/>
      </w:pPr>
    </w:lvl>
  </w:abstractNum>
  <w:abstractNum w:abstractNumId="11" w15:restartNumberingAfterBreak="0">
    <w:nsid w:val="0CFD7AD9"/>
    <w:multiLevelType w:val="multilevel"/>
    <w:tmpl w:val="2BA00BE2"/>
    <w:styleLink w:val="CowiBulletList"/>
    <w:lvl w:ilvl="0">
      <w:start w:val="1"/>
      <w:numFmt w:val="bullet"/>
      <w:pStyle w:val="Opstilling-punkttegn"/>
      <w:lvlText w:val="›"/>
      <w:lvlJc w:val="left"/>
      <w:pPr>
        <w:tabs>
          <w:tab w:val="num" w:pos="425"/>
        </w:tabs>
        <w:ind w:left="425" w:hanging="425"/>
      </w:pPr>
      <w:rPr>
        <w:rFonts w:hint="default"/>
        <w:color w:val="F04E23"/>
        <w:position w:val="0"/>
        <w:sz w:val="24"/>
      </w:rPr>
    </w:lvl>
    <w:lvl w:ilvl="1">
      <w:start w:val="1"/>
      <w:numFmt w:val="bullet"/>
      <w:pStyle w:val="Opstilling-punkttegn2"/>
      <w:lvlText w:val="›"/>
      <w:lvlJc w:val="left"/>
      <w:pPr>
        <w:tabs>
          <w:tab w:val="num" w:pos="851"/>
        </w:tabs>
        <w:ind w:left="851" w:hanging="426"/>
      </w:pPr>
      <w:rPr>
        <w:rFonts w:hint="default"/>
        <w:color w:val="333333"/>
        <w:position w:val="0"/>
        <w:sz w:val="24"/>
      </w:rPr>
    </w:lvl>
    <w:lvl w:ilvl="2">
      <w:start w:val="1"/>
      <w:numFmt w:val="bullet"/>
      <w:pStyle w:val="Opstilling-punkttegn3"/>
      <w:lvlText w:val="›"/>
      <w:lvlJc w:val="left"/>
      <w:pPr>
        <w:tabs>
          <w:tab w:val="num" w:pos="1276"/>
        </w:tabs>
        <w:ind w:left="1276" w:hanging="425"/>
      </w:pPr>
      <w:rPr>
        <w:rFonts w:hint="default"/>
        <w:color w:val="333333"/>
        <w:position w:val="0"/>
        <w:sz w:val="24"/>
      </w:rPr>
    </w:lvl>
    <w:lvl w:ilvl="3">
      <w:start w:val="1"/>
      <w:numFmt w:val="bullet"/>
      <w:pStyle w:val="Opstilling-punkttegn4"/>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2" w15:restartNumberingAfterBreak="0">
    <w:nsid w:val="1B0D7A83"/>
    <w:multiLevelType w:val="multilevel"/>
    <w:tmpl w:val="790E8CA8"/>
    <w:styleLink w:val="CowiNumberList"/>
    <w:lvl w:ilvl="0">
      <w:start w:val="1"/>
      <w:numFmt w:val="decimal"/>
      <w:pStyle w:val="Opstilling-talellerbogst"/>
      <w:lvlText w:val="%1"/>
      <w:lvlJc w:val="left"/>
      <w:pPr>
        <w:tabs>
          <w:tab w:val="num" w:pos="425"/>
        </w:tabs>
        <w:ind w:left="425" w:hanging="425"/>
      </w:pPr>
      <w:rPr>
        <w:rFonts w:hint="default"/>
      </w:rPr>
    </w:lvl>
    <w:lvl w:ilvl="1">
      <w:start w:val="1"/>
      <w:numFmt w:val="decimal"/>
      <w:pStyle w:val="Opstilling-talellerbogst2"/>
      <w:lvlText w:val="%1.%2"/>
      <w:lvlJc w:val="left"/>
      <w:pPr>
        <w:tabs>
          <w:tab w:val="num" w:pos="851"/>
        </w:tabs>
        <w:ind w:left="851" w:hanging="426"/>
      </w:pPr>
      <w:rPr>
        <w:rFonts w:hint="default"/>
      </w:rPr>
    </w:lvl>
    <w:lvl w:ilvl="2">
      <w:start w:val="1"/>
      <w:numFmt w:val="lowerLetter"/>
      <w:pStyle w:val="Opstilling-talellerbogst3"/>
      <w:lvlText w:val="%3)"/>
      <w:lvlJc w:val="left"/>
      <w:pPr>
        <w:tabs>
          <w:tab w:val="num" w:pos="1276"/>
        </w:tabs>
        <w:ind w:left="1276" w:hanging="425"/>
      </w:pPr>
      <w:rPr>
        <w:rFonts w:hint="default"/>
      </w:rPr>
    </w:lvl>
    <w:lvl w:ilvl="3">
      <w:start w:val="1"/>
      <w:numFmt w:val="lowerRoman"/>
      <w:pStyle w:val="Opstilling-talellerbogst4"/>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1D6D1414"/>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3331117"/>
    <w:multiLevelType w:val="multilevel"/>
    <w:tmpl w:val="5BDA225C"/>
    <w:styleLink w:val="CowiTableNumberList"/>
    <w:lvl w:ilvl="0">
      <w:start w:val="1"/>
      <w:numFmt w:val="decimal"/>
      <w:pStyle w:val="TableNumber"/>
      <w:lvlText w:val="%1"/>
      <w:lvlJc w:val="left"/>
      <w:pPr>
        <w:tabs>
          <w:tab w:val="num" w:pos="284"/>
        </w:tabs>
        <w:ind w:left="284" w:hanging="284"/>
      </w:pPr>
      <w:rPr>
        <w:rFonts w:hint="default"/>
      </w:rPr>
    </w:lvl>
    <w:lvl w:ilvl="1">
      <w:start w:val="1"/>
      <w:numFmt w:val="decimal"/>
      <w:pStyle w:val="TableNumber2"/>
      <w:lvlText w:val="%1.%2"/>
      <w:lvlJc w:val="left"/>
      <w:pPr>
        <w:tabs>
          <w:tab w:val="num" w:pos="567"/>
        </w:tabs>
        <w:ind w:left="567" w:hanging="283"/>
      </w:pPr>
      <w:rPr>
        <w:rFonts w:hint="default"/>
      </w:rPr>
    </w:lvl>
    <w:lvl w:ilvl="2">
      <w:start w:val="1"/>
      <w:numFmt w:val="lowerLetter"/>
      <w:pStyle w:val="TableNumber3"/>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5C1309"/>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4DD3188"/>
    <w:multiLevelType w:val="multilevel"/>
    <w:tmpl w:val="B1802E2A"/>
    <w:lvl w:ilvl="0">
      <w:start w:val="1"/>
      <w:numFmt w:val="decimal"/>
      <w:lvlText w:val="%1"/>
      <w:lvlJc w:val="left"/>
      <w:pPr>
        <w:tabs>
          <w:tab w:val="num" w:pos="425"/>
        </w:tabs>
        <w:ind w:left="425" w:hanging="425"/>
      </w:pPr>
    </w:lvl>
    <w:lvl w:ilvl="1">
      <w:start w:val="1"/>
      <w:numFmt w:val="decimal"/>
      <w:lvlText w:val="%1.%2"/>
      <w:lvlJc w:val="left"/>
      <w:pPr>
        <w:tabs>
          <w:tab w:val="num" w:pos="851"/>
        </w:tabs>
        <w:ind w:left="851" w:hanging="426"/>
      </w:pPr>
    </w:lvl>
    <w:lvl w:ilvl="2">
      <w:start w:val="1"/>
      <w:numFmt w:val="lowerLetter"/>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39A072AF"/>
    <w:multiLevelType w:val="singleLevel"/>
    <w:tmpl w:val="726283EC"/>
    <w:lvl w:ilvl="0">
      <w:start w:val="1"/>
      <w:numFmt w:val="decimal"/>
      <w:lvlText w:val="%1."/>
      <w:lvlJc w:val="left"/>
      <w:pPr>
        <w:tabs>
          <w:tab w:val="num" w:pos="360"/>
        </w:tabs>
        <w:ind w:left="360" w:hanging="360"/>
      </w:pPr>
    </w:lvl>
  </w:abstractNum>
  <w:abstractNum w:abstractNumId="18" w15:restartNumberingAfterBreak="0">
    <w:nsid w:val="3A3D6C26"/>
    <w:multiLevelType w:val="singleLevel"/>
    <w:tmpl w:val="9094FDE4"/>
    <w:lvl w:ilvl="0">
      <w:start w:val="1"/>
      <w:numFmt w:val="decimal"/>
      <w:lvlText w:val="%1."/>
      <w:legacy w:legacy="1" w:legacySpace="0" w:legacyIndent="283"/>
      <w:lvlJc w:val="left"/>
      <w:pPr>
        <w:ind w:left="283" w:hanging="283"/>
      </w:pPr>
    </w:lvl>
  </w:abstractNum>
  <w:abstractNum w:abstractNumId="19" w15:restartNumberingAfterBreak="0">
    <w:nsid w:val="4B7811E4"/>
    <w:multiLevelType w:val="multilevel"/>
    <w:tmpl w:val="D9E24AF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0" w:firstLine="0"/>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2410" w:hanging="708"/>
      </w:pPr>
      <w:rPr>
        <w:rFonts w:hint="default"/>
      </w:rPr>
    </w:lvl>
    <w:lvl w:ilvl="5">
      <w:start w:val="1"/>
      <w:numFmt w:val="lowerLetter"/>
      <w:lvlText w:val="(%6)"/>
      <w:lvlJc w:val="left"/>
      <w:pPr>
        <w:tabs>
          <w:tab w:val="num" w:pos="0"/>
        </w:tabs>
        <w:ind w:left="3118" w:hanging="708"/>
      </w:pPr>
      <w:rPr>
        <w:rFonts w:hint="default"/>
      </w:rPr>
    </w:lvl>
    <w:lvl w:ilvl="6">
      <w:start w:val="1"/>
      <w:numFmt w:val="lowerRoman"/>
      <w:lvlText w:val="(%7)"/>
      <w:lvlJc w:val="left"/>
      <w:pPr>
        <w:tabs>
          <w:tab w:val="num" w:pos="0"/>
        </w:tabs>
        <w:ind w:left="3826" w:hanging="708"/>
      </w:pPr>
      <w:rPr>
        <w:rFonts w:hint="default"/>
      </w:rPr>
    </w:lvl>
    <w:lvl w:ilvl="7">
      <w:start w:val="1"/>
      <w:numFmt w:val="lowerLetter"/>
      <w:lvlText w:val="(%8)"/>
      <w:lvlJc w:val="left"/>
      <w:pPr>
        <w:tabs>
          <w:tab w:val="num" w:pos="0"/>
        </w:tabs>
        <w:ind w:left="4534" w:hanging="708"/>
      </w:pPr>
      <w:rPr>
        <w:rFonts w:hint="default"/>
      </w:rPr>
    </w:lvl>
    <w:lvl w:ilvl="8">
      <w:start w:val="1"/>
      <w:numFmt w:val="lowerRoman"/>
      <w:lvlText w:val="(%9)"/>
      <w:lvlJc w:val="left"/>
      <w:pPr>
        <w:tabs>
          <w:tab w:val="num" w:pos="0"/>
        </w:tabs>
        <w:ind w:left="5242" w:hanging="708"/>
      </w:pPr>
      <w:rPr>
        <w:rFonts w:hint="default"/>
      </w:rPr>
    </w:lvl>
  </w:abstractNum>
  <w:abstractNum w:abstractNumId="20" w15:restartNumberingAfterBreak="0">
    <w:nsid w:val="508259FD"/>
    <w:multiLevelType w:val="singleLevel"/>
    <w:tmpl w:val="ECD8CBCC"/>
    <w:lvl w:ilvl="0">
      <w:start w:val="1"/>
      <w:numFmt w:val="decimal"/>
      <w:lvlText w:val="%1."/>
      <w:legacy w:legacy="1" w:legacySpace="0" w:legacyIndent="283"/>
      <w:lvlJc w:val="left"/>
      <w:pPr>
        <w:ind w:left="283" w:hanging="283"/>
      </w:pPr>
    </w:lvl>
  </w:abstractNum>
  <w:abstractNum w:abstractNumId="21" w15:restartNumberingAfterBreak="0">
    <w:nsid w:val="540753B6"/>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462BE8"/>
    <w:multiLevelType w:val="singleLevel"/>
    <w:tmpl w:val="5532E484"/>
    <w:lvl w:ilvl="0">
      <w:start w:val="1"/>
      <w:numFmt w:val="decimal"/>
      <w:lvlText w:val="%1."/>
      <w:legacy w:legacy="1" w:legacySpace="0" w:legacyIndent="283"/>
      <w:lvlJc w:val="left"/>
      <w:pPr>
        <w:ind w:left="283" w:hanging="283"/>
      </w:pPr>
    </w:lvl>
  </w:abstractNum>
  <w:abstractNum w:abstractNumId="23" w15:restartNumberingAfterBreak="0">
    <w:nsid w:val="63405100"/>
    <w:multiLevelType w:val="multilevel"/>
    <w:tmpl w:val="03EEFA36"/>
    <w:styleLink w:val="CowiTableBulletList"/>
    <w:lvl w:ilvl="0">
      <w:start w:val="1"/>
      <w:numFmt w:val="bullet"/>
      <w:pStyle w:val="TableBullet"/>
      <w:lvlText w:val="›"/>
      <w:lvlJc w:val="left"/>
      <w:pPr>
        <w:tabs>
          <w:tab w:val="num" w:pos="284"/>
        </w:tabs>
        <w:ind w:left="284" w:hanging="284"/>
      </w:pPr>
      <w:rPr>
        <w:rFonts w:hint="default"/>
        <w:color w:val="F04E23"/>
        <w:sz w:val="18"/>
      </w:rPr>
    </w:lvl>
    <w:lvl w:ilvl="1">
      <w:start w:val="1"/>
      <w:numFmt w:val="bullet"/>
      <w:pStyle w:val="TableBullet2"/>
      <w:lvlText w:val="›"/>
      <w:lvlJc w:val="left"/>
      <w:pPr>
        <w:tabs>
          <w:tab w:val="num" w:pos="567"/>
        </w:tabs>
        <w:ind w:left="567" w:hanging="283"/>
      </w:pPr>
      <w:rPr>
        <w:rFonts w:hint="default"/>
        <w:color w:val="333333"/>
      </w:rPr>
    </w:lvl>
    <w:lvl w:ilvl="2">
      <w:start w:val="1"/>
      <w:numFmt w:val="bullet"/>
      <w:pStyle w:val="TableBullet3"/>
      <w:lvlText w:val="›"/>
      <w:lvlJc w:val="left"/>
      <w:pPr>
        <w:tabs>
          <w:tab w:val="num" w:pos="851"/>
        </w:tabs>
        <w:ind w:left="851" w:hanging="284"/>
      </w:pPr>
      <w:rPr>
        <w:rFonts w:hint="default"/>
        <w:color w:val="333333"/>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4A6069A"/>
    <w:multiLevelType w:val="multilevel"/>
    <w:tmpl w:val="D2C447E2"/>
    <w:lvl w:ilvl="0">
      <w:start w:val="1"/>
      <w:numFmt w:val="decimal"/>
      <w:lvlText w:val="%1"/>
      <w:lvlJc w:val="left"/>
      <w:pPr>
        <w:tabs>
          <w:tab w:val="num" w:pos="425"/>
        </w:tabs>
        <w:ind w:left="425" w:hanging="425"/>
      </w:pPr>
    </w:lvl>
    <w:lvl w:ilvl="1">
      <w:start w:val="1"/>
      <w:numFmt w:val="decimal"/>
      <w:lvlText w:val="%1.%2"/>
      <w:lvlJc w:val="left"/>
      <w:pPr>
        <w:tabs>
          <w:tab w:val="num" w:pos="851"/>
        </w:tabs>
        <w:ind w:left="851" w:hanging="426"/>
      </w:pPr>
    </w:lvl>
    <w:lvl w:ilvl="2">
      <w:start w:val="1"/>
      <w:numFmt w:val="lowerLetter"/>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5" w15:restartNumberingAfterBreak="0">
    <w:nsid w:val="685666B2"/>
    <w:multiLevelType w:val="multilevel"/>
    <w:tmpl w:val="91F28F0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2410" w:hanging="708"/>
      </w:pPr>
      <w:rPr>
        <w:rFonts w:hint="default"/>
      </w:rPr>
    </w:lvl>
    <w:lvl w:ilvl="5">
      <w:start w:val="1"/>
      <w:numFmt w:val="lowerLetter"/>
      <w:pStyle w:val="Overskrift6"/>
      <w:lvlText w:val="(%6)"/>
      <w:lvlJc w:val="left"/>
      <w:pPr>
        <w:tabs>
          <w:tab w:val="num" w:pos="0"/>
        </w:tabs>
        <w:ind w:left="3118" w:hanging="708"/>
      </w:pPr>
      <w:rPr>
        <w:rFonts w:hint="default"/>
      </w:rPr>
    </w:lvl>
    <w:lvl w:ilvl="6">
      <w:start w:val="1"/>
      <w:numFmt w:val="lowerRoman"/>
      <w:lvlText w:val="(%7)"/>
      <w:lvlJc w:val="left"/>
      <w:pPr>
        <w:tabs>
          <w:tab w:val="num" w:pos="0"/>
        </w:tabs>
        <w:ind w:left="3826" w:hanging="708"/>
      </w:pPr>
      <w:rPr>
        <w:rFonts w:hint="default"/>
      </w:rPr>
    </w:lvl>
    <w:lvl w:ilvl="7">
      <w:start w:val="1"/>
      <w:numFmt w:val="lowerLetter"/>
      <w:lvlText w:val="(%8)"/>
      <w:lvlJc w:val="left"/>
      <w:pPr>
        <w:tabs>
          <w:tab w:val="num" w:pos="0"/>
        </w:tabs>
        <w:ind w:left="4534" w:hanging="708"/>
      </w:pPr>
      <w:rPr>
        <w:rFonts w:hint="default"/>
      </w:rPr>
    </w:lvl>
    <w:lvl w:ilvl="8">
      <w:start w:val="1"/>
      <w:numFmt w:val="lowerRoman"/>
      <w:lvlText w:val="(%9)"/>
      <w:lvlJc w:val="left"/>
      <w:pPr>
        <w:tabs>
          <w:tab w:val="num" w:pos="0"/>
        </w:tabs>
        <w:ind w:left="5242" w:hanging="708"/>
      </w:pPr>
      <w:rPr>
        <w:rFonts w:hint="default"/>
      </w:rPr>
    </w:lvl>
  </w:abstractNum>
  <w:abstractNum w:abstractNumId="26" w15:restartNumberingAfterBreak="0">
    <w:nsid w:val="6A870E81"/>
    <w:multiLevelType w:val="singleLevel"/>
    <w:tmpl w:val="95AC9412"/>
    <w:lvl w:ilvl="0">
      <w:start w:val="1"/>
      <w:numFmt w:val="bullet"/>
      <w:lvlText w:val="-"/>
      <w:lvlJc w:val="left"/>
      <w:pPr>
        <w:tabs>
          <w:tab w:val="num" w:pos="851"/>
        </w:tabs>
        <w:ind w:left="851" w:hanging="426"/>
      </w:pPr>
      <w:rPr>
        <w:rFonts w:ascii="Times New Roman" w:hAnsi="Times New Roman" w:hint="default"/>
      </w:rPr>
    </w:lvl>
  </w:abstractNum>
  <w:abstractNum w:abstractNumId="27" w15:restartNumberingAfterBreak="0">
    <w:nsid w:val="6D367607"/>
    <w:multiLevelType w:val="multilevel"/>
    <w:tmpl w:val="9716A468"/>
    <w:styleLink w:val="CowiHeadings"/>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lvlText w:val="%1.%2.%3.%4"/>
      <w:lvlJc w:val="left"/>
      <w:pPr>
        <w:tabs>
          <w:tab w:val="num" w:pos="1276"/>
        </w:tabs>
        <w:ind w:left="1276" w:hanging="1276"/>
      </w:pPr>
      <w:rPr>
        <w:rFonts w:hint="default"/>
      </w:rPr>
    </w:lvl>
    <w:lvl w:ilvl="4">
      <w:start w:val="1"/>
      <w:numFmt w:val="decimal"/>
      <w:lvlText w:val="%1.%2.%3.%4.%5"/>
      <w:lvlJc w:val="left"/>
      <w:pPr>
        <w:tabs>
          <w:tab w:val="num" w:pos="1276"/>
        </w:tabs>
        <w:ind w:left="1276" w:hanging="1276"/>
      </w:pPr>
      <w:rPr>
        <w:rFonts w:hint="default"/>
      </w:rPr>
    </w:lvl>
    <w:lvl w:ilvl="5">
      <w:start w:val="1"/>
      <w:numFmt w:val="lowerRoman"/>
      <w:lvlText w:val="(%6)"/>
      <w:lvlJc w:val="left"/>
      <w:pPr>
        <w:tabs>
          <w:tab w:val="num" w:pos="851"/>
        </w:tabs>
        <w:ind w:left="851" w:hanging="851"/>
      </w:pPr>
      <w:rPr>
        <w:rFonts w:hint="default"/>
      </w:rPr>
    </w:lvl>
    <w:lvl w:ilvl="6">
      <w:start w:val="1"/>
      <w:numFmt w:val="upperLetter"/>
      <w:lvlRestart w:val="0"/>
      <w:pStyle w:val="Overskrift7"/>
      <w:lvlText w:val="Bilag %7"/>
      <w:lvlJc w:val="left"/>
      <w:pPr>
        <w:ind w:left="0" w:firstLine="0"/>
      </w:pPr>
      <w:rPr>
        <w:rFonts w:hint="default"/>
      </w:rPr>
    </w:lvl>
    <w:lvl w:ilvl="7">
      <w:start w:val="1"/>
      <w:numFmt w:val="decimal"/>
      <w:pStyle w:val="Overskrift8"/>
      <w:lvlText w:val="%7.%8"/>
      <w:lvlJc w:val="left"/>
      <w:pPr>
        <w:tabs>
          <w:tab w:val="num" w:pos="851"/>
        </w:tabs>
        <w:ind w:left="851" w:hanging="851"/>
      </w:pPr>
      <w:rPr>
        <w:rFonts w:hint="default"/>
      </w:rPr>
    </w:lvl>
    <w:lvl w:ilvl="8">
      <w:start w:val="1"/>
      <w:numFmt w:val="decimal"/>
      <w:pStyle w:val="Overskrift9"/>
      <w:lvlText w:val="%7.%8.%9"/>
      <w:lvlJc w:val="left"/>
      <w:pPr>
        <w:tabs>
          <w:tab w:val="num" w:pos="851"/>
        </w:tabs>
        <w:ind w:left="851" w:hanging="851"/>
      </w:pPr>
      <w:rPr>
        <w:rFonts w:hint="default"/>
      </w:rPr>
    </w:lvl>
  </w:abstractNum>
  <w:abstractNum w:abstractNumId="28" w15:restartNumberingAfterBreak="0">
    <w:nsid w:val="75505AD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6"/>
  </w:num>
  <w:num w:numId="2">
    <w:abstractNumId w:val="7"/>
    <w:lvlOverride w:ilvl="0">
      <w:lvl w:ilvl="0">
        <w:start w:val="1"/>
        <w:numFmt w:val="bullet"/>
        <w:lvlText w:val="•"/>
        <w:legacy w:legacy="1" w:legacySpace="0" w:legacyIndent="283"/>
        <w:lvlJc w:val="left"/>
        <w:pPr>
          <w:ind w:left="283" w:hanging="283"/>
        </w:pPr>
        <w:rPr>
          <w:rFonts w:ascii="Times New Roman" w:hAnsi="Times New Roman" w:hint="default"/>
          <w:sz w:val="23"/>
        </w:rPr>
      </w:lvl>
    </w:lvlOverride>
  </w:num>
  <w:num w:numId="3">
    <w:abstractNumId w:val="22"/>
  </w:num>
  <w:num w:numId="4">
    <w:abstractNumId w:val="15"/>
  </w:num>
  <w:num w:numId="5">
    <w:abstractNumId w:val="16"/>
  </w:num>
  <w:num w:numId="6">
    <w:abstractNumId w:val="16"/>
    <w:lvlOverride w:ilvl="0">
      <w:lvl w:ilvl="0">
        <w:start w:val="1"/>
        <w:numFmt w:val="decimal"/>
        <w:lvlText w:val="%1."/>
        <w:legacy w:legacy="1" w:legacySpace="0" w:legacyIndent="283"/>
        <w:lvlJc w:val="left"/>
        <w:pPr>
          <w:ind w:left="283" w:hanging="283"/>
        </w:pPr>
      </w:lvl>
    </w:lvlOverride>
  </w:num>
  <w:num w:numId="7">
    <w:abstractNumId w:val="8"/>
  </w:num>
  <w:num w:numId="8">
    <w:abstractNumId w:val="8"/>
    <w:lvlOverride w:ilvl="0">
      <w:lvl w:ilvl="0">
        <w:start w:val="1"/>
        <w:numFmt w:val="decimal"/>
        <w:lvlText w:val="%1."/>
        <w:legacy w:legacy="1" w:legacySpace="0" w:legacyIndent="283"/>
        <w:lvlJc w:val="left"/>
        <w:pPr>
          <w:ind w:left="283" w:hanging="283"/>
        </w:pPr>
      </w:lvl>
    </w:lvlOverride>
  </w:num>
  <w:num w:numId="9">
    <w:abstractNumId w:val="18"/>
  </w:num>
  <w:num w:numId="10">
    <w:abstractNumId w:val="20"/>
  </w:num>
  <w:num w:numId="11">
    <w:abstractNumId w:val="17"/>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 w:ilvl="0">
        <w:start w:val="1"/>
        <w:numFmt w:val="bullet"/>
        <w:lvlText w:val=""/>
        <w:legacy w:legacy="1" w:legacySpace="0" w:legacyIndent="283"/>
        <w:lvlJc w:val="left"/>
        <w:pPr>
          <w:ind w:left="708" w:hanging="283"/>
        </w:pPr>
        <w:rPr>
          <w:rFonts w:ascii="Times" w:hAnsi="Times" w:hint="default"/>
        </w:rPr>
      </w:lvl>
    </w:lvlOverride>
  </w:num>
  <w:num w:numId="16">
    <w:abstractNumId w:val="24"/>
  </w:num>
  <w:num w:numId="17">
    <w:abstractNumId w:val="26"/>
  </w:num>
  <w:num w:numId="18">
    <w:abstractNumId w:val="24"/>
  </w:num>
  <w:num w:numId="19">
    <w:abstractNumId w:val="24"/>
  </w:num>
  <w:num w:numId="20">
    <w:abstractNumId w:val="25"/>
  </w:num>
  <w:num w:numId="21">
    <w:abstractNumId w:val="10"/>
  </w:num>
  <w:num w:numId="22">
    <w:abstractNumId w:val="19"/>
  </w:num>
  <w:num w:numId="23">
    <w:abstractNumId w:val="28"/>
  </w:num>
  <w:num w:numId="24">
    <w:abstractNumId w:val="9"/>
  </w:num>
  <w:num w:numId="25">
    <w:abstractNumId w:val="13"/>
  </w:num>
  <w:num w:numId="26">
    <w:abstractNumId w:val="3"/>
  </w:num>
  <w:num w:numId="27">
    <w:abstractNumId w:val="2"/>
  </w:num>
  <w:num w:numId="28">
    <w:abstractNumId w:val="1"/>
  </w:num>
  <w:num w:numId="29">
    <w:abstractNumId w:val="0"/>
  </w:num>
  <w:num w:numId="30">
    <w:abstractNumId w:val="21"/>
  </w:num>
  <w:num w:numId="31">
    <w:abstractNumId w:val="11"/>
  </w:num>
  <w:num w:numId="32">
    <w:abstractNumId w:val="12"/>
  </w:num>
  <w:num w:numId="33">
    <w:abstractNumId w:val="11"/>
  </w:num>
  <w:num w:numId="34">
    <w:abstractNumId w:val="12"/>
  </w:num>
  <w:num w:numId="35">
    <w:abstractNumId w:val="27"/>
  </w:num>
  <w:num w:numId="36">
    <w:abstractNumId w:val="23"/>
  </w:num>
  <w:num w:numId="37">
    <w:abstractNumId w:val="14"/>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5"/>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425"/>
  <w:autoHyphenation/>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98"/>
    <w:rsid w:val="00000CD3"/>
    <w:rsid w:val="00000F43"/>
    <w:rsid w:val="000014F9"/>
    <w:rsid w:val="00003CBA"/>
    <w:rsid w:val="000050A7"/>
    <w:rsid w:val="000053F5"/>
    <w:rsid w:val="000076B8"/>
    <w:rsid w:val="00007796"/>
    <w:rsid w:val="000106F9"/>
    <w:rsid w:val="0001476C"/>
    <w:rsid w:val="000176F3"/>
    <w:rsid w:val="00020B05"/>
    <w:rsid w:val="00020F71"/>
    <w:rsid w:val="00024498"/>
    <w:rsid w:val="00032091"/>
    <w:rsid w:val="00045909"/>
    <w:rsid w:val="0004606C"/>
    <w:rsid w:val="00047041"/>
    <w:rsid w:val="000530BA"/>
    <w:rsid w:val="00054007"/>
    <w:rsid w:val="000575A1"/>
    <w:rsid w:val="000576C1"/>
    <w:rsid w:val="0005783A"/>
    <w:rsid w:val="00063C37"/>
    <w:rsid w:val="000753B3"/>
    <w:rsid w:val="00077EE6"/>
    <w:rsid w:val="0008114D"/>
    <w:rsid w:val="00081E43"/>
    <w:rsid w:val="00083C99"/>
    <w:rsid w:val="00086B7B"/>
    <w:rsid w:val="00090126"/>
    <w:rsid w:val="0009058B"/>
    <w:rsid w:val="00094B88"/>
    <w:rsid w:val="000967AE"/>
    <w:rsid w:val="00096BB9"/>
    <w:rsid w:val="000A06BA"/>
    <w:rsid w:val="000A1095"/>
    <w:rsid w:val="000A62AC"/>
    <w:rsid w:val="000A7B6B"/>
    <w:rsid w:val="000B3118"/>
    <w:rsid w:val="000C017A"/>
    <w:rsid w:val="000C0489"/>
    <w:rsid w:val="000C13B5"/>
    <w:rsid w:val="000C1533"/>
    <w:rsid w:val="000C4E53"/>
    <w:rsid w:val="000C74D9"/>
    <w:rsid w:val="000C7767"/>
    <w:rsid w:val="000C7CDC"/>
    <w:rsid w:val="000D0326"/>
    <w:rsid w:val="000D0869"/>
    <w:rsid w:val="000D3664"/>
    <w:rsid w:val="000D3923"/>
    <w:rsid w:val="000D46B3"/>
    <w:rsid w:val="000D76CA"/>
    <w:rsid w:val="000E55F9"/>
    <w:rsid w:val="000F04EC"/>
    <w:rsid w:val="000F0ED7"/>
    <w:rsid w:val="000F3027"/>
    <w:rsid w:val="000F45CA"/>
    <w:rsid w:val="000F462D"/>
    <w:rsid w:val="000F4EFD"/>
    <w:rsid w:val="000F74B8"/>
    <w:rsid w:val="000F7EE2"/>
    <w:rsid w:val="0010140C"/>
    <w:rsid w:val="001032D7"/>
    <w:rsid w:val="001072D0"/>
    <w:rsid w:val="001122F6"/>
    <w:rsid w:val="001151A4"/>
    <w:rsid w:val="00115B38"/>
    <w:rsid w:val="00116F22"/>
    <w:rsid w:val="00117E1F"/>
    <w:rsid w:val="001202D5"/>
    <w:rsid w:val="00120EC7"/>
    <w:rsid w:val="00124378"/>
    <w:rsid w:val="00124F0B"/>
    <w:rsid w:val="001257BF"/>
    <w:rsid w:val="001311E8"/>
    <w:rsid w:val="001313DB"/>
    <w:rsid w:val="00141E54"/>
    <w:rsid w:val="00147F2D"/>
    <w:rsid w:val="00150383"/>
    <w:rsid w:val="00163B30"/>
    <w:rsid w:val="001640EB"/>
    <w:rsid w:val="001647EA"/>
    <w:rsid w:val="0017251B"/>
    <w:rsid w:val="00172E76"/>
    <w:rsid w:val="00172F5A"/>
    <w:rsid w:val="00173242"/>
    <w:rsid w:val="0018052A"/>
    <w:rsid w:val="00183A2B"/>
    <w:rsid w:val="001848A1"/>
    <w:rsid w:val="00186E01"/>
    <w:rsid w:val="001874A0"/>
    <w:rsid w:val="00187F22"/>
    <w:rsid w:val="001905DA"/>
    <w:rsid w:val="00191D17"/>
    <w:rsid w:val="00193271"/>
    <w:rsid w:val="001960AC"/>
    <w:rsid w:val="00196EBF"/>
    <w:rsid w:val="00197C49"/>
    <w:rsid w:val="001A3CF1"/>
    <w:rsid w:val="001A4CE1"/>
    <w:rsid w:val="001B1391"/>
    <w:rsid w:val="001B68BA"/>
    <w:rsid w:val="001C1F25"/>
    <w:rsid w:val="001C7DA0"/>
    <w:rsid w:val="001C7DE1"/>
    <w:rsid w:val="001D03B4"/>
    <w:rsid w:val="001D4692"/>
    <w:rsid w:val="001D5DC6"/>
    <w:rsid w:val="001E066B"/>
    <w:rsid w:val="001E284A"/>
    <w:rsid w:val="001E500E"/>
    <w:rsid w:val="001E5359"/>
    <w:rsid w:val="001F6BF2"/>
    <w:rsid w:val="001F7443"/>
    <w:rsid w:val="00200594"/>
    <w:rsid w:val="00207935"/>
    <w:rsid w:val="00216809"/>
    <w:rsid w:val="00220472"/>
    <w:rsid w:val="0022088C"/>
    <w:rsid w:val="00221B8D"/>
    <w:rsid w:val="00222BA6"/>
    <w:rsid w:val="00222C65"/>
    <w:rsid w:val="00223210"/>
    <w:rsid w:val="0022441F"/>
    <w:rsid w:val="00230D0E"/>
    <w:rsid w:val="00230D40"/>
    <w:rsid w:val="0023375C"/>
    <w:rsid w:val="00234A7B"/>
    <w:rsid w:val="00234AC6"/>
    <w:rsid w:val="00235AD6"/>
    <w:rsid w:val="00236DEC"/>
    <w:rsid w:val="002440B4"/>
    <w:rsid w:val="002522F4"/>
    <w:rsid w:val="00252A60"/>
    <w:rsid w:val="00255861"/>
    <w:rsid w:val="00262849"/>
    <w:rsid w:val="002631C8"/>
    <w:rsid w:val="00267CBF"/>
    <w:rsid w:val="0027071B"/>
    <w:rsid w:val="00270EC6"/>
    <w:rsid w:val="00270F3F"/>
    <w:rsid w:val="00272F58"/>
    <w:rsid w:val="002736A4"/>
    <w:rsid w:val="00274054"/>
    <w:rsid w:val="00276D44"/>
    <w:rsid w:val="00284698"/>
    <w:rsid w:val="002846B8"/>
    <w:rsid w:val="002853A7"/>
    <w:rsid w:val="00285617"/>
    <w:rsid w:val="0028585D"/>
    <w:rsid w:val="00290CF9"/>
    <w:rsid w:val="0029162A"/>
    <w:rsid w:val="00296C57"/>
    <w:rsid w:val="002A0B6E"/>
    <w:rsid w:val="002A623F"/>
    <w:rsid w:val="002A6633"/>
    <w:rsid w:val="002B281F"/>
    <w:rsid w:val="002B4A5A"/>
    <w:rsid w:val="002B6980"/>
    <w:rsid w:val="002C2919"/>
    <w:rsid w:val="002C3FB6"/>
    <w:rsid w:val="002D367A"/>
    <w:rsid w:val="002E2511"/>
    <w:rsid w:val="002E5C2D"/>
    <w:rsid w:val="002E64A4"/>
    <w:rsid w:val="002F0F93"/>
    <w:rsid w:val="002F10A1"/>
    <w:rsid w:val="002F1D4E"/>
    <w:rsid w:val="002F6DF0"/>
    <w:rsid w:val="00300738"/>
    <w:rsid w:val="00301E4F"/>
    <w:rsid w:val="00301FB4"/>
    <w:rsid w:val="003063CB"/>
    <w:rsid w:val="003123DE"/>
    <w:rsid w:val="00312478"/>
    <w:rsid w:val="003126AA"/>
    <w:rsid w:val="00323FAF"/>
    <w:rsid w:val="00325E19"/>
    <w:rsid w:val="003350E4"/>
    <w:rsid w:val="00336C1A"/>
    <w:rsid w:val="003421D8"/>
    <w:rsid w:val="00347883"/>
    <w:rsid w:val="00350EEF"/>
    <w:rsid w:val="003523BE"/>
    <w:rsid w:val="00352493"/>
    <w:rsid w:val="003613B4"/>
    <w:rsid w:val="003619A9"/>
    <w:rsid w:val="003716BA"/>
    <w:rsid w:val="00371EEF"/>
    <w:rsid w:val="0038062B"/>
    <w:rsid w:val="00382F40"/>
    <w:rsid w:val="00391833"/>
    <w:rsid w:val="0039434F"/>
    <w:rsid w:val="003953FA"/>
    <w:rsid w:val="003A4A17"/>
    <w:rsid w:val="003A645E"/>
    <w:rsid w:val="003B02C9"/>
    <w:rsid w:val="003B0977"/>
    <w:rsid w:val="003B0F54"/>
    <w:rsid w:val="003B3E92"/>
    <w:rsid w:val="003B4E0D"/>
    <w:rsid w:val="003B6E8C"/>
    <w:rsid w:val="003C185E"/>
    <w:rsid w:val="003C2AB2"/>
    <w:rsid w:val="003C2CD2"/>
    <w:rsid w:val="003C357A"/>
    <w:rsid w:val="003C3623"/>
    <w:rsid w:val="003C3EB5"/>
    <w:rsid w:val="003C438D"/>
    <w:rsid w:val="003D2EDD"/>
    <w:rsid w:val="003D38AB"/>
    <w:rsid w:val="003D7275"/>
    <w:rsid w:val="003E4C8E"/>
    <w:rsid w:val="003E5417"/>
    <w:rsid w:val="003E6362"/>
    <w:rsid w:val="003F14A3"/>
    <w:rsid w:val="003F7205"/>
    <w:rsid w:val="00401CC1"/>
    <w:rsid w:val="0041271C"/>
    <w:rsid w:val="00413477"/>
    <w:rsid w:val="004153CB"/>
    <w:rsid w:val="004213CC"/>
    <w:rsid w:val="0042440E"/>
    <w:rsid w:val="004254A5"/>
    <w:rsid w:val="004255F1"/>
    <w:rsid w:val="00426E3F"/>
    <w:rsid w:val="0043287E"/>
    <w:rsid w:val="00432B8C"/>
    <w:rsid w:val="00433EC3"/>
    <w:rsid w:val="00435173"/>
    <w:rsid w:val="00436924"/>
    <w:rsid w:val="00440463"/>
    <w:rsid w:val="00440FB4"/>
    <w:rsid w:val="00441272"/>
    <w:rsid w:val="00442674"/>
    <w:rsid w:val="00444B52"/>
    <w:rsid w:val="0044746C"/>
    <w:rsid w:val="0045083C"/>
    <w:rsid w:val="004515F8"/>
    <w:rsid w:val="004519BA"/>
    <w:rsid w:val="00453337"/>
    <w:rsid w:val="00453B8F"/>
    <w:rsid w:val="00454C50"/>
    <w:rsid w:val="00454DE5"/>
    <w:rsid w:val="0045545B"/>
    <w:rsid w:val="004602B1"/>
    <w:rsid w:val="00462A3E"/>
    <w:rsid w:val="00463433"/>
    <w:rsid w:val="00464FDE"/>
    <w:rsid w:val="00465382"/>
    <w:rsid w:val="004657DE"/>
    <w:rsid w:val="004659BF"/>
    <w:rsid w:val="004677BD"/>
    <w:rsid w:val="00467BE4"/>
    <w:rsid w:val="0047254F"/>
    <w:rsid w:val="00477874"/>
    <w:rsid w:val="00490924"/>
    <w:rsid w:val="004909A6"/>
    <w:rsid w:val="00491AA3"/>
    <w:rsid w:val="00496CAF"/>
    <w:rsid w:val="004A7AAD"/>
    <w:rsid w:val="004C173B"/>
    <w:rsid w:val="004C3B1B"/>
    <w:rsid w:val="004C3E0A"/>
    <w:rsid w:val="004C69B7"/>
    <w:rsid w:val="004D407A"/>
    <w:rsid w:val="004D57DA"/>
    <w:rsid w:val="004E4065"/>
    <w:rsid w:val="004E6A86"/>
    <w:rsid w:val="004E6FE0"/>
    <w:rsid w:val="004F0F32"/>
    <w:rsid w:val="004F2E6E"/>
    <w:rsid w:val="004F37EE"/>
    <w:rsid w:val="00505057"/>
    <w:rsid w:val="00506AFF"/>
    <w:rsid w:val="00507C0F"/>
    <w:rsid w:val="005106FF"/>
    <w:rsid w:val="0051367F"/>
    <w:rsid w:val="005143DC"/>
    <w:rsid w:val="00515AE8"/>
    <w:rsid w:val="00517238"/>
    <w:rsid w:val="00524905"/>
    <w:rsid w:val="00524EE6"/>
    <w:rsid w:val="00524FC8"/>
    <w:rsid w:val="00525108"/>
    <w:rsid w:val="00525EDC"/>
    <w:rsid w:val="00526E09"/>
    <w:rsid w:val="0052795A"/>
    <w:rsid w:val="005311EC"/>
    <w:rsid w:val="005336DD"/>
    <w:rsid w:val="00536CA6"/>
    <w:rsid w:val="00541A01"/>
    <w:rsid w:val="005435B3"/>
    <w:rsid w:val="0054589B"/>
    <w:rsid w:val="005465E5"/>
    <w:rsid w:val="005466C2"/>
    <w:rsid w:val="00554EF4"/>
    <w:rsid w:val="00555E7B"/>
    <w:rsid w:val="005612EE"/>
    <w:rsid w:val="00561969"/>
    <w:rsid w:val="00562170"/>
    <w:rsid w:val="00565683"/>
    <w:rsid w:val="00566B5A"/>
    <w:rsid w:val="00574747"/>
    <w:rsid w:val="005751B7"/>
    <w:rsid w:val="00575F14"/>
    <w:rsid w:val="00580978"/>
    <w:rsid w:val="00580FD2"/>
    <w:rsid w:val="00581408"/>
    <w:rsid w:val="00581753"/>
    <w:rsid w:val="005829CE"/>
    <w:rsid w:val="00585656"/>
    <w:rsid w:val="005875B8"/>
    <w:rsid w:val="00592042"/>
    <w:rsid w:val="005A02E5"/>
    <w:rsid w:val="005A0556"/>
    <w:rsid w:val="005A247F"/>
    <w:rsid w:val="005A3E8D"/>
    <w:rsid w:val="005A786A"/>
    <w:rsid w:val="005B2729"/>
    <w:rsid w:val="005B6C1C"/>
    <w:rsid w:val="005B7616"/>
    <w:rsid w:val="005C6318"/>
    <w:rsid w:val="005C7B7C"/>
    <w:rsid w:val="005D25B0"/>
    <w:rsid w:val="005D5C10"/>
    <w:rsid w:val="005D6FFF"/>
    <w:rsid w:val="005D74CF"/>
    <w:rsid w:val="005E5BC8"/>
    <w:rsid w:val="005E6665"/>
    <w:rsid w:val="005F0669"/>
    <w:rsid w:val="005F1293"/>
    <w:rsid w:val="005F2B72"/>
    <w:rsid w:val="00601EAD"/>
    <w:rsid w:val="00613711"/>
    <w:rsid w:val="006208B5"/>
    <w:rsid w:val="00620D23"/>
    <w:rsid w:val="0062571E"/>
    <w:rsid w:val="006267D0"/>
    <w:rsid w:val="00627CAC"/>
    <w:rsid w:val="006475F0"/>
    <w:rsid w:val="0065082F"/>
    <w:rsid w:val="00653C3A"/>
    <w:rsid w:val="006548CD"/>
    <w:rsid w:val="00660315"/>
    <w:rsid w:val="006619EF"/>
    <w:rsid w:val="00683067"/>
    <w:rsid w:val="00685B09"/>
    <w:rsid w:val="00690F14"/>
    <w:rsid w:val="00693C9D"/>
    <w:rsid w:val="0069477C"/>
    <w:rsid w:val="0069617F"/>
    <w:rsid w:val="006A4FF4"/>
    <w:rsid w:val="006A7A29"/>
    <w:rsid w:val="006B1699"/>
    <w:rsid w:val="006B2FF9"/>
    <w:rsid w:val="006B6921"/>
    <w:rsid w:val="006B7FA3"/>
    <w:rsid w:val="006C23D9"/>
    <w:rsid w:val="006C247A"/>
    <w:rsid w:val="006C4D11"/>
    <w:rsid w:val="006C5B90"/>
    <w:rsid w:val="006D1BC9"/>
    <w:rsid w:val="006D47AB"/>
    <w:rsid w:val="006D5256"/>
    <w:rsid w:val="006D715C"/>
    <w:rsid w:val="006E23A7"/>
    <w:rsid w:val="006E38C3"/>
    <w:rsid w:val="006E4DB9"/>
    <w:rsid w:val="006E53AE"/>
    <w:rsid w:val="006E6A9D"/>
    <w:rsid w:val="006F4DC9"/>
    <w:rsid w:val="006F532F"/>
    <w:rsid w:val="006F6079"/>
    <w:rsid w:val="006F6F78"/>
    <w:rsid w:val="006F7A6B"/>
    <w:rsid w:val="007021E8"/>
    <w:rsid w:val="007049ED"/>
    <w:rsid w:val="00707D01"/>
    <w:rsid w:val="007121D1"/>
    <w:rsid w:val="00712B86"/>
    <w:rsid w:val="00716F7F"/>
    <w:rsid w:val="007171DA"/>
    <w:rsid w:val="0072291C"/>
    <w:rsid w:val="007242C8"/>
    <w:rsid w:val="00725536"/>
    <w:rsid w:val="00733000"/>
    <w:rsid w:val="007348DA"/>
    <w:rsid w:val="007348EE"/>
    <w:rsid w:val="00735527"/>
    <w:rsid w:val="00741621"/>
    <w:rsid w:val="00743310"/>
    <w:rsid w:val="00754975"/>
    <w:rsid w:val="00757E15"/>
    <w:rsid w:val="00762593"/>
    <w:rsid w:val="00763B9F"/>
    <w:rsid w:val="00764646"/>
    <w:rsid w:val="00764FD2"/>
    <w:rsid w:val="00781582"/>
    <w:rsid w:val="00781704"/>
    <w:rsid w:val="00791649"/>
    <w:rsid w:val="007939B3"/>
    <w:rsid w:val="00794F21"/>
    <w:rsid w:val="00796F47"/>
    <w:rsid w:val="0079707B"/>
    <w:rsid w:val="007A06B2"/>
    <w:rsid w:val="007A4C74"/>
    <w:rsid w:val="007A5802"/>
    <w:rsid w:val="007A7373"/>
    <w:rsid w:val="007A74F1"/>
    <w:rsid w:val="007B1AFB"/>
    <w:rsid w:val="007B6821"/>
    <w:rsid w:val="007C394E"/>
    <w:rsid w:val="007C49F3"/>
    <w:rsid w:val="007C4DA4"/>
    <w:rsid w:val="007C51A3"/>
    <w:rsid w:val="007D1AFB"/>
    <w:rsid w:val="007D1DE1"/>
    <w:rsid w:val="007E42C2"/>
    <w:rsid w:val="007F075A"/>
    <w:rsid w:val="007F0F64"/>
    <w:rsid w:val="007F5779"/>
    <w:rsid w:val="007F5A23"/>
    <w:rsid w:val="007F724E"/>
    <w:rsid w:val="00801913"/>
    <w:rsid w:val="008027B1"/>
    <w:rsid w:val="00804D54"/>
    <w:rsid w:val="008050AA"/>
    <w:rsid w:val="0080573B"/>
    <w:rsid w:val="008075D2"/>
    <w:rsid w:val="00807C00"/>
    <w:rsid w:val="00810460"/>
    <w:rsid w:val="0081402A"/>
    <w:rsid w:val="0081606C"/>
    <w:rsid w:val="00816A53"/>
    <w:rsid w:val="008175DE"/>
    <w:rsid w:val="008202B3"/>
    <w:rsid w:val="00820A59"/>
    <w:rsid w:val="008221B3"/>
    <w:rsid w:val="008233F5"/>
    <w:rsid w:val="0082631A"/>
    <w:rsid w:val="00827779"/>
    <w:rsid w:val="00827CDD"/>
    <w:rsid w:val="00833FB9"/>
    <w:rsid w:val="00833FE1"/>
    <w:rsid w:val="00835976"/>
    <w:rsid w:val="008433FA"/>
    <w:rsid w:val="008444D5"/>
    <w:rsid w:val="00846C00"/>
    <w:rsid w:val="00846DBC"/>
    <w:rsid w:val="0084760D"/>
    <w:rsid w:val="00851D7F"/>
    <w:rsid w:val="00852ED4"/>
    <w:rsid w:val="0085329B"/>
    <w:rsid w:val="00853C12"/>
    <w:rsid w:val="008628CB"/>
    <w:rsid w:val="008704EA"/>
    <w:rsid w:val="008748AA"/>
    <w:rsid w:val="00875E3C"/>
    <w:rsid w:val="00880AD5"/>
    <w:rsid w:val="008862CC"/>
    <w:rsid w:val="008862FE"/>
    <w:rsid w:val="008878B1"/>
    <w:rsid w:val="0089165F"/>
    <w:rsid w:val="00894591"/>
    <w:rsid w:val="0089786F"/>
    <w:rsid w:val="008A0904"/>
    <w:rsid w:val="008A3279"/>
    <w:rsid w:val="008A3BB7"/>
    <w:rsid w:val="008A401F"/>
    <w:rsid w:val="008A647E"/>
    <w:rsid w:val="008A7BFC"/>
    <w:rsid w:val="008B1B83"/>
    <w:rsid w:val="008B2F27"/>
    <w:rsid w:val="008B7823"/>
    <w:rsid w:val="008C1381"/>
    <w:rsid w:val="008C2B5C"/>
    <w:rsid w:val="008C2CD9"/>
    <w:rsid w:val="008C2FAF"/>
    <w:rsid w:val="008C4637"/>
    <w:rsid w:val="008C63A0"/>
    <w:rsid w:val="008D1056"/>
    <w:rsid w:val="008D27FF"/>
    <w:rsid w:val="008D7617"/>
    <w:rsid w:val="008D7F37"/>
    <w:rsid w:val="008E39CD"/>
    <w:rsid w:val="008E3B82"/>
    <w:rsid w:val="008E5F5F"/>
    <w:rsid w:val="008E6D17"/>
    <w:rsid w:val="008F146B"/>
    <w:rsid w:val="008F3879"/>
    <w:rsid w:val="008F4162"/>
    <w:rsid w:val="00900A48"/>
    <w:rsid w:val="00905FF5"/>
    <w:rsid w:val="009121B0"/>
    <w:rsid w:val="009140D4"/>
    <w:rsid w:val="00921D55"/>
    <w:rsid w:val="00930892"/>
    <w:rsid w:val="00930950"/>
    <w:rsid w:val="0093303E"/>
    <w:rsid w:val="00934806"/>
    <w:rsid w:val="00941766"/>
    <w:rsid w:val="009422A4"/>
    <w:rsid w:val="00942610"/>
    <w:rsid w:val="00942869"/>
    <w:rsid w:val="00945422"/>
    <w:rsid w:val="0095295A"/>
    <w:rsid w:val="009601DE"/>
    <w:rsid w:val="0096043F"/>
    <w:rsid w:val="00960842"/>
    <w:rsid w:val="00961800"/>
    <w:rsid w:val="009620E4"/>
    <w:rsid w:val="009622C5"/>
    <w:rsid w:val="00966EA1"/>
    <w:rsid w:val="00971221"/>
    <w:rsid w:val="0097584A"/>
    <w:rsid w:val="00976292"/>
    <w:rsid w:val="00982A8A"/>
    <w:rsid w:val="0098409F"/>
    <w:rsid w:val="0099426A"/>
    <w:rsid w:val="00996A3C"/>
    <w:rsid w:val="009A34DF"/>
    <w:rsid w:val="009B5D63"/>
    <w:rsid w:val="009B7127"/>
    <w:rsid w:val="009C7BE4"/>
    <w:rsid w:val="009C7C2E"/>
    <w:rsid w:val="009D0AD6"/>
    <w:rsid w:val="009D3132"/>
    <w:rsid w:val="009E0803"/>
    <w:rsid w:val="009E1AE5"/>
    <w:rsid w:val="009E1DF3"/>
    <w:rsid w:val="009E4265"/>
    <w:rsid w:val="009E514A"/>
    <w:rsid w:val="009E53D6"/>
    <w:rsid w:val="009E5ECE"/>
    <w:rsid w:val="009F33F1"/>
    <w:rsid w:val="009F42E3"/>
    <w:rsid w:val="009F577E"/>
    <w:rsid w:val="00A034E9"/>
    <w:rsid w:val="00A06709"/>
    <w:rsid w:val="00A073FA"/>
    <w:rsid w:val="00A113E7"/>
    <w:rsid w:val="00A11ED8"/>
    <w:rsid w:val="00A12B26"/>
    <w:rsid w:val="00A14842"/>
    <w:rsid w:val="00A17014"/>
    <w:rsid w:val="00A24DBD"/>
    <w:rsid w:val="00A30683"/>
    <w:rsid w:val="00A31F24"/>
    <w:rsid w:val="00A3423E"/>
    <w:rsid w:val="00A34D02"/>
    <w:rsid w:val="00A354B8"/>
    <w:rsid w:val="00A35D58"/>
    <w:rsid w:val="00A35EBC"/>
    <w:rsid w:val="00A40AE1"/>
    <w:rsid w:val="00A42285"/>
    <w:rsid w:val="00A42F1E"/>
    <w:rsid w:val="00A43CAF"/>
    <w:rsid w:val="00A44D98"/>
    <w:rsid w:val="00A50454"/>
    <w:rsid w:val="00A56CDB"/>
    <w:rsid w:val="00A6725E"/>
    <w:rsid w:val="00A6746D"/>
    <w:rsid w:val="00A73432"/>
    <w:rsid w:val="00A8128C"/>
    <w:rsid w:val="00A82A68"/>
    <w:rsid w:val="00A837AB"/>
    <w:rsid w:val="00A862FA"/>
    <w:rsid w:val="00A8633D"/>
    <w:rsid w:val="00A9346A"/>
    <w:rsid w:val="00A966BC"/>
    <w:rsid w:val="00A97617"/>
    <w:rsid w:val="00AA1402"/>
    <w:rsid w:val="00AA15C8"/>
    <w:rsid w:val="00AA2F4F"/>
    <w:rsid w:val="00AA581E"/>
    <w:rsid w:val="00AA74BB"/>
    <w:rsid w:val="00AB006A"/>
    <w:rsid w:val="00AB0087"/>
    <w:rsid w:val="00AB2F88"/>
    <w:rsid w:val="00AB6E10"/>
    <w:rsid w:val="00AC1AA8"/>
    <w:rsid w:val="00AC1EEF"/>
    <w:rsid w:val="00AC366A"/>
    <w:rsid w:val="00AC371A"/>
    <w:rsid w:val="00AC3EAB"/>
    <w:rsid w:val="00AC46CD"/>
    <w:rsid w:val="00AC6327"/>
    <w:rsid w:val="00AC6FA1"/>
    <w:rsid w:val="00AD2343"/>
    <w:rsid w:val="00AD5D85"/>
    <w:rsid w:val="00AE03DE"/>
    <w:rsid w:val="00AE1714"/>
    <w:rsid w:val="00AE53EA"/>
    <w:rsid w:val="00AF1FCA"/>
    <w:rsid w:val="00AF4707"/>
    <w:rsid w:val="00AF4B7C"/>
    <w:rsid w:val="00AF4B82"/>
    <w:rsid w:val="00AF5F74"/>
    <w:rsid w:val="00AF7F48"/>
    <w:rsid w:val="00B02C92"/>
    <w:rsid w:val="00B03193"/>
    <w:rsid w:val="00B115C1"/>
    <w:rsid w:val="00B122CE"/>
    <w:rsid w:val="00B138CF"/>
    <w:rsid w:val="00B15513"/>
    <w:rsid w:val="00B1644A"/>
    <w:rsid w:val="00B16C71"/>
    <w:rsid w:val="00B263ED"/>
    <w:rsid w:val="00B26A13"/>
    <w:rsid w:val="00B32D23"/>
    <w:rsid w:val="00B36D74"/>
    <w:rsid w:val="00B406D1"/>
    <w:rsid w:val="00B412B6"/>
    <w:rsid w:val="00B42EEA"/>
    <w:rsid w:val="00B43143"/>
    <w:rsid w:val="00B45DBD"/>
    <w:rsid w:val="00B461FA"/>
    <w:rsid w:val="00B46BDD"/>
    <w:rsid w:val="00B5611E"/>
    <w:rsid w:val="00B60F20"/>
    <w:rsid w:val="00B61A2D"/>
    <w:rsid w:val="00B621AF"/>
    <w:rsid w:val="00B64D42"/>
    <w:rsid w:val="00B70E27"/>
    <w:rsid w:val="00B726D9"/>
    <w:rsid w:val="00B76CDE"/>
    <w:rsid w:val="00B80C01"/>
    <w:rsid w:val="00B81868"/>
    <w:rsid w:val="00B819E0"/>
    <w:rsid w:val="00B82880"/>
    <w:rsid w:val="00B82DC4"/>
    <w:rsid w:val="00B8368E"/>
    <w:rsid w:val="00B8774E"/>
    <w:rsid w:val="00B90869"/>
    <w:rsid w:val="00B90B8C"/>
    <w:rsid w:val="00B95993"/>
    <w:rsid w:val="00B97244"/>
    <w:rsid w:val="00BA3DE0"/>
    <w:rsid w:val="00BA46F8"/>
    <w:rsid w:val="00BA47D5"/>
    <w:rsid w:val="00BA6797"/>
    <w:rsid w:val="00BB19AF"/>
    <w:rsid w:val="00BB20CF"/>
    <w:rsid w:val="00BB3332"/>
    <w:rsid w:val="00BB391A"/>
    <w:rsid w:val="00BB76D8"/>
    <w:rsid w:val="00BC5061"/>
    <w:rsid w:val="00BD0A82"/>
    <w:rsid w:val="00BD0F78"/>
    <w:rsid w:val="00BE4977"/>
    <w:rsid w:val="00BF0D16"/>
    <w:rsid w:val="00BF3690"/>
    <w:rsid w:val="00BF37B3"/>
    <w:rsid w:val="00C001E0"/>
    <w:rsid w:val="00C01F0D"/>
    <w:rsid w:val="00C03E3C"/>
    <w:rsid w:val="00C04DCD"/>
    <w:rsid w:val="00C06AB9"/>
    <w:rsid w:val="00C0793B"/>
    <w:rsid w:val="00C1034C"/>
    <w:rsid w:val="00C110BA"/>
    <w:rsid w:val="00C11551"/>
    <w:rsid w:val="00C13C6E"/>
    <w:rsid w:val="00C14908"/>
    <w:rsid w:val="00C15003"/>
    <w:rsid w:val="00C16340"/>
    <w:rsid w:val="00C200E0"/>
    <w:rsid w:val="00C2293C"/>
    <w:rsid w:val="00C253D9"/>
    <w:rsid w:val="00C31274"/>
    <w:rsid w:val="00C35ABC"/>
    <w:rsid w:val="00C368EB"/>
    <w:rsid w:val="00C37679"/>
    <w:rsid w:val="00C409D2"/>
    <w:rsid w:val="00C42291"/>
    <w:rsid w:val="00C42F88"/>
    <w:rsid w:val="00C4337F"/>
    <w:rsid w:val="00C4361D"/>
    <w:rsid w:val="00C451B7"/>
    <w:rsid w:val="00C463CC"/>
    <w:rsid w:val="00C46F25"/>
    <w:rsid w:val="00C5129F"/>
    <w:rsid w:val="00C52AF9"/>
    <w:rsid w:val="00C55948"/>
    <w:rsid w:val="00C64430"/>
    <w:rsid w:val="00C65853"/>
    <w:rsid w:val="00C6602C"/>
    <w:rsid w:val="00C6714B"/>
    <w:rsid w:val="00C72958"/>
    <w:rsid w:val="00C73C5A"/>
    <w:rsid w:val="00C77235"/>
    <w:rsid w:val="00C82475"/>
    <w:rsid w:val="00C82AE7"/>
    <w:rsid w:val="00C842F8"/>
    <w:rsid w:val="00C85B55"/>
    <w:rsid w:val="00C95FEA"/>
    <w:rsid w:val="00C96645"/>
    <w:rsid w:val="00C97443"/>
    <w:rsid w:val="00CA219F"/>
    <w:rsid w:val="00CB4076"/>
    <w:rsid w:val="00CB5A9E"/>
    <w:rsid w:val="00CD5743"/>
    <w:rsid w:val="00CD5CA4"/>
    <w:rsid w:val="00CD692F"/>
    <w:rsid w:val="00CD6D10"/>
    <w:rsid w:val="00CE2C44"/>
    <w:rsid w:val="00CE3C75"/>
    <w:rsid w:val="00CF6C8A"/>
    <w:rsid w:val="00D0102E"/>
    <w:rsid w:val="00D02132"/>
    <w:rsid w:val="00D03D5F"/>
    <w:rsid w:val="00D07962"/>
    <w:rsid w:val="00D12171"/>
    <w:rsid w:val="00D142F1"/>
    <w:rsid w:val="00D17B34"/>
    <w:rsid w:val="00D20519"/>
    <w:rsid w:val="00D20CD8"/>
    <w:rsid w:val="00D24752"/>
    <w:rsid w:val="00D26FA1"/>
    <w:rsid w:val="00D30335"/>
    <w:rsid w:val="00D32378"/>
    <w:rsid w:val="00D329AB"/>
    <w:rsid w:val="00D354F3"/>
    <w:rsid w:val="00D357AC"/>
    <w:rsid w:val="00D37BB0"/>
    <w:rsid w:val="00D419FD"/>
    <w:rsid w:val="00D42BF5"/>
    <w:rsid w:val="00D42DE7"/>
    <w:rsid w:val="00D43F93"/>
    <w:rsid w:val="00D45358"/>
    <w:rsid w:val="00D46717"/>
    <w:rsid w:val="00D508CB"/>
    <w:rsid w:val="00D546F3"/>
    <w:rsid w:val="00D56C31"/>
    <w:rsid w:val="00D607C4"/>
    <w:rsid w:val="00D636B2"/>
    <w:rsid w:val="00D65B4B"/>
    <w:rsid w:val="00D67E26"/>
    <w:rsid w:val="00D72263"/>
    <w:rsid w:val="00D74CB5"/>
    <w:rsid w:val="00D7538F"/>
    <w:rsid w:val="00D75395"/>
    <w:rsid w:val="00D814A6"/>
    <w:rsid w:val="00D81862"/>
    <w:rsid w:val="00D84E23"/>
    <w:rsid w:val="00D874D0"/>
    <w:rsid w:val="00D914B8"/>
    <w:rsid w:val="00D93556"/>
    <w:rsid w:val="00DA1BEC"/>
    <w:rsid w:val="00DA2174"/>
    <w:rsid w:val="00DA47AD"/>
    <w:rsid w:val="00DA7B96"/>
    <w:rsid w:val="00DB41DD"/>
    <w:rsid w:val="00DB6543"/>
    <w:rsid w:val="00DC16EE"/>
    <w:rsid w:val="00DC28D8"/>
    <w:rsid w:val="00DC4857"/>
    <w:rsid w:val="00DD34B3"/>
    <w:rsid w:val="00DD3A3A"/>
    <w:rsid w:val="00DD5B6A"/>
    <w:rsid w:val="00DD7912"/>
    <w:rsid w:val="00DD7EB8"/>
    <w:rsid w:val="00DE31B9"/>
    <w:rsid w:val="00DE4A1A"/>
    <w:rsid w:val="00DE65E6"/>
    <w:rsid w:val="00DE688B"/>
    <w:rsid w:val="00DF098C"/>
    <w:rsid w:val="00DF2A32"/>
    <w:rsid w:val="00E0000D"/>
    <w:rsid w:val="00E00814"/>
    <w:rsid w:val="00E02CFC"/>
    <w:rsid w:val="00E042EE"/>
    <w:rsid w:val="00E044CF"/>
    <w:rsid w:val="00E07856"/>
    <w:rsid w:val="00E14B5A"/>
    <w:rsid w:val="00E177E9"/>
    <w:rsid w:val="00E24A66"/>
    <w:rsid w:val="00E25F73"/>
    <w:rsid w:val="00E26A35"/>
    <w:rsid w:val="00E27341"/>
    <w:rsid w:val="00E31B72"/>
    <w:rsid w:val="00E31D95"/>
    <w:rsid w:val="00E324FB"/>
    <w:rsid w:val="00E335E8"/>
    <w:rsid w:val="00E3430B"/>
    <w:rsid w:val="00E34F50"/>
    <w:rsid w:val="00E35BCD"/>
    <w:rsid w:val="00E37480"/>
    <w:rsid w:val="00E423BF"/>
    <w:rsid w:val="00E42422"/>
    <w:rsid w:val="00E45943"/>
    <w:rsid w:val="00E552B6"/>
    <w:rsid w:val="00E55E75"/>
    <w:rsid w:val="00E63694"/>
    <w:rsid w:val="00E66204"/>
    <w:rsid w:val="00E667BC"/>
    <w:rsid w:val="00E67B55"/>
    <w:rsid w:val="00E72ED2"/>
    <w:rsid w:val="00E73D30"/>
    <w:rsid w:val="00E75449"/>
    <w:rsid w:val="00E76969"/>
    <w:rsid w:val="00E77777"/>
    <w:rsid w:val="00E77A2D"/>
    <w:rsid w:val="00E82A6D"/>
    <w:rsid w:val="00E83EBC"/>
    <w:rsid w:val="00E85693"/>
    <w:rsid w:val="00E87F31"/>
    <w:rsid w:val="00E9069C"/>
    <w:rsid w:val="00E90B68"/>
    <w:rsid w:val="00E92C07"/>
    <w:rsid w:val="00E93711"/>
    <w:rsid w:val="00E94EEA"/>
    <w:rsid w:val="00E96B53"/>
    <w:rsid w:val="00EA16D0"/>
    <w:rsid w:val="00EA3829"/>
    <w:rsid w:val="00EA529F"/>
    <w:rsid w:val="00EA5D90"/>
    <w:rsid w:val="00EA6FEC"/>
    <w:rsid w:val="00EB281C"/>
    <w:rsid w:val="00EB2D2A"/>
    <w:rsid w:val="00EB2D6A"/>
    <w:rsid w:val="00EC35BB"/>
    <w:rsid w:val="00EC6015"/>
    <w:rsid w:val="00EC76CA"/>
    <w:rsid w:val="00ED08BE"/>
    <w:rsid w:val="00ED2C61"/>
    <w:rsid w:val="00ED3D86"/>
    <w:rsid w:val="00ED3F3C"/>
    <w:rsid w:val="00ED5A35"/>
    <w:rsid w:val="00EE0C3B"/>
    <w:rsid w:val="00EE6FFF"/>
    <w:rsid w:val="00EE7564"/>
    <w:rsid w:val="00EE7E2D"/>
    <w:rsid w:val="00EF0007"/>
    <w:rsid w:val="00EF0E63"/>
    <w:rsid w:val="00EF3BFB"/>
    <w:rsid w:val="00EF6171"/>
    <w:rsid w:val="00EF6E14"/>
    <w:rsid w:val="00F0317D"/>
    <w:rsid w:val="00F044A9"/>
    <w:rsid w:val="00F1207A"/>
    <w:rsid w:val="00F12F41"/>
    <w:rsid w:val="00F13DB3"/>
    <w:rsid w:val="00F16548"/>
    <w:rsid w:val="00F16ACB"/>
    <w:rsid w:val="00F2082E"/>
    <w:rsid w:val="00F22440"/>
    <w:rsid w:val="00F23A61"/>
    <w:rsid w:val="00F25E19"/>
    <w:rsid w:val="00F3077B"/>
    <w:rsid w:val="00F33B7A"/>
    <w:rsid w:val="00F41B31"/>
    <w:rsid w:val="00F4462F"/>
    <w:rsid w:val="00F512F1"/>
    <w:rsid w:val="00F51468"/>
    <w:rsid w:val="00F53024"/>
    <w:rsid w:val="00F61D18"/>
    <w:rsid w:val="00F61FCF"/>
    <w:rsid w:val="00F63968"/>
    <w:rsid w:val="00F6518D"/>
    <w:rsid w:val="00F66A6D"/>
    <w:rsid w:val="00F71A4E"/>
    <w:rsid w:val="00F73036"/>
    <w:rsid w:val="00F74DB2"/>
    <w:rsid w:val="00F8233A"/>
    <w:rsid w:val="00F87BC5"/>
    <w:rsid w:val="00F909B0"/>
    <w:rsid w:val="00F96CA2"/>
    <w:rsid w:val="00FB1C24"/>
    <w:rsid w:val="00FB2A5D"/>
    <w:rsid w:val="00FB7FC1"/>
    <w:rsid w:val="00FC1EA3"/>
    <w:rsid w:val="00FC2C05"/>
    <w:rsid w:val="00FC6DBB"/>
    <w:rsid w:val="00FD250B"/>
    <w:rsid w:val="00FD2669"/>
    <w:rsid w:val="00FD3903"/>
    <w:rsid w:val="00FD54E6"/>
    <w:rsid w:val="00FD7CF7"/>
    <w:rsid w:val="00FE0542"/>
    <w:rsid w:val="00FE08D5"/>
    <w:rsid w:val="00FE6006"/>
    <w:rsid w:val="00FF0C08"/>
    <w:rsid w:val="00FF14A7"/>
    <w:rsid w:val="00FF1CA1"/>
    <w:rsid w:val="00FF272D"/>
  </w:rsids>
  <m:mathPr>
    <m:mathFont m:val="Cambria Math"/>
    <m:brkBin m:val="before"/>
    <m:brkBinSub m:val="--"/>
    <m:smallFrac m:val="0"/>
    <m:dispDef/>
    <m:lMargin m:val="0"/>
    <m:rMargin m:val="0"/>
    <m:defJc m:val="centerGroup"/>
    <m:wrapIndent m:val="1440"/>
    <m:intLim m:val="subSup"/>
    <m:naryLim m:val="undOvr"/>
  </m:mathPr>
  <w:themeFontLang w:val="da-DK" w:eastAsia="zh-CN" w:bidi="my-MM"/>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D6CF665"/>
  <w15:docId w15:val="{14EC172D-49CB-42A7-B444-DE7B7E19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uiPriority="7"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uiPriority="4"/>
    <w:lsdException w:name="List 2" w:semiHidden="1" w:unhideWhenUsed="1"/>
    <w:lsdException w:name="List 3" w:semiHidden="1"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6" w:unhideWhenUsed="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unhideWhenUsed/>
    <w:qFormat/>
    <w:pPr>
      <w:spacing w:line="270" w:lineRule="atLeast"/>
    </w:pPr>
    <w:rPr>
      <w:rFonts w:ascii="Verdana" w:hAnsi="Verdana" w:cs="Arial"/>
      <w:sz w:val="18"/>
    </w:rPr>
  </w:style>
  <w:style w:type="paragraph" w:styleId="Overskrift1">
    <w:name w:val="heading 1"/>
    <w:basedOn w:val="Normal"/>
    <w:next w:val="Brdtekst"/>
    <w:uiPriority w:val="2"/>
    <w:qFormat/>
    <w:pPr>
      <w:keepNext/>
      <w:keepLines/>
      <w:pageBreakBefore/>
      <w:numPr>
        <w:numId w:val="35"/>
      </w:numPr>
      <w:suppressAutoHyphens/>
      <w:spacing w:before="3700" w:after="120" w:line="360" w:lineRule="atLeast"/>
      <w:outlineLvl w:val="0"/>
    </w:pPr>
    <w:rPr>
      <w:sz w:val="32"/>
    </w:rPr>
  </w:style>
  <w:style w:type="paragraph" w:styleId="Overskrift2">
    <w:name w:val="heading 2"/>
    <w:basedOn w:val="Overskrift1"/>
    <w:next w:val="Brdtekst"/>
    <w:uiPriority w:val="2"/>
    <w:qFormat/>
    <w:pPr>
      <w:pageBreakBefore w:val="0"/>
      <w:numPr>
        <w:ilvl w:val="1"/>
      </w:numPr>
      <w:spacing w:before="540" w:after="90" w:line="320" w:lineRule="atLeast"/>
      <w:outlineLvl w:val="1"/>
    </w:pPr>
    <w:rPr>
      <w:sz w:val="28"/>
    </w:rPr>
  </w:style>
  <w:style w:type="paragraph" w:styleId="Overskrift3">
    <w:name w:val="heading 3"/>
    <w:basedOn w:val="Overskrift2"/>
    <w:next w:val="Brdtekst"/>
    <w:uiPriority w:val="2"/>
    <w:qFormat/>
    <w:pPr>
      <w:numPr>
        <w:ilvl w:val="2"/>
      </w:numPr>
      <w:spacing w:after="60" w:line="280" w:lineRule="atLeast"/>
      <w:outlineLvl w:val="2"/>
    </w:pPr>
    <w:rPr>
      <w:sz w:val="24"/>
    </w:rPr>
  </w:style>
  <w:style w:type="paragraph" w:styleId="Overskrift4">
    <w:name w:val="heading 4"/>
    <w:basedOn w:val="Overskrift3"/>
    <w:next w:val="Brdtekst"/>
    <w:uiPriority w:val="2"/>
    <w:qFormat/>
    <w:rsid w:val="00A837AB"/>
    <w:pPr>
      <w:numPr>
        <w:ilvl w:val="0"/>
        <w:numId w:val="0"/>
      </w:numPr>
      <w:spacing w:before="240"/>
      <w:outlineLvl w:val="3"/>
    </w:pPr>
    <w:rPr>
      <w:b/>
      <w:sz w:val="20"/>
    </w:rPr>
  </w:style>
  <w:style w:type="paragraph" w:styleId="Overskrift5">
    <w:name w:val="heading 5"/>
    <w:basedOn w:val="Overskrift4"/>
    <w:next w:val="Brdtekst"/>
    <w:uiPriority w:val="2"/>
    <w:unhideWhenUsed/>
    <w:qFormat/>
    <w:pPr>
      <w:outlineLvl w:val="4"/>
    </w:pPr>
  </w:style>
  <w:style w:type="paragraph" w:styleId="Overskrift6">
    <w:name w:val="heading 6"/>
    <w:basedOn w:val="Normal"/>
    <w:next w:val="Normal"/>
    <w:uiPriority w:val="2"/>
    <w:semiHidden/>
    <w:unhideWhenUsed/>
    <w:qFormat/>
    <w:pPr>
      <w:numPr>
        <w:ilvl w:val="5"/>
        <w:numId w:val="20"/>
      </w:numPr>
      <w:spacing w:before="240" w:after="60"/>
      <w:outlineLvl w:val="5"/>
    </w:pPr>
    <w:rPr>
      <w:i/>
    </w:rPr>
  </w:style>
  <w:style w:type="paragraph" w:styleId="Overskrift7">
    <w:name w:val="heading 7"/>
    <w:basedOn w:val="Normal"/>
    <w:next w:val="Brdtekst"/>
    <w:uiPriority w:val="2"/>
    <w:qFormat/>
    <w:pPr>
      <w:keepNext/>
      <w:keepLines/>
      <w:pageBreakBefore/>
      <w:numPr>
        <w:ilvl w:val="6"/>
        <w:numId w:val="35"/>
      </w:numPr>
      <w:suppressAutoHyphens/>
      <w:spacing w:after="120" w:line="360" w:lineRule="atLeast"/>
      <w:ind w:left="1701" w:hanging="1701"/>
      <w:outlineLvl w:val="6"/>
    </w:pPr>
    <w:rPr>
      <w:sz w:val="32"/>
      <w:szCs w:val="32"/>
    </w:rPr>
  </w:style>
  <w:style w:type="paragraph" w:styleId="Overskrift8">
    <w:name w:val="heading 8"/>
    <w:basedOn w:val="Overskrift7"/>
    <w:next w:val="Brdtekst"/>
    <w:uiPriority w:val="2"/>
    <w:unhideWhenUsed/>
    <w:qFormat/>
    <w:pPr>
      <w:pageBreakBefore w:val="0"/>
      <w:numPr>
        <w:ilvl w:val="7"/>
      </w:numPr>
      <w:spacing w:before="540" w:after="90" w:line="320" w:lineRule="atLeast"/>
      <w:outlineLvl w:val="7"/>
    </w:pPr>
    <w:rPr>
      <w:sz w:val="28"/>
    </w:rPr>
  </w:style>
  <w:style w:type="paragraph" w:styleId="Overskrift9">
    <w:name w:val="heading 9"/>
    <w:basedOn w:val="Overskrift8"/>
    <w:next w:val="Brdtekst"/>
    <w:uiPriority w:val="2"/>
    <w:unhideWhenUsed/>
    <w:qFormat/>
    <w:pPr>
      <w:numPr>
        <w:ilvl w:val="8"/>
      </w:numPr>
      <w:spacing w:after="60" w:line="280" w:lineRule="atLeast"/>
      <w:outlineLvl w:val="8"/>
    </w:pPr>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semiHidden/>
    <w:pPr>
      <w:spacing w:line="180" w:lineRule="atLeast"/>
      <w:ind w:left="-2268"/>
      <w:jc w:val="right"/>
    </w:pPr>
    <w:rPr>
      <w:sz w:val="14"/>
    </w:rPr>
  </w:style>
  <w:style w:type="paragraph" w:styleId="Brdtekst">
    <w:name w:val="Body Text"/>
    <w:basedOn w:val="Normal"/>
    <w:link w:val="BrdtekstTegn"/>
    <w:pPr>
      <w:spacing w:after="280" w:line="280" w:lineRule="atLeast"/>
    </w:pPr>
  </w:style>
  <w:style w:type="paragraph" w:customStyle="1" w:styleId="BodyMargin">
    <w:name w:val="Body Margin"/>
    <w:basedOn w:val="Brdtekst"/>
    <w:next w:val="Brdtekst"/>
    <w:uiPriority w:val="1"/>
    <w:pPr>
      <w:ind w:hanging="2268"/>
    </w:pPr>
  </w:style>
  <w:style w:type="paragraph" w:styleId="Sidefod">
    <w:name w:val="footer"/>
    <w:basedOn w:val="FooterEven"/>
    <w:semiHidden/>
    <w:pPr>
      <w:jc w:val="right"/>
    </w:pPr>
  </w:style>
  <w:style w:type="paragraph" w:customStyle="1" w:styleId="MarginFrame">
    <w:name w:val="Margin Frame"/>
    <w:basedOn w:val="Normal"/>
    <w:uiPriority w:val="7"/>
    <w:semiHidden/>
    <w:pPr>
      <w:keepNext/>
      <w:keepLines/>
      <w:framePr w:w="1871" w:wrap="around" w:vAnchor="text" w:hAnchor="margin" w:x="-2267" w:y="1"/>
    </w:pPr>
  </w:style>
  <w:style w:type="paragraph" w:styleId="Indholdsfortegnelse1">
    <w:name w:val="toc 1"/>
    <w:basedOn w:val="Normal"/>
    <w:next w:val="Normal"/>
    <w:uiPriority w:val="39"/>
    <w:pPr>
      <w:keepNext/>
      <w:keepLines/>
      <w:tabs>
        <w:tab w:val="right" w:pos="7343"/>
      </w:tabs>
      <w:suppressAutoHyphens/>
      <w:spacing w:before="400" w:after="40" w:line="260" w:lineRule="atLeast"/>
      <w:ind w:left="851" w:right="1134" w:hanging="851"/>
    </w:pPr>
    <w:rPr>
      <w:noProof/>
      <w:sz w:val="22"/>
    </w:rPr>
  </w:style>
  <w:style w:type="paragraph" w:customStyle="1" w:styleId="BodyTextNoSpace">
    <w:name w:val="Body Text NoSpace"/>
    <w:basedOn w:val="Brdtekst"/>
    <w:pPr>
      <w:spacing w:after="0"/>
    </w:pPr>
  </w:style>
  <w:style w:type="paragraph" w:customStyle="1" w:styleId="BodyMarginNoSpace">
    <w:name w:val="Body Margin NoSpace"/>
    <w:basedOn w:val="BodyMargin"/>
    <w:next w:val="BodyTextNoSpace"/>
    <w:uiPriority w:val="1"/>
    <w:pPr>
      <w:spacing w:after="0"/>
    </w:pPr>
  </w:style>
  <w:style w:type="paragraph" w:styleId="Indholdsfortegnelse2">
    <w:name w:val="toc 2"/>
    <w:basedOn w:val="Indholdsfortegnelse1"/>
    <w:next w:val="Normal"/>
    <w:uiPriority w:val="39"/>
    <w:pPr>
      <w:keepNext w:val="0"/>
      <w:spacing w:before="0"/>
    </w:pPr>
  </w:style>
  <w:style w:type="paragraph" w:styleId="Opstilling-punkttegn">
    <w:name w:val="List Bullet"/>
    <w:basedOn w:val="Brdtekst"/>
    <w:uiPriority w:val="4"/>
    <w:pPr>
      <w:numPr>
        <w:numId w:val="31"/>
      </w:numPr>
    </w:pPr>
  </w:style>
  <w:style w:type="paragraph" w:styleId="Opstilling-punkttegn2">
    <w:name w:val="List Bullet 2"/>
    <w:basedOn w:val="Opstilling-punkttegn"/>
    <w:uiPriority w:val="4"/>
    <w:pPr>
      <w:numPr>
        <w:ilvl w:val="1"/>
      </w:numPr>
    </w:pPr>
  </w:style>
  <w:style w:type="numbering" w:customStyle="1" w:styleId="CowiBulletList">
    <w:name w:val="CowiBulletList"/>
    <w:basedOn w:val="Ingenoversigt"/>
    <w:pPr>
      <w:numPr>
        <w:numId w:val="31"/>
      </w:numPr>
    </w:pPr>
  </w:style>
  <w:style w:type="numbering" w:customStyle="1" w:styleId="CowiNumberList">
    <w:name w:val="CowiNumberList"/>
    <w:basedOn w:val="Ingenoversigt"/>
    <w:pPr>
      <w:numPr>
        <w:numId w:val="32"/>
      </w:numPr>
    </w:pPr>
  </w:style>
  <w:style w:type="paragraph" w:styleId="Billedtekst">
    <w:name w:val="caption"/>
    <w:basedOn w:val="Normal"/>
    <w:next w:val="Brdtekst"/>
    <w:uiPriority w:val="3"/>
    <w:qFormat/>
    <w:pPr>
      <w:spacing w:before="140" w:after="140" w:line="240" w:lineRule="atLeast"/>
      <w:ind w:left="1276" w:hanging="1276"/>
    </w:pPr>
    <w:rPr>
      <w:i/>
      <w:sz w:val="16"/>
    </w:rPr>
  </w:style>
  <w:style w:type="paragraph" w:styleId="Opstilling-forts">
    <w:name w:val="List Continue"/>
    <w:basedOn w:val="Brdtekst"/>
    <w:uiPriority w:val="6"/>
    <w:pPr>
      <w:ind w:left="425"/>
    </w:pPr>
  </w:style>
  <w:style w:type="paragraph" w:styleId="Opstilling-forts2">
    <w:name w:val="List Continue 2"/>
    <w:basedOn w:val="Opstilling-forts"/>
    <w:uiPriority w:val="6"/>
    <w:pPr>
      <w:ind w:left="851"/>
    </w:pPr>
  </w:style>
  <w:style w:type="paragraph" w:styleId="Opstilling-talellerbogst">
    <w:name w:val="List Number"/>
    <w:basedOn w:val="Brdtekst"/>
    <w:uiPriority w:val="4"/>
    <w:rsid w:val="00F2082E"/>
    <w:pPr>
      <w:numPr>
        <w:numId w:val="34"/>
      </w:numPr>
      <w:ind w:left="992"/>
    </w:pPr>
  </w:style>
  <w:style w:type="paragraph" w:styleId="Opstilling-talellerbogst2">
    <w:name w:val="List Number 2"/>
    <w:basedOn w:val="Opstilling-talellerbogst"/>
    <w:uiPriority w:val="4"/>
    <w:pPr>
      <w:numPr>
        <w:ilvl w:val="1"/>
      </w:numPr>
    </w:pPr>
  </w:style>
  <w:style w:type="paragraph" w:customStyle="1" w:styleId="ListContinueNoSpace">
    <w:name w:val="List Continue NoSpace"/>
    <w:basedOn w:val="Opstilling-forts"/>
    <w:uiPriority w:val="6"/>
    <w:pPr>
      <w:spacing w:after="0"/>
    </w:pPr>
  </w:style>
  <w:style w:type="paragraph" w:customStyle="1" w:styleId="ListContinue2NoSpace">
    <w:name w:val="List Continue 2 NoSpace"/>
    <w:basedOn w:val="Opstilling-forts2"/>
    <w:uiPriority w:val="6"/>
    <w:pPr>
      <w:spacing w:after="0"/>
    </w:pPr>
  </w:style>
  <w:style w:type="paragraph" w:customStyle="1" w:styleId="ListBulletNoSpace">
    <w:name w:val="List Bullet NoSpace"/>
    <w:basedOn w:val="Opstilling-punkttegn"/>
    <w:uiPriority w:val="4"/>
    <w:qFormat/>
    <w:pPr>
      <w:spacing w:after="0"/>
    </w:pPr>
  </w:style>
  <w:style w:type="paragraph" w:customStyle="1" w:styleId="ListHanging">
    <w:name w:val="List Hanging"/>
    <w:basedOn w:val="Brdtekst"/>
    <w:uiPriority w:val="7"/>
    <w:pPr>
      <w:ind w:left="1701" w:hanging="1701"/>
    </w:pPr>
  </w:style>
  <w:style w:type="paragraph" w:customStyle="1" w:styleId="ListHangingNoSpace">
    <w:name w:val="List Hanging NoSpace"/>
    <w:basedOn w:val="ListHanging"/>
    <w:uiPriority w:val="7"/>
    <w:pPr>
      <w:spacing w:after="0"/>
    </w:pPr>
  </w:style>
  <w:style w:type="paragraph" w:customStyle="1" w:styleId="Table">
    <w:name w:val="Table"/>
    <w:basedOn w:val="Normal"/>
    <w:uiPriority w:val="8"/>
    <w:unhideWhenUsed/>
    <w:pPr>
      <w:spacing w:before="60" w:after="120" w:line="220" w:lineRule="atLeast"/>
    </w:pPr>
    <w:rPr>
      <w:sz w:val="16"/>
    </w:rPr>
  </w:style>
  <w:style w:type="paragraph" w:styleId="Indholdsfortegnelse3">
    <w:name w:val="toc 3"/>
    <w:basedOn w:val="Indholdsfortegnelse2"/>
    <w:next w:val="Normal"/>
    <w:uiPriority w:val="39"/>
    <w:unhideWhenUsed/>
  </w:style>
  <w:style w:type="paragraph" w:styleId="Underskrift">
    <w:name w:val="Signature"/>
    <w:basedOn w:val="Brdtekst"/>
    <w:semiHidden/>
    <w:unhideWhenUsed/>
    <w:pPr>
      <w:spacing w:after="0" w:line="220" w:lineRule="atLeast"/>
    </w:pPr>
  </w:style>
  <w:style w:type="table" w:styleId="Tabel-Gitter6">
    <w:name w:val="Table Grid 6"/>
    <w:basedOn w:val="Tabel-Normal"/>
    <w:semiHidden/>
    <w:pPr>
      <w:spacing w:line="27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val="0"/>
        <w:bCs/>
      </w:rPr>
      <w:tblPr/>
      <w:tcPr>
        <w:tcBorders>
          <w:bottom w:val="single" w:sz="6" w:space="0" w:color="000000"/>
          <w:tl2br w:val="none" w:sz="0" w:space="0" w:color="auto"/>
          <w:tr2bl w:val="none" w:sz="0" w:space="0" w:color="auto"/>
        </w:tcBorders>
      </w:tcPr>
    </w:tblStylePr>
    <w:tblStylePr w:type="lastRow">
      <w:rPr>
        <w:color w:val="auto"/>
      </w:rPr>
      <w:tblPr/>
      <w:tcPr>
        <w:tcBorders>
          <w:top w:val="nil"/>
        </w:tcBorders>
        <w:shd w:val="clear" w:color="auto" w:fill="auto"/>
      </w:tcPr>
    </w:tblStylePr>
    <w:tblStylePr w:type="firstCol">
      <w:rPr>
        <w:b/>
        <w:bCs/>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paragraph" w:customStyle="1" w:styleId="FrontPageSmall">
    <w:name w:val="FrontPageSmall"/>
    <w:basedOn w:val="Normal"/>
    <w:uiPriority w:val="7"/>
    <w:semiHidden/>
    <w:qFormat/>
    <w:pPr>
      <w:keepNext/>
      <w:keepLines/>
      <w:suppressAutoHyphens/>
      <w:spacing w:line="220" w:lineRule="atLeast"/>
    </w:pPr>
    <w:rPr>
      <w:caps/>
    </w:rPr>
  </w:style>
  <w:style w:type="paragraph" w:styleId="Opstilling-punkttegn3">
    <w:name w:val="List Bullet 3"/>
    <w:basedOn w:val="Opstilling-punkttegn2"/>
    <w:uiPriority w:val="4"/>
    <w:pPr>
      <w:numPr>
        <w:ilvl w:val="2"/>
      </w:numPr>
      <w:tabs>
        <w:tab w:val="left" w:pos="1276"/>
      </w:tabs>
    </w:pPr>
  </w:style>
  <w:style w:type="paragraph" w:styleId="Opstilling-forts3">
    <w:name w:val="List Continue 3"/>
    <w:basedOn w:val="Opstilling-forts2"/>
    <w:uiPriority w:val="6"/>
    <w:pPr>
      <w:ind w:left="1276"/>
    </w:pPr>
  </w:style>
  <w:style w:type="paragraph" w:styleId="Opstilling-talellerbogst3">
    <w:name w:val="List Number 3"/>
    <w:basedOn w:val="Opstilling-talellerbogst2"/>
    <w:uiPriority w:val="4"/>
    <w:pPr>
      <w:numPr>
        <w:ilvl w:val="2"/>
      </w:numPr>
      <w:tabs>
        <w:tab w:val="left" w:pos="1276"/>
      </w:tabs>
    </w:pPr>
  </w:style>
  <w:style w:type="paragraph" w:customStyle="1" w:styleId="ListBullet2NoSpace">
    <w:name w:val="List Bullet 2 NoSpace"/>
    <w:basedOn w:val="Opstilling-punkttegn2"/>
    <w:uiPriority w:val="4"/>
    <w:qFormat/>
    <w:pPr>
      <w:spacing w:after="0"/>
      <w:ind w:left="850" w:hanging="425"/>
    </w:pPr>
  </w:style>
  <w:style w:type="paragraph" w:customStyle="1" w:styleId="ListContinue3NoSpace">
    <w:name w:val="List Continue 3 NoSpace"/>
    <w:basedOn w:val="Opstilling-forts3"/>
    <w:uiPriority w:val="6"/>
    <w:pPr>
      <w:spacing w:after="0"/>
    </w:pPr>
  </w:style>
  <w:style w:type="paragraph" w:customStyle="1" w:styleId="ListBullet3NoSpace">
    <w:name w:val="List Bullet 3 NoSpace"/>
    <w:basedOn w:val="Opstilling-punkttegn3"/>
    <w:uiPriority w:val="4"/>
    <w:qFormat/>
    <w:pPr>
      <w:spacing w:after="0"/>
    </w:pPr>
  </w:style>
  <w:style w:type="paragraph" w:customStyle="1" w:styleId="ListContinue0">
    <w:name w:val="List Continue 0"/>
    <w:basedOn w:val="Opstilling-forts"/>
    <w:uiPriority w:val="6"/>
    <w:pPr>
      <w:ind w:left="0"/>
    </w:pPr>
  </w:style>
  <w:style w:type="paragraph" w:customStyle="1" w:styleId="ListContinue0NoSpace">
    <w:name w:val="List Continue 0 NoSpace"/>
    <w:basedOn w:val="ListContinue0"/>
    <w:uiPriority w:val="6"/>
    <w:pPr>
      <w:spacing w:after="0"/>
    </w:pPr>
  </w:style>
  <w:style w:type="paragraph" w:customStyle="1" w:styleId="CaptionMargin">
    <w:name w:val="Caption Margin"/>
    <w:basedOn w:val="Billedtekst"/>
    <w:next w:val="Brdtekst"/>
    <w:uiPriority w:val="3"/>
    <w:pPr>
      <w:ind w:left="-992"/>
    </w:pPr>
  </w:style>
  <w:style w:type="paragraph" w:customStyle="1" w:styleId="FrontPage">
    <w:name w:val="FrontPage"/>
    <w:basedOn w:val="FrontPageSmall"/>
    <w:next w:val="FrontPageSmall"/>
    <w:uiPriority w:val="7"/>
    <w:semiHidden/>
    <w:qFormat/>
    <w:pPr>
      <w:spacing w:before="240" w:after="240" w:line="600" w:lineRule="atLeast"/>
    </w:pPr>
    <w:rPr>
      <w:caps w:val="0"/>
      <w:sz w:val="56"/>
      <w:szCs w:val="56"/>
    </w:rPr>
  </w:style>
  <w:style w:type="paragraph" w:styleId="Indholdsfortegnelse7">
    <w:name w:val="toc 7"/>
    <w:basedOn w:val="Indholdsfortegnelse2"/>
    <w:next w:val="Normal"/>
    <w:semiHidden/>
    <w:pPr>
      <w:spacing w:before="400"/>
      <w:ind w:left="1276" w:hanging="1276"/>
    </w:pPr>
  </w:style>
  <w:style w:type="paragraph" w:customStyle="1" w:styleId="HeaderFrame">
    <w:name w:val="HeaderFrame"/>
    <w:basedOn w:val="Sidehoved"/>
    <w:next w:val="Normal"/>
    <w:semiHidden/>
    <w:pPr>
      <w:framePr w:wrap="around" w:vAnchor="text" w:hAnchor="margin" w:xAlign="right" w:y="1"/>
      <w:ind w:left="0"/>
    </w:pPr>
  </w:style>
  <w:style w:type="paragraph" w:customStyle="1" w:styleId="CowiTitle">
    <w:name w:val="CowiTitle"/>
    <w:basedOn w:val="FrontPage"/>
    <w:next w:val="FrontPageSmall"/>
    <w:uiPriority w:val="7"/>
    <w:semiHidden/>
    <w:qFormat/>
  </w:style>
  <w:style w:type="paragraph" w:styleId="Bloktekst">
    <w:name w:val="Block Text"/>
    <w:basedOn w:val="Normal"/>
    <w:semiHidden/>
    <w:pPr>
      <w:spacing w:after="120"/>
      <w:ind w:left="1440" w:right="1440"/>
    </w:pPr>
  </w:style>
  <w:style w:type="paragraph" w:customStyle="1" w:styleId="FrontPageFrame">
    <w:name w:val="FrontPageFrame"/>
    <w:basedOn w:val="Normal"/>
    <w:semiHidden/>
    <w:pPr>
      <w:framePr w:wrap="around" w:hAnchor="margin" w:x="1" w:yAlign="bottom"/>
      <w:tabs>
        <w:tab w:val="left" w:pos="1134"/>
      </w:tabs>
      <w:spacing w:line="240" w:lineRule="atLeast"/>
    </w:pPr>
    <w:rPr>
      <w:sz w:val="14"/>
    </w:rPr>
  </w:style>
  <w:style w:type="paragraph" w:customStyle="1" w:styleId="ContentsPage">
    <w:name w:val="ContentsPage"/>
    <w:basedOn w:val="Normal"/>
    <w:next w:val="Brdtekst"/>
    <w:semiHidden/>
    <w:pPr>
      <w:keepNext/>
      <w:keepLines/>
      <w:pageBreakBefore/>
      <w:suppressAutoHyphens/>
      <w:spacing w:before="3500" w:line="480" w:lineRule="atLeast"/>
    </w:pPr>
    <w:rPr>
      <w:caps/>
      <w:color w:val="F04E23"/>
      <w:sz w:val="48"/>
    </w:rPr>
  </w:style>
  <w:style w:type="paragraph" w:customStyle="1" w:styleId="AppendixPage">
    <w:name w:val="AppendixPage"/>
    <w:basedOn w:val="ContentsPage"/>
    <w:next w:val="BodyTextNoSpace"/>
    <w:semiHidden/>
    <w:unhideWhenUsed/>
    <w:pPr>
      <w:pageBreakBefore w:val="0"/>
      <w:spacing w:before="0" w:after="400"/>
    </w:pPr>
  </w:style>
  <w:style w:type="paragraph" w:customStyle="1" w:styleId="Appendix">
    <w:name w:val="Appendix"/>
    <w:basedOn w:val="Normal"/>
    <w:next w:val="Brdtekst"/>
    <w:semiHidden/>
    <w:unhideWhenUsed/>
    <w:pPr>
      <w:keepNext/>
      <w:keepLines/>
      <w:pageBreakBefore/>
      <w:suppressAutoHyphens/>
      <w:spacing w:after="130" w:line="320" w:lineRule="exact"/>
      <w:outlineLvl w:val="6"/>
    </w:pPr>
    <w:rPr>
      <w:b/>
      <w:sz w:val="32"/>
    </w:rPr>
  </w:style>
  <w:style w:type="paragraph" w:customStyle="1" w:styleId="HeaderEven">
    <w:name w:val="HeaderEven"/>
    <w:basedOn w:val="Sidehoved"/>
    <w:semiHidden/>
    <w:pPr>
      <w:tabs>
        <w:tab w:val="left" w:pos="-1814"/>
      </w:tabs>
      <w:ind w:left="-1814" w:hanging="454"/>
      <w:jc w:val="left"/>
    </w:pPr>
    <w:rPr>
      <w:szCs w:val="14"/>
    </w:rPr>
  </w:style>
  <w:style w:type="numbering" w:styleId="111111">
    <w:name w:val="Outline List 2"/>
    <w:basedOn w:val="Ingenoversigt"/>
    <w:pPr>
      <w:numPr>
        <w:numId w:val="23"/>
      </w:numPr>
    </w:pPr>
  </w:style>
  <w:style w:type="numbering" w:styleId="1ai">
    <w:name w:val="Outline List 1"/>
    <w:basedOn w:val="Ingenoversigt"/>
    <w:pPr>
      <w:numPr>
        <w:numId w:val="24"/>
      </w:numPr>
    </w:pPr>
  </w:style>
  <w:style w:type="numbering" w:styleId="ArtikelSektion">
    <w:name w:val="Outline List 3"/>
    <w:basedOn w:val="Ingenoversigt"/>
    <w:pPr>
      <w:numPr>
        <w:numId w:val="25"/>
      </w:numPr>
    </w:pPr>
  </w:style>
  <w:style w:type="paragraph" w:styleId="Markeringsbobletekst">
    <w:name w:val="Balloon Text"/>
    <w:basedOn w:val="Normal"/>
    <w:semiHidden/>
    <w:rPr>
      <w:rFonts w:ascii="Tahoma" w:hAnsi="Tahoma" w:cs="Tahoma"/>
      <w:sz w:val="16"/>
      <w:szCs w:val="16"/>
    </w:rPr>
  </w:style>
  <w:style w:type="paragraph" w:styleId="Brdtekst2">
    <w:name w:val="Body Text 2"/>
    <w:basedOn w:val="Normal"/>
    <w:semiHidden/>
    <w:unhideWhenUsed/>
    <w:pPr>
      <w:spacing w:after="120" w:line="480" w:lineRule="auto"/>
    </w:pPr>
  </w:style>
  <w:style w:type="paragraph" w:styleId="Brdtekst3">
    <w:name w:val="Body Text 3"/>
    <w:basedOn w:val="Normal"/>
    <w:semiHidden/>
    <w:unhideWhenUsed/>
    <w:pPr>
      <w:spacing w:after="120"/>
    </w:pPr>
    <w:rPr>
      <w:sz w:val="16"/>
      <w:szCs w:val="16"/>
    </w:rPr>
  </w:style>
  <w:style w:type="paragraph" w:styleId="Brdtekst-frstelinjeindrykning1">
    <w:name w:val="Body Text First Indent"/>
    <w:basedOn w:val="Brdtekst"/>
    <w:semiHidden/>
    <w:unhideWhenUsed/>
    <w:pPr>
      <w:spacing w:after="120"/>
      <w:ind w:firstLine="210"/>
    </w:pPr>
  </w:style>
  <w:style w:type="paragraph" w:styleId="Brdtekstindrykning">
    <w:name w:val="Body Text Indent"/>
    <w:basedOn w:val="Normal"/>
    <w:semiHidden/>
    <w:unhideWhenUsed/>
    <w:pPr>
      <w:spacing w:after="120"/>
      <w:ind w:left="283"/>
    </w:pPr>
  </w:style>
  <w:style w:type="paragraph" w:styleId="Brdtekst-frstelinjeindrykning2">
    <w:name w:val="Body Text First Indent 2"/>
    <w:basedOn w:val="Brdtekstindrykning"/>
    <w:semiHidden/>
    <w:unhideWhenUsed/>
    <w:pPr>
      <w:ind w:firstLine="210"/>
    </w:pPr>
  </w:style>
  <w:style w:type="paragraph" w:styleId="Brdtekstindrykning2">
    <w:name w:val="Body Text Indent 2"/>
    <w:basedOn w:val="Normal"/>
    <w:semiHidden/>
    <w:unhideWhenUsed/>
    <w:pPr>
      <w:spacing w:after="120" w:line="480" w:lineRule="auto"/>
      <w:ind w:left="283"/>
    </w:pPr>
  </w:style>
  <w:style w:type="paragraph" w:styleId="Brdtekstindrykning3">
    <w:name w:val="Body Text Indent 3"/>
    <w:basedOn w:val="Normal"/>
    <w:semiHidden/>
    <w:unhideWhenUsed/>
    <w:pPr>
      <w:spacing w:after="120"/>
      <w:ind w:left="283"/>
    </w:pPr>
    <w:rPr>
      <w:sz w:val="16"/>
      <w:szCs w:val="16"/>
    </w:rPr>
  </w:style>
  <w:style w:type="paragraph" w:styleId="Sluthilsen">
    <w:name w:val="Closing"/>
    <w:basedOn w:val="Normal"/>
    <w:semiHidden/>
    <w:unhideWhenUsed/>
    <w:pPr>
      <w:ind w:left="4252"/>
    </w:pPr>
  </w:style>
  <w:style w:type="character" w:styleId="Kommentarhenvisning">
    <w:name w:val="annotation reference"/>
    <w:basedOn w:val="Standardskrifttypeiafsnit"/>
    <w:rPr>
      <w:sz w:val="16"/>
      <w:szCs w:val="16"/>
    </w:rPr>
  </w:style>
  <w:style w:type="paragraph" w:styleId="Kommentartekst">
    <w:name w:val="annotation text"/>
    <w:basedOn w:val="Normal"/>
    <w:semiHidden/>
  </w:style>
  <w:style w:type="paragraph" w:styleId="Kommentaremne">
    <w:name w:val="annotation subject"/>
    <w:basedOn w:val="Kommentartekst"/>
    <w:next w:val="Kommentartekst"/>
    <w:semiHidden/>
    <w:rPr>
      <w:b/>
      <w:bCs/>
    </w:rPr>
  </w:style>
  <w:style w:type="paragraph" w:styleId="Dato">
    <w:name w:val="Date"/>
    <w:basedOn w:val="Normal"/>
    <w:next w:val="Normal"/>
    <w:semiHidden/>
    <w:unhideWhenUsed/>
  </w:style>
  <w:style w:type="paragraph" w:styleId="Dokumentoversigt">
    <w:name w:val="Document Map"/>
    <w:basedOn w:val="Normal"/>
    <w:semiHidden/>
    <w:pPr>
      <w:shd w:val="clear" w:color="auto" w:fill="000080"/>
    </w:pPr>
    <w:rPr>
      <w:rFonts w:ascii="Tahoma" w:hAnsi="Tahoma" w:cs="Tahoma"/>
    </w:rPr>
  </w:style>
  <w:style w:type="paragraph" w:styleId="Mailsignatur">
    <w:name w:val="E-mail Signature"/>
    <w:basedOn w:val="Normal"/>
    <w:semiHidden/>
    <w:unhideWhenUsed/>
  </w:style>
  <w:style w:type="character" w:styleId="Fremhv">
    <w:name w:val="Emphasis"/>
    <w:basedOn w:val="Standardskrifttypeiafsnit"/>
    <w:semiHidden/>
    <w:unhideWhenUsed/>
    <w:qFormat/>
    <w:rPr>
      <w:i/>
      <w:iCs/>
    </w:rPr>
  </w:style>
  <w:style w:type="character" w:styleId="Slutnotehenvisning">
    <w:name w:val="endnote reference"/>
    <w:basedOn w:val="Standardskrifttypeiafsnit"/>
    <w:semiHidden/>
    <w:rPr>
      <w:vertAlign w:val="superscript"/>
    </w:rPr>
  </w:style>
  <w:style w:type="paragraph" w:styleId="Slutnotetekst">
    <w:name w:val="endnote text"/>
    <w:basedOn w:val="Normal"/>
    <w:semiHidden/>
  </w:style>
  <w:style w:type="paragraph" w:styleId="Modtageradresse">
    <w:name w:val="envelope address"/>
    <w:basedOn w:val="Normal"/>
    <w:semiHidden/>
    <w:unhideWhenUsed/>
    <w:pPr>
      <w:framePr w:w="7920" w:h="1980" w:hRule="exact" w:hSpace="141" w:wrap="auto" w:hAnchor="page" w:xAlign="center" w:yAlign="bottom"/>
      <w:ind w:left="2880"/>
    </w:pPr>
    <w:rPr>
      <w:sz w:val="24"/>
      <w:szCs w:val="24"/>
    </w:rPr>
  </w:style>
  <w:style w:type="paragraph" w:styleId="Afsenderadresse">
    <w:name w:val="envelope return"/>
    <w:basedOn w:val="Normal"/>
    <w:semiHidden/>
    <w:unhideWhenUsed/>
  </w:style>
  <w:style w:type="character" w:styleId="BesgtLink">
    <w:name w:val="FollowedHyperlink"/>
    <w:basedOn w:val="Standardskrifttypeiafsnit"/>
    <w:semiHidden/>
    <w:unhideWhenUsed/>
    <w:rPr>
      <w:color w:val="800080"/>
      <w:u w:val="single"/>
    </w:rPr>
  </w:style>
  <w:style w:type="character" w:styleId="Fodnotehenvisning">
    <w:name w:val="footnote reference"/>
    <w:basedOn w:val="Standardskrifttypeiafsnit"/>
    <w:uiPriority w:val="99"/>
    <w:semiHidden/>
    <w:rPr>
      <w:vertAlign w:val="superscript"/>
    </w:rPr>
  </w:style>
  <w:style w:type="paragraph" w:styleId="Fodnotetekst">
    <w:name w:val="footnote text"/>
    <w:basedOn w:val="Normal"/>
    <w:link w:val="FodnotetekstTegn"/>
    <w:semiHidden/>
  </w:style>
  <w:style w:type="character" w:styleId="HTML-akronym">
    <w:name w:val="HTML Acronym"/>
    <w:basedOn w:val="Standardskrifttypeiafsnit"/>
    <w:semiHidden/>
    <w:unhideWhenUsed/>
  </w:style>
  <w:style w:type="paragraph" w:styleId="HTML-adresse">
    <w:name w:val="HTML Address"/>
    <w:basedOn w:val="Normal"/>
    <w:semiHidden/>
    <w:unhideWhenUsed/>
    <w:rPr>
      <w:i/>
      <w:iCs/>
    </w:rPr>
  </w:style>
  <w:style w:type="character" w:styleId="HTML-citat">
    <w:name w:val="HTML Cite"/>
    <w:basedOn w:val="Standardskrifttypeiafsnit"/>
    <w:semiHidden/>
    <w:unhideWhenUsed/>
    <w:rPr>
      <w:i/>
      <w:iCs/>
    </w:rPr>
  </w:style>
  <w:style w:type="character" w:styleId="HTML-kode">
    <w:name w:val="HTML Code"/>
    <w:basedOn w:val="Standardskrifttypeiafsnit"/>
    <w:semiHidden/>
    <w:unhideWhenUsed/>
    <w:rPr>
      <w:rFonts w:ascii="Courier New" w:hAnsi="Courier New" w:cs="Courier New"/>
      <w:sz w:val="20"/>
      <w:szCs w:val="20"/>
    </w:rPr>
  </w:style>
  <w:style w:type="character" w:styleId="HTML-definition">
    <w:name w:val="HTML Definition"/>
    <w:basedOn w:val="Standardskrifttypeiafsnit"/>
    <w:semiHidden/>
    <w:unhideWhenUsed/>
    <w:rPr>
      <w:i/>
      <w:iCs/>
    </w:rPr>
  </w:style>
  <w:style w:type="character" w:styleId="HTML-tastatur">
    <w:name w:val="HTML Keyboard"/>
    <w:basedOn w:val="Standardskrifttypeiafsnit"/>
    <w:semiHidden/>
    <w:unhideWhenUsed/>
    <w:rPr>
      <w:rFonts w:ascii="Courier New" w:hAnsi="Courier New" w:cs="Courier New"/>
      <w:sz w:val="20"/>
      <w:szCs w:val="20"/>
    </w:rPr>
  </w:style>
  <w:style w:type="paragraph" w:styleId="FormateretHTML">
    <w:name w:val="HTML Preformatted"/>
    <w:basedOn w:val="Normal"/>
    <w:semiHidden/>
    <w:unhideWhenUsed/>
    <w:rPr>
      <w:rFonts w:ascii="Courier New" w:hAnsi="Courier New" w:cs="Courier New"/>
    </w:rPr>
  </w:style>
  <w:style w:type="character" w:styleId="HTML-eksempel">
    <w:name w:val="HTML Sample"/>
    <w:basedOn w:val="Standardskrifttypeiafsnit"/>
    <w:semiHidden/>
    <w:unhideWhenUsed/>
    <w:rPr>
      <w:rFonts w:ascii="Courier New" w:hAnsi="Courier New" w:cs="Courier New"/>
    </w:rPr>
  </w:style>
  <w:style w:type="character" w:styleId="HTML-skrivemaskine">
    <w:name w:val="HTML Typewriter"/>
    <w:basedOn w:val="Standardskrifttypeiafsnit"/>
    <w:semiHidden/>
    <w:unhideWhenUsed/>
    <w:rPr>
      <w:rFonts w:ascii="Courier New" w:hAnsi="Courier New" w:cs="Courier New"/>
      <w:sz w:val="20"/>
      <w:szCs w:val="20"/>
    </w:rPr>
  </w:style>
  <w:style w:type="character" w:styleId="HTML-variabel">
    <w:name w:val="HTML Variable"/>
    <w:basedOn w:val="Standardskrifttypeiafsnit"/>
    <w:semiHidden/>
    <w:unhideWhenUsed/>
    <w:rPr>
      <w:i/>
      <w:iCs/>
    </w:rPr>
  </w:style>
  <w:style w:type="character" w:styleId="Hyperlink">
    <w:name w:val="Hyperlink"/>
    <w:basedOn w:val="Standardskrifttypeiafsnit"/>
    <w:uiPriority w:val="99"/>
    <w:unhideWhenUsed/>
    <w:rPr>
      <w:color w:val="0000FF"/>
      <w:u w:val="single"/>
    </w:rPr>
  </w:style>
  <w:style w:type="paragraph" w:styleId="Indeks1">
    <w:name w:val="index 1"/>
    <w:basedOn w:val="Normal"/>
    <w:next w:val="Normal"/>
    <w:autoRedefine/>
    <w:semiHidden/>
    <w:pPr>
      <w:ind w:left="230" w:hanging="230"/>
    </w:pPr>
  </w:style>
  <w:style w:type="paragraph" w:styleId="Indeks2">
    <w:name w:val="index 2"/>
    <w:basedOn w:val="Normal"/>
    <w:next w:val="Normal"/>
    <w:autoRedefine/>
    <w:semiHidden/>
    <w:pPr>
      <w:ind w:left="460" w:hanging="230"/>
    </w:pPr>
  </w:style>
  <w:style w:type="paragraph" w:styleId="Indeks3">
    <w:name w:val="index 3"/>
    <w:basedOn w:val="Normal"/>
    <w:next w:val="Normal"/>
    <w:autoRedefine/>
    <w:semiHidden/>
    <w:pPr>
      <w:ind w:left="690" w:hanging="230"/>
    </w:pPr>
  </w:style>
  <w:style w:type="paragraph" w:styleId="Indeks4">
    <w:name w:val="index 4"/>
    <w:basedOn w:val="Normal"/>
    <w:next w:val="Normal"/>
    <w:autoRedefine/>
    <w:semiHidden/>
    <w:pPr>
      <w:ind w:left="920" w:hanging="230"/>
    </w:pPr>
  </w:style>
  <w:style w:type="paragraph" w:styleId="Indeks5">
    <w:name w:val="index 5"/>
    <w:basedOn w:val="Normal"/>
    <w:next w:val="Normal"/>
    <w:autoRedefine/>
    <w:semiHidden/>
    <w:pPr>
      <w:ind w:left="1150" w:hanging="230"/>
    </w:pPr>
  </w:style>
  <w:style w:type="paragraph" w:styleId="Indeks6">
    <w:name w:val="index 6"/>
    <w:basedOn w:val="Normal"/>
    <w:next w:val="Normal"/>
    <w:autoRedefine/>
    <w:semiHidden/>
    <w:pPr>
      <w:ind w:left="1380" w:hanging="230"/>
    </w:pPr>
  </w:style>
  <w:style w:type="paragraph" w:styleId="Indeks7">
    <w:name w:val="index 7"/>
    <w:basedOn w:val="Normal"/>
    <w:next w:val="Normal"/>
    <w:autoRedefine/>
    <w:semiHidden/>
    <w:pPr>
      <w:ind w:left="1610" w:hanging="230"/>
    </w:pPr>
  </w:style>
  <w:style w:type="paragraph" w:styleId="Indeks8">
    <w:name w:val="index 8"/>
    <w:basedOn w:val="Normal"/>
    <w:next w:val="Normal"/>
    <w:autoRedefine/>
    <w:semiHidden/>
    <w:pPr>
      <w:ind w:left="1840" w:hanging="230"/>
    </w:pPr>
  </w:style>
  <w:style w:type="paragraph" w:styleId="Indeks9">
    <w:name w:val="index 9"/>
    <w:basedOn w:val="Normal"/>
    <w:next w:val="Normal"/>
    <w:autoRedefine/>
    <w:semiHidden/>
    <w:pPr>
      <w:ind w:left="2070" w:hanging="230"/>
    </w:pPr>
  </w:style>
  <w:style w:type="paragraph" w:styleId="Indeksoverskrift">
    <w:name w:val="index heading"/>
    <w:basedOn w:val="Normal"/>
    <w:next w:val="Indeks1"/>
    <w:semiHidden/>
    <w:rPr>
      <w:b/>
      <w:bCs/>
    </w:rPr>
  </w:style>
  <w:style w:type="character" w:styleId="Linjenummer">
    <w:name w:val="line number"/>
    <w:basedOn w:val="Standardskrifttypeiafsnit"/>
    <w:semiHidden/>
    <w:unhideWhenUsed/>
  </w:style>
  <w:style w:type="paragraph" w:styleId="Liste">
    <w:name w:val="List"/>
    <w:basedOn w:val="Normal"/>
    <w:semiHidden/>
    <w:unhideWhenUsed/>
    <w:pPr>
      <w:ind w:left="283" w:hanging="283"/>
    </w:pPr>
  </w:style>
  <w:style w:type="paragraph" w:styleId="Liste2">
    <w:name w:val="List 2"/>
    <w:basedOn w:val="Normal"/>
    <w:semiHidden/>
    <w:unhideWhenUsed/>
    <w:pPr>
      <w:ind w:left="566" w:hanging="283"/>
    </w:pPr>
  </w:style>
  <w:style w:type="paragraph" w:styleId="Liste3">
    <w:name w:val="List 3"/>
    <w:basedOn w:val="Normal"/>
    <w:semiHidden/>
    <w:unhideWhenUsed/>
    <w:pPr>
      <w:ind w:left="849" w:hanging="283"/>
    </w:pPr>
  </w:style>
  <w:style w:type="paragraph" w:styleId="Liste4">
    <w:name w:val="List 4"/>
    <w:basedOn w:val="Normal"/>
    <w:semiHidden/>
    <w:unhideWhenUsed/>
    <w:pPr>
      <w:ind w:left="1132" w:hanging="283"/>
    </w:pPr>
  </w:style>
  <w:style w:type="paragraph" w:styleId="Liste5">
    <w:name w:val="List 5"/>
    <w:basedOn w:val="Normal"/>
    <w:semiHidden/>
    <w:unhideWhenUsed/>
    <w:pPr>
      <w:ind w:left="1415" w:hanging="283"/>
    </w:pPr>
  </w:style>
  <w:style w:type="paragraph" w:styleId="Opstilling-punkttegn4">
    <w:name w:val="List Bullet 4"/>
    <w:basedOn w:val="Normal"/>
    <w:uiPriority w:val="4"/>
    <w:semiHidden/>
    <w:unhideWhenUsed/>
    <w:pPr>
      <w:numPr>
        <w:ilvl w:val="3"/>
        <w:numId w:val="31"/>
      </w:numPr>
    </w:pPr>
  </w:style>
  <w:style w:type="paragraph" w:styleId="Opstilling-punkttegn5">
    <w:name w:val="List Bullet 5"/>
    <w:basedOn w:val="Normal"/>
    <w:uiPriority w:val="4"/>
    <w:semiHidden/>
    <w:unhideWhenUsed/>
    <w:pPr>
      <w:numPr>
        <w:numId w:val="27"/>
      </w:numPr>
    </w:pPr>
  </w:style>
  <w:style w:type="paragraph" w:styleId="Opstilling-forts4">
    <w:name w:val="List Continue 4"/>
    <w:basedOn w:val="Normal"/>
    <w:uiPriority w:val="6"/>
    <w:semiHidden/>
    <w:unhideWhenUsed/>
    <w:pPr>
      <w:spacing w:after="120"/>
      <w:ind w:left="1132"/>
    </w:pPr>
  </w:style>
  <w:style w:type="paragraph" w:styleId="Opstilling-forts5">
    <w:name w:val="List Continue 5"/>
    <w:basedOn w:val="Normal"/>
    <w:uiPriority w:val="6"/>
    <w:semiHidden/>
    <w:unhideWhenUsed/>
    <w:pPr>
      <w:spacing w:after="120"/>
      <w:ind w:left="1415"/>
    </w:pPr>
  </w:style>
  <w:style w:type="paragraph" w:styleId="Opstilling-talellerbogst4">
    <w:name w:val="List Number 4"/>
    <w:basedOn w:val="Normal"/>
    <w:uiPriority w:val="4"/>
    <w:semiHidden/>
    <w:unhideWhenUsed/>
    <w:pPr>
      <w:numPr>
        <w:ilvl w:val="3"/>
        <w:numId w:val="34"/>
      </w:numPr>
    </w:pPr>
  </w:style>
  <w:style w:type="paragraph" w:styleId="Opstilling-talellerbogst5">
    <w:name w:val="List Number 5"/>
    <w:basedOn w:val="Normal"/>
    <w:uiPriority w:val="4"/>
    <w:semiHidden/>
    <w:unhideWhenUsed/>
    <w:pPr>
      <w:numPr>
        <w:numId w:val="29"/>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spacing w:line="270" w:lineRule="atLeast"/>
    </w:pPr>
    <w:rPr>
      <w:rFonts w:ascii="Courier New" w:hAnsi="Courier New" w:cs="Courier New"/>
    </w:rPr>
  </w:style>
  <w:style w:type="paragraph" w:styleId="Brevhoved">
    <w:name w:val="Message Header"/>
    <w:basedOn w:val="Normal"/>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unhideWhenUsed/>
    <w:rPr>
      <w:sz w:val="24"/>
      <w:szCs w:val="24"/>
    </w:rPr>
  </w:style>
  <w:style w:type="paragraph" w:styleId="Normalindrykning">
    <w:name w:val="Normal Indent"/>
    <w:basedOn w:val="Normal"/>
    <w:semiHidden/>
    <w:unhideWhenUsed/>
    <w:pPr>
      <w:ind w:left="425"/>
    </w:pPr>
  </w:style>
  <w:style w:type="paragraph" w:styleId="Noteoverskrift">
    <w:name w:val="Note Heading"/>
    <w:basedOn w:val="Normal"/>
    <w:next w:val="Normal"/>
    <w:semiHidden/>
    <w:unhideWhenUsed/>
  </w:style>
  <w:style w:type="character" w:styleId="Sidetal">
    <w:name w:val="page number"/>
    <w:basedOn w:val="Standardskrifttypeiafsnit"/>
    <w:semiHidden/>
    <w:unhideWhenUsed/>
  </w:style>
  <w:style w:type="paragraph" w:styleId="Almindeligtekst">
    <w:name w:val="Plain Text"/>
    <w:basedOn w:val="Normal"/>
    <w:semiHidden/>
    <w:unhideWhenUsed/>
    <w:rPr>
      <w:rFonts w:ascii="Courier New" w:hAnsi="Courier New" w:cs="Courier New"/>
    </w:rPr>
  </w:style>
  <w:style w:type="paragraph" w:styleId="Starthilsen">
    <w:name w:val="Salutation"/>
    <w:basedOn w:val="Normal"/>
    <w:next w:val="Normal"/>
    <w:semiHidden/>
    <w:unhideWhenUsed/>
  </w:style>
  <w:style w:type="character" w:styleId="Strk">
    <w:name w:val="Strong"/>
    <w:basedOn w:val="Standardskrifttypeiafsnit"/>
    <w:semiHidden/>
    <w:unhideWhenUsed/>
    <w:qFormat/>
    <w:rPr>
      <w:b/>
      <w:bCs/>
    </w:rPr>
  </w:style>
  <w:style w:type="paragraph" w:styleId="Undertitel">
    <w:name w:val="Subtitle"/>
    <w:basedOn w:val="Normal"/>
    <w:semiHidden/>
    <w:unhideWhenUsed/>
    <w:qFormat/>
    <w:pPr>
      <w:spacing w:after="60"/>
      <w:jc w:val="center"/>
      <w:outlineLvl w:val="1"/>
    </w:pPr>
    <w:rPr>
      <w:sz w:val="24"/>
      <w:szCs w:val="24"/>
    </w:rPr>
  </w:style>
  <w:style w:type="table" w:styleId="Tabel-3D-effekter1">
    <w:name w:val="Table 3D effects 1"/>
    <w:basedOn w:val="Tabel-Normal"/>
    <w:pPr>
      <w:spacing w:line="27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pPr>
      <w:spacing w:line="27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pPr>
      <w:spacing w:line="27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pPr>
      <w:spacing w:line="27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pPr>
      <w:spacing w:line="27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pPr>
      <w:spacing w:line="27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pPr>
      <w:spacing w:line="27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pPr>
      <w:spacing w:line="27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pPr>
      <w:spacing w:line="27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pPr>
      <w:spacing w:line="27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pPr>
      <w:spacing w:line="27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pPr>
      <w:spacing w:line="27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pPr>
      <w:spacing w:line="27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pPr>
      <w:spacing w:line="27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pPr>
      <w:spacing w:line="27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pPr>
      <w:spacing w:line="27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pPr>
      <w:spacing w:line="27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pPr>
      <w:spacing w:line="27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pPr>
      <w:spacing w:line="27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pPr>
      <w:spacing w:line="27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pPr>
      <w:spacing w:line="27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pPr>
      <w:spacing w:line="27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pPr>
      <w:spacing w:line="27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pPr>
      <w:spacing w:line="27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pPr>
      <w:spacing w:line="27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pPr>
      <w:spacing w:line="27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pPr>
      <w:spacing w:line="27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pPr>
      <w:spacing w:line="27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semiHidden/>
    <w:pPr>
      <w:ind w:left="230" w:hanging="230"/>
    </w:pPr>
  </w:style>
  <w:style w:type="paragraph" w:styleId="Listeoverfigurer">
    <w:name w:val="table of figures"/>
    <w:basedOn w:val="Normal"/>
    <w:next w:val="Normal"/>
    <w:semiHidden/>
    <w:pPr>
      <w:tabs>
        <w:tab w:val="right" w:pos="7371"/>
      </w:tabs>
      <w:spacing w:after="40" w:line="260" w:lineRule="atLeast"/>
      <w:ind w:left="1276" w:right="1134" w:hanging="1276"/>
    </w:pPr>
    <w:rPr>
      <w:sz w:val="22"/>
    </w:rPr>
  </w:style>
  <w:style w:type="table" w:styleId="Tabel-Professionel">
    <w:name w:val="Table Professional"/>
    <w:basedOn w:val="Tabel-Normal"/>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pPr>
      <w:spacing w:line="27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pPr>
      <w:spacing w:line="27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pPr>
      <w:spacing w:line="27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pPr>
      <w:spacing w:line="27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pPr>
      <w:spacing w:line="27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pPr>
      <w:spacing w:line="27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pPr>
      <w:spacing w:line="27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pPr>
      <w:spacing w:line="27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unhideWhenUsed/>
    <w:qFormat/>
    <w:pPr>
      <w:spacing w:before="240" w:after="60"/>
      <w:jc w:val="center"/>
      <w:outlineLvl w:val="0"/>
    </w:pPr>
    <w:rPr>
      <w:b/>
      <w:bCs/>
      <w:kern w:val="28"/>
      <w:sz w:val="32"/>
      <w:szCs w:val="32"/>
    </w:rPr>
  </w:style>
  <w:style w:type="paragraph" w:styleId="Citatoverskrift">
    <w:name w:val="toa heading"/>
    <w:basedOn w:val="Normal"/>
    <w:next w:val="Normal"/>
    <w:semiHidden/>
    <w:pPr>
      <w:spacing w:before="120"/>
    </w:pPr>
    <w:rPr>
      <w:b/>
      <w:bCs/>
      <w:sz w:val="24"/>
      <w:szCs w:val="24"/>
    </w:rPr>
  </w:style>
  <w:style w:type="paragraph" w:styleId="Indholdsfortegnelse4">
    <w:name w:val="toc 4"/>
    <w:basedOn w:val="Indholdsfortegnelse3"/>
    <w:next w:val="Normal"/>
    <w:semiHidden/>
    <w:pPr>
      <w:spacing w:line="220" w:lineRule="exact"/>
      <w:ind w:left="1276" w:hanging="1276"/>
    </w:pPr>
    <w:rPr>
      <w:sz w:val="20"/>
    </w:rPr>
  </w:style>
  <w:style w:type="paragraph" w:styleId="Indholdsfortegnelse5">
    <w:name w:val="toc 5"/>
    <w:basedOn w:val="Indholdsfortegnelse4"/>
    <w:next w:val="Normal"/>
    <w:semiHidden/>
  </w:style>
  <w:style w:type="paragraph" w:styleId="Indholdsfortegnelse6">
    <w:name w:val="toc 6"/>
    <w:basedOn w:val="Normal"/>
    <w:next w:val="Normal"/>
    <w:autoRedefine/>
    <w:semiHidden/>
    <w:pPr>
      <w:ind w:left="1150"/>
    </w:pPr>
  </w:style>
  <w:style w:type="paragraph" w:styleId="Indholdsfortegnelse8">
    <w:name w:val="toc 8"/>
    <w:basedOn w:val="Indholdsfortegnelse7"/>
    <w:next w:val="Normal"/>
    <w:semiHidden/>
    <w:pPr>
      <w:spacing w:before="0"/>
      <w:ind w:left="850" w:hanging="850"/>
    </w:pPr>
  </w:style>
  <w:style w:type="paragraph" w:styleId="Indholdsfortegnelse9">
    <w:name w:val="toc 9"/>
    <w:basedOn w:val="Indholdsfortegnelse8"/>
    <w:next w:val="Normal"/>
    <w:semiHidden/>
  </w:style>
  <w:style w:type="character" w:customStyle="1" w:styleId="SidehovedTegn">
    <w:name w:val="Sidehoved Tegn"/>
    <w:basedOn w:val="Standardskrifttypeiafsnit"/>
    <w:link w:val="Sidehoved"/>
    <w:semiHidden/>
    <w:rPr>
      <w:rFonts w:ascii="Verdana" w:hAnsi="Verdana" w:cs="Arial"/>
      <w:sz w:val="14"/>
    </w:rPr>
  </w:style>
  <w:style w:type="paragraph" w:customStyle="1" w:styleId="ListNumberNoSpace">
    <w:name w:val="List Number NoSpace"/>
    <w:basedOn w:val="Opstilling-talellerbogst"/>
    <w:uiPriority w:val="4"/>
    <w:qFormat/>
    <w:pPr>
      <w:spacing w:after="0"/>
    </w:pPr>
  </w:style>
  <w:style w:type="paragraph" w:customStyle="1" w:styleId="ListNumber2NoSpace">
    <w:name w:val="List Number 2 NoSpace"/>
    <w:basedOn w:val="Opstilling-talellerbogst2"/>
    <w:uiPriority w:val="4"/>
    <w:qFormat/>
    <w:pPr>
      <w:spacing w:after="0"/>
      <w:ind w:left="850" w:hanging="425"/>
    </w:pPr>
  </w:style>
  <w:style w:type="paragraph" w:customStyle="1" w:styleId="ListNumber3NoSpace">
    <w:name w:val="List Number 3 NoSpace"/>
    <w:basedOn w:val="Opstilling-talellerbogst3"/>
    <w:uiPriority w:val="4"/>
    <w:qFormat/>
    <w:pPr>
      <w:spacing w:after="0"/>
    </w:pPr>
  </w:style>
  <w:style w:type="paragraph" w:customStyle="1" w:styleId="TableNoSpace">
    <w:name w:val="Table NoSpace"/>
    <w:basedOn w:val="Table"/>
    <w:uiPriority w:val="8"/>
    <w:semiHidden/>
    <w:unhideWhenUsed/>
    <w:qFormat/>
    <w:pPr>
      <w:spacing w:after="60"/>
    </w:pPr>
  </w:style>
  <w:style w:type="paragraph" w:customStyle="1" w:styleId="FrontPageImage">
    <w:name w:val="FrontPageImage"/>
    <w:basedOn w:val="Normal"/>
    <w:next w:val="Brdtekst"/>
    <w:uiPriority w:val="11"/>
    <w:semiHidden/>
    <w:qFormat/>
    <w:pPr>
      <w:spacing w:before="840"/>
      <w:ind w:left="-1474"/>
    </w:pPr>
  </w:style>
  <w:style w:type="numbering" w:customStyle="1" w:styleId="CowiHeadings">
    <w:name w:val="CowiHeadings"/>
    <w:basedOn w:val="Ingenoversigt"/>
    <w:uiPriority w:val="99"/>
    <w:pPr>
      <w:numPr>
        <w:numId w:val="35"/>
      </w:numPr>
    </w:pPr>
  </w:style>
  <w:style w:type="table" w:customStyle="1" w:styleId="CowiTableGrid">
    <w:name w:val="Cowi Table Grid"/>
    <w:basedOn w:val="Tabel-Gitter5"/>
    <w:uiPriority w:val="99"/>
    <w:rsid w:val="00270EC6"/>
    <w:rPr>
      <w:sz w:val="23"/>
      <w:szCs w:val="23"/>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color w:val="F04E23"/>
      </w:rPr>
      <w:tblPr/>
      <w:tcPr>
        <w:tcBorders>
          <w:bottom w:val="single" w:sz="8" w:space="0" w:color="808080"/>
          <w:tl2br w:val="none" w:sz="0" w:space="0" w:color="auto"/>
          <w:tr2bl w:val="none" w:sz="0" w:space="0" w:color="auto"/>
        </w:tcBorders>
        <w:shd w:val="clear" w:color="auto" w:fill="auto"/>
      </w:tcPr>
    </w:tblStylePr>
    <w:tblStylePr w:type="lastRow">
      <w:rPr>
        <w:b/>
        <w:bCs/>
      </w:rPr>
      <w:tblPr/>
      <w:tcPr>
        <w:tcBorders>
          <w:tl2br w:val="none" w:sz="0" w:space="0" w:color="auto"/>
          <w:tr2bl w:val="none" w:sz="0" w:space="0" w:color="auto"/>
        </w:tcBorders>
      </w:tcPr>
    </w:tblStylePr>
    <w:tblStylePr w:type="firstCol">
      <w:rPr>
        <w:color w:val="F04E23"/>
      </w:rPr>
    </w:tblStylePr>
    <w:tblStylePr w:type="lastCol">
      <w:rPr>
        <w:b/>
        <w:bCs/>
      </w:rPr>
      <w:tblPr/>
      <w:tcPr>
        <w:tcBorders>
          <w:tl2br w:val="none" w:sz="0" w:space="0" w:color="auto"/>
          <w:tr2bl w:val="none" w:sz="0" w:space="0" w:color="auto"/>
        </w:tcBorders>
      </w:tcPr>
    </w:tblStylePr>
    <w:tblStylePr w:type="nwCell">
      <w:tblPr/>
      <w:tcPr>
        <w:tcBorders>
          <w:tl2br w:val="nil"/>
          <w:tr2bl w:val="none" w:sz="0" w:space="0" w:color="auto"/>
        </w:tcBorders>
        <w:shd w:val="clear" w:color="auto" w:fill="auto"/>
      </w:tcPr>
    </w:tblStylePr>
  </w:style>
  <w:style w:type="table" w:customStyle="1" w:styleId="CowiTableLines">
    <w:name w:val="Cowi Table Lines"/>
    <w:basedOn w:val="Tabel-Gitter6"/>
    <w:uiPriority w:val="99"/>
    <w:rsid w:val="00F4462F"/>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cPr>
      <w:shd w:val="clear" w:color="auto" w:fill="auto"/>
    </w:tcPr>
    <w:tblStylePr w:type="firstRow">
      <w:rPr>
        <w:b w:val="0"/>
        <w:bCs w:val="0"/>
        <w:color w:val="F04E23"/>
      </w:rPr>
      <w:tblPr/>
      <w:tcPr>
        <w:tcBorders>
          <w:bottom w:val="single" w:sz="8" w:space="0" w:color="808080"/>
          <w:tl2br w:val="none" w:sz="0" w:space="0" w:color="auto"/>
          <w:tr2bl w:val="none" w:sz="0" w:space="0" w:color="auto"/>
        </w:tcBorders>
        <w:shd w:val="clear" w:color="auto" w:fill="auto"/>
      </w:tcPr>
    </w:tblStylePr>
    <w:tblStylePr w:type="lastRow">
      <w:rPr>
        <w:color w:val="auto"/>
      </w:rPr>
      <w:tblPr/>
      <w:tcPr>
        <w:tcBorders>
          <w:top w:val="nil"/>
        </w:tcBorders>
        <w:shd w:val="clear" w:color="auto" w:fill="auto"/>
      </w:tcPr>
    </w:tblStylePr>
    <w:tblStylePr w:type="firstCol">
      <w:rPr>
        <w:b w:val="0"/>
        <w:bCs/>
        <w:i w:val="0"/>
        <w:color w:val="F04E23"/>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numbering" w:customStyle="1" w:styleId="CowiTableBulletList">
    <w:name w:val="CowiTableBulletList"/>
    <w:basedOn w:val="Ingenoversigt"/>
    <w:uiPriority w:val="99"/>
    <w:pPr>
      <w:numPr>
        <w:numId w:val="36"/>
      </w:numPr>
    </w:pPr>
  </w:style>
  <w:style w:type="numbering" w:customStyle="1" w:styleId="CowiTableNumberList">
    <w:name w:val="CowiTableNumberList"/>
    <w:basedOn w:val="Ingenoversigt"/>
    <w:uiPriority w:val="99"/>
    <w:pPr>
      <w:numPr>
        <w:numId w:val="37"/>
      </w:numPr>
    </w:pPr>
  </w:style>
  <w:style w:type="paragraph" w:customStyle="1" w:styleId="TableBullet">
    <w:name w:val="Table Bullet"/>
    <w:basedOn w:val="TableText"/>
    <w:uiPriority w:val="7"/>
    <w:qFormat/>
    <w:pPr>
      <w:numPr>
        <w:numId w:val="36"/>
      </w:numPr>
    </w:pPr>
  </w:style>
  <w:style w:type="paragraph" w:customStyle="1" w:styleId="TableBullet2">
    <w:name w:val="Table Bullet 2"/>
    <w:basedOn w:val="TableBullet"/>
    <w:uiPriority w:val="7"/>
    <w:qFormat/>
    <w:pPr>
      <w:numPr>
        <w:ilvl w:val="1"/>
      </w:numPr>
    </w:pPr>
  </w:style>
  <w:style w:type="paragraph" w:customStyle="1" w:styleId="TableBulletNoSpace">
    <w:name w:val="Table Bullet NoSpace"/>
    <w:basedOn w:val="TableBullet"/>
    <w:uiPriority w:val="7"/>
    <w:qFormat/>
    <w:pPr>
      <w:spacing w:after="0"/>
    </w:pPr>
  </w:style>
  <w:style w:type="paragraph" w:customStyle="1" w:styleId="TableBullet3">
    <w:name w:val="Table Bullet 3"/>
    <w:basedOn w:val="TableBullet2"/>
    <w:uiPriority w:val="7"/>
    <w:qFormat/>
    <w:pPr>
      <w:numPr>
        <w:ilvl w:val="2"/>
      </w:numPr>
    </w:pPr>
  </w:style>
  <w:style w:type="paragraph" w:customStyle="1" w:styleId="TableBullet2NoSpace">
    <w:name w:val="Table Bullet 2 NoSpace"/>
    <w:basedOn w:val="TableBullet2"/>
    <w:uiPriority w:val="7"/>
    <w:qFormat/>
    <w:pPr>
      <w:spacing w:after="0"/>
      <w:ind w:left="568" w:hanging="284"/>
    </w:pPr>
  </w:style>
  <w:style w:type="paragraph" w:customStyle="1" w:styleId="TableBullet3NoSpace">
    <w:name w:val="Table Bullet 3 NoSpace"/>
    <w:basedOn w:val="TableBullet3"/>
    <w:uiPriority w:val="7"/>
    <w:qFormat/>
    <w:pPr>
      <w:spacing w:after="0"/>
    </w:pPr>
  </w:style>
  <w:style w:type="paragraph" w:customStyle="1" w:styleId="TableContinue0">
    <w:name w:val="Table Continue 0"/>
    <w:basedOn w:val="TableText"/>
    <w:uiPriority w:val="7"/>
    <w:qFormat/>
  </w:style>
  <w:style w:type="paragraph" w:customStyle="1" w:styleId="TableContinue">
    <w:name w:val="Table Continue"/>
    <w:basedOn w:val="TableContinue0"/>
    <w:uiPriority w:val="7"/>
    <w:qFormat/>
    <w:pPr>
      <w:ind w:left="284"/>
    </w:pPr>
  </w:style>
  <w:style w:type="paragraph" w:customStyle="1" w:styleId="TableContinue0NoSpace">
    <w:name w:val="Table Continue 0 NoSpace"/>
    <w:basedOn w:val="TableContinue0"/>
    <w:uiPriority w:val="7"/>
    <w:qFormat/>
    <w:pPr>
      <w:spacing w:after="0"/>
    </w:pPr>
  </w:style>
  <w:style w:type="paragraph" w:customStyle="1" w:styleId="TableContinue2">
    <w:name w:val="Table Continue 2"/>
    <w:basedOn w:val="TableContinue"/>
    <w:uiPriority w:val="7"/>
    <w:qFormat/>
    <w:pPr>
      <w:ind w:left="567"/>
    </w:pPr>
  </w:style>
  <w:style w:type="paragraph" w:customStyle="1" w:styleId="TableContinue2NoSpace">
    <w:name w:val="Table Continue 2 NoSpace"/>
    <w:basedOn w:val="TableContinue2"/>
    <w:uiPriority w:val="7"/>
    <w:qFormat/>
    <w:pPr>
      <w:spacing w:after="0"/>
    </w:pPr>
  </w:style>
  <w:style w:type="paragraph" w:customStyle="1" w:styleId="TableContinue3">
    <w:name w:val="Table Continue 3"/>
    <w:basedOn w:val="TableContinue2"/>
    <w:uiPriority w:val="7"/>
    <w:qFormat/>
    <w:pPr>
      <w:ind w:left="851"/>
    </w:pPr>
  </w:style>
  <w:style w:type="paragraph" w:customStyle="1" w:styleId="TableContinue3NoSpace">
    <w:name w:val="Table Continue 3 NoSpace"/>
    <w:basedOn w:val="TableContinue3"/>
    <w:uiPriority w:val="7"/>
    <w:qFormat/>
    <w:pPr>
      <w:spacing w:after="0"/>
    </w:pPr>
  </w:style>
  <w:style w:type="paragraph" w:customStyle="1" w:styleId="TableContinueNoSpace">
    <w:name w:val="Table Continue NoSpace"/>
    <w:basedOn w:val="TableContinue"/>
    <w:uiPriority w:val="7"/>
    <w:qFormat/>
    <w:pPr>
      <w:spacing w:after="0"/>
    </w:pPr>
  </w:style>
  <w:style w:type="paragraph" w:customStyle="1" w:styleId="TableNumber">
    <w:name w:val="Table Number"/>
    <w:basedOn w:val="TableText"/>
    <w:uiPriority w:val="7"/>
    <w:qFormat/>
    <w:pPr>
      <w:numPr>
        <w:numId w:val="49"/>
      </w:numPr>
    </w:pPr>
  </w:style>
  <w:style w:type="paragraph" w:customStyle="1" w:styleId="TableNumber2">
    <w:name w:val="Table Number 2"/>
    <w:basedOn w:val="TableNumber"/>
    <w:uiPriority w:val="7"/>
    <w:qFormat/>
    <w:pPr>
      <w:numPr>
        <w:ilvl w:val="1"/>
      </w:numPr>
    </w:pPr>
  </w:style>
  <w:style w:type="paragraph" w:customStyle="1" w:styleId="TableNumberNoSpace">
    <w:name w:val="Table Number NoSpace"/>
    <w:basedOn w:val="TableNumber"/>
    <w:uiPriority w:val="7"/>
    <w:qFormat/>
    <w:pPr>
      <w:spacing w:after="0"/>
    </w:pPr>
  </w:style>
  <w:style w:type="paragraph" w:customStyle="1" w:styleId="TableNumber3">
    <w:name w:val="Table Number 3"/>
    <w:basedOn w:val="TableNumber2"/>
    <w:uiPriority w:val="7"/>
    <w:qFormat/>
    <w:pPr>
      <w:numPr>
        <w:ilvl w:val="2"/>
      </w:numPr>
    </w:pPr>
  </w:style>
  <w:style w:type="paragraph" w:customStyle="1" w:styleId="TableNumber2NoSpace">
    <w:name w:val="Table Number 2 NoSpace"/>
    <w:basedOn w:val="TableNumber2"/>
    <w:uiPriority w:val="7"/>
    <w:qFormat/>
    <w:pPr>
      <w:spacing w:after="0"/>
      <w:ind w:left="568" w:hanging="284"/>
    </w:pPr>
  </w:style>
  <w:style w:type="paragraph" w:customStyle="1" w:styleId="TableNumber3NoSpace">
    <w:name w:val="Table Number 3 NoSpace"/>
    <w:basedOn w:val="TableNumber3"/>
    <w:uiPriority w:val="7"/>
    <w:qFormat/>
    <w:pPr>
      <w:spacing w:after="0"/>
    </w:pPr>
  </w:style>
  <w:style w:type="paragraph" w:customStyle="1" w:styleId="TableText">
    <w:name w:val="Table Text"/>
    <w:basedOn w:val="Normal"/>
    <w:uiPriority w:val="7"/>
    <w:qFormat/>
    <w:pPr>
      <w:spacing w:after="120" w:line="220" w:lineRule="atLeast"/>
    </w:pPr>
    <w:rPr>
      <w:sz w:val="16"/>
      <w:szCs w:val="23"/>
    </w:rPr>
  </w:style>
  <w:style w:type="paragraph" w:customStyle="1" w:styleId="TableTextNoSpace">
    <w:name w:val="Table Text NoSpace"/>
    <w:basedOn w:val="TableText"/>
    <w:uiPriority w:val="7"/>
    <w:qFormat/>
    <w:pPr>
      <w:spacing w:after="0"/>
    </w:pPr>
  </w:style>
  <w:style w:type="paragraph" w:customStyle="1" w:styleId="HeaderCowiAddress">
    <w:name w:val="HeaderCowiAddress"/>
    <w:basedOn w:val="Normal"/>
    <w:uiPriority w:val="7"/>
    <w:semiHidden/>
    <w:qFormat/>
    <w:pPr>
      <w:framePr w:w="3402" w:wrap="around" w:vAnchor="page" w:hAnchor="page" w:xAlign="right" w:y="681"/>
      <w:tabs>
        <w:tab w:val="right" w:pos="1077"/>
        <w:tab w:val="left" w:pos="1134"/>
      </w:tabs>
      <w:spacing w:line="220" w:lineRule="exact"/>
      <w:ind w:left="1134" w:hanging="1134"/>
    </w:pPr>
    <w:rPr>
      <w:noProof/>
      <w:sz w:val="14"/>
    </w:rPr>
  </w:style>
  <w:style w:type="paragraph" w:customStyle="1" w:styleId="HeaderCowiLogo">
    <w:name w:val="HeaderCowiLogo"/>
    <w:basedOn w:val="HeaderCowiAddress"/>
    <w:next w:val="HeaderCowiAddress"/>
    <w:uiPriority w:val="7"/>
    <w:semiHidden/>
    <w:qFormat/>
    <w:pPr>
      <w:framePr w:wrap="around"/>
      <w:tabs>
        <w:tab w:val="clear" w:pos="1077"/>
        <w:tab w:val="clear" w:pos="1134"/>
      </w:tabs>
      <w:spacing w:after="658" w:line="240" w:lineRule="atLeast"/>
      <w:ind w:left="567" w:firstLine="0"/>
    </w:pPr>
  </w:style>
  <w:style w:type="character" w:customStyle="1" w:styleId="CowiLabel">
    <w:name w:val="Cowi Label"/>
    <w:basedOn w:val="Standardskrifttypeiafsnit"/>
    <w:uiPriority w:val="1"/>
    <w:semiHidden/>
    <w:rPr>
      <w:rFonts w:ascii="Verdana" w:hAnsi="Verdana" w:cs="Arial"/>
      <w:caps/>
      <w:smallCaps w:val="0"/>
      <w:color w:val="F04E23"/>
      <w:sz w:val="11"/>
    </w:rPr>
  </w:style>
  <w:style w:type="paragraph" w:customStyle="1" w:styleId="FooterCowiLogo">
    <w:name w:val="FooterCowiLogo"/>
    <w:basedOn w:val="Normal"/>
    <w:uiPriority w:val="7"/>
    <w:semiHidden/>
    <w:qFormat/>
    <w:pPr>
      <w:framePr w:w="11057" w:h="1361" w:hRule="exact" w:wrap="around" w:vAnchor="page" w:hAnchor="page" w:xAlign="right" w:yAlign="bottom"/>
    </w:pPr>
    <w:rPr>
      <w:noProof/>
    </w:rPr>
  </w:style>
  <w:style w:type="character" w:customStyle="1" w:styleId="CowiOrange">
    <w:name w:val="CowiOrange"/>
    <w:basedOn w:val="Standardskrifttypeiafsnit"/>
    <w:uiPriority w:val="1"/>
    <w:semiHidden/>
    <w:rPr>
      <w:color w:val="F04E23"/>
    </w:rPr>
  </w:style>
  <w:style w:type="paragraph" w:customStyle="1" w:styleId="HeaderEvenIndent">
    <w:name w:val="HeaderEvenIndent"/>
    <w:basedOn w:val="HeaderEven"/>
    <w:next w:val="HeaderEven"/>
    <w:uiPriority w:val="7"/>
    <w:semiHidden/>
    <w:qFormat/>
  </w:style>
  <w:style w:type="paragraph" w:customStyle="1" w:styleId="HeaderIndent">
    <w:name w:val="HeaderIndent"/>
    <w:basedOn w:val="Sidehoved"/>
    <w:link w:val="HeaderIndentChar"/>
    <w:uiPriority w:val="7"/>
    <w:semiHidden/>
    <w:qFormat/>
    <w:pPr>
      <w:ind w:right="454"/>
    </w:pPr>
  </w:style>
  <w:style w:type="character" w:customStyle="1" w:styleId="HeaderIndentChar">
    <w:name w:val="HeaderIndent Char"/>
    <w:basedOn w:val="SidehovedTegn"/>
    <w:link w:val="HeaderIndent"/>
    <w:uiPriority w:val="7"/>
    <w:semiHidden/>
    <w:rPr>
      <w:rFonts w:ascii="Verdana" w:hAnsi="Verdana" w:cs="Arial"/>
      <w:caps w:val="0"/>
      <w:color w:val="333333"/>
      <w:sz w:val="14"/>
    </w:rPr>
  </w:style>
  <w:style w:type="paragraph" w:customStyle="1" w:styleId="FooterEven">
    <w:name w:val="FooterEven"/>
    <w:basedOn w:val="Normal"/>
    <w:uiPriority w:val="7"/>
    <w:qFormat/>
    <w:pPr>
      <w:spacing w:line="160" w:lineRule="atLeast"/>
      <w:ind w:left="-2268"/>
    </w:pPr>
    <w:rPr>
      <w:noProof/>
      <w:sz w:val="11"/>
    </w:rPr>
  </w:style>
  <w:style w:type="paragraph" w:customStyle="1" w:styleId="RevisionLog">
    <w:name w:val="RevisionLog"/>
    <w:basedOn w:val="Normal"/>
    <w:uiPriority w:val="7"/>
    <w:qFormat/>
    <w:pPr>
      <w:spacing w:line="160" w:lineRule="atLeast"/>
    </w:pPr>
    <w:rPr>
      <w:sz w:val="14"/>
    </w:rPr>
  </w:style>
  <w:style w:type="paragraph" w:customStyle="1" w:styleId="HeaderRight">
    <w:name w:val="HeaderRight"/>
    <w:basedOn w:val="Normal"/>
    <w:uiPriority w:val="7"/>
    <w:qFormat/>
    <w:pPr>
      <w:spacing w:line="180" w:lineRule="atLeast"/>
      <w:jc w:val="right"/>
    </w:pPr>
    <w:rPr>
      <w:caps/>
      <w:sz w:val="14"/>
    </w:rPr>
  </w:style>
  <w:style w:type="paragraph" w:customStyle="1" w:styleId="HeaderLeft">
    <w:name w:val="HeaderLeft"/>
    <w:basedOn w:val="Normal"/>
    <w:uiPriority w:val="7"/>
    <w:qFormat/>
    <w:pPr>
      <w:spacing w:line="180" w:lineRule="atLeast"/>
    </w:pPr>
    <w:rPr>
      <w:caps/>
      <w:sz w:val="14"/>
    </w:rPr>
  </w:style>
  <w:style w:type="paragraph" w:customStyle="1" w:styleId="FooterLeft">
    <w:name w:val="FooterLeft"/>
    <w:basedOn w:val="Normal"/>
    <w:uiPriority w:val="7"/>
    <w:qFormat/>
    <w:pPr>
      <w:spacing w:line="160" w:lineRule="atLeast"/>
    </w:pPr>
    <w:rPr>
      <w:sz w:val="11"/>
    </w:rPr>
  </w:style>
  <w:style w:type="paragraph" w:customStyle="1" w:styleId="FooterRight">
    <w:name w:val="FooterRight"/>
    <w:basedOn w:val="FooterLeft"/>
    <w:uiPriority w:val="7"/>
    <w:qFormat/>
    <w:pPr>
      <w:jc w:val="right"/>
    </w:pPr>
  </w:style>
  <w:style w:type="character" w:customStyle="1" w:styleId="FodnotetekstTegn">
    <w:name w:val="Fodnotetekst Tegn"/>
    <w:basedOn w:val="Standardskrifttypeiafsnit"/>
    <w:link w:val="Fodnotetekst"/>
    <w:semiHidden/>
    <w:rsid w:val="00F66A6D"/>
    <w:rPr>
      <w:rFonts w:ascii="Verdana" w:hAnsi="Verdana" w:cs="Arial"/>
      <w:sz w:val="18"/>
    </w:rPr>
  </w:style>
  <w:style w:type="paragraph" w:customStyle="1" w:styleId="Figurtekst">
    <w:name w:val="Figur tekst"/>
    <w:basedOn w:val="Normal"/>
    <w:semiHidden/>
    <w:rsid w:val="00683067"/>
    <w:pPr>
      <w:spacing w:line="180" w:lineRule="atLeast"/>
    </w:pPr>
    <w:rPr>
      <w:rFonts w:ascii="Georgia" w:hAnsi="Georgia" w:cs="Times New Roman"/>
      <w:caps/>
      <w:color w:val="4F757D"/>
      <w:sz w:val="14"/>
      <w:szCs w:val="24"/>
      <w:lang w:eastAsia="en-US"/>
    </w:rPr>
  </w:style>
  <w:style w:type="paragraph" w:customStyle="1" w:styleId="FigurCaption">
    <w:name w:val="Figur Caption"/>
    <w:basedOn w:val="Figurtekst"/>
    <w:semiHidden/>
    <w:rsid w:val="00683067"/>
    <w:pPr>
      <w:keepNext/>
    </w:pPr>
    <w:rPr>
      <w:b/>
    </w:rPr>
  </w:style>
  <w:style w:type="paragraph" w:customStyle="1" w:styleId="Tabelnote">
    <w:name w:val="Tabelnote"/>
    <w:basedOn w:val="Normal"/>
    <w:rsid w:val="009622C5"/>
    <w:pPr>
      <w:spacing w:line="260" w:lineRule="atLeast"/>
      <w:ind w:left="340" w:hanging="340"/>
    </w:pPr>
    <w:rPr>
      <w:rFonts w:asciiTheme="majorHAnsi" w:hAnsiTheme="majorHAnsi" w:cs="Times New Roman"/>
      <w:sz w:val="16"/>
      <w:szCs w:val="16"/>
      <w:lang w:eastAsia="en-US"/>
    </w:rPr>
  </w:style>
  <w:style w:type="table" w:styleId="Gittertabel1-lys">
    <w:name w:val="Grid Table 1 Light"/>
    <w:basedOn w:val="Tabel-Normal"/>
    <w:uiPriority w:val="46"/>
    <w:rsid w:val="006830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Korrektur">
    <w:name w:val="Revision"/>
    <w:hidden/>
    <w:uiPriority w:val="99"/>
    <w:semiHidden/>
    <w:rsid w:val="005F1293"/>
    <w:rPr>
      <w:rFonts w:ascii="Verdana" w:hAnsi="Verdana" w:cs="Arial"/>
      <w:sz w:val="18"/>
    </w:rPr>
  </w:style>
  <w:style w:type="paragraph" w:customStyle="1" w:styleId="Note">
    <w:name w:val="Note"/>
    <w:basedOn w:val="Brdtekst"/>
    <w:rsid w:val="00FB7FC1"/>
    <w:rPr>
      <w:b/>
    </w:rPr>
  </w:style>
  <w:style w:type="character" w:customStyle="1" w:styleId="BrdtekstTegn">
    <w:name w:val="Brødtekst Tegn"/>
    <w:basedOn w:val="Standardskrifttypeiafsnit"/>
    <w:link w:val="Brdtekst"/>
    <w:rsid w:val="00526E09"/>
    <w:rPr>
      <w:rFonts w:ascii="Verdana" w:hAnsi="Verdana" w:cs="Arial"/>
      <w:sz w:val="18"/>
    </w:rPr>
  </w:style>
  <w:style w:type="character" w:customStyle="1" w:styleId="UnresolvedMention1">
    <w:name w:val="Unresolved Mention1"/>
    <w:basedOn w:val="Standardskrifttypeiafsnit"/>
    <w:uiPriority w:val="99"/>
    <w:semiHidden/>
    <w:unhideWhenUsed/>
    <w:rsid w:val="004A7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280">
      <w:bodyDiv w:val="1"/>
      <w:marLeft w:val="0"/>
      <w:marRight w:val="0"/>
      <w:marTop w:val="0"/>
      <w:marBottom w:val="0"/>
      <w:divBdr>
        <w:top w:val="none" w:sz="0" w:space="0" w:color="auto"/>
        <w:left w:val="none" w:sz="0" w:space="0" w:color="auto"/>
        <w:bottom w:val="none" w:sz="0" w:space="0" w:color="auto"/>
        <w:right w:val="none" w:sz="0" w:space="0" w:color="auto"/>
      </w:divBdr>
      <w:divsChild>
        <w:div w:id="339819417">
          <w:marLeft w:val="288"/>
          <w:marRight w:val="0"/>
          <w:marTop w:val="0"/>
          <w:marBottom w:val="120"/>
          <w:divBdr>
            <w:top w:val="none" w:sz="0" w:space="0" w:color="auto"/>
            <w:left w:val="none" w:sz="0" w:space="0" w:color="auto"/>
            <w:bottom w:val="none" w:sz="0" w:space="0" w:color="auto"/>
            <w:right w:val="none" w:sz="0" w:space="0" w:color="auto"/>
          </w:divBdr>
        </w:div>
        <w:div w:id="462499447">
          <w:marLeft w:val="288"/>
          <w:marRight w:val="0"/>
          <w:marTop w:val="0"/>
          <w:marBottom w:val="120"/>
          <w:divBdr>
            <w:top w:val="none" w:sz="0" w:space="0" w:color="auto"/>
            <w:left w:val="none" w:sz="0" w:space="0" w:color="auto"/>
            <w:bottom w:val="none" w:sz="0" w:space="0" w:color="auto"/>
            <w:right w:val="none" w:sz="0" w:space="0" w:color="auto"/>
          </w:divBdr>
        </w:div>
        <w:div w:id="1891571052">
          <w:marLeft w:val="288"/>
          <w:marRight w:val="0"/>
          <w:marTop w:val="0"/>
          <w:marBottom w:val="120"/>
          <w:divBdr>
            <w:top w:val="none" w:sz="0" w:space="0" w:color="auto"/>
            <w:left w:val="none" w:sz="0" w:space="0" w:color="auto"/>
            <w:bottom w:val="none" w:sz="0" w:space="0" w:color="auto"/>
            <w:right w:val="none" w:sz="0" w:space="0" w:color="auto"/>
          </w:divBdr>
        </w:div>
      </w:divsChild>
    </w:div>
    <w:div w:id="75133108">
      <w:bodyDiv w:val="1"/>
      <w:marLeft w:val="0"/>
      <w:marRight w:val="0"/>
      <w:marTop w:val="0"/>
      <w:marBottom w:val="0"/>
      <w:divBdr>
        <w:top w:val="none" w:sz="0" w:space="0" w:color="auto"/>
        <w:left w:val="none" w:sz="0" w:space="0" w:color="auto"/>
        <w:bottom w:val="none" w:sz="0" w:space="0" w:color="auto"/>
        <w:right w:val="none" w:sz="0" w:space="0" w:color="auto"/>
      </w:divBdr>
      <w:divsChild>
        <w:div w:id="1774587208">
          <w:marLeft w:val="180"/>
          <w:marRight w:val="180"/>
          <w:marTop w:val="0"/>
          <w:marBottom w:val="0"/>
          <w:divBdr>
            <w:top w:val="none" w:sz="0" w:space="0" w:color="auto"/>
            <w:left w:val="none" w:sz="0" w:space="0" w:color="auto"/>
            <w:bottom w:val="none" w:sz="0" w:space="0" w:color="auto"/>
            <w:right w:val="none" w:sz="0" w:space="0" w:color="auto"/>
          </w:divBdr>
          <w:divsChild>
            <w:div w:id="1427535963">
              <w:marLeft w:val="2"/>
              <w:marRight w:val="0"/>
              <w:marTop w:val="0"/>
              <w:marBottom w:val="0"/>
              <w:divBdr>
                <w:top w:val="none" w:sz="0" w:space="0" w:color="auto"/>
                <w:left w:val="none" w:sz="0" w:space="0" w:color="auto"/>
                <w:bottom w:val="none" w:sz="0" w:space="0" w:color="auto"/>
                <w:right w:val="none" w:sz="0" w:space="0" w:color="auto"/>
              </w:divBdr>
            </w:div>
          </w:divsChild>
        </w:div>
      </w:divsChild>
    </w:div>
    <w:div w:id="160433275">
      <w:bodyDiv w:val="1"/>
      <w:marLeft w:val="0"/>
      <w:marRight w:val="0"/>
      <w:marTop w:val="0"/>
      <w:marBottom w:val="0"/>
      <w:divBdr>
        <w:top w:val="none" w:sz="0" w:space="0" w:color="auto"/>
        <w:left w:val="none" w:sz="0" w:space="0" w:color="auto"/>
        <w:bottom w:val="none" w:sz="0" w:space="0" w:color="auto"/>
        <w:right w:val="none" w:sz="0" w:space="0" w:color="auto"/>
      </w:divBdr>
    </w:div>
    <w:div w:id="162550879">
      <w:bodyDiv w:val="1"/>
      <w:marLeft w:val="0"/>
      <w:marRight w:val="0"/>
      <w:marTop w:val="0"/>
      <w:marBottom w:val="0"/>
      <w:divBdr>
        <w:top w:val="none" w:sz="0" w:space="0" w:color="auto"/>
        <w:left w:val="none" w:sz="0" w:space="0" w:color="auto"/>
        <w:bottom w:val="none" w:sz="0" w:space="0" w:color="auto"/>
        <w:right w:val="none" w:sz="0" w:space="0" w:color="auto"/>
      </w:divBdr>
    </w:div>
    <w:div w:id="215439284">
      <w:bodyDiv w:val="1"/>
      <w:marLeft w:val="0"/>
      <w:marRight w:val="0"/>
      <w:marTop w:val="0"/>
      <w:marBottom w:val="0"/>
      <w:divBdr>
        <w:top w:val="none" w:sz="0" w:space="0" w:color="auto"/>
        <w:left w:val="none" w:sz="0" w:space="0" w:color="auto"/>
        <w:bottom w:val="none" w:sz="0" w:space="0" w:color="auto"/>
        <w:right w:val="none" w:sz="0" w:space="0" w:color="auto"/>
      </w:divBdr>
    </w:div>
    <w:div w:id="539973948">
      <w:bodyDiv w:val="1"/>
      <w:marLeft w:val="0"/>
      <w:marRight w:val="0"/>
      <w:marTop w:val="0"/>
      <w:marBottom w:val="0"/>
      <w:divBdr>
        <w:top w:val="none" w:sz="0" w:space="0" w:color="auto"/>
        <w:left w:val="none" w:sz="0" w:space="0" w:color="auto"/>
        <w:bottom w:val="none" w:sz="0" w:space="0" w:color="auto"/>
        <w:right w:val="none" w:sz="0" w:space="0" w:color="auto"/>
      </w:divBdr>
    </w:div>
    <w:div w:id="681862617">
      <w:bodyDiv w:val="1"/>
      <w:marLeft w:val="0"/>
      <w:marRight w:val="0"/>
      <w:marTop w:val="0"/>
      <w:marBottom w:val="0"/>
      <w:divBdr>
        <w:top w:val="none" w:sz="0" w:space="0" w:color="auto"/>
        <w:left w:val="none" w:sz="0" w:space="0" w:color="auto"/>
        <w:bottom w:val="none" w:sz="0" w:space="0" w:color="auto"/>
        <w:right w:val="none" w:sz="0" w:space="0" w:color="auto"/>
      </w:divBdr>
    </w:div>
    <w:div w:id="764884819">
      <w:bodyDiv w:val="1"/>
      <w:marLeft w:val="0"/>
      <w:marRight w:val="0"/>
      <w:marTop w:val="0"/>
      <w:marBottom w:val="0"/>
      <w:divBdr>
        <w:top w:val="none" w:sz="0" w:space="0" w:color="auto"/>
        <w:left w:val="none" w:sz="0" w:space="0" w:color="auto"/>
        <w:bottom w:val="none" w:sz="0" w:space="0" w:color="auto"/>
        <w:right w:val="none" w:sz="0" w:space="0" w:color="auto"/>
      </w:divBdr>
    </w:div>
    <w:div w:id="768621698">
      <w:bodyDiv w:val="1"/>
      <w:marLeft w:val="0"/>
      <w:marRight w:val="0"/>
      <w:marTop w:val="0"/>
      <w:marBottom w:val="0"/>
      <w:divBdr>
        <w:top w:val="none" w:sz="0" w:space="0" w:color="auto"/>
        <w:left w:val="none" w:sz="0" w:space="0" w:color="auto"/>
        <w:bottom w:val="none" w:sz="0" w:space="0" w:color="auto"/>
        <w:right w:val="none" w:sz="0" w:space="0" w:color="auto"/>
      </w:divBdr>
      <w:divsChild>
        <w:div w:id="109248896">
          <w:marLeft w:val="850"/>
          <w:marRight w:val="0"/>
          <w:marTop w:val="0"/>
          <w:marBottom w:val="120"/>
          <w:divBdr>
            <w:top w:val="none" w:sz="0" w:space="0" w:color="auto"/>
            <w:left w:val="none" w:sz="0" w:space="0" w:color="auto"/>
            <w:bottom w:val="none" w:sz="0" w:space="0" w:color="auto"/>
            <w:right w:val="none" w:sz="0" w:space="0" w:color="auto"/>
          </w:divBdr>
        </w:div>
        <w:div w:id="251815047">
          <w:marLeft w:val="850"/>
          <w:marRight w:val="0"/>
          <w:marTop w:val="0"/>
          <w:marBottom w:val="120"/>
          <w:divBdr>
            <w:top w:val="none" w:sz="0" w:space="0" w:color="auto"/>
            <w:left w:val="none" w:sz="0" w:space="0" w:color="auto"/>
            <w:bottom w:val="none" w:sz="0" w:space="0" w:color="auto"/>
            <w:right w:val="none" w:sz="0" w:space="0" w:color="auto"/>
          </w:divBdr>
        </w:div>
        <w:div w:id="291860662">
          <w:marLeft w:val="1411"/>
          <w:marRight w:val="0"/>
          <w:marTop w:val="0"/>
          <w:marBottom w:val="120"/>
          <w:divBdr>
            <w:top w:val="none" w:sz="0" w:space="0" w:color="auto"/>
            <w:left w:val="none" w:sz="0" w:space="0" w:color="auto"/>
            <w:bottom w:val="none" w:sz="0" w:space="0" w:color="auto"/>
            <w:right w:val="none" w:sz="0" w:space="0" w:color="auto"/>
          </w:divBdr>
        </w:div>
        <w:div w:id="911890764">
          <w:marLeft w:val="850"/>
          <w:marRight w:val="0"/>
          <w:marTop w:val="0"/>
          <w:marBottom w:val="120"/>
          <w:divBdr>
            <w:top w:val="none" w:sz="0" w:space="0" w:color="auto"/>
            <w:left w:val="none" w:sz="0" w:space="0" w:color="auto"/>
            <w:bottom w:val="none" w:sz="0" w:space="0" w:color="auto"/>
            <w:right w:val="none" w:sz="0" w:space="0" w:color="auto"/>
          </w:divBdr>
        </w:div>
        <w:div w:id="916325892">
          <w:marLeft w:val="288"/>
          <w:marRight w:val="0"/>
          <w:marTop w:val="0"/>
          <w:marBottom w:val="120"/>
          <w:divBdr>
            <w:top w:val="none" w:sz="0" w:space="0" w:color="auto"/>
            <w:left w:val="none" w:sz="0" w:space="0" w:color="auto"/>
            <w:bottom w:val="none" w:sz="0" w:space="0" w:color="auto"/>
            <w:right w:val="none" w:sz="0" w:space="0" w:color="auto"/>
          </w:divBdr>
        </w:div>
        <w:div w:id="986200827">
          <w:marLeft w:val="288"/>
          <w:marRight w:val="0"/>
          <w:marTop w:val="0"/>
          <w:marBottom w:val="120"/>
          <w:divBdr>
            <w:top w:val="none" w:sz="0" w:space="0" w:color="auto"/>
            <w:left w:val="none" w:sz="0" w:space="0" w:color="auto"/>
            <w:bottom w:val="none" w:sz="0" w:space="0" w:color="auto"/>
            <w:right w:val="none" w:sz="0" w:space="0" w:color="auto"/>
          </w:divBdr>
        </w:div>
        <w:div w:id="1270893527">
          <w:marLeft w:val="850"/>
          <w:marRight w:val="0"/>
          <w:marTop w:val="0"/>
          <w:marBottom w:val="120"/>
          <w:divBdr>
            <w:top w:val="none" w:sz="0" w:space="0" w:color="auto"/>
            <w:left w:val="none" w:sz="0" w:space="0" w:color="auto"/>
            <w:bottom w:val="none" w:sz="0" w:space="0" w:color="auto"/>
            <w:right w:val="none" w:sz="0" w:space="0" w:color="auto"/>
          </w:divBdr>
        </w:div>
        <w:div w:id="1323193940">
          <w:marLeft w:val="850"/>
          <w:marRight w:val="0"/>
          <w:marTop w:val="0"/>
          <w:marBottom w:val="120"/>
          <w:divBdr>
            <w:top w:val="none" w:sz="0" w:space="0" w:color="auto"/>
            <w:left w:val="none" w:sz="0" w:space="0" w:color="auto"/>
            <w:bottom w:val="none" w:sz="0" w:space="0" w:color="auto"/>
            <w:right w:val="none" w:sz="0" w:space="0" w:color="auto"/>
          </w:divBdr>
        </w:div>
        <w:div w:id="1722053600">
          <w:marLeft w:val="850"/>
          <w:marRight w:val="0"/>
          <w:marTop w:val="0"/>
          <w:marBottom w:val="120"/>
          <w:divBdr>
            <w:top w:val="none" w:sz="0" w:space="0" w:color="auto"/>
            <w:left w:val="none" w:sz="0" w:space="0" w:color="auto"/>
            <w:bottom w:val="none" w:sz="0" w:space="0" w:color="auto"/>
            <w:right w:val="none" w:sz="0" w:space="0" w:color="auto"/>
          </w:divBdr>
        </w:div>
        <w:div w:id="2062710298">
          <w:marLeft w:val="1411"/>
          <w:marRight w:val="0"/>
          <w:marTop w:val="0"/>
          <w:marBottom w:val="120"/>
          <w:divBdr>
            <w:top w:val="none" w:sz="0" w:space="0" w:color="auto"/>
            <w:left w:val="none" w:sz="0" w:space="0" w:color="auto"/>
            <w:bottom w:val="none" w:sz="0" w:space="0" w:color="auto"/>
            <w:right w:val="none" w:sz="0" w:space="0" w:color="auto"/>
          </w:divBdr>
        </w:div>
      </w:divsChild>
    </w:div>
    <w:div w:id="881988549">
      <w:bodyDiv w:val="1"/>
      <w:marLeft w:val="0"/>
      <w:marRight w:val="0"/>
      <w:marTop w:val="0"/>
      <w:marBottom w:val="0"/>
      <w:divBdr>
        <w:top w:val="none" w:sz="0" w:space="0" w:color="auto"/>
        <w:left w:val="none" w:sz="0" w:space="0" w:color="auto"/>
        <w:bottom w:val="none" w:sz="0" w:space="0" w:color="auto"/>
        <w:right w:val="none" w:sz="0" w:space="0" w:color="auto"/>
      </w:divBdr>
      <w:divsChild>
        <w:div w:id="219286202">
          <w:marLeft w:val="850"/>
          <w:marRight w:val="0"/>
          <w:marTop w:val="0"/>
          <w:marBottom w:val="120"/>
          <w:divBdr>
            <w:top w:val="none" w:sz="0" w:space="0" w:color="auto"/>
            <w:left w:val="none" w:sz="0" w:space="0" w:color="auto"/>
            <w:bottom w:val="none" w:sz="0" w:space="0" w:color="auto"/>
            <w:right w:val="none" w:sz="0" w:space="0" w:color="auto"/>
          </w:divBdr>
        </w:div>
        <w:div w:id="1734963579">
          <w:marLeft w:val="850"/>
          <w:marRight w:val="0"/>
          <w:marTop w:val="0"/>
          <w:marBottom w:val="120"/>
          <w:divBdr>
            <w:top w:val="none" w:sz="0" w:space="0" w:color="auto"/>
            <w:left w:val="none" w:sz="0" w:space="0" w:color="auto"/>
            <w:bottom w:val="none" w:sz="0" w:space="0" w:color="auto"/>
            <w:right w:val="none" w:sz="0" w:space="0" w:color="auto"/>
          </w:divBdr>
        </w:div>
        <w:div w:id="1893536269">
          <w:marLeft w:val="850"/>
          <w:marRight w:val="0"/>
          <w:marTop w:val="0"/>
          <w:marBottom w:val="120"/>
          <w:divBdr>
            <w:top w:val="none" w:sz="0" w:space="0" w:color="auto"/>
            <w:left w:val="none" w:sz="0" w:space="0" w:color="auto"/>
            <w:bottom w:val="none" w:sz="0" w:space="0" w:color="auto"/>
            <w:right w:val="none" w:sz="0" w:space="0" w:color="auto"/>
          </w:divBdr>
        </w:div>
        <w:div w:id="1938517765">
          <w:marLeft w:val="850"/>
          <w:marRight w:val="0"/>
          <w:marTop w:val="0"/>
          <w:marBottom w:val="120"/>
          <w:divBdr>
            <w:top w:val="none" w:sz="0" w:space="0" w:color="auto"/>
            <w:left w:val="none" w:sz="0" w:space="0" w:color="auto"/>
            <w:bottom w:val="none" w:sz="0" w:space="0" w:color="auto"/>
            <w:right w:val="none" w:sz="0" w:space="0" w:color="auto"/>
          </w:divBdr>
        </w:div>
      </w:divsChild>
    </w:div>
    <w:div w:id="907113682">
      <w:bodyDiv w:val="1"/>
      <w:marLeft w:val="0"/>
      <w:marRight w:val="0"/>
      <w:marTop w:val="0"/>
      <w:marBottom w:val="0"/>
      <w:divBdr>
        <w:top w:val="none" w:sz="0" w:space="0" w:color="auto"/>
        <w:left w:val="none" w:sz="0" w:space="0" w:color="auto"/>
        <w:bottom w:val="none" w:sz="0" w:space="0" w:color="auto"/>
        <w:right w:val="none" w:sz="0" w:space="0" w:color="auto"/>
      </w:divBdr>
      <w:divsChild>
        <w:div w:id="350843713">
          <w:marLeft w:val="0"/>
          <w:marRight w:val="0"/>
          <w:marTop w:val="0"/>
          <w:marBottom w:val="0"/>
          <w:divBdr>
            <w:top w:val="none" w:sz="0" w:space="0" w:color="auto"/>
            <w:left w:val="none" w:sz="0" w:space="0" w:color="auto"/>
            <w:bottom w:val="none" w:sz="0" w:space="0" w:color="auto"/>
            <w:right w:val="none" w:sz="0" w:space="0" w:color="auto"/>
          </w:divBdr>
          <w:divsChild>
            <w:div w:id="1413115001">
              <w:marLeft w:val="0"/>
              <w:marRight w:val="0"/>
              <w:marTop w:val="0"/>
              <w:marBottom w:val="0"/>
              <w:divBdr>
                <w:top w:val="none" w:sz="0" w:space="0" w:color="auto"/>
                <w:left w:val="none" w:sz="0" w:space="0" w:color="auto"/>
                <w:bottom w:val="none" w:sz="0" w:space="0" w:color="auto"/>
                <w:right w:val="none" w:sz="0" w:space="0" w:color="auto"/>
              </w:divBdr>
              <w:divsChild>
                <w:div w:id="1589653509">
                  <w:marLeft w:val="0"/>
                  <w:marRight w:val="0"/>
                  <w:marTop w:val="0"/>
                  <w:marBottom w:val="0"/>
                  <w:divBdr>
                    <w:top w:val="none" w:sz="0" w:space="0" w:color="auto"/>
                    <w:left w:val="none" w:sz="0" w:space="0" w:color="auto"/>
                    <w:bottom w:val="none" w:sz="0" w:space="0" w:color="auto"/>
                    <w:right w:val="none" w:sz="0" w:space="0" w:color="auto"/>
                  </w:divBdr>
                  <w:divsChild>
                    <w:div w:id="1077825007">
                      <w:marLeft w:val="0"/>
                      <w:marRight w:val="0"/>
                      <w:marTop w:val="0"/>
                      <w:marBottom w:val="0"/>
                      <w:divBdr>
                        <w:top w:val="none" w:sz="0" w:space="0" w:color="auto"/>
                        <w:left w:val="none" w:sz="0" w:space="0" w:color="auto"/>
                        <w:bottom w:val="none" w:sz="0" w:space="0" w:color="auto"/>
                        <w:right w:val="none" w:sz="0" w:space="0" w:color="auto"/>
                      </w:divBdr>
                      <w:divsChild>
                        <w:div w:id="1949696382">
                          <w:marLeft w:val="0"/>
                          <w:marRight w:val="0"/>
                          <w:marTop w:val="0"/>
                          <w:marBottom w:val="120"/>
                          <w:divBdr>
                            <w:top w:val="none" w:sz="0" w:space="0" w:color="auto"/>
                            <w:left w:val="none" w:sz="0" w:space="0" w:color="auto"/>
                            <w:bottom w:val="none" w:sz="0" w:space="0" w:color="auto"/>
                            <w:right w:val="none" w:sz="0" w:space="0" w:color="auto"/>
                          </w:divBdr>
                          <w:divsChild>
                            <w:div w:id="894699143">
                              <w:marLeft w:val="0"/>
                              <w:marRight w:val="0"/>
                              <w:marTop w:val="0"/>
                              <w:marBottom w:val="0"/>
                              <w:divBdr>
                                <w:top w:val="none" w:sz="0" w:space="0" w:color="auto"/>
                                <w:left w:val="none" w:sz="0" w:space="0" w:color="auto"/>
                                <w:bottom w:val="none" w:sz="0" w:space="0" w:color="auto"/>
                                <w:right w:val="none" w:sz="0" w:space="0" w:color="auto"/>
                              </w:divBdr>
                              <w:divsChild>
                                <w:div w:id="1017076200">
                                  <w:marLeft w:val="0"/>
                                  <w:marRight w:val="0"/>
                                  <w:marTop w:val="0"/>
                                  <w:marBottom w:val="0"/>
                                  <w:divBdr>
                                    <w:top w:val="none" w:sz="0" w:space="0" w:color="auto"/>
                                    <w:left w:val="none" w:sz="0" w:space="0" w:color="auto"/>
                                    <w:bottom w:val="none" w:sz="0" w:space="0" w:color="auto"/>
                                    <w:right w:val="none" w:sz="0" w:space="0" w:color="auto"/>
                                  </w:divBdr>
                                  <w:divsChild>
                                    <w:div w:id="1721900272">
                                      <w:marLeft w:val="0"/>
                                      <w:marRight w:val="0"/>
                                      <w:marTop w:val="0"/>
                                      <w:marBottom w:val="0"/>
                                      <w:divBdr>
                                        <w:top w:val="none" w:sz="0" w:space="0" w:color="auto"/>
                                        <w:left w:val="none" w:sz="0" w:space="0" w:color="auto"/>
                                        <w:bottom w:val="none" w:sz="0" w:space="0" w:color="auto"/>
                                        <w:right w:val="none" w:sz="0" w:space="0" w:color="auto"/>
                                      </w:divBdr>
                                      <w:divsChild>
                                        <w:div w:id="65453117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622134">
      <w:bodyDiv w:val="1"/>
      <w:marLeft w:val="0"/>
      <w:marRight w:val="0"/>
      <w:marTop w:val="0"/>
      <w:marBottom w:val="0"/>
      <w:divBdr>
        <w:top w:val="none" w:sz="0" w:space="0" w:color="auto"/>
        <w:left w:val="none" w:sz="0" w:space="0" w:color="auto"/>
        <w:bottom w:val="none" w:sz="0" w:space="0" w:color="auto"/>
        <w:right w:val="none" w:sz="0" w:space="0" w:color="auto"/>
      </w:divBdr>
      <w:divsChild>
        <w:div w:id="534319774">
          <w:marLeft w:val="850"/>
          <w:marRight w:val="0"/>
          <w:marTop w:val="0"/>
          <w:marBottom w:val="120"/>
          <w:divBdr>
            <w:top w:val="none" w:sz="0" w:space="0" w:color="auto"/>
            <w:left w:val="none" w:sz="0" w:space="0" w:color="auto"/>
            <w:bottom w:val="none" w:sz="0" w:space="0" w:color="auto"/>
            <w:right w:val="none" w:sz="0" w:space="0" w:color="auto"/>
          </w:divBdr>
        </w:div>
        <w:div w:id="626005587">
          <w:marLeft w:val="850"/>
          <w:marRight w:val="0"/>
          <w:marTop w:val="0"/>
          <w:marBottom w:val="120"/>
          <w:divBdr>
            <w:top w:val="none" w:sz="0" w:space="0" w:color="auto"/>
            <w:left w:val="none" w:sz="0" w:space="0" w:color="auto"/>
            <w:bottom w:val="none" w:sz="0" w:space="0" w:color="auto"/>
            <w:right w:val="none" w:sz="0" w:space="0" w:color="auto"/>
          </w:divBdr>
        </w:div>
        <w:div w:id="1410927658">
          <w:marLeft w:val="288"/>
          <w:marRight w:val="0"/>
          <w:marTop w:val="0"/>
          <w:marBottom w:val="120"/>
          <w:divBdr>
            <w:top w:val="none" w:sz="0" w:space="0" w:color="auto"/>
            <w:left w:val="none" w:sz="0" w:space="0" w:color="auto"/>
            <w:bottom w:val="none" w:sz="0" w:space="0" w:color="auto"/>
            <w:right w:val="none" w:sz="0" w:space="0" w:color="auto"/>
          </w:divBdr>
        </w:div>
        <w:div w:id="1433623538">
          <w:marLeft w:val="288"/>
          <w:marRight w:val="0"/>
          <w:marTop w:val="0"/>
          <w:marBottom w:val="120"/>
          <w:divBdr>
            <w:top w:val="none" w:sz="0" w:space="0" w:color="auto"/>
            <w:left w:val="none" w:sz="0" w:space="0" w:color="auto"/>
            <w:bottom w:val="none" w:sz="0" w:space="0" w:color="auto"/>
            <w:right w:val="none" w:sz="0" w:space="0" w:color="auto"/>
          </w:divBdr>
        </w:div>
      </w:divsChild>
    </w:div>
    <w:div w:id="1158762904">
      <w:bodyDiv w:val="1"/>
      <w:marLeft w:val="0"/>
      <w:marRight w:val="0"/>
      <w:marTop w:val="0"/>
      <w:marBottom w:val="0"/>
      <w:divBdr>
        <w:top w:val="none" w:sz="0" w:space="0" w:color="auto"/>
        <w:left w:val="none" w:sz="0" w:space="0" w:color="auto"/>
        <w:bottom w:val="none" w:sz="0" w:space="0" w:color="auto"/>
        <w:right w:val="none" w:sz="0" w:space="0" w:color="auto"/>
      </w:divBdr>
    </w:div>
    <w:div w:id="1209076250">
      <w:bodyDiv w:val="1"/>
      <w:marLeft w:val="0"/>
      <w:marRight w:val="0"/>
      <w:marTop w:val="0"/>
      <w:marBottom w:val="0"/>
      <w:divBdr>
        <w:top w:val="none" w:sz="0" w:space="0" w:color="auto"/>
        <w:left w:val="none" w:sz="0" w:space="0" w:color="auto"/>
        <w:bottom w:val="none" w:sz="0" w:space="0" w:color="auto"/>
        <w:right w:val="none" w:sz="0" w:space="0" w:color="auto"/>
      </w:divBdr>
    </w:div>
    <w:div w:id="1244947547">
      <w:bodyDiv w:val="1"/>
      <w:marLeft w:val="0"/>
      <w:marRight w:val="0"/>
      <w:marTop w:val="0"/>
      <w:marBottom w:val="0"/>
      <w:divBdr>
        <w:top w:val="none" w:sz="0" w:space="0" w:color="auto"/>
        <w:left w:val="none" w:sz="0" w:space="0" w:color="auto"/>
        <w:bottom w:val="none" w:sz="0" w:space="0" w:color="auto"/>
        <w:right w:val="none" w:sz="0" w:space="0" w:color="auto"/>
      </w:divBdr>
      <w:divsChild>
        <w:div w:id="273293324">
          <w:marLeft w:val="850"/>
          <w:marRight w:val="0"/>
          <w:marTop w:val="0"/>
          <w:marBottom w:val="120"/>
          <w:divBdr>
            <w:top w:val="none" w:sz="0" w:space="0" w:color="auto"/>
            <w:left w:val="none" w:sz="0" w:space="0" w:color="auto"/>
            <w:bottom w:val="none" w:sz="0" w:space="0" w:color="auto"/>
            <w:right w:val="none" w:sz="0" w:space="0" w:color="auto"/>
          </w:divBdr>
        </w:div>
        <w:div w:id="457408406">
          <w:marLeft w:val="288"/>
          <w:marRight w:val="0"/>
          <w:marTop w:val="0"/>
          <w:marBottom w:val="120"/>
          <w:divBdr>
            <w:top w:val="none" w:sz="0" w:space="0" w:color="auto"/>
            <w:left w:val="none" w:sz="0" w:space="0" w:color="auto"/>
            <w:bottom w:val="none" w:sz="0" w:space="0" w:color="auto"/>
            <w:right w:val="none" w:sz="0" w:space="0" w:color="auto"/>
          </w:divBdr>
        </w:div>
        <w:div w:id="559445072">
          <w:marLeft w:val="288"/>
          <w:marRight w:val="0"/>
          <w:marTop w:val="0"/>
          <w:marBottom w:val="120"/>
          <w:divBdr>
            <w:top w:val="none" w:sz="0" w:space="0" w:color="auto"/>
            <w:left w:val="none" w:sz="0" w:space="0" w:color="auto"/>
            <w:bottom w:val="none" w:sz="0" w:space="0" w:color="auto"/>
            <w:right w:val="none" w:sz="0" w:space="0" w:color="auto"/>
          </w:divBdr>
        </w:div>
        <w:div w:id="746878290">
          <w:marLeft w:val="850"/>
          <w:marRight w:val="0"/>
          <w:marTop w:val="0"/>
          <w:marBottom w:val="120"/>
          <w:divBdr>
            <w:top w:val="none" w:sz="0" w:space="0" w:color="auto"/>
            <w:left w:val="none" w:sz="0" w:space="0" w:color="auto"/>
            <w:bottom w:val="none" w:sz="0" w:space="0" w:color="auto"/>
            <w:right w:val="none" w:sz="0" w:space="0" w:color="auto"/>
          </w:divBdr>
        </w:div>
        <w:div w:id="1094398450">
          <w:marLeft w:val="850"/>
          <w:marRight w:val="0"/>
          <w:marTop w:val="0"/>
          <w:marBottom w:val="120"/>
          <w:divBdr>
            <w:top w:val="none" w:sz="0" w:space="0" w:color="auto"/>
            <w:left w:val="none" w:sz="0" w:space="0" w:color="auto"/>
            <w:bottom w:val="none" w:sz="0" w:space="0" w:color="auto"/>
            <w:right w:val="none" w:sz="0" w:space="0" w:color="auto"/>
          </w:divBdr>
        </w:div>
        <w:div w:id="1185286065">
          <w:marLeft w:val="288"/>
          <w:marRight w:val="0"/>
          <w:marTop w:val="0"/>
          <w:marBottom w:val="120"/>
          <w:divBdr>
            <w:top w:val="none" w:sz="0" w:space="0" w:color="auto"/>
            <w:left w:val="none" w:sz="0" w:space="0" w:color="auto"/>
            <w:bottom w:val="none" w:sz="0" w:space="0" w:color="auto"/>
            <w:right w:val="none" w:sz="0" w:space="0" w:color="auto"/>
          </w:divBdr>
        </w:div>
      </w:divsChild>
    </w:div>
    <w:div w:id="1326081661">
      <w:bodyDiv w:val="1"/>
      <w:marLeft w:val="0"/>
      <w:marRight w:val="0"/>
      <w:marTop w:val="0"/>
      <w:marBottom w:val="0"/>
      <w:divBdr>
        <w:top w:val="none" w:sz="0" w:space="0" w:color="auto"/>
        <w:left w:val="none" w:sz="0" w:space="0" w:color="auto"/>
        <w:bottom w:val="none" w:sz="0" w:space="0" w:color="auto"/>
        <w:right w:val="none" w:sz="0" w:space="0" w:color="auto"/>
      </w:divBdr>
      <w:divsChild>
        <w:div w:id="293876765">
          <w:marLeft w:val="850"/>
          <w:marRight w:val="0"/>
          <w:marTop w:val="0"/>
          <w:marBottom w:val="120"/>
          <w:divBdr>
            <w:top w:val="none" w:sz="0" w:space="0" w:color="auto"/>
            <w:left w:val="none" w:sz="0" w:space="0" w:color="auto"/>
            <w:bottom w:val="none" w:sz="0" w:space="0" w:color="auto"/>
            <w:right w:val="none" w:sz="0" w:space="0" w:color="auto"/>
          </w:divBdr>
        </w:div>
      </w:divsChild>
    </w:div>
    <w:div w:id="1337658375">
      <w:bodyDiv w:val="1"/>
      <w:marLeft w:val="0"/>
      <w:marRight w:val="0"/>
      <w:marTop w:val="0"/>
      <w:marBottom w:val="0"/>
      <w:divBdr>
        <w:top w:val="none" w:sz="0" w:space="0" w:color="auto"/>
        <w:left w:val="none" w:sz="0" w:space="0" w:color="auto"/>
        <w:bottom w:val="none" w:sz="0" w:space="0" w:color="auto"/>
        <w:right w:val="none" w:sz="0" w:space="0" w:color="auto"/>
      </w:divBdr>
    </w:div>
    <w:div w:id="1401832982">
      <w:bodyDiv w:val="1"/>
      <w:marLeft w:val="0"/>
      <w:marRight w:val="0"/>
      <w:marTop w:val="0"/>
      <w:marBottom w:val="0"/>
      <w:divBdr>
        <w:top w:val="none" w:sz="0" w:space="0" w:color="auto"/>
        <w:left w:val="none" w:sz="0" w:space="0" w:color="auto"/>
        <w:bottom w:val="none" w:sz="0" w:space="0" w:color="auto"/>
        <w:right w:val="none" w:sz="0" w:space="0" w:color="auto"/>
      </w:divBdr>
      <w:divsChild>
        <w:div w:id="671445817">
          <w:marLeft w:val="288"/>
          <w:marRight w:val="0"/>
          <w:marTop w:val="0"/>
          <w:marBottom w:val="120"/>
          <w:divBdr>
            <w:top w:val="none" w:sz="0" w:space="0" w:color="auto"/>
            <w:left w:val="none" w:sz="0" w:space="0" w:color="auto"/>
            <w:bottom w:val="none" w:sz="0" w:space="0" w:color="auto"/>
            <w:right w:val="none" w:sz="0" w:space="0" w:color="auto"/>
          </w:divBdr>
        </w:div>
        <w:div w:id="1259174299">
          <w:marLeft w:val="288"/>
          <w:marRight w:val="0"/>
          <w:marTop w:val="0"/>
          <w:marBottom w:val="120"/>
          <w:divBdr>
            <w:top w:val="none" w:sz="0" w:space="0" w:color="auto"/>
            <w:left w:val="none" w:sz="0" w:space="0" w:color="auto"/>
            <w:bottom w:val="none" w:sz="0" w:space="0" w:color="auto"/>
            <w:right w:val="none" w:sz="0" w:space="0" w:color="auto"/>
          </w:divBdr>
        </w:div>
        <w:div w:id="1263874384">
          <w:marLeft w:val="288"/>
          <w:marRight w:val="0"/>
          <w:marTop w:val="0"/>
          <w:marBottom w:val="120"/>
          <w:divBdr>
            <w:top w:val="none" w:sz="0" w:space="0" w:color="auto"/>
            <w:left w:val="none" w:sz="0" w:space="0" w:color="auto"/>
            <w:bottom w:val="none" w:sz="0" w:space="0" w:color="auto"/>
            <w:right w:val="none" w:sz="0" w:space="0" w:color="auto"/>
          </w:divBdr>
        </w:div>
        <w:div w:id="1722973985">
          <w:marLeft w:val="288"/>
          <w:marRight w:val="0"/>
          <w:marTop w:val="0"/>
          <w:marBottom w:val="120"/>
          <w:divBdr>
            <w:top w:val="none" w:sz="0" w:space="0" w:color="auto"/>
            <w:left w:val="none" w:sz="0" w:space="0" w:color="auto"/>
            <w:bottom w:val="none" w:sz="0" w:space="0" w:color="auto"/>
            <w:right w:val="none" w:sz="0" w:space="0" w:color="auto"/>
          </w:divBdr>
        </w:div>
        <w:div w:id="2026321935">
          <w:marLeft w:val="288"/>
          <w:marRight w:val="0"/>
          <w:marTop w:val="0"/>
          <w:marBottom w:val="120"/>
          <w:divBdr>
            <w:top w:val="none" w:sz="0" w:space="0" w:color="auto"/>
            <w:left w:val="none" w:sz="0" w:space="0" w:color="auto"/>
            <w:bottom w:val="none" w:sz="0" w:space="0" w:color="auto"/>
            <w:right w:val="none" w:sz="0" w:space="0" w:color="auto"/>
          </w:divBdr>
        </w:div>
        <w:div w:id="2102723158">
          <w:marLeft w:val="288"/>
          <w:marRight w:val="0"/>
          <w:marTop w:val="0"/>
          <w:marBottom w:val="120"/>
          <w:divBdr>
            <w:top w:val="none" w:sz="0" w:space="0" w:color="auto"/>
            <w:left w:val="none" w:sz="0" w:space="0" w:color="auto"/>
            <w:bottom w:val="none" w:sz="0" w:space="0" w:color="auto"/>
            <w:right w:val="none" w:sz="0" w:space="0" w:color="auto"/>
          </w:divBdr>
        </w:div>
      </w:divsChild>
    </w:div>
    <w:div w:id="1568877697">
      <w:bodyDiv w:val="1"/>
      <w:marLeft w:val="0"/>
      <w:marRight w:val="0"/>
      <w:marTop w:val="0"/>
      <w:marBottom w:val="0"/>
      <w:divBdr>
        <w:top w:val="none" w:sz="0" w:space="0" w:color="auto"/>
        <w:left w:val="none" w:sz="0" w:space="0" w:color="auto"/>
        <w:bottom w:val="none" w:sz="0" w:space="0" w:color="auto"/>
        <w:right w:val="none" w:sz="0" w:space="0" w:color="auto"/>
      </w:divBdr>
    </w:div>
    <w:div w:id="1729259267">
      <w:bodyDiv w:val="1"/>
      <w:marLeft w:val="0"/>
      <w:marRight w:val="0"/>
      <w:marTop w:val="0"/>
      <w:marBottom w:val="0"/>
      <w:divBdr>
        <w:top w:val="none" w:sz="0" w:space="0" w:color="auto"/>
        <w:left w:val="none" w:sz="0" w:space="0" w:color="auto"/>
        <w:bottom w:val="none" w:sz="0" w:space="0" w:color="auto"/>
        <w:right w:val="none" w:sz="0" w:space="0" w:color="auto"/>
      </w:divBdr>
      <w:divsChild>
        <w:div w:id="1651714758">
          <w:marLeft w:val="0"/>
          <w:marRight w:val="0"/>
          <w:marTop w:val="0"/>
          <w:marBottom w:val="0"/>
          <w:divBdr>
            <w:top w:val="none" w:sz="0" w:space="0" w:color="auto"/>
            <w:left w:val="none" w:sz="0" w:space="0" w:color="auto"/>
            <w:bottom w:val="none" w:sz="0" w:space="0" w:color="auto"/>
            <w:right w:val="none" w:sz="0" w:space="0" w:color="auto"/>
          </w:divBdr>
          <w:divsChild>
            <w:div w:id="1748839409">
              <w:marLeft w:val="0"/>
              <w:marRight w:val="0"/>
              <w:marTop w:val="0"/>
              <w:marBottom w:val="0"/>
              <w:divBdr>
                <w:top w:val="none" w:sz="0" w:space="0" w:color="auto"/>
                <w:left w:val="none" w:sz="0" w:space="0" w:color="auto"/>
                <w:bottom w:val="none" w:sz="0" w:space="0" w:color="auto"/>
                <w:right w:val="none" w:sz="0" w:space="0" w:color="auto"/>
              </w:divBdr>
              <w:divsChild>
                <w:div w:id="277489906">
                  <w:marLeft w:val="0"/>
                  <w:marRight w:val="0"/>
                  <w:marTop w:val="0"/>
                  <w:marBottom w:val="0"/>
                  <w:divBdr>
                    <w:top w:val="none" w:sz="0" w:space="0" w:color="auto"/>
                    <w:left w:val="none" w:sz="0" w:space="0" w:color="auto"/>
                    <w:bottom w:val="none" w:sz="0" w:space="0" w:color="auto"/>
                    <w:right w:val="none" w:sz="0" w:space="0" w:color="auto"/>
                  </w:divBdr>
                  <w:divsChild>
                    <w:div w:id="360134903">
                      <w:marLeft w:val="0"/>
                      <w:marRight w:val="0"/>
                      <w:marTop w:val="0"/>
                      <w:marBottom w:val="0"/>
                      <w:divBdr>
                        <w:top w:val="none" w:sz="0" w:space="0" w:color="auto"/>
                        <w:left w:val="none" w:sz="0" w:space="0" w:color="auto"/>
                        <w:bottom w:val="none" w:sz="0" w:space="0" w:color="auto"/>
                        <w:right w:val="none" w:sz="0" w:space="0" w:color="auto"/>
                      </w:divBdr>
                      <w:divsChild>
                        <w:div w:id="11482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458694">
      <w:bodyDiv w:val="1"/>
      <w:marLeft w:val="0"/>
      <w:marRight w:val="0"/>
      <w:marTop w:val="0"/>
      <w:marBottom w:val="0"/>
      <w:divBdr>
        <w:top w:val="none" w:sz="0" w:space="0" w:color="auto"/>
        <w:left w:val="none" w:sz="0" w:space="0" w:color="auto"/>
        <w:bottom w:val="none" w:sz="0" w:space="0" w:color="auto"/>
        <w:right w:val="none" w:sz="0" w:space="0" w:color="auto"/>
      </w:divBdr>
    </w:div>
    <w:div w:id="1931504452">
      <w:bodyDiv w:val="1"/>
      <w:marLeft w:val="0"/>
      <w:marRight w:val="0"/>
      <w:marTop w:val="0"/>
      <w:marBottom w:val="0"/>
      <w:divBdr>
        <w:top w:val="none" w:sz="0" w:space="0" w:color="auto"/>
        <w:left w:val="none" w:sz="0" w:space="0" w:color="auto"/>
        <w:bottom w:val="none" w:sz="0" w:space="0" w:color="auto"/>
        <w:right w:val="none" w:sz="0" w:space="0" w:color="auto"/>
      </w:divBdr>
    </w:div>
    <w:div w:id="1932347067">
      <w:bodyDiv w:val="1"/>
      <w:marLeft w:val="0"/>
      <w:marRight w:val="0"/>
      <w:marTop w:val="0"/>
      <w:marBottom w:val="0"/>
      <w:divBdr>
        <w:top w:val="none" w:sz="0" w:space="0" w:color="auto"/>
        <w:left w:val="none" w:sz="0" w:space="0" w:color="auto"/>
        <w:bottom w:val="none" w:sz="0" w:space="0" w:color="auto"/>
        <w:right w:val="none" w:sz="0" w:space="0" w:color="auto"/>
      </w:divBdr>
    </w:div>
    <w:div w:id="1937131441">
      <w:bodyDiv w:val="1"/>
      <w:marLeft w:val="0"/>
      <w:marRight w:val="0"/>
      <w:marTop w:val="0"/>
      <w:marBottom w:val="0"/>
      <w:divBdr>
        <w:top w:val="none" w:sz="0" w:space="0" w:color="auto"/>
        <w:left w:val="none" w:sz="0" w:space="0" w:color="auto"/>
        <w:bottom w:val="none" w:sz="0" w:space="0" w:color="auto"/>
        <w:right w:val="none" w:sz="0" w:space="0" w:color="auto"/>
      </w:divBdr>
    </w:div>
    <w:div w:id="2057309851">
      <w:bodyDiv w:val="1"/>
      <w:marLeft w:val="0"/>
      <w:marRight w:val="0"/>
      <w:marTop w:val="0"/>
      <w:marBottom w:val="0"/>
      <w:divBdr>
        <w:top w:val="none" w:sz="0" w:space="0" w:color="auto"/>
        <w:left w:val="none" w:sz="0" w:space="0" w:color="auto"/>
        <w:bottom w:val="none" w:sz="0" w:space="0" w:color="auto"/>
        <w:right w:val="none" w:sz="0" w:space="0" w:color="auto"/>
      </w:divBdr>
      <w:divsChild>
        <w:div w:id="1448692985">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videnskab.dk/krop-sundhed/kemikalier-hjerneskader-isbjornene-i-arkti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hm.pops.int/Countries/NationalReports/FourthRoundPartyReports/tabid/6346/Default.aspx" TargetMode="External"/><Relationship Id="rId2" Type="http://schemas.openxmlformats.org/officeDocument/2006/relationships/hyperlink" Target="http://cms.inatsisartut.gl/upload/labu/fm2009/udsatte_pkt/pkt32_dk.pdf" TargetMode="External"/><Relationship Id="rId1" Type="http://schemas.openxmlformats.org/officeDocument/2006/relationships/hyperlink" Target="http://um.dk/~/media/UM/Danish-site/Documents/Udenrigspolitik/Udenrigspolitik-ny/Lande%20og%20regioner/Arktisk/Arktis%20strategi.pdf?la=da" TargetMode="External"/><Relationship Id="rId4" Type="http://schemas.openxmlformats.org/officeDocument/2006/relationships/hyperlink" Target="https://www.peqqik.gl/-/media/Files/Materialebestilling/Kontaminant_pjece/Forurening-og-gr&#248;nlandsk-mad_KAL.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templates\COWI\COWI_REPORT.DOTM" TargetMode="External"/></Relationships>
</file>

<file path=word/theme/theme1.xml><?xml version="1.0" encoding="utf-8"?>
<a:theme xmlns:a="http://schemas.openxmlformats.org/drawingml/2006/main" name="COWI 2015">
  <a:themeElements>
    <a:clrScheme name="COWI 2015">
      <a:dk1>
        <a:srgbClr val="000000"/>
      </a:dk1>
      <a:lt1>
        <a:srgbClr val="FFFFFF"/>
      </a:lt1>
      <a:dk2>
        <a:srgbClr val="58595B"/>
      </a:dk2>
      <a:lt2>
        <a:srgbClr val="D0C7BD"/>
      </a:lt2>
      <a:accent1>
        <a:srgbClr val="435A69"/>
      </a:accent1>
      <a:accent2>
        <a:srgbClr val="9DB8AF"/>
      </a:accent2>
      <a:accent3>
        <a:srgbClr val="F04E23"/>
      </a:accent3>
      <a:accent4>
        <a:srgbClr val="B3D455"/>
      </a:accent4>
      <a:accent5>
        <a:srgbClr val="009CDE"/>
      </a:accent5>
      <a:accent6>
        <a:srgbClr val="FBDB65"/>
      </a:accent6>
      <a:hlink>
        <a:srgbClr val="F04E23"/>
      </a:hlink>
      <a:folHlink>
        <a:srgbClr val="867E78"/>
      </a:folHlink>
    </a:clrScheme>
    <a:fontScheme name="COWI 2015">
      <a:majorFont>
        <a:latin typeface="Verdana"/>
        <a:ea typeface=""/>
        <a:cs typeface=""/>
      </a:majorFont>
      <a:minorFont>
        <a:latin typeface="Verdana"/>
        <a:ea typeface=""/>
        <a:cs typeface=""/>
      </a:minorFont>
    </a:fontScheme>
    <a:fmtScheme name="COWI 2015">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OWI 2015" id="{C7D874C8-2039-466C-AD55-84BC20614C70}" vid="{A091C50E-1C2A-4C41-BA23-8AE5D2A8BD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5EC5F424DF0438C02C794499518FB" ma:contentTypeVersion="0" ma:contentTypeDescription="Create a new document." ma:contentTypeScope="" ma:versionID="5ab65c60870f55e49362d4efb7fd413f">
  <xsd:schema xmlns:xsd="http://www.w3.org/2001/XMLSchema" xmlns:xs="http://www.w3.org/2001/XMLSchema" xmlns:p="http://schemas.microsoft.com/office/2006/metadata/properties" targetNamespace="http://schemas.microsoft.com/office/2006/metadata/properties" ma:root="true" ma:fieldsID="62ea347ee6c5493b9e14b1c149bab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D9F15-C404-4A10-B424-94E5CE778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B192E0-A1E0-4633-8395-EB2E24FE2F88}">
  <ds:schemaRefs>
    <ds:schemaRef ds:uri="http://schemas.microsoft.com/sharepoint/v3/contenttype/forms"/>
  </ds:schemaRefs>
</ds:datastoreItem>
</file>

<file path=customXml/itemProps3.xml><?xml version="1.0" encoding="utf-8"?>
<ds:datastoreItem xmlns:ds="http://schemas.openxmlformats.org/officeDocument/2006/customXml" ds:itemID="{CBFD1AF4-97F6-4F08-8B33-DB25656A5207}">
  <ds:schemaRefs>
    <ds:schemaRef ds:uri="http://schemas.microsoft.com/office/2006/metadata/properties"/>
  </ds:schemaRefs>
</ds:datastoreItem>
</file>

<file path=customXml/itemProps4.xml><?xml version="1.0" encoding="utf-8"?>
<ds:datastoreItem xmlns:ds="http://schemas.openxmlformats.org/officeDocument/2006/customXml" ds:itemID="{914501B4-E2B0-4E3F-BAFC-1A67851C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COWI_REPORT</Template>
  <TotalTime>12</TotalTime>
  <Pages>75</Pages>
  <Words>23075</Words>
  <Characters>131530</Characters>
  <Application>Microsoft Office Word</Application>
  <DocSecurity>0</DocSecurity>
  <Lines>1096</Lines>
  <Paragraphs>308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Konsekvenser af ophævelse af territorialt forbehold for Grønland i relation til Stockholmkonventionen</vt:lpstr>
      <vt:lpstr>Konsekvenser af ophævelse af territorialt forbehold for Grønland i relation til Stockholmkonventionen</vt:lpstr>
    </vt:vector>
  </TitlesOfParts>
  <Company>COWI</Company>
  <LinksUpToDate>false</LinksUpToDate>
  <CharactersWithSpaces>154297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Konsekvenser af ophævelse af territorialt forbehold for Grønland i relation til Stockholmkonventionen</dc:title>
  <dc:subject/>
  <dc:creator>CRL</dc:creator>
  <cp:keywords/>
  <dc:description/>
  <cp:lastModifiedBy>Bea Lynge Eugenius</cp:lastModifiedBy>
  <cp:revision>3</cp:revision>
  <cp:lastPrinted>2020-09-16T13:43:00Z</cp:lastPrinted>
  <dcterms:created xsi:type="dcterms:W3CDTF">2019-08-02T18:52:00Z</dcterms:created>
  <dcterms:modified xsi:type="dcterms:W3CDTF">2020-09-16T13:53:00Z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wiSubject">
    <vt:lpwstr> </vt:lpwstr>
  </property>
  <property fmtid="{D5CDD505-2E9C-101B-9397-08002B2CF9AE}" pid="3" name="CowiTitle">
    <vt:lpwstr> </vt:lpwstr>
  </property>
  <property fmtid="{D5CDD505-2E9C-101B-9397-08002B2CF9AE}" pid="4" name="CowiDate">
    <vt:lpwstr> </vt:lpwstr>
  </property>
  <property fmtid="{D5CDD505-2E9C-101B-9397-08002B2CF9AE}" pid="5" name="CowiClient">
    <vt:lpwstr> </vt:lpwstr>
  </property>
  <property fmtid="{D5CDD505-2E9C-101B-9397-08002B2CF9AE}" pid="6" name="CowiAuthor">
    <vt:lpwstr> </vt:lpwstr>
  </property>
  <property fmtid="{D5CDD505-2E9C-101B-9397-08002B2CF9AE}" pid="7" name="Client">
    <vt:lpwstr> </vt:lpwstr>
  </property>
  <property fmtid="{D5CDD505-2E9C-101B-9397-08002B2CF9AE}" pid="8" name="Date completed">
    <vt:lpwstr> </vt:lpwstr>
  </property>
  <property fmtid="{D5CDD505-2E9C-101B-9397-08002B2CF9AE}" pid="9" name="Project">
    <vt:lpwstr> </vt:lpwstr>
  </property>
  <property fmtid="{D5CDD505-2E9C-101B-9397-08002B2CF9AE}" pid="10" name="Language">
    <vt:lpwstr>Danish</vt:lpwstr>
  </property>
  <property fmtid="{D5CDD505-2E9C-101B-9397-08002B2CF9AE}" pid="11" name="Office">
    <vt:lpwstr>Aarhus</vt:lpwstr>
  </property>
  <property fmtid="{D5CDD505-2E9C-101B-9397-08002B2CF9AE}" pid="12" name="CowiChecker">
    <vt:lpwstr> </vt:lpwstr>
  </property>
  <property fmtid="{D5CDD505-2E9C-101B-9397-08002B2CF9AE}" pid="13" name="CowiApprover">
    <vt:lpwstr> </vt:lpwstr>
  </property>
  <property fmtid="{D5CDD505-2E9C-101B-9397-08002B2CF9AE}" pid="14" name="CowiDocNo">
    <vt:lpwstr> </vt:lpwstr>
  </property>
  <property fmtid="{D5CDD505-2E9C-101B-9397-08002B2CF9AE}" pid="15" name="CowiRevNo">
    <vt:lpwstr/>
  </property>
  <property fmtid="{D5CDD505-2E9C-101B-9397-08002B2CF9AE}" pid="16" name="Approved by">
    <vt:lpwstr> </vt:lpwstr>
  </property>
  <property fmtid="{D5CDD505-2E9C-101B-9397-08002B2CF9AE}" pid="17" name="Checked by">
    <vt:lpwstr> </vt:lpwstr>
  </property>
  <property fmtid="{D5CDD505-2E9C-101B-9397-08002B2CF9AE}" pid="18" name="Revision no">
    <vt:lpwstr> </vt:lpwstr>
  </property>
  <property fmtid="{D5CDD505-2E9C-101B-9397-08002B2CF9AE}" pid="19" name="Document no">
    <vt:lpwstr> </vt:lpwstr>
  </property>
  <property fmtid="{D5CDD505-2E9C-101B-9397-08002B2CF9AE}" pid="20" name="ContentType">
    <vt:lpwstr>COWI Report</vt:lpwstr>
  </property>
  <property fmtid="{D5CDD505-2E9C-101B-9397-08002B2CF9AE}" pid="21" name="PortalLanguage">
    <vt:lpwstr> </vt:lpwstr>
  </property>
  <property fmtid="{D5CDD505-2E9C-101B-9397-08002B2CF9AE}" pid="22" name="PortalAuthor">
    <vt:lpwstr> </vt:lpwstr>
  </property>
  <property fmtid="{D5CDD505-2E9C-101B-9397-08002B2CF9AE}" pid="23" name="Version no">
    <vt:lpwstr> </vt:lpwstr>
  </property>
  <property fmtid="{D5CDD505-2E9C-101B-9397-08002B2CF9AE}" pid="24" name="CowiVerNo">
    <vt:lpwstr> </vt:lpwstr>
  </property>
  <property fmtid="{D5CDD505-2E9C-101B-9397-08002B2CF9AE}" pid="25" name="ContentTypeId">
    <vt:lpwstr>0x010100C4B5EC5F424DF0438C02C794499518FB</vt:lpwstr>
  </property>
</Properties>
</file>