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4D521" w14:textId="77777777" w:rsidR="00B54A6B" w:rsidRDefault="00B54A6B" w:rsidP="00B54A6B">
      <w:pPr>
        <w:jc w:val="both"/>
        <w:rPr>
          <w:rFonts w:ascii="Times New Roman" w:hAnsi="Times New Roman" w:cs="Times New Roman"/>
          <w:sz w:val="24"/>
          <w:szCs w:val="24"/>
        </w:rPr>
      </w:pPr>
      <w:r w:rsidRPr="000C5022">
        <w:rPr>
          <w:rFonts w:ascii="Times New Roman" w:hAnsi="Times New Roman" w:cs="Times New Roman"/>
          <w:sz w:val="24"/>
          <w:szCs w:val="24"/>
        </w:rPr>
        <w:t xml:space="preserve">Hermed fremsætter Naalakkersuisut følgende beslutningsforslag i henhold til § 33 i Forretningsorden for Inatsisartut: </w:t>
      </w:r>
    </w:p>
    <w:p w14:paraId="6D211F56" w14:textId="5B2ABFDC" w:rsidR="00B54A6B" w:rsidRDefault="00B54A6B" w:rsidP="00B54A6B">
      <w:pPr>
        <w:jc w:val="both"/>
        <w:rPr>
          <w:rFonts w:ascii="Times New Roman" w:hAnsi="Times New Roman" w:cs="Times New Roman"/>
          <w:sz w:val="24"/>
          <w:szCs w:val="24"/>
        </w:rPr>
      </w:pPr>
      <w:r w:rsidRPr="000C5022">
        <w:rPr>
          <w:rFonts w:ascii="Times New Roman" w:hAnsi="Times New Roman" w:cs="Times New Roman"/>
          <w:b/>
          <w:bCs/>
          <w:sz w:val="24"/>
          <w:szCs w:val="24"/>
        </w:rPr>
        <w:t xml:space="preserve">Forslag til </w:t>
      </w:r>
      <w:proofErr w:type="spellStart"/>
      <w:r w:rsidRPr="000C5022">
        <w:rPr>
          <w:rFonts w:ascii="Times New Roman" w:hAnsi="Times New Roman" w:cs="Times New Roman"/>
          <w:b/>
          <w:bCs/>
          <w:sz w:val="24"/>
          <w:szCs w:val="24"/>
        </w:rPr>
        <w:t>Inatsisartutbeslutning</w:t>
      </w:r>
      <w:proofErr w:type="spellEnd"/>
      <w:r w:rsidRPr="000C5022">
        <w:rPr>
          <w:rFonts w:ascii="Times New Roman" w:hAnsi="Times New Roman" w:cs="Times New Roman"/>
          <w:b/>
          <w:bCs/>
          <w:sz w:val="24"/>
          <w:szCs w:val="24"/>
        </w:rPr>
        <w:t xml:space="preserve"> om, at Grønlands Selvstyre tiltræder anordning om ikrafttræden for Grønland af lov om ændring af lov om finansiel virksomhed</w:t>
      </w:r>
      <w:r>
        <w:rPr>
          <w:rFonts w:ascii="Times New Roman" w:hAnsi="Times New Roman" w:cs="Times New Roman"/>
          <w:b/>
          <w:bCs/>
          <w:sz w:val="24"/>
          <w:szCs w:val="24"/>
        </w:rPr>
        <w:br/>
      </w:r>
      <w:r>
        <w:rPr>
          <w:rFonts w:ascii="Times New Roman" w:hAnsi="Times New Roman" w:cs="Times New Roman"/>
          <w:sz w:val="24"/>
          <w:szCs w:val="24"/>
        </w:rPr>
        <w:t>(</w:t>
      </w:r>
      <w:proofErr w:type="spellStart"/>
      <w:r>
        <w:rPr>
          <w:rFonts w:ascii="Times New Roman" w:hAnsi="Times New Roman" w:cs="Times New Roman"/>
          <w:sz w:val="24"/>
          <w:szCs w:val="24"/>
        </w:rPr>
        <w:t>Naalakkersuisoq</w:t>
      </w:r>
      <w:proofErr w:type="spellEnd"/>
      <w:r>
        <w:rPr>
          <w:rFonts w:ascii="Times New Roman" w:hAnsi="Times New Roman" w:cs="Times New Roman"/>
          <w:sz w:val="24"/>
          <w:szCs w:val="24"/>
        </w:rPr>
        <w:t xml:space="preserve"> for Finanser</w:t>
      </w:r>
      <w:r w:rsidR="00996E3F">
        <w:rPr>
          <w:rFonts w:ascii="Times New Roman" w:hAnsi="Times New Roman" w:cs="Times New Roman"/>
          <w:sz w:val="24"/>
          <w:szCs w:val="24"/>
        </w:rPr>
        <w:t>, Råstoffer, Justitsområdet og Ligestilling</w:t>
      </w:r>
      <w:r>
        <w:rPr>
          <w:rFonts w:ascii="Times New Roman" w:hAnsi="Times New Roman" w:cs="Times New Roman"/>
          <w:sz w:val="24"/>
          <w:szCs w:val="24"/>
        </w:rPr>
        <w:t>)</w:t>
      </w:r>
    </w:p>
    <w:p w14:paraId="120F4D0A" w14:textId="77777777" w:rsidR="00C82AF5" w:rsidRDefault="00C82AF5" w:rsidP="00B54A6B">
      <w:pPr>
        <w:jc w:val="both"/>
        <w:rPr>
          <w:rFonts w:ascii="Times New Roman" w:hAnsi="Times New Roman" w:cs="Times New Roman"/>
          <w:sz w:val="24"/>
          <w:szCs w:val="24"/>
        </w:rPr>
      </w:pPr>
    </w:p>
    <w:p w14:paraId="2ABC29F8" w14:textId="650A9460" w:rsidR="00B54A6B" w:rsidRPr="00E305BE" w:rsidRDefault="00B54A6B" w:rsidP="00B54A6B">
      <w:pPr>
        <w:jc w:val="both"/>
        <w:rPr>
          <w:rFonts w:ascii="Times New Roman" w:hAnsi="Times New Roman" w:cs="Times New Roman"/>
          <w:b/>
          <w:bCs/>
          <w:sz w:val="24"/>
          <w:szCs w:val="24"/>
        </w:rPr>
      </w:pPr>
      <w:r w:rsidRPr="000C5022">
        <w:rPr>
          <w:rFonts w:ascii="Times New Roman" w:hAnsi="Times New Roman" w:cs="Times New Roman"/>
          <w:b/>
          <w:bCs/>
          <w:sz w:val="24"/>
          <w:szCs w:val="24"/>
        </w:rPr>
        <w:t>Begrundelse</w:t>
      </w:r>
      <w:r>
        <w:rPr>
          <w:rFonts w:ascii="Times New Roman" w:hAnsi="Times New Roman" w:cs="Times New Roman"/>
          <w:b/>
          <w:bCs/>
          <w:sz w:val="24"/>
          <w:szCs w:val="24"/>
        </w:rPr>
        <w:br/>
      </w:r>
      <w:r w:rsidRPr="00E44197">
        <w:rPr>
          <w:rFonts w:ascii="Times New Roman" w:hAnsi="Times New Roman" w:cs="Times New Roman"/>
          <w:sz w:val="24"/>
          <w:szCs w:val="24"/>
        </w:rPr>
        <w:t>På det finansielle område er en væsentlig del af lovgivningen i Danmark og Grønland baseret</w:t>
      </w:r>
      <w:r>
        <w:rPr>
          <w:rFonts w:ascii="Times New Roman" w:hAnsi="Times New Roman" w:cs="Times New Roman"/>
          <w:sz w:val="24"/>
          <w:szCs w:val="24"/>
        </w:rPr>
        <w:t xml:space="preserve"> </w:t>
      </w:r>
      <w:r w:rsidRPr="00E44197">
        <w:rPr>
          <w:rFonts w:ascii="Times New Roman" w:hAnsi="Times New Roman" w:cs="Times New Roman"/>
          <w:sz w:val="24"/>
          <w:szCs w:val="24"/>
        </w:rPr>
        <w:t xml:space="preserve">på international regulering, herunder </w:t>
      </w:r>
      <w:r>
        <w:rPr>
          <w:rFonts w:ascii="Times New Roman" w:hAnsi="Times New Roman" w:cs="Times New Roman"/>
          <w:sz w:val="24"/>
          <w:szCs w:val="24"/>
        </w:rPr>
        <w:t>særligt</w:t>
      </w:r>
      <w:r w:rsidRPr="00E44197">
        <w:rPr>
          <w:rFonts w:ascii="Times New Roman" w:hAnsi="Times New Roman" w:cs="Times New Roman"/>
          <w:sz w:val="24"/>
          <w:szCs w:val="24"/>
        </w:rPr>
        <w:t xml:space="preserve"> EU-regler.</w:t>
      </w:r>
      <w:r>
        <w:rPr>
          <w:rFonts w:ascii="Times New Roman" w:hAnsi="Times New Roman" w:cs="Times New Roman"/>
          <w:sz w:val="24"/>
          <w:szCs w:val="24"/>
        </w:rPr>
        <w:t xml:space="preserve"> Formålet med beslutningsforslaget er</w:t>
      </w:r>
      <w:r w:rsidRPr="00E44197">
        <w:rPr>
          <w:rFonts w:ascii="Times New Roman" w:hAnsi="Times New Roman" w:cs="Times New Roman"/>
          <w:sz w:val="24"/>
          <w:szCs w:val="24"/>
        </w:rPr>
        <w:t xml:space="preserve"> at sikre, at der gælder regler for Grønland, der – tilpasset de</w:t>
      </w:r>
      <w:r>
        <w:rPr>
          <w:rFonts w:ascii="Times New Roman" w:hAnsi="Times New Roman" w:cs="Times New Roman"/>
          <w:sz w:val="24"/>
          <w:szCs w:val="24"/>
        </w:rPr>
        <w:t xml:space="preserve"> </w:t>
      </w:r>
      <w:r w:rsidRPr="00E44197">
        <w:rPr>
          <w:rFonts w:ascii="Times New Roman" w:hAnsi="Times New Roman" w:cs="Times New Roman"/>
          <w:sz w:val="24"/>
          <w:szCs w:val="24"/>
        </w:rPr>
        <w:t xml:space="preserve">grønlandske forhold – svarer til de regler, </w:t>
      </w:r>
      <w:r>
        <w:rPr>
          <w:rFonts w:ascii="Times New Roman" w:hAnsi="Times New Roman" w:cs="Times New Roman"/>
          <w:sz w:val="24"/>
          <w:szCs w:val="24"/>
        </w:rPr>
        <w:t>der</w:t>
      </w:r>
      <w:r w:rsidRPr="00E44197">
        <w:rPr>
          <w:rFonts w:ascii="Times New Roman" w:hAnsi="Times New Roman" w:cs="Times New Roman"/>
          <w:sz w:val="24"/>
          <w:szCs w:val="24"/>
        </w:rPr>
        <w:t xml:space="preserve"> gælder i Danmark</w:t>
      </w:r>
      <w:r w:rsidR="003748B3">
        <w:rPr>
          <w:rFonts w:ascii="Times New Roman" w:hAnsi="Times New Roman" w:cs="Times New Roman"/>
          <w:sz w:val="24"/>
          <w:szCs w:val="24"/>
        </w:rPr>
        <w:t xml:space="preserve"> og resten af EU</w:t>
      </w:r>
      <w:r>
        <w:rPr>
          <w:rFonts w:ascii="Times New Roman" w:hAnsi="Times New Roman" w:cs="Times New Roman"/>
          <w:sz w:val="24"/>
          <w:szCs w:val="24"/>
        </w:rPr>
        <w:t>.</w:t>
      </w:r>
    </w:p>
    <w:p w14:paraId="5D6EDBAC" w14:textId="13F8C7FD" w:rsidR="0058773B" w:rsidRDefault="00996E3F" w:rsidP="00AB34CA">
      <w:pPr>
        <w:jc w:val="both"/>
        <w:rPr>
          <w:rFonts w:ascii="Times New Roman" w:hAnsi="Times New Roman" w:cs="Times New Roman"/>
          <w:sz w:val="24"/>
          <w:szCs w:val="24"/>
        </w:rPr>
      </w:pPr>
      <w:r>
        <w:rPr>
          <w:rFonts w:ascii="Times New Roman" w:hAnsi="Times New Roman" w:cs="Times New Roman"/>
          <w:sz w:val="24"/>
          <w:szCs w:val="24"/>
        </w:rPr>
        <w:t>F</w:t>
      </w:r>
      <w:r w:rsidR="00AB34CA">
        <w:rPr>
          <w:rFonts w:ascii="Times New Roman" w:hAnsi="Times New Roman" w:cs="Times New Roman"/>
          <w:sz w:val="24"/>
          <w:szCs w:val="24"/>
        </w:rPr>
        <w:t xml:space="preserve">orslaget indeholder </w:t>
      </w:r>
      <w:r>
        <w:rPr>
          <w:rFonts w:ascii="Times New Roman" w:hAnsi="Times New Roman" w:cs="Times New Roman"/>
          <w:sz w:val="24"/>
          <w:szCs w:val="24"/>
        </w:rPr>
        <w:t xml:space="preserve">bl.a. </w:t>
      </w:r>
      <w:r w:rsidR="00AB34CA">
        <w:rPr>
          <w:rFonts w:ascii="Times New Roman" w:hAnsi="Times New Roman" w:cs="Times New Roman"/>
          <w:sz w:val="24"/>
          <w:szCs w:val="24"/>
        </w:rPr>
        <w:t>regler vedrørende finansielle institutters pligt til at sikre sig oplysninger om, hvem der er de reelle ejere af selskaber. Disse regler har bl.a. betydning for de evalueringer</w:t>
      </w:r>
      <w:r w:rsidR="006D41FF">
        <w:rPr>
          <w:rFonts w:ascii="Times New Roman" w:hAnsi="Times New Roman" w:cs="Times New Roman"/>
          <w:sz w:val="24"/>
          <w:szCs w:val="24"/>
        </w:rPr>
        <w:t>,</w:t>
      </w:r>
      <w:r w:rsidR="00AB34CA">
        <w:rPr>
          <w:rFonts w:ascii="Times New Roman" w:hAnsi="Times New Roman" w:cs="Times New Roman"/>
          <w:sz w:val="24"/>
          <w:szCs w:val="24"/>
        </w:rPr>
        <w:t xml:space="preserve"> som OECD forventer at foretage af Grønlands skattesystem m.v. i første halvår 2022.</w:t>
      </w:r>
      <w:r w:rsidR="00DA2045">
        <w:rPr>
          <w:rFonts w:ascii="Times New Roman" w:hAnsi="Times New Roman" w:cs="Times New Roman"/>
          <w:sz w:val="24"/>
          <w:szCs w:val="24"/>
        </w:rPr>
        <w:t xml:space="preserve"> </w:t>
      </w:r>
    </w:p>
    <w:p w14:paraId="73F216FB" w14:textId="77777777" w:rsidR="00F56F1E" w:rsidRDefault="00B54A6B" w:rsidP="00C16868">
      <w:pPr>
        <w:spacing w:after="0"/>
        <w:jc w:val="both"/>
        <w:rPr>
          <w:rFonts w:ascii="Times New Roman" w:hAnsi="Times New Roman" w:cs="Times New Roman"/>
          <w:sz w:val="24"/>
          <w:szCs w:val="24"/>
        </w:rPr>
      </w:pPr>
      <w:r>
        <w:rPr>
          <w:rFonts w:ascii="Times New Roman" w:hAnsi="Times New Roman" w:cs="Times New Roman"/>
          <w:b/>
          <w:bCs/>
          <w:sz w:val="24"/>
          <w:szCs w:val="24"/>
        </w:rPr>
        <w:t>Baggrund</w:t>
      </w:r>
    </w:p>
    <w:p w14:paraId="29689924" w14:textId="77777777" w:rsidR="00B54A6B" w:rsidRDefault="00B54A6B" w:rsidP="00B54A6B">
      <w:pPr>
        <w:jc w:val="both"/>
        <w:rPr>
          <w:rFonts w:ascii="Times New Roman" w:hAnsi="Times New Roman" w:cs="Times New Roman"/>
          <w:sz w:val="24"/>
          <w:szCs w:val="24"/>
        </w:rPr>
      </w:pPr>
      <w:r>
        <w:rPr>
          <w:rFonts w:ascii="Times New Roman" w:hAnsi="Times New Roman" w:cs="Times New Roman"/>
          <w:sz w:val="24"/>
          <w:szCs w:val="24"/>
        </w:rPr>
        <w:t>A</w:t>
      </w:r>
      <w:r w:rsidRPr="00E56647">
        <w:rPr>
          <w:rFonts w:ascii="Times New Roman" w:hAnsi="Times New Roman" w:cs="Times New Roman"/>
          <w:sz w:val="24"/>
          <w:szCs w:val="24"/>
        </w:rPr>
        <w:t xml:space="preserve">nordning om ikrafttræden for Grønland af lov om ændring af lov om finansiel virksomhed </w:t>
      </w:r>
      <w:r>
        <w:rPr>
          <w:rFonts w:ascii="Times New Roman" w:hAnsi="Times New Roman" w:cs="Times New Roman"/>
          <w:sz w:val="24"/>
          <w:szCs w:val="24"/>
        </w:rPr>
        <w:t>indeholder flere ændringer og tilpasninger, som følger af en række ændringslove i Danmark fra perioden december 2015 til december 2019.</w:t>
      </w:r>
      <w:r w:rsidR="00F56F1E">
        <w:rPr>
          <w:rFonts w:ascii="Times New Roman" w:hAnsi="Times New Roman" w:cs="Times New Roman"/>
          <w:sz w:val="24"/>
          <w:szCs w:val="24"/>
        </w:rPr>
        <w:t xml:space="preserve"> </w:t>
      </w:r>
      <w:r>
        <w:rPr>
          <w:rFonts w:ascii="Times New Roman" w:hAnsi="Times New Roman" w:cs="Times New Roman"/>
          <w:sz w:val="24"/>
          <w:szCs w:val="24"/>
        </w:rPr>
        <w:t>Væsentlige ændringer er blandt andet definition af reelle ejere og medfølgende forpligtelser.</w:t>
      </w:r>
    </w:p>
    <w:p w14:paraId="2CC7BA98" w14:textId="77777777" w:rsidR="00B54A6B" w:rsidRDefault="00B54A6B" w:rsidP="00B54A6B">
      <w:pPr>
        <w:jc w:val="both"/>
        <w:rPr>
          <w:rFonts w:ascii="Times New Roman" w:hAnsi="Times New Roman" w:cs="Times New Roman"/>
          <w:sz w:val="24"/>
          <w:szCs w:val="24"/>
        </w:rPr>
      </w:pPr>
      <w:r w:rsidRPr="0034579C">
        <w:rPr>
          <w:rFonts w:ascii="Times New Roman" w:hAnsi="Times New Roman" w:cs="Times New Roman"/>
          <w:sz w:val="24"/>
          <w:szCs w:val="24"/>
        </w:rPr>
        <w:t>Reglerne om reelle ejer</w:t>
      </w:r>
      <w:r w:rsidR="00F56F1E">
        <w:rPr>
          <w:rFonts w:ascii="Times New Roman" w:hAnsi="Times New Roman" w:cs="Times New Roman"/>
          <w:sz w:val="24"/>
          <w:szCs w:val="24"/>
        </w:rPr>
        <w:t>e</w:t>
      </w:r>
      <w:r w:rsidRPr="0034579C">
        <w:rPr>
          <w:rFonts w:ascii="Times New Roman" w:hAnsi="Times New Roman" w:cs="Times New Roman"/>
          <w:sz w:val="24"/>
          <w:szCs w:val="24"/>
        </w:rPr>
        <w:t xml:space="preserve"> indebærer, at alle kapitalselskaber og en lang række lignende andre juridiske personer skal have kendskab til deres reelle ejere, herunder de reelle ejeres rettigheder. Disse oplysninger skal hurtigst muligt efter, at selskabet eller andre juridiske personer er blevet bekendt med, at en person er blevet reel ejer, eller ikke længere er reel ejer, registreres i Erhvervsstyrelsens it-system, hvor de vil være offentligt tilgængelige</w:t>
      </w:r>
      <w:r>
        <w:rPr>
          <w:rFonts w:ascii="Times New Roman" w:hAnsi="Times New Roman" w:cs="Times New Roman"/>
          <w:sz w:val="24"/>
          <w:szCs w:val="24"/>
        </w:rPr>
        <w:t>.</w:t>
      </w:r>
    </w:p>
    <w:p w14:paraId="054E1BC2" w14:textId="77777777" w:rsidR="00B54A6B" w:rsidRPr="0034579C" w:rsidRDefault="00B54A6B" w:rsidP="00B54A6B">
      <w:pPr>
        <w:jc w:val="both"/>
        <w:rPr>
          <w:rFonts w:ascii="Times New Roman" w:hAnsi="Times New Roman" w:cs="Times New Roman"/>
          <w:sz w:val="24"/>
          <w:szCs w:val="24"/>
        </w:rPr>
      </w:pPr>
      <w:r>
        <w:rPr>
          <w:rFonts w:ascii="Times New Roman" w:hAnsi="Times New Roman" w:cs="Times New Roman"/>
          <w:sz w:val="24"/>
          <w:szCs w:val="24"/>
        </w:rPr>
        <w:t>E</w:t>
      </w:r>
      <w:r w:rsidRPr="009D36EF">
        <w:rPr>
          <w:rFonts w:ascii="Times New Roman" w:hAnsi="Times New Roman" w:cs="Times New Roman"/>
          <w:sz w:val="24"/>
          <w:szCs w:val="24"/>
        </w:rPr>
        <w:t>t register over reelle ejere</w:t>
      </w:r>
      <w:r>
        <w:rPr>
          <w:rFonts w:ascii="Times New Roman" w:hAnsi="Times New Roman" w:cs="Times New Roman"/>
          <w:sz w:val="24"/>
          <w:szCs w:val="24"/>
        </w:rPr>
        <w:t xml:space="preserve"> </w:t>
      </w:r>
      <w:r w:rsidRPr="009D36EF">
        <w:rPr>
          <w:rFonts w:ascii="Times New Roman" w:hAnsi="Times New Roman" w:cs="Times New Roman"/>
          <w:sz w:val="24"/>
          <w:szCs w:val="24"/>
        </w:rPr>
        <w:t>kan være et redskab til forebyggelse af hvidvask og anden økonomisk kriminalitet, som bl.a. skatteunddragelse.</w:t>
      </w:r>
    </w:p>
    <w:p w14:paraId="279312A8" w14:textId="7029DB8E" w:rsidR="00B54A6B" w:rsidRDefault="00B54A6B" w:rsidP="00B54A6B">
      <w:pPr>
        <w:jc w:val="both"/>
        <w:rPr>
          <w:rFonts w:ascii="Times New Roman" w:hAnsi="Times New Roman" w:cs="Times New Roman"/>
          <w:sz w:val="24"/>
          <w:szCs w:val="24"/>
        </w:rPr>
      </w:pPr>
      <w:r w:rsidRPr="0034579C">
        <w:rPr>
          <w:rFonts w:ascii="Times New Roman" w:hAnsi="Times New Roman" w:cs="Times New Roman"/>
          <w:sz w:val="24"/>
          <w:szCs w:val="24"/>
        </w:rPr>
        <w:t xml:space="preserve">Finansielle virksomheder er som udgangspunkt omfattet af selskabsloven. Reglerne om reelle ejere skal derfor for deres vedkommende findes i selskabsloven. </w:t>
      </w:r>
      <w:r w:rsidR="003748B3">
        <w:rPr>
          <w:rFonts w:ascii="Times New Roman" w:hAnsi="Times New Roman" w:cs="Times New Roman"/>
          <w:sz w:val="24"/>
          <w:szCs w:val="24"/>
        </w:rPr>
        <w:t xml:space="preserve">I tilfælde, hvor </w:t>
      </w:r>
      <w:r w:rsidRPr="0034579C">
        <w:rPr>
          <w:rFonts w:ascii="Times New Roman" w:hAnsi="Times New Roman" w:cs="Times New Roman"/>
          <w:sz w:val="24"/>
          <w:szCs w:val="24"/>
        </w:rPr>
        <w:t xml:space="preserve">finansielle virksomheder ikke </w:t>
      </w:r>
      <w:r w:rsidR="003748B3">
        <w:rPr>
          <w:rFonts w:ascii="Times New Roman" w:hAnsi="Times New Roman" w:cs="Times New Roman"/>
          <w:sz w:val="24"/>
          <w:szCs w:val="24"/>
        </w:rPr>
        <w:t xml:space="preserve">er </w:t>
      </w:r>
      <w:r w:rsidRPr="0034579C">
        <w:rPr>
          <w:rFonts w:ascii="Times New Roman" w:hAnsi="Times New Roman" w:cs="Times New Roman"/>
          <w:sz w:val="24"/>
          <w:szCs w:val="24"/>
        </w:rPr>
        <w:t xml:space="preserve">omfattet af </w:t>
      </w:r>
      <w:proofErr w:type="gramStart"/>
      <w:r w:rsidRPr="0034579C">
        <w:rPr>
          <w:rFonts w:ascii="Times New Roman" w:hAnsi="Times New Roman" w:cs="Times New Roman"/>
          <w:sz w:val="24"/>
          <w:szCs w:val="24"/>
        </w:rPr>
        <w:t>selskabsloven</w:t>
      </w:r>
      <w:proofErr w:type="gramEnd"/>
      <w:r w:rsidR="003748B3">
        <w:rPr>
          <w:rFonts w:ascii="Times New Roman" w:hAnsi="Times New Roman" w:cs="Times New Roman"/>
          <w:sz w:val="24"/>
          <w:szCs w:val="24"/>
        </w:rPr>
        <w:t xml:space="preserve"> skal r</w:t>
      </w:r>
      <w:r w:rsidRPr="0034579C">
        <w:rPr>
          <w:rFonts w:ascii="Times New Roman" w:hAnsi="Times New Roman" w:cs="Times New Roman"/>
          <w:sz w:val="24"/>
          <w:szCs w:val="24"/>
        </w:rPr>
        <w:t>eglerne om reelle ejere findes i lov om finansiel virksomhed. Det drejer sig om gensidige forsikringsselskaber, tværgående pensionskasser, sparekasser, andelskasser og sparevirksomheder.</w:t>
      </w:r>
    </w:p>
    <w:p w14:paraId="3942B554" w14:textId="2FBCFE72" w:rsidR="005E7C5D" w:rsidRDefault="003748B3" w:rsidP="00B54A6B">
      <w:pPr>
        <w:jc w:val="both"/>
        <w:rPr>
          <w:rFonts w:ascii="Times New Roman" w:hAnsi="Times New Roman" w:cs="Times New Roman"/>
          <w:sz w:val="24"/>
          <w:szCs w:val="24"/>
        </w:rPr>
      </w:pPr>
      <w:r>
        <w:rPr>
          <w:rFonts w:ascii="Times New Roman" w:hAnsi="Times New Roman" w:cs="Times New Roman"/>
          <w:sz w:val="24"/>
          <w:szCs w:val="24"/>
        </w:rPr>
        <w:t>Forslaget til a</w:t>
      </w:r>
      <w:r w:rsidR="00B54A6B" w:rsidRPr="00646969">
        <w:rPr>
          <w:rFonts w:ascii="Times New Roman" w:hAnsi="Times New Roman" w:cs="Times New Roman"/>
          <w:sz w:val="24"/>
          <w:szCs w:val="24"/>
        </w:rPr>
        <w:t xml:space="preserve">nordning fastsætter </w:t>
      </w:r>
      <w:r w:rsidR="00B54A6B">
        <w:rPr>
          <w:rFonts w:ascii="Times New Roman" w:hAnsi="Times New Roman" w:cs="Times New Roman"/>
          <w:sz w:val="24"/>
          <w:szCs w:val="24"/>
        </w:rPr>
        <w:t xml:space="preserve">desuden </w:t>
      </w:r>
      <w:r w:rsidR="00B54A6B" w:rsidRPr="00646969">
        <w:rPr>
          <w:rFonts w:ascii="Times New Roman" w:hAnsi="Times New Roman" w:cs="Times New Roman"/>
          <w:sz w:val="24"/>
          <w:szCs w:val="24"/>
        </w:rPr>
        <w:t>krav om</w:t>
      </w:r>
      <w:r w:rsidR="00D5620D">
        <w:rPr>
          <w:rFonts w:ascii="Times New Roman" w:hAnsi="Times New Roman" w:cs="Times New Roman"/>
          <w:sz w:val="24"/>
          <w:szCs w:val="24"/>
        </w:rPr>
        <w:t>,</w:t>
      </w:r>
      <w:r w:rsidR="00B54A6B" w:rsidRPr="00646969">
        <w:rPr>
          <w:rFonts w:ascii="Times New Roman" w:hAnsi="Times New Roman" w:cs="Times New Roman"/>
          <w:sz w:val="24"/>
          <w:szCs w:val="24"/>
        </w:rPr>
        <w:t xml:space="preserve"> </w:t>
      </w:r>
      <w:r w:rsidR="005E7C5D" w:rsidRPr="005E7C5D">
        <w:rPr>
          <w:rFonts w:ascii="Times New Roman" w:hAnsi="Times New Roman" w:cs="Times New Roman"/>
          <w:sz w:val="24"/>
          <w:szCs w:val="24"/>
        </w:rPr>
        <w:t xml:space="preserve">at alle ejere af </w:t>
      </w:r>
      <w:r w:rsidR="006D11E2">
        <w:rPr>
          <w:rFonts w:ascii="Times New Roman" w:hAnsi="Times New Roman" w:cs="Times New Roman"/>
          <w:sz w:val="24"/>
          <w:szCs w:val="24"/>
        </w:rPr>
        <w:t xml:space="preserve">visse finansielle </w:t>
      </w:r>
      <w:r w:rsidR="005E7C5D" w:rsidRPr="005E7C5D">
        <w:rPr>
          <w:rFonts w:ascii="Times New Roman" w:hAnsi="Times New Roman" w:cs="Times New Roman"/>
          <w:sz w:val="24"/>
          <w:szCs w:val="24"/>
        </w:rPr>
        <w:t>virksomheder, der er omfattet af pligten til at indhente og registrere reelle ejer</w:t>
      </w:r>
      <w:r w:rsidR="005E7C5D">
        <w:rPr>
          <w:rFonts w:ascii="Times New Roman" w:hAnsi="Times New Roman" w:cs="Times New Roman"/>
          <w:sz w:val="24"/>
          <w:szCs w:val="24"/>
        </w:rPr>
        <w:t>e</w:t>
      </w:r>
      <w:r w:rsidR="005E7C5D" w:rsidRPr="005E7C5D">
        <w:rPr>
          <w:rFonts w:ascii="Times New Roman" w:hAnsi="Times New Roman" w:cs="Times New Roman"/>
          <w:sz w:val="24"/>
          <w:szCs w:val="24"/>
        </w:rPr>
        <w:t>-oplysninger, pålægges en pligt til at forsyne virksomheden, de er ejer af, med oplysninger om deres ejerskab.</w:t>
      </w:r>
      <w:r w:rsidR="005E7C5D">
        <w:rPr>
          <w:rFonts w:ascii="Times New Roman" w:hAnsi="Times New Roman" w:cs="Times New Roman"/>
          <w:sz w:val="24"/>
          <w:szCs w:val="24"/>
        </w:rPr>
        <w:t xml:space="preserve"> </w:t>
      </w:r>
      <w:r w:rsidR="00D5620D">
        <w:rPr>
          <w:rFonts w:ascii="Times New Roman" w:hAnsi="Times New Roman" w:cs="Times New Roman"/>
          <w:sz w:val="24"/>
          <w:szCs w:val="24"/>
        </w:rPr>
        <w:t>Det</w:t>
      </w:r>
      <w:r w:rsidR="005E7C5D" w:rsidRPr="005E7C5D">
        <w:rPr>
          <w:rFonts w:ascii="Times New Roman" w:hAnsi="Times New Roman" w:cs="Times New Roman"/>
          <w:sz w:val="24"/>
          <w:szCs w:val="24"/>
        </w:rPr>
        <w:t xml:space="preserve"> er en pligt til at give de relevante oplysninger om ejerskabet, når virksomheden indhenter oplysninger om dens reelle ejere. Der er ikke tale om, at ejerne pålægges en underretningspligt, </w:t>
      </w:r>
      <w:r w:rsidR="005E7C5D" w:rsidRPr="005E7C5D">
        <w:rPr>
          <w:rFonts w:ascii="Times New Roman" w:hAnsi="Times New Roman" w:cs="Times New Roman"/>
          <w:sz w:val="24"/>
          <w:szCs w:val="24"/>
        </w:rPr>
        <w:lastRenderedPageBreak/>
        <w:t>som den, der gælder for legale ejere af kapitalselskaber, der skal underrette selskabet om betydelige kapitalposter.</w:t>
      </w:r>
    </w:p>
    <w:p w14:paraId="2FB16330" w14:textId="3816F8C2" w:rsidR="00B54A6B" w:rsidRDefault="00F27632" w:rsidP="00B54A6B">
      <w:pPr>
        <w:jc w:val="both"/>
        <w:rPr>
          <w:rFonts w:ascii="Times New Roman" w:hAnsi="Times New Roman" w:cs="Times New Roman"/>
          <w:sz w:val="24"/>
          <w:szCs w:val="24"/>
        </w:rPr>
      </w:pPr>
      <w:r>
        <w:rPr>
          <w:rFonts w:ascii="Times New Roman" w:hAnsi="Times New Roman" w:cs="Times New Roman"/>
          <w:sz w:val="24"/>
          <w:szCs w:val="24"/>
        </w:rPr>
        <w:t>Disse regler</w:t>
      </w:r>
      <w:r w:rsidR="00B54A6B" w:rsidRPr="00646969">
        <w:rPr>
          <w:rFonts w:ascii="Times New Roman" w:hAnsi="Times New Roman" w:cs="Times New Roman"/>
          <w:sz w:val="24"/>
          <w:szCs w:val="24"/>
        </w:rPr>
        <w:t xml:space="preserve"> </w:t>
      </w:r>
      <w:r w:rsidR="005E7C5D">
        <w:rPr>
          <w:rFonts w:ascii="Times New Roman" w:hAnsi="Times New Roman" w:cs="Times New Roman"/>
          <w:sz w:val="24"/>
          <w:szCs w:val="24"/>
        </w:rPr>
        <w:t xml:space="preserve">om reelle ejere </w:t>
      </w:r>
      <w:r w:rsidR="00B54A6B" w:rsidRPr="00646969">
        <w:rPr>
          <w:rFonts w:ascii="Times New Roman" w:hAnsi="Times New Roman" w:cs="Times New Roman"/>
          <w:sz w:val="24"/>
          <w:szCs w:val="24"/>
        </w:rPr>
        <w:t>sættes i kraft for gensidige forsikringsselskaber og tværgående pensionskasser</w:t>
      </w:r>
      <w:r w:rsidR="00B54A6B">
        <w:rPr>
          <w:rFonts w:ascii="Times New Roman" w:hAnsi="Times New Roman" w:cs="Times New Roman"/>
          <w:sz w:val="24"/>
          <w:szCs w:val="24"/>
        </w:rPr>
        <w:t xml:space="preserve"> samt </w:t>
      </w:r>
      <w:r w:rsidR="00B54A6B" w:rsidRPr="00646969">
        <w:rPr>
          <w:rFonts w:ascii="Times New Roman" w:hAnsi="Times New Roman" w:cs="Times New Roman"/>
          <w:sz w:val="24"/>
          <w:szCs w:val="24"/>
        </w:rPr>
        <w:t>sparevirksomheder.</w:t>
      </w:r>
      <w:r w:rsidR="005E7C5D">
        <w:rPr>
          <w:rFonts w:ascii="Times New Roman" w:hAnsi="Times New Roman" w:cs="Times New Roman"/>
          <w:sz w:val="24"/>
          <w:szCs w:val="24"/>
        </w:rPr>
        <w:t xml:space="preserve"> </w:t>
      </w:r>
      <w:r w:rsidR="00B54A6B" w:rsidRPr="0034579C">
        <w:rPr>
          <w:rFonts w:ascii="Times New Roman" w:hAnsi="Times New Roman" w:cs="Times New Roman"/>
          <w:sz w:val="24"/>
          <w:szCs w:val="24"/>
        </w:rPr>
        <w:t>Reglerne om sparekasser og andelskasser er ikke sat i kraft for Grønland. Reglerne om reelle ejere vil derfor ikke blive sat i kraft for de to virksomhedstyper</w:t>
      </w:r>
      <w:r w:rsidR="00B54A6B">
        <w:rPr>
          <w:rFonts w:ascii="Times New Roman" w:hAnsi="Times New Roman" w:cs="Times New Roman"/>
          <w:sz w:val="24"/>
          <w:szCs w:val="24"/>
        </w:rPr>
        <w:t>.</w:t>
      </w:r>
    </w:p>
    <w:p w14:paraId="4336F5FD" w14:textId="457421BD" w:rsidR="00B54A6B" w:rsidRPr="005337C1" w:rsidRDefault="003748B3" w:rsidP="00B54A6B">
      <w:pPr>
        <w:jc w:val="both"/>
        <w:rPr>
          <w:rFonts w:ascii="Times New Roman" w:hAnsi="Times New Roman" w:cs="Times New Roman"/>
          <w:sz w:val="24"/>
          <w:szCs w:val="24"/>
        </w:rPr>
      </w:pPr>
      <w:r>
        <w:rPr>
          <w:rFonts w:ascii="Times New Roman" w:hAnsi="Times New Roman" w:cs="Times New Roman"/>
          <w:sz w:val="24"/>
          <w:szCs w:val="24"/>
        </w:rPr>
        <w:t>Forslaget til a</w:t>
      </w:r>
      <w:r w:rsidR="00B54A6B" w:rsidRPr="005337C1">
        <w:rPr>
          <w:rFonts w:ascii="Times New Roman" w:hAnsi="Times New Roman" w:cs="Times New Roman"/>
          <w:sz w:val="24"/>
          <w:szCs w:val="24"/>
        </w:rPr>
        <w:t>nordning forhøjer bødeniveauet for overtrædelse af lov om finansiel virksomhed med henblik på at skabe en større sammenhæng mellem strafudmålingen og dels grovheden af overtrædelsen og dels størrelsen af den finansielle virksomhed, der har begået overtrædelsen.</w:t>
      </w:r>
    </w:p>
    <w:p w14:paraId="2E87C4AD" w14:textId="77777777" w:rsidR="00B54A6B" w:rsidRDefault="00B54A6B" w:rsidP="00B54A6B">
      <w:pPr>
        <w:jc w:val="both"/>
        <w:rPr>
          <w:rFonts w:ascii="Times New Roman" w:hAnsi="Times New Roman" w:cs="Times New Roman"/>
          <w:sz w:val="24"/>
          <w:szCs w:val="24"/>
        </w:rPr>
      </w:pPr>
      <w:r w:rsidRPr="005337C1">
        <w:rPr>
          <w:rFonts w:ascii="Times New Roman" w:hAnsi="Times New Roman" w:cs="Times New Roman"/>
          <w:sz w:val="24"/>
          <w:szCs w:val="24"/>
        </w:rPr>
        <w:t>Bødeniveauet for overtrædelse af lov om finansiel virksomhed fastsættes efter en model, hvor de finansielle virksomheder opdeles i 5 kategorier efter deres økonomiske størrelse, og hvor der for hver kategori fastsættes tre overordnede bødeniveauer</w:t>
      </w:r>
      <w:r>
        <w:rPr>
          <w:rFonts w:ascii="Times New Roman" w:hAnsi="Times New Roman" w:cs="Times New Roman"/>
          <w:sz w:val="24"/>
          <w:szCs w:val="24"/>
        </w:rPr>
        <w:t>, som er e</w:t>
      </w:r>
      <w:r w:rsidRPr="005337C1">
        <w:rPr>
          <w:rFonts w:ascii="Times New Roman" w:hAnsi="Times New Roman" w:cs="Times New Roman"/>
          <w:sz w:val="24"/>
          <w:szCs w:val="24"/>
        </w:rPr>
        <w:t>t særligt lavt bødeniveau for bagatelagtige overtrædelser</w:t>
      </w:r>
      <w:r>
        <w:rPr>
          <w:rFonts w:ascii="Times New Roman" w:hAnsi="Times New Roman" w:cs="Times New Roman"/>
          <w:sz w:val="24"/>
          <w:szCs w:val="24"/>
        </w:rPr>
        <w:t>, e</w:t>
      </w:r>
      <w:r w:rsidRPr="005337C1">
        <w:rPr>
          <w:rFonts w:ascii="Times New Roman" w:hAnsi="Times New Roman" w:cs="Times New Roman"/>
          <w:sz w:val="24"/>
          <w:szCs w:val="24"/>
        </w:rPr>
        <w:t>t skærpet bødeniveau for særligt grove overtrædelser</w:t>
      </w:r>
      <w:r>
        <w:rPr>
          <w:rFonts w:ascii="Times New Roman" w:hAnsi="Times New Roman" w:cs="Times New Roman"/>
          <w:sz w:val="24"/>
          <w:szCs w:val="24"/>
        </w:rPr>
        <w:t xml:space="preserve"> og e</w:t>
      </w:r>
      <w:r w:rsidRPr="005337C1">
        <w:rPr>
          <w:rFonts w:ascii="Times New Roman" w:hAnsi="Times New Roman" w:cs="Times New Roman"/>
          <w:sz w:val="24"/>
          <w:szCs w:val="24"/>
        </w:rPr>
        <w:t>t generelt bødeniveau, som favner de resterende overtrædelser.</w:t>
      </w:r>
    </w:p>
    <w:p w14:paraId="2990EB8E" w14:textId="77777777" w:rsidR="00B54A6B" w:rsidRPr="007A0EF4" w:rsidRDefault="00B54A6B" w:rsidP="00B54A6B">
      <w:pPr>
        <w:jc w:val="both"/>
        <w:rPr>
          <w:rFonts w:ascii="Times New Roman" w:hAnsi="Times New Roman" w:cs="Times New Roman"/>
          <w:sz w:val="24"/>
          <w:szCs w:val="24"/>
        </w:rPr>
      </w:pPr>
      <w:r>
        <w:rPr>
          <w:rFonts w:ascii="Times New Roman" w:hAnsi="Times New Roman" w:cs="Times New Roman"/>
          <w:sz w:val="24"/>
          <w:szCs w:val="24"/>
        </w:rPr>
        <w:t xml:space="preserve">Derudover indeholder anordningen flere ændringer, herunder en række ændringer af teknisk karakter samt en række tilpasninger til grønlandske forhold. </w:t>
      </w:r>
      <w:r w:rsidRPr="004606AF">
        <w:rPr>
          <w:rFonts w:ascii="Times New Roman" w:hAnsi="Times New Roman" w:cs="Times New Roman"/>
          <w:sz w:val="24"/>
          <w:szCs w:val="24"/>
        </w:rPr>
        <w:t>For en beskrivelse af de enkelte ændringer og tilpasninger henvises der til</w:t>
      </w:r>
      <w:r>
        <w:rPr>
          <w:rFonts w:ascii="Times New Roman" w:hAnsi="Times New Roman" w:cs="Times New Roman"/>
          <w:sz w:val="24"/>
          <w:szCs w:val="24"/>
        </w:rPr>
        <w:t xml:space="preserve"> anordningen og </w:t>
      </w:r>
      <w:r w:rsidRPr="004606AF">
        <w:rPr>
          <w:rFonts w:ascii="Times New Roman" w:hAnsi="Times New Roman" w:cs="Times New Roman"/>
          <w:sz w:val="24"/>
          <w:szCs w:val="24"/>
        </w:rPr>
        <w:t>resume</w:t>
      </w:r>
      <w:r>
        <w:rPr>
          <w:rFonts w:ascii="Times New Roman" w:hAnsi="Times New Roman" w:cs="Times New Roman"/>
          <w:sz w:val="24"/>
          <w:szCs w:val="24"/>
        </w:rPr>
        <w:t>et.</w:t>
      </w:r>
    </w:p>
    <w:p w14:paraId="37A95DBC" w14:textId="77777777" w:rsidR="00B54A6B" w:rsidRDefault="00B54A6B" w:rsidP="00B54A6B">
      <w:pPr>
        <w:rPr>
          <w:rFonts w:ascii="Times New Roman" w:hAnsi="Times New Roman" w:cs="Times New Roman"/>
          <w:sz w:val="24"/>
          <w:szCs w:val="24"/>
        </w:rPr>
      </w:pPr>
      <w:r w:rsidRPr="000C5022">
        <w:rPr>
          <w:rFonts w:ascii="Times New Roman" w:hAnsi="Times New Roman" w:cs="Times New Roman"/>
          <w:b/>
          <w:bCs/>
          <w:sz w:val="24"/>
          <w:szCs w:val="24"/>
        </w:rPr>
        <w:t xml:space="preserve">Økonomiske konsekvenser for </w:t>
      </w:r>
      <w:r>
        <w:rPr>
          <w:rFonts w:ascii="Times New Roman" w:hAnsi="Times New Roman" w:cs="Times New Roman"/>
          <w:b/>
          <w:bCs/>
          <w:sz w:val="24"/>
          <w:szCs w:val="24"/>
        </w:rPr>
        <w:t>de</w:t>
      </w:r>
      <w:r w:rsidRPr="000C5022">
        <w:rPr>
          <w:rFonts w:ascii="Times New Roman" w:hAnsi="Times New Roman" w:cs="Times New Roman"/>
          <w:b/>
          <w:bCs/>
          <w:sz w:val="24"/>
          <w:szCs w:val="24"/>
        </w:rPr>
        <w:t>t</w:t>
      </w:r>
      <w:r>
        <w:rPr>
          <w:rFonts w:ascii="Times New Roman" w:hAnsi="Times New Roman" w:cs="Times New Roman"/>
          <w:b/>
          <w:bCs/>
          <w:sz w:val="24"/>
          <w:szCs w:val="24"/>
        </w:rPr>
        <w:t xml:space="preserve"> offentlige</w:t>
      </w:r>
      <w:r>
        <w:rPr>
          <w:rFonts w:ascii="Times New Roman" w:hAnsi="Times New Roman" w:cs="Times New Roman"/>
          <w:b/>
          <w:bCs/>
          <w:sz w:val="24"/>
          <w:szCs w:val="24"/>
        </w:rPr>
        <w:br/>
      </w:r>
      <w:r w:rsidRPr="00A91005">
        <w:rPr>
          <w:rFonts w:ascii="Times New Roman" w:hAnsi="Times New Roman" w:cs="Times New Roman"/>
          <w:sz w:val="24"/>
          <w:szCs w:val="24"/>
        </w:rPr>
        <w:t>Det forventes ikke, at forslaget vil medføre økonomiske konsekvenser af betydning for det offentlige.</w:t>
      </w:r>
    </w:p>
    <w:p w14:paraId="627FF2F3" w14:textId="1CA634B2" w:rsidR="00A114E8" w:rsidRDefault="00B54A6B" w:rsidP="00B54A6B">
      <w:pPr>
        <w:rPr>
          <w:rFonts w:ascii="Times New Roman" w:hAnsi="Times New Roman" w:cs="Times New Roman"/>
          <w:sz w:val="24"/>
          <w:szCs w:val="24"/>
        </w:rPr>
      </w:pPr>
      <w:r w:rsidRPr="000C5022">
        <w:rPr>
          <w:rFonts w:ascii="Times New Roman" w:hAnsi="Times New Roman" w:cs="Times New Roman"/>
          <w:b/>
          <w:bCs/>
          <w:sz w:val="24"/>
          <w:szCs w:val="24"/>
        </w:rPr>
        <w:t>Økonomiske og administrative konsekvenser for erhvervslivet</w:t>
      </w:r>
      <w:r>
        <w:rPr>
          <w:rFonts w:ascii="Times New Roman" w:hAnsi="Times New Roman" w:cs="Times New Roman"/>
          <w:b/>
          <w:bCs/>
          <w:sz w:val="24"/>
          <w:szCs w:val="24"/>
        </w:rPr>
        <w:t>, borgere</w:t>
      </w:r>
      <w:r w:rsidRPr="000C5022">
        <w:rPr>
          <w:rFonts w:ascii="Times New Roman" w:hAnsi="Times New Roman" w:cs="Times New Roman"/>
          <w:b/>
          <w:bCs/>
          <w:sz w:val="24"/>
          <w:szCs w:val="24"/>
        </w:rPr>
        <w:t xml:space="preserve"> m.v.</w:t>
      </w:r>
      <w:r>
        <w:rPr>
          <w:rFonts w:ascii="Times New Roman" w:hAnsi="Times New Roman" w:cs="Times New Roman"/>
          <w:b/>
          <w:bCs/>
          <w:sz w:val="24"/>
          <w:szCs w:val="24"/>
        </w:rPr>
        <w:br/>
      </w:r>
      <w:r w:rsidR="00F837C5" w:rsidRPr="00F837C5">
        <w:rPr>
          <w:rFonts w:ascii="Times New Roman" w:hAnsi="Times New Roman" w:cs="Times New Roman"/>
          <w:sz w:val="24"/>
          <w:szCs w:val="24"/>
        </w:rPr>
        <w:t>Generelt vil lovgivning</w:t>
      </w:r>
      <w:r w:rsidR="00C82AF5">
        <w:rPr>
          <w:rFonts w:ascii="Times New Roman" w:hAnsi="Times New Roman" w:cs="Times New Roman"/>
          <w:sz w:val="24"/>
          <w:szCs w:val="24"/>
        </w:rPr>
        <w:t>en</w:t>
      </w:r>
      <w:r w:rsidR="00F837C5" w:rsidRPr="00F837C5">
        <w:rPr>
          <w:rFonts w:ascii="Times New Roman" w:hAnsi="Times New Roman" w:cs="Times New Roman"/>
          <w:sz w:val="24"/>
          <w:szCs w:val="24"/>
        </w:rPr>
        <w:t xml:space="preserve"> påføre </w:t>
      </w:r>
      <w:r w:rsidR="00F837C5">
        <w:rPr>
          <w:rFonts w:ascii="Times New Roman" w:hAnsi="Times New Roman" w:cs="Times New Roman"/>
          <w:sz w:val="24"/>
          <w:szCs w:val="24"/>
        </w:rPr>
        <w:t>de omfattede virksomheder</w:t>
      </w:r>
      <w:r w:rsidR="00F837C5" w:rsidRPr="00F837C5">
        <w:rPr>
          <w:rFonts w:ascii="Times New Roman" w:hAnsi="Times New Roman" w:cs="Times New Roman"/>
          <w:sz w:val="24"/>
          <w:szCs w:val="24"/>
        </w:rPr>
        <w:t xml:space="preserve"> en </w:t>
      </w:r>
      <w:r w:rsidR="00C82AF5">
        <w:rPr>
          <w:rFonts w:ascii="Times New Roman" w:hAnsi="Times New Roman" w:cs="Times New Roman"/>
          <w:sz w:val="24"/>
          <w:szCs w:val="24"/>
        </w:rPr>
        <w:t>udgift</w:t>
      </w:r>
      <w:r w:rsidR="00F837C5" w:rsidRPr="00F837C5">
        <w:rPr>
          <w:rFonts w:ascii="Times New Roman" w:hAnsi="Times New Roman" w:cs="Times New Roman"/>
          <w:sz w:val="24"/>
          <w:szCs w:val="24"/>
        </w:rPr>
        <w:t>. Flere af bestemmelserne i lovforslaget øger forpligtigelser til uddannelse, administration af politikker og tiltag for at sikre efterlevelse af kravene.</w:t>
      </w:r>
      <w:r w:rsidR="00C82AF5">
        <w:rPr>
          <w:rFonts w:ascii="Times New Roman" w:hAnsi="Times New Roman" w:cs="Times New Roman"/>
          <w:sz w:val="24"/>
          <w:szCs w:val="24"/>
        </w:rPr>
        <w:t xml:space="preserve"> Sådanne udgifter må anses som et branchevilkår inden for finansiel virksomhed</w:t>
      </w:r>
      <w:r w:rsidR="00011EE3">
        <w:rPr>
          <w:rFonts w:ascii="Times New Roman" w:hAnsi="Times New Roman" w:cs="Times New Roman"/>
          <w:sz w:val="24"/>
          <w:szCs w:val="24"/>
        </w:rPr>
        <w:t xml:space="preserve"> inden for EU og herunder Danmark og dermed også for Grønland. Disse udgifter anses under alle omstændigheder ikke som væsentligt bebyrdende for virksomhederne. </w:t>
      </w:r>
      <w:r w:rsidR="00F837C5" w:rsidRPr="00F837C5">
        <w:rPr>
          <w:rFonts w:ascii="Times New Roman" w:hAnsi="Times New Roman" w:cs="Times New Roman"/>
          <w:sz w:val="24"/>
          <w:szCs w:val="24"/>
        </w:rPr>
        <w:t xml:space="preserve"> </w:t>
      </w:r>
    </w:p>
    <w:p w14:paraId="777DC325" w14:textId="504B6AE6" w:rsidR="00B54A6B" w:rsidRDefault="00A114E8" w:rsidP="00B54A6B">
      <w:pPr>
        <w:rPr>
          <w:rFonts w:ascii="Times New Roman" w:hAnsi="Times New Roman" w:cs="Times New Roman"/>
          <w:sz w:val="24"/>
          <w:szCs w:val="24"/>
        </w:rPr>
      </w:pPr>
      <w:r>
        <w:rPr>
          <w:rFonts w:ascii="Times New Roman" w:hAnsi="Times New Roman" w:cs="Times New Roman"/>
          <w:sz w:val="24"/>
          <w:szCs w:val="24"/>
        </w:rPr>
        <w:t>Forslaget forventes ikke at</w:t>
      </w:r>
      <w:r w:rsidR="003748B3">
        <w:rPr>
          <w:rFonts w:ascii="Times New Roman" w:hAnsi="Times New Roman" w:cs="Times New Roman"/>
          <w:sz w:val="24"/>
          <w:szCs w:val="24"/>
        </w:rPr>
        <w:t xml:space="preserve"> </w:t>
      </w:r>
      <w:r>
        <w:rPr>
          <w:rFonts w:ascii="Times New Roman" w:hAnsi="Times New Roman" w:cs="Times New Roman"/>
          <w:sz w:val="24"/>
          <w:szCs w:val="24"/>
        </w:rPr>
        <w:t xml:space="preserve">have </w:t>
      </w:r>
      <w:r w:rsidRPr="00DB49A8">
        <w:rPr>
          <w:rFonts w:ascii="Times New Roman" w:hAnsi="Times New Roman" w:cs="Times New Roman"/>
          <w:sz w:val="24"/>
          <w:szCs w:val="24"/>
        </w:rPr>
        <w:t xml:space="preserve">økonomiske </w:t>
      </w:r>
      <w:r>
        <w:rPr>
          <w:rFonts w:ascii="Times New Roman" w:hAnsi="Times New Roman" w:cs="Times New Roman"/>
          <w:sz w:val="24"/>
          <w:szCs w:val="24"/>
        </w:rPr>
        <w:t xml:space="preserve">eller administrative </w:t>
      </w:r>
      <w:r w:rsidRPr="00DB49A8">
        <w:rPr>
          <w:rFonts w:ascii="Times New Roman" w:hAnsi="Times New Roman" w:cs="Times New Roman"/>
          <w:sz w:val="24"/>
          <w:szCs w:val="24"/>
        </w:rPr>
        <w:t>konsekvenser</w:t>
      </w:r>
      <w:r w:rsidR="0046214E">
        <w:rPr>
          <w:rFonts w:ascii="Times New Roman" w:hAnsi="Times New Roman" w:cs="Times New Roman"/>
          <w:sz w:val="24"/>
          <w:szCs w:val="24"/>
        </w:rPr>
        <w:t xml:space="preserve"> for</w:t>
      </w:r>
      <w:r w:rsidRPr="00DB49A8">
        <w:rPr>
          <w:rFonts w:ascii="Times New Roman" w:hAnsi="Times New Roman" w:cs="Times New Roman"/>
          <w:sz w:val="24"/>
          <w:szCs w:val="24"/>
        </w:rPr>
        <w:t xml:space="preserve"> </w:t>
      </w:r>
      <w:r w:rsidR="00B54A6B" w:rsidRPr="00E305BE">
        <w:rPr>
          <w:rFonts w:ascii="Times New Roman" w:hAnsi="Times New Roman" w:cs="Times New Roman"/>
          <w:sz w:val="24"/>
          <w:szCs w:val="24"/>
        </w:rPr>
        <w:t>borgerne.</w:t>
      </w:r>
      <w:r w:rsidR="00DB49A8">
        <w:rPr>
          <w:rFonts w:ascii="Times New Roman" w:hAnsi="Times New Roman" w:cs="Times New Roman"/>
          <w:sz w:val="24"/>
          <w:szCs w:val="24"/>
        </w:rPr>
        <w:t xml:space="preserve"> </w:t>
      </w:r>
    </w:p>
    <w:p w14:paraId="50B3A72F" w14:textId="4043EAB7" w:rsidR="00A114E8" w:rsidRPr="00A114E8" w:rsidRDefault="00572A22" w:rsidP="00B54A6B">
      <w:pPr>
        <w:rPr>
          <w:rFonts w:ascii="Times New Roman" w:hAnsi="Times New Roman" w:cs="Times New Roman"/>
          <w:sz w:val="24"/>
          <w:szCs w:val="24"/>
        </w:rPr>
      </w:pPr>
      <w:r>
        <w:rPr>
          <w:rFonts w:ascii="Times New Roman" w:hAnsi="Times New Roman" w:cs="Times New Roman"/>
          <w:b/>
          <w:bCs/>
          <w:sz w:val="24"/>
          <w:szCs w:val="24"/>
        </w:rPr>
        <w:t xml:space="preserve">Høring </w:t>
      </w:r>
      <w:r w:rsidR="006D11E2">
        <w:rPr>
          <w:rFonts w:ascii="Times New Roman" w:hAnsi="Times New Roman" w:cs="Times New Roman"/>
          <w:b/>
          <w:bCs/>
          <w:sz w:val="24"/>
          <w:szCs w:val="24"/>
        </w:rPr>
        <w:br/>
      </w:r>
      <w:r w:rsidR="00A114E8" w:rsidRPr="007C2CC2">
        <w:rPr>
          <w:rFonts w:ascii="Times New Roman" w:hAnsi="Times New Roman" w:cs="Times New Roman"/>
          <w:sz w:val="24"/>
          <w:szCs w:val="24"/>
        </w:rPr>
        <w:t xml:space="preserve">Forslaget har </w:t>
      </w:r>
      <w:r w:rsidR="00597F90">
        <w:rPr>
          <w:rFonts w:ascii="Times New Roman" w:hAnsi="Times New Roman" w:cs="Times New Roman"/>
          <w:sz w:val="24"/>
          <w:szCs w:val="24"/>
        </w:rPr>
        <w:t xml:space="preserve">i perioden xx til xx været </w:t>
      </w:r>
      <w:r w:rsidR="00A114E8" w:rsidRPr="007C2CC2">
        <w:rPr>
          <w:rFonts w:ascii="Times New Roman" w:hAnsi="Times New Roman" w:cs="Times New Roman"/>
          <w:sz w:val="24"/>
          <w:szCs w:val="24"/>
        </w:rPr>
        <w:t xml:space="preserve">i høring </w:t>
      </w:r>
      <w:r w:rsidR="00597F90">
        <w:rPr>
          <w:rFonts w:ascii="Times New Roman" w:hAnsi="Times New Roman" w:cs="Times New Roman"/>
          <w:sz w:val="24"/>
          <w:szCs w:val="24"/>
        </w:rPr>
        <w:t xml:space="preserve">ved udvalgte parter. </w:t>
      </w:r>
      <w:r w:rsidR="00A114E8" w:rsidRPr="007C2CC2">
        <w:rPr>
          <w:rFonts w:ascii="Times New Roman" w:hAnsi="Times New Roman" w:cs="Times New Roman"/>
          <w:sz w:val="24"/>
          <w:szCs w:val="24"/>
        </w:rPr>
        <w:t xml:space="preserve"> </w:t>
      </w:r>
    </w:p>
    <w:p w14:paraId="57A3D7FF" w14:textId="77777777" w:rsidR="00B54A6B" w:rsidRPr="00E54B3D" w:rsidRDefault="00B54A6B" w:rsidP="00B54A6B">
      <w:pPr>
        <w:rPr>
          <w:rFonts w:ascii="Times New Roman" w:hAnsi="Times New Roman" w:cs="Times New Roman"/>
          <w:sz w:val="24"/>
          <w:szCs w:val="24"/>
        </w:rPr>
      </w:pPr>
      <w:r w:rsidRPr="00E54B3D">
        <w:rPr>
          <w:rFonts w:ascii="Times New Roman" w:hAnsi="Times New Roman" w:cs="Times New Roman"/>
          <w:b/>
          <w:bCs/>
          <w:sz w:val="24"/>
          <w:szCs w:val="24"/>
        </w:rPr>
        <w:t>Bilag</w:t>
      </w:r>
    </w:p>
    <w:p w14:paraId="43A23E95" w14:textId="77777777" w:rsidR="00B54A6B" w:rsidRPr="00937A16" w:rsidRDefault="00B54A6B" w:rsidP="00B54A6B">
      <w:pPr>
        <w:pStyle w:val="Listeafsnit"/>
        <w:numPr>
          <w:ilvl w:val="0"/>
          <w:numId w:val="1"/>
        </w:numPr>
        <w:jc w:val="both"/>
        <w:rPr>
          <w:rFonts w:ascii="Times New Roman" w:hAnsi="Times New Roman" w:cs="Times New Roman"/>
          <w:sz w:val="24"/>
          <w:szCs w:val="24"/>
        </w:rPr>
      </w:pPr>
      <w:r w:rsidRPr="00937A16">
        <w:rPr>
          <w:rFonts w:ascii="Times New Roman" w:hAnsi="Times New Roman" w:cs="Times New Roman"/>
          <w:sz w:val="24"/>
          <w:szCs w:val="24"/>
        </w:rPr>
        <w:t>Udkast til anordning om ikrafttræden for Grønland af lov om ændring af lov om finansiel virksomhed.</w:t>
      </w:r>
    </w:p>
    <w:p w14:paraId="4247B804" w14:textId="77777777" w:rsidR="00B54A6B" w:rsidRPr="00C13CEB" w:rsidRDefault="00B54A6B" w:rsidP="00B54A6B">
      <w:pPr>
        <w:pStyle w:val="Listeafsnit"/>
        <w:numPr>
          <w:ilvl w:val="0"/>
          <w:numId w:val="1"/>
        </w:numPr>
        <w:jc w:val="both"/>
        <w:rPr>
          <w:rFonts w:ascii="Times New Roman" w:hAnsi="Times New Roman" w:cs="Times New Roman"/>
          <w:sz w:val="24"/>
          <w:szCs w:val="24"/>
        </w:rPr>
      </w:pPr>
      <w:r w:rsidRPr="00937A16">
        <w:rPr>
          <w:rFonts w:ascii="Times New Roman" w:hAnsi="Times New Roman" w:cs="Times New Roman"/>
          <w:sz w:val="24"/>
          <w:szCs w:val="24"/>
        </w:rPr>
        <w:t xml:space="preserve">Resume af anordning om ikrafttræden for Grønland af lov om ændring af lov om finansiel </w:t>
      </w:r>
      <w:r w:rsidRPr="00C13CEB">
        <w:rPr>
          <w:rFonts w:ascii="Times New Roman" w:hAnsi="Times New Roman" w:cs="Times New Roman"/>
          <w:sz w:val="24"/>
          <w:szCs w:val="24"/>
        </w:rPr>
        <w:t>virksomhed.</w:t>
      </w:r>
    </w:p>
    <w:p w14:paraId="4DAE6A65" w14:textId="77777777" w:rsidR="000D6471" w:rsidRDefault="000D6471" w:rsidP="008B4295">
      <w:pPr>
        <w:tabs>
          <w:tab w:val="left" w:pos="3885"/>
        </w:tabs>
      </w:pPr>
    </w:p>
    <w:sectPr w:rsidR="000D6471" w:rsidSect="00D27B0C">
      <w:headerReference w:type="even" r:id="rId7"/>
      <w:headerReference w:type="default" r:id="rId8"/>
      <w:footerReference w:type="default" r:id="rId9"/>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2B1D0" w14:textId="77777777" w:rsidR="00C9670F" w:rsidRDefault="00C9670F" w:rsidP="00DD0F83">
      <w:pPr>
        <w:spacing w:after="0" w:line="240" w:lineRule="auto"/>
      </w:pPr>
      <w:r>
        <w:separator/>
      </w:r>
    </w:p>
  </w:endnote>
  <w:endnote w:type="continuationSeparator" w:id="0">
    <w:p w14:paraId="09DE262A" w14:textId="77777777" w:rsidR="00C9670F" w:rsidRDefault="00C9670F" w:rsidP="00DD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10B39" w14:textId="77777777" w:rsidR="00DD0F83" w:rsidRPr="00DD0F83" w:rsidRDefault="00DD0F83">
    <w:pPr>
      <w:pStyle w:val="Sidefod"/>
      <w:rPr>
        <w:rFonts w:ascii="Times New Roman" w:hAnsi="Times New Roman" w:cs="Times New Roman"/>
      </w:rPr>
    </w:pPr>
    <w:r w:rsidRPr="00DD0F83">
      <w:rPr>
        <w:rFonts w:ascii="Times New Roman" w:hAnsi="Times New Roman" w:cs="Times New Roman"/>
      </w:rPr>
      <w:t>__________________</w:t>
    </w:r>
  </w:p>
  <w:p w14:paraId="32683EAF" w14:textId="05A8EE34" w:rsidR="00DD0F83" w:rsidRPr="00DD0F83" w:rsidRDefault="00996E3F">
    <w:pPr>
      <w:pStyle w:val="Sidefod"/>
      <w:rPr>
        <w:rFonts w:ascii="Times New Roman" w:hAnsi="Times New Roman" w:cs="Times New Roman"/>
      </w:rPr>
    </w:pPr>
    <w:r>
      <w:rPr>
        <w:rFonts w:ascii="Times New Roman" w:hAnsi="Times New Roman" w:cs="Times New Roman"/>
      </w:rPr>
      <w:t>F</w:t>
    </w:r>
    <w:r w:rsidR="00DD0F83" w:rsidRPr="00DD0F83">
      <w:rPr>
        <w:rFonts w:ascii="Times New Roman" w:hAnsi="Times New Roman" w:cs="Times New Roman"/>
      </w:rPr>
      <w:t>M 202</w:t>
    </w:r>
    <w:r>
      <w:rPr>
        <w:rFonts w:ascii="Times New Roman" w:hAnsi="Times New Roman" w:cs="Times New Roman"/>
      </w:rPr>
      <w:t>2</w:t>
    </w:r>
    <w:r w:rsidR="00DD0F83" w:rsidRPr="00DD0F83">
      <w:rPr>
        <w:rFonts w:ascii="Times New Roman" w:hAnsi="Times New Roman" w:cs="Times New Roman"/>
      </w:rPr>
      <w:t>/</w:t>
    </w:r>
    <w:r>
      <w:rPr>
        <w:rFonts w:ascii="Times New Roman" w:hAnsi="Times New Roman" w:cs="Times New Roman"/>
      </w:rPr>
      <w:t>xx</w:t>
    </w:r>
  </w:p>
  <w:p w14:paraId="64398328" w14:textId="77777777" w:rsidR="00DD0F83" w:rsidRDefault="00DD0F83">
    <w:pPr>
      <w:pStyle w:val="Sidefod"/>
    </w:pPr>
    <w:r w:rsidRPr="00DD0F83">
      <w:rPr>
        <w:rFonts w:ascii="Times New Roman" w:hAnsi="Times New Roman" w:cs="Times New Roman"/>
      </w:rPr>
      <w:t>AN sagsnr.: 2021-8312</w:t>
    </w:r>
    <w:r w:rsidRPr="00DD0F83">
      <w:rPr>
        <w:rFonts w:ascii="Times New Roman" w:hAnsi="Times New Roman" w:cs="Times New Roman"/>
      </w:rPr>
      <w:ptab w:relativeTo="margin" w:alignment="center" w:leader="none"/>
    </w:r>
    <w:r>
      <w:t xml:space="preserve"> </w:t>
    </w:r>
    <w:r>
      <w:ptab w:relativeTo="margin" w:alignment="right" w:leader="none"/>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FCC69" w14:textId="77777777" w:rsidR="00C9670F" w:rsidRDefault="00C9670F" w:rsidP="00DD0F83">
      <w:pPr>
        <w:spacing w:after="0" w:line="240" w:lineRule="auto"/>
      </w:pPr>
      <w:r>
        <w:separator/>
      </w:r>
    </w:p>
  </w:footnote>
  <w:footnote w:type="continuationSeparator" w:id="0">
    <w:p w14:paraId="2508E333" w14:textId="77777777" w:rsidR="00C9670F" w:rsidRDefault="00C9670F" w:rsidP="00DD0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8011" w14:textId="77777777" w:rsidR="00741F98" w:rsidRDefault="00B54A6B">
    <w:pPr>
      <w:pStyle w:val="Sidehoved"/>
    </w:pPr>
    <w:r>
      <w:rPr>
        <w:noProof/>
        <w:lang w:eastAsia="da-DK"/>
      </w:rPr>
      <mc:AlternateContent>
        <mc:Choice Requires="wps">
          <w:drawing>
            <wp:anchor distT="0" distB="0" distL="114300" distR="114300" simplePos="0" relativeHeight="251659264" behindDoc="1" locked="0" layoutInCell="0" allowOverlap="1" wp14:anchorId="61FCFE72" wp14:editId="41BA57A5">
              <wp:simplePos x="0" y="0"/>
              <wp:positionH relativeFrom="margin">
                <wp:align>center</wp:align>
              </wp:positionH>
              <wp:positionV relativeFrom="margin">
                <wp:align>center</wp:align>
              </wp:positionV>
              <wp:extent cx="5413375" cy="2706370"/>
              <wp:effectExtent l="0" t="1304925" r="0" b="751205"/>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13375" cy="27063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C134ED" w14:textId="77777777" w:rsidR="00B54A6B" w:rsidRDefault="00B54A6B" w:rsidP="00B54A6B">
                          <w:pPr>
                            <w:jc w:val="center"/>
                            <w:rPr>
                              <w:sz w:val="24"/>
                              <w:szCs w:val="24"/>
                            </w:rPr>
                          </w:pPr>
                          <w:r>
                            <w:rPr>
                              <w:rFonts w:ascii="Calibri" w:hAnsi="Calibri" w:cs="Calibri"/>
                              <w:color w:val="C0C0C0"/>
                              <w:sz w:val="2"/>
                              <w:szCs w:val="2"/>
                              <w14:textFill>
                                <w14:solidFill>
                                  <w14:srgbClr w14:val="C0C0C0">
                                    <w14:alpha w14:val="50000"/>
                                  </w14:srgbClr>
                                </w14:solidFill>
                              </w14:textFill>
                            </w:rPr>
                            <w:t>UDKAST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1FCFE72" id="_x0000_t202" coordsize="21600,21600" o:spt="202" path="m,l,21600r21600,l21600,xe">
              <v:stroke joinstyle="miter"/>
              <v:path gradientshapeok="t" o:connecttype="rect"/>
            </v:shapetype>
            <v:shape id="Tekstfelt 2" o:spid="_x0000_s1026" type="#_x0000_t202" style="position:absolute;margin-left:0;margin-top:0;width:426.25pt;height:213.1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" o:allowincell="f" filled="f" stroked="f">
              <v:stroke joinstyle="round"/>
              <o:lock v:ext="edit" shapetype="t"/>
              <v:textbox style="mso-fit-shape-to-text:t">
                <w:txbxContent>
                  <w:p w14:paraId="24C134ED" w14:textId="77777777" w:rsidR="00B54A6B" w:rsidRDefault="00B54A6B" w:rsidP="00B54A6B">
                    <w:pPr>
                      <w:jc w:val="center"/>
                      <w:rPr>
                        <w:sz w:val="24"/>
                        <w:szCs w:val="24"/>
                      </w:rPr>
                    </w:pPr>
                    <w:r>
                      <w:rPr>
                        <w:rFonts w:ascii="Calibri" w:hAnsi="Calibri" w:cs="Calibri"/>
                        <w:color w:val="C0C0C0"/>
                        <w:sz w:val="2"/>
                        <w:szCs w:val="2"/>
                        <w14:textFill>
                          <w14:solidFill>
                            <w14:srgbClr w14:val="C0C0C0">
                              <w14:alpha w14:val="50000"/>
                            </w14:srgbClr>
                          </w14:solidFill>
                        </w14:textFill>
                      </w:rPr>
                      <w:t>UDKAST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E8B6B" w14:textId="0C73C1F5" w:rsidR="00741F98" w:rsidRPr="00DD0F83" w:rsidRDefault="007C2CC2">
    <w:pPr>
      <w:pStyle w:val="Sidehoved"/>
      <w:rPr>
        <w:rFonts w:ascii="Times New Roman" w:hAnsi="Times New Roman" w:cs="Times New Roman"/>
      </w:rPr>
    </w:pPr>
    <w:r>
      <w:rPr>
        <w:rFonts w:ascii="Times New Roman" w:hAnsi="Times New Roman" w:cs="Times New Roman"/>
      </w:rPr>
      <w:t>16</w:t>
    </w:r>
    <w:r w:rsidR="00996E3F">
      <w:rPr>
        <w:rFonts w:ascii="Times New Roman" w:hAnsi="Times New Roman" w:cs="Times New Roman"/>
      </w:rPr>
      <w:t>. december</w:t>
    </w:r>
    <w:r w:rsidR="00DD0F83" w:rsidRPr="00DD0F83">
      <w:rPr>
        <w:rFonts w:ascii="Times New Roman" w:hAnsi="Times New Roman" w:cs="Times New Roman"/>
      </w:rPr>
      <w:t xml:space="preserve"> 2021</w:t>
    </w:r>
    <w:r w:rsidR="00DD0F83" w:rsidRPr="00DD0F83">
      <w:rPr>
        <w:rFonts w:ascii="Times New Roman" w:hAnsi="Times New Roman" w:cs="Times New Roman"/>
      </w:rPr>
      <w:ptab w:relativeTo="margin" w:alignment="center" w:leader="none"/>
    </w:r>
    <w:r w:rsidR="00DD0F83" w:rsidRPr="00DD0F83">
      <w:rPr>
        <w:rFonts w:ascii="Times New Roman" w:hAnsi="Times New Roman" w:cs="Times New Roman"/>
      </w:rPr>
      <w:t xml:space="preserve"> </w:t>
    </w:r>
    <w:r w:rsidR="00DD0F83" w:rsidRPr="00DD0F83">
      <w:rPr>
        <w:rFonts w:ascii="Times New Roman" w:hAnsi="Times New Roman" w:cs="Times New Roman"/>
      </w:rPr>
      <w:ptab w:relativeTo="margin" w:alignment="right" w:leader="none"/>
    </w:r>
    <w:r w:rsidR="00996E3F">
      <w:rPr>
        <w:rFonts w:ascii="Times New Roman" w:hAnsi="Times New Roman" w:cs="Times New Roman"/>
      </w:rPr>
      <w:t>F</w:t>
    </w:r>
    <w:r w:rsidR="00DD0F83" w:rsidRPr="00DD0F83">
      <w:rPr>
        <w:rFonts w:ascii="Times New Roman" w:hAnsi="Times New Roman" w:cs="Times New Roman"/>
      </w:rPr>
      <w:t>M 202</w:t>
    </w:r>
    <w:r w:rsidR="00996E3F">
      <w:rPr>
        <w:rFonts w:ascii="Times New Roman" w:hAnsi="Times New Roman" w:cs="Times New Roman"/>
      </w:rPr>
      <w:t>2</w:t>
    </w:r>
    <w:r w:rsidR="00DD0F83" w:rsidRPr="00DD0F83">
      <w:rPr>
        <w:rFonts w:ascii="Times New Roman" w:hAnsi="Times New Roman" w:cs="Times New Roman"/>
      </w:rPr>
      <w:t>/</w:t>
    </w:r>
    <w:r w:rsidR="00996E3F">
      <w:rPr>
        <w:rFonts w:ascii="Times New Roman" w:hAnsi="Times New Roman" w:cs="Times New Roman"/>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F15958"/>
    <w:multiLevelType w:val="hybridMultilevel"/>
    <w:tmpl w:val="28B4DAE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da-DK" w:vendorID="64" w:dllVersion="0" w:nlCheck="1" w:checkStyle="0"/>
  <w:proofState w:spelling="clean" w:grammar="clean"/>
  <w:trackRevisions/>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5FF"/>
    <w:rsid w:val="00011EE3"/>
    <w:rsid w:val="00016D6F"/>
    <w:rsid w:val="000458BE"/>
    <w:rsid w:val="000765BB"/>
    <w:rsid w:val="00082261"/>
    <w:rsid w:val="000D6471"/>
    <w:rsid w:val="00105D35"/>
    <w:rsid w:val="001367F5"/>
    <w:rsid w:val="0014374B"/>
    <w:rsid w:val="00162274"/>
    <w:rsid w:val="00190844"/>
    <w:rsid w:val="00191F10"/>
    <w:rsid w:val="00194C11"/>
    <w:rsid w:val="00202D1B"/>
    <w:rsid w:val="00216773"/>
    <w:rsid w:val="00304EE4"/>
    <w:rsid w:val="00320DEA"/>
    <w:rsid w:val="003748B3"/>
    <w:rsid w:val="003C7582"/>
    <w:rsid w:val="00434A8F"/>
    <w:rsid w:val="0046214E"/>
    <w:rsid w:val="004A4464"/>
    <w:rsid w:val="00513FB0"/>
    <w:rsid w:val="005426EB"/>
    <w:rsid w:val="00572A22"/>
    <w:rsid w:val="0058773B"/>
    <w:rsid w:val="00597F90"/>
    <w:rsid w:val="005E7C5D"/>
    <w:rsid w:val="0062029B"/>
    <w:rsid w:val="00620AA2"/>
    <w:rsid w:val="006664CA"/>
    <w:rsid w:val="006D11E2"/>
    <w:rsid w:val="006D41FF"/>
    <w:rsid w:val="007110FB"/>
    <w:rsid w:val="0076664F"/>
    <w:rsid w:val="007B4CB5"/>
    <w:rsid w:val="007C2CC2"/>
    <w:rsid w:val="008A3F97"/>
    <w:rsid w:val="008B4295"/>
    <w:rsid w:val="008F4FC2"/>
    <w:rsid w:val="00942374"/>
    <w:rsid w:val="00956AAF"/>
    <w:rsid w:val="00996E3F"/>
    <w:rsid w:val="009B26CB"/>
    <w:rsid w:val="009C4287"/>
    <w:rsid w:val="009D2EFE"/>
    <w:rsid w:val="009F1F8A"/>
    <w:rsid w:val="00A114E8"/>
    <w:rsid w:val="00A54D71"/>
    <w:rsid w:val="00A72E4B"/>
    <w:rsid w:val="00A80011"/>
    <w:rsid w:val="00AB34CA"/>
    <w:rsid w:val="00AD13B7"/>
    <w:rsid w:val="00AD521D"/>
    <w:rsid w:val="00AF1AEE"/>
    <w:rsid w:val="00B0189D"/>
    <w:rsid w:val="00B25A87"/>
    <w:rsid w:val="00B267E4"/>
    <w:rsid w:val="00B54A6B"/>
    <w:rsid w:val="00BA2DF6"/>
    <w:rsid w:val="00C15CFF"/>
    <w:rsid w:val="00C16868"/>
    <w:rsid w:val="00C82AF5"/>
    <w:rsid w:val="00C9670F"/>
    <w:rsid w:val="00CD2F97"/>
    <w:rsid w:val="00D015FF"/>
    <w:rsid w:val="00D14DCA"/>
    <w:rsid w:val="00D5620D"/>
    <w:rsid w:val="00DA2045"/>
    <w:rsid w:val="00DA4504"/>
    <w:rsid w:val="00DB49A8"/>
    <w:rsid w:val="00DD0F83"/>
    <w:rsid w:val="00E47159"/>
    <w:rsid w:val="00E504A0"/>
    <w:rsid w:val="00E57143"/>
    <w:rsid w:val="00EE227E"/>
    <w:rsid w:val="00F17C56"/>
    <w:rsid w:val="00F27632"/>
    <w:rsid w:val="00F56F1E"/>
    <w:rsid w:val="00F837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2F462"/>
  <w15:docId w15:val="{336B1949-97BD-492A-ACD1-D3D1D8D54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A6B"/>
    <w:pPr>
      <w:spacing w:after="200" w:line="27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54A6B"/>
    <w:pPr>
      <w:ind w:left="720"/>
      <w:contextualSpacing/>
    </w:pPr>
  </w:style>
  <w:style w:type="paragraph" w:styleId="Sidehoved">
    <w:name w:val="header"/>
    <w:basedOn w:val="Normal"/>
    <w:link w:val="SidehovedTegn"/>
    <w:uiPriority w:val="99"/>
    <w:unhideWhenUsed/>
    <w:rsid w:val="00B54A6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54A6B"/>
  </w:style>
  <w:style w:type="paragraph" w:styleId="Sidefod">
    <w:name w:val="footer"/>
    <w:basedOn w:val="Normal"/>
    <w:link w:val="SidefodTegn"/>
    <w:uiPriority w:val="99"/>
    <w:unhideWhenUsed/>
    <w:rsid w:val="00B54A6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54A6B"/>
  </w:style>
  <w:style w:type="paragraph" w:styleId="Markeringsbobletekst">
    <w:name w:val="Balloon Text"/>
    <w:basedOn w:val="Normal"/>
    <w:link w:val="MarkeringsbobletekstTegn"/>
    <w:uiPriority w:val="99"/>
    <w:semiHidden/>
    <w:unhideWhenUsed/>
    <w:rsid w:val="00F56F1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56F1E"/>
    <w:rPr>
      <w:rFonts w:ascii="Segoe UI" w:hAnsi="Segoe UI" w:cs="Segoe UI"/>
      <w:sz w:val="18"/>
      <w:szCs w:val="18"/>
    </w:rPr>
  </w:style>
  <w:style w:type="paragraph" w:styleId="Korrektur">
    <w:name w:val="Revision"/>
    <w:hidden/>
    <w:uiPriority w:val="99"/>
    <w:semiHidden/>
    <w:rsid w:val="00996E3F"/>
    <w:pPr>
      <w:spacing w:after="0" w:line="240" w:lineRule="auto"/>
    </w:pPr>
  </w:style>
  <w:style w:type="character" w:styleId="Kommentarhenvisning">
    <w:name w:val="annotation reference"/>
    <w:basedOn w:val="Standardskrifttypeiafsnit"/>
    <w:uiPriority w:val="99"/>
    <w:semiHidden/>
    <w:unhideWhenUsed/>
    <w:rsid w:val="003748B3"/>
    <w:rPr>
      <w:sz w:val="16"/>
      <w:szCs w:val="16"/>
    </w:rPr>
  </w:style>
  <w:style w:type="paragraph" w:styleId="Kommentartekst">
    <w:name w:val="annotation text"/>
    <w:basedOn w:val="Normal"/>
    <w:link w:val="KommentartekstTegn"/>
    <w:uiPriority w:val="99"/>
    <w:semiHidden/>
    <w:unhideWhenUsed/>
    <w:rsid w:val="003748B3"/>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3748B3"/>
    <w:rPr>
      <w:sz w:val="20"/>
      <w:szCs w:val="20"/>
    </w:rPr>
  </w:style>
  <w:style w:type="paragraph" w:styleId="Kommentaremne">
    <w:name w:val="annotation subject"/>
    <w:basedOn w:val="Kommentartekst"/>
    <w:next w:val="Kommentartekst"/>
    <w:link w:val="KommentaremneTegn"/>
    <w:uiPriority w:val="99"/>
    <w:semiHidden/>
    <w:unhideWhenUsed/>
    <w:rsid w:val="003748B3"/>
    <w:rPr>
      <w:b/>
      <w:bCs/>
    </w:rPr>
  </w:style>
  <w:style w:type="character" w:customStyle="1" w:styleId="KommentaremneTegn">
    <w:name w:val="Kommentaremne Tegn"/>
    <w:basedOn w:val="KommentartekstTegn"/>
    <w:link w:val="Kommentaremne"/>
    <w:uiPriority w:val="99"/>
    <w:semiHidden/>
    <w:rsid w:val="003748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008131">
      <w:bodyDiv w:val="1"/>
      <w:marLeft w:val="0"/>
      <w:marRight w:val="0"/>
      <w:marTop w:val="0"/>
      <w:marBottom w:val="0"/>
      <w:divBdr>
        <w:top w:val="none" w:sz="0" w:space="0" w:color="auto"/>
        <w:left w:val="none" w:sz="0" w:space="0" w:color="auto"/>
        <w:bottom w:val="none" w:sz="0" w:space="0" w:color="auto"/>
        <w:right w:val="none" w:sz="0" w:space="0" w:color="auto"/>
      </w:divBdr>
    </w:div>
    <w:div w:id="162407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4467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Naalakkersuisut</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Bergstrøm Eggersen</dc:creator>
  <cp:keywords/>
  <dc:description/>
  <cp:lastModifiedBy>Rasmus Olsvig</cp:lastModifiedBy>
  <cp:revision>2</cp:revision>
  <cp:lastPrinted>2021-09-10T11:30:00Z</cp:lastPrinted>
  <dcterms:created xsi:type="dcterms:W3CDTF">2022-02-02T11:12:00Z</dcterms:created>
  <dcterms:modified xsi:type="dcterms:W3CDTF">2022-02-02T11:12:00Z</dcterms:modified>
</cp:coreProperties>
</file>