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118C" w14:textId="394684B2" w:rsidR="00AF57F4" w:rsidRDefault="00AF57F4" w:rsidP="00B8774F">
      <w:pPr>
        <w:pStyle w:val="Lille"/>
        <w:framePr w:w="1985" w:h="3493" w:hRule="exact" w:hSpace="181" w:wrap="notBeside" w:vAnchor="page" w:hAnchor="page" w:x="9317" w:y="4843" w:anchorLock="1"/>
        <w:spacing w:line="180" w:lineRule="atLeast"/>
        <w:ind w:left="284" w:hanging="284"/>
      </w:pPr>
      <w:r>
        <w:t xml:space="preserve">Brevdato: </w:t>
      </w:r>
      <w:r w:rsidR="00AF5967">
        <w:t>31</w:t>
      </w:r>
      <w:r w:rsidR="000D4AAC">
        <w:t>-01</w:t>
      </w:r>
      <w:r w:rsidRPr="0069759A">
        <w:t>-202</w:t>
      </w:r>
      <w:r w:rsidR="000D4AAC">
        <w:t>2</w:t>
      </w:r>
      <w:r w:rsidRPr="0069759A">
        <w:rPr>
          <w:rFonts w:cs="Arial"/>
        </w:rPr>
        <w:t xml:space="preserve"> </w:t>
      </w:r>
      <w:r w:rsidRPr="0069759A">
        <w:t xml:space="preserve"> </w:t>
      </w:r>
    </w:p>
    <w:p w14:paraId="1B8BE0E2" w14:textId="77777777" w:rsidR="00AF57F4" w:rsidRDefault="00AF57F4" w:rsidP="00B8774F">
      <w:pPr>
        <w:pStyle w:val="Lille"/>
        <w:framePr w:w="1985" w:h="3493" w:hRule="exact" w:hSpace="181" w:wrap="notBeside" w:vAnchor="page" w:hAnchor="page" w:x="9317" w:y="4843" w:anchorLock="1"/>
        <w:spacing w:line="180" w:lineRule="atLeast"/>
      </w:pPr>
      <w:r>
        <w:t xml:space="preserve">Sagsnr.: </w:t>
      </w:r>
      <w:r w:rsidRPr="0069759A">
        <w:rPr>
          <w:rFonts w:cs="Arial"/>
          <w:szCs w:val="14"/>
        </w:rPr>
        <w:t>2021 - 17130</w:t>
      </w:r>
      <w:r w:rsidRPr="0069759A">
        <w:t xml:space="preserve">  </w:t>
      </w:r>
    </w:p>
    <w:p w14:paraId="603EFA58" w14:textId="77777777" w:rsidR="00AF57F4" w:rsidRDefault="00AF57F4" w:rsidP="00B8774F">
      <w:pPr>
        <w:pStyle w:val="Lille"/>
        <w:framePr w:w="1985" w:h="3493" w:hRule="exact" w:hSpace="181" w:wrap="notBeside" w:vAnchor="page" w:hAnchor="page" w:x="9317" w:y="4843" w:anchorLock="1"/>
        <w:spacing w:line="180" w:lineRule="atLeast"/>
      </w:pPr>
      <w:r>
        <w:t xml:space="preserve">Akt-id: </w:t>
      </w:r>
      <w:r w:rsidRPr="0069759A">
        <w:t xml:space="preserve">18862593   </w:t>
      </w:r>
    </w:p>
    <w:p w14:paraId="6B16DD4E" w14:textId="77777777" w:rsidR="00AF57F4" w:rsidRDefault="00AF57F4" w:rsidP="00B8774F">
      <w:pPr>
        <w:pStyle w:val="Lille"/>
        <w:framePr w:w="1985" w:h="3493" w:hRule="exact" w:hSpace="181" w:wrap="notBeside" w:vAnchor="page" w:hAnchor="page" w:x="9317" w:y="4843" w:anchorLock="1"/>
        <w:spacing w:line="180" w:lineRule="atLeast"/>
      </w:pPr>
    </w:p>
    <w:p w14:paraId="6734E348" w14:textId="77777777" w:rsidR="00AF57F4" w:rsidRDefault="00AF57F4" w:rsidP="00B8774F">
      <w:pPr>
        <w:pStyle w:val="Lille"/>
        <w:framePr w:w="1985" w:h="3493" w:hRule="exact" w:hSpace="181" w:wrap="notBeside" w:vAnchor="page" w:hAnchor="page" w:x="9317" w:y="4843" w:anchorLock="1"/>
        <w:spacing w:line="180" w:lineRule="atLeast"/>
      </w:pPr>
      <w:r>
        <w:t>Postboks 1614</w:t>
      </w:r>
    </w:p>
    <w:p w14:paraId="73003B5D" w14:textId="77777777" w:rsidR="00AF57F4" w:rsidRPr="00AF5967" w:rsidRDefault="00AF57F4" w:rsidP="00B8774F">
      <w:pPr>
        <w:pStyle w:val="Lille"/>
        <w:framePr w:w="1985" w:h="3493" w:hRule="exact" w:hSpace="181" w:wrap="notBeside" w:vAnchor="page" w:hAnchor="page" w:x="9317" w:y="4843" w:anchorLock="1"/>
        <w:spacing w:line="180" w:lineRule="atLeast"/>
      </w:pPr>
      <w:r w:rsidRPr="00AF5967">
        <w:t>3900 Nuuk</w:t>
      </w:r>
    </w:p>
    <w:p w14:paraId="6AF24270" w14:textId="77777777" w:rsidR="00AF57F4" w:rsidRPr="00AF5967" w:rsidRDefault="00AF57F4" w:rsidP="00B8774F">
      <w:pPr>
        <w:pStyle w:val="Lille"/>
        <w:framePr w:w="1985" w:h="3493" w:hRule="exact" w:hSpace="181" w:wrap="notBeside" w:vAnchor="page" w:hAnchor="page" w:x="9317" w:y="4843" w:anchorLock="1"/>
        <w:spacing w:line="180" w:lineRule="atLeast"/>
      </w:pPr>
      <w:r w:rsidRPr="00AF5967">
        <w:t>Tlf.</w:t>
      </w:r>
      <w:r w:rsidR="00B8774F" w:rsidRPr="00AF5967">
        <w:t>:</w:t>
      </w:r>
      <w:r w:rsidRPr="00AF5967">
        <w:t xml:space="preserve"> (+299) 34 50 00</w:t>
      </w:r>
    </w:p>
    <w:p w14:paraId="6AEBB301" w14:textId="77777777" w:rsidR="00AF57F4" w:rsidRPr="00AF57F4" w:rsidRDefault="00AF57F4" w:rsidP="00B8774F">
      <w:pPr>
        <w:pStyle w:val="Lille"/>
        <w:framePr w:w="1985" w:h="3493" w:hRule="exact" w:hSpace="181" w:wrap="notBeside" w:vAnchor="page" w:hAnchor="page" w:x="9317" w:y="4843" w:anchorLock="1"/>
        <w:spacing w:line="180" w:lineRule="atLeast"/>
        <w:rPr>
          <w:lang w:val="en-US"/>
        </w:rPr>
      </w:pPr>
      <w:r w:rsidRPr="00AF57F4">
        <w:rPr>
          <w:lang w:val="en-US"/>
        </w:rPr>
        <w:t>Fax</w:t>
      </w:r>
      <w:r w:rsidR="00B8774F">
        <w:rPr>
          <w:lang w:val="en-US"/>
        </w:rPr>
        <w:t>:</w:t>
      </w:r>
      <w:r w:rsidRPr="00AF57F4">
        <w:rPr>
          <w:lang w:val="en-US"/>
        </w:rPr>
        <w:t xml:space="preserve"> (+299) 34 54 10</w:t>
      </w:r>
    </w:p>
    <w:p w14:paraId="6F3F11FD" w14:textId="77777777" w:rsidR="00AF57F4" w:rsidRPr="00AF57F4" w:rsidRDefault="00AF57F4" w:rsidP="00B8774F">
      <w:pPr>
        <w:pStyle w:val="Lille"/>
        <w:framePr w:w="1985" w:h="3493" w:hRule="exact" w:hSpace="181" w:wrap="notBeside" w:vAnchor="page" w:hAnchor="page" w:x="9317" w:y="4843" w:anchorLock="1"/>
        <w:spacing w:line="180" w:lineRule="atLeast"/>
        <w:rPr>
          <w:lang w:val="en-US"/>
        </w:rPr>
      </w:pPr>
      <w:r w:rsidRPr="00AF57F4">
        <w:rPr>
          <w:lang w:val="en-US"/>
        </w:rPr>
        <w:t>E-mail: pan@nanoq.gl</w:t>
      </w:r>
    </w:p>
    <w:p w14:paraId="61A21503" w14:textId="77777777" w:rsidR="00AF57F4" w:rsidRDefault="00AF57F4" w:rsidP="00B8774F">
      <w:pPr>
        <w:pStyle w:val="Lille"/>
        <w:framePr w:w="1985" w:h="3493" w:hRule="exact" w:hSpace="181" w:wrap="notBeside" w:vAnchor="page" w:hAnchor="page" w:x="9317" w:y="4843" w:anchorLock="1"/>
        <w:spacing w:line="180" w:lineRule="atLeast"/>
        <w:rPr>
          <w:lang w:val="en-US"/>
        </w:rPr>
      </w:pPr>
      <w:r>
        <w:t>www.naalakkersuisut.g</w:t>
      </w:r>
      <w:r>
        <w:rPr>
          <w:lang w:val="en-US"/>
        </w:rPr>
        <w:t>l</w:t>
      </w:r>
    </w:p>
    <w:p w14:paraId="220D08E8" w14:textId="77777777" w:rsidR="00465A30" w:rsidRPr="00C80F78" w:rsidRDefault="00465A30" w:rsidP="00465A30">
      <w:pPr>
        <w:pStyle w:val="Lille"/>
        <w:framePr w:w="1985" w:h="3493" w:hRule="exact" w:hSpace="181" w:wrap="notBeside" w:vAnchor="page" w:hAnchor="page" w:x="9317" w:y="4843" w:anchorLock="1"/>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14:paraId="5B3AFB61" w14:textId="77777777" w:rsidTr="00EE48FC">
        <w:trPr>
          <w:trHeight w:val="2552"/>
        </w:trPr>
        <w:tc>
          <w:tcPr>
            <w:tcW w:w="7825" w:type="dxa"/>
          </w:tcPr>
          <w:p w14:paraId="691B6693" w14:textId="77777777" w:rsidR="00465A30" w:rsidRPr="00453104" w:rsidRDefault="0069759A" w:rsidP="0069759A">
            <w:pPr>
              <w:rPr>
                <w:rFonts w:ascii="Arial" w:hAnsi="Arial" w:cs="Arial"/>
                <w:b/>
                <w:sz w:val="28"/>
                <w:szCs w:val="28"/>
              </w:rPr>
            </w:pPr>
            <w:r>
              <w:rPr>
                <w:rFonts w:ascii="Times New Roman" w:hAnsi="Times New Roman" w:cs="Times New Roman"/>
                <w:b/>
                <w:sz w:val="28"/>
                <w:szCs w:val="28"/>
              </w:rPr>
              <w:t>Høringsnotat</w:t>
            </w:r>
          </w:p>
        </w:tc>
      </w:tr>
    </w:tbl>
    <w:p w14:paraId="00CA9A40" w14:textId="77777777" w:rsidR="00453104" w:rsidRPr="0069759A" w:rsidRDefault="0069759A" w:rsidP="0069759A">
      <w:pPr>
        <w:autoSpaceDE w:val="0"/>
        <w:autoSpaceDN w:val="0"/>
        <w:adjustRightInd w:val="0"/>
        <w:spacing w:line="240" w:lineRule="auto"/>
        <w:rPr>
          <w:rFonts w:ascii="Times New Roman" w:hAnsi="Times New Roman" w:cs="Times New Roman"/>
          <w:color w:val="000000"/>
          <w:sz w:val="23"/>
          <w:szCs w:val="23"/>
        </w:rPr>
      </w:pPr>
      <w:r w:rsidRPr="0069759A">
        <w:rPr>
          <w:rFonts w:ascii="Times New Roman" w:hAnsi="Times New Roman" w:cs="Times New Roman"/>
          <w:b/>
          <w:bCs/>
          <w:color w:val="000000"/>
          <w:sz w:val="23"/>
          <w:szCs w:val="23"/>
        </w:rPr>
        <w:t>Forslag til: Selvstyrets bekendtgørelse om gebyrer for tilladelser og refusion af udgifter ved sagsbehandling i forbindelse med forundersøgelser og udnyttelse af vandkraftressourcer til produktion af energi</w:t>
      </w:r>
    </w:p>
    <w:p w14:paraId="778C2CD6" w14:textId="77777777" w:rsidR="00453104" w:rsidRDefault="00453104" w:rsidP="00B75A84">
      <w:pPr>
        <w:rPr>
          <w:rFonts w:ascii="Times New Roman" w:hAnsi="Times New Roman" w:cs="Times New Roman"/>
          <w:sz w:val="24"/>
          <w:szCs w:val="24"/>
        </w:rPr>
      </w:pPr>
    </w:p>
    <w:p w14:paraId="0C2DD59B" w14:textId="364A469D" w:rsidR="00102DF7" w:rsidRDefault="00102DF7" w:rsidP="00E8337B">
      <w:pPr>
        <w:rPr>
          <w:rFonts w:ascii="Times New Roman" w:hAnsi="Times New Roman" w:cs="Times New Roman"/>
          <w:sz w:val="24"/>
          <w:szCs w:val="24"/>
        </w:rPr>
      </w:pPr>
      <w:proofErr w:type="spellStart"/>
      <w:r w:rsidRPr="00102DF7">
        <w:rPr>
          <w:rFonts w:ascii="Times New Roman" w:hAnsi="Times New Roman" w:cs="Times New Roman"/>
          <w:sz w:val="24"/>
          <w:szCs w:val="24"/>
        </w:rPr>
        <w:t>Naalakkersuisut</w:t>
      </w:r>
      <w:proofErr w:type="spellEnd"/>
      <w:r w:rsidRPr="00102DF7">
        <w:rPr>
          <w:rFonts w:ascii="Times New Roman" w:hAnsi="Times New Roman" w:cs="Times New Roman"/>
          <w:sz w:val="24"/>
          <w:szCs w:val="24"/>
        </w:rPr>
        <w:t xml:space="preserve"> kan fastsætte nærmere bestemmelser om udgiftsrefusion til </w:t>
      </w:r>
      <w:proofErr w:type="spellStart"/>
      <w:r w:rsidRPr="00102DF7">
        <w:rPr>
          <w:rFonts w:ascii="Times New Roman" w:hAnsi="Times New Roman" w:cs="Times New Roman"/>
          <w:sz w:val="24"/>
          <w:szCs w:val="24"/>
        </w:rPr>
        <w:t>Naalakkersuisut</w:t>
      </w:r>
      <w:proofErr w:type="spellEnd"/>
      <w:r w:rsidRPr="00102DF7">
        <w:rPr>
          <w:rFonts w:ascii="Times New Roman" w:hAnsi="Times New Roman" w:cs="Times New Roman"/>
          <w:sz w:val="24"/>
          <w:szCs w:val="24"/>
        </w:rPr>
        <w:t xml:space="preserve"> i forbindelse med myndighedsbehandling under vandkraftloven jf. § 12, stk. 2, i </w:t>
      </w:r>
      <w:proofErr w:type="spellStart"/>
      <w:r w:rsidRPr="00102DF7">
        <w:rPr>
          <w:rFonts w:ascii="Times New Roman" w:hAnsi="Times New Roman" w:cs="Times New Roman"/>
          <w:sz w:val="24"/>
          <w:szCs w:val="24"/>
        </w:rPr>
        <w:t>Inatsisartutlov</w:t>
      </w:r>
      <w:proofErr w:type="spellEnd"/>
      <w:r w:rsidRPr="00102DF7">
        <w:rPr>
          <w:rFonts w:ascii="Times New Roman" w:hAnsi="Times New Roman" w:cs="Times New Roman"/>
          <w:sz w:val="24"/>
          <w:szCs w:val="24"/>
        </w:rPr>
        <w:t xml:space="preserve"> nr. 5 af 27. november 2018 om udnyttelse af vandkraftressourcer til produktion af energi (vandkraftloven). </w:t>
      </w:r>
      <w:r>
        <w:rPr>
          <w:rFonts w:ascii="Times New Roman" w:hAnsi="Times New Roman" w:cs="Times New Roman"/>
          <w:sz w:val="24"/>
          <w:szCs w:val="24"/>
        </w:rPr>
        <w:t xml:space="preserve"> </w:t>
      </w:r>
    </w:p>
    <w:p w14:paraId="1D024DF0" w14:textId="77777777" w:rsidR="00102DF7" w:rsidRDefault="00102DF7" w:rsidP="00E8337B">
      <w:pPr>
        <w:rPr>
          <w:rFonts w:ascii="Times New Roman" w:hAnsi="Times New Roman" w:cs="Times New Roman"/>
          <w:sz w:val="24"/>
          <w:szCs w:val="24"/>
        </w:rPr>
      </w:pPr>
    </w:p>
    <w:p w14:paraId="1D98AA72" w14:textId="77777777" w:rsidR="00102DF7" w:rsidRDefault="00102DF7" w:rsidP="00E8337B">
      <w:pPr>
        <w:rPr>
          <w:rFonts w:ascii="Times New Roman" w:hAnsi="Times New Roman" w:cs="Times New Roman"/>
          <w:sz w:val="24"/>
          <w:szCs w:val="24"/>
        </w:rPr>
      </w:pPr>
      <w:r w:rsidRPr="00102DF7">
        <w:rPr>
          <w:rFonts w:ascii="Times New Roman" w:hAnsi="Times New Roman" w:cs="Times New Roman"/>
          <w:sz w:val="24"/>
          <w:szCs w:val="24"/>
        </w:rPr>
        <w:t xml:space="preserve">Bekendtgørelsen medfører, at </w:t>
      </w:r>
      <w:proofErr w:type="spellStart"/>
      <w:r w:rsidRPr="00102DF7">
        <w:rPr>
          <w:rFonts w:ascii="Times New Roman" w:hAnsi="Times New Roman" w:cs="Times New Roman"/>
          <w:sz w:val="24"/>
          <w:szCs w:val="24"/>
        </w:rPr>
        <w:t>Naalakkersuisut</w:t>
      </w:r>
      <w:proofErr w:type="spellEnd"/>
      <w:r w:rsidRPr="00102DF7">
        <w:rPr>
          <w:rFonts w:ascii="Times New Roman" w:hAnsi="Times New Roman" w:cs="Times New Roman"/>
          <w:sz w:val="24"/>
          <w:szCs w:val="24"/>
        </w:rPr>
        <w:t xml:space="preserve"> kan få dækket udgifter i forbindelse med myndighedsbehandling af ansøgninger eller licenser på vandkraftområdet. Dækning af udgifter indhentes hos den enkelte ansøger eller rettighedshaver. </w:t>
      </w:r>
    </w:p>
    <w:p w14:paraId="2DCD27ED" w14:textId="77777777" w:rsidR="00102DF7" w:rsidRDefault="00102DF7" w:rsidP="00E8337B">
      <w:pPr>
        <w:rPr>
          <w:rFonts w:ascii="Times New Roman" w:hAnsi="Times New Roman" w:cs="Times New Roman"/>
          <w:sz w:val="24"/>
          <w:szCs w:val="24"/>
        </w:rPr>
      </w:pPr>
    </w:p>
    <w:p w14:paraId="57A118A9" w14:textId="04CFAA83" w:rsidR="00E8337B" w:rsidRPr="00E8337B" w:rsidRDefault="00E8337B" w:rsidP="00E8337B">
      <w:pPr>
        <w:rPr>
          <w:rFonts w:ascii="Times New Roman" w:hAnsi="Times New Roman" w:cs="Times New Roman"/>
          <w:sz w:val="24"/>
          <w:szCs w:val="24"/>
        </w:rPr>
      </w:pPr>
      <w:r w:rsidRPr="00E8337B">
        <w:rPr>
          <w:rFonts w:ascii="Times New Roman" w:hAnsi="Times New Roman" w:cs="Times New Roman"/>
          <w:sz w:val="24"/>
          <w:szCs w:val="24"/>
        </w:rPr>
        <w:t xml:space="preserve">Bekendtgørelsen fastsætter, at en ansøger til forundersøgelsestilladelse eller udnyttelsestilladelse af vandkraftressourcer til produktion af energi, skal refundere omkostninger til </w:t>
      </w:r>
      <w:proofErr w:type="spellStart"/>
      <w:r w:rsidRPr="00E8337B">
        <w:rPr>
          <w:rFonts w:ascii="Times New Roman" w:hAnsi="Times New Roman" w:cs="Times New Roman"/>
          <w:sz w:val="24"/>
          <w:szCs w:val="24"/>
        </w:rPr>
        <w:t>Naalakkersuisuts</w:t>
      </w:r>
      <w:proofErr w:type="spellEnd"/>
      <w:r w:rsidRPr="00E8337B">
        <w:rPr>
          <w:rFonts w:ascii="Times New Roman" w:hAnsi="Times New Roman" w:cs="Times New Roman"/>
          <w:sz w:val="24"/>
          <w:szCs w:val="24"/>
        </w:rPr>
        <w:t xml:space="preserve"> myndighedsbehandling. Dette indebærer både sagsbehandling, ekstern konsulentbistand samt tilsyn i forbindelse med behandling af en tilladelse.</w:t>
      </w:r>
    </w:p>
    <w:p w14:paraId="5A3BE7A1" w14:textId="77777777" w:rsidR="00E8337B" w:rsidRPr="00E8337B" w:rsidRDefault="00E8337B" w:rsidP="00E8337B">
      <w:pPr>
        <w:rPr>
          <w:rFonts w:ascii="Times New Roman" w:hAnsi="Times New Roman" w:cs="Times New Roman"/>
          <w:sz w:val="24"/>
          <w:szCs w:val="24"/>
        </w:rPr>
      </w:pPr>
    </w:p>
    <w:p w14:paraId="4731FC55" w14:textId="77777777" w:rsidR="00E8337B" w:rsidRPr="00E8337B" w:rsidRDefault="00E8337B" w:rsidP="00E8337B">
      <w:pPr>
        <w:rPr>
          <w:rFonts w:ascii="Times New Roman" w:hAnsi="Times New Roman" w:cs="Times New Roman"/>
          <w:sz w:val="24"/>
          <w:szCs w:val="24"/>
        </w:rPr>
      </w:pPr>
      <w:r w:rsidRPr="00E8337B">
        <w:rPr>
          <w:rFonts w:ascii="Times New Roman" w:hAnsi="Times New Roman" w:cs="Times New Roman"/>
          <w:sz w:val="24"/>
          <w:szCs w:val="24"/>
        </w:rPr>
        <w:t>Bekendtgørelsen fastsætter en række gebyrer, der dækker hele eller dele af omkostningerne ved sagsbehandling:</w:t>
      </w:r>
    </w:p>
    <w:p w14:paraId="63AA117C" w14:textId="77777777" w:rsidR="00E8337B" w:rsidRPr="00E8337B" w:rsidRDefault="00E8337B" w:rsidP="00E8337B">
      <w:pPr>
        <w:pStyle w:val="Listeafsnit"/>
        <w:numPr>
          <w:ilvl w:val="0"/>
          <w:numId w:val="2"/>
        </w:numPr>
        <w:ind w:left="284" w:hanging="247"/>
        <w:rPr>
          <w:rFonts w:ascii="Times New Roman" w:hAnsi="Times New Roman" w:cs="Times New Roman"/>
          <w:sz w:val="24"/>
          <w:szCs w:val="24"/>
        </w:rPr>
      </w:pPr>
      <w:r w:rsidRPr="00E8337B">
        <w:rPr>
          <w:rFonts w:ascii="Times New Roman" w:hAnsi="Times New Roman" w:cs="Times New Roman"/>
          <w:sz w:val="24"/>
          <w:szCs w:val="24"/>
        </w:rPr>
        <w:t>Et gebyr på 10.000 kr. ved indsendelse af ansøgning til forundersøgelsestilladelse,</w:t>
      </w:r>
    </w:p>
    <w:p w14:paraId="0E6D9C44" w14:textId="77777777" w:rsidR="00E8337B" w:rsidRPr="00E8337B" w:rsidRDefault="00E8337B" w:rsidP="00E8337B">
      <w:pPr>
        <w:pStyle w:val="Listeafsnit"/>
        <w:numPr>
          <w:ilvl w:val="0"/>
          <w:numId w:val="2"/>
        </w:numPr>
        <w:ind w:left="284" w:hanging="247"/>
        <w:rPr>
          <w:rFonts w:ascii="Times New Roman" w:hAnsi="Times New Roman" w:cs="Times New Roman"/>
          <w:sz w:val="24"/>
          <w:szCs w:val="24"/>
        </w:rPr>
      </w:pPr>
      <w:r w:rsidRPr="00E8337B">
        <w:rPr>
          <w:rFonts w:ascii="Times New Roman" w:hAnsi="Times New Roman" w:cs="Times New Roman"/>
          <w:sz w:val="24"/>
          <w:szCs w:val="24"/>
        </w:rPr>
        <w:t xml:space="preserve">Et gebyr på 25.000 kr. ved meddelelse af tilladelse til forundersøgelse, </w:t>
      </w:r>
    </w:p>
    <w:p w14:paraId="1E10847E" w14:textId="77777777" w:rsidR="00E8337B" w:rsidRPr="00E8337B" w:rsidRDefault="00E8337B" w:rsidP="00E8337B">
      <w:pPr>
        <w:pStyle w:val="Listeafsnit"/>
        <w:numPr>
          <w:ilvl w:val="0"/>
          <w:numId w:val="2"/>
        </w:numPr>
        <w:ind w:left="284" w:hanging="247"/>
        <w:rPr>
          <w:rFonts w:ascii="Times New Roman" w:hAnsi="Times New Roman" w:cs="Times New Roman"/>
          <w:sz w:val="24"/>
          <w:szCs w:val="24"/>
        </w:rPr>
      </w:pPr>
      <w:r w:rsidRPr="00E8337B">
        <w:rPr>
          <w:rFonts w:ascii="Times New Roman" w:hAnsi="Times New Roman" w:cs="Times New Roman"/>
          <w:sz w:val="24"/>
          <w:szCs w:val="24"/>
        </w:rPr>
        <w:t>Et gebyr på 50.000 kr. ved indsendelse af ansøgning til udnyttelsestilladelse,</w:t>
      </w:r>
    </w:p>
    <w:p w14:paraId="7AB79A8E" w14:textId="77777777" w:rsidR="00E8337B" w:rsidRPr="00E8337B" w:rsidRDefault="00E8337B" w:rsidP="00E8337B">
      <w:pPr>
        <w:pStyle w:val="Listeafsnit"/>
        <w:numPr>
          <w:ilvl w:val="0"/>
          <w:numId w:val="2"/>
        </w:numPr>
        <w:ind w:left="284" w:hanging="247"/>
        <w:rPr>
          <w:rFonts w:ascii="Times New Roman" w:hAnsi="Times New Roman" w:cs="Times New Roman"/>
          <w:sz w:val="24"/>
          <w:szCs w:val="24"/>
        </w:rPr>
      </w:pPr>
      <w:r w:rsidRPr="00E8337B">
        <w:rPr>
          <w:rFonts w:ascii="Times New Roman" w:hAnsi="Times New Roman" w:cs="Times New Roman"/>
          <w:sz w:val="24"/>
          <w:szCs w:val="24"/>
        </w:rPr>
        <w:t xml:space="preserve">Et gebyr på 100.000 kr. ved meddelelse af tilladelse til udnyttelse. </w:t>
      </w:r>
    </w:p>
    <w:p w14:paraId="70B1300C" w14:textId="77777777" w:rsidR="00E8337B" w:rsidRPr="00E8337B" w:rsidRDefault="00E8337B" w:rsidP="00E8337B">
      <w:pPr>
        <w:rPr>
          <w:rFonts w:ascii="Times New Roman" w:hAnsi="Times New Roman" w:cs="Times New Roman"/>
          <w:sz w:val="24"/>
          <w:szCs w:val="24"/>
        </w:rPr>
      </w:pPr>
    </w:p>
    <w:p w14:paraId="588D1CF1" w14:textId="77777777" w:rsidR="00E8337B" w:rsidRPr="00E8337B" w:rsidRDefault="00E8337B" w:rsidP="00E8337B">
      <w:pPr>
        <w:rPr>
          <w:rFonts w:ascii="Times New Roman" w:hAnsi="Times New Roman" w:cs="Times New Roman"/>
          <w:sz w:val="24"/>
          <w:szCs w:val="24"/>
        </w:rPr>
      </w:pPr>
      <w:r w:rsidRPr="00E8337B">
        <w:rPr>
          <w:rFonts w:ascii="Times New Roman" w:hAnsi="Times New Roman" w:cs="Times New Roman"/>
          <w:sz w:val="24"/>
          <w:szCs w:val="24"/>
        </w:rPr>
        <w:t>Gebyret ved indsendelse af ansøgning dækker over den indledende sagsbehandling, som fx gennemgang af ansøgning, journalisering og korrespondance med ansøger. Gebyret ved meddelelse af tilladelse omfatter den efterfølgende sagsbehandling, som fx høringsproces, teknisk gennemgang af ansøgning, dialog med ansøger, indhentning og betaling af konsulentbistand, oplæg til politisk godkendelse m.v.</w:t>
      </w:r>
    </w:p>
    <w:p w14:paraId="389C28A3" w14:textId="77777777" w:rsidR="00E8337B" w:rsidRPr="00E8337B" w:rsidRDefault="00E8337B" w:rsidP="00E8337B">
      <w:pPr>
        <w:rPr>
          <w:rFonts w:ascii="Times New Roman" w:hAnsi="Times New Roman" w:cs="Times New Roman"/>
          <w:sz w:val="24"/>
          <w:szCs w:val="24"/>
        </w:rPr>
      </w:pPr>
    </w:p>
    <w:p w14:paraId="59CFBBF2" w14:textId="4ACC27BB" w:rsidR="00E34C11" w:rsidRDefault="00E8337B" w:rsidP="005151D0">
      <w:pPr>
        <w:rPr>
          <w:rFonts w:ascii="Times New Roman" w:hAnsi="Times New Roman" w:cs="Times New Roman"/>
          <w:sz w:val="24"/>
          <w:szCs w:val="24"/>
        </w:rPr>
      </w:pPr>
      <w:r w:rsidRPr="00E8337B">
        <w:rPr>
          <w:rFonts w:ascii="Times New Roman" w:hAnsi="Times New Roman" w:cs="Times New Roman"/>
          <w:sz w:val="24"/>
          <w:szCs w:val="24"/>
        </w:rPr>
        <w:t>Gebyrerne udgør et minimumsbeløb for sagsbehandlingen på baggrund af en time- og udgiftsmæssig gennemsnitbetragtning. Opkrævede udgifter til sagsbehandling reguleres med indbetalte gebyrer jf. bekendtgørelsens §</w:t>
      </w:r>
      <w:r w:rsidR="00220B56">
        <w:rPr>
          <w:rFonts w:ascii="Times New Roman" w:hAnsi="Times New Roman" w:cs="Times New Roman"/>
          <w:sz w:val="24"/>
          <w:szCs w:val="24"/>
        </w:rPr>
        <w:t xml:space="preserve"> </w:t>
      </w:r>
      <w:r w:rsidRPr="00E8337B">
        <w:rPr>
          <w:rFonts w:ascii="Times New Roman" w:hAnsi="Times New Roman" w:cs="Times New Roman"/>
          <w:sz w:val="24"/>
          <w:szCs w:val="24"/>
        </w:rPr>
        <w:t xml:space="preserve">9. Hvis udgifterne overstiger gebyret, betaler ansøgeren de ekstra udgifter, der er </w:t>
      </w:r>
      <w:r w:rsidRPr="00E8337B">
        <w:rPr>
          <w:rFonts w:ascii="Times New Roman" w:hAnsi="Times New Roman" w:cs="Times New Roman"/>
          <w:sz w:val="24"/>
          <w:szCs w:val="24"/>
        </w:rPr>
        <w:lastRenderedPageBreak/>
        <w:t xml:space="preserve">tilknyttet merarbejdet ud fra en fastsat timesats. </w:t>
      </w:r>
      <w:proofErr w:type="spellStart"/>
      <w:r w:rsidRPr="00E8337B">
        <w:rPr>
          <w:rFonts w:ascii="Times New Roman" w:hAnsi="Times New Roman" w:cs="Times New Roman"/>
          <w:sz w:val="24"/>
          <w:szCs w:val="24"/>
        </w:rPr>
        <w:t>Naalakkersuisut</w:t>
      </w:r>
      <w:proofErr w:type="spellEnd"/>
      <w:r w:rsidRPr="00E8337B">
        <w:rPr>
          <w:rFonts w:ascii="Times New Roman" w:hAnsi="Times New Roman" w:cs="Times New Roman"/>
          <w:sz w:val="24"/>
          <w:szCs w:val="24"/>
        </w:rPr>
        <w:t xml:space="preserve"> orienterer én gang årligt ansøger eller licenshaver om det forventede omfang af sagsbehandling i det følgende år. Indtræder der væsentlige ændringer i forhold til tidligere meddelte oplysninger, orienterer </w:t>
      </w:r>
      <w:proofErr w:type="spellStart"/>
      <w:r w:rsidRPr="00E8337B">
        <w:rPr>
          <w:rFonts w:ascii="Times New Roman" w:hAnsi="Times New Roman" w:cs="Times New Roman"/>
          <w:sz w:val="24"/>
          <w:szCs w:val="24"/>
        </w:rPr>
        <w:t>Naalakkersuisut</w:t>
      </w:r>
      <w:proofErr w:type="spellEnd"/>
      <w:r w:rsidRPr="00E8337B">
        <w:rPr>
          <w:rFonts w:ascii="Times New Roman" w:hAnsi="Times New Roman" w:cs="Times New Roman"/>
          <w:sz w:val="24"/>
          <w:szCs w:val="24"/>
        </w:rPr>
        <w:t xml:space="preserve"> betalingspligtige snarest herom.</w:t>
      </w:r>
    </w:p>
    <w:p w14:paraId="116A1EBD" w14:textId="77777777" w:rsidR="001A6B4C" w:rsidRDefault="001A6B4C" w:rsidP="005151D0">
      <w:pPr>
        <w:rPr>
          <w:rFonts w:ascii="Times New Roman" w:hAnsi="Times New Roman" w:cs="Times New Roman"/>
          <w:sz w:val="24"/>
          <w:szCs w:val="24"/>
        </w:rPr>
      </w:pPr>
    </w:p>
    <w:p w14:paraId="2F29FAC0" w14:textId="77777777" w:rsidR="001A6B4C" w:rsidRPr="001A6B4C" w:rsidRDefault="001A6B4C" w:rsidP="001A6B4C">
      <w:pPr>
        <w:autoSpaceDE w:val="0"/>
        <w:autoSpaceDN w:val="0"/>
        <w:adjustRightInd w:val="0"/>
        <w:spacing w:line="240" w:lineRule="auto"/>
        <w:rPr>
          <w:rFonts w:ascii="Times New Roman" w:hAnsi="Times New Roman" w:cs="Times New Roman"/>
          <w:color w:val="000000"/>
          <w:sz w:val="24"/>
          <w:szCs w:val="24"/>
        </w:rPr>
      </w:pPr>
      <w:r w:rsidRPr="001A6B4C">
        <w:rPr>
          <w:rFonts w:ascii="Times New Roman" w:hAnsi="Times New Roman" w:cs="Times New Roman"/>
          <w:b/>
          <w:bCs/>
          <w:color w:val="000000"/>
          <w:sz w:val="24"/>
          <w:szCs w:val="24"/>
        </w:rPr>
        <w:t xml:space="preserve">Bilag: </w:t>
      </w:r>
    </w:p>
    <w:p w14:paraId="7885532A" w14:textId="74FA7D10" w:rsidR="001A6B4C" w:rsidRPr="00E34C11" w:rsidRDefault="001A6B4C" w:rsidP="00B24184">
      <w:pPr>
        <w:autoSpaceDE w:val="0"/>
        <w:autoSpaceDN w:val="0"/>
        <w:adjustRightInd w:val="0"/>
        <w:spacing w:line="240" w:lineRule="auto"/>
        <w:rPr>
          <w:rFonts w:ascii="Times New Roman" w:hAnsi="Times New Roman" w:cs="Times New Roman"/>
          <w:sz w:val="24"/>
          <w:szCs w:val="24"/>
        </w:rPr>
      </w:pPr>
      <w:r w:rsidRPr="001A6B4C">
        <w:rPr>
          <w:rFonts w:ascii="Times New Roman" w:hAnsi="Times New Roman" w:cs="Times New Roman"/>
          <w:color w:val="000000"/>
          <w:sz w:val="24"/>
          <w:szCs w:val="24"/>
        </w:rPr>
        <w:t>Forslag til: Selvstyrets bekendtgørelse om refusion af udgifter ved myndighedsbehandling i forbindelse med udnyttelse af vandkraftress</w:t>
      </w:r>
      <w:r w:rsidR="00B24184">
        <w:rPr>
          <w:rFonts w:ascii="Times New Roman" w:hAnsi="Times New Roman" w:cs="Times New Roman"/>
          <w:color w:val="000000"/>
          <w:sz w:val="24"/>
          <w:szCs w:val="24"/>
        </w:rPr>
        <w:t>ourcer til produktion af energi</w:t>
      </w:r>
      <w:r w:rsidR="00220B56">
        <w:rPr>
          <w:rFonts w:ascii="Times New Roman" w:hAnsi="Times New Roman" w:cs="Times New Roman"/>
          <w:color w:val="000000"/>
          <w:sz w:val="24"/>
          <w:szCs w:val="24"/>
        </w:rPr>
        <w:t>.</w:t>
      </w:r>
    </w:p>
    <w:sectPr w:rsidR="001A6B4C" w:rsidRPr="00E34C11" w:rsidSect="00BD3A41">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F5C9" w14:textId="77777777" w:rsidR="007F2F93" w:rsidRDefault="007F2F93" w:rsidP="00FA2B29">
      <w:pPr>
        <w:spacing w:line="240" w:lineRule="auto"/>
      </w:pPr>
      <w:r>
        <w:separator/>
      </w:r>
    </w:p>
  </w:endnote>
  <w:endnote w:type="continuationSeparator" w:id="0">
    <w:p w14:paraId="7C3D62DC" w14:textId="77777777" w:rsidR="007F2F93" w:rsidRDefault="007F2F93" w:rsidP="00FA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845171"/>
      <w:docPartObj>
        <w:docPartGallery w:val="Page Numbers (Bottom of Page)"/>
        <w:docPartUnique/>
      </w:docPartObj>
    </w:sdtPr>
    <w:sdtEndPr/>
    <w:sdtContent>
      <w:p w14:paraId="172668AC" w14:textId="77777777" w:rsidR="004D553F" w:rsidRDefault="004D553F">
        <w:pPr>
          <w:pStyle w:val="Sidefod"/>
          <w:jc w:val="right"/>
        </w:pPr>
        <w:r>
          <w:fldChar w:fldCharType="begin"/>
        </w:r>
        <w:r>
          <w:instrText>PAGE   \* MERGEFORMAT</w:instrText>
        </w:r>
        <w:r>
          <w:fldChar w:fldCharType="separate"/>
        </w:r>
        <w:r w:rsidR="00220B56">
          <w:rPr>
            <w:noProof/>
          </w:rPr>
          <w:t>2</w:t>
        </w:r>
        <w:r>
          <w:fldChar w:fldCharType="end"/>
        </w:r>
      </w:p>
    </w:sdtContent>
  </w:sdt>
  <w:p w14:paraId="378A4435" w14:textId="77777777" w:rsidR="004D553F" w:rsidRDefault="004D55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24114"/>
      <w:docPartObj>
        <w:docPartGallery w:val="Page Numbers (Bottom of Page)"/>
        <w:docPartUnique/>
      </w:docPartObj>
    </w:sdtPr>
    <w:sdtEndPr/>
    <w:sdtContent>
      <w:p w14:paraId="7E5E9F44" w14:textId="77777777" w:rsidR="004D553F" w:rsidRDefault="004D553F">
        <w:pPr>
          <w:pStyle w:val="Sidefod"/>
          <w:jc w:val="right"/>
        </w:pPr>
        <w:r>
          <w:fldChar w:fldCharType="begin"/>
        </w:r>
        <w:r>
          <w:instrText xml:space="preserve"> PAGE  \* MERGEFORMAT </w:instrText>
        </w:r>
        <w:r>
          <w:fldChar w:fldCharType="separate"/>
        </w:r>
        <w:r w:rsidR="00220B56">
          <w:rPr>
            <w:noProof/>
          </w:rPr>
          <w:t>1</w:t>
        </w:r>
        <w:r>
          <w:fldChar w:fldCharType="end"/>
        </w:r>
      </w:p>
    </w:sdtContent>
  </w:sdt>
  <w:p w14:paraId="0F10F4CF" w14:textId="77777777" w:rsidR="004D553F" w:rsidRDefault="004D55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ED50" w14:textId="77777777" w:rsidR="007F2F93" w:rsidRDefault="007F2F93" w:rsidP="00FA2B29">
      <w:pPr>
        <w:spacing w:line="240" w:lineRule="auto"/>
      </w:pPr>
      <w:r>
        <w:separator/>
      </w:r>
    </w:p>
  </w:footnote>
  <w:footnote w:type="continuationSeparator" w:id="0">
    <w:p w14:paraId="5A60CC79" w14:textId="77777777" w:rsidR="007F2F93" w:rsidRDefault="007F2F93" w:rsidP="00FA2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5DBD" w14:textId="77777777" w:rsidR="004D553F" w:rsidRPr="002F7CFE" w:rsidRDefault="007F2F93" w:rsidP="00B31003">
    <w:pPr>
      <w:pStyle w:val="Lillev"/>
      <w:tabs>
        <w:tab w:val="left" w:pos="6096"/>
      </w:tabs>
      <w:ind w:right="1728"/>
      <w:rPr>
        <w:lang w:val="en-US"/>
      </w:rPr>
    </w:pPr>
    <w:sdt>
      <w:sdtPr>
        <w:id w:val="20680398"/>
        <w:docPartObj>
          <w:docPartGallery w:val="Watermarks"/>
          <w:docPartUnique/>
        </w:docPartObj>
      </w:sdtPr>
      <w:sdtEndPr/>
      <w:sdtContent>
        <w:r w:rsidR="004D553F">
          <w:rPr>
            <w:noProof/>
            <w:lang w:eastAsia="da-DK"/>
          </w:rPr>
          <w:drawing>
            <wp:anchor distT="0" distB="0" distL="114300" distR="114300" simplePos="0" relativeHeight="251556352" behindDoc="1" locked="1" layoutInCell="1" allowOverlap="1" wp14:anchorId="5E216B74" wp14:editId="43242FBC">
              <wp:simplePos x="0" y="0"/>
              <wp:positionH relativeFrom="column">
                <wp:posOffset>266700</wp:posOffset>
              </wp:positionH>
              <wp:positionV relativeFrom="page">
                <wp:posOffset>5404485</wp:posOffset>
              </wp:positionV>
              <wp:extent cx="6504940" cy="5292725"/>
              <wp:effectExtent l="0" t="0" r="0" b="3175"/>
              <wp:wrapNone/>
              <wp:docPr id="5" name="Billede 5"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4D553F" w:rsidRPr="002F7CFE">
      <w:rPr>
        <w:lang w:val="en-US"/>
      </w:rPr>
      <w:t xml:space="preserve">   </w:t>
    </w:r>
  </w:p>
  <w:p w14:paraId="381C1B7D" w14:textId="77777777" w:rsidR="00A402BD" w:rsidRPr="002F7CFE" w:rsidRDefault="007F2F93" w:rsidP="00A402BD">
    <w:pPr>
      <w:pStyle w:val="Lillev"/>
      <w:rPr>
        <w:lang w:val="en-US"/>
      </w:rPr>
    </w:pPr>
    <w:sdt>
      <w:sdtPr>
        <w:id w:val="1180315518"/>
        <w:docPartObj>
          <w:docPartGallery w:val="Watermarks"/>
          <w:docPartUnique/>
        </w:docPartObj>
      </w:sdtPr>
      <w:sdtEndPr/>
      <w:sdtContent>
        <w:r w:rsidR="00A402BD">
          <w:rPr>
            <w:noProof/>
            <w:lang w:eastAsia="da-DK"/>
          </w:rPr>
          <w:drawing>
            <wp:anchor distT="0" distB="0" distL="114300" distR="114300" simplePos="0" relativeHeight="251758080" behindDoc="1" locked="1" layoutInCell="1" allowOverlap="1" wp14:anchorId="5E481D08" wp14:editId="0F8E9EAA">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A402BD" w:rsidRPr="002F7CFE">
      <w:rPr>
        <w:lang w:val="en-US"/>
      </w:rPr>
      <w:t xml:space="preserve">   </w:t>
    </w:r>
  </w:p>
  <w:p w14:paraId="29575FC1" w14:textId="77777777" w:rsidR="00A402BD" w:rsidRDefault="00A402BD" w:rsidP="002F7CFE">
    <w:pPr>
      <w:pStyle w:val="Lillev"/>
      <w:tabs>
        <w:tab w:val="left" w:pos="5812"/>
      </w:tabs>
      <w:ind w:right="2012"/>
      <w:jc w:val="left"/>
      <w:rPr>
        <w:lang w:val="en-US"/>
      </w:rPr>
    </w:pPr>
    <w:r>
      <w:rPr>
        <w:noProof/>
        <w:lang w:eastAsia="da-DK"/>
      </w:rPr>
      <w:drawing>
        <wp:anchor distT="0" distB="0" distL="114300" distR="114300" simplePos="0" relativeHeight="251959808" behindDoc="0" locked="1" layoutInCell="1" allowOverlap="1" wp14:anchorId="6D69A2AB" wp14:editId="08925BD5">
          <wp:simplePos x="0" y="0"/>
          <wp:positionH relativeFrom="column">
            <wp:posOffset>4257675</wp:posOffset>
          </wp:positionH>
          <wp:positionV relativeFrom="page">
            <wp:posOffset>478155</wp:posOffset>
          </wp:positionV>
          <wp:extent cx="2162175" cy="714375"/>
          <wp:effectExtent l="0" t="0" r="9525" b="9525"/>
          <wp:wrapNone/>
          <wp:docPr id="2" name="Billede 2"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F7CFE" w:rsidRPr="002F7CFE">
      <w:rPr>
        <w:lang w:val="en-US"/>
      </w:rPr>
      <w:t>Nunalerinermut</w:t>
    </w:r>
    <w:proofErr w:type="spellEnd"/>
    <w:r w:rsidR="002F7CFE" w:rsidRPr="002F7CFE">
      <w:rPr>
        <w:lang w:val="en-US"/>
      </w:rPr>
      <w:t xml:space="preserve">, </w:t>
    </w:r>
    <w:proofErr w:type="spellStart"/>
    <w:r w:rsidR="002F7CFE" w:rsidRPr="002F7CFE">
      <w:rPr>
        <w:lang w:val="en-US"/>
      </w:rPr>
      <w:t>Imminut</w:t>
    </w:r>
    <w:proofErr w:type="spellEnd"/>
    <w:r w:rsidR="002F7CFE" w:rsidRPr="002F7CFE">
      <w:rPr>
        <w:lang w:val="en-US"/>
      </w:rPr>
      <w:t xml:space="preserve"> </w:t>
    </w:r>
    <w:proofErr w:type="spellStart"/>
    <w:r w:rsidR="002F7CFE" w:rsidRPr="002F7CFE">
      <w:rPr>
        <w:lang w:val="en-US"/>
      </w:rPr>
      <w:t>Pilersornermut</w:t>
    </w:r>
    <w:proofErr w:type="spellEnd"/>
    <w:r w:rsidR="002F7CFE" w:rsidRPr="002F7CFE">
      <w:rPr>
        <w:lang w:val="en-US"/>
      </w:rPr>
      <w:t xml:space="preserve">, </w:t>
    </w:r>
    <w:proofErr w:type="spellStart"/>
    <w:r w:rsidR="002F7CFE" w:rsidRPr="002F7CFE">
      <w:rPr>
        <w:lang w:val="en-US"/>
      </w:rPr>
      <w:t>Nukissiutinut</w:t>
    </w:r>
    <w:proofErr w:type="spellEnd"/>
    <w:r w:rsidR="002F7CFE" w:rsidRPr="002F7CFE">
      <w:rPr>
        <w:lang w:val="en-US"/>
      </w:rPr>
      <w:t xml:space="preserve"> </w:t>
    </w:r>
    <w:proofErr w:type="spellStart"/>
    <w:r w:rsidR="002F7CFE" w:rsidRPr="002F7CFE">
      <w:rPr>
        <w:lang w:val="en-US"/>
      </w:rPr>
      <w:t>A</w:t>
    </w:r>
    <w:r w:rsidR="002F7CFE">
      <w:rPr>
        <w:lang w:val="en-US"/>
      </w:rPr>
      <w:t>vatangiisinullu</w:t>
    </w:r>
    <w:proofErr w:type="spellEnd"/>
    <w:r w:rsidR="002F7CFE">
      <w:rPr>
        <w:lang w:val="en-US"/>
      </w:rPr>
      <w:t xml:space="preserve"> </w:t>
    </w:r>
    <w:proofErr w:type="spellStart"/>
    <w:r w:rsidR="002F7CFE">
      <w:rPr>
        <w:lang w:val="en-US"/>
      </w:rPr>
      <w:t>Naalakkersuisoqarfik</w:t>
    </w:r>
    <w:proofErr w:type="spellEnd"/>
    <w:r w:rsidR="002F7CFE">
      <w:rPr>
        <w:lang w:val="en-US"/>
      </w:rPr>
      <w:t xml:space="preserve"> </w:t>
    </w:r>
  </w:p>
  <w:p w14:paraId="180144AF" w14:textId="77777777" w:rsidR="002F7CFE" w:rsidRPr="002F7CFE" w:rsidRDefault="002F7CFE" w:rsidP="002F7CFE">
    <w:pPr>
      <w:pStyle w:val="Lillev"/>
      <w:tabs>
        <w:tab w:val="left" w:pos="5812"/>
      </w:tabs>
      <w:ind w:right="2012"/>
      <w:jc w:val="left"/>
    </w:pPr>
    <w:r w:rsidRPr="002F7CFE">
      <w:t>Departementet for Landbrug, Selvforsyning, E</w:t>
    </w:r>
    <w:r>
      <w:t>nergi og Miljø</w:t>
    </w:r>
  </w:p>
  <w:p w14:paraId="03B4B1B0" w14:textId="77777777" w:rsidR="00A402BD" w:rsidRPr="002F7CFE" w:rsidRDefault="00A402BD" w:rsidP="00A402BD">
    <w:pPr>
      <w:pStyle w:val="Lillev"/>
      <w:tabs>
        <w:tab w:val="left" w:pos="5245"/>
      </w:tabs>
      <w:ind w:right="2579"/>
      <w:jc w:val="left"/>
    </w:pPr>
  </w:p>
  <w:p w14:paraId="461164AF" w14:textId="77777777" w:rsidR="008B79AB" w:rsidRPr="002F7CFE" w:rsidRDefault="008B79AB" w:rsidP="004C75A8">
    <w:pPr>
      <w:pStyle w:val="Lillev"/>
      <w:tabs>
        <w:tab w:val="left" w:pos="5245"/>
      </w:tabs>
      <w:ind w:right="2579"/>
      <w:jc w:val="left"/>
    </w:pPr>
  </w:p>
  <w:p w14:paraId="24506CCF" w14:textId="77777777" w:rsidR="004D553F" w:rsidRPr="002F7CFE" w:rsidRDefault="004D553F" w:rsidP="004C75A8">
    <w:pPr>
      <w:pStyle w:val="Lillev"/>
      <w:tabs>
        <w:tab w:val="left" w:pos="5245"/>
      </w:tabs>
      <w:ind w:right="2579"/>
      <w:jc w:val="left"/>
    </w:pPr>
  </w:p>
  <w:p w14:paraId="3C6B15DE" w14:textId="77777777" w:rsidR="004D553F" w:rsidRPr="002F7CFE" w:rsidRDefault="004D553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3B9E"/>
    <w:multiLevelType w:val="hybridMultilevel"/>
    <w:tmpl w:val="C47E98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244B20"/>
    <w:multiLevelType w:val="hybridMultilevel"/>
    <w:tmpl w:val="587019C8"/>
    <w:lvl w:ilvl="0" w:tplc="FC201F04">
      <w:numFmt w:val="bullet"/>
      <w:lvlText w:val="•"/>
      <w:lvlJc w:val="left"/>
      <w:pPr>
        <w:ind w:left="1665" w:hanging="1305"/>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17"/>
    <w:rsid w:val="00023D50"/>
    <w:rsid w:val="00027D8E"/>
    <w:rsid w:val="000534E5"/>
    <w:rsid w:val="00062390"/>
    <w:rsid w:val="000D4AAC"/>
    <w:rsid w:val="00101E69"/>
    <w:rsid w:val="00102DF7"/>
    <w:rsid w:val="00106139"/>
    <w:rsid w:val="001105D8"/>
    <w:rsid w:val="001113B9"/>
    <w:rsid w:val="001466D0"/>
    <w:rsid w:val="001648A2"/>
    <w:rsid w:val="0017656E"/>
    <w:rsid w:val="00180F8C"/>
    <w:rsid w:val="001A583A"/>
    <w:rsid w:val="001A6B4C"/>
    <w:rsid w:val="001B27C6"/>
    <w:rsid w:val="001E2D2A"/>
    <w:rsid w:val="001F3B9C"/>
    <w:rsid w:val="00220B56"/>
    <w:rsid w:val="00244190"/>
    <w:rsid w:val="0025400E"/>
    <w:rsid w:val="002907DD"/>
    <w:rsid w:val="0029289B"/>
    <w:rsid w:val="002D3AEC"/>
    <w:rsid w:val="002E3933"/>
    <w:rsid w:val="002F73D0"/>
    <w:rsid w:val="002F7CFE"/>
    <w:rsid w:val="003239DC"/>
    <w:rsid w:val="0037474E"/>
    <w:rsid w:val="00386064"/>
    <w:rsid w:val="003C5CC9"/>
    <w:rsid w:val="003D4E14"/>
    <w:rsid w:val="0043467E"/>
    <w:rsid w:val="004402D4"/>
    <w:rsid w:val="00443203"/>
    <w:rsid w:val="00453104"/>
    <w:rsid w:val="00465A30"/>
    <w:rsid w:val="004A4E9F"/>
    <w:rsid w:val="004A6F96"/>
    <w:rsid w:val="004C75A8"/>
    <w:rsid w:val="004D553F"/>
    <w:rsid w:val="005151D0"/>
    <w:rsid w:val="0052251E"/>
    <w:rsid w:val="005328F6"/>
    <w:rsid w:val="00574DFE"/>
    <w:rsid w:val="00585DC4"/>
    <w:rsid w:val="005A226D"/>
    <w:rsid w:val="005C1CB7"/>
    <w:rsid w:val="0069759A"/>
    <w:rsid w:val="00724820"/>
    <w:rsid w:val="007357A0"/>
    <w:rsid w:val="007837F2"/>
    <w:rsid w:val="007D2B17"/>
    <w:rsid w:val="007D3B61"/>
    <w:rsid w:val="007F2F93"/>
    <w:rsid w:val="007F3259"/>
    <w:rsid w:val="008114E1"/>
    <w:rsid w:val="00835854"/>
    <w:rsid w:val="008520F1"/>
    <w:rsid w:val="008728BB"/>
    <w:rsid w:val="00874C50"/>
    <w:rsid w:val="00897142"/>
    <w:rsid w:val="008B5055"/>
    <w:rsid w:val="008B79AB"/>
    <w:rsid w:val="008C1829"/>
    <w:rsid w:val="008C1B84"/>
    <w:rsid w:val="008F6724"/>
    <w:rsid w:val="00901840"/>
    <w:rsid w:val="00986E1B"/>
    <w:rsid w:val="0099749D"/>
    <w:rsid w:val="00997CA9"/>
    <w:rsid w:val="009C415C"/>
    <w:rsid w:val="009E4C9F"/>
    <w:rsid w:val="009F308B"/>
    <w:rsid w:val="00A22047"/>
    <w:rsid w:val="00A402BD"/>
    <w:rsid w:val="00A40464"/>
    <w:rsid w:val="00A7764A"/>
    <w:rsid w:val="00AA58BA"/>
    <w:rsid w:val="00AB4C37"/>
    <w:rsid w:val="00AC7977"/>
    <w:rsid w:val="00AF57F4"/>
    <w:rsid w:val="00AF5967"/>
    <w:rsid w:val="00B1087E"/>
    <w:rsid w:val="00B24184"/>
    <w:rsid w:val="00B31003"/>
    <w:rsid w:val="00B517D4"/>
    <w:rsid w:val="00B525FE"/>
    <w:rsid w:val="00B75A84"/>
    <w:rsid w:val="00B83E52"/>
    <w:rsid w:val="00B8774F"/>
    <w:rsid w:val="00BD36CC"/>
    <w:rsid w:val="00BD3A41"/>
    <w:rsid w:val="00BF1359"/>
    <w:rsid w:val="00C034BB"/>
    <w:rsid w:val="00C04EE4"/>
    <w:rsid w:val="00C63E01"/>
    <w:rsid w:val="00C76FC4"/>
    <w:rsid w:val="00C80F78"/>
    <w:rsid w:val="00C84116"/>
    <w:rsid w:val="00CA02F2"/>
    <w:rsid w:val="00CB4DF4"/>
    <w:rsid w:val="00CE7FA0"/>
    <w:rsid w:val="00CF289A"/>
    <w:rsid w:val="00D16BC4"/>
    <w:rsid w:val="00D172EA"/>
    <w:rsid w:val="00D40210"/>
    <w:rsid w:val="00D41F1F"/>
    <w:rsid w:val="00D46138"/>
    <w:rsid w:val="00D64CED"/>
    <w:rsid w:val="00D84006"/>
    <w:rsid w:val="00DC6C04"/>
    <w:rsid w:val="00E14371"/>
    <w:rsid w:val="00E34C11"/>
    <w:rsid w:val="00E61A77"/>
    <w:rsid w:val="00E8337B"/>
    <w:rsid w:val="00EE48FC"/>
    <w:rsid w:val="00EF3466"/>
    <w:rsid w:val="00F36F76"/>
    <w:rsid w:val="00F635F7"/>
    <w:rsid w:val="00F94465"/>
    <w:rsid w:val="00FA2B29"/>
    <w:rsid w:val="00FC3EAA"/>
    <w:rsid w:val="00FC72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858B"/>
  <w15:docId w15:val="{0F722577-C5C7-44FA-8495-FB50FD79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3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4D553F"/>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4D553F"/>
    <w:rPr>
      <w:rFonts w:ascii="Arial" w:eastAsia="Times New Roman" w:hAnsi="Arial" w:cs="Times New Roman"/>
      <w:sz w:val="14"/>
      <w:szCs w:val="24"/>
    </w:rPr>
  </w:style>
  <w:style w:type="table" w:styleId="Tabel-Gitter">
    <w:name w:val="Table Grid"/>
    <w:basedOn w:val="Tabel-Normal"/>
    <w:uiPriority w:val="59"/>
    <w:rsid w:val="00465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Default">
    <w:name w:val="Default"/>
    <w:rsid w:val="008C1B84"/>
    <w:pPr>
      <w:autoSpaceDE w:val="0"/>
      <w:autoSpaceDN w:val="0"/>
      <w:adjustRightInd w:val="0"/>
      <w:spacing w:line="240" w:lineRule="auto"/>
    </w:pPr>
    <w:rPr>
      <w:rFonts w:ascii="Verdana" w:hAnsi="Verdana" w:cs="Verdana"/>
      <w:color w:val="000000"/>
      <w:sz w:val="24"/>
      <w:szCs w:val="24"/>
    </w:rPr>
  </w:style>
  <w:style w:type="paragraph" w:customStyle="1" w:styleId="Notat">
    <w:name w:val="Notat"/>
    <w:basedOn w:val="Normal"/>
    <w:rsid w:val="00453104"/>
    <w:pPr>
      <w:jc w:val="both"/>
    </w:pPr>
    <w:rPr>
      <w:rFonts w:ascii="Arial" w:eastAsia="Times New Roman" w:hAnsi="Arial" w:cs="Times New Roman"/>
      <w:b/>
      <w:sz w:val="28"/>
      <w:szCs w:val="24"/>
    </w:rPr>
  </w:style>
  <w:style w:type="paragraph" w:styleId="Listeafsnit">
    <w:name w:val="List Paragraph"/>
    <w:basedOn w:val="Normal"/>
    <w:uiPriority w:val="34"/>
    <w:qFormat/>
    <w:rsid w:val="00E8337B"/>
    <w:pPr>
      <w:ind w:left="720"/>
      <w:contextualSpacing/>
    </w:pPr>
  </w:style>
  <w:style w:type="character" w:styleId="Kommentarhenvisning">
    <w:name w:val="annotation reference"/>
    <w:basedOn w:val="Standardskrifttypeiafsnit"/>
    <w:uiPriority w:val="99"/>
    <w:semiHidden/>
    <w:unhideWhenUsed/>
    <w:rsid w:val="00BF1359"/>
    <w:rPr>
      <w:sz w:val="16"/>
      <w:szCs w:val="16"/>
    </w:rPr>
  </w:style>
  <w:style w:type="paragraph" w:styleId="Kommentartekst">
    <w:name w:val="annotation text"/>
    <w:basedOn w:val="Normal"/>
    <w:link w:val="KommentartekstTegn"/>
    <w:uiPriority w:val="99"/>
    <w:semiHidden/>
    <w:unhideWhenUsed/>
    <w:rsid w:val="00BF135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F1359"/>
    <w:rPr>
      <w:sz w:val="20"/>
      <w:szCs w:val="20"/>
    </w:rPr>
  </w:style>
  <w:style w:type="paragraph" w:styleId="Kommentaremne">
    <w:name w:val="annotation subject"/>
    <w:basedOn w:val="Kommentartekst"/>
    <w:next w:val="Kommentartekst"/>
    <w:link w:val="KommentaremneTegn"/>
    <w:uiPriority w:val="99"/>
    <w:semiHidden/>
    <w:unhideWhenUsed/>
    <w:rsid w:val="00BF1359"/>
    <w:rPr>
      <w:b/>
      <w:bCs/>
    </w:rPr>
  </w:style>
  <w:style w:type="character" w:customStyle="1" w:styleId="KommentaremneTegn">
    <w:name w:val="Kommentaremne Tegn"/>
    <w:basedOn w:val="KommentartekstTegn"/>
    <w:link w:val="Kommentaremne"/>
    <w:uiPriority w:val="99"/>
    <w:semiHidden/>
    <w:rsid w:val="00BF13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947">
      <w:bodyDiv w:val="1"/>
      <w:marLeft w:val="0"/>
      <w:marRight w:val="0"/>
      <w:marTop w:val="0"/>
      <w:marBottom w:val="0"/>
      <w:divBdr>
        <w:top w:val="none" w:sz="0" w:space="0" w:color="auto"/>
        <w:left w:val="none" w:sz="0" w:space="0" w:color="auto"/>
        <w:bottom w:val="none" w:sz="0" w:space="0" w:color="auto"/>
        <w:right w:val="none" w:sz="0" w:space="0" w:color="auto"/>
      </w:divBdr>
    </w:div>
    <w:div w:id="986936306">
      <w:bodyDiv w:val="1"/>
      <w:marLeft w:val="0"/>
      <w:marRight w:val="0"/>
      <w:marTop w:val="0"/>
      <w:marBottom w:val="0"/>
      <w:divBdr>
        <w:top w:val="none" w:sz="0" w:space="0" w:color="auto"/>
        <w:left w:val="none" w:sz="0" w:space="0" w:color="auto"/>
        <w:bottom w:val="none" w:sz="0" w:space="0" w:color="auto"/>
        <w:right w:val="none" w:sz="0" w:space="0" w:color="auto"/>
      </w:divBdr>
    </w:div>
    <w:div w:id="1313482087">
      <w:bodyDiv w:val="1"/>
      <w:marLeft w:val="0"/>
      <w:marRight w:val="0"/>
      <w:marTop w:val="0"/>
      <w:marBottom w:val="0"/>
      <w:divBdr>
        <w:top w:val="none" w:sz="0" w:space="0" w:color="auto"/>
        <w:left w:val="none" w:sz="0" w:space="0" w:color="auto"/>
        <w:bottom w:val="none" w:sz="0" w:space="0" w:color="auto"/>
        <w:right w:val="none" w:sz="0" w:space="0" w:color="auto"/>
      </w:divBdr>
    </w:div>
    <w:div w:id="1549486355">
      <w:bodyDiv w:val="1"/>
      <w:marLeft w:val="0"/>
      <w:marRight w:val="0"/>
      <w:marTop w:val="0"/>
      <w:marBottom w:val="0"/>
      <w:divBdr>
        <w:top w:val="none" w:sz="0" w:space="0" w:color="auto"/>
        <w:left w:val="none" w:sz="0" w:space="0" w:color="auto"/>
        <w:bottom w:val="none" w:sz="0" w:space="0" w:color="auto"/>
        <w:right w:val="none" w:sz="0" w:space="0" w:color="auto"/>
      </w:divBdr>
    </w:div>
    <w:div w:id="19123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N\AppData\Local\cBrain\F2\.tmp\5465a2ab5d3046249799171b46198d9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$case_f2casenumber$</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$dossier_createddate$</Value>
    </Content>
    <Content xmlns="Captia" id="record_key">
      <Value>$dossier_documentnumber$</Value>
    </Content>
    <ns0:officer>
      <Content xmlns="Captia" id="name1">
        <Value/>
      </Content>
      <Content xmlns="Captia" id="name2">
        <Value/>
      </Content>
      <Content xmlns="Captia" id="address_main:phone_no">
        <Value/>
      </Content>
      <Content xmlns="Captia" id="address_main:email">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73CA-A8C0-4576-81C5-9253D6CB1BA5}">
  <ds:schemaRefs>
    <ds:schemaRef ds:uri="Captia"/>
  </ds:schemaRefs>
</ds:datastoreItem>
</file>

<file path=customXml/itemProps2.xml><?xml version="1.0" encoding="utf-8"?>
<ds:datastoreItem xmlns:ds="http://schemas.openxmlformats.org/officeDocument/2006/customXml" ds:itemID="{A0676C51-F869-473C-B033-A019E34A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5465a2ab5d3046249799171b46198d9c</Template>
  <TotalTime>0</TotalTime>
  <Pages>2</Pages>
  <Words>430</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Jørgensen</dc:creator>
  <cp:lastModifiedBy>Rasmus Olsvig</cp:lastModifiedBy>
  <cp:revision>2</cp:revision>
  <dcterms:created xsi:type="dcterms:W3CDTF">2022-01-31T16:38:00Z</dcterms:created>
  <dcterms:modified xsi:type="dcterms:W3CDTF">2022-01-31T16:38:00Z</dcterms:modified>
</cp:coreProperties>
</file>