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A6584" w14:textId="77777777" w:rsidR="00B90514" w:rsidRPr="00B52EAA" w:rsidRDefault="00B90514" w:rsidP="00BC05B4">
      <w:pPr>
        <w:pStyle w:val="Lille"/>
        <w:framePr w:w="1883" w:h="2821" w:hRule="exact" w:hSpace="181" w:wrap="notBeside" w:vAnchor="page" w:hAnchor="page" w:x="9410" w:y="4843" w:anchorLock="1"/>
      </w:pPr>
      <w:r w:rsidRPr="00B52EAA">
        <w:rPr>
          <w:szCs w:val="20"/>
        </w:rPr>
        <w:t>02-05-2023</w:t>
      </w:r>
    </w:p>
    <w:p w14:paraId="60F5339F" w14:textId="77777777" w:rsidR="00B90514" w:rsidRPr="00B52EAA" w:rsidRDefault="00B90514" w:rsidP="00BC05B4">
      <w:pPr>
        <w:pStyle w:val="Lille"/>
        <w:framePr w:w="1883" w:h="2821" w:hRule="exact" w:hSpace="181" w:wrap="notBeside" w:vAnchor="page" w:hAnchor="page" w:x="9410" w:y="4843" w:anchorLock="1"/>
      </w:pPr>
      <w:proofErr w:type="gramStart"/>
      <w:r w:rsidRPr="00B52EAA">
        <w:t>Sags nr.</w:t>
      </w:r>
      <w:proofErr w:type="gramEnd"/>
      <w:r w:rsidR="009C02CA" w:rsidRPr="00B52EAA">
        <w:t>:</w:t>
      </w:r>
      <w:r w:rsidRPr="00B52EAA">
        <w:t xml:space="preserve"> 2023 - 3558  </w:t>
      </w:r>
    </w:p>
    <w:p w14:paraId="39CA3D38" w14:textId="77777777" w:rsidR="00465A30" w:rsidRPr="00B52EAA" w:rsidRDefault="009C02CA" w:rsidP="00BC05B4">
      <w:pPr>
        <w:pStyle w:val="Lille"/>
        <w:framePr w:w="1883" w:h="2821" w:hRule="exact" w:hSpace="181" w:wrap="notBeside" w:vAnchor="page" w:hAnchor="page" w:x="9410" w:y="4843" w:anchorLock="1"/>
      </w:pPr>
      <w:r w:rsidRPr="00B52EAA">
        <w:t>Akt</w:t>
      </w:r>
      <w:r w:rsidR="00B90514" w:rsidRPr="00B52EAA">
        <w:t xml:space="preserve"> nr.</w:t>
      </w:r>
      <w:r w:rsidRPr="00B52EAA">
        <w:t>:</w:t>
      </w:r>
      <w:r w:rsidR="00B90514" w:rsidRPr="00B52EAA">
        <w:t xml:space="preserve"> 22959234</w:t>
      </w:r>
      <w:r w:rsidR="00465A30" w:rsidRPr="00B52EAA">
        <w:t xml:space="preserve"> </w:t>
      </w:r>
    </w:p>
    <w:p w14:paraId="1E9B71C0" w14:textId="77777777" w:rsidR="00465A30" w:rsidRPr="00B52EAA" w:rsidRDefault="00465A30" w:rsidP="00BC05B4">
      <w:pPr>
        <w:pStyle w:val="Lille"/>
        <w:framePr w:w="1883" w:h="2821" w:hRule="exact" w:hSpace="181" w:wrap="notBeside" w:vAnchor="page" w:hAnchor="page" w:x="9410" w:y="4843" w:anchorLock="1"/>
      </w:pPr>
    </w:p>
    <w:p w14:paraId="4C679583" w14:textId="77777777" w:rsidR="00943261" w:rsidRPr="00B52EAA" w:rsidRDefault="007E01D0" w:rsidP="00BC05B4">
      <w:pPr>
        <w:pStyle w:val="Lille"/>
        <w:framePr w:w="1883" w:h="2821" w:hRule="exact" w:hSpace="181" w:wrap="notBeside" w:vAnchor="page" w:hAnchor="page" w:x="9410" w:y="4843" w:anchorLock="1"/>
      </w:pPr>
      <w:r w:rsidRPr="00B52EAA">
        <w:t>Postboks</w:t>
      </w:r>
      <w:r w:rsidR="00465A30" w:rsidRPr="00B52EAA">
        <w:t xml:space="preserve"> </w:t>
      </w:r>
      <w:r w:rsidR="00943261" w:rsidRPr="00B52EAA">
        <w:t>269</w:t>
      </w:r>
    </w:p>
    <w:p w14:paraId="3CDF965C" w14:textId="77777777" w:rsidR="00943261" w:rsidRPr="00B90514" w:rsidRDefault="00943261" w:rsidP="00BC05B4">
      <w:pPr>
        <w:pStyle w:val="Lille"/>
        <w:framePr w:w="1883" w:h="2821" w:hRule="exact" w:hSpace="181" w:wrap="notBeside" w:vAnchor="page" w:hAnchor="page" w:x="9410" w:y="4843" w:anchorLock="1"/>
        <w:rPr>
          <w:lang w:val="en-US"/>
        </w:rPr>
      </w:pPr>
      <w:r w:rsidRPr="00B90514">
        <w:rPr>
          <w:lang w:val="en-US"/>
        </w:rPr>
        <w:t>3900 Nuuk</w:t>
      </w:r>
    </w:p>
    <w:p w14:paraId="6898241B" w14:textId="77777777" w:rsidR="00943261" w:rsidRPr="00B90514" w:rsidRDefault="00943261" w:rsidP="00BC05B4">
      <w:pPr>
        <w:pStyle w:val="Lille"/>
        <w:framePr w:w="1883" w:h="2821" w:hRule="exact" w:hSpace="181" w:wrap="notBeside" w:vAnchor="page" w:hAnchor="page" w:x="9410" w:y="4843" w:anchorLock="1"/>
        <w:rPr>
          <w:lang w:val="en-US"/>
        </w:rPr>
      </w:pPr>
      <w:proofErr w:type="spellStart"/>
      <w:r w:rsidRPr="00B90514">
        <w:rPr>
          <w:lang w:val="en-US"/>
        </w:rPr>
        <w:t>Tlf</w:t>
      </w:r>
      <w:proofErr w:type="spellEnd"/>
      <w:r w:rsidRPr="00B90514">
        <w:rPr>
          <w:lang w:val="en-US"/>
        </w:rPr>
        <w:t>. (+299) 34 50 00</w:t>
      </w:r>
    </w:p>
    <w:p w14:paraId="2FAE1419" w14:textId="77777777" w:rsidR="00943261" w:rsidRPr="00B90514" w:rsidRDefault="00943261" w:rsidP="00BC05B4">
      <w:pPr>
        <w:pStyle w:val="Lille"/>
        <w:framePr w:w="1883" w:h="2821" w:hRule="exact" w:hSpace="181" w:wrap="notBeside" w:vAnchor="page" w:hAnchor="page" w:x="9410" w:y="4843" w:anchorLock="1"/>
        <w:rPr>
          <w:lang w:val="en-US"/>
        </w:rPr>
      </w:pPr>
      <w:r w:rsidRPr="00B90514">
        <w:rPr>
          <w:lang w:val="en-US"/>
        </w:rPr>
        <w:t>Fax (+299) 34 63 55</w:t>
      </w:r>
    </w:p>
    <w:p w14:paraId="4445D953" w14:textId="77777777" w:rsidR="00465A30" w:rsidRPr="00710C16" w:rsidRDefault="00943261" w:rsidP="00BC05B4">
      <w:pPr>
        <w:pStyle w:val="Lille"/>
        <w:framePr w:w="1883" w:h="2821" w:hRule="exact" w:hSpace="181" w:wrap="notBeside" w:vAnchor="page" w:hAnchor="page" w:x="9410" w:y="4843" w:anchorLock="1"/>
        <w:rPr>
          <w:lang w:val="en-US"/>
        </w:rPr>
      </w:pPr>
      <w:r>
        <w:rPr>
          <w:lang w:val="en-GB"/>
        </w:rPr>
        <w:t xml:space="preserve">E-mail: </w:t>
      </w:r>
      <w:proofErr w:type="spellStart"/>
      <w:r>
        <w:rPr>
          <w:lang w:val="en-GB"/>
        </w:rPr>
        <w:t>apn</w:t>
      </w:r>
      <w:proofErr w:type="spellEnd"/>
      <w:r w:rsidR="00465A30" w:rsidRPr="00710C16">
        <w:rPr>
          <w:lang w:val="en-US"/>
        </w:rPr>
        <w:t>@</w:t>
      </w:r>
      <w:r w:rsidR="00465A30" w:rsidRPr="007D3B61">
        <w:rPr>
          <w:lang w:val="en-US"/>
        </w:rPr>
        <w:t>nanoq</w:t>
      </w:r>
      <w:r w:rsidR="00465A30" w:rsidRPr="00710C16">
        <w:rPr>
          <w:lang w:val="en-US"/>
        </w:rPr>
        <w:t>.gl</w:t>
      </w:r>
    </w:p>
    <w:p w14:paraId="46AF219D" w14:textId="77777777" w:rsidR="00465A30" w:rsidRPr="00710C16" w:rsidRDefault="00EA4BEF" w:rsidP="00BC05B4">
      <w:pPr>
        <w:pStyle w:val="Lille"/>
        <w:framePr w:w="1883" w:h="2821" w:hRule="exact" w:hSpace="181" w:wrap="notBeside" w:vAnchor="page" w:hAnchor="page" w:x="9410" w:y="4843" w:anchorLock="1"/>
        <w:rPr>
          <w:lang w:val="en-US"/>
        </w:rPr>
      </w:pPr>
      <w:r>
        <w:rPr>
          <w:lang w:val="en-US"/>
        </w:rPr>
        <w:t>www.naalakkersuisut</w:t>
      </w:r>
      <w:r w:rsidR="00465A30" w:rsidRPr="00710C16">
        <w:rPr>
          <w:lang w:val="en-US"/>
        </w:rPr>
        <w:t>.gl</w:t>
      </w:r>
    </w:p>
    <w:p w14:paraId="47A9636B" w14:textId="77777777" w:rsidR="00465A30" w:rsidRPr="00710C16" w:rsidRDefault="00465A30" w:rsidP="00BC05B4">
      <w:pPr>
        <w:pStyle w:val="Lille"/>
        <w:framePr w:w="1883" w:h="2821" w:hRule="exact" w:hSpace="181" w:wrap="notBeside" w:vAnchor="page" w:hAnchor="page" w:x="9410" w:y="4843" w:anchorLock="1"/>
        <w:rPr>
          <w:lang w:val="en-US"/>
        </w:rPr>
      </w:pPr>
    </w:p>
    <w:p w14:paraId="4857E27A" w14:textId="77777777" w:rsidR="00465A30" w:rsidRPr="00710C16" w:rsidRDefault="00465A30" w:rsidP="00BC05B4">
      <w:pPr>
        <w:pStyle w:val="Lille"/>
        <w:framePr w:w="1883" w:h="2821" w:hRule="exact" w:hSpace="181" w:wrap="notBeside" w:vAnchor="page" w:hAnchor="page" w:x="9410" w:y="4843" w:anchorLock="1"/>
        <w:rPr>
          <w:lang w:val="en-US"/>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4705"/>
      </w:tblGrid>
      <w:tr w:rsidR="00400FE0" w:rsidRPr="009C02CA" w14:paraId="5679626C" w14:textId="77777777" w:rsidTr="00B52EAA">
        <w:trPr>
          <w:trHeight w:val="2551"/>
        </w:trPr>
        <w:tc>
          <w:tcPr>
            <w:tcW w:w="7824" w:type="dxa"/>
            <w:gridSpan w:val="2"/>
          </w:tcPr>
          <w:p w14:paraId="3828B0BD" w14:textId="77777777" w:rsidR="00B52EAA" w:rsidRPr="00B52EAA" w:rsidRDefault="00B52EAA" w:rsidP="00B52EAA">
            <w:pPr>
              <w:spacing w:line="276" w:lineRule="auto"/>
              <w:rPr>
                <w:b/>
                <w:sz w:val="28"/>
                <w:szCs w:val="28"/>
              </w:rPr>
            </w:pPr>
            <w:r w:rsidRPr="00B52EAA">
              <w:rPr>
                <w:b/>
                <w:sz w:val="28"/>
                <w:szCs w:val="28"/>
              </w:rPr>
              <w:t>Kriterier for tildeling af makrel og sildekvote</w:t>
            </w:r>
          </w:p>
          <w:p w14:paraId="61823FFA" w14:textId="77777777" w:rsidR="0059407A" w:rsidRPr="00B52EAA" w:rsidRDefault="0059407A" w:rsidP="0059407A">
            <w:pPr>
              <w:pStyle w:val="Notat"/>
            </w:pPr>
          </w:p>
          <w:p w14:paraId="5CDD5407" w14:textId="77777777" w:rsidR="0059407A" w:rsidRPr="00B52EAA" w:rsidRDefault="0059407A" w:rsidP="0059407A">
            <w:pPr>
              <w:pStyle w:val="Notat"/>
            </w:pPr>
          </w:p>
          <w:p w14:paraId="31ED7433" w14:textId="77777777" w:rsidR="0059407A" w:rsidRPr="00B52EAA" w:rsidRDefault="0059407A" w:rsidP="0059407A">
            <w:pPr>
              <w:pStyle w:val="Notat"/>
            </w:pPr>
          </w:p>
          <w:p w14:paraId="7D8F9254" w14:textId="77777777" w:rsidR="0059407A" w:rsidRPr="00B52EAA" w:rsidRDefault="0059407A" w:rsidP="0059407A">
            <w:pPr>
              <w:pStyle w:val="Notat"/>
            </w:pPr>
          </w:p>
          <w:p w14:paraId="7060DFF7" w14:textId="77777777" w:rsidR="0059407A" w:rsidRPr="0059407A" w:rsidRDefault="0059407A" w:rsidP="0059407A">
            <w:pPr>
              <w:pStyle w:val="Notat"/>
              <w:rPr>
                <w:rFonts w:cs="Arial"/>
                <w:sz w:val="24"/>
              </w:rPr>
            </w:pPr>
          </w:p>
          <w:p w14:paraId="4F7D0881" w14:textId="77777777" w:rsidR="0059407A" w:rsidRDefault="0059407A" w:rsidP="0059407A">
            <w:pPr>
              <w:pStyle w:val="Notat"/>
              <w:rPr>
                <w:rFonts w:cs="Arial"/>
                <w:sz w:val="24"/>
              </w:rPr>
            </w:pPr>
          </w:p>
          <w:p w14:paraId="0ABC2DC9" w14:textId="77777777" w:rsidR="0059407A" w:rsidRDefault="0059407A" w:rsidP="0059407A">
            <w:pPr>
              <w:pStyle w:val="Notat"/>
              <w:rPr>
                <w:rFonts w:cs="Arial"/>
                <w:sz w:val="24"/>
              </w:rPr>
            </w:pPr>
          </w:p>
          <w:p w14:paraId="5D9FCC9C" w14:textId="77777777" w:rsidR="0059407A" w:rsidRPr="0059407A" w:rsidRDefault="0059407A" w:rsidP="00B52EAA">
            <w:pPr>
              <w:pStyle w:val="Notat"/>
            </w:pPr>
          </w:p>
        </w:tc>
      </w:tr>
      <w:tr w:rsidR="00DD09CF" w:rsidRPr="00B90514" w14:paraId="0EC6CE69" w14:textId="77777777" w:rsidTr="00B52EAA">
        <w:tc>
          <w:tcPr>
            <w:tcW w:w="3119" w:type="dxa"/>
          </w:tcPr>
          <w:p w14:paraId="09C1BCB4" w14:textId="77777777" w:rsidR="00DD09CF" w:rsidRPr="0059407A" w:rsidRDefault="00DD09CF" w:rsidP="00C855C2">
            <w:pPr>
              <w:rPr>
                <w:rFonts w:ascii="Arial" w:hAnsi="Arial" w:cs="Arial"/>
                <w:sz w:val="20"/>
                <w:szCs w:val="20"/>
              </w:rPr>
            </w:pPr>
          </w:p>
          <w:p w14:paraId="6870F558" w14:textId="77777777" w:rsidR="00DD09CF" w:rsidRPr="0059407A" w:rsidRDefault="00DD09CF" w:rsidP="00C855C2">
            <w:pPr>
              <w:rPr>
                <w:rFonts w:ascii="Arial" w:hAnsi="Arial" w:cs="Arial"/>
                <w:sz w:val="20"/>
                <w:szCs w:val="20"/>
              </w:rPr>
            </w:pPr>
          </w:p>
        </w:tc>
        <w:tc>
          <w:tcPr>
            <w:tcW w:w="4705" w:type="dxa"/>
          </w:tcPr>
          <w:p w14:paraId="50811466" w14:textId="77777777" w:rsidR="00B90514" w:rsidRPr="0059407A" w:rsidRDefault="00B90514" w:rsidP="00B90514">
            <w:pPr>
              <w:rPr>
                <w:rFonts w:ascii="Arial" w:hAnsi="Arial" w:cs="Arial"/>
                <w:sz w:val="20"/>
                <w:szCs w:val="20"/>
              </w:rPr>
            </w:pPr>
          </w:p>
          <w:p w14:paraId="02F86852" w14:textId="77777777" w:rsidR="00DD09CF" w:rsidRPr="0059407A" w:rsidRDefault="00DD09CF" w:rsidP="00B90514">
            <w:pPr>
              <w:rPr>
                <w:rFonts w:ascii="Arial" w:hAnsi="Arial" w:cs="Arial"/>
                <w:sz w:val="20"/>
                <w:szCs w:val="20"/>
              </w:rPr>
            </w:pPr>
          </w:p>
        </w:tc>
      </w:tr>
      <w:tr w:rsidR="00DD09CF" w:rsidRPr="00B90514" w14:paraId="4708E71D" w14:textId="77777777" w:rsidTr="00B52EAA">
        <w:tc>
          <w:tcPr>
            <w:tcW w:w="3119" w:type="dxa"/>
          </w:tcPr>
          <w:p w14:paraId="0F18D865" w14:textId="77777777" w:rsidR="00DD09CF" w:rsidRDefault="00DD09CF" w:rsidP="00C855C2">
            <w:pPr>
              <w:rPr>
                <w:rFonts w:ascii="Arial" w:hAnsi="Arial" w:cs="Arial"/>
                <w:sz w:val="20"/>
                <w:szCs w:val="20"/>
              </w:rPr>
            </w:pPr>
          </w:p>
          <w:p w14:paraId="7BE94399" w14:textId="104DADFF" w:rsidR="00B52EAA" w:rsidRPr="0059407A" w:rsidRDefault="00B52EAA" w:rsidP="00C855C2">
            <w:pPr>
              <w:rPr>
                <w:rFonts w:ascii="Arial" w:hAnsi="Arial" w:cs="Arial"/>
                <w:sz w:val="20"/>
                <w:szCs w:val="20"/>
              </w:rPr>
            </w:pPr>
          </w:p>
        </w:tc>
        <w:tc>
          <w:tcPr>
            <w:tcW w:w="4705" w:type="dxa"/>
          </w:tcPr>
          <w:p w14:paraId="3ED330EE" w14:textId="77777777" w:rsidR="00DD09CF" w:rsidRPr="0059407A" w:rsidRDefault="00DD09CF" w:rsidP="00C855C2">
            <w:pPr>
              <w:rPr>
                <w:rFonts w:ascii="Arial" w:hAnsi="Arial" w:cs="Arial"/>
                <w:sz w:val="20"/>
                <w:szCs w:val="20"/>
              </w:rPr>
            </w:pPr>
          </w:p>
        </w:tc>
      </w:tr>
      <w:tr w:rsidR="00DD09CF" w14:paraId="6B36056A" w14:textId="77777777" w:rsidTr="00B52EAA">
        <w:tc>
          <w:tcPr>
            <w:tcW w:w="3119" w:type="dxa"/>
          </w:tcPr>
          <w:p w14:paraId="3B971668" w14:textId="77777777" w:rsidR="00DD09CF" w:rsidRPr="00DD09CF" w:rsidRDefault="002467BD" w:rsidP="0059407A">
            <w:pPr>
              <w:rPr>
                <w:rFonts w:ascii="Arial" w:hAnsi="Arial" w:cs="Arial"/>
                <w:sz w:val="20"/>
                <w:szCs w:val="20"/>
              </w:rPr>
            </w:pPr>
            <w:r>
              <w:rPr>
                <w:rFonts w:ascii="Arial" w:hAnsi="Arial" w:cs="Arial"/>
                <w:sz w:val="20"/>
                <w:szCs w:val="20"/>
              </w:rPr>
              <w:br/>
            </w:r>
          </w:p>
        </w:tc>
        <w:tc>
          <w:tcPr>
            <w:tcW w:w="4705" w:type="dxa"/>
          </w:tcPr>
          <w:p w14:paraId="2E436993" w14:textId="77777777" w:rsidR="00DD09CF" w:rsidRPr="00DD09CF" w:rsidRDefault="00DD09CF" w:rsidP="00C855C2">
            <w:pPr>
              <w:rPr>
                <w:rFonts w:ascii="Arial" w:hAnsi="Arial" w:cs="Arial"/>
                <w:sz w:val="20"/>
                <w:szCs w:val="20"/>
              </w:rPr>
            </w:pPr>
          </w:p>
        </w:tc>
      </w:tr>
      <w:tr w:rsidR="00B52EAA" w14:paraId="2484033E" w14:textId="77777777" w:rsidTr="00B52EAA">
        <w:tc>
          <w:tcPr>
            <w:tcW w:w="3119" w:type="dxa"/>
          </w:tcPr>
          <w:p w14:paraId="71B5DD10" w14:textId="77777777" w:rsidR="00B52EAA" w:rsidRDefault="00B52EAA" w:rsidP="0059407A">
            <w:pPr>
              <w:rPr>
                <w:rFonts w:ascii="Arial" w:hAnsi="Arial" w:cs="Arial"/>
                <w:sz w:val="20"/>
                <w:szCs w:val="20"/>
              </w:rPr>
            </w:pPr>
          </w:p>
        </w:tc>
        <w:tc>
          <w:tcPr>
            <w:tcW w:w="4705" w:type="dxa"/>
          </w:tcPr>
          <w:p w14:paraId="68EE9982" w14:textId="77777777" w:rsidR="00B52EAA" w:rsidRPr="00DD09CF" w:rsidRDefault="00B52EAA" w:rsidP="00C855C2">
            <w:pPr>
              <w:rPr>
                <w:rFonts w:ascii="Arial" w:hAnsi="Arial" w:cs="Arial"/>
                <w:sz w:val="20"/>
                <w:szCs w:val="20"/>
              </w:rPr>
            </w:pPr>
          </w:p>
        </w:tc>
      </w:tr>
      <w:tr w:rsidR="00DD09CF" w14:paraId="0BF13874" w14:textId="77777777" w:rsidTr="00B52EAA">
        <w:tc>
          <w:tcPr>
            <w:tcW w:w="3119" w:type="dxa"/>
          </w:tcPr>
          <w:p w14:paraId="127AAB9F" w14:textId="77777777" w:rsidR="00DD09CF" w:rsidRPr="00DD09CF" w:rsidRDefault="00DD09CF" w:rsidP="00C855C2">
            <w:pPr>
              <w:rPr>
                <w:rFonts w:ascii="Arial" w:hAnsi="Arial" w:cs="Arial"/>
                <w:sz w:val="20"/>
                <w:szCs w:val="20"/>
              </w:rPr>
            </w:pPr>
          </w:p>
        </w:tc>
        <w:tc>
          <w:tcPr>
            <w:tcW w:w="4705" w:type="dxa"/>
          </w:tcPr>
          <w:p w14:paraId="0716ACD6" w14:textId="77777777" w:rsidR="00DD09CF" w:rsidRPr="00DD09CF" w:rsidRDefault="00DD09CF" w:rsidP="00C855C2">
            <w:pPr>
              <w:rPr>
                <w:rFonts w:ascii="Arial" w:hAnsi="Arial" w:cs="Arial"/>
                <w:sz w:val="20"/>
                <w:szCs w:val="20"/>
              </w:rPr>
            </w:pPr>
          </w:p>
        </w:tc>
      </w:tr>
      <w:tr w:rsidR="00DD09CF" w:rsidRPr="002467BD" w14:paraId="6C1E99F8" w14:textId="77777777" w:rsidTr="00B52EAA">
        <w:tc>
          <w:tcPr>
            <w:tcW w:w="3119" w:type="dxa"/>
          </w:tcPr>
          <w:p w14:paraId="400F8226" w14:textId="77777777" w:rsidR="00DD09CF" w:rsidRPr="002467BD" w:rsidRDefault="00DD09CF" w:rsidP="00C855C2">
            <w:pPr>
              <w:rPr>
                <w:rFonts w:ascii="Arial" w:hAnsi="Arial" w:cs="Arial"/>
                <w:sz w:val="20"/>
                <w:szCs w:val="20"/>
              </w:rPr>
            </w:pPr>
          </w:p>
        </w:tc>
        <w:tc>
          <w:tcPr>
            <w:tcW w:w="4705" w:type="dxa"/>
          </w:tcPr>
          <w:p w14:paraId="2E00B4A3" w14:textId="77777777" w:rsidR="00DD09CF" w:rsidRPr="002467BD" w:rsidRDefault="00DD09CF" w:rsidP="00C855C2">
            <w:pPr>
              <w:rPr>
                <w:rFonts w:ascii="Arial" w:hAnsi="Arial" w:cs="Arial"/>
                <w:sz w:val="20"/>
                <w:szCs w:val="20"/>
              </w:rPr>
            </w:pPr>
          </w:p>
        </w:tc>
      </w:tr>
    </w:tbl>
    <w:p w14:paraId="01D0DA3C" w14:textId="6D88A4C2" w:rsidR="00B52EAA" w:rsidRPr="00B52EAA" w:rsidRDefault="00B52EAA" w:rsidP="00B52EAA">
      <w:pPr>
        <w:rPr>
          <w:b/>
          <w:iCs/>
          <w:sz w:val="24"/>
          <w:szCs w:val="24"/>
        </w:rPr>
      </w:pPr>
      <w:r w:rsidRPr="00B52EAA">
        <w:rPr>
          <w:b/>
          <w:iCs/>
          <w:sz w:val="24"/>
          <w:szCs w:val="24"/>
        </w:rPr>
        <w:t>Fordeling af makrel</w:t>
      </w:r>
    </w:p>
    <w:p w14:paraId="787C2E80" w14:textId="76EB4F95" w:rsidR="00B52EAA" w:rsidRPr="006D7C84" w:rsidRDefault="00B52EAA" w:rsidP="00B52EAA">
      <w:r w:rsidRPr="006D7C84">
        <w:t xml:space="preserve">Makrelkvote fordeles til selskaber med kvalificerede grønlandske fartøjer, der har haft makrelkvote i 2022. Mængden fordeles ligeligt mellem de kvalificerede grønlandske fartøjer, som selskaberne har planer om at bruge i makrelfiskeriet i 2023. </w:t>
      </w:r>
      <w:r w:rsidR="006D7C84" w:rsidRPr="006D7C84">
        <w:t xml:space="preserve">Der er krav om, at der skal søges efter makrel i Østgrønland. </w:t>
      </w:r>
    </w:p>
    <w:p w14:paraId="78DCDA07" w14:textId="39728191" w:rsidR="00B52EAA" w:rsidRPr="00B52EAA" w:rsidRDefault="00B52EAA" w:rsidP="00B52EAA">
      <w:pPr>
        <w:jc w:val="both"/>
        <w:rPr>
          <w:b/>
          <w:bCs/>
        </w:rPr>
      </w:pPr>
      <w:r>
        <w:rPr>
          <w:b/>
          <w:bCs/>
        </w:rPr>
        <w:t xml:space="preserve">Søgning i Østgrønland: </w:t>
      </w:r>
    </w:p>
    <w:p w14:paraId="089F67F6" w14:textId="39F3EAC2" w:rsidR="00B52EAA" w:rsidRPr="006D7C84" w:rsidRDefault="00B52EAA" w:rsidP="00B52EAA">
      <w:pPr>
        <w:jc w:val="both"/>
        <w:rPr>
          <w:b/>
          <w:bCs/>
        </w:rPr>
      </w:pPr>
      <w:bookmarkStart w:id="0" w:name="_Hlk130376065"/>
      <w:r w:rsidRPr="006D7C84">
        <w:rPr>
          <w:b/>
          <w:bCs/>
        </w:rPr>
        <w:t xml:space="preserve">Hvis der kan chartres et fartøj: </w:t>
      </w:r>
      <w:bookmarkEnd w:id="0"/>
    </w:p>
    <w:p w14:paraId="22ECD439" w14:textId="5FFE4D9A" w:rsidR="00B52EAA" w:rsidRDefault="00B52EAA" w:rsidP="00B52EAA">
      <w:pPr>
        <w:jc w:val="both"/>
      </w:pPr>
      <w:r>
        <w:t xml:space="preserve">For at effektiviserer fiskeriet og søgningen i Østgrønland, og dermed have bedre mulighed for at opfiske kvoten, kan selskaberne chartre et fartøj til søgning efter makrel i Østgrønland, mens den øvrige makrelflåde kan få udstedt licenser til international zone med det samme. Det chartrede fartøj skal kunne søge i Østgrønland i perioden omkring 1. august og cirka 25 dage frem. Selskaberne afholder udgifterne til chartringen i fællesskab. Selskaber, der ikke bidrager til chartringen, vil ikke får tildelt makrelkvote næste år.    </w:t>
      </w:r>
    </w:p>
    <w:p w14:paraId="72965549" w14:textId="77777777" w:rsidR="00B52EAA" w:rsidRDefault="00B52EAA" w:rsidP="00B52EAA">
      <w:pPr>
        <w:jc w:val="both"/>
      </w:pPr>
      <w:r>
        <w:t xml:space="preserve">Det chartrede fartøj skal være fra medlemslande i NAFO eller NEAFC undtaget Rusland, eller lande, der har tilsluttet sig Aftalen om havnestatsforanstaltninger, der skal forebygge, afværge og standse ulovligt, </w:t>
      </w:r>
      <w:proofErr w:type="spellStart"/>
      <w:r>
        <w:t>urapporteret</w:t>
      </w:r>
      <w:proofErr w:type="spellEnd"/>
      <w:r>
        <w:t xml:space="preserve"> og ureguleret fiskeri (IUU-fiskeri). </w:t>
      </w:r>
    </w:p>
    <w:p w14:paraId="00950219" w14:textId="3CFC805A" w:rsidR="00B52EAA" w:rsidRDefault="00B52EAA" w:rsidP="00B52EAA">
      <w:pPr>
        <w:jc w:val="both"/>
      </w:pPr>
      <w:r>
        <w:t xml:space="preserve">Departement for Fiskeri skal have skriftlig kopi af chartreaftalen, og godkende denne. </w:t>
      </w:r>
    </w:p>
    <w:p w14:paraId="3DD4E1ED" w14:textId="349D3805" w:rsidR="00A85A3A" w:rsidRDefault="00A85A3A" w:rsidP="00B52EAA">
      <w:pPr>
        <w:jc w:val="both"/>
      </w:pPr>
      <w:r>
        <w:t xml:space="preserve">Det chartrede fartøj får ikke adgang til international zone. </w:t>
      </w:r>
    </w:p>
    <w:p w14:paraId="572CB3DD" w14:textId="073B2E5B" w:rsidR="00B52EAA" w:rsidRPr="00B52EAA" w:rsidRDefault="00B52EAA" w:rsidP="00B52EAA">
      <w:pPr>
        <w:jc w:val="both"/>
        <w:rPr>
          <w:b/>
          <w:bCs/>
        </w:rPr>
      </w:pPr>
      <w:r>
        <w:rPr>
          <w:b/>
          <w:bCs/>
        </w:rPr>
        <w:t xml:space="preserve">Hvis der ikke kan chartres et fartøj: </w:t>
      </w:r>
    </w:p>
    <w:p w14:paraId="49F62701" w14:textId="0DE0AA10" w:rsidR="00B52EAA" w:rsidRDefault="00B52EAA" w:rsidP="00B52EAA">
      <w:pPr>
        <w:jc w:val="both"/>
      </w:pPr>
      <w:r>
        <w:t xml:space="preserve">Lykkedes det ikke at chartre et fartøj, kan hvert fartøj med tildelt makrelkvote i stedet søge i Østgrønland i fem dage (cirka 120 timer). Den første dag starter, når fartøjet </w:t>
      </w:r>
      <w:r>
        <w:lastRenderedPageBreak/>
        <w:t>befinder sig i Østgrønland</w:t>
      </w:r>
      <w:r>
        <w:rPr>
          <w:rStyle w:val="Fodnotehenvisning"/>
        </w:rPr>
        <w:footnoteReference w:id="1"/>
      </w:r>
      <w:r>
        <w:t xml:space="preserve">, og slutter, når det forlader Østgrønland. Der må ikke fiskes efter andet end makrel eller sild i denne periode. Fartøjerne i makrelfiskeriet kan overføre dagene til hinanden, sådan at et fartøj kan søge i Østgrønland på vegne af et andet fartøj. Det er op til selskaberne selv at indgå aftale herom og aftale eventuel kompensation. Departement for Fiskeri skal have skriftlig underretning, hvis et fartøj fisker på vegne af et andet fartøj. </w:t>
      </w:r>
    </w:p>
    <w:p w14:paraId="42BABD1D" w14:textId="7EE8EFD1" w:rsidR="00B52EAA" w:rsidRDefault="00B52EAA" w:rsidP="00B52EAA">
      <w:pPr>
        <w:jc w:val="both"/>
      </w:pPr>
      <w:r>
        <w:t xml:space="preserve">Fartøjer, der ikke har søgt efter makrel i Østgrønland i fem dage, og ikke har haft et andet fartøj til at søge i Østgrønland på vegne af sig i fem dage, vil ikke blive tildelt makrelkvote fremadrettet.  </w:t>
      </w:r>
    </w:p>
    <w:p w14:paraId="44860830" w14:textId="4945141E" w:rsidR="00B52EAA" w:rsidRPr="00B52EAA" w:rsidRDefault="00B52EAA" w:rsidP="00B52EAA">
      <w:pPr>
        <w:jc w:val="both"/>
        <w:rPr>
          <w:b/>
          <w:bCs/>
        </w:rPr>
      </w:pPr>
      <w:r>
        <w:rPr>
          <w:b/>
          <w:bCs/>
        </w:rPr>
        <w:t xml:space="preserve">Adgang i international zone: </w:t>
      </w:r>
    </w:p>
    <w:p w14:paraId="32EC64D3" w14:textId="69F02B4D" w:rsidR="006D7C84" w:rsidRDefault="00B52EAA" w:rsidP="00B52EAA">
      <w:pPr>
        <w:jc w:val="both"/>
      </w:pPr>
      <w:r>
        <w:t xml:space="preserve">For at sikre højst muligt kvoteoptag, indstilles det, at fartøjerne kan få adgang i international zone så </w:t>
      </w:r>
      <w:proofErr w:type="gramStart"/>
      <w:r>
        <w:t>snart</w:t>
      </w:r>
      <w:proofErr w:type="gramEnd"/>
      <w:r>
        <w:t xml:space="preserve"> det er afklaret, om selskaberne vil chartre et fartøj eller selv søge i Østgrønland. </w:t>
      </w:r>
    </w:p>
    <w:p w14:paraId="220BACB9" w14:textId="77777777" w:rsidR="00B52EAA" w:rsidRPr="00B52EAA" w:rsidRDefault="00B52EAA" w:rsidP="00B52EAA">
      <w:pPr>
        <w:spacing w:line="264" w:lineRule="auto"/>
        <w:jc w:val="both"/>
        <w:rPr>
          <w:b/>
          <w:sz w:val="24"/>
          <w:szCs w:val="24"/>
        </w:rPr>
      </w:pPr>
      <w:r w:rsidRPr="00B52EAA">
        <w:rPr>
          <w:b/>
          <w:sz w:val="24"/>
          <w:szCs w:val="24"/>
        </w:rPr>
        <w:t>Fordeling af sild:</w:t>
      </w:r>
    </w:p>
    <w:p w14:paraId="03C7C1C5" w14:textId="77777777" w:rsidR="00B52EAA" w:rsidRPr="00B52EAA" w:rsidRDefault="00B52EAA" w:rsidP="00B52EAA">
      <w:pPr>
        <w:spacing w:line="264" w:lineRule="auto"/>
        <w:jc w:val="both"/>
      </w:pPr>
      <w:r w:rsidRPr="00B52EAA">
        <w:t xml:space="preserve">Sildekvoten tildeles ligeligt mellem kvalificerede grønlandske fartøjer. </w:t>
      </w:r>
    </w:p>
    <w:p w14:paraId="696226C7" w14:textId="33D081D6" w:rsidR="00B52EAA" w:rsidRPr="00B52EAA" w:rsidRDefault="00B52EAA" w:rsidP="00B52EAA">
      <w:pPr>
        <w:spacing w:line="264" w:lineRule="auto"/>
        <w:jc w:val="both"/>
      </w:pPr>
      <w:r>
        <w:t xml:space="preserve">Sildekvoten forbeholdes de selskaber, der får tildelt makrelkvote. Sildekvoten fordeles ligeligt mellem disse selskaber. </w:t>
      </w:r>
      <w:r w:rsidRPr="00B52EAA">
        <w:t xml:space="preserve">Ønsker ingen selskaber at fiske direkte på sild, tildeles kvoten selskaber, der ønsker at fiske makrel i Østgrønland. Kvoten kan dække eventuel bifangst.   </w:t>
      </w:r>
    </w:p>
    <w:p w14:paraId="50C7FA1C" w14:textId="622E3F10" w:rsidR="00B52EAA" w:rsidRDefault="00B52EAA" w:rsidP="00B52EAA">
      <w:pPr>
        <w:spacing w:line="264" w:lineRule="auto"/>
      </w:pPr>
      <w:r>
        <w:t xml:space="preserve">Sildekvote kan </w:t>
      </w:r>
      <w:r w:rsidRPr="00B52EAA">
        <w:rPr>
          <w:b/>
          <w:bCs/>
        </w:rPr>
        <w:t>ikke</w:t>
      </w:r>
      <w:r>
        <w:t xml:space="preserve"> fiskes i international zone</w:t>
      </w:r>
    </w:p>
    <w:p w14:paraId="22D2E009" w14:textId="77777777" w:rsidR="00B52EAA" w:rsidRPr="006D7C84" w:rsidRDefault="00B52EAA" w:rsidP="00B52EAA">
      <w:pPr>
        <w:spacing w:line="264" w:lineRule="auto"/>
        <w:rPr>
          <w:b/>
          <w:sz w:val="24"/>
          <w:szCs w:val="24"/>
        </w:rPr>
      </w:pPr>
      <w:proofErr w:type="spellStart"/>
      <w:r w:rsidRPr="006D7C84">
        <w:rPr>
          <w:b/>
          <w:sz w:val="24"/>
          <w:szCs w:val="24"/>
        </w:rPr>
        <w:t>Refordeling</w:t>
      </w:r>
      <w:proofErr w:type="spellEnd"/>
      <w:r w:rsidRPr="006D7C84">
        <w:rPr>
          <w:b/>
          <w:sz w:val="24"/>
          <w:szCs w:val="24"/>
        </w:rPr>
        <w:t>:</w:t>
      </w:r>
    </w:p>
    <w:p w14:paraId="2EE68D94" w14:textId="42A13FD4" w:rsidR="00B52EAA" w:rsidRPr="00B52EAA" w:rsidRDefault="00B52EAA" w:rsidP="00B52EAA">
      <w:proofErr w:type="spellStart"/>
      <w:r w:rsidRPr="00B52EAA">
        <w:t>Naalakkersuisoq</w:t>
      </w:r>
      <w:proofErr w:type="spellEnd"/>
      <w:r w:rsidRPr="00B52EAA">
        <w:t xml:space="preserve"> for Fiskeri og Fangst er bemyndiget til at </w:t>
      </w:r>
      <w:proofErr w:type="spellStart"/>
      <w:r w:rsidRPr="00B52EAA">
        <w:t>refordele</w:t>
      </w:r>
      <w:proofErr w:type="spellEnd"/>
      <w:r w:rsidRPr="00B52EAA">
        <w:t xml:space="preserve"> makrel-, og sildekvoter i løbet af sæsonen, hvis det bliver relevant. </w:t>
      </w:r>
    </w:p>
    <w:p w14:paraId="627614FA" w14:textId="5AEDA56D" w:rsidR="00B52EAA" w:rsidRPr="00B52EAA" w:rsidRDefault="00B52EAA" w:rsidP="00B52EAA">
      <w:pPr>
        <w:spacing w:line="264" w:lineRule="auto"/>
        <w:jc w:val="both"/>
      </w:pPr>
      <w:r>
        <w:t xml:space="preserve">En </w:t>
      </w:r>
      <w:proofErr w:type="spellStart"/>
      <w:r>
        <w:t>refordeling</w:t>
      </w:r>
      <w:proofErr w:type="spellEnd"/>
      <w:r>
        <w:t xml:space="preserve"> vil først forekomme når et selskab er under 500 tons fra at have opfisket hele sin tildelte kvote. I sådant tilfælde vil selskaber med stor </w:t>
      </w:r>
      <w:proofErr w:type="spellStart"/>
      <w:r>
        <w:t>kvoterest</w:t>
      </w:r>
      <w:proofErr w:type="spellEnd"/>
      <w:r>
        <w:t xml:space="preserve"> blive lynhørt med en høringsfrist på 24 timer. </w:t>
      </w:r>
      <w:proofErr w:type="spellStart"/>
      <w:r>
        <w:t>Naalakkersuisoq</w:t>
      </w:r>
      <w:proofErr w:type="spellEnd"/>
      <w:r>
        <w:t xml:space="preserve"> for Fiskeri og Fangst </w:t>
      </w:r>
      <w:r w:rsidR="006D7C84">
        <w:t xml:space="preserve">er </w:t>
      </w:r>
      <w:r>
        <w:t>bemyndige</w:t>
      </w:r>
      <w:r w:rsidR="006D7C84">
        <w:t>t</w:t>
      </w:r>
      <w:r>
        <w:t xml:space="preserve"> til, at </w:t>
      </w:r>
      <w:proofErr w:type="spellStart"/>
      <w:r>
        <w:t>refordele</w:t>
      </w:r>
      <w:proofErr w:type="spellEnd"/>
      <w:r>
        <w:t xml:space="preserve"> makrel-, og sildekvoter i løbet af sæsonen, hvis det bliver relevant.</w:t>
      </w:r>
    </w:p>
    <w:p w14:paraId="670F963B" w14:textId="77777777" w:rsidR="00B52EAA" w:rsidRPr="006D7C84" w:rsidRDefault="00B52EAA" w:rsidP="00B52EAA">
      <w:pPr>
        <w:spacing w:line="264" w:lineRule="auto"/>
        <w:rPr>
          <w:b/>
          <w:sz w:val="24"/>
          <w:szCs w:val="24"/>
        </w:rPr>
      </w:pPr>
      <w:r w:rsidRPr="006D7C84">
        <w:rPr>
          <w:b/>
          <w:sz w:val="24"/>
          <w:szCs w:val="24"/>
        </w:rPr>
        <w:t>Længde- og vægtprøver</w:t>
      </w:r>
    </w:p>
    <w:p w14:paraId="31B4E245" w14:textId="3DBA079C" w:rsidR="00986E1B" w:rsidRPr="006D7C84" w:rsidRDefault="00B52EAA" w:rsidP="006D7C84">
      <w:pPr>
        <w:spacing w:line="264" w:lineRule="auto"/>
        <w:jc w:val="both"/>
      </w:pPr>
      <w:r>
        <w:t>Der skal indsamles længde- og vægtprøver til Grønlands Naturinstitut, ligesom der skal indsendes et vist antal fisk til GN til dna- og maveprøveundersøgelser. Der kan senere blive fastsat andre eller yderligere betingelser i denne henseende. Disse betingelser har gældt alle årene indtil videre og har bidraget med særdeles værdifuld information om makrellens udbredelse i Grønland.</w:t>
      </w:r>
    </w:p>
    <w:sectPr w:rsidR="00986E1B" w:rsidRPr="006D7C84" w:rsidSect="004402D4">
      <w:footerReference w:type="default" r:id="rId9"/>
      <w:headerReference w:type="first" r:id="rId10"/>
      <w:footerReference w:type="first" r:id="rId11"/>
      <w:pgSz w:w="11906" w:h="16838" w:code="9"/>
      <w:pgMar w:top="2268" w:right="2835" w:bottom="737" w:left="1247" w:header="567"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94FA" w14:textId="77777777" w:rsidR="00BC56C7" w:rsidRDefault="00BC56C7" w:rsidP="00FA2B29">
      <w:pPr>
        <w:spacing w:after="0" w:line="240" w:lineRule="auto"/>
      </w:pPr>
      <w:r>
        <w:separator/>
      </w:r>
    </w:p>
  </w:endnote>
  <w:endnote w:type="continuationSeparator" w:id="0">
    <w:p w14:paraId="6EA31F62" w14:textId="77777777" w:rsidR="00BC56C7" w:rsidRDefault="00BC56C7" w:rsidP="00FA2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667999"/>
      <w:docPartObj>
        <w:docPartGallery w:val="Page Numbers (Bottom of Page)"/>
        <w:docPartUnique/>
      </w:docPartObj>
    </w:sdtPr>
    <w:sdtContent>
      <w:p w14:paraId="2CAF8BBC" w14:textId="77777777" w:rsidR="00986E1B" w:rsidRDefault="00986E1B">
        <w:pPr>
          <w:pStyle w:val="Sidefod"/>
          <w:jc w:val="right"/>
        </w:pPr>
        <w:r>
          <w:fldChar w:fldCharType="begin"/>
        </w:r>
        <w:r>
          <w:instrText>PAGE   \* MERGEFORMAT</w:instrText>
        </w:r>
        <w:r>
          <w:fldChar w:fldCharType="separate"/>
        </w:r>
        <w:r>
          <w:rPr>
            <w:noProof/>
          </w:rPr>
          <w:t>2</w:t>
        </w:r>
        <w:r>
          <w:fldChar w:fldCharType="end"/>
        </w:r>
      </w:p>
    </w:sdtContent>
  </w:sdt>
  <w:p w14:paraId="659082D0" w14:textId="77777777" w:rsidR="00874C50" w:rsidRDefault="00874C5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201982"/>
      <w:docPartObj>
        <w:docPartGallery w:val="Page Numbers (Bottom of Page)"/>
        <w:docPartUnique/>
      </w:docPartObj>
    </w:sdtPr>
    <w:sdtContent>
      <w:p w14:paraId="6E08F4AD" w14:textId="77777777" w:rsidR="00986E1B" w:rsidRDefault="00986E1B">
        <w:pPr>
          <w:pStyle w:val="Sidefod"/>
          <w:jc w:val="right"/>
        </w:pPr>
        <w:r>
          <w:fldChar w:fldCharType="begin"/>
        </w:r>
        <w:r>
          <w:instrText xml:space="preserve"> PAGE  \* MERGEFORMAT </w:instrText>
        </w:r>
        <w:r>
          <w:fldChar w:fldCharType="separate"/>
        </w:r>
        <w:r w:rsidR="00E9519E">
          <w:rPr>
            <w:noProof/>
          </w:rPr>
          <w:t>1</w:t>
        </w:r>
        <w:r>
          <w:fldChar w:fldCharType="end"/>
        </w:r>
      </w:p>
    </w:sdtContent>
  </w:sdt>
  <w:p w14:paraId="689F70C1" w14:textId="77777777" w:rsidR="005A226D" w:rsidRDefault="005A22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0E4D3" w14:textId="77777777" w:rsidR="00BC56C7" w:rsidRDefault="00BC56C7" w:rsidP="00FA2B29">
      <w:pPr>
        <w:spacing w:after="0" w:line="240" w:lineRule="auto"/>
      </w:pPr>
      <w:r>
        <w:separator/>
      </w:r>
    </w:p>
  </w:footnote>
  <w:footnote w:type="continuationSeparator" w:id="0">
    <w:p w14:paraId="5A235CE5" w14:textId="77777777" w:rsidR="00BC56C7" w:rsidRDefault="00BC56C7" w:rsidP="00FA2B29">
      <w:pPr>
        <w:spacing w:after="0" w:line="240" w:lineRule="auto"/>
      </w:pPr>
      <w:r>
        <w:continuationSeparator/>
      </w:r>
    </w:p>
  </w:footnote>
  <w:footnote w:id="1">
    <w:p w14:paraId="3E2CBF29" w14:textId="77777777" w:rsidR="00B52EAA" w:rsidRDefault="00B52EAA" w:rsidP="00B52EAA">
      <w:pPr>
        <w:pStyle w:val="Fodnotetekst"/>
      </w:pPr>
      <w:r>
        <w:rPr>
          <w:rStyle w:val="Fodnotehenvisning"/>
        </w:rPr>
        <w:footnoteRef/>
      </w:r>
      <w:r>
        <w:t xml:space="preserve"> Østgrønland som defineret i Selvstyrets bekendtgørelse nr. 4 af 30. marts 2017 om tekniske bevaringsforanstaltninger i fiskeriet §2 stk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E19BE" w14:textId="77777777" w:rsidR="005A226D" w:rsidRDefault="00000000" w:rsidP="00FA2B29">
    <w:pPr>
      <w:pStyle w:val="Lillev"/>
    </w:pPr>
    <w:sdt>
      <w:sdtPr>
        <w:id w:val="1009559856"/>
        <w:docPartObj>
          <w:docPartGallery w:val="Watermarks"/>
          <w:docPartUnique/>
        </w:docPartObj>
      </w:sdtPr>
      <w:sdtContent>
        <w:r w:rsidR="00040CA4">
          <w:rPr>
            <w:noProof/>
            <w:lang w:eastAsia="da-DK"/>
          </w:rPr>
          <w:drawing>
            <wp:anchor distT="0" distB="0" distL="114300" distR="114300" simplePos="0" relativeHeight="251661312" behindDoc="1" locked="1" layoutInCell="1" allowOverlap="1" wp14:anchorId="26D93177" wp14:editId="754B5D45">
              <wp:simplePos x="0" y="0"/>
              <wp:positionH relativeFrom="column">
                <wp:posOffset>266700</wp:posOffset>
              </wp:positionH>
              <wp:positionV relativeFrom="page">
                <wp:posOffset>5404485</wp:posOffset>
              </wp:positionV>
              <wp:extent cx="6504940" cy="5292725"/>
              <wp:effectExtent l="0" t="0" r="0" b="3175"/>
              <wp:wrapNone/>
              <wp:docPr id="1" name="Billede 1" descr="NANOQ_stor_gradiant_bl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stor_gradiant_bla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940" cy="5292725"/>
                      </a:xfrm>
                      <a:prstGeom prst="rect">
                        <a:avLst/>
                      </a:prstGeom>
                      <a:noFill/>
                    </pic:spPr>
                  </pic:pic>
                </a:graphicData>
              </a:graphic>
              <wp14:sizeRelH relativeFrom="page">
                <wp14:pctWidth>0</wp14:pctWidth>
              </wp14:sizeRelH>
              <wp14:sizeRelV relativeFrom="page">
                <wp14:pctHeight>0</wp14:pctHeight>
              </wp14:sizeRelV>
            </wp:anchor>
          </w:drawing>
        </w:r>
      </w:sdtContent>
    </w:sdt>
    <w:r w:rsidR="005A226D">
      <w:t xml:space="preserve">   </w:t>
    </w:r>
  </w:p>
  <w:p w14:paraId="339E7726" w14:textId="77777777" w:rsidR="005A226D" w:rsidRPr="00AB566E" w:rsidRDefault="005A226D" w:rsidP="00FA2B29">
    <w:pPr>
      <w:pStyle w:val="Lillev"/>
    </w:pPr>
    <w:r>
      <w:rPr>
        <w:noProof/>
        <w:lang w:eastAsia="da-DK"/>
      </w:rPr>
      <w:drawing>
        <wp:anchor distT="0" distB="0" distL="114300" distR="114300" simplePos="0" relativeHeight="251659264" behindDoc="0" locked="1" layoutInCell="1" allowOverlap="1" wp14:anchorId="6746255D" wp14:editId="09144006">
          <wp:simplePos x="0" y="0"/>
          <wp:positionH relativeFrom="column">
            <wp:posOffset>4219575</wp:posOffset>
          </wp:positionH>
          <wp:positionV relativeFrom="page">
            <wp:posOffset>382905</wp:posOffset>
          </wp:positionV>
          <wp:extent cx="2162175" cy="714375"/>
          <wp:effectExtent l="0" t="0" r="9525" b="9525"/>
          <wp:wrapNone/>
          <wp:docPr id="3" name="Billede 3" descr="Nanoq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q_logo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2175" cy="714375"/>
                  </a:xfrm>
                  <a:prstGeom prst="rect">
                    <a:avLst/>
                  </a:prstGeom>
                  <a:noFill/>
                </pic:spPr>
              </pic:pic>
            </a:graphicData>
          </a:graphic>
          <wp14:sizeRelH relativeFrom="page">
            <wp14:pctWidth>0</wp14:pctWidth>
          </wp14:sizeRelH>
          <wp14:sizeRelV relativeFrom="page">
            <wp14:pctHeight>0</wp14:pctHeight>
          </wp14:sizeRelV>
        </wp:anchor>
      </w:drawing>
    </w:r>
    <w:r w:rsidR="004C352C" w:rsidRPr="003F14E0">
      <w:t>Aalisarnermut</w:t>
    </w:r>
    <w:r w:rsidR="001B135D">
      <w:t>,</w:t>
    </w:r>
    <w:r w:rsidR="004C352C" w:rsidRPr="003F14E0">
      <w:t xml:space="preserve"> Piniarnermu</w:t>
    </w:r>
    <w:r w:rsidR="001B135D">
      <w:t>t Nunalerinermullu</w:t>
    </w:r>
    <w:r w:rsidR="004C352C" w:rsidRPr="003F14E0">
      <w:t xml:space="preserve"> Naalakkersuisoqarfik</w:t>
    </w:r>
  </w:p>
  <w:p w14:paraId="614DC0A6" w14:textId="77777777" w:rsidR="005A226D" w:rsidRPr="00E25CDA" w:rsidRDefault="007E01D0" w:rsidP="00FA2B29">
    <w:pPr>
      <w:pStyle w:val="Lillev"/>
    </w:pPr>
    <w:r>
      <w:t>Departementet</w:t>
    </w:r>
    <w:r w:rsidR="004C352C">
      <w:t xml:space="preserve"> for Fiskeri</w:t>
    </w:r>
    <w:r w:rsidR="001B135D">
      <w:t xml:space="preserve">, </w:t>
    </w:r>
    <w:r w:rsidR="004C352C">
      <w:t xml:space="preserve">Fangst </w:t>
    </w:r>
    <w:r w:rsidR="001B135D">
      <w:t>og Landbrug</w:t>
    </w:r>
  </w:p>
  <w:p w14:paraId="7EE483F5" w14:textId="77777777" w:rsidR="005A226D" w:rsidRDefault="005A226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17019"/>
    <w:multiLevelType w:val="hybridMultilevel"/>
    <w:tmpl w:val="98C445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16cid:durableId="605119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FA0"/>
    <w:rsid w:val="00027D8E"/>
    <w:rsid w:val="00040CA4"/>
    <w:rsid w:val="00043F24"/>
    <w:rsid w:val="00114406"/>
    <w:rsid w:val="0012575E"/>
    <w:rsid w:val="001B135D"/>
    <w:rsid w:val="001F3B9C"/>
    <w:rsid w:val="002467BD"/>
    <w:rsid w:val="002C19A0"/>
    <w:rsid w:val="002E55C8"/>
    <w:rsid w:val="00400FE0"/>
    <w:rsid w:val="004402D4"/>
    <w:rsid w:val="00465A30"/>
    <w:rsid w:val="004C352C"/>
    <w:rsid w:val="004C7FA0"/>
    <w:rsid w:val="005062CF"/>
    <w:rsid w:val="00582554"/>
    <w:rsid w:val="0059407A"/>
    <w:rsid w:val="005A226D"/>
    <w:rsid w:val="006A4BB2"/>
    <w:rsid w:val="006D7C84"/>
    <w:rsid w:val="007A478B"/>
    <w:rsid w:val="007D3B61"/>
    <w:rsid w:val="007E01D0"/>
    <w:rsid w:val="007F3259"/>
    <w:rsid w:val="00860D86"/>
    <w:rsid w:val="00874C50"/>
    <w:rsid w:val="008B5055"/>
    <w:rsid w:val="008C072D"/>
    <w:rsid w:val="00943261"/>
    <w:rsid w:val="00986E1B"/>
    <w:rsid w:val="009A4E91"/>
    <w:rsid w:val="009C02CA"/>
    <w:rsid w:val="00A85A3A"/>
    <w:rsid w:val="00AC5738"/>
    <w:rsid w:val="00AD6333"/>
    <w:rsid w:val="00B425A3"/>
    <w:rsid w:val="00B52EAA"/>
    <w:rsid w:val="00B75A84"/>
    <w:rsid w:val="00B8227D"/>
    <w:rsid w:val="00B90514"/>
    <w:rsid w:val="00BC05B4"/>
    <w:rsid w:val="00BC56C7"/>
    <w:rsid w:val="00C30FB6"/>
    <w:rsid w:val="00C63E01"/>
    <w:rsid w:val="00D9292E"/>
    <w:rsid w:val="00DD09CF"/>
    <w:rsid w:val="00E9519E"/>
    <w:rsid w:val="00EA4BEF"/>
    <w:rsid w:val="00EE48FC"/>
    <w:rsid w:val="00FA2B29"/>
    <w:rsid w:val="00FB73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C7CA0"/>
  <w15:docId w15:val="{24D15DC1-99ED-4529-B73D-EC5AE401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402D4"/>
    <w:rPr>
      <w:color w:val="808080"/>
    </w:rPr>
  </w:style>
  <w:style w:type="paragraph" w:styleId="Markeringsbobletekst">
    <w:name w:val="Balloon Text"/>
    <w:basedOn w:val="Normal"/>
    <w:link w:val="MarkeringsbobletekstTegn"/>
    <w:uiPriority w:val="99"/>
    <w:semiHidden/>
    <w:unhideWhenUsed/>
    <w:rsid w:val="004402D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402D4"/>
    <w:rPr>
      <w:rFonts w:ascii="Tahoma" w:hAnsi="Tahoma" w:cs="Tahoma"/>
      <w:sz w:val="16"/>
      <w:szCs w:val="16"/>
    </w:rPr>
  </w:style>
  <w:style w:type="paragraph" w:styleId="Sidehoved">
    <w:name w:val="header"/>
    <w:basedOn w:val="Normal"/>
    <w:link w:val="SidehovedTegn"/>
    <w:uiPriority w:val="99"/>
    <w:unhideWhenUsed/>
    <w:rsid w:val="00FA2B2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A2B29"/>
  </w:style>
  <w:style w:type="paragraph" w:styleId="Sidefod">
    <w:name w:val="footer"/>
    <w:basedOn w:val="Normal"/>
    <w:link w:val="SidefodTegn"/>
    <w:uiPriority w:val="99"/>
    <w:unhideWhenUsed/>
    <w:rsid w:val="00FA2B2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A2B29"/>
  </w:style>
  <w:style w:type="paragraph" w:customStyle="1" w:styleId="Lillev">
    <w:name w:val="Lille v"/>
    <w:basedOn w:val="Sidehoved"/>
    <w:link w:val="Lille1Tegn"/>
    <w:qFormat/>
    <w:rsid w:val="00FA2B29"/>
    <w:pPr>
      <w:tabs>
        <w:tab w:val="clear" w:pos="4819"/>
        <w:tab w:val="clear" w:pos="9638"/>
      </w:tabs>
      <w:spacing w:line="200" w:lineRule="atLeast"/>
      <w:ind w:right="3289"/>
      <w:jc w:val="both"/>
    </w:pPr>
    <w:rPr>
      <w:rFonts w:ascii="Arial" w:eastAsia="Times New Roman" w:hAnsi="Arial" w:cs="Times New Roman"/>
      <w:sz w:val="14"/>
      <w:szCs w:val="24"/>
    </w:rPr>
  </w:style>
  <w:style w:type="character" w:customStyle="1" w:styleId="Lille1Tegn">
    <w:name w:val="Lille 1 Tegn"/>
    <w:basedOn w:val="SidehovedTegn"/>
    <w:link w:val="Lillev"/>
    <w:rsid w:val="00FA2B29"/>
    <w:rPr>
      <w:rFonts w:ascii="Arial" w:eastAsia="Times New Roman" w:hAnsi="Arial" w:cs="Times New Roman"/>
      <w:sz w:val="14"/>
      <w:szCs w:val="24"/>
    </w:rPr>
  </w:style>
  <w:style w:type="table" w:styleId="Tabel-Gitter">
    <w:name w:val="Table Grid"/>
    <w:basedOn w:val="Tabel-Normal"/>
    <w:uiPriority w:val="59"/>
    <w:rsid w:val="00465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lle">
    <w:name w:val="Lille"/>
    <w:basedOn w:val="Normal"/>
    <w:link w:val="LilleTegn"/>
    <w:rsid w:val="00465A30"/>
    <w:pPr>
      <w:spacing w:after="0" w:line="200" w:lineRule="atLeast"/>
      <w:jc w:val="right"/>
    </w:pPr>
    <w:rPr>
      <w:rFonts w:ascii="Arial" w:eastAsia="Times New Roman" w:hAnsi="Arial" w:cs="Times New Roman"/>
      <w:sz w:val="14"/>
      <w:szCs w:val="24"/>
    </w:rPr>
  </w:style>
  <w:style w:type="character" w:customStyle="1" w:styleId="LilleTegn">
    <w:name w:val="Lille Tegn"/>
    <w:link w:val="Lille"/>
    <w:rsid w:val="00465A30"/>
    <w:rPr>
      <w:rFonts w:ascii="Arial" w:eastAsia="Times New Roman" w:hAnsi="Arial" w:cs="Times New Roman"/>
      <w:sz w:val="14"/>
      <w:szCs w:val="24"/>
    </w:rPr>
  </w:style>
  <w:style w:type="character" w:styleId="Sidetal">
    <w:name w:val="page number"/>
    <w:rsid w:val="00EE48FC"/>
    <w:rPr>
      <w:rFonts w:ascii="Arial" w:hAnsi="Arial"/>
      <w:sz w:val="14"/>
    </w:rPr>
  </w:style>
  <w:style w:type="paragraph" w:customStyle="1" w:styleId="Notat">
    <w:name w:val="Notat"/>
    <w:basedOn w:val="Normal"/>
    <w:rsid w:val="002467BD"/>
    <w:pPr>
      <w:spacing w:after="0" w:line="280" w:lineRule="atLeast"/>
      <w:jc w:val="both"/>
    </w:pPr>
    <w:rPr>
      <w:rFonts w:ascii="Arial" w:eastAsia="Times New Roman" w:hAnsi="Arial" w:cs="Times New Roman"/>
      <w:b/>
      <w:sz w:val="28"/>
      <w:szCs w:val="24"/>
    </w:rPr>
  </w:style>
  <w:style w:type="paragraph" w:styleId="Fodnotetekst">
    <w:name w:val="footnote text"/>
    <w:basedOn w:val="Normal"/>
    <w:link w:val="FodnotetekstTegn"/>
    <w:uiPriority w:val="99"/>
    <w:semiHidden/>
    <w:unhideWhenUsed/>
    <w:rsid w:val="00B52EAA"/>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semiHidden/>
    <w:rsid w:val="00B52EAA"/>
    <w:rPr>
      <w:rFonts w:ascii="Times New Roman" w:eastAsia="Times New Roman" w:hAnsi="Times New Roman" w:cs="Times New Roman"/>
      <w:sz w:val="20"/>
      <w:szCs w:val="20"/>
      <w:lang w:eastAsia="da-DK"/>
    </w:rPr>
  </w:style>
  <w:style w:type="paragraph" w:styleId="Listeafsnit">
    <w:name w:val="List Paragraph"/>
    <w:basedOn w:val="Normal"/>
    <w:uiPriority w:val="34"/>
    <w:qFormat/>
    <w:rsid w:val="00B52EAA"/>
    <w:pPr>
      <w:ind w:left="720"/>
      <w:contextualSpacing/>
    </w:pPr>
  </w:style>
  <w:style w:type="character" w:styleId="Fodnotehenvisning">
    <w:name w:val="footnote reference"/>
    <w:basedOn w:val="Standardskrifttypeiafsnit"/>
    <w:uiPriority w:val="99"/>
    <w:semiHidden/>
    <w:unhideWhenUsed/>
    <w:rsid w:val="00B52E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4608">
      <w:bodyDiv w:val="1"/>
      <w:marLeft w:val="0"/>
      <w:marRight w:val="0"/>
      <w:marTop w:val="0"/>
      <w:marBottom w:val="0"/>
      <w:divBdr>
        <w:top w:val="none" w:sz="0" w:space="0" w:color="auto"/>
        <w:left w:val="none" w:sz="0" w:space="0" w:color="auto"/>
        <w:bottom w:val="none" w:sz="0" w:space="0" w:color="auto"/>
        <w:right w:val="none" w:sz="0" w:space="0" w:color="auto"/>
      </w:divBdr>
    </w:div>
    <w:div w:id="161582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AppData\Local\cBrain\F2\.tmp\94b36d6e3faa4872a9cdd873da8c5806.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ns0:Root xmlns:ns0="Captia">
  <ns0:address>
    <Content xmlns="Captia" id="address1">
      <Value/>
    </Content>
    <Content xmlns="Captia" id="name:name1">
      <Value/>
    </Content>
    <Content xmlns="Captia" id="name:name2">
      <Value/>
    </Content>
    <Content xmlns="Captia" id="address2">
      <Value/>
    </Content>
    <Content xmlns="Captia" id="address3">
      <Value/>
    </Content>
    <Content xmlns="Captia" id="postcode">
      <Value/>
    </Content>
    <Content xmlns="Captia" id="postcode">
      <Elab/>
    </Content>
  </ns0:address>
  <ns0:case>
    <Content xmlns="Captia" id="file_no">
      <Value/>
    </Content>
    <ns0:officer>
      <Content xmlns="Captia" id="name1">
        <Value/>
      </Content>
      <Content xmlns="Captia" id="name2">
        <Value/>
      </Content>
      <Content xmlns="Captia" id="address_main:phone_no">
        <Value/>
      </Content>
      <Content xmlns="Captia" id="address_main:email">
        <Value/>
      </Content>
    </ns0:officer>
  </ns0:case>
  <ns0:record>
    <Content xmlns="Captia" id="title">
      <Value/>
    </Content>
    <Content xmlns="Captia" id="letter_date">
      <Value/>
    </Content>
    <Content xmlns="Captia" id="record_key">
      <Value/>
    </Content>
    <ns0:officer>
      <Content xmlns="Captia" id="name1">
        <Value/>
      </Content>
      <Content xmlns="Captia" id="name2">
        <Value/>
      </Content>
      <Content xmlns="Captia" id="address_main:phone_no">
        <Value/>
      </Content>
      <Content xmlns="Captia" id="address_main:email">
        <Value/>
      </Content>
    </ns0:officer>
  </ns0:record>
</ns0:Root>
</file>

<file path=customXml/itemProps1.xml><?xml version="1.0" encoding="utf-8"?>
<ds:datastoreItem xmlns:ds="http://schemas.openxmlformats.org/officeDocument/2006/customXml" ds:itemID="{2CC27A6F-282B-4F3D-B631-87F4E8F21BEA}">
  <ds:schemaRefs>
    <ds:schemaRef ds:uri="http://schemas.openxmlformats.org/officeDocument/2006/bibliography"/>
  </ds:schemaRefs>
</ds:datastoreItem>
</file>

<file path=customXml/itemProps2.xml><?xml version="1.0" encoding="utf-8"?>
<ds:datastoreItem xmlns:ds="http://schemas.openxmlformats.org/officeDocument/2006/customXml" ds:itemID="{381F8913-F597-4911-99A9-1CEDE0E9A92D}">
  <ds:schemaRefs>
    <ds:schemaRef ds:uri="Captia"/>
  </ds:schemaRefs>
</ds:datastoreItem>
</file>

<file path=docProps/app.xml><?xml version="1.0" encoding="utf-8"?>
<Properties xmlns="http://schemas.openxmlformats.org/officeDocument/2006/extended-properties" xmlns:vt="http://schemas.openxmlformats.org/officeDocument/2006/docPropsVTypes">
  <Template>94b36d6e3faa4872a9cdd873da8c5806</Template>
  <TotalTime>0</TotalTime>
  <Pages>2</Pages>
  <Words>600</Words>
  <Characters>3423</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Iben Funch Døj</dc:creator>
  <cp:lastModifiedBy>Ludvig Siegstad</cp:lastModifiedBy>
  <cp:revision>2</cp:revision>
  <dcterms:created xsi:type="dcterms:W3CDTF">2023-05-23T17:47:00Z</dcterms:created>
  <dcterms:modified xsi:type="dcterms:W3CDTF">2023-05-23T17:47:00Z</dcterms:modified>
</cp:coreProperties>
</file>