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4936" w14:textId="77777777" w:rsidR="00F77E5A" w:rsidRDefault="00F77E5A" w:rsidP="00A21B7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p>
    <w:p w14:paraId="68473DA9" w14:textId="380D1D79" w:rsidR="00EA4D35" w:rsidRPr="00822D81" w:rsidRDefault="00EA4D35" w:rsidP="00EA4D35">
      <w:pPr>
        <w:shd w:val="clear" w:color="auto" w:fill="FFFFFF"/>
        <w:spacing w:after="0" w:line="276" w:lineRule="auto"/>
        <w:jc w:val="both"/>
        <w:outlineLvl w:val="0"/>
        <w:rPr>
          <w:rFonts w:ascii="Times New Roman" w:eastAsia="Times New Roman" w:hAnsi="Times New Roman" w:cs="Times New Roman"/>
          <w:bCs/>
          <w:i/>
          <w:color w:val="000000" w:themeColor="text1"/>
          <w:kern w:val="36"/>
          <w:sz w:val="24"/>
          <w:szCs w:val="24"/>
          <w:lang w:eastAsia="da-DK"/>
        </w:rPr>
      </w:pP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t xml:space="preserve"> </w:t>
      </w:r>
      <w:r w:rsidR="00043DCD">
        <w:rPr>
          <w:rFonts w:ascii="Times New Roman" w:eastAsia="Times New Roman" w:hAnsi="Times New Roman" w:cs="Times New Roman"/>
          <w:bCs/>
          <w:i/>
          <w:color w:val="000000" w:themeColor="text1"/>
          <w:kern w:val="36"/>
          <w:sz w:val="24"/>
          <w:szCs w:val="24"/>
          <w:lang w:eastAsia="da-DK"/>
        </w:rPr>
        <w:t>22. februar</w:t>
      </w:r>
      <w:r>
        <w:rPr>
          <w:rFonts w:ascii="Times New Roman" w:eastAsia="Times New Roman" w:hAnsi="Times New Roman" w:cs="Times New Roman"/>
          <w:bCs/>
          <w:i/>
          <w:color w:val="000000" w:themeColor="text1"/>
          <w:kern w:val="36"/>
          <w:sz w:val="24"/>
          <w:szCs w:val="24"/>
          <w:lang w:eastAsia="da-DK"/>
        </w:rPr>
        <w:t xml:space="preserve"> </w:t>
      </w:r>
      <w:r w:rsidRPr="00822D81">
        <w:rPr>
          <w:rFonts w:ascii="Times New Roman" w:eastAsia="Times New Roman" w:hAnsi="Times New Roman" w:cs="Times New Roman"/>
          <w:bCs/>
          <w:i/>
          <w:color w:val="000000" w:themeColor="text1"/>
          <w:kern w:val="36"/>
          <w:sz w:val="24"/>
          <w:szCs w:val="24"/>
          <w:lang w:eastAsia="da-DK"/>
        </w:rPr>
        <w:t>2021</w:t>
      </w:r>
    </w:p>
    <w:p w14:paraId="392F6872" w14:textId="77777777" w:rsidR="009E048B" w:rsidRDefault="000A6B3B" w:rsidP="00A21B7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r>
        <w:rPr>
          <w:rFonts w:ascii="Times New Roman" w:eastAsia="Times New Roman" w:hAnsi="Times New Roman" w:cs="Times New Roman"/>
          <w:b/>
          <w:bCs/>
          <w:color w:val="000000" w:themeColor="text1"/>
          <w:kern w:val="36"/>
          <w:sz w:val="32"/>
          <w:szCs w:val="32"/>
          <w:lang w:eastAsia="da-DK"/>
        </w:rPr>
        <w:t>Baggrundsn</w:t>
      </w:r>
      <w:r w:rsidR="005B2A25" w:rsidRPr="0099179A">
        <w:rPr>
          <w:rFonts w:ascii="Times New Roman" w:eastAsia="Times New Roman" w:hAnsi="Times New Roman" w:cs="Times New Roman"/>
          <w:b/>
          <w:bCs/>
          <w:color w:val="000000" w:themeColor="text1"/>
          <w:kern w:val="36"/>
          <w:sz w:val="32"/>
          <w:szCs w:val="32"/>
          <w:lang w:eastAsia="da-DK"/>
        </w:rPr>
        <w:t>otat</w:t>
      </w:r>
    </w:p>
    <w:p w14:paraId="6AC6B05B" w14:textId="6D31BE68" w:rsidR="003E2D77" w:rsidRPr="0099179A" w:rsidRDefault="009E048B" w:rsidP="00A21B7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r>
        <w:rPr>
          <w:rFonts w:ascii="Times New Roman" w:eastAsia="Times New Roman" w:hAnsi="Times New Roman" w:cs="Times New Roman"/>
          <w:b/>
          <w:bCs/>
          <w:color w:val="000000" w:themeColor="text1"/>
          <w:kern w:val="36"/>
          <w:sz w:val="32"/>
          <w:szCs w:val="32"/>
          <w:lang w:eastAsia="da-DK"/>
        </w:rPr>
        <w:t>S</w:t>
      </w:r>
      <w:r w:rsidR="005B2A25" w:rsidRPr="0099179A">
        <w:rPr>
          <w:rFonts w:ascii="Times New Roman" w:eastAsia="Times New Roman" w:hAnsi="Times New Roman" w:cs="Times New Roman"/>
          <w:b/>
          <w:bCs/>
          <w:color w:val="000000" w:themeColor="text1"/>
          <w:kern w:val="36"/>
          <w:sz w:val="32"/>
          <w:szCs w:val="32"/>
          <w:lang w:eastAsia="da-DK"/>
        </w:rPr>
        <w:t>tatus og udfordringer i r</w:t>
      </w:r>
      <w:r w:rsidR="00F5688B" w:rsidRPr="0099179A">
        <w:rPr>
          <w:rFonts w:ascii="Times New Roman" w:eastAsia="Times New Roman" w:hAnsi="Times New Roman" w:cs="Times New Roman"/>
          <w:b/>
          <w:bCs/>
          <w:color w:val="000000" w:themeColor="text1"/>
          <w:kern w:val="36"/>
          <w:sz w:val="32"/>
          <w:szCs w:val="32"/>
          <w:lang w:eastAsia="da-DK"/>
        </w:rPr>
        <w:t>ejefiskeriet</w:t>
      </w:r>
    </w:p>
    <w:p w14:paraId="6368962E" w14:textId="1865CA49" w:rsidR="005B2A25" w:rsidRPr="0099179A" w:rsidRDefault="007644D3" w:rsidP="00A21B75">
      <w:pPr>
        <w:pStyle w:val="Default"/>
        <w:spacing w:line="276" w:lineRule="auto"/>
        <w:jc w:val="both"/>
        <w:rPr>
          <w:color w:val="000000" w:themeColor="text1"/>
          <w:sz w:val="22"/>
          <w:szCs w:val="22"/>
        </w:rPr>
      </w:pPr>
      <w:r>
        <w:rPr>
          <w:color w:val="000000" w:themeColor="text1"/>
          <w:sz w:val="22"/>
          <w:szCs w:val="22"/>
        </w:rPr>
        <w:t xml:space="preserve">Hilmar Ogmundsson og Peder Andersen </w:t>
      </w:r>
    </w:p>
    <w:p w14:paraId="3E565E1E" w14:textId="77777777" w:rsidR="005B2A25" w:rsidRPr="0099179A" w:rsidRDefault="005B2A25" w:rsidP="00A21B75">
      <w:pPr>
        <w:pStyle w:val="Default"/>
        <w:spacing w:line="276" w:lineRule="auto"/>
        <w:jc w:val="both"/>
        <w:rPr>
          <w:color w:val="000000" w:themeColor="text1"/>
          <w:sz w:val="22"/>
          <w:szCs w:val="22"/>
        </w:rPr>
      </w:pPr>
    </w:p>
    <w:p w14:paraId="126584F6" w14:textId="77777777" w:rsidR="005B2A25" w:rsidRPr="00431F26" w:rsidRDefault="005B2A25" w:rsidP="00A21B75">
      <w:pPr>
        <w:pStyle w:val="Default"/>
        <w:spacing w:line="276" w:lineRule="auto"/>
        <w:jc w:val="both"/>
        <w:rPr>
          <w:b/>
          <w:color w:val="000000" w:themeColor="text1"/>
          <w:sz w:val="28"/>
          <w:szCs w:val="28"/>
        </w:rPr>
      </w:pPr>
      <w:r w:rsidRPr="00431F26">
        <w:rPr>
          <w:b/>
          <w:color w:val="000000" w:themeColor="text1"/>
          <w:sz w:val="28"/>
          <w:szCs w:val="28"/>
        </w:rPr>
        <w:t>Baggrund</w:t>
      </w:r>
    </w:p>
    <w:p w14:paraId="5BAA7F99" w14:textId="685F040C" w:rsidR="00567DFB" w:rsidRPr="0099179A" w:rsidRDefault="00567DFB" w:rsidP="00A21B75">
      <w:pPr>
        <w:pStyle w:val="Default"/>
        <w:spacing w:line="276" w:lineRule="auto"/>
        <w:jc w:val="both"/>
        <w:rPr>
          <w:color w:val="000000" w:themeColor="text1"/>
          <w:sz w:val="22"/>
          <w:szCs w:val="22"/>
        </w:rPr>
      </w:pPr>
      <w:r w:rsidRPr="0099179A">
        <w:rPr>
          <w:color w:val="000000" w:themeColor="text1"/>
          <w:sz w:val="22"/>
          <w:szCs w:val="22"/>
        </w:rPr>
        <w:t xml:space="preserve">Den første fiskerilov i Grønland, lov nr. 223 af 3. juni 1967 for Grønland om erhvervsmæssig fangst, fiskeri og jagt, indeholdt ingen særlige bestemmelser om rejefiskeriet. </w:t>
      </w:r>
    </w:p>
    <w:p w14:paraId="36EDED32" w14:textId="77777777" w:rsidR="00567DFB" w:rsidRPr="0099179A" w:rsidRDefault="00567DFB" w:rsidP="00A21B75">
      <w:pPr>
        <w:pStyle w:val="Default"/>
        <w:spacing w:line="276" w:lineRule="auto"/>
        <w:jc w:val="both"/>
        <w:rPr>
          <w:color w:val="000000" w:themeColor="text1"/>
          <w:sz w:val="22"/>
          <w:szCs w:val="22"/>
        </w:rPr>
      </w:pPr>
    </w:p>
    <w:p w14:paraId="60B15E1F" w14:textId="77777777" w:rsidR="00567DFB" w:rsidRPr="0099179A" w:rsidRDefault="00567DFB" w:rsidP="00A21B75">
      <w:pPr>
        <w:pStyle w:val="Default"/>
        <w:spacing w:line="276" w:lineRule="auto"/>
        <w:jc w:val="both"/>
        <w:rPr>
          <w:color w:val="000000" w:themeColor="text1"/>
          <w:sz w:val="22"/>
          <w:szCs w:val="22"/>
        </w:rPr>
      </w:pPr>
      <w:r w:rsidRPr="0099179A">
        <w:rPr>
          <w:color w:val="000000" w:themeColor="text1"/>
          <w:sz w:val="22"/>
          <w:szCs w:val="22"/>
        </w:rPr>
        <w:t xml:space="preserve">Den første egentlige regulering af rejefiskeriet gennemførtes med bekendtgørelse i 1978 om rejefiskeri på fiskeriterritoriet i Grønland. Udstedelse af licens til fiskeri efter rejer med fartøjer på over 80 BRT skulle jf. bekendtgørelsen ske ved autorisation fra ministeren i Grønland. Det blev ligeledes bestemt, at fordelingen af fangstmængder mellem de redere/fiskere, som havde fået autorisation, kunne ske samtidig med udstedelsen af autorisationen. </w:t>
      </w:r>
    </w:p>
    <w:p w14:paraId="0F74A5A1" w14:textId="77777777" w:rsidR="00567DFB" w:rsidRPr="0099179A" w:rsidRDefault="00567DFB" w:rsidP="00A21B75">
      <w:pPr>
        <w:pStyle w:val="Default"/>
        <w:spacing w:line="276" w:lineRule="auto"/>
        <w:jc w:val="both"/>
        <w:rPr>
          <w:color w:val="000000" w:themeColor="text1"/>
          <w:sz w:val="22"/>
          <w:szCs w:val="22"/>
        </w:rPr>
      </w:pPr>
    </w:p>
    <w:p w14:paraId="0902C737" w14:textId="0E4F3052" w:rsidR="00567DFB" w:rsidRPr="0099179A" w:rsidRDefault="00567DFB" w:rsidP="00A21B75">
      <w:pPr>
        <w:pStyle w:val="Default"/>
        <w:spacing w:line="276" w:lineRule="auto"/>
        <w:jc w:val="both"/>
        <w:rPr>
          <w:color w:val="000000" w:themeColor="text1"/>
          <w:sz w:val="22"/>
          <w:szCs w:val="22"/>
        </w:rPr>
      </w:pPr>
      <w:r w:rsidRPr="0099179A">
        <w:rPr>
          <w:color w:val="000000" w:themeColor="text1"/>
          <w:sz w:val="22"/>
          <w:szCs w:val="22"/>
        </w:rPr>
        <w:t xml:space="preserve">Autorisationen fulgte kalenderåret og var således tidsbegrænset til maksimalt 1 år og skulle udstedes til en bestemt indehaver for et bestemt fartøj, og at den var </w:t>
      </w:r>
      <w:proofErr w:type="spellStart"/>
      <w:r w:rsidRPr="0099179A">
        <w:rPr>
          <w:color w:val="000000" w:themeColor="text1"/>
          <w:sz w:val="22"/>
          <w:szCs w:val="22"/>
        </w:rPr>
        <w:t>uoverdragelig</w:t>
      </w:r>
      <w:proofErr w:type="spellEnd"/>
      <w:r w:rsidRPr="0099179A">
        <w:rPr>
          <w:color w:val="000000" w:themeColor="text1"/>
          <w:sz w:val="22"/>
          <w:szCs w:val="22"/>
        </w:rPr>
        <w:t xml:space="preserve">. </w:t>
      </w:r>
      <w:r w:rsidR="00F5688B" w:rsidRPr="0099179A">
        <w:rPr>
          <w:color w:val="000000" w:themeColor="text1"/>
          <w:sz w:val="22"/>
          <w:szCs w:val="22"/>
        </w:rPr>
        <w:t>Samtidig blev der</w:t>
      </w:r>
      <w:r w:rsidRPr="0099179A">
        <w:rPr>
          <w:color w:val="000000" w:themeColor="text1"/>
          <w:sz w:val="22"/>
          <w:szCs w:val="22"/>
        </w:rPr>
        <w:t xml:space="preserve"> indført regler om, at rejefiskeriet skulle indstilles, når den totale kvote for rejer var opfisket. På den måde havde man i realiteten to </w:t>
      </w:r>
      <w:r w:rsidR="00BF6064" w:rsidRPr="0099179A">
        <w:rPr>
          <w:color w:val="000000" w:themeColor="text1"/>
          <w:sz w:val="22"/>
          <w:szCs w:val="22"/>
        </w:rPr>
        <w:t xml:space="preserve">regler for begrænsninger </w:t>
      </w:r>
      <w:r w:rsidRPr="0099179A">
        <w:rPr>
          <w:color w:val="000000" w:themeColor="text1"/>
          <w:sz w:val="22"/>
          <w:szCs w:val="22"/>
        </w:rPr>
        <w:t>rejefiskeriet</w:t>
      </w:r>
      <w:r w:rsidR="00BF6064" w:rsidRPr="0099179A">
        <w:rPr>
          <w:color w:val="000000" w:themeColor="text1"/>
          <w:sz w:val="22"/>
          <w:szCs w:val="22"/>
        </w:rPr>
        <w:t>;</w:t>
      </w:r>
      <w:r w:rsidRPr="0099179A">
        <w:rPr>
          <w:color w:val="000000" w:themeColor="text1"/>
          <w:sz w:val="22"/>
          <w:szCs w:val="22"/>
        </w:rPr>
        <w:t xml:space="preserve"> dels en individuel begrænsning i fangstmængderne på den enkelte autorisation, </w:t>
      </w:r>
      <w:r w:rsidR="00BF6064" w:rsidRPr="0099179A">
        <w:rPr>
          <w:color w:val="000000" w:themeColor="text1"/>
          <w:sz w:val="22"/>
          <w:szCs w:val="22"/>
        </w:rPr>
        <w:t xml:space="preserve">der var knyttet til det enkelte fartøjs kapacitet, </w:t>
      </w:r>
      <w:r w:rsidRPr="0099179A">
        <w:rPr>
          <w:color w:val="000000" w:themeColor="text1"/>
          <w:sz w:val="22"/>
          <w:szCs w:val="22"/>
        </w:rPr>
        <w:t>dels en generel begrænsning for så vidt angik opfiskningen af den samlede tilladte fangstmængde.</w:t>
      </w:r>
      <w:r w:rsidR="00BF6064" w:rsidRPr="0099179A">
        <w:rPr>
          <w:color w:val="000000" w:themeColor="text1"/>
          <w:sz w:val="22"/>
          <w:szCs w:val="22"/>
        </w:rPr>
        <w:t xml:space="preserve"> </w:t>
      </w:r>
    </w:p>
    <w:p w14:paraId="4AA14586" w14:textId="77777777" w:rsidR="00567DFB" w:rsidRPr="0099179A" w:rsidRDefault="00567DFB" w:rsidP="00A21B75">
      <w:pPr>
        <w:pStyle w:val="Default"/>
        <w:spacing w:line="276" w:lineRule="auto"/>
        <w:jc w:val="both"/>
        <w:rPr>
          <w:color w:val="000000" w:themeColor="text1"/>
          <w:sz w:val="22"/>
          <w:szCs w:val="22"/>
        </w:rPr>
      </w:pPr>
    </w:p>
    <w:p w14:paraId="27F4F687" w14:textId="527745CA" w:rsidR="006E67AB" w:rsidRDefault="00567DFB" w:rsidP="00A21B75">
      <w:pPr>
        <w:spacing w:after="0" w:line="276" w:lineRule="auto"/>
        <w:jc w:val="both"/>
        <w:rPr>
          <w:rFonts w:ascii="Times New Roman" w:hAnsi="Times New Roman" w:cs="Times New Roman"/>
          <w:color w:val="000000" w:themeColor="text1"/>
        </w:rPr>
      </w:pPr>
      <w:r w:rsidRPr="0099179A">
        <w:rPr>
          <w:rFonts w:ascii="Times New Roman" w:hAnsi="Times New Roman" w:cs="Times New Roman"/>
          <w:color w:val="000000" w:themeColor="text1"/>
        </w:rPr>
        <w:t xml:space="preserve">Tildelingen af licenser i rejefiskeriet blev i perioden 1984-1990 varetaget af et ”Licensudvalg”, som på baggrund af de indkomne ansøgninger tildelte de enkelte </w:t>
      </w:r>
      <w:r w:rsidR="006E67AB" w:rsidRPr="0099179A">
        <w:rPr>
          <w:rFonts w:ascii="Times New Roman" w:hAnsi="Times New Roman" w:cs="Times New Roman"/>
          <w:color w:val="000000" w:themeColor="text1"/>
        </w:rPr>
        <w:t xml:space="preserve">fiskere/rederier en årlig licens og kvote. Licensudvalget var et politisk udpeget udvalg bestående af politikere valgt af Landstinget. </w:t>
      </w:r>
    </w:p>
    <w:p w14:paraId="44BD4AD2" w14:textId="77777777" w:rsidR="009F27EC" w:rsidRPr="0099179A" w:rsidRDefault="009F27EC" w:rsidP="00A21B75">
      <w:pPr>
        <w:spacing w:after="0" w:line="276" w:lineRule="auto"/>
        <w:jc w:val="both"/>
        <w:rPr>
          <w:rFonts w:ascii="Times New Roman" w:hAnsi="Times New Roman" w:cs="Times New Roman"/>
          <w:color w:val="000000" w:themeColor="text1"/>
        </w:rPr>
      </w:pPr>
    </w:p>
    <w:p w14:paraId="7BA27281" w14:textId="5A8F149F" w:rsidR="006E67AB" w:rsidRDefault="006E67AB" w:rsidP="00A21B75">
      <w:pPr>
        <w:pStyle w:val="Default"/>
        <w:spacing w:line="276" w:lineRule="auto"/>
        <w:jc w:val="both"/>
        <w:rPr>
          <w:color w:val="000000" w:themeColor="text1"/>
          <w:sz w:val="22"/>
          <w:szCs w:val="22"/>
        </w:rPr>
      </w:pPr>
      <w:r w:rsidRPr="00F67749">
        <w:rPr>
          <w:color w:val="000000" w:themeColor="text1"/>
          <w:sz w:val="22"/>
          <w:szCs w:val="22"/>
        </w:rPr>
        <w:t>Licensudvalget tildelte i løbet af 1980’erne flere og flere rederier en licens og kvote til fiskeri efter rejer, hvilket førte til en tilsvarende reduktion af de øvrige licensindehaveres kvoter, fordi landsstyret skulle fastholde den tilladte årlige fangstmængde (TAC’en) på et niveau, som var nogenlunde i overensstemmelse med den biologiske rådgivning.</w:t>
      </w:r>
    </w:p>
    <w:p w14:paraId="3E16EEE7" w14:textId="10D7F747" w:rsidR="00F26DD2" w:rsidRDefault="00F26DD2" w:rsidP="00A21B75">
      <w:pPr>
        <w:pStyle w:val="Default"/>
        <w:spacing w:line="276" w:lineRule="auto"/>
        <w:jc w:val="both"/>
        <w:rPr>
          <w:color w:val="000000" w:themeColor="text1"/>
          <w:sz w:val="22"/>
          <w:szCs w:val="22"/>
        </w:rPr>
      </w:pPr>
    </w:p>
    <w:p w14:paraId="48360CB9" w14:textId="24C7C15A" w:rsidR="00F26DD2" w:rsidRPr="00F67749" w:rsidRDefault="00F26DD2" w:rsidP="00A21B75">
      <w:pPr>
        <w:pStyle w:val="Default"/>
        <w:spacing w:line="276" w:lineRule="auto"/>
        <w:jc w:val="both"/>
        <w:rPr>
          <w:color w:val="000000" w:themeColor="text1"/>
          <w:sz w:val="22"/>
          <w:szCs w:val="22"/>
        </w:rPr>
      </w:pPr>
      <w:r>
        <w:rPr>
          <w:color w:val="000000" w:themeColor="text1"/>
          <w:sz w:val="22"/>
          <w:szCs w:val="22"/>
        </w:rPr>
        <w:t>TAC-fastsættelsen vedrørte alene området uden</w:t>
      </w:r>
      <w:r w:rsidR="000E60D0">
        <w:rPr>
          <w:color w:val="000000" w:themeColor="text1"/>
          <w:sz w:val="22"/>
          <w:szCs w:val="22"/>
        </w:rPr>
        <w:t xml:space="preserve"> </w:t>
      </w:r>
      <w:r>
        <w:rPr>
          <w:color w:val="000000" w:themeColor="text1"/>
          <w:sz w:val="22"/>
          <w:szCs w:val="22"/>
        </w:rPr>
        <w:t>for tre sømil fra basislinjen og dermed fartøjer på 80 BRT/120 BT eller derover</w:t>
      </w:r>
      <w:r w:rsidR="00FA5FA8">
        <w:rPr>
          <w:color w:val="000000" w:themeColor="text1"/>
          <w:sz w:val="22"/>
          <w:szCs w:val="22"/>
        </w:rPr>
        <w:t xml:space="preserve"> (se nedenfor</w:t>
      </w:r>
      <w:r w:rsidR="00D55F3D">
        <w:rPr>
          <w:color w:val="000000" w:themeColor="text1"/>
          <w:sz w:val="22"/>
          <w:szCs w:val="22"/>
        </w:rPr>
        <w:t>)</w:t>
      </w:r>
      <w:r>
        <w:rPr>
          <w:color w:val="000000" w:themeColor="text1"/>
          <w:sz w:val="22"/>
          <w:szCs w:val="22"/>
        </w:rPr>
        <w:t>. Man traf på den baggrund beslutning om at tillade indsættelse af mere end 20 fartøjer, som var mindre 80 BRT/120 BT</w:t>
      </w:r>
      <w:r w:rsidR="003D72CD">
        <w:rPr>
          <w:color w:val="000000" w:themeColor="text1"/>
          <w:sz w:val="22"/>
          <w:szCs w:val="22"/>
        </w:rPr>
        <w:t xml:space="preserve"> (reelt blev antallet dog noget mindre)</w:t>
      </w:r>
      <w:r>
        <w:rPr>
          <w:color w:val="000000" w:themeColor="text1"/>
          <w:sz w:val="22"/>
          <w:szCs w:val="22"/>
        </w:rPr>
        <w:t>.</w:t>
      </w:r>
      <w:r w:rsidR="003D72CD">
        <w:rPr>
          <w:color w:val="000000" w:themeColor="text1"/>
          <w:sz w:val="22"/>
          <w:szCs w:val="22"/>
        </w:rPr>
        <w:t xml:space="preserve"> </w:t>
      </w:r>
      <w:r w:rsidR="00D55F3D">
        <w:rPr>
          <w:color w:val="000000" w:themeColor="text1"/>
          <w:sz w:val="22"/>
          <w:szCs w:val="22"/>
        </w:rPr>
        <w:t>F</w:t>
      </w:r>
      <w:r w:rsidR="003D72CD">
        <w:rPr>
          <w:color w:val="000000" w:themeColor="text1"/>
          <w:sz w:val="22"/>
          <w:szCs w:val="22"/>
        </w:rPr>
        <w:t xml:space="preserve">artøjerne viste sig at være væsentligt større end 120 BT og dermed alligevel at tilhøre det havgående segment, de fiskede på samme bestand som de øvrige fartøjer, hvorfor beskatningen af bestanden blev kraftigt forøget, de blev bestilt fra værfterne </w:t>
      </w:r>
      <w:r w:rsidR="00FA5FA8">
        <w:rPr>
          <w:color w:val="000000" w:themeColor="text1"/>
          <w:sz w:val="22"/>
          <w:szCs w:val="22"/>
        </w:rPr>
        <w:t>inden</w:t>
      </w:r>
      <w:r w:rsidR="000E60D0">
        <w:rPr>
          <w:color w:val="000000" w:themeColor="text1"/>
          <w:sz w:val="22"/>
          <w:szCs w:val="22"/>
        </w:rPr>
        <w:t xml:space="preserve"> </w:t>
      </w:r>
      <w:r w:rsidR="00FA5FA8">
        <w:rPr>
          <w:color w:val="000000" w:themeColor="text1"/>
          <w:sz w:val="22"/>
          <w:szCs w:val="22"/>
        </w:rPr>
        <w:t>for en kort periode</w:t>
      </w:r>
      <w:r w:rsidR="003D72CD">
        <w:rPr>
          <w:color w:val="000000" w:themeColor="text1"/>
          <w:sz w:val="22"/>
          <w:szCs w:val="22"/>
        </w:rPr>
        <w:t>, hvorfor priserne på dem steg</w:t>
      </w:r>
      <w:r w:rsidR="00FA5FA8">
        <w:rPr>
          <w:color w:val="000000" w:themeColor="text1"/>
          <w:sz w:val="22"/>
          <w:szCs w:val="22"/>
        </w:rPr>
        <w:t>,</w:t>
      </w:r>
      <w:r w:rsidR="003D72CD">
        <w:rPr>
          <w:color w:val="000000" w:themeColor="text1"/>
          <w:sz w:val="22"/>
          <w:szCs w:val="22"/>
        </w:rPr>
        <w:t xml:space="preserve"> og økonomien i dem var </w:t>
      </w:r>
      <w:r w:rsidR="00D55F3D">
        <w:rPr>
          <w:color w:val="000000" w:themeColor="text1"/>
          <w:sz w:val="22"/>
          <w:szCs w:val="22"/>
        </w:rPr>
        <w:t>på grund af små kvoter udfordret</w:t>
      </w:r>
      <w:r w:rsidR="003D72CD">
        <w:rPr>
          <w:color w:val="000000" w:themeColor="text1"/>
          <w:sz w:val="22"/>
          <w:szCs w:val="22"/>
        </w:rPr>
        <w:t xml:space="preserve">, hvorfor der hurtigt opstod krav om produktion om bord, forlængelse af fartøjerne mv. </w:t>
      </w:r>
    </w:p>
    <w:p w14:paraId="220FBA6C" w14:textId="77777777" w:rsidR="00F5688B" w:rsidRPr="00F67749" w:rsidRDefault="00F5688B" w:rsidP="00A21B75">
      <w:pPr>
        <w:pStyle w:val="Default"/>
        <w:spacing w:line="276" w:lineRule="auto"/>
        <w:jc w:val="both"/>
        <w:rPr>
          <w:color w:val="000000" w:themeColor="text1"/>
          <w:sz w:val="22"/>
          <w:szCs w:val="22"/>
        </w:rPr>
      </w:pPr>
    </w:p>
    <w:p w14:paraId="506F88F1" w14:textId="77777777" w:rsidR="006E67AB" w:rsidRPr="00F67749" w:rsidRDefault="006E67AB" w:rsidP="00A21B75">
      <w:pPr>
        <w:pStyle w:val="Default"/>
        <w:spacing w:line="276" w:lineRule="auto"/>
        <w:jc w:val="both"/>
        <w:rPr>
          <w:color w:val="000000" w:themeColor="text1"/>
          <w:sz w:val="22"/>
          <w:szCs w:val="22"/>
        </w:rPr>
      </w:pPr>
      <w:r w:rsidRPr="00F67749">
        <w:rPr>
          <w:color w:val="000000" w:themeColor="text1"/>
          <w:sz w:val="22"/>
          <w:szCs w:val="22"/>
        </w:rPr>
        <w:t xml:space="preserve">Den løbende reduktion i de enkelte rederiers årlige kvoter </w:t>
      </w:r>
      <w:r w:rsidR="000E6B34" w:rsidRPr="00F67749">
        <w:rPr>
          <w:color w:val="000000" w:themeColor="text1"/>
          <w:sz w:val="22"/>
          <w:szCs w:val="22"/>
        </w:rPr>
        <w:t>og stigende fangstkapacitet i form af flere fartøjer</w:t>
      </w:r>
      <w:r w:rsidR="00ED672A">
        <w:rPr>
          <w:color w:val="000000" w:themeColor="text1"/>
          <w:sz w:val="22"/>
          <w:szCs w:val="22"/>
        </w:rPr>
        <w:t xml:space="preserve"> førte til </w:t>
      </w:r>
      <w:r w:rsidRPr="00F67749">
        <w:rPr>
          <w:color w:val="000000" w:themeColor="text1"/>
          <w:sz w:val="22"/>
          <w:szCs w:val="22"/>
        </w:rPr>
        <w:t>driftsmæssige underskud i de fleste rederier</w:t>
      </w:r>
      <w:r w:rsidR="00ED672A">
        <w:rPr>
          <w:color w:val="000000" w:themeColor="text1"/>
          <w:sz w:val="22"/>
          <w:szCs w:val="22"/>
        </w:rPr>
        <w:t>, massiv gældsætning og en ressourcerente på nul</w:t>
      </w:r>
      <w:r w:rsidRPr="00F67749">
        <w:rPr>
          <w:color w:val="000000" w:themeColor="text1"/>
          <w:sz w:val="22"/>
          <w:szCs w:val="22"/>
        </w:rPr>
        <w:t xml:space="preserve">. </w:t>
      </w:r>
      <w:r w:rsidR="000E6B34" w:rsidRPr="00F67749">
        <w:rPr>
          <w:color w:val="000000" w:themeColor="text1"/>
          <w:sz w:val="22"/>
          <w:szCs w:val="22"/>
        </w:rPr>
        <w:t xml:space="preserve">I starten af 1990 </w:t>
      </w:r>
      <w:r w:rsidR="00ED672A">
        <w:rPr>
          <w:color w:val="000000" w:themeColor="text1"/>
          <w:sz w:val="22"/>
          <w:szCs w:val="22"/>
        </w:rPr>
        <w:t>steg det samlede</w:t>
      </w:r>
      <w:r w:rsidR="000E6B34" w:rsidRPr="00F67749">
        <w:rPr>
          <w:color w:val="000000" w:themeColor="text1"/>
          <w:sz w:val="22"/>
          <w:szCs w:val="22"/>
        </w:rPr>
        <w:t xml:space="preserve"> antal rejefartøjer op </w:t>
      </w:r>
      <w:r w:rsidR="00ED672A">
        <w:rPr>
          <w:color w:val="000000" w:themeColor="text1"/>
          <w:sz w:val="22"/>
          <w:szCs w:val="22"/>
        </w:rPr>
        <w:t>til c</w:t>
      </w:r>
      <w:r w:rsidR="000E6B34" w:rsidRPr="00F67749">
        <w:rPr>
          <w:color w:val="000000" w:themeColor="text1"/>
          <w:sz w:val="22"/>
          <w:szCs w:val="22"/>
        </w:rPr>
        <w:t>a. 200 fartøjer</w:t>
      </w:r>
      <w:r w:rsidR="00ED672A">
        <w:rPr>
          <w:color w:val="000000" w:themeColor="text1"/>
          <w:sz w:val="22"/>
          <w:szCs w:val="22"/>
        </w:rPr>
        <w:t>.</w:t>
      </w:r>
      <w:r w:rsidR="000E6B34" w:rsidRPr="00F67749">
        <w:rPr>
          <w:color w:val="000000" w:themeColor="text1"/>
          <w:sz w:val="22"/>
          <w:szCs w:val="22"/>
        </w:rPr>
        <w:t xml:space="preserve"> </w:t>
      </w:r>
      <w:r w:rsidRPr="00F67749">
        <w:rPr>
          <w:color w:val="000000" w:themeColor="text1"/>
          <w:sz w:val="22"/>
          <w:szCs w:val="22"/>
        </w:rPr>
        <w:t xml:space="preserve">Rederiernes dårlige økonomiske situation i slutningen af 1980’erne førte til et krav om ændring af det hidtidige licenssystem, idet de enkelte rederiers </w:t>
      </w:r>
      <w:r w:rsidRPr="00F67749">
        <w:rPr>
          <w:color w:val="000000" w:themeColor="text1"/>
          <w:sz w:val="22"/>
          <w:szCs w:val="22"/>
        </w:rPr>
        <w:lastRenderedPageBreak/>
        <w:t>kvoter var blevet reduceret i en sådan grad, at det for flertallet af aktørerne ikke længere var muligt at drive et økonomisk rentabelt fiskeri.</w:t>
      </w:r>
    </w:p>
    <w:p w14:paraId="61E558DF" w14:textId="77777777" w:rsidR="00F5688B" w:rsidRPr="00F67749" w:rsidRDefault="00F5688B" w:rsidP="00A21B75">
      <w:pPr>
        <w:pStyle w:val="Default"/>
        <w:spacing w:line="276" w:lineRule="auto"/>
        <w:jc w:val="both"/>
        <w:rPr>
          <w:color w:val="000000" w:themeColor="text1"/>
          <w:sz w:val="22"/>
          <w:szCs w:val="22"/>
        </w:rPr>
      </w:pPr>
    </w:p>
    <w:p w14:paraId="368F3C41" w14:textId="77777777" w:rsidR="006E67AB" w:rsidRPr="00F67749" w:rsidRDefault="00ED672A" w:rsidP="00A21B75">
      <w:pPr>
        <w:pStyle w:val="Default"/>
        <w:spacing w:line="276" w:lineRule="auto"/>
        <w:jc w:val="both"/>
        <w:rPr>
          <w:color w:val="000000" w:themeColor="text1"/>
          <w:sz w:val="22"/>
          <w:szCs w:val="22"/>
        </w:rPr>
      </w:pPr>
      <w:r>
        <w:rPr>
          <w:color w:val="000000" w:themeColor="text1"/>
          <w:sz w:val="22"/>
          <w:szCs w:val="22"/>
        </w:rPr>
        <w:t xml:space="preserve">Den økonomisk krise </w:t>
      </w:r>
      <w:r w:rsidR="006E67AB" w:rsidRPr="00F67749">
        <w:rPr>
          <w:color w:val="000000" w:themeColor="text1"/>
          <w:sz w:val="22"/>
          <w:szCs w:val="22"/>
        </w:rPr>
        <w:t xml:space="preserve">i rejefiskeriet førte til vedtagelsen af landstingslov nr. 17 af 22. oktober 1990 om erhvervsmæssigt fiskeri. </w:t>
      </w:r>
      <w:r w:rsidR="00CA1FDB">
        <w:rPr>
          <w:color w:val="000000" w:themeColor="text1"/>
          <w:sz w:val="22"/>
          <w:szCs w:val="22"/>
        </w:rPr>
        <w:t>Den foreslåede</w:t>
      </w:r>
      <w:r w:rsidR="00277AD0">
        <w:rPr>
          <w:color w:val="000000" w:themeColor="text1"/>
          <w:sz w:val="22"/>
          <w:szCs w:val="22"/>
        </w:rPr>
        <w:t xml:space="preserve"> l</w:t>
      </w:r>
      <w:r w:rsidR="006E67AB" w:rsidRPr="00F67749">
        <w:rPr>
          <w:color w:val="000000" w:themeColor="text1"/>
          <w:sz w:val="22"/>
          <w:szCs w:val="22"/>
        </w:rPr>
        <w:t xml:space="preserve">øsning på rederiernes og dets investorers økonomiske vanskeligheder blev, at man ved ændringen af fiskeriloven gjorde de tidligere 1-årige licenser </w:t>
      </w:r>
      <w:r w:rsidR="00277AD0">
        <w:rPr>
          <w:color w:val="000000" w:themeColor="text1"/>
          <w:sz w:val="22"/>
          <w:szCs w:val="22"/>
        </w:rPr>
        <w:t xml:space="preserve">i det havgående rejefiskeri </w:t>
      </w:r>
      <w:r w:rsidR="006E67AB" w:rsidRPr="00F67749">
        <w:rPr>
          <w:color w:val="000000" w:themeColor="text1"/>
          <w:sz w:val="22"/>
          <w:szCs w:val="22"/>
        </w:rPr>
        <w:t>med en højst tilladt fangstmængde til tidsubegrænsede</w:t>
      </w:r>
      <w:r w:rsidR="00F5688B" w:rsidRPr="00F67749">
        <w:rPr>
          <w:color w:val="000000" w:themeColor="text1"/>
          <w:sz w:val="22"/>
          <w:szCs w:val="22"/>
        </w:rPr>
        <w:t xml:space="preserve"> licenser med individuelle omsættelige kvoter</w:t>
      </w:r>
      <w:r w:rsidR="006E67AB" w:rsidRPr="00F67749">
        <w:rPr>
          <w:color w:val="000000" w:themeColor="text1"/>
          <w:sz w:val="22"/>
          <w:szCs w:val="22"/>
        </w:rPr>
        <w:t xml:space="preserve"> med en højest tilladt fangstmæn</w:t>
      </w:r>
      <w:r w:rsidR="00F5688B" w:rsidRPr="00F67749">
        <w:rPr>
          <w:color w:val="000000" w:themeColor="text1"/>
          <w:sz w:val="22"/>
          <w:szCs w:val="22"/>
        </w:rPr>
        <w:t>gde</w:t>
      </w:r>
      <w:r w:rsidR="009E612E">
        <w:rPr>
          <w:color w:val="000000" w:themeColor="text1"/>
          <w:sz w:val="22"/>
          <w:szCs w:val="22"/>
        </w:rPr>
        <w:t xml:space="preserve"> (</w:t>
      </w:r>
      <w:proofErr w:type="gramStart"/>
      <w:r w:rsidR="009E612E">
        <w:rPr>
          <w:color w:val="000000" w:themeColor="text1"/>
          <w:sz w:val="22"/>
          <w:szCs w:val="22"/>
        </w:rPr>
        <w:t>I</w:t>
      </w:r>
      <w:r w:rsidR="00277AD0">
        <w:rPr>
          <w:color w:val="000000" w:themeColor="text1"/>
          <w:sz w:val="22"/>
          <w:szCs w:val="22"/>
        </w:rPr>
        <w:t>OK</w:t>
      </w:r>
      <w:r w:rsidR="009E612E">
        <w:rPr>
          <w:color w:val="000000" w:themeColor="text1"/>
          <w:sz w:val="22"/>
          <w:szCs w:val="22"/>
        </w:rPr>
        <w:t xml:space="preserve"> system</w:t>
      </w:r>
      <w:proofErr w:type="gramEnd"/>
      <w:r w:rsidR="009E612E">
        <w:rPr>
          <w:color w:val="000000" w:themeColor="text1"/>
          <w:sz w:val="22"/>
          <w:szCs w:val="22"/>
        </w:rPr>
        <w:t>)</w:t>
      </w:r>
      <w:r w:rsidR="00F5688B" w:rsidRPr="00F67749">
        <w:rPr>
          <w:color w:val="000000" w:themeColor="text1"/>
          <w:sz w:val="22"/>
          <w:szCs w:val="22"/>
        </w:rPr>
        <w:t xml:space="preserve">. De enkelte rederier fik </w:t>
      </w:r>
      <w:r w:rsidR="00CA1FDB">
        <w:rPr>
          <w:color w:val="000000" w:themeColor="text1"/>
          <w:sz w:val="22"/>
          <w:szCs w:val="22"/>
        </w:rPr>
        <w:t xml:space="preserve">en </w:t>
      </w:r>
      <w:r w:rsidR="00F5688B" w:rsidRPr="00F67749">
        <w:rPr>
          <w:color w:val="000000" w:themeColor="text1"/>
          <w:sz w:val="22"/>
          <w:szCs w:val="22"/>
        </w:rPr>
        <w:t xml:space="preserve">andel af </w:t>
      </w:r>
      <w:r w:rsidR="006E67AB" w:rsidRPr="00F67749">
        <w:rPr>
          <w:color w:val="000000" w:themeColor="text1"/>
          <w:sz w:val="22"/>
          <w:szCs w:val="22"/>
        </w:rPr>
        <w:t xml:space="preserve">den samlede </w:t>
      </w:r>
      <w:r w:rsidR="00F5688B" w:rsidRPr="00F67749">
        <w:rPr>
          <w:color w:val="000000" w:themeColor="text1"/>
          <w:sz w:val="22"/>
          <w:szCs w:val="22"/>
        </w:rPr>
        <w:t xml:space="preserve">TAC for </w:t>
      </w:r>
      <w:r w:rsidR="006E67AB" w:rsidRPr="00F67749">
        <w:rPr>
          <w:color w:val="000000" w:themeColor="text1"/>
          <w:sz w:val="22"/>
          <w:szCs w:val="22"/>
        </w:rPr>
        <w:t>reje</w:t>
      </w:r>
      <w:r w:rsidR="00F5688B" w:rsidRPr="00F67749">
        <w:rPr>
          <w:color w:val="000000" w:themeColor="text1"/>
          <w:sz w:val="22"/>
          <w:szCs w:val="22"/>
        </w:rPr>
        <w:t>r</w:t>
      </w:r>
      <w:r w:rsidR="006E67AB" w:rsidRPr="00F67749">
        <w:rPr>
          <w:color w:val="000000" w:themeColor="text1"/>
          <w:sz w:val="22"/>
          <w:szCs w:val="22"/>
        </w:rPr>
        <w:t xml:space="preserve">, som var til rådighed for grønlandske fartøjer. </w:t>
      </w:r>
    </w:p>
    <w:p w14:paraId="300749E7" w14:textId="77777777" w:rsidR="00F5688B" w:rsidRPr="00F67749" w:rsidRDefault="00F5688B" w:rsidP="00A21B75">
      <w:pPr>
        <w:pStyle w:val="Default"/>
        <w:spacing w:line="276" w:lineRule="auto"/>
        <w:jc w:val="both"/>
        <w:rPr>
          <w:color w:val="000000" w:themeColor="text1"/>
          <w:sz w:val="22"/>
          <w:szCs w:val="22"/>
        </w:rPr>
      </w:pPr>
    </w:p>
    <w:p w14:paraId="22AAF6EA" w14:textId="77777777" w:rsidR="00567DFB" w:rsidRPr="00F67749" w:rsidRDefault="006E67AB" w:rsidP="00A21B75">
      <w:pPr>
        <w:spacing w:after="0" w:line="276" w:lineRule="auto"/>
        <w:jc w:val="both"/>
        <w:rPr>
          <w:rFonts w:ascii="Times New Roman" w:hAnsi="Times New Roman" w:cs="Times New Roman"/>
          <w:color w:val="000000" w:themeColor="text1"/>
        </w:rPr>
      </w:pPr>
      <w:r w:rsidRPr="00F67749">
        <w:rPr>
          <w:rFonts w:ascii="Times New Roman" w:hAnsi="Times New Roman" w:cs="Times New Roman"/>
          <w:color w:val="000000" w:themeColor="text1"/>
        </w:rPr>
        <w:t>De tidsubegrænsede licenser blev først med vedtagelsen af landstingslov nr. 4 af 2. maj 1996 om ændring af landstingslov om erhvervsmæssigt fiskeri indført i det kystnære rejefiskeri. Dette skyldes bl.a., at det kystnære rejefiskeri altid har været mindre kapitalintensivt og kendetegnet ved mange mindre aktører og mindre fartøjer.</w:t>
      </w:r>
    </w:p>
    <w:p w14:paraId="13CF3A3D" w14:textId="77777777" w:rsidR="00F5688B" w:rsidRPr="00F67749" w:rsidRDefault="00F5688B" w:rsidP="00A21B75">
      <w:pPr>
        <w:spacing w:after="0" w:line="276" w:lineRule="auto"/>
        <w:jc w:val="both"/>
        <w:rPr>
          <w:rStyle w:val="Hyperlink"/>
          <w:rFonts w:ascii="Times New Roman" w:hAnsi="Times New Roman" w:cs="Times New Roman"/>
          <w:color w:val="000000" w:themeColor="text1"/>
          <w:u w:val="none"/>
        </w:rPr>
      </w:pPr>
    </w:p>
    <w:p w14:paraId="0FF9F7BA" w14:textId="77777777" w:rsidR="00C21CEA" w:rsidRPr="00F67749" w:rsidRDefault="003E0419" w:rsidP="00A21B75">
      <w:pPr>
        <w:spacing w:after="0" w:line="276" w:lineRule="auto"/>
        <w:jc w:val="both"/>
        <w:rPr>
          <w:rStyle w:val="Hyperlink"/>
          <w:rFonts w:ascii="Times New Roman" w:hAnsi="Times New Roman" w:cs="Times New Roman"/>
          <w:b/>
          <w:color w:val="000000" w:themeColor="text1"/>
          <w:sz w:val="28"/>
          <w:szCs w:val="28"/>
          <w:u w:val="none"/>
        </w:rPr>
      </w:pPr>
      <w:r>
        <w:rPr>
          <w:rStyle w:val="Hyperlink"/>
          <w:rFonts w:ascii="Times New Roman" w:hAnsi="Times New Roman" w:cs="Times New Roman"/>
          <w:b/>
          <w:color w:val="000000" w:themeColor="text1"/>
          <w:sz w:val="28"/>
          <w:szCs w:val="28"/>
          <w:u w:val="none"/>
        </w:rPr>
        <w:t xml:space="preserve">1. </w:t>
      </w:r>
      <w:r w:rsidR="00C21CEA" w:rsidRPr="00F67749">
        <w:rPr>
          <w:rStyle w:val="Hyperlink"/>
          <w:rFonts w:ascii="Times New Roman" w:hAnsi="Times New Roman" w:cs="Times New Roman"/>
          <w:b/>
          <w:color w:val="000000" w:themeColor="text1"/>
          <w:sz w:val="28"/>
          <w:szCs w:val="28"/>
          <w:u w:val="none"/>
        </w:rPr>
        <w:t>Rejefiskeriet i dag</w:t>
      </w:r>
    </w:p>
    <w:p w14:paraId="03A14B94" w14:textId="77777777" w:rsidR="00F0418D" w:rsidRPr="00F0418D" w:rsidRDefault="000E6B34" w:rsidP="00A21B75">
      <w:pPr>
        <w:spacing w:after="0" w:line="276" w:lineRule="auto"/>
        <w:jc w:val="both"/>
        <w:rPr>
          <w:rFonts w:ascii="Times New Roman" w:eastAsia="Times New Roman" w:hAnsi="Times New Roman" w:cs="Times New Roman"/>
          <w:lang w:eastAsia="da-DK"/>
        </w:rPr>
      </w:pPr>
      <w:r w:rsidRPr="00F0418D">
        <w:rPr>
          <w:rStyle w:val="Hyperlink"/>
          <w:rFonts w:ascii="Times New Roman" w:hAnsi="Times New Roman" w:cs="Times New Roman"/>
          <w:color w:val="000000" w:themeColor="text1"/>
          <w:u w:val="none"/>
        </w:rPr>
        <w:t>Rejefiskeriet i dag er overordnet reguleret ved Fiskeriloven fra 1996. Loven i 1</w:t>
      </w:r>
      <w:r w:rsidR="00ED672A">
        <w:rPr>
          <w:rStyle w:val="Hyperlink"/>
          <w:rFonts w:ascii="Times New Roman" w:hAnsi="Times New Roman" w:cs="Times New Roman"/>
          <w:color w:val="000000" w:themeColor="text1"/>
          <w:u w:val="none"/>
        </w:rPr>
        <w:t>996 er siden blevet ændret ved 13</w:t>
      </w:r>
      <w:r w:rsidRPr="00F0418D">
        <w:rPr>
          <w:rStyle w:val="Hyperlink"/>
          <w:rFonts w:ascii="Times New Roman" w:hAnsi="Times New Roman" w:cs="Times New Roman"/>
          <w:color w:val="000000" w:themeColor="text1"/>
          <w:u w:val="none"/>
        </w:rPr>
        <w:t xml:space="preserve"> forskellige ændringslove. I medfør af fiskeriloven er</w:t>
      </w:r>
      <w:r w:rsidR="00ED672A">
        <w:rPr>
          <w:rStyle w:val="Hyperlink"/>
          <w:rFonts w:ascii="Times New Roman" w:hAnsi="Times New Roman" w:cs="Times New Roman"/>
          <w:color w:val="000000" w:themeColor="text1"/>
          <w:u w:val="none"/>
        </w:rPr>
        <w:t xml:space="preserve"> der udstedt 21</w:t>
      </w:r>
      <w:r w:rsidRPr="00F0418D">
        <w:rPr>
          <w:rStyle w:val="Hyperlink"/>
          <w:rFonts w:ascii="Times New Roman" w:hAnsi="Times New Roman" w:cs="Times New Roman"/>
          <w:color w:val="000000" w:themeColor="text1"/>
          <w:u w:val="none"/>
        </w:rPr>
        <w:t xml:space="preserve"> bekendtgørelser</w:t>
      </w:r>
      <w:r w:rsidR="00FA262C">
        <w:rPr>
          <w:rStyle w:val="Hyperlink"/>
          <w:rFonts w:ascii="Times New Roman" w:hAnsi="Times New Roman" w:cs="Times New Roman"/>
          <w:color w:val="000000" w:themeColor="text1"/>
          <w:u w:val="none"/>
        </w:rPr>
        <w:t>,</w:t>
      </w:r>
      <w:r w:rsidRPr="00F0418D">
        <w:rPr>
          <w:rStyle w:val="Hyperlink"/>
          <w:rFonts w:ascii="Times New Roman" w:hAnsi="Times New Roman" w:cs="Times New Roman"/>
          <w:color w:val="000000" w:themeColor="text1"/>
          <w:u w:val="none"/>
        </w:rPr>
        <w:t xml:space="preserve"> </w:t>
      </w:r>
      <w:r w:rsidR="00ED672A">
        <w:rPr>
          <w:rStyle w:val="Hyperlink"/>
          <w:rFonts w:ascii="Times New Roman" w:hAnsi="Times New Roman" w:cs="Times New Roman"/>
          <w:color w:val="000000" w:themeColor="text1"/>
          <w:u w:val="none"/>
        </w:rPr>
        <w:t>som regulerer også fiskeriet</w:t>
      </w:r>
      <w:r w:rsidR="00FA262C">
        <w:rPr>
          <w:rStyle w:val="Hyperlink"/>
          <w:rFonts w:ascii="Times New Roman" w:hAnsi="Times New Roman" w:cs="Times New Roman"/>
          <w:color w:val="000000" w:themeColor="text1"/>
          <w:u w:val="none"/>
        </w:rPr>
        <w:t>,</w:t>
      </w:r>
      <w:r w:rsidR="00ED672A">
        <w:rPr>
          <w:rStyle w:val="Hyperlink"/>
          <w:rFonts w:ascii="Times New Roman" w:hAnsi="Times New Roman" w:cs="Times New Roman"/>
          <w:color w:val="000000" w:themeColor="text1"/>
          <w:u w:val="none"/>
        </w:rPr>
        <w:t xml:space="preserve"> og </w:t>
      </w:r>
      <w:r w:rsidRPr="00F0418D">
        <w:rPr>
          <w:rStyle w:val="Hyperlink"/>
          <w:rFonts w:ascii="Times New Roman" w:hAnsi="Times New Roman" w:cs="Times New Roman"/>
          <w:color w:val="000000" w:themeColor="text1"/>
          <w:u w:val="none"/>
        </w:rPr>
        <w:t xml:space="preserve">som beskriver </w:t>
      </w:r>
      <w:r w:rsidR="009E048B">
        <w:rPr>
          <w:rStyle w:val="Hyperlink"/>
          <w:rFonts w:ascii="Times New Roman" w:hAnsi="Times New Roman" w:cs="Times New Roman"/>
          <w:color w:val="000000" w:themeColor="text1"/>
          <w:u w:val="none"/>
        </w:rPr>
        <w:t xml:space="preserve">de </w:t>
      </w:r>
      <w:r w:rsidRPr="00F0418D">
        <w:rPr>
          <w:rStyle w:val="Hyperlink"/>
          <w:rFonts w:ascii="Times New Roman" w:hAnsi="Times New Roman" w:cs="Times New Roman"/>
          <w:color w:val="000000" w:themeColor="text1"/>
          <w:u w:val="none"/>
        </w:rPr>
        <w:t>nærmere regler for enkeltområder.</w:t>
      </w:r>
      <w:r w:rsidR="00F0418D" w:rsidRPr="00F0418D">
        <w:rPr>
          <w:rFonts w:ascii="Times New Roman" w:eastAsiaTheme="minorEastAsia" w:hAnsi="Times New Roman" w:cs="Times New Roman"/>
          <w:b/>
          <w:bCs/>
          <w:color w:val="000000" w:themeColor="text1"/>
          <w:kern w:val="24"/>
        </w:rPr>
        <w:t xml:space="preserve"> </w:t>
      </w:r>
    </w:p>
    <w:p w14:paraId="5DDD184C" w14:textId="77777777" w:rsidR="000E6B34" w:rsidRDefault="000E6B34" w:rsidP="00A21B75">
      <w:pPr>
        <w:spacing w:after="0" w:line="276" w:lineRule="auto"/>
        <w:jc w:val="both"/>
        <w:rPr>
          <w:rStyle w:val="Hyperlink"/>
          <w:rFonts w:ascii="Times New Roman" w:hAnsi="Times New Roman" w:cs="Times New Roman"/>
          <w:color w:val="000000" w:themeColor="text1"/>
          <w:u w:val="none"/>
        </w:rPr>
      </w:pPr>
    </w:p>
    <w:p w14:paraId="05FA09E8" w14:textId="77777777" w:rsidR="00B460D6" w:rsidRDefault="00576F24" w:rsidP="00A21B75">
      <w:pPr>
        <w:spacing w:after="0" w:line="276" w:lineRule="auto"/>
        <w:jc w:val="both"/>
        <w:rPr>
          <w:rFonts w:ascii="Times New Roman" w:hAnsi="Times New Roman" w:cs="Times New Roman"/>
          <w:color w:val="000000" w:themeColor="text1"/>
        </w:rPr>
      </w:pPr>
      <w:r w:rsidRPr="00F67749">
        <w:rPr>
          <w:rFonts w:ascii="Times New Roman" w:hAnsi="Times New Roman" w:cs="Times New Roman"/>
          <w:color w:val="000000" w:themeColor="text1"/>
        </w:rPr>
        <w:t xml:space="preserve">Rejefiskeriet er blandt andet reguleret igennem kvoter </w:t>
      </w:r>
      <w:r w:rsidR="0023236B">
        <w:rPr>
          <w:rFonts w:ascii="Times New Roman" w:hAnsi="Times New Roman" w:cs="Times New Roman"/>
          <w:color w:val="000000" w:themeColor="text1"/>
        </w:rPr>
        <w:t>og licenser</w:t>
      </w:r>
      <w:r w:rsidRPr="00F67749">
        <w:rPr>
          <w:rFonts w:ascii="Times New Roman" w:hAnsi="Times New Roman" w:cs="Times New Roman"/>
          <w:color w:val="000000" w:themeColor="text1"/>
        </w:rPr>
        <w:t xml:space="preserve">. </w:t>
      </w:r>
      <w:proofErr w:type="spellStart"/>
      <w:r w:rsidR="0023236B" w:rsidRPr="00576F24">
        <w:rPr>
          <w:rFonts w:ascii="Times New Roman" w:hAnsi="Times New Roman" w:cs="Times New Roman"/>
          <w:color w:val="000000"/>
        </w:rPr>
        <w:t>Naalakkersuisut</w:t>
      </w:r>
      <w:proofErr w:type="spellEnd"/>
      <w:r w:rsidR="0023236B" w:rsidRPr="00576F24">
        <w:rPr>
          <w:rFonts w:ascii="Times New Roman" w:hAnsi="Times New Roman" w:cs="Times New Roman"/>
          <w:color w:val="000000"/>
        </w:rPr>
        <w:t xml:space="preserve"> fastsætter årligt den totale tilladte fangstmæn</w:t>
      </w:r>
      <w:r w:rsidR="00ED672A">
        <w:rPr>
          <w:rFonts w:ascii="Times New Roman" w:hAnsi="Times New Roman" w:cs="Times New Roman"/>
          <w:color w:val="000000"/>
        </w:rPr>
        <w:t>gde</w:t>
      </w:r>
      <w:r w:rsidR="0023236B" w:rsidRPr="00576F24">
        <w:rPr>
          <w:rFonts w:ascii="Times New Roman" w:hAnsi="Times New Roman" w:cs="Times New Roman"/>
          <w:color w:val="000000"/>
        </w:rPr>
        <w:t xml:space="preserve"> for fiskebestandene i Grønlands økonomiske zone. Fastsættelsen sker med udgangspunkt i den biologiske rådgivning, der udføres af </w:t>
      </w:r>
      <w:proofErr w:type="spellStart"/>
      <w:r w:rsidR="0023236B" w:rsidRPr="00576F24">
        <w:rPr>
          <w:rFonts w:ascii="Times New Roman" w:hAnsi="Times New Roman" w:cs="Times New Roman"/>
          <w:color w:val="000000"/>
        </w:rPr>
        <w:t>Pinngortitaleriffik</w:t>
      </w:r>
      <w:proofErr w:type="spellEnd"/>
      <w:r w:rsidR="0023236B" w:rsidRPr="00576F24">
        <w:rPr>
          <w:rFonts w:ascii="Times New Roman" w:hAnsi="Times New Roman" w:cs="Times New Roman"/>
          <w:color w:val="000000"/>
        </w:rPr>
        <w:t xml:space="preserve"> - Grønlands Naturinstitut</w:t>
      </w:r>
      <w:r w:rsidR="00ED672A">
        <w:rPr>
          <w:rFonts w:ascii="Times New Roman" w:hAnsi="Times New Roman" w:cs="Times New Roman"/>
          <w:color w:val="000000"/>
        </w:rPr>
        <w:t xml:space="preserve"> samt en forvaltningsplan for rejer</w:t>
      </w:r>
      <w:r w:rsidR="0023236B" w:rsidRPr="00576F24">
        <w:rPr>
          <w:rFonts w:ascii="Times New Roman" w:hAnsi="Times New Roman" w:cs="Times New Roman"/>
          <w:color w:val="000000"/>
        </w:rPr>
        <w:t>.</w:t>
      </w:r>
      <w:r w:rsidR="00ED672A">
        <w:rPr>
          <w:rFonts w:ascii="Times New Roman" w:hAnsi="Times New Roman" w:cs="Times New Roman"/>
          <w:color w:val="000000"/>
        </w:rPr>
        <w:t xml:space="preserve"> </w:t>
      </w:r>
      <w:r w:rsidR="00B460D6" w:rsidRPr="00F67749">
        <w:rPr>
          <w:rFonts w:ascii="Times New Roman" w:hAnsi="Times New Roman" w:cs="Times New Roman"/>
          <w:color w:val="000000" w:themeColor="text1"/>
        </w:rPr>
        <w:t>Igennem de sidste 25 år har rejefiskerne noteret oplysninger om trawltræk med fangstmængder og størrelsesfordelinger af fangsten i logbøger og afleveret dem til GFLK. Oplysningerne er en vigtig forudsætning for, at biologerne kan estimere rejebestandens størrelse og herigennem yde rådgivning omkring de tilladte fangstmængder.</w:t>
      </w:r>
    </w:p>
    <w:p w14:paraId="645ACB24" w14:textId="77777777" w:rsidR="00C23B93" w:rsidRPr="00F67749" w:rsidRDefault="00C23B93" w:rsidP="00A21B75">
      <w:pPr>
        <w:spacing w:after="0" w:line="276" w:lineRule="auto"/>
        <w:jc w:val="both"/>
        <w:rPr>
          <w:rFonts w:ascii="Times New Roman" w:hAnsi="Times New Roman" w:cs="Times New Roman"/>
          <w:color w:val="000000" w:themeColor="text1"/>
        </w:rPr>
      </w:pPr>
    </w:p>
    <w:p w14:paraId="0A301752" w14:textId="698E29B9" w:rsidR="0023236B" w:rsidRDefault="00ED672A" w:rsidP="00A21B75">
      <w:pPr>
        <w:spacing w:after="0" w:line="276" w:lineRule="auto"/>
        <w:jc w:val="both"/>
        <w:rPr>
          <w:rFonts w:ascii="Times New Roman" w:hAnsi="Times New Roman" w:cs="Times New Roman"/>
          <w:color w:val="000000"/>
        </w:rPr>
      </w:pPr>
      <w:r>
        <w:rPr>
          <w:rFonts w:ascii="Times New Roman" w:hAnsi="Times New Roman" w:cs="Times New Roman"/>
          <w:color w:val="000000"/>
        </w:rPr>
        <w:t>Forvaltningsplan</w:t>
      </w:r>
      <w:r w:rsidR="009E048B">
        <w:rPr>
          <w:rFonts w:ascii="Times New Roman" w:hAnsi="Times New Roman" w:cs="Times New Roman"/>
          <w:color w:val="000000"/>
        </w:rPr>
        <w:t>en</w:t>
      </w:r>
      <w:r w:rsidR="00FA262C">
        <w:rPr>
          <w:rFonts w:ascii="Times New Roman" w:hAnsi="Times New Roman" w:cs="Times New Roman"/>
          <w:color w:val="000000"/>
        </w:rPr>
        <w:t>,</w:t>
      </w:r>
      <w:r>
        <w:rPr>
          <w:rFonts w:ascii="Times New Roman" w:hAnsi="Times New Roman" w:cs="Times New Roman"/>
          <w:color w:val="000000"/>
        </w:rPr>
        <w:t xml:space="preserve"> som blev indført i </w:t>
      </w:r>
      <w:proofErr w:type="gramStart"/>
      <w:r>
        <w:rPr>
          <w:rFonts w:ascii="Times New Roman" w:hAnsi="Times New Roman" w:cs="Times New Roman"/>
          <w:color w:val="000000"/>
        </w:rPr>
        <w:t>2010</w:t>
      </w:r>
      <w:proofErr w:type="gramEnd"/>
      <w:r>
        <w:rPr>
          <w:rFonts w:ascii="Times New Roman" w:hAnsi="Times New Roman" w:cs="Times New Roman"/>
          <w:color w:val="000000"/>
        </w:rPr>
        <w:t xml:space="preserve"> tager udgangspunkt i</w:t>
      </w:r>
      <w:r w:rsidR="00822D81">
        <w:rPr>
          <w:rFonts w:ascii="Times New Roman" w:hAnsi="Times New Roman" w:cs="Times New Roman"/>
          <w:color w:val="000000"/>
        </w:rPr>
        <w:t>,</w:t>
      </w:r>
      <w:r>
        <w:rPr>
          <w:rFonts w:ascii="Times New Roman" w:hAnsi="Times New Roman" w:cs="Times New Roman"/>
          <w:color w:val="000000"/>
        </w:rPr>
        <w:t xml:space="preserve"> at TAC´en for rejer ikke må overstige den biologiske rådgivning. Det er indbygget stabilitet i forvaltningsplanen</w:t>
      </w:r>
      <w:r w:rsidR="005C78F4">
        <w:rPr>
          <w:rFonts w:ascii="Times New Roman" w:hAnsi="Times New Roman" w:cs="Times New Roman"/>
          <w:color w:val="000000"/>
        </w:rPr>
        <w:t>,</w:t>
      </w:r>
      <w:r>
        <w:rPr>
          <w:rFonts w:ascii="Times New Roman" w:hAnsi="Times New Roman" w:cs="Times New Roman"/>
          <w:color w:val="000000"/>
        </w:rPr>
        <w:t xml:space="preserve"> så TAC´en højest </w:t>
      </w:r>
      <w:r w:rsidR="009E048B">
        <w:rPr>
          <w:rFonts w:ascii="Times New Roman" w:hAnsi="Times New Roman" w:cs="Times New Roman"/>
          <w:color w:val="000000"/>
        </w:rPr>
        <w:t xml:space="preserve">kan </w:t>
      </w:r>
      <w:r>
        <w:rPr>
          <w:rFonts w:ascii="Times New Roman" w:hAnsi="Times New Roman" w:cs="Times New Roman"/>
          <w:color w:val="000000"/>
        </w:rPr>
        <w:t>stige eller falde med 12,5 pct. fra år til år hvis det er store udsving i den biologiske rådgivning.</w:t>
      </w:r>
    </w:p>
    <w:p w14:paraId="71FB6633" w14:textId="77777777" w:rsidR="00C23B93" w:rsidRPr="00576F24" w:rsidRDefault="00C23B93" w:rsidP="00A21B75">
      <w:pPr>
        <w:spacing w:after="0" w:line="276" w:lineRule="auto"/>
        <w:jc w:val="both"/>
        <w:rPr>
          <w:rFonts w:ascii="Times New Roman" w:hAnsi="Times New Roman" w:cs="Times New Roman"/>
          <w:color w:val="000000"/>
        </w:rPr>
      </w:pPr>
    </w:p>
    <w:p w14:paraId="548CA252" w14:textId="50010623" w:rsidR="00576F24" w:rsidRDefault="00576F24" w:rsidP="00A21B75">
      <w:pPr>
        <w:spacing w:after="0" w:line="276" w:lineRule="auto"/>
        <w:jc w:val="both"/>
        <w:rPr>
          <w:rFonts w:ascii="Times New Roman" w:eastAsia="Times New Roman" w:hAnsi="Times New Roman" w:cs="Times New Roman"/>
          <w:color w:val="000000"/>
          <w:lang w:eastAsia="da-DK"/>
        </w:rPr>
      </w:pPr>
      <w:r w:rsidRPr="00F67749">
        <w:rPr>
          <w:rFonts w:ascii="Times New Roman" w:hAnsi="Times New Roman" w:cs="Times New Roman"/>
          <w:color w:val="000000" w:themeColor="text1"/>
        </w:rPr>
        <w:t xml:space="preserve">Ifølge lov bekendtgøres i licensen for hver enkelt </w:t>
      </w:r>
      <w:r w:rsidR="0023236B">
        <w:rPr>
          <w:rFonts w:ascii="Times New Roman" w:hAnsi="Times New Roman" w:cs="Times New Roman"/>
          <w:color w:val="000000" w:themeColor="text1"/>
        </w:rPr>
        <w:t>person</w:t>
      </w:r>
      <w:r w:rsidRPr="00F67749">
        <w:rPr>
          <w:rFonts w:ascii="Times New Roman" w:hAnsi="Times New Roman" w:cs="Times New Roman"/>
          <w:color w:val="000000" w:themeColor="text1"/>
        </w:rPr>
        <w:t xml:space="preserve"> eller selskab, hvilke arter pågældende licensholder må </w:t>
      </w:r>
      <w:r w:rsidRPr="001D681A">
        <w:rPr>
          <w:rFonts w:ascii="Times New Roman" w:hAnsi="Times New Roman" w:cs="Times New Roman"/>
          <w:color w:val="000000" w:themeColor="text1"/>
        </w:rPr>
        <w:t>fiske, med hvilke fartøjer og i hvilke territorium fiskeriet må finde sted samt nærmere betingelser for fiskeriet.</w:t>
      </w:r>
      <w:r w:rsidR="0023236B" w:rsidRPr="001D681A">
        <w:rPr>
          <w:rFonts w:ascii="Times New Roman" w:hAnsi="Times New Roman" w:cs="Times New Roman"/>
          <w:color w:val="000000" w:themeColor="text1"/>
        </w:rPr>
        <w:t xml:space="preserve"> Det er ingen begrænsning på</w:t>
      </w:r>
      <w:r w:rsidR="00FA262C">
        <w:rPr>
          <w:rFonts w:ascii="Times New Roman" w:hAnsi="Times New Roman" w:cs="Times New Roman"/>
          <w:color w:val="000000" w:themeColor="text1"/>
        </w:rPr>
        <w:t>,</w:t>
      </w:r>
      <w:r w:rsidR="0023236B" w:rsidRPr="001D681A">
        <w:rPr>
          <w:rFonts w:ascii="Times New Roman" w:hAnsi="Times New Roman" w:cs="Times New Roman"/>
          <w:color w:val="000000" w:themeColor="text1"/>
        </w:rPr>
        <w:t xml:space="preserve"> hvor mange fartøjer kan fiske på licensen.</w:t>
      </w:r>
      <w:r w:rsidRPr="001D681A">
        <w:rPr>
          <w:rFonts w:ascii="Times New Roman" w:hAnsi="Times New Roman" w:cs="Times New Roman"/>
          <w:color w:val="000000" w:themeColor="text1"/>
        </w:rPr>
        <w:t xml:space="preserve"> Rejeflåden opdeles i fartøjer med licens til havgående fiskeri og til kystnært fiskeri</w:t>
      </w:r>
      <w:r w:rsidR="00ED672A" w:rsidRPr="001D681A">
        <w:rPr>
          <w:rFonts w:ascii="Times New Roman" w:hAnsi="Times New Roman" w:cs="Times New Roman"/>
          <w:color w:val="000000" w:themeColor="text1"/>
        </w:rPr>
        <w:t xml:space="preserve"> i Vestgrønland samt havgående fiskeri i Østgrønland</w:t>
      </w:r>
      <w:r w:rsidRPr="001D681A">
        <w:rPr>
          <w:rFonts w:ascii="Times New Roman" w:hAnsi="Times New Roman" w:cs="Times New Roman"/>
          <w:color w:val="000000" w:themeColor="text1"/>
        </w:rPr>
        <w:t xml:space="preserve">. </w:t>
      </w:r>
      <w:r w:rsidRPr="001D681A">
        <w:rPr>
          <w:rFonts w:ascii="Times New Roman" w:eastAsia="Times New Roman" w:hAnsi="Times New Roman" w:cs="Times New Roman"/>
          <w:color w:val="000000"/>
          <w:lang w:eastAsia="da-DK"/>
        </w:rPr>
        <w:t xml:space="preserve">Tidsubegrænsede licenser med en øvre tilladt fangstmængde anvendes i rejefiskeriet. </w:t>
      </w:r>
      <w:r w:rsidR="00ED672A" w:rsidRPr="001D681A">
        <w:rPr>
          <w:rFonts w:ascii="Times New Roman" w:eastAsia="Times New Roman" w:hAnsi="Times New Roman" w:cs="Times New Roman"/>
          <w:color w:val="000000"/>
          <w:lang w:eastAsia="da-DK"/>
        </w:rPr>
        <w:t xml:space="preserve">Rejebestanden i Vestgrønland </w:t>
      </w:r>
      <w:r w:rsidR="001D681A" w:rsidRPr="001D681A">
        <w:rPr>
          <w:rFonts w:ascii="Times New Roman" w:eastAsia="Times New Roman" w:hAnsi="Times New Roman" w:cs="Times New Roman"/>
          <w:color w:val="000000"/>
          <w:lang w:eastAsia="da-DK"/>
        </w:rPr>
        <w:t>betragtes som en bestand</w:t>
      </w:r>
      <w:r w:rsidR="00FA262C">
        <w:rPr>
          <w:rFonts w:ascii="Times New Roman" w:eastAsia="Times New Roman" w:hAnsi="Times New Roman" w:cs="Times New Roman"/>
          <w:color w:val="000000"/>
          <w:lang w:eastAsia="da-DK"/>
        </w:rPr>
        <w:t>,</w:t>
      </w:r>
      <w:r w:rsidR="001D681A" w:rsidRPr="001D681A">
        <w:rPr>
          <w:rFonts w:ascii="Times New Roman" w:eastAsia="Times New Roman" w:hAnsi="Times New Roman" w:cs="Times New Roman"/>
          <w:color w:val="000000"/>
          <w:lang w:eastAsia="da-DK"/>
        </w:rPr>
        <w:t xml:space="preserve"> hvorfor opdelingen på havgående og kystnært rejefiskeri </w:t>
      </w:r>
      <w:r w:rsidR="009E142B">
        <w:rPr>
          <w:rFonts w:ascii="Times New Roman" w:eastAsia="Times New Roman" w:hAnsi="Times New Roman" w:cs="Times New Roman"/>
          <w:color w:val="000000"/>
          <w:lang w:eastAsia="da-DK"/>
        </w:rPr>
        <w:t xml:space="preserve">alene </w:t>
      </w:r>
      <w:r w:rsidR="009E048B">
        <w:rPr>
          <w:rFonts w:ascii="Times New Roman" w:eastAsia="Times New Roman" w:hAnsi="Times New Roman" w:cs="Times New Roman"/>
          <w:color w:val="000000"/>
          <w:lang w:eastAsia="da-DK"/>
        </w:rPr>
        <w:t>er</w:t>
      </w:r>
      <w:r w:rsidR="001D681A" w:rsidRPr="001D681A">
        <w:rPr>
          <w:rFonts w:ascii="Times New Roman" w:eastAsia="Times New Roman" w:hAnsi="Times New Roman" w:cs="Times New Roman"/>
          <w:color w:val="000000"/>
          <w:lang w:eastAsia="da-DK"/>
        </w:rPr>
        <w:t xml:space="preserve"> et forvaltningsmæssigt tiltag.</w:t>
      </w:r>
      <w:r w:rsidR="006E34C9">
        <w:rPr>
          <w:rFonts w:ascii="Times New Roman" w:eastAsia="Times New Roman" w:hAnsi="Times New Roman" w:cs="Times New Roman"/>
          <w:color w:val="000000"/>
          <w:lang w:eastAsia="da-DK"/>
        </w:rPr>
        <w:t xml:space="preserve"> </w:t>
      </w:r>
    </w:p>
    <w:p w14:paraId="323BFDEE" w14:textId="12CE6FF1" w:rsidR="00C23B93" w:rsidRDefault="00C23B93" w:rsidP="00A21B75">
      <w:pPr>
        <w:spacing w:after="0" w:line="276" w:lineRule="auto"/>
        <w:jc w:val="both"/>
        <w:rPr>
          <w:rFonts w:ascii="Verdana" w:eastAsia="Times New Roman" w:hAnsi="Verdana" w:cs="Times New Roman"/>
          <w:color w:val="000000"/>
          <w:sz w:val="20"/>
          <w:szCs w:val="20"/>
          <w:lang w:eastAsia="da-DK"/>
        </w:rPr>
      </w:pPr>
    </w:p>
    <w:p w14:paraId="62CDEC9F" w14:textId="6A3080C0" w:rsidR="00BC7384" w:rsidRPr="00B42B53" w:rsidRDefault="00BC7384" w:rsidP="00BC7384">
      <w:pPr>
        <w:spacing w:after="0" w:line="276" w:lineRule="auto"/>
        <w:jc w:val="both"/>
        <w:rPr>
          <w:rFonts w:ascii="Times New Roman" w:hAnsi="Times New Roman" w:cs="Times New Roman"/>
        </w:rPr>
      </w:pPr>
      <w:r w:rsidRPr="00B42B53">
        <w:rPr>
          <w:rFonts w:ascii="Times New Roman" w:hAnsi="Times New Roman" w:cs="Times New Roman"/>
        </w:rPr>
        <w:t xml:space="preserve">TAC og kvoter fastsættes årligt for rejer i både Vest- og Østgrønland.  I Vestgrønland fordeles TAC’en på hhv. en kvote til den kystnære og den havgående flådekomponent. Den havgående flådekomponent er defineret ved, at den foretager fiskeri i havområdet uden for en såkaldt 3 sømilegrænse beliggende tre nautiske sømil ud for en oprettet </w:t>
      </w:r>
      <w:proofErr w:type="spellStart"/>
      <w:r w:rsidRPr="00B42B53">
        <w:rPr>
          <w:rFonts w:ascii="Times New Roman" w:hAnsi="Times New Roman" w:cs="Times New Roman"/>
        </w:rPr>
        <w:t>basislinie</w:t>
      </w:r>
      <w:proofErr w:type="spellEnd"/>
      <w:r w:rsidRPr="00B42B53">
        <w:rPr>
          <w:rFonts w:ascii="Times New Roman" w:hAnsi="Times New Roman" w:cs="Times New Roman"/>
        </w:rPr>
        <w:t xml:space="preserve"> ved Grønlands vestkyst. Den kystnære flådekomponent er generelt defineret ved fartøjer op til 120 bruttotons og kan foretage fiskeri i havområdet inden for og uden for 3 sømilegrænsen. I rejefiskeriet er der i praksis ikke en størrelsesbegrænsning på fartøjer til kystnært rejefiskeri. Der er kun en størrelses</w:t>
      </w:r>
      <w:r>
        <w:rPr>
          <w:rFonts w:ascii="Times New Roman" w:hAnsi="Times New Roman" w:cs="Times New Roman"/>
        </w:rPr>
        <w:t>begrænsning på </w:t>
      </w:r>
      <w:r w:rsidRPr="00B42B53">
        <w:rPr>
          <w:rFonts w:ascii="Times New Roman" w:hAnsi="Times New Roman" w:cs="Times New Roman"/>
        </w:rPr>
        <w:t xml:space="preserve">fartøjer til kystnært reje fiskeri for fartøjer med produktionstilladelse men ikke </w:t>
      </w:r>
      <w:r w:rsidRPr="00B42B53">
        <w:rPr>
          <w:rFonts w:ascii="Times New Roman" w:hAnsi="Times New Roman" w:cs="Times New Roman"/>
        </w:rPr>
        <w:lastRenderedPageBreak/>
        <w:t xml:space="preserve">på fartøjer med 100 pct. landingspligt. I dag er det kun fire kystnære rejefartøjer, der er i størrelsen 120 bruttotons eller mindre. En af de største producerende rejetrawler i Grønland på over 80 meter betragtes som kystnær rejetrawler og kan fiske helt op til kysten, </w:t>
      </w:r>
      <w:r w:rsidR="009E142B">
        <w:rPr>
          <w:rFonts w:ascii="Times New Roman" w:hAnsi="Times New Roman" w:cs="Times New Roman"/>
        </w:rPr>
        <w:t>selvom</w:t>
      </w:r>
      <w:r w:rsidRPr="00B42B53">
        <w:rPr>
          <w:rFonts w:ascii="Times New Roman" w:hAnsi="Times New Roman" w:cs="Times New Roman"/>
        </w:rPr>
        <w:t xml:space="preserve"> den i realiteten </w:t>
      </w:r>
      <w:r w:rsidR="009E142B" w:rsidRPr="00B42B53">
        <w:rPr>
          <w:rFonts w:ascii="Times New Roman" w:hAnsi="Times New Roman" w:cs="Times New Roman"/>
        </w:rPr>
        <w:t xml:space="preserve">er </w:t>
      </w:r>
      <w:r w:rsidRPr="00B42B53">
        <w:rPr>
          <w:rFonts w:ascii="Times New Roman" w:hAnsi="Times New Roman" w:cs="Times New Roman"/>
        </w:rPr>
        <w:t>et havgående fartøj </w:t>
      </w:r>
    </w:p>
    <w:p w14:paraId="2A6734D9" w14:textId="77777777" w:rsidR="00C23B93" w:rsidRDefault="00C23B93" w:rsidP="00A21B75">
      <w:pPr>
        <w:spacing w:after="0" w:line="276" w:lineRule="auto"/>
        <w:jc w:val="both"/>
      </w:pPr>
    </w:p>
    <w:p w14:paraId="5463388E" w14:textId="61C82A3A" w:rsidR="00576F24" w:rsidRDefault="00576F24" w:rsidP="00A21B75">
      <w:pPr>
        <w:spacing w:after="0" w:line="276" w:lineRule="auto"/>
        <w:jc w:val="both"/>
        <w:rPr>
          <w:rFonts w:ascii="Times New Roman" w:hAnsi="Times New Roman" w:cs="Times New Roman"/>
          <w:color w:val="000000" w:themeColor="text1"/>
        </w:rPr>
      </w:pPr>
      <w:r w:rsidRPr="00F67749">
        <w:rPr>
          <w:rFonts w:ascii="Times New Roman" w:hAnsi="Times New Roman" w:cs="Times New Roman"/>
          <w:color w:val="000000" w:themeColor="text1"/>
        </w:rPr>
        <w:t xml:space="preserve"> APK (Den Grønlandske Havfiskeri og Eksport Sammenslutning) og KNAPK (Sammenslutningen af fiskere og fangere i Grønland) indgik i 2001</w:t>
      </w:r>
      <w:r w:rsidR="009E048B">
        <w:rPr>
          <w:rFonts w:ascii="Times New Roman" w:hAnsi="Times New Roman" w:cs="Times New Roman"/>
          <w:color w:val="000000" w:themeColor="text1"/>
        </w:rPr>
        <w:t xml:space="preserve"> en kvotefordelingsnøgle hvor det blev besluttet at </w:t>
      </w:r>
      <w:r w:rsidRPr="00F67749">
        <w:rPr>
          <w:rFonts w:ascii="Times New Roman" w:hAnsi="Times New Roman" w:cs="Times New Roman"/>
          <w:color w:val="000000" w:themeColor="text1"/>
        </w:rPr>
        <w:t xml:space="preserve">den kystnære flådekomponent </w:t>
      </w:r>
      <w:r w:rsidR="009E048B">
        <w:rPr>
          <w:rFonts w:ascii="Times New Roman" w:hAnsi="Times New Roman" w:cs="Times New Roman"/>
          <w:color w:val="000000" w:themeColor="text1"/>
        </w:rPr>
        <w:t xml:space="preserve">fremover skulle tildeles </w:t>
      </w:r>
      <w:r w:rsidRPr="00F67749">
        <w:rPr>
          <w:rFonts w:ascii="Times New Roman" w:hAnsi="Times New Roman" w:cs="Times New Roman"/>
          <w:color w:val="000000" w:themeColor="text1"/>
        </w:rPr>
        <w:t xml:space="preserve">43 pct. </w:t>
      </w:r>
      <w:r w:rsidR="009E048B" w:rsidRPr="00F67749">
        <w:rPr>
          <w:rFonts w:ascii="Times New Roman" w:hAnsi="Times New Roman" w:cs="Times New Roman"/>
          <w:color w:val="000000" w:themeColor="text1"/>
        </w:rPr>
        <w:t xml:space="preserve">af TAC´en i Vestgrønland </w:t>
      </w:r>
      <w:r w:rsidRPr="00F67749">
        <w:rPr>
          <w:rFonts w:ascii="Times New Roman" w:hAnsi="Times New Roman" w:cs="Times New Roman"/>
          <w:color w:val="000000" w:themeColor="text1"/>
        </w:rPr>
        <w:t>og den havgående flådekomponent 57 pct.</w:t>
      </w:r>
      <w:r w:rsidR="000E60D0">
        <w:rPr>
          <w:rFonts w:ascii="Times New Roman" w:hAnsi="Times New Roman" w:cs="Times New Roman"/>
          <w:color w:val="000000" w:themeColor="text1"/>
        </w:rPr>
        <w:t xml:space="preserve"> </w:t>
      </w:r>
      <w:r w:rsidRPr="00F67749">
        <w:rPr>
          <w:rFonts w:ascii="Times New Roman" w:hAnsi="Times New Roman" w:cs="Times New Roman"/>
          <w:color w:val="000000" w:themeColor="text1"/>
        </w:rPr>
        <w:t>TAC´en for rejer ved Østgrønland tildeles udelukkende den havgående flådekomponent, hvor der ingen opdeling foretages af TAC´en.</w:t>
      </w:r>
    </w:p>
    <w:p w14:paraId="7D7D839D" w14:textId="77777777" w:rsidR="00C23B93" w:rsidRPr="00F67749" w:rsidRDefault="00C23B93" w:rsidP="00A21B75">
      <w:pPr>
        <w:spacing w:after="0" w:line="276" w:lineRule="auto"/>
        <w:jc w:val="both"/>
        <w:rPr>
          <w:rFonts w:ascii="Times New Roman" w:hAnsi="Times New Roman" w:cs="Times New Roman"/>
          <w:color w:val="000000" w:themeColor="text1"/>
        </w:rPr>
      </w:pPr>
    </w:p>
    <w:p w14:paraId="532F0AAE" w14:textId="5ED7F3A4" w:rsidR="00AD0BE7" w:rsidRDefault="00535B07" w:rsidP="00A21B7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Rejefiskeriet forvaltes stadig med et </w:t>
      </w:r>
      <w:proofErr w:type="gramStart"/>
      <w:r>
        <w:rPr>
          <w:rFonts w:ascii="Times New Roman" w:hAnsi="Times New Roman" w:cs="Times New Roman"/>
          <w:color w:val="000000" w:themeColor="text1"/>
        </w:rPr>
        <w:t>I</w:t>
      </w:r>
      <w:r w:rsidR="00277AD0">
        <w:rPr>
          <w:rFonts w:ascii="Times New Roman" w:hAnsi="Times New Roman" w:cs="Times New Roman"/>
          <w:color w:val="000000" w:themeColor="text1"/>
        </w:rPr>
        <w:t>OK</w:t>
      </w:r>
      <w:r>
        <w:rPr>
          <w:rFonts w:ascii="Times New Roman" w:hAnsi="Times New Roman" w:cs="Times New Roman"/>
          <w:color w:val="000000" w:themeColor="text1"/>
        </w:rPr>
        <w:t xml:space="preserve"> system</w:t>
      </w:r>
      <w:proofErr w:type="gramEnd"/>
      <w:r w:rsidR="00FA262C">
        <w:rPr>
          <w:rFonts w:ascii="Times New Roman" w:hAnsi="Times New Roman" w:cs="Times New Roman"/>
          <w:color w:val="000000" w:themeColor="text1"/>
        </w:rPr>
        <w:t>,</w:t>
      </w:r>
      <w:r>
        <w:rPr>
          <w:rFonts w:ascii="Times New Roman" w:hAnsi="Times New Roman" w:cs="Times New Roman"/>
          <w:color w:val="000000" w:themeColor="text1"/>
        </w:rPr>
        <w:t xml:space="preserve"> hvor det </w:t>
      </w:r>
      <w:r w:rsidR="00576F24" w:rsidRPr="00F67749">
        <w:rPr>
          <w:rFonts w:ascii="Times New Roman" w:hAnsi="Times New Roman" w:cs="Times New Roman"/>
          <w:color w:val="000000" w:themeColor="text1"/>
        </w:rPr>
        <w:t>enkelte selskab eller den enkelte person er tildelt en kvoteandel på basis af udstedt licens, hvorefter selskabet selvstændigt kan fordele å</w:t>
      </w:r>
      <w:r w:rsidR="00544D58">
        <w:rPr>
          <w:rFonts w:ascii="Times New Roman" w:hAnsi="Times New Roman" w:cs="Times New Roman"/>
          <w:color w:val="000000" w:themeColor="text1"/>
        </w:rPr>
        <w:t xml:space="preserve">rskvoten mellem sine fartøjer. </w:t>
      </w:r>
      <w:r w:rsidR="006E34C9" w:rsidRPr="00F67749">
        <w:rPr>
          <w:rFonts w:ascii="Times New Roman" w:hAnsi="Times New Roman" w:cs="Times New Roman"/>
          <w:color w:val="000000" w:themeColor="text1"/>
        </w:rPr>
        <w:t>Licenssystemet, hvor kvoteandele er tildelt selskabet og ikke fartøjet, blev indført 1. januar 1991 for det havgående fiskeri. Et tilsvarende licenssystem blev indført</w:t>
      </w:r>
      <w:r w:rsidR="006E34C9">
        <w:rPr>
          <w:rFonts w:ascii="Times New Roman" w:hAnsi="Times New Roman" w:cs="Times New Roman"/>
          <w:color w:val="000000" w:themeColor="text1"/>
        </w:rPr>
        <w:t xml:space="preserve"> for det kystnære fiskeri i 1996</w:t>
      </w:r>
      <w:r w:rsidR="006E34C9" w:rsidRPr="00F67749">
        <w:rPr>
          <w:rFonts w:ascii="Times New Roman" w:hAnsi="Times New Roman" w:cs="Times New Roman"/>
          <w:color w:val="000000" w:themeColor="text1"/>
        </w:rPr>
        <w:t xml:space="preserve">, ligeledes med fuldt omsættelige kvoter. </w:t>
      </w:r>
      <w:r w:rsidR="00544D58">
        <w:rPr>
          <w:rFonts w:ascii="Times New Roman" w:hAnsi="Times New Roman" w:cs="Times New Roman"/>
          <w:color w:val="000000" w:themeColor="text1"/>
        </w:rPr>
        <w:t>S</w:t>
      </w:r>
      <w:r w:rsidR="00576F24" w:rsidRPr="00F67749">
        <w:rPr>
          <w:rFonts w:ascii="Times New Roman" w:hAnsi="Times New Roman" w:cs="Times New Roman"/>
          <w:color w:val="000000" w:themeColor="text1"/>
        </w:rPr>
        <w:t xml:space="preserve">elskabet </w:t>
      </w:r>
      <w:proofErr w:type="gramStart"/>
      <w:r w:rsidR="00576F24" w:rsidRPr="00F67749">
        <w:rPr>
          <w:rFonts w:ascii="Times New Roman" w:hAnsi="Times New Roman" w:cs="Times New Roman"/>
          <w:color w:val="000000" w:themeColor="text1"/>
        </w:rPr>
        <w:t>ikke kan</w:t>
      </w:r>
      <w:proofErr w:type="gramEnd"/>
      <w:r w:rsidR="00576F24" w:rsidRPr="00F67749">
        <w:rPr>
          <w:rFonts w:ascii="Times New Roman" w:hAnsi="Times New Roman" w:cs="Times New Roman"/>
          <w:color w:val="000000" w:themeColor="text1"/>
        </w:rPr>
        <w:t xml:space="preserve"> overføre </w:t>
      </w:r>
      <w:r w:rsidR="00544D58">
        <w:rPr>
          <w:rFonts w:ascii="Times New Roman" w:hAnsi="Times New Roman" w:cs="Times New Roman"/>
          <w:color w:val="000000" w:themeColor="text1"/>
        </w:rPr>
        <w:t xml:space="preserve">eller sælge </w:t>
      </w:r>
      <w:r w:rsidR="000E60D0">
        <w:rPr>
          <w:rFonts w:ascii="Times New Roman" w:hAnsi="Times New Roman" w:cs="Times New Roman"/>
          <w:color w:val="000000" w:themeColor="text1"/>
        </w:rPr>
        <w:t>dets</w:t>
      </w:r>
      <w:r w:rsidR="00576F24" w:rsidRPr="00F67749">
        <w:rPr>
          <w:rFonts w:ascii="Times New Roman" w:hAnsi="Times New Roman" w:cs="Times New Roman"/>
          <w:color w:val="000000" w:themeColor="text1"/>
        </w:rPr>
        <w:t xml:space="preserve"> </w:t>
      </w:r>
      <w:r w:rsidR="009F27EC">
        <w:rPr>
          <w:rFonts w:ascii="Times New Roman" w:hAnsi="Times New Roman" w:cs="Times New Roman"/>
          <w:color w:val="000000" w:themeColor="text1"/>
        </w:rPr>
        <w:t>kvoteandel</w:t>
      </w:r>
      <w:r w:rsidR="00544D58">
        <w:rPr>
          <w:rFonts w:ascii="Times New Roman" w:hAnsi="Times New Roman" w:cs="Times New Roman"/>
          <w:color w:val="000000" w:themeColor="text1"/>
        </w:rPr>
        <w:t xml:space="preserve"> </w:t>
      </w:r>
      <w:r w:rsidR="00576F24" w:rsidRPr="00F67749">
        <w:rPr>
          <w:rFonts w:ascii="Times New Roman" w:hAnsi="Times New Roman" w:cs="Times New Roman"/>
          <w:color w:val="000000" w:themeColor="text1"/>
        </w:rPr>
        <w:t xml:space="preserve">fra </w:t>
      </w:r>
      <w:r w:rsidR="009F27EC">
        <w:rPr>
          <w:rFonts w:ascii="Times New Roman" w:hAnsi="Times New Roman" w:cs="Times New Roman"/>
          <w:color w:val="000000" w:themeColor="text1"/>
        </w:rPr>
        <w:t>et</w:t>
      </w:r>
      <w:r w:rsidR="00544D58">
        <w:rPr>
          <w:rFonts w:ascii="Times New Roman" w:hAnsi="Times New Roman" w:cs="Times New Roman"/>
          <w:color w:val="000000" w:themeColor="text1"/>
        </w:rPr>
        <w:t xml:space="preserve"> havgående</w:t>
      </w:r>
      <w:r w:rsidR="00576F24" w:rsidRPr="00F67749">
        <w:rPr>
          <w:rFonts w:ascii="Times New Roman" w:hAnsi="Times New Roman" w:cs="Times New Roman"/>
          <w:color w:val="000000" w:themeColor="text1"/>
        </w:rPr>
        <w:t xml:space="preserve"> </w:t>
      </w:r>
      <w:r w:rsidR="009F27EC">
        <w:rPr>
          <w:rFonts w:ascii="Times New Roman" w:hAnsi="Times New Roman" w:cs="Times New Roman"/>
          <w:color w:val="000000" w:themeColor="text1"/>
        </w:rPr>
        <w:t>rejelicens</w:t>
      </w:r>
      <w:r w:rsidR="00576F24" w:rsidRPr="00F67749">
        <w:rPr>
          <w:rFonts w:ascii="Times New Roman" w:hAnsi="Times New Roman" w:cs="Times New Roman"/>
          <w:color w:val="000000" w:themeColor="text1"/>
        </w:rPr>
        <w:t xml:space="preserve"> til et</w:t>
      </w:r>
      <w:r w:rsidR="00544D58">
        <w:rPr>
          <w:rFonts w:ascii="Times New Roman" w:hAnsi="Times New Roman" w:cs="Times New Roman"/>
          <w:color w:val="000000" w:themeColor="text1"/>
        </w:rPr>
        <w:t xml:space="preserve"> </w:t>
      </w:r>
      <w:r w:rsidR="009F27EC">
        <w:rPr>
          <w:rFonts w:ascii="Times New Roman" w:hAnsi="Times New Roman" w:cs="Times New Roman"/>
          <w:color w:val="000000" w:themeColor="text1"/>
        </w:rPr>
        <w:t xml:space="preserve">selskab </w:t>
      </w:r>
      <w:r w:rsidR="00544D58">
        <w:rPr>
          <w:rFonts w:ascii="Times New Roman" w:hAnsi="Times New Roman" w:cs="Times New Roman"/>
          <w:color w:val="000000" w:themeColor="text1"/>
        </w:rPr>
        <w:t>med licens til kystnært</w:t>
      </w:r>
      <w:r w:rsidR="00576F24" w:rsidRPr="00F67749">
        <w:rPr>
          <w:rFonts w:ascii="Times New Roman" w:hAnsi="Times New Roman" w:cs="Times New Roman"/>
          <w:color w:val="000000" w:themeColor="text1"/>
        </w:rPr>
        <w:t xml:space="preserve"> rejefiskeri og omvendt. </w:t>
      </w:r>
      <w:r w:rsidR="00544D58">
        <w:rPr>
          <w:rFonts w:ascii="Times New Roman" w:hAnsi="Times New Roman" w:cs="Times New Roman"/>
          <w:color w:val="000000" w:themeColor="text1"/>
        </w:rPr>
        <w:t xml:space="preserve">Det er dog tilladt for selskaber at overføre eller sælge årskvoter fra det havgående </w:t>
      </w:r>
      <w:r w:rsidR="009F27EC">
        <w:rPr>
          <w:rFonts w:ascii="Times New Roman" w:hAnsi="Times New Roman" w:cs="Times New Roman"/>
          <w:color w:val="000000" w:themeColor="text1"/>
        </w:rPr>
        <w:t>reje</w:t>
      </w:r>
      <w:r w:rsidR="00544D58">
        <w:rPr>
          <w:rFonts w:ascii="Times New Roman" w:hAnsi="Times New Roman" w:cs="Times New Roman"/>
          <w:color w:val="000000" w:themeColor="text1"/>
        </w:rPr>
        <w:t xml:space="preserve">fiskeri til det kystnære. </w:t>
      </w:r>
      <w:r w:rsidR="00576F24" w:rsidRPr="00F67749">
        <w:rPr>
          <w:rFonts w:ascii="Times New Roman" w:hAnsi="Times New Roman" w:cs="Times New Roman"/>
          <w:color w:val="000000" w:themeColor="text1"/>
        </w:rPr>
        <w:t>Ligeledes kan der ikke overføres årskvote fra Øst- til Vestgrønland.</w:t>
      </w:r>
      <w:r w:rsidR="00544D58">
        <w:rPr>
          <w:rFonts w:ascii="Times New Roman" w:hAnsi="Times New Roman" w:cs="Times New Roman"/>
          <w:color w:val="000000" w:themeColor="text1"/>
        </w:rPr>
        <w:t xml:space="preserve"> Kvoteandele kan kun sælges inden</w:t>
      </w:r>
      <w:r w:rsidR="00FA262C">
        <w:rPr>
          <w:rFonts w:ascii="Times New Roman" w:hAnsi="Times New Roman" w:cs="Times New Roman"/>
          <w:color w:val="000000" w:themeColor="text1"/>
        </w:rPr>
        <w:t xml:space="preserve"> </w:t>
      </w:r>
      <w:r w:rsidR="00544D58">
        <w:rPr>
          <w:rFonts w:ascii="Times New Roman" w:hAnsi="Times New Roman" w:cs="Times New Roman"/>
          <w:color w:val="000000" w:themeColor="text1"/>
        </w:rPr>
        <w:t>for h</w:t>
      </w:r>
      <w:r w:rsidR="005C78F4">
        <w:rPr>
          <w:rFonts w:ascii="Times New Roman" w:hAnsi="Times New Roman" w:cs="Times New Roman"/>
          <w:color w:val="000000" w:themeColor="text1"/>
        </w:rPr>
        <w:t>enholdsvis</w:t>
      </w:r>
      <w:r w:rsidR="00544D58">
        <w:rPr>
          <w:rFonts w:ascii="Times New Roman" w:hAnsi="Times New Roman" w:cs="Times New Roman"/>
          <w:color w:val="000000" w:themeColor="text1"/>
        </w:rPr>
        <w:t xml:space="preserve"> havgående eller kystnært </w:t>
      </w:r>
      <w:r w:rsidR="009F27EC">
        <w:rPr>
          <w:rFonts w:ascii="Times New Roman" w:hAnsi="Times New Roman" w:cs="Times New Roman"/>
          <w:color w:val="000000" w:themeColor="text1"/>
        </w:rPr>
        <w:t>flådesegment</w:t>
      </w:r>
      <w:r w:rsidR="000E60D0">
        <w:rPr>
          <w:rFonts w:ascii="Times New Roman" w:hAnsi="Times New Roman" w:cs="Times New Roman"/>
          <w:color w:val="000000" w:themeColor="text1"/>
        </w:rPr>
        <w:t>et</w:t>
      </w:r>
      <w:r w:rsidR="00544D58">
        <w:rPr>
          <w:rFonts w:ascii="Times New Roman" w:hAnsi="Times New Roman" w:cs="Times New Roman"/>
          <w:color w:val="000000" w:themeColor="text1"/>
        </w:rPr>
        <w:t>.</w:t>
      </w:r>
      <w:r w:rsidR="00576F24" w:rsidRPr="00F67749">
        <w:rPr>
          <w:rFonts w:ascii="Times New Roman" w:hAnsi="Times New Roman" w:cs="Times New Roman"/>
          <w:color w:val="000000" w:themeColor="text1"/>
        </w:rPr>
        <w:t xml:space="preserve"> </w:t>
      </w:r>
    </w:p>
    <w:p w14:paraId="4EB99DBC" w14:textId="77777777" w:rsidR="00AD0BE7" w:rsidRDefault="00AD0BE7" w:rsidP="00A21B75">
      <w:pPr>
        <w:spacing w:after="0" w:line="276" w:lineRule="auto"/>
        <w:jc w:val="both"/>
        <w:rPr>
          <w:rFonts w:ascii="Times New Roman" w:hAnsi="Times New Roman" w:cs="Times New Roman"/>
          <w:color w:val="000000" w:themeColor="text1"/>
        </w:rPr>
      </w:pPr>
    </w:p>
    <w:p w14:paraId="41E51E0C" w14:textId="77777777" w:rsidR="005C78F4" w:rsidRPr="00E24F47" w:rsidRDefault="005C78F4" w:rsidP="00A21B75">
      <w:pPr>
        <w:spacing w:after="0" w:line="276" w:lineRule="auto"/>
        <w:jc w:val="both"/>
        <w:rPr>
          <w:rFonts w:ascii="Times New Roman" w:hAnsi="Times New Roman" w:cs="Times New Roman"/>
          <w:i/>
          <w:color w:val="000000" w:themeColor="text1"/>
          <w:sz w:val="24"/>
          <w:szCs w:val="24"/>
        </w:rPr>
      </w:pPr>
      <w:r w:rsidRPr="00E24F47">
        <w:rPr>
          <w:rFonts w:ascii="Times New Roman" w:hAnsi="Times New Roman" w:cs="Times New Roman"/>
          <w:i/>
          <w:color w:val="000000" w:themeColor="text1"/>
          <w:sz w:val="24"/>
          <w:szCs w:val="24"/>
        </w:rPr>
        <w:t>Kvoteloft</w:t>
      </w:r>
    </w:p>
    <w:p w14:paraId="0DBE89A7" w14:textId="71EBF500" w:rsidR="005C78F4" w:rsidRDefault="0032205E" w:rsidP="00A21B7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Det er lovfæstet </w:t>
      </w:r>
      <w:r w:rsidR="00822D81">
        <w:rPr>
          <w:rFonts w:ascii="Times New Roman" w:hAnsi="Times New Roman" w:cs="Times New Roman"/>
          <w:color w:val="000000" w:themeColor="text1"/>
        </w:rPr>
        <w:t xml:space="preserve">et </w:t>
      </w:r>
      <w:r>
        <w:rPr>
          <w:rFonts w:ascii="Times New Roman" w:hAnsi="Times New Roman" w:cs="Times New Roman"/>
          <w:color w:val="000000" w:themeColor="text1"/>
        </w:rPr>
        <w:t xml:space="preserve">kvoteloft </w:t>
      </w:r>
      <w:r w:rsidR="00822D81">
        <w:rPr>
          <w:rFonts w:ascii="Times New Roman" w:hAnsi="Times New Roman" w:cs="Times New Roman"/>
          <w:color w:val="000000" w:themeColor="text1"/>
        </w:rPr>
        <w:t>for</w:t>
      </w:r>
      <w:r w:rsidR="00FA262C">
        <w:rPr>
          <w:rFonts w:ascii="Times New Roman" w:hAnsi="Times New Roman" w:cs="Times New Roman"/>
          <w:color w:val="000000" w:themeColor="text1"/>
        </w:rPr>
        <w:t>,</w:t>
      </w:r>
      <w:r>
        <w:rPr>
          <w:rFonts w:ascii="Times New Roman" w:hAnsi="Times New Roman" w:cs="Times New Roman"/>
          <w:color w:val="000000" w:themeColor="text1"/>
        </w:rPr>
        <w:t xml:space="preserve"> hvor stor en kvoteandel selskaber og enkeltpersoner må eje. Ingen selskaber eller enkeltpersoner må opnå en kvoteandel i det kystnære fiskeri</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der overstiger 15 pct. (tidligere 10 pct.) og 33 pct. for det havgående fiskeri.</w:t>
      </w:r>
      <w:r w:rsidR="00AA6C36">
        <w:rPr>
          <w:rFonts w:ascii="Times New Roman" w:hAnsi="Times New Roman" w:cs="Times New Roman"/>
          <w:color w:val="000000" w:themeColor="text1"/>
        </w:rPr>
        <w:t xml:space="preserve"> </w:t>
      </w:r>
    </w:p>
    <w:p w14:paraId="61B39698" w14:textId="77777777" w:rsidR="005C78F4" w:rsidRDefault="005C78F4" w:rsidP="00A21B75">
      <w:pPr>
        <w:spacing w:after="0" w:line="276" w:lineRule="auto"/>
        <w:jc w:val="both"/>
        <w:rPr>
          <w:rFonts w:ascii="Times New Roman" w:hAnsi="Times New Roman" w:cs="Times New Roman"/>
          <w:color w:val="000000" w:themeColor="text1"/>
        </w:rPr>
      </w:pPr>
    </w:p>
    <w:p w14:paraId="41A537A2" w14:textId="77777777" w:rsidR="005C78F4" w:rsidRDefault="00AD0BE7" w:rsidP="00A21B7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Det er dog kun de direkte kvoteandele</w:t>
      </w:r>
      <w:r w:rsidR="00FE25E5">
        <w:rPr>
          <w:rFonts w:ascii="Times New Roman" w:hAnsi="Times New Roman" w:cs="Times New Roman"/>
          <w:color w:val="000000" w:themeColor="text1"/>
        </w:rPr>
        <w:t xml:space="preserve">, der </w:t>
      </w:r>
      <w:r>
        <w:rPr>
          <w:rFonts w:ascii="Times New Roman" w:hAnsi="Times New Roman" w:cs="Times New Roman"/>
          <w:color w:val="000000" w:themeColor="text1"/>
        </w:rPr>
        <w:t>tælles</w:t>
      </w:r>
      <w:r w:rsidR="00FE25E5">
        <w:rPr>
          <w:rFonts w:ascii="Times New Roman" w:hAnsi="Times New Roman" w:cs="Times New Roman"/>
          <w:color w:val="000000" w:themeColor="text1"/>
        </w:rPr>
        <w:t xml:space="preserve"> med</w:t>
      </w:r>
      <w:r>
        <w:rPr>
          <w:rFonts w:ascii="Times New Roman" w:hAnsi="Times New Roman" w:cs="Times New Roman"/>
          <w:color w:val="000000" w:themeColor="text1"/>
        </w:rPr>
        <w:t xml:space="preserve"> i forhold til det lovfæstede kvoteloft. Det betyder</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at </w:t>
      </w:r>
      <w:r w:rsidR="00946573">
        <w:rPr>
          <w:rFonts w:ascii="Times New Roman" w:hAnsi="Times New Roman" w:cs="Times New Roman"/>
          <w:color w:val="000000" w:themeColor="text1"/>
        </w:rPr>
        <w:t xml:space="preserve">ejer </w:t>
      </w:r>
      <w:r w:rsidR="00FE25E5">
        <w:rPr>
          <w:rFonts w:ascii="Times New Roman" w:hAnsi="Times New Roman" w:cs="Times New Roman"/>
          <w:color w:val="000000" w:themeColor="text1"/>
        </w:rPr>
        <w:t xml:space="preserve">et </w:t>
      </w:r>
      <w:r w:rsidR="00946573">
        <w:rPr>
          <w:rFonts w:ascii="Times New Roman" w:hAnsi="Times New Roman" w:cs="Times New Roman"/>
          <w:color w:val="000000" w:themeColor="text1"/>
        </w:rPr>
        <w:t xml:space="preserve">selskab, som har i forvejen kvoteandel på 33 pct. af den havgående rejekvote, </w:t>
      </w:r>
      <w:r>
        <w:rPr>
          <w:rFonts w:ascii="Times New Roman" w:hAnsi="Times New Roman" w:cs="Times New Roman"/>
          <w:color w:val="000000" w:themeColor="text1"/>
        </w:rPr>
        <w:t xml:space="preserve">45 pct. af et </w:t>
      </w:r>
      <w:r w:rsidR="00946573">
        <w:rPr>
          <w:rFonts w:ascii="Times New Roman" w:hAnsi="Times New Roman" w:cs="Times New Roman"/>
          <w:color w:val="000000" w:themeColor="text1"/>
        </w:rPr>
        <w:t>andet selskab</w:t>
      </w:r>
      <w:r w:rsidR="00FE25E5">
        <w:rPr>
          <w:rFonts w:ascii="Times New Roman" w:hAnsi="Times New Roman" w:cs="Times New Roman"/>
          <w:color w:val="000000" w:themeColor="text1"/>
        </w:rPr>
        <w:t>,</w:t>
      </w:r>
      <w:r w:rsidR="00946573">
        <w:rPr>
          <w:rFonts w:ascii="Times New Roman" w:hAnsi="Times New Roman" w:cs="Times New Roman"/>
          <w:color w:val="000000" w:themeColor="text1"/>
        </w:rPr>
        <w:t xml:space="preserve"> som ejer 10 pct. kvoteandel</w:t>
      </w:r>
      <w:r w:rsidR="00FE25E5">
        <w:rPr>
          <w:rFonts w:ascii="Times New Roman" w:hAnsi="Times New Roman" w:cs="Times New Roman"/>
          <w:color w:val="000000" w:themeColor="text1"/>
        </w:rPr>
        <w:t>,</w:t>
      </w:r>
      <w:r w:rsidR="00946573">
        <w:rPr>
          <w:rFonts w:ascii="Times New Roman" w:hAnsi="Times New Roman" w:cs="Times New Roman"/>
          <w:color w:val="000000" w:themeColor="text1"/>
        </w:rPr>
        <w:t xml:space="preserve"> bliver den ikke talt med. </w:t>
      </w:r>
    </w:p>
    <w:p w14:paraId="7A5429B3" w14:textId="77777777" w:rsidR="005C78F4" w:rsidRDefault="005C78F4" w:rsidP="00A21B75">
      <w:pPr>
        <w:spacing w:after="0" w:line="276" w:lineRule="auto"/>
        <w:jc w:val="both"/>
        <w:rPr>
          <w:rFonts w:ascii="Times New Roman" w:hAnsi="Times New Roman" w:cs="Times New Roman"/>
          <w:color w:val="000000" w:themeColor="text1"/>
        </w:rPr>
      </w:pPr>
    </w:p>
    <w:p w14:paraId="09D0AECB" w14:textId="77777777" w:rsidR="00AD0BE7" w:rsidRDefault="00946573" w:rsidP="00A21B7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Skulle denne indirekte andel tælles med</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vil</w:t>
      </w:r>
      <w:r w:rsidR="00FE25E5">
        <w:rPr>
          <w:rFonts w:ascii="Times New Roman" w:hAnsi="Times New Roman" w:cs="Times New Roman"/>
          <w:color w:val="000000" w:themeColor="text1"/>
        </w:rPr>
        <w:t>le</w:t>
      </w:r>
      <w:r>
        <w:rPr>
          <w:rFonts w:ascii="Times New Roman" w:hAnsi="Times New Roman" w:cs="Times New Roman"/>
          <w:color w:val="000000" w:themeColor="text1"/>
        </w:rPr>
        <w:t xml:space="preserve"> selskabet eje 37,5 pct. (33 pct. + 0,45 x 10 pct.)</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hvilket overstiger kvoteloftet.</w:t>
      </w:r>
    </w:p>
    <w:p w14:paraId="25CE517A" w14:textId="77777777" w:rsidR="00AD0BE7" w:rsidRDefault="00AD0BE7" w:rsidP="00A21B75">
      <w:pPr>
        <w:spacing w:after="0" w:line="276" w:lineRule="auto"/>
        <w:jc w:val="both"/>
        <w:rPr>
          <w:rFonts w:ascii="Times New Roman" w:hAnsi="Times New Roman" w:cs="Times New Roman"/>
          <w:color w:val="000000" w:themeColor="text1"/>
        </w:rPr>
      </w:pPr>
    </w:p>
    <w:p w14:paraId="771883D8" w14:textId="77777777" w:rsidR="0032205E" w:rsidRDefault="00AA6C36" w:rsidP="00A21B7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Det tillades ikke udenlandsk kapital i rejefiskeriet i Grønland. Kvoteandele skal således være 100 pct. ejet af hjemmehørende personer i Grønland. Det er dog ingen begrænsning på udenlandsk ejerskab af rejefabrikkerne.</w:t>
      </w:r>
    </w:p>
    <w:p w14:paraId="0286DD19" w14:textId="77777777" w:rsidR="0032205E" w:rsidRDefault="0032205E" w:rsidP="00A21B75">
      <w:pPr>
        <w:spacing w:after="0" w:line="276" w:lineRule="auto"/>
        <w:jc w:val="both"/>
        <w:rPr>
          <w:rFonts w:ascii="Times New Roman" w:hAnsi="Times New Roman" w:cs="Times New Roman"/>
          <w:color w:val="000000" w:themeColor="text1"/>
        </w:rPr>
      </w:pPr>
    </w:p>
    <w:p w14:paraId="0ADCC3A7" w14:textId="77777777" w:rsidR="005C78F4" w:rsidRPr="00E24F47" w:rsidRDefault="005C78F4" w:rsidP="00A21B75">
      <w:pPr>
        <w:spacing w:after="0" w:line="276" w:lineRule="auto"/>
        <w:jc w:val="both"/>
        <w:rPr>
          <w:rFonts w:ascii="Times New Roman" w:hAnsi="Times New Roman" w:cs="Times New Roman"/>
          <w:i/>
          <w:color w:val="000000" w:themeColor="text1"/>
          <w:sz w:val="24"/>
          <w:szCs w:val="24"/>
        </w:rPr>
      </w:pPr>
      <w:proofErr w:type="spellStart"/>
      <w:r w:rsidRPr="00E24F47">
        <w:rPr>
          <w:rFonts w:ascii="Times New Roman" w:hAnsi="Times New Roman" w:cs="Times New Roman"/>
          <w:i/>
          <w:color w:val="000000" w:themeColor="text1"/>
          <w:sz w:val="24"/>
          <w:szCs w:val="24"/>
        </w:rPr>
        <w:t>Kvoteflex</w:t>
      </w:r>
      <w:proofErr w:type="spellEnd"/>
    </w:p>
    <w:p w14:paraId="524AA0A8" w14:textId="6B85244F" w:rsidR="00576F24" w:rsidRPr="00F67749" w:rsidRDefault="00576F24" w:rsidP="00A21B75">
      <w:pPr>
        <w:spacing w:after="0" w:line="276" w:lineRule="auto"/>
        <w:jc w:val="both"/>
        <w:rPr>
          <w:rFonts w:ascii="Times New Roman" w:hAnsi="Times New Roman" w:cs="Times New Roman"/>
          <w:color w:val="000000" w:themeColor="text1"/>
        </w:rPr>
      </w:pPr>
      <w:r w:rsidRPr="00F67749">
        <w:rPr>
          <w:rFonts w:ascii="Times New Roman" w:hAnsi="Times New Roman" w:cs="Times New Roman"/>
          <w:color w:val="000000" w:themeColor="text1"/>
        </w:rPr>
        <w:t>For at sikre en hensigtsmæssig udnyttelse af kapaciteten i flåden, blev der i 2002 indført</w:t>
      </w:r>
      <w:r>
        <w:rPr>
          <w:rFonts w:ascii="Times New Roman" w:hAnsi="Times New Roman" w:cs="Times New Roman"/>
          <w:color w:val="000000" w:themeColor="text1"/>
        </w:rPr>
        <w:t xml:space="preserve"> et system kaldet ”</w:t>
      </w:r>
      <w:proofErr w:type="spellStart"/>
      <w:r>
        <w:rPr>
          <w:rFonts w:ascii="Times New Roman" w:hAnsi="Times New Roman" w:cs="Times New Roman"/>
          <w:color w:val="000000" w:themeColor="text1"/>
        </w:rPr>
        <w:t>Kvoteflex</w:t>
      </w:r>
      <w:proofErr w:type="spellEnd"/>
      <w:r>
        <w:rPr>
          <w:rFonts w:ascii="Times New Roman" w:hAnsi="Times New Roman" w:cs="Times New Roman"/>
          <w:color w:val="000000" w:themeColor="text1"/>
        </w:rPr>
        <w:t>”.</w:t>
      </w:r>
      <w:r w:rsidRPr="00F67749">
        <w:rPr>
          <w:rFonts w:ascii="Times New Roman" w:hAnsi="Times New Roman" w:cs="Times New Roman"/>
          <w:color w:val="000000" w:themeColor="text1"/>
        </w:rPr>
        <w:t xml:space="preserve"> Systemet tillader, at et selskab fra 15. nov</w:t>
      </w:r>
      <w:r w:rsidR="00B74C60">
        <w:rPr>
          <w:rFonts w:ascii="Times New Roman" w:hAnsi="Times New Roman" w:cs="Times New Roman"/>
          <w:color w:val="000000" w:themeColor="text1"/>
        </w:rPr>
        <w:t>ember</w:t>
      </w:r>
      <w:r w:rsidRPr="00F67749">
        <w:rPr>
          <w:rFonts w:ascii="Times New Roman" w:hAnsi="Times New Roman" w:cs="Times New Roman"/>
          <w:color w:val="000000" w:themeColor="text1"/>
        </w:rPr>
        <w:t xml:space="preserve"> kan få et kvoteforskud på næste års kvote. Ligeledes tillades kvoteoverførsel fra indeværende år til næste år dog med den restriktion, at den overførte kvote skal anvendes inden 30. april.</w:t>
      </w:r>
      <w:r>
        <w:rPr>
          <w:rFonts w:ascii="Times New Roman" w:hAnsi="Times New Roman" w:cs="Times New Roman"/>
          <w:color w:val="000000" w:themeColor="text1"/>
        </w:rPr>
        <w:t xml:space="preserve">  Det er ingen begrænsninger på</w:t>
      </w:r>
      <w:r w:rsidR="00FA262C">
        <w:rPr>
          <w:rFonts w:ascii="Times New Roman" w:hAnsi="Times New Roman" w:cs="Times New Roman"/>
          <w:color w:val="000000" w:themeColor="text1"/>
        </w:rPr>
        <w:t>,</w:t>
      </w:r>
      <w:r>
        <w:rPr>
          <w:rFonts w:ascii="Times New Roman" w:hAnsi="Times New Roman" w:cs="Times New Roman"/>
          <w:color w:val="000000" w:themeColor="text1"/>
        </w:rPr>
        <w:t xml:space="preserve"> hvor </w:t>
      </w:r>
      <w:r w:rsidR="00FA5FA8">
        <w:rPr>
          <w:rFonts w:ascii="Times New Roman" w:hAnsi="Times New Roman" w:cs="Times New Roman"/>
          <w:color w:val="000000" w:themeColor="text1"/>
        </w:rPr>
        <w:t>stor en</w:t>
      </w:r>
      <w:r>
        <w:rPr>
          <w:rFonts w:ascii="Times New Roman" w:hAnsi="Times New Roman" w:cs="Times New Roman"/>
          <w:color w:val="000000" w:themeColor="text1"/>
        </w:rPr>
        <w:t xml:space="preserve"> m</w:t>
      </w:r>
      <w:r w:rsidR="0032205E">
        <w:rPr>
          <w:rFonts w:ascii="Times New Roman" w:hAnsi="Times New Roman" w:cs="Times New Roman"/>
          <w:color w:val="000000" w:themeColor="text1"/>
        </w:rPr>
        <w:t>ængde må overføres mellem årene</w:t>
      </w:r>
      <w:r w:rsidR="00FA262C">
        <w:rPr>
          <w:rFonts w:ascii="Times New Roman" w:hAnsi="Times New Roman" w:cs="Times New Roman"/>
          <w:color w:val="000000" w:themeColor="text1"/>
        </w:rPr>
        <w:t>,</w:t>
      </w:r>
      <w:r w:rsidR="0032205E">
        <w:rPr>
          <w:rFonts w:ascii="Times New Roman" w:hAnsi="Times New Roman" w:cs="Times New Roman"/>
          <w:color w:val="000000" w:themeColor="text1"/>
        </w:rPr>
        <w:t xml:space="preserve"> hvilket øger risikoen for at kvoterne ikke bliver fuldt udnyttet</w:t>
      </w:r>
      <w:r w:rsidR="00FA262C">
        <w:rPr>
          <w:rFonts w:ascii="Times New Roman" w:hAnsi="Times New Roman" w:cs="Times New Roman"/>
          <w:color w:val="000000" w:themeColor="text1"/>
        </w:rPr>
        <w:t>,</w:t>
      </w:r>
      <w:r w:rsidR="0032205E">
        <w:rPr>
          <w:rFonts w:ascii="Times New Roman" w:hAnsi="Times New Roman" w:cs="Times New Roman"/>
          <w:color w:val="000000" w:themeColor="text1"/>
        </w:rPr>
        <w:t xml:space="preserve"> hvis for store mængder overføres.</w:t>
      </w:r>
    </w:p>
    <w:p w14:paraId="14022657" w14:textId="4336C137" w:rsidR="00C21CEA" w:rsidRDefault="00C21CEA" w:rsidP="00A21B75">
      <w:pPr>
        <w:spacing w:after="0" w:line="276" w:lineRule="auto"/>
        <w:jc w:val="both"/>
        <w:rPr>
          <w:rFonts w:ascii="Times New Roman" w:hAnsi="Times New Roman" w:cs="Times New Roman"/>
          <w:color w:val="000000" w:themeColor="text1"/>
        </w:rPr>
      </w:pPr>
    </w:p>
    <w:p w14:paraId="269F3220" w14:textId="26CE0677" w:rsidR="00EC0875" w:rsidRDefault="00EC0875" w:rsidP="00A21B75">
      <w:pPr>
        <w:spacing w:after="0" w:line="276" w:lineRule="auto"/>
        <w:jc w:val="both"/>
        <w:rPr>
          <w:rFonts w:ascii="Times New Roman" w:hAnsi="Times New Roman" w:cs="Times New Roman"/>
          <w:color w:val="000000" w:themeColor="text1"/>
        </w:rPr>
      </w:pPr>
    </w:p>
    <w:p w14:paraId="48DABA01" w14:textId="77777777" w:rsidR="00EC0875" w:rsidRDefault="00EC0875" w:rsidP="00A21B75">
      <w:pPr>
        <w:spacing w:after="0" w:line="276" w:lineRule="auto"/>
        <w:jc w:val="both"/>
        <w:rPr>
          <w:rFonts w:ascii="Times New Roman" w:hAnsi="Times New Roman" w:cs="Times New Roman"/>
          <w:color w:val="000000" w:themeColor="text1"/>
        </w:rPr>
      </w:pPr>
    </w:p>
    <w:p w14:paraId="31858F94" w14:textId="77777777" w:rsidR="00264B10" w:rsidRPr="00E24F47" w:rsidRDefault="00264B10" w:rsidP="00A21B75">
      <w:pPr>
        <w:spacing w:after="0" w:line="276" w:lineRule="auto"/>
        <w:jc w:val="both"/>
        <w:rPr>
          <w:rFonts w:ascii="Times New Roman" w:hAnsi="Times New Roman" w:cs="Times New Roman"/>
          <w:i/>
          <w:color w:val="000000" w:themeColor="text1"/>
          <w:sz w:val="24"/>
          <w:szCs w:val="24"/>
        </w:rPr>
      </w:pPr>
      <w:r w:rsidRPr="00E24F47">
        <w:rPr>
          <w:rFonts w:ascii="Times New Roman" w:hAnsi="Times New Roman" w:cs="Times New Roman"/>
          <w:i/>
          <w:color w:val="000000" w:themeColor="text1"/>
          <w:sz w:val="24"/>
          <w:szCs w:val="24"/>
        </w:rPr>
        <w:t>Rejeflåden</w:t>
      </w:r>
    </w:p>
    <w:p w14:paraId="6BE1EE8A" w14:textId="48BA29E9" w:rsidR="00E42FEC" w:rsidRPr="00F67749" w:rsidRDefault="00C23B93" w:rsidP="00A21B7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Den havgående flåde, der tildeles hovedparten af TAC´en for rejer</w:t>
      </w:r>
      <w:r w:rsidRPr="00F67749">
        <w:rPr>
          <w:rFonts w:ascii="Times New Roman" w:hAnsi="Times New Roman" w:cs="Times New Roman"/>
          <w:color w:val="000000" w:themeColor="text1"/>
        </w:rPr>
        <w:t>, fisker udenskærs i Vest- og Østgrønland samt i international</w:t>
      </w:r>
      <w:r w:rsidR="00B74C60">
        <w:rPr>
          <w:rFonts w:ascii="Times New Roman" w:hAnsi="Times New Roman" w:cs="Times New Roman"/>
          <w:color w:val="000000" w:themeColor="text1"/>
        </w:rPr>
        <w:t>t</w:t>
      </w:r>
      <w:r w:rsidRPr="00F67749">
        <w:rPr>
          <w:rFonts w:ascii="Times New Roman" w:hAnsi="Times New Roman" w:cs="Times New Roman"/>
          <w:color w:val="000000" w:themeColor="text1"/>
        </w:rPr>
        <w:t xml:space="preserve"> farvand. </w:t>
      </w:r>
      <w:r w:rsidR="00E42FEC" w:rsidRPr="00F67749">
        <w:rPr>
          <w:rFonts w:ascii="Times New Roman" w:hAnsi="Times New Roman" w:cs="Times New Roman"/>
          <w:color w:val="000000" w:themeColor="text1"/>
        </w:rPr>
        <w:t>De</w:t>
      </w:r>
      <w:r w:rsidR="0064786B">
        <w:rPr>
          <w:rFonts w:ascii="Times New Roman" w:hAnsi="Times New Roman" w:cs="Times New Roman"/>
          <w:color w:val="000000" w:themeColor="text1"/>
        </w:rPr>
        <w:t xml:space="preserve">t er 5 licenshavere i det </w:t>
      </w:r>
      <w:r w:rsidR="00E42FEC" w:rsidRPr="00F67749">
        <w:rPr>
          <w:rFonts w:ascii="Times New Roman" w:hAnsi="Times New Roman" w:cs="Times New Roman"/>
          <w:color w:val="000000" w:themeColor="text1"/>
        </w:rPr>
        <w:t>ha</w:t>
      </w:r>
      <w:r w:rsidR="0064786B">
        <w:rPr>
          <w:rFonts w:ascii="Times New Roman" w:hAnsi="Times New Roman" w:cs="Times New Roman"/>
          <w:color w:val="000000" w:themeColor="text1"/>
        </w:rPr>
        <w:t>vgående flådekomponent</w:t>
      </w:r>
      <w:r w:rsidR="00CC0257">
        <w:rPr>
          <w:rFonts w:ascii="Times New Roman" w:hAnsi="Times New Roman" w:cs="Times New Roman"/>
          <w:color w:val="000000" w:themeColor="text1"/>
        </w:rPr>
        <w:t xml:space="preserve"> i </w:t>
      </w:r>
      <w:r w:rsidR="000A6B3B">
        <w:rPr>
          <w:rFonts w:ascii="Times New Roman" w:hAnsi="Times New Roman" w:cs="Times New Roman"/>
          <w:color w:val="000000" w:themeColor="text1"/>
        </w:rPr>
        <w:t>2020</w:t>
      </w:r>
      <w:r w:rsidR="00FA262C">
        <w:rPr>
          <w:rFonts w:ascii="Times New Roman" w:hAnsi="Times New Roman" w:cs="Times New Roman"/>
          <w:color w:val="000000" w:themeColor="text1"/>
        </w:rPr>
        <w:t>,</w:t>
      </w:r>
      <w:r w:rsidR="00CF09F8">
        <w:rPr>
          <w:rFonts w:ascii="Times New Roman" w:hAnsi="Times New Roman" w:cs="Times New Roman"/>
          <w:color w:val="000000" w:themeColor="text1"/>
        </w:rPr>
        <w:t xml:space="preserve"> som har fisket med</w:t>
      </w:r>
      <w:r w:rsidR="00CC0257">
        <w:rPr>
          <w:rFonts w:ascii="Times New Roman" w:hAnsi="Times New Roman" w:cs="Times New Roman"/>
          <w:color w:val="000000" w:themeColor="text1"/>
        </w:rPr>
        <w:t xml:space="preserve"> 7</w:t>
      </w:r>
      <w:r w:rsidR="0064786B">
        <w:rPr>
          <w:rFonts w:ascii="Times New Roman" w:hAnsi="Times New Roman" w:cs="Times New Roman"/>
          <w:color w:val="000000" w:themeColor="text1"/>
        </w:rPr>
        <w:t xml:space="preserve"> fabrikstrawlere</w:t>
      </w:r>
      <w:r w:rsidR="00540AFB">
        <w:rPr>
          <w:rFonts w:ascii="Times New Roman" w:hAnsi="Times New Roman" w:cs="Times New Roman"/>
          <w:color w:val="000000" w:themeColor="text1"/>
        </w:rPr>
        <w:t xml:space="preserve"> i størrelsen 67,5 – 82,3 meter</w:t>
      </w:r>
      <w:r w:rsidR="0064786B">
        <w:rPr>
          <w:rFonts w:ascii="Times New Roman" w:hAnsi="Times New Roman" w:cs="Times New Roman"/>
          <w:color w:val="000000" w:themeColor="text1"/>
        </w:rPr>
        <w:t xml:space="preserve"> med tilladelse</w:t>
      </w:r>
      <w:r w:rsidR="00E42FEC" w:rsidRPr="00F67749">
        <w:rPr>
          <w:rFonts w:ascii="Times New Roman" w:hAnsi="Times New Roman" w:cs="Times New Roman"/>
          <w:color w:val="000000" w:themeColor="text1"/>
        </w:rPr>
        <w:t xml:space="preserve"> til at forarbejde en andel af fangsten til havs. Ved fiskeri i Vestgrønland er disse fartøjer pålagt på årsbasis en indhandlingspligt på 25 pct. af </w:t>
      </w:r>
      <w:r>
        <w:rPr>
          <w:rFonts w:ascii="Times New Roman" w:hAnsi="Times New Roman" w:cs="Times New Roman"/>
          <w:color w:val="000000" w:themeColor="text1"/>
        </w:rPr>
        <w:t xml:space="preserve">fangsten til rejefabrikkerne. </w:t>
      </w:r>
      <w:r w:rsidR="00E42FEC" w:rsidRPr="00F67749">
        <w:rPr>
          <w:rFonts w:ascii="Times New Roman" w:hAnsi="Times New Roman" w:cs="Times New Roman"/>
          <w:color w:val="000000" w:themeColor="text1"/>
        </w:rPr>
        <w:t>Der er ingen indhandlingspligt pålagt fiskeri på Østgrønland. Havgående trawlere producerer hovedsageligt færdigvarepr</w:t>
      </w:r>
      <w:r w:rsidR="00E8769D">
        <w:rPr>
          <w:rFonts w:ascii="Times New Roman" w:hAnsi="Times New Roman" w:cs="Times New Roman"/>
          <w:color w:val="000000" w:themeColor="text1"/>
        </w:rPr>
        <w:t xml:space="preserve">odukter, klar til eksport, som </w:t>
      </w:r>
      <w:proofErr w:type="spellStart"/>
      <w:r w:rsidR="00EC0875">
        <w:rPr>
          <w:rFonts w:ascii="Times New Roman" w:hAnsi="Times New Roman" w:cs="Times New Roman"/>
          <w:color w:val="000000" w:themeColor="text1"/>
        </w:rPr>
        <w:t>S</w:t>
      </w:r>
      <w:r w:rsidR="00E42FEC" w:rsidRPr="00F67749">
        <w:rPr>
          <w:rFonts w:ascii="Times New Roman" w:hAnsi="Times New Roman" w:cs="Times New Roman"/>
          <w:color w:val="000000" w:themeColor="text1"/>
        </w:rPr>
        <w:t>økogte</w:t>
      </w:r>
      <w:proofErr w:type="spellEnd"/>
      <w:r w:rsidR="00E42FEC" w:rsidRPr="00F67749">
        <w:rPr>
          <w:rFonts w:ascii="Times New Roman" w:hAnsi="Times New Roman" w:cs="Times New Roman"/>
          <w:color w:val="000000" w:themeColor="text1"/>
        </w:rPr>
        <w:t xml:space="preserve"> </w:t>
      </w:r>
      <w:r w:rsidR="000A6B3B">
        <w:rPr>
          <w:rFonts w:ascii="Times New Roman" w:hAnsi="Times New Roman" w:cs="Times New Roman"/>
          <w:color w:val="000000" w:themeColor="text1"/>
        </w:rPr>
        <w:t>skal</w:t>
      </w:r>
      <w:r w:rsidR="00E42FEC" w:rsidRPr="00F67749">
        <w:rPr>
          <w:rFonts w:ascii="Times New Roman" w:hAnsi="Times New Roman" w:cs="Times New Roman"/>
          <w:color w:val="000000" w:themeColor="text1"/>
        </w:rPr>
        <w:t>reje</w:t>
      </w:r>
      <w:r>
        <w:rPr>
          <w:rFonts w:ascii="Times New Roman" w:hAnsi="Times New Roman" w:cs="Times New Roman"/>
          <w:color w:val="000000" w:themeColor="text1"/>
        </w:rPr>
        <w:t>r, Japan rejer</w:t>
      </w:r>
      <w:r w:rsidR="000A6B3B">
        <w:rPr>
          <w:rFonts w:ascii="Times New Roman" w:hAnsi="Times New Roman" w:cs="Times New Roman"/>
          <w:color w:val="000000" w:themeColor="text1"/>
        </w:rPr>
        <w:t xml:space="preserve"> (rå frosne skalrejer)</w:t>
      </w:r>
      <w:r>
        <w:rPr>
          <w:rFonts w:ascii="Times New Roman" w:hAnsi="Times New Roman" w:cs="Times New Roman"/>
          <w:color w:val="000000" w:themeColor="text1"/>
        </w:rPr>
        <w:t xml:space="preserve"> og </w:t>
      </w:r>
      <w:r w:rsidR="000A6B3B">
        <w:rPr>
          <w:rFonts w:ascii="Times New Roman" w:hAnsi="Times New Roman" w:cs="Times New Roman"/>
          <w:color w:val="000000" w:themeColor="text1"/>
        </w:rPr>
        <w:t xml:space="preserve">frosne rå </w:t>
      </w:r>
      <w:r w:rsidR="00EC0875">
        <w:rPr>
          <w:rFonts w:ascii="Times New Roman" w:hAnsi="Times New Roman" w:cs="Times New Roman"/>
          <w:color w:val="000000" w:themeColor="text1"/>
        </w:rPr>
        <w:t>skalrejer</w:t>
      </w:r>
      <w:r w:rsidR="00EC0875" w:rsidRPr="00C23B93">
        <w:rPr>
          <w:rFonts w:ascii="Times New Roman" w:hAnsi="Times New Roman" w:cs="Times New Roman"/>
          <w:color w:val="000000" w:themeColor="text1"/>
        </w:rPr>
        <w:t xml:space="preserve"> </w:t>
      </w:r>
      <w:r w:rsidR="00EC0875">
        <w:rPr>
          <w:rFonts w:ascii="Times New Roman" w:hAnsi="Times New Roman" w:cs="Times New Roman"/>
          <w:color w:val="000000" w:themeColor="text1"/>
        </w:rPr>
        <w:t>som</w:t>
      </w:r>
      <w:r w:rsidRPr="00F67749">
        <w:rPr>
          <w:rFonts w:ascii="Times New Roman" w:hAnsi="Times New Roman" w:cs="Times New Roman"/>
          <w:color w:val="000000" w:themeColor="text1"/>
        </w:rPr>
        <w:t xml:space="preserve"> indhandl</w:t>
      </w:r>
      <w:r w:rsidR="000A6B3B">
        <w:rPr>
          <w:rFonts w:ascii="Times New Roman" w:hAnsi="Times New Roman" w:cs="Times New Roman"/>
          <w:color w:val="000000" w:themeColor="text1"/>
        </w:rPr>
        <w:t>es</w:t>
      </w:r>
      <w:r w:rsidRPr="00F67749">
        <w:rPr>
          <w:rFonts w:ascii="Times New Roman" w:hAnsi="Times New Roman" w:cs="Times New Roman"/>
          <w:color w:val="000000" w:themeColor="text1"/>
        </w:rPr>
        <w:t xml:space="preserve"> </w:t>
      </w:r>
      <w:r w:rsidR="000A6B3B">
        <w:rPr>
          <w:rFonts w:ascii="Times New Roman" w:hAnsi="Times New Roman" w:cs="Times New Roman"/>
          <w:color w:val="000000" w:themeColor="text1"/>
        </w:rPr>
        <w:t>til rejefabrikkerne.</w:t>
      </w:r>
    </w:p>
    <w:p w14:paraId="558912CD" w14:textId="77777777" w:rsidR="00E42FEC" w:rsidRPr="00F67749" w:rsidRDefault="00E42FEC" w:rsidP="00241DBF">
      <w:pPr>
        <w:spacing w:after="0" w:line="276" w:lineRule="auto"/>
        <w:jc w:val="both"/>
        <w:rPr>
          <w:rFonts w:ascii="Times New Roman" w:hAnsi="Times New Roman" w:cs="Times New Roman"/>
          <w:color w:val="000000" w:themeColor="text1"/>
        </w:rPr>
      </w:pPr>
    </w:p>
    <w:p w14:paraId="06A32741" w14:textId="728A009C" w:rsidR="00264B10" w:rsidRDefault="00E42FEC" w:rsidP="008F260E">
      <w:pPr>
        <w:spacing w:after="0" w:line="276" w:lineRule="auto"/>
        <w:jc w:val="both"/>
        <w:rPr>
          <w:rFonts w:ascii="Times New Roman" w:hAnsi="Times New Roman" w:cs="Times New Roman"/>
          <w:color w:val="000000" w:themeColor="text1"/>
        </w:rPr>
      </w:pPr>
      <w:r w:rsidRPr="00F67749">
        <w:rPr>
          <w:rFonts w:ascii="Times New Roman" w:hAnsi="Times New Roman" w:cs="Times New Roman"/>
          <w:color w:val="000000" w:themeColor="text1"/>
        </w:rPr>
        <w:t xml:space="preserve">Den kystnære flådekomponent består af </w:t>
      </w:r>
      <w:r w:rsidR="00812F22">
        <w:rPr>
          <w:rFonts w:ascii="Times New Roman" w:hAnsi="Times New Roman" w:cs="Times New Roman"/>
          <w:color w:val="000000" w:themeColor="text1"/>
        </w:rPr>
        <w:t xml:space="preserve">i </w:t>
      </w:r>
      <w:r w:rsidR="000A6B3B">
        <w:rPr>
          <w:rFonts w:ascii="Times New Roman" w:hAnsi="Times New Roman" w:cs="Times New Roman"/>
          <w:color w:val="000000" w:themeColor="text1"/>
        </w:rPr>
        <w:t xml:space="preserve">2020 </w:t>
      </w:r>
      <w:r w:rsidR="00812F22">
        <w:rPr>
          <w:rFonts w:ascii="Times New Roman" w:hAnsi="Times New Roman" w:cs="Times New Roman"/>
          <w:color w:val="000000" w:themeColor="text1"/>
        </w:rPr>
        <w:t xml:space="preserve">af </w:t>
      </w:r>
      <w:r w:rsidR="000A6B3B">
        <w:rPr>
          <w:rFonts w:ascii="Times New Roman" w:hAnsi="Times New Roman" w:cs="Times New Roman"/>
          <w:color w:val="000000" w:themeColor="text1"/>
        </w:rPr>
        <w:t xml:space="preserve">21 </w:t>
      </w:r>
      <w:r w:rsidR="00CF09F8">
        <w:rPr>
          <w:rFonts w:ascii="Times New Roman" w:hAnsi="Times New Roman" w:cs="Times New Roman"/>
          <w:color w:val="000000" w:themeColor="text1"/>
        </w:rPr>
        <w:t>licenshavere</w:t>
      </w:r>
      <w:r w:rsidR="00696032">
        <w:rPr>
          <w:rFonts w:ascii="Times New Roman" w:hAnsi="Times New Roman" w:cs="Times New Roman"/>
          <w:color w:val="000000" w:themeColor="text1"/>
        </w:rPr>
        <w:t>,</w:t>
      </w:r>
      <w:r w:rsidR="00CF09F8">
        <w:rPr>
          <w:rFonts w:ascii="Times New Roman" w:hAnsi="Times New Roman" w:cs="Times New Roman"/>
          <w:color w:val="000000" w:themeColor="text1"/>
        </w:rPr>
        <w:t xml:space="preserve"> hvor</w:t>
      </w:r>
      <w:r w:rsidR="0064786B">
        <w:rPr>
          <w:rFonts w:ascii="Times New Roman" w:hAnsi="Times New Roman" w:cs="Times New Roman"/>
          <w:color w:val="000000" w:themeColor="text1"/>
        </w:rPr>
        <w:t xml:space="preserve"> </w:t>
      </w:r>
      <w:r w:rsidR="00487A5C">
        <w:rPr>
          <w:rFonts w:ascii="Times New Roman" w:hAnsi="Times New Roman" w:cs="Times New Roman"/>
          <w:color w:val="000000" w:themeColor="text1"/>
        </w:rPr>
        <w:t xml:space="preserve">19 </w:t>
      </w:r>
      <w:r w:rsidR="00CF09F8">
        <w:rPr>
          <w:rFonts w:ascii="Times New Roman" w:hAnsi="Times New Roman" w:cs="Times New Roman"/>
          <w:color w:val="000000" w:themeColor="text1"/>
        </w:rPr>
        <w:t>reje</w:t>
      </w:r>
      <w:r w:rsidRPr="00F67749">
        <w:rPr>
          <w:rFonts w:ascii="Times New Roman" w:hAnsi="Times New Roman" w:cs="Times New Roman"/>
          <w:color w:val="000000" w:themeColor="text1"/>
        </w:rPr>
        <w:t>trawlere</w:t>
      </w:r>
      <w:r w:rsidR="00CF09F8">
        <w:rPr>
          <w:rFonts w:ascii="Times New Roman" w:hAnsi="Times New Roman" w:cs="Times New Roman"/>
          <w:color w:val="000000" w:themeColor="text1"/>
        </w:rPr>
        <w:t xml:space="preserve"> har fisket aktivt efter rejer </w:t>
      </w:r>
      <w:r w:rsidRPr="00F67749">
        <w:rPr>
          <w:rFonts w:ascii="Times New Roman" w:hAnsi="Times New Roman" w:cs="Times New Roman"/>
          <w:color w:val="000000" w:themeColor="text1"/>
        </w:rPr>
        <w:t>på Vestkysten.</w:t>
      </w:r>
      <w:r w:rsidR="00CF09F8">
        <w:rPr>
          <w:rStyle w:val="Fodnotehenvisning"/>
          <w:rFonts w:ascii="Times New Roman" w:hAnsi="Times New Roman" w:cs="Times New Roman"/>
          <w:color w:val="000000" w:themeColor="text1"/>
        </w:rPr>
        <w:footnoteReference w:id="1"/>
      </w:r>
      <w:r w:rsidRPr="00F67749">
        <w:rPr>
          <w:rFonts w:ascii="Times New Roman" w:hAnsi="Times New Roman" w:cs="Times New Roman"/>
          <w:color w:val="000000" w:themeColor="text1"/>
        </w:rPr>
        <w:t xml:space="preserve"> </w:t>
      </w:r>
      <w:r w:rsidR="00540AFB">
        <w:rPr>
          <w:rFonts w:ascii="Times New Roman" w:hAnsi="Times New Roman" w:cs="Times New Roman"/>
          <w:color w:val="000000" w:themeColor="text1"/>
        </w:rPr>
        <w:t xml:space="preserve">Det er stor spredning i størrelsen på de kystnære rejetrawlere fra 13,3 til 83,5 meter. Hovedparten af </w:t>
      </w:r>
      <w:proofErr w:type="spellStart"/>
      <w:r w:rsidR="00540AFB">
        <w:rPr>
          <w:rFonts w:ascii="Times New Roman" w:hAnsi="Times New Roman" w:cs="Times New Roman"/>
          <w:color w:val="000000" w:themeColor="text1"/>
        </w:rPr>
        <w:t>trawlerene</w:t>
      </w:r>
      <w:proofErr w:type="spellEnd"/>
      <w:r w:rsidR="00540AFB">
        <w:rPr>
          <w:rFonts w:ascii="Times New Roman" w:hAnsi="Times New Roman" w:cs="Times New Roman"/>
          <w:color w:val="000000" w:themeColor="text1"/>
        </w:rPr>
        <w:t xml:space="preserve"> er dog i størrelsen 20-25 meter. Den kystnære rejetrawler på 83,5 meter er en produktionstrawler som de havgående fartøjer. </w:t>
      </w:r>
      <w:r w:rsidRPr="00F67749">
        <w:rPr>
          <w:rFonts w:ascii="Times New Roman" w:hAnsi="Times New Roman" w:cs="Times New Roman"/>
          <w:color w:val="000000" w:themeColor="text1"/>
        </w:rPr>
        <w:t>Dette er fartøjer, som enten har egen produktion og licens til at forarbejde en andel af fangsten, eller uden produktion med 100 pct. landingspligt. Fartøjer med egen produktion i det kystnære fiskeri producerer helt eller delvist de samme produkter som den havgående flåde. Forædling af fangsten er derfor identisk med ovennævnte beskrivelse i det havgående fiskeri. Størstedelen af disse fartøjer har, som havgående trawlere, en landingspligt på 25 pct. på årsbasis. Enkelte kystnære fartøjer med produktion har dog en landingspligt på 70 pct.</w:t>
      </w:r>
    </w:p>
    <w:p w14:paraId="3C25A7DA" w14:textId="77777777" w:rsidR="00714034" w:rsidRDefault="00714034" w:rsidP="008F260E">
      <w:pPr>
        <w:spacing w:after="0" w:line="276" w:lineRule="auto"/>
        <w:jc w:val="both"/>
        <w:rPr>
          <w:rFonts w:ascii="Times New Roman" w:hAnsi="Times New Roman" w:cs="Times New Roman"/>
          <w:color w:val="000000" w:themeColor="text1"/>
        </w:rPr>
      </w:pPr>
    </w:p>
    <w:p w14:paraId="0BA53BBA" w14:textId="6300CC2B" w:rsidR="00714034" w:rsidRDefault="00714034" w:rsidP="008F260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De</w:t>
      </w:r>
      <w:r w:rsidR="00FA5FA8">
        <w:rPr>
          <w:rFonts w:ascii="Times New Roman" w:hAnsi="Times New Roman" w:cs="Times New Roman"/>
          <w:color w:val="000000" w:themeColor="text1"/>
        </w:rPr>
        <w:t>r</w:t>
      </w:r>
      <w:r>
        <w:rPr>
          <w:rFonts w:ascii="Times New Roman" w:hAnsi="Times New Roman" w:cs="Times New Roman"/>
          <w:color w:val="000000" w:themeColor="text1"/>
        </w:rPr>
        <w:t xml:space="preserve"> vises e</w:t>
      </w:r>
      <w:r w:rsidR="00FA5FA8">
        <w:rPr>
          <w:rFonts w:ascii="Times New Roman" w:hAnsi="Times New Roman" w:cs="Times New Roman"/>
          <w:color w:val="000000" w:themeColor="text1"/>
        </w:rPr>
        <w:t>n</w:t>
      </w:r>
      <w:r>
        <w:rPr>
          <w:rFonts w:ascii="Times New Roman" w:hAnsi="Times New Roman" w:cs="Times New Roman"/>
          <w:color w:val="000000" w:themeColor="text1"/>
        </w:rPr>
        <w:t xml:space="preserve"> oversigt over rejetrawlerne i det havgående og kystnære rejefiskeri i 2020 i bilag A.</w:t>
      </w:r>
    </w:p>
    <w:p w14:paraId="5CF106C4" w14:textId="77777777" w:rsidR="004320C1" w:rsidRDefault="004320C1">
      <w:pPr>
        <w:spacing w:after="0" w:line="276" w:lineRule="auto"/>
        <w:jc w:val="both"/>
        <w:rPr>
          <w:rFonts w:ascii="Times New Roman" w:hAnsi="Times New Roman" w:cs="Times New Roman"/>
          <w:color w:val="000000" w:themeColor="text1"/>
        </w:rPr>
      </w:pPr>
    </w:p>
    <w:p w14:paraId="10BCB5E0" w14:textId="56C3916A" w:rsidR="00822D81" w:rsidRDefault="00FE25E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946573">
        <w:rPr>
          <w:rFonts w:ascii="Times New Roman" w:hAnsi="Times New Roman" w:cs="Times New Roman"/>
          <w:color w:val="000000" w:themeColor="text1"/>
        </w:rPr>
        <w:t xml:space="preserve">abel 1 </w:t>
      </w:r>
      <w:r w:rsidR="004C611D">
        <w:rPr>
          <w:rFonts w:ascii="Times New Roman" w:hAnsi="Times New Roman" w:cs="Times New Roman"/>
          <w:color w:val="000000" w:themeColor="text1"/>
        </w:rPr>
        <w:t>og 2</w:t>
      </w:r>
      <w:r w:rsidR="0094657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giver </w:t>
      </w:r>
      <w:r w:rsidR="00946573">
        <w:rPr>
          <w:rFonts w:ascii="Times New Roman" w:hAnsi="Times New Roman" w:cs="Times New Roman"/>
          <w:color w:val="000000" w:themeColor="text1"/>
        </w:rPr>
        <w:t>e</w:t>
      </w:r>
      <w:r>
        <w:rPr>
          <w:rFonts w:ascii="Times New Roman" w:hAnsi="Times New Roman" w:cs="Times New Roman"/>
          <w:color w:val="000000" w:themeColor="text1"/>
        </w:rPr>
        <w:t>n</w:t>
      </w:r>
      <w:r w:rsidR="00946573">
        <w:rPr>
          <w:rFonts w:ascii="Times New Roman" w:hAnsi="Times New Roman" w:cs="Times New Roman"/>
          <w:color w:val="000000" w:themeColor="text1"/>
        </w:rPr>
        <w:t xml:space="preserve"> </w:t>
      </w:r>
      <w:r w:rsidR="004320C1">
        <w:rPr>
          <w:rFonts w:ascii="Times New Roman" w:hAnsi="Times New Roman" w:cs="Times New Roman"/>
          <w:color w:val="000000" w:themeColor="text1"/>
        </w:rPr>
        <w:t xml:space="preserve">oversigt over </w:t>
      </w:r>
      <w:r w:rsidR="004C611D">
        <w:rPr>
          <w:rFonts w:ascii="Times New Roman" w:hAnsi="Times New Roman" w:cs="Times New Roman"/>
          <w:color w:val="000000" w:themeColor="text1"/>
        </w:rPr>
        <w:t>ejerforhold</w:t>
      </w:r>
      <w:r>
        <w:rPr>
          <w:rFonts w:ascii="Times New Roman" w:hAnsi="Times New Roman" w:cs="Times New Roman"/>
          <w:color w:val="000000" w:themeColor="text1"/>
        </w:rPr>
        <w:t xml:space="preserve"> i</w:t>
      </w:r>
      <w:r w:rsidR="002F36D6">
        <w:rPr>
          <w:rFonts w:ascii="Times New Roman" w:hAnsi="Times New Roman" w:cs="Times New Roman"/>
          <w:color w:val="000000" w:themeColor="text1"/>
        </w:rPr>
        <w:t xml:space="preserve"> henholdsvis det havgående og kystnært</w:t>
      </w:r>
      <w:r w:rsidR="004320C1">
        <w:rPr>
          <w:rFonts w:ascii="Times New Roman" w:hAnsi="Times New Roman" w:cs="Times New Roman"/>
          <w:color w:val="000000" w:themeColor="text1"/>
        </w:rPr>
        <w:t xml:space="preserve"> rejefiskeri i 2019 samt de</w:t>
      </w:r>
      <w:r>
        <w:rPr>
          <w:rFonts w:ascii="Times New Roman" w:hAnsi="Times New Roman" w:cs="Times New Roman"/>
          <w:color w:val="000000" w:themeColor="text1"/>
        </w:rPr>
        <w:t>t</w:t>
      </w:r>
      <w:r w:rsidR="004320C1">
        <w:rPr>
          <w:rFonts w:ascii="Times New Roman" w:hAnsi="Times New Roman" w:cs="Times New Roman"/>
          <w:color w:val="000000" w:themeColor="text1"/>
        </w:rPr>
        <w:t xml:space="preserve"> enkelte selskabs </w:t>
      </w:r>
      <w:r w:rsidR="00946573">
        <w:rPr>
          <w:rFonts w:ascii="Times New Roman" w:hAnsi="Times New Roman" w:cs="Times New Roman"/>
          <w:color w:val="000000" w:themeColor="text1"/>
        </w:rPr>
        <w:t xml:space="preserve">direkte og indirekte </w:t>
      </w:r>
      <w:r w:rsidR="004320C1">
        <w:rPr>
          <w:rFonts w:ascii="Times New Roman" w:hAnsi="Times New Roman" w:cs="Times New Roman"/>
          <w:color w:val="000000" w:themeColor="text1"/>
        </w:rPr>
        <w:t>kvoteandele i 2019.</w:t>
      </w:r>
      <w:r w:rsidR="008E4242">
        <w:rPr>
          <w:rFonts w:ascii="Times New Roman" w:hAnsi="Times New Roman" w:cs="Times New Roman"/>
          <w:color w:val="000000" w:themeColor="text1"/>
        </w:rPr>
        <w:t xml:space="preserve"> </w:t>
      </w:r>
      <w:r w:rsidR="00C44E12">
        <w:rPr>
          <w:rFonts w:ascii="Times New Roman" w:hAnsi="Times New Roman" w:cs="Times New Roman"/>
          <w:color w:val="000000" w:themeColor="text1"/>
        </w:rPr>
        <w:t>Det bemæ</w:t>
      </w:r>
      <w:r w:rsidR="00B74C60">
        <w:rPr>
          <w:rFonts w:ascii="Times New Roman" w:hAnsi="Times New Roman" w:cs="Times New Roman"/>
          <w:color w:val="000000" w:themeColor="text1"/>
        </w:rPr>
        <w:t>rkes at fiskeriforvaltningen</w:t>
      </w:r>
      <w:r w:rsidR="00C44E12">
        <w:rPr>
          <w:rFonts w:ascii="Times New Roman" w:hAnsi="Times New Roman" w:cs="Times New Roman"/>
          <w:color w:val="000000" w:themeColor="text1"/>
        </w:rPr>
        <w:t xml:space="preserve"> ikke</w:t>
      </w:r>
      <w:r w:rsidR="00B74C60">
        <w:rPr>
          <w:rFonts w:ascii="Times New Roman" w:hAnsi="Times New Roman" w:cs="Times New Roman"/>
          <w:color w:val="000000" w:themeColor="text1"/>
        </w:rPr>
        <w:t xml:space="preserve"> har</w:t>
      </w:r>
      <w:r w:rsidR="00C44E12">
        <w:rPr>
          <w:rFonts w:ascii="Times New Roman" w:hAnsi="Times New Roman" w:cs="Times New Roman"/>
          <w:color w:val="000000" w:themeColor="text1"/>
        </w:rPr>
        <w:t xml:space="preserve"> oplysninger om de reale ejere af selskaberne. Det arbejdes </w:t>
      </w:r>
      <w:r w:rsidR="00822D81">
        <w:rPr>
          <w:rFonts w:ascii="Times New Roman" w:hAnsi="Times New Roman" w:cs="Times New Roman"/>
          <w:color w:val="000000" w:themeColor="text1"/>
        </w:rPr>
        <w:t xml:space="preserve">aktuelt </w:t>
      </w:r>
      <w:r w:rsidR="00C44E12">
        <w:rPr>
          <w:rFonts w:ascii="Times New Roman" w:hAnsi="Times New Roman" w:cs="Times New Roman"/>
          <w:color w:val="000000" w:themeColor="text1"/>
        </w:rPr>
        <w:t xml:space="preserve">på at gøre det generelt lovpligtigt at oplyse </w:t>
      </w:r>
      <w:r w:rsidR="00B74C60">
        <w:rPr>
          <w:rFonts w:ascii="Times New Roman" w:hAnsi="Times New Roman" w:cs="Times New Roman"/>
          <w:color w:val="000000" w:themeColor="text1"/>
        </w:rPr>
        <w:t xml:space="preserve">hvem </w:t>
      </w:r>
      <w:r w:rsidR="00822D81">
        <w:rPr>
          <w:rFonts w:ascii="Times New Roman" w:hAnsi="Times New Roman" w:cs="Times New Roman"/>
          <w:color w:val="000000" w:themeColor="text1"/>
        </w:rPr>
        <w:t>d</w:t>
      </w:r>
      <w:r w:rsidR="00B74C60">
        <w:rPr>
          <w:rFonts w:ascii="Times New Roman" w:hAnsi="Times New Roman" w:cs="Times New Roman"/>
          <w:color w:val="000000" w:themeColor="text1"/>
        </w:rPr>
        <w:t xml:space="preserve">er </w:t>
      </w:r>
      <w:r w:rsidR="00822D81">
        <w:rPr>
          <w:rFonts w:ascii="Times New Roman" w:hAnsi="Times New Roman" w:cs="Times New Roman"/>
          <w:color w:val="000000" w:themeColor="text1"/>
        </w:rPr>
        <w:t xml:space="preserve">er </w:t>
      </w:r>
      <w:r w:rsidR="00C44E12">
        <w:rPr>
          <w:rFonts w:ascii="Times New Roman" w:hAnsi="Times New Roman" w:cs="Times New Roman"/>
          <w:color w:val="000000" w:themeColor="text1"/>
        </w:rPr>
        <w:t xml:space="preserve">de reale ejere af selskaber i Grønland. </w:t>
      </w:r>
    </w:p>
    <w:p w14:paraId="05395AC9" w14:textId="77777777" w:rsidR="00822D81" w:rsidRDefault="00822D81">
      <w:pPr>
        <w:spacing w:after="0" w:line="276" w:lineRule="auto"/>
        <w:jc w:val="both"/>
        <w:rPr>
          <w:rFonts w:ascii="Times New Roman" w:hAnsi="Times New Roman" w:cs="Times New Roman"/>
          <w:color w:val="000000" w:themeColor="text1"/>
        </w:rPr>
      </w:pPr>
    </w:p>
    <w:p w14:paraId="259D6FE3" w14:textId="72551782" w:rsidR="004320C1" w:rsidRDefault="008E4242">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Det bemærkes</w:t>
      </w:r>
      <w:r w:rsidR="00C44E12">
        <w:rPr>
          <w:rFonts w:ascii="Times New Roman" w:hAnsi="Times New Roman" w:cs="Times New Roman"/>
          <w:color w:val="000000" w:themeColor="text1"/>
        </w:rPr>
        <w:t xml:space="preserve"> </w:t>
      </w:r>
      <w:r w:rsidR="00822D81">
        <w:rPr>
          <w:rFonts w:ascii="Times New Roman" w:hAnsi="Times New Roman" w:cs="Times New Roman"/>
          <w:color w:val="000000" w:themeColor="text1"/>
        </w:rPr>
        <w:t>herudover,</w:t>
      </w:r>
      <w:r w:rsidR="00EC0875">
        <w:rPr>
          <w:rFonts w:ascii="Times New Roman" w:hAnsi="Times New Roman" w:cs="Times New Roman"/>
          <w:color w:val="000000" w:themeColor="text1"/>
        </w:rPr>
        <w:t xml:space="preserve"> </w:t>
      </w:r>
      <w:r w:rsidR="00C44E12">
        <w:rPr>
          <w:rFonts w:ascii="Times New Roman" w:hAnsi="Times New Roman" w:cs="Times New Roman"/>
          <w:color w:val="000000" w:themeColor="text1"/>
        </w:rPr>
        <w:t xml:space="preserve">at </w:t>
      </w:r>
      <w:r w:rsidR="00822D81">
        <w:rPr>
          <w:rFonts w:ascii="Times New Roman" w:hAnsi="Times New Roman" w:cs="Times New Roman"/>
          <w:color w:val="000000" w:themeColor="text1"/>
        </w:rPr>
        <w:t xml:space="preserve">der </w:t>
      </w:r>
      <w:r w:rsidR="00C44E12">
        <w:rPr>
          <w:rFonts w:ascii="Times New Roman" w:hAnsi="Times New Roman" w:cs="Times New Roman"/>
          <w:color w:val="000000" w:themeColor="text1"/>
        </w:rPr>
        <w:t>på nuværende tidspunkt</w:t>
      </w:r>
      <w:r>
        <w:rPr>
          <w:rFonts w:ascii="Times New Roman" w:hAnsi="Times New Roman" w:cs="Times New Roman"/>
          <w:color w:val="000000" w:themeColor="text1"/>
        </w:rPr>
        <w:t xml:space="preserve"> </w:t>
      </w:r>
      <w:r w:rsidR="00822D81">
        <w:rPr>
          <w:rFonts w:ascii="Times New Roman" w:hAnsi="Times New Roman" w:cs="Times New Roman"/>
          <w:color w:val="000000" w:themeColor="text1"/>
        </w:rPr>
        <w:t xml:space="preserve">kun </w:t>
      </w:r>
      <w:r w:rsidR="00B74C60">
        <w:rPr>
          <w:rFonts w:ascii="Times New Roman" w:hAnsi="Times New Roman" w:cs="Times New Roman"/>
          <w:color w:val="000000" w:themeColor="text1"/>
        </w:rPr>
        <w:t xml:space="preserve">indgår </w:t>
      </w:r>
      <w:r>
        <w:rPr>
          <w:rFonts w:ascii="Times New Roman" w:hAnsi="Times New Roman" w:cs="Times New Roman"/>
          <w:color w:val="000000" w:themeColor="text1"/>
        </w:rPr>
        <w:t xml:space="preserve">den direkte ejede kvoteandel i forhold </w:t>
      </w:r>
      <w:r w:rsidR="00822D81">
        <w:rPr>
          <w:rFonts w:ascii="Times New Roman" w:hAnsi="Times New Roman" w:cs="Times New Roman"/>
          <w:color w:val="000000" w:themeColor="text1"/>
        </w:rPr>
        <w:t xml:space="preserve">til </w:t>
      </w:r>
      <w:r>
        <w:rPr>
          <w:rFonts w:ascii="Times New Roman" w:hAnsi="Times New Roman" w:cs="Times New Roman"/>
          <w:color w:val="000000" w:themeColor="text1"/>
        </w:rPr>
        <w:t>at bestemme</w:t>
      </w:r>
      <w:r w:rsidR="00822D81">
        <w:rPr>
          <w:rFonts w:ascii="Times New Roman" w:hAnsi="Times New Roman" w:cs="Times New Roman"/>
          <w:color w:val="000000" w:themeColor="text1"/>
        </w:rPr>
        <w:t>,</w:t>
      </w:r>
      <w:r>
        <w:rPr>
          <w:rFonts w:ascii="Times New Roman" w:hAnsi="Times New Roman" w:cs="Times New Roman"/>
          <w:color w:val="000000" w:themeColor="text1"/>
        </w:rPr>
        <w:t xml:space="preserve"> om selskaberne overholder </w:t>
      </w:r>
      <w:r w:rsidR="00822D81">
        <w:rPr>
          <w:rFonts w:ascii="Times New Roman" w:hAnsi="Times New Roman" w:cs="Times New Roman"/>
          <w:color w:val="000000" w:themeColor="text1"/>
        </w:rPr>
        <w:t>fiskeri</w:t>
      </w:r>
      <w:r>
        <w:rPr>
          <w:rFonts w:ascii="Times New Roman" w:hAnsi="Times New Roman" w:cs="Times New Roman"/>
          <w:color w:val="000000" w:themeColor="text1"/>
        </w:rPr>
        <w:t>loven</w:t>
      </w:r>
      <w:r w:rsidR="00822D81">
        <w:rPr>
          <w:rFonts w:ascii="Times New Roman" w:hAnsi="Times New Roman" w:cs="Times New Roman"/>
          <w:color w:val="000000" w:themeColor="text1"/>
        </w:rPr>
        <w:t>s bestemmelser</w:t>
      </w:r>
      <w:r>
        <w:rPr>
          <w:rFonts w:ascii="Times New Roman" w:hAnsi="Times New Roman" w:cs="Times New Roman"/>
          <w:color w:val="000000" w:themeColor="text1"/>
        </w:rPr>
        <w:t xml:space="preserve"> om kvotelofte</w:t>
      </w:r>
      <w:r w:rsidR="00822D81">
        <w:rPr>
          <w:rFonts w:ascii="Times New Roman" w:hAnsi="Times New Roman" w:cs="Times New Roman"/>
          <w:color w:val="000000" w:themeColor="text1"/>
        </w:rPr>
        <w:t>r</w:t>
      </w:r>
      <w:r>
        <w:rPr>
          <w:rFonts w:ascii="Times New Roman" w:hAnsi="Times New Roman" w:cs="Times New Roman"/>
          <w:color w:val="000000" w:themeColor="text1"/>
        </w:rPr>
        <w:t>.</w:t>
      </w:r>
    </w:p>
    <w:p w14:paraId="23DA1369" w14:textId="77777777" w:rsidR="00996FC4" w:rsidRDefault="00996FC4">
      <w:pPr>
        <w:spacing w:after="0" w:line="276" w:lineRule="auto"/>
        <w:jc w:val="both"/>
        <w:rPr>
          <w:rFonts w:ascii="Times New Roman" w:hAnsi="Times New Roman" w:cs="Times New Roman"/>
          <w:color w:val="000000" w:themeColor="text1"/>
        </w:rPr>
      </w:pPr>
    </w:p>
    <w:p w14:paraId="0027629D" w14:textId="6F32391B" w:rsidR="00996FC4" w:rsidRDefault="00996FC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Det fremgår af tabel 1</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at kun </w:t>
      </w:r>
      <w:r w:rsidR="003916D6">
        <w:rPr>
          <w:rFonts w:ascii="Times New Roman" w:hAnsi="Times New Roman" w:cs="Times New Roman"/>
          <w:color w:val="000000" w:themeColor="text1"/>
        </w:rPr>
        <w:t xml:space="preserve">selskab </w:t>
      </w:r>
      <w:r w:rsidR="008E4242">
        <w:rPr>
          <w:rFonts w:ascii="Times New Roman" w:hAnsi="Times New Roman" w:cs="Times New Roman"/>
          <w:color w:val="000000" w:themeColor="text1"/>
        </w:rPr>
        <w:t>H.4</w:t>
      </w:r>
      <w:r w:rsidR="003916D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rammer kvoteloftet på 33 pct. ud fra den direkte kvoteandel af den havgående rejekvote. Hvis den indirekte kvoteandelen er medtaget overstiger både </w:t>
      </w:r>
      <w:r w:rsidR="008E4242">
        <w:rPr>
          <w:rFonts w:ascii="Times New Roman" w:hAnsi="Times New Roman" w:cs="Times New Roman"/>
          <w:color w:val="000000" w:themeColor="text1"/>
        </w:rPr>
        <w:t>H.</w:t>
      </w:r>
      <w:r w:rsidR="00EC0875">
        <w:rPr>
          <w:rFonts w:ascii="Times New Roman" w:hAnsi="Times New Roman" w:cs="Times New Roman"/>
          <w:color w:val="000000" w:themeColor="text1"/>
        </w:rPr>
        <w:t xml:space="preserve">3 </w:t>
      </w:r>
      <w:r>
        <w:rPr>
          <w:rFonts w:ascii="Times New Roman" w:hAnsi="Times New Roman" w:cs="Times New Roman"/>
          <w:color w:val="000000" w:themeColor="text1"/>
        </w:rPr>
        <w:t xml:space="preserve">og </w:t>
      </w:r>
      <w:r w:rsidR="008E4242">
        <w:rPr>
          <w:rFonts w:ascii="Times New Roman" w:hAnsi="Times New Roman" w:cs="Times New Roman"/>
          <w:color w:val="000000" w:themeColor="text1"/>
        </w:rPr>
        <w:t>H.</w:t>
      </w:r>
      <w:r w:rsidR="00EC0875">
        <w:rPr>
          <w:rFonts w:ascii="Times New Roman" w:hAnsi="Times New Roman" w:cs="Times New Roman"/>
          <w:color w:val="000000" w:themeColor="text1"/>
        </w:rPr>
        <w:t xml:space="preserve">4 </w:t>
      </w:r>
      <w:r>
        <w:rPr>
          <w:rFonts w:ascii="Times New Roman" w:hAnsi="Times New Roman" w:cs="Times New Roman"/>
          <w:color w:val="000000" w:themeColor="text1"/>
        </w:rPr>
        <w:t>kvoteloftet i det havgående rejefiskeri.</w:t>
      </w:r>
    </w:p>
    <w:p w14:paraId="01FECEBF" w14:textId="77777777" w:rsidR="00946573" w:rsidRDefault="00946573">
      <w:pPr>
        <w:spacing w:after="0" w:line="276" w:lineRule="auto"/>
        <w:jc w:val="both"/>
        <w:rPr>
          <w:rFonts w:ascii="Times New Roman" w:hAnsi="Times New Roman" w:cs="Times New Roman"/>
          <w:color w:val="000000" w:themeColor="text1"/>
        </w:rPr>
      </w:pPr>
    </w:p>
    <w:p w14:paraId="274E2139" w14:textId="77777777" w:rsidR="00946573" w:rsidRPr="00AC4047" w:rsidRDefault="00946573">
      <w:pPr>
        <w:spacing w:after="0" w:line="276" w:lineRule="auto"/>
        <w:jc w:val="both"/>
        <w:rPr>
          <w:rFonts w:ascii="Times New Roman" w:hAnsi="Times New Roman" w:cs="Times New Roman"/>
          <w:b/>
          <w:color w:val="000000" w:themeColor="text1"/>
        </w:rPr>
      </w:pPr>
      <w:r w:rsidRPr="00AC4047">
        <w:rPr>
          <w:rFonts w:ascii="Times New Roman" w:hAnsi="Times New Roman" w:cs="Times New Roman"/>
          <w:b/>
          <w:color w:val="000000" w:themeColor="text1"/>
        </w:rPr>
        <w:t>Tabel 1: Oversigt over selskaber i</w:t>
      </w:r>
      <w:r w:rsidR="004C611D" w:rsidRPr="00AC4047">
        <w:rPr>
          <w:rFonts w:ascii="Times New Roman" w:hAnsi="Times New Roman" w:cs="Times New Roman"/>
          <w:b/>
          <w:color w:val="000000" w:themeColor="text1"/>
        </w:rPr>
        <w:t xml:space="preserve"> det havgående</w:t>
      </w:r>
      <w:r w:rsidRPr="00AC4047">
        <w:rPr>
          <w:rFonts w:ascii="Times New Roman" w:hAnsi="Times New Roman" w:cs="Times New Roman"/>
          <w:b/>
          <w:color w:val="000000" w:themeColor="text1"/>
        </w:rPr>
        <w:t xml:space="preserve"> rejefiskeriet i 2019 samt deres kvoteandele</w:t>
      </w:r>
      <w:r w:rsidR="002A5F0D" w:rsidRPr="00AC4047">
        <w:rPr>
          <w:rFonts w:ascii="Times New Roman" w:hAnsi="Times New Roman" w:cs="Times New Roman"/>
          <w:b/>
          <w:color w:val="000000" w:themeColor="text1"/>
        </w:rPr>
        <w:t>.</w:t>
      </w:r>
    </w:p>
    <w:tbl>
      <w:tblPr>
        <w:tblW w:w="9740" w:type="dxa"/>
        <w:tblCellMar>
          <w:left w:w="70" w:type="dxa"/>
          <w:right w:w="70" w:type="dxa"/>
        </w:tblCellMar>
        <w:tblLook w:val="04A0" w:firstRow="1" w:lastRow="0" w:firstColumn="1" w:lastColumn="0" w:noHBand="0" w:noVBand="1"/>
      </w:tblPr>
      <w:tblGrid>
        <w:gridCol w:w="3140"/>
        <w:gridCol w:w="2300"/>
        <w:gridCol w:w="2460"/>
        <w:gridCol w:w="1840"/>
      </w:tblGrid>
      <w:tr w:rsidR="004C611D" w:rsidRPr="004C611D" w14:paraId="4A4DD3AF" w14:textId="77777777" w:rsidTr="004C611D">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7B5D5385" w14:textId="77777777" w:rsidR="004C611D" w:rsidRPr="004C611D" w:rsidRDefault="004C611D" w:rsidP="00E24F47">
            <w:pPr>
              <w:spacing w:after="0" w:line="276" w:lineRule="auto"/>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 </w:t>
            </w:r>
          </w:p>
        </w:tc>
        <w:tc>
          <w:tcPr>
            <w:tcW w:w="2300" w:type="dxa"/>
            <w:tcBorders>
              <w:top w:val="single" w:sz="4" w:space="0" w:color="auto"/>
              <w:left w:val="single" w:sz="4" w:space="0" w:color="auto"/>
              <w:bottom w:val="nil"/>
              <w:right w:val="single" w:sz="4" w:space="0" w:color="auto"/>
            </w:tcBorders>
            <w:shd w:val="clear" w:color="000000" w:fill="FFFFFF"/>
            <w:noWrap/>
            <w:vAlign w:val="bottom"/>
            <w:hideMark/>
          </w:tcPr>
          <w:p w14:paraId="465A0EBD"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Direkte andel af den</w:t>
            </w:r>
          </w:p>
        </w:tc>
        <w:tc>
          <w:tcPr>
            <w:tcW w:w="2460" w:type="dxa"/>
            <w:tcBorders>
              <w:top w:val="single" w:sz="4" w:space="0" w:color="auto"/>
              <w:left w:val="nil"/>
              <w:bottom w:val="nil"/>
              <w:right w:val="single" w:sz="4" w:space="0" w:color="auto"/>
            </w:tcBorders>
            <w:shd w:val="clear" w:color="000000" w:fill="FFFFFF"/>
            <w:noWrap/>
            <w:vAlign w:val="bottom"/>
            <w:hideMark/>
          </w:tcPr>
          <w:p w14:paraId="07F43CCF"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Indirekte andel af den</w:t>
            </w:r>
          </w:p>
        </w:tc>
        <w:tc>
          <w:tcPr>
            <w:tcW w:w="1840" w:type="dxa"/>
            <w:tcBorders>
              <w:top w:val="single" w:sz="4" w:space="0" w:color="auto"/>
              <w:left w:val="nil"/>
              <w:bottom w:val="nil"/>
              <w:right w:val="single" w:sz="4" w:space="0" w:color="auto"/>
            </w:tcBorders>
            <w:shd w:val="clear" w:color="000000" w:fill="FFFFFF"/>
            <w:noWrap/>
            <w:vAlign w:val="bottom"/>
            <w:hideMark/>
          </w:tcPr>
          <w:p w14:paraId="3FCD8400"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 xml:space="preserve">Kvoteandel </w:t>
            </w:r>
          </w:p>
        </w:tc>
      </w:tr>
      <w:tr w:rsidR="004C611D" w:rsidRPr="004C611D" w14:paraId="58DD8B7D" w14:textId="77777777" w:rsidTr="004C611D">
        <w:trPr>
          <w:trHeight w:val="260"/>
        </w:trPr>
        <w:tc>
          <w:tcPr>
            <w:tcW w:w="3140" w:type="dxa"/>
            <w:tcBorders>
              <w:top w:val="nil"/>
              <w:left w:val="single" w:sz="4" w:space="0" w:color="auto"/>
              <w:bottom w:val="single" w:sz="4" w:space="0" w:color="auto"/>
              <w:right w:val="nil"/>
            </w:tcBorders>
            <w:shd w:val="clear" w:color="000000" w:fill="FFFFFF"/>
            <w:noWrap/>
            <w:vAlign w:val="bottom"/>
            <w:hideMark/>
          </w:tcPr>
          <w:p w14:paraId="26BEB8B1" w14:textId="77777777" w:rsidR="004C611D" w:rsidRPr="004C611D" w:rsidRDefault="004C611D" w:rsidP="00E24F47">
            <w:pPr>
              <w:spacing w:after="0" w:line="276" w:lineRule="auto"/>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Selskab</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DC02927"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havgående rejekvote</w:t>
            </w:r>
          </w:p>
        </w:tc>
        <w:tc>
          <w:tcPr>
            <w:tcW w:w="2460" w:type="dxa"/>
            <w:tcBorders>
              <w:top w:val="nil"/>
              <w:left w:val="nil"/>
              <w:bottom w:val="single" w:sz="4" w:space="0" w:color="auto"/>
              <w:right w:val="single" w:sz="4" w:space="0" w:color="auto"/>
            </w:tcBorders>
            <w:shd w:val="clear" w:color="000000" w:fill="FFFFFF"/>
            <w:noWrap/>
            <w:vAlign w:val="bottom"/>
            <w:hideMark/>
          </w:tcPr>
          <w:p w14:paraId="4FF7A89D"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havgående rejekvote</w:t>
            </w:r>
          </w:p>
        </w:tc>
        <w:tc>
          <w:tcPr>
            <w:tcW w:w="1840" w:type="dxa"/>
            <w:tcBorders>
              <w:top w:val="nil"/>
              <w:left w:val="nil"/>
              <w:bottom w:val="single" w:sz="4" w:space="0" w:color="auto"/>
              <w:right w:val="single" w:sz="4" w:space="0" w:color="auto"/>
            </w:tcBorders>
            <w:shd w:val="clear" w:color="000000" w:fill="FFFFFF"/>
            <w:noWrap/>
            <w:vAlign w:val="bottom"/>
            <w:hideMark/>
          </w:tcPr>
          <w:p w14:paraId="6B0C7B28"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i alt</w:t>
            </w:r>
          </w:p>
        </w:tc>
      </w:tr>
      <w:tr w:rsidR="004C611D" w:rsidRPr="003916D6" w14:paraId="0EA81A8D" w14:textId="77777777" w:rsidTr="004C611D">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463D3238" w14:textId="3279D37F" w:rsidR="004C611D" w:rsidRPr="00E24F47" w:rsidRDefault="008E4242" w:rsidP="00E24F47">
            <w:pPr>
              <w:spacing w:after="0" w:line="276" w:lineRule="auto"/>
              <w:rPr>
                <w:rFonts w:ascii="Times New Roman" w:eastAsia="Times New Roman" w:hAnsi="Times New Roman" w:cs="Times New Roman"/>
                <w:color w:val="000000"/>
                <w:lang w:val="en-US" w:eastAsia="da-DK"/>
              </w:rPr>
            </w:pPr>
            <w:r w:rsidRPr="008E4242">
              <w:rPr>
                <w:rFonts w:ascii="Times New Roman" w:eastAsia="Times New Roman" w:hAnsi="Times New Roman" w:cs="Times New Roman"/>
                <w:color w:val="000000"/>
                <w:lang w:val="en-US" w:eastAsia="da-DK"/>
              </w:rPr>
              <w:t>H.1</w:t>
            </w:r>
          </w:p>
        </w:tc>
        <w:tc>
          <w:tcPr>
            <w:tcW w:w="2300" w:type="dxa"/>
            <w:tcBorders>
              <w:top w:val="nil"/>
              <w:left w:val="nil"/>
              <w:bottom w:val="single" w:sz="4" w:space="0" w:color="auto"/>
              <w:right w:val="single" w:sz="4" w:space="0" w:color="auto"/>
            </w:tcBorders>
            <w:shd w:val="clear" w:color="000000" w:fill="FFFFFF"/>
            <w:noWrap/>
            <w:vAlign w:val="bottom"/>
            <w:hideMark/>
          </w:tcPr>
          <w:p w14:paraId="34BC7931"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13,4%</w:t>
            </w:r>
          </w:p>
        </w:tc>
        <w:tc>
          <w:tcPr>
            <w:tcW w:w="2460" w:type="dxa"/>
            <w:tcBorders>
              <w:top w:val="nil"/>
              <w:left w:val="nil"/>
              <w:bottom w:val="single" w:sz="4" w:space="0" w:color="auto"/>
              <w:right w:val="single" w:sz="4" w:space="0" w:color="auto"/>
            </w:tcBorders>
            <w:shd w:val="clear" w:color="auto" w:fill="auto"/>
            <w:noWrap/>
            <w:vAlign w:val="bottom"/>
            <w:hideMark/>
          </w:tcPr>
          <w:p w14:paraId="3D822764"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452DF1F5"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13,4%</w:t>
            </w:r>
          </w:p>
        </w:tc>
      </w:tr>
      <w:tr w:rsidR="004C611D" w:rsidRPr="003916D6" w14:paraId="1426B618" w14:textId="77777777" w:rsidTr="004C611D">
        <w:trPr>
          <w:trHeight w:val="260"/>
        </w:trPr>
        <w:tc>
          <w:tcPr>
            <w:tcW w:w="3140" w:type="dxa"/>
            <w:tcBorders>
              <w:top w:val="nil"/>
              <w:left w:val="single" w:sz="4" w:space="0" w:color="auto"/>
              <w:bottom w:val="nil"/>
              <w:right w:val="single" w:sz="4" w:space="0" w:color="auto"/>
            </w:tcBorders>
            <w:shd w:val="clear" w:color="000000" w:fill="FFFFFF"/>
            <w:noWrap/>
            <w:vAlign w:val="bottom"/>
            <w:hideMark/>
          </w:tcPr>
          <w:p w14:paraId="620F3ED4" w14:textId="74C5A0FA" w:rsidR="004C611D" w:rsidRPr="00E24F47" w:rsidRDefault="008E4242" w:rsidP="00E24F47">
            <w:pPr>
              <w:spacing w:after="0" w:line="276" w:lineRule="auto"/>
              <w:rPr>
                <w:rFonts w:ascii="Times New Roman" w:eastAsia="Times New Roman" w:hAnsi="Times New Roman" w:cs="Times New Roman"/>
                <w:color w:val="000000"/>
                <w:lang w:val="en-US" w:eastAsia="da-DK"/>
              </w:rPr>
            </w:pPr>
            <w:r>
              <w:rPr>
                <w:rFonts w:ascii="Times New Roman" w:eastAsia="Times New Roman" w:hAnsi="Times New Roman" w:cs="Times New Roman"/>
                <w:color w:val="000000"/>
                <w:lang w:val="en-US" w:eastAsia="da-DK"/>
              </w:rPr>
              <w:t>H.2</w:t>
            </w:r>
          </w:p>
        </w:tc>
        <w:tc>
          <w:tcPr>
            <w:tcW w:w="2300" w:type="dxa"/>
            <w:tcBorders>
              <w:top w:val="nil"/>
              <w:left w:val="nil"/>
              <w:bottom w:val="single" w:sz="4" w:space="0" w:color="auto"/>
              <w:right w:val="single" w:sz="4" w:space="0" w:color="auto"/>
            </w:tcBorders>
            <w:shd w:val="clear" w:color="000000" w:fill="FFFFFF"/>
            <w:noWrap/>
            <w:vAlign w:val="bottom"/>
            <w:hideMark/>
          </w:tcPr>
          <w:p w14:paraId="7DEA4046"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10,9%</w:t>
            </w:r>
          </w:p>
        </w:tc>
        <w:tc>
          <w:tcPr>
            <w:tcW w:w="2460" w:type="dxa"/>
            <w:tcBorders>
              <w:top w:val="nil"/>
              <w:left w:val="nil"/>
              <w:bottom w:val="single" w:sz="4" w:space="0" w:color="auto"/>
              <w:right w:val="single" w:sz="4" w:space="0" w:color="auto"/>
            </w:tcBorders>
            <w:shd w:val="clear" w:color="auto" w:fill="auto"/>
            <w:noWrap/>
            <w:vAlign w:val="bottom"/>
            <w:hideMark/>
          </w:tcPr>
          <w:p w14:paraId="1EB0C7E6"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7EF18FCD"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10,9%</w:t>
            </w:r>
          </w:p>
        </w:tc>
      </w:tr>
      <w:tr w:rsidR="004C611D" w:rsidRPr="003916D6" w14:paraId="6499F2E5" w14:textId="77777777" w:rsidTr="004C611D">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2C246BB2" w14:textId="5CBD8916" w:rsidR="004C611D" w:rsidRPr="004C611D" w:rsidRDefault="008E4242" w:rsidP="00E24F47">
            <w:pPr>
              <w:spacing w:after="0" w:line="276" w:lineRule="auto"/>
              <w:rPr>
                <w:rFonts w:ascii="Times New Roman" w:eastAsia="Times New Roman" w:hAnsi="Times New Roman" w:cs="Times New Roman"/>
                <w:color w:val="000000"/>
                <w:lang w:val="en-US" w:eastAsia="da-DK"/>
              </w:rPr>
            </w:pPr>
            <w:r>
              <w:rPr>
                <w:rFonts w:ascii="Times New Roman" w:eastAsia="Times New Roman" w:hAnsi="Times New Roman" w:cs="Times New Roman"/>
                <w:color w:val="000000"/>
                <w:lang w:val="en-US" w:eastAsia="da-DK"/>
              </w:rPr>
              <w:t>H.3</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C444F41"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29,1%</w:t>
            </w:r>
          </w:p>
        </w:tc>
        <w:tc>
          <w:tcPr>
            <w:tcW w:w="2460" w:type="dxa"/>
            <w:tcBorders>
              <w:top w:val="nil"/>
              <w:left w:val="nil"/>
              <w:bottom w:val="single" w:sz="4" w:space="0" w:color="auto"/>
              <w:right w:val="single" w:sz="4" w:space="0" w:color="auto"/>
            </w:tcBorders>
            <w:shd w:val="clear" w:color="auto" w:fill="auto"/>
            <w:noWrap/>
            <w:vAlign w:val="bottom"/>
            <w:hideMark/>
          </w:tcPr>
          <w:p w14:paraId="33A11DF2"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5,5%</w:t>
            </w:r>
          </w:p>
        </w:tc>
        <w:tc>
          <w:tcPr>
            <w:tcW w:w="1840" w:type="dxa"/>
            <w:tcBorders>
              <w:top w:val="nil"/>
              <w:left w:val="nil"/>
              <w:bottom w:val="single" w:sz="4" w:space="0" w:color="auto"/>
              <w:right w:val="single" w:sz="4" w:space="0" w:color="auto"/>
            </w:tcBorders>
            <w:shd w:val="clear" w:color="000000" w:fill="FFFFFF"/>
            <w:noWrap/>
            <w:vAlign w:val="bottom"/>
            <w:hideMark/>
          </w:tcPr>
          <w:p w14:paraId="4706A2A2"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34,6%</w:t>
            </w:r>
          </w:p>
        </w:tc>
      </w:tr>
      <w:tr w:rsidR="004C611D" w:rsidRPr="004C611D" w14:paraId="017F14C0" w14:textId="77777777" w:rsidTr="004C611D">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0108376D" w14:textId="6E40EAFB" w:rsidR="004C611D" w:rsidRPr="00E24F47" w:rsidRDefault="008E4242" w:rsidP="00E24F47">
            <w:pPr>
              <w:spacing w:after="0" w:line="276" w:lineRule="auto"/>
              <w:rPr>
                <w:rFonts w:ascii="Times New Roman" w:eastAsia="Times New Roman" w:hAnsi="Times New Roman" w:cs="Times New Roman"/>
                <w:color w:val="000000"/>
                <w:lang w:val="en-US" w:eastAsia="da-DK"/>
              </w:rPr>
            </w:pPr>
            <w:r>
              <w:rPr>
                <w:rFonts w:ascii="Times New Roman" w:eastAsia="Times New Roman" w:hAnsi="Times New Roman" w:cs="Times New Roman"/>
                <w:color w:val="000000"/>
                <w:lang w:val="en-US" w:eastAsia="da-DK"/>
              </w:rPr>
              <w:t>H.4</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33430A38"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33,3%</w:t>
            </w:r>
          </w:p>
        </w:tc>
        <w:tc>
          <w:tcPr>
            <w:tcW w:w="2460" w:type="dxa"/>
            <w:tcBorders>
              <w:top w:val="nil"/>
              <w:left w:val="nil"/>
              <w:bottom w:val="single" w:sz="4" w:space="0" w:color="auto"/>
              <w:right w:val="single" w:sz="4" w:space="0" w:color="auto"/>
            </w:tcBorders>
            <w:shd w:val="clear" w:color="auto" w:fill="auto"/>
            <w:noWrap/>
            <w:vAlign w:val="bottom"/>
            <w:hideMark/>
          </w:tcPr>
          <w:p w14:paraId="2DEBD3F9" w14:textId="77777777" w:rsidR="004C611D" w:rsidRPr="00E24F47" w:rsidRDefault="004C611D" w:rsidP="00E24F47">
            <w:pPr>
              <w:spacing w:after="0" w:line="276" w:lineRule="auto"/>
              <w:jc w:val="right"/>
              <w:rPr>
                <w:rFonts w:ascii="Times New Roman" w:eastAsia="Times New Roman" w:hAnsi="Times New Roman" w:cs="Times New Roman"/>
                <w:color w:val="000000"/>
                <w:lang w:val="en-US" w:eastAsia="da-DK"/>
              </w:rPr>
            </w:pPr>
            <w:r w:rsidRPr="00E24F47">
              <w:rPr>
                <w:rFonts w:ascii="Times New Roman" w:eastAsia="Times New Roman" w:hAnsi="Times New Roman" w:cs="Times New Roman"/>
                <w:color w:val="000000"/>
                <w:lang w:val="en-US" w:eastAsia="da-DK"/>
              </w:rPr>
              <w:t>6,6%</w:t>
            </w:r>
          </w:p>
        </w:tc>
        <w:tc>
          <w:tcPr>
            <w:tcW w:w="1840" w:type="dxa"/>
            <w:tcBorders>
              <w:top w:val="nil"/>
              <w:left w:val="nil"/>
              <w:bottom w:val="single" w:sz="4" w:space="0" w:color="auto"/>
              <w:right w:val="single" w:sz="4" w:space="0" w:color="auto"/>
            </w:tcBorders>
            <w:shd w:val="clear" w:color="000000" w:fill="FFFFFF"/>
            <w:noWrap/>
            <w:vAlign w:val="bottom"/>
            <w:hideMark/>
          </w:tcPr>
          <w:p w14:paraId="4B2FBD54"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E24F47">
              <w:rPr>
                <w:rFonts w:ascii="Times New Roman" w:eastAsia="Times New Roman" w:hAnsi="Times New Roman" w:cs="Times New Roman"/>
                <w:color w:val="000000"/>
                <w:lang w:val="en-US" w:eastAsia="da-DK"/>
              </w:rPr>
              <w:t>3</w:t>
            </w:r>
            <w:r w:rsidRPr="004C611D">
              <w:rPr>
                <w:rFonts w:ascii="Times New Roman" w:eastAsia="Times New Roman" w:hAnsi="Times New Roman" w:cs="Times New Roman"/>
                <w:color w:val="000000"/>
                <w:lang w:eastAsia="da-DK"/>
              </w:rPr>
              <w:t>9,9%</w:t>
            </w:r>
          </w:p>
        </w:tc>
      </w:tr>
      <w:tr w:rsidR="004C611D" w:rsidRPr="004C611D" w14:paraId="216425B7" w14:textId="77777777" w:rsidTr="004C611D">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BC1A7" w14:textId="4B837ECB" w:rsidR="004C611D" w:rsidRPr="00E24F47" w:rsidRDefault="008E4242" w:rsidP="00E24F47">
            <w:pPr>
              <w:spacing w:after="0" w:line="276" w:lineRule="auto"/>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H.5</w:t>
            </w:r>
          </w:p>
        </w:tc>
        <w:tc>
          <w:tcPr>
            <w:tcW w:w="2300" w:type="dxa"/>
            <w:tcBorders>
              <w:top w:val="nil"/>
              <w:left w:val="nil"/>
              <w:bottom w:val="single" w:sz="4" w:space="0" w:color="auto"/>
              <w:right w:val="single" w:sz="4" w:space="0" w:color="auto"/>
            </w:tcBorders>
            <w:shd w:val="clear" w:color="000000" w:fill="FFFFFF"/>
            <w:noWrap/>
            <w:vAlign w:val="bottom"/>
            <w:hideMark/>
          </w:tcPr>
          <w:p w14:paraId="0C50C41E"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13,2%</w:t>
            </w:r>
          </w:p>
        </w:tc>
        <w:tc>
          <w:tcPr>
            <w:tcW w:w="2460" w:type="dxa"/>
            <w:tcBorders>
              <w:top w:val="nil"/>
              <w:left w:val="nil"/>
              <w:bottom w:val="single" w:sz="4" w:space="0" w:color="auto"/>
              <w:right w:val="single" w:sz="4" w:space="0" w:color="auto"/>
            </w:tcBorders>
            <w:shd w:val="clear" w:color="auto" w:fill="auto"/>
            <w:noWrap/>
            <w:vAlign w:val="bottom"/>
            <w:hideMark/>
          </w:tcPr>
          <w:p w14:paraId="11806477"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059ADEDB"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13,2%</w:t>
            </w:r>
          </w:p>
        </w:tc>
      </w:tr>
      <w:tr w:rsidR="004C611D" w:rsidRPr="004C611D" w14:paraId="4B73D9FB" w14:textId="77777777" w:rsidTr="004C611D">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A07B320" w14:textId="77777777" w:rsidR="004C611D" w:rsidRPr="004C611D" w:rsidRDefault="004C611D" w:rsidP="00E24F47">
            <w:pPr>
              <w:spacing w:after="0" w:line="276" w:lineRule="auto"/>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I alt</w:t>
            </w:r>
          </w:p>
        </w:tc>
        <w:tc>
          <w:tcPr>
            <w:tcW w:w="2300" w:type="dxa"/>
            <w:tcBorders>
              <w:top w:val="nil"/>
              <w:left w:val="nil"/>
              <w:bottom w:val="single" w:sz="4" w:space="0" w:color="auto"/>
              <w:right w:val="single" w:sz="4" w:space="0" w:color="auto"/>
            </w:tcBorders>
            <w:shd w:val="clear" w:color="000000" w:fill="FFFFFF"/>
            <w:noWrap/>
            <w:vAlign w:val="bottom"/>
            <w:hideMark/>
          </w:tcPr>
          <w:p w14:paraId="346F9DB4"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100,0%</w:t>
            </w:r>
          </w:p>
        </w:tc>
        <w:tc>
          <w:tcPr>
            <w:tcW w:w="2460" w:type="dxa"/>
            <w:tcBorders>
              <w:top w:val="nil"/>
              <w:left w:val="nil"/>
              <w:bottom w:val="single" w:sz="4" w:space="0" w:color="auto"/>
              <w:right w:val="single" w:sz="4" w:space="0" w:color="auto"/>
            </w:tcBorders>
            <w:shd w:val="clear" w:color="auto" w:fill="auto"/>
            <w:noWrap/>
            <w:vAlign w:val="bottom"/>
            <w:hideMark/>
          </w:tcPr>
          <w:p w14:paraId="3901DC61"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12,1%</w:t>
            </w:r>
          </w:p>
        </w:tc>
        <w:tc>
          <w:tcPr>
            <w:tcW w:w="1840" w:type="dxa"/>
            <w:tcBorders>
              <w:top w:val="nil"/>
              <w:left w:val="nil"/>
              <w:bottom w:val="single" w:sz="4" w:space="0" w:color="auto"/>
              <w:right w:val="single" w:sz="4" w:space="0" w:color="auto"/>
            </w:tcBorders>
            <w:shd w:val="clear" w:color="000000" w:fill="FFFFFF"/>
            <w:noWrap/>
            <w:vAlign w:val="bottom"/>
            <w:hideMark/>
          </w:tcPr>
          <w:p w14:paraId="177054D9" w14:textId="77777777" w:rsidR="004C611D" w:rsidRPr="004C611D" w:rsidRDefault="004C611D" w:rsidP="00E24F47">
            <w:pPr>
              <w:spacing w:after="0" w:line="276" w:lineRule="auto"/>
              <w:jc w:val="right"/>
              <w:rPr>
                <w:rFonts w:ascii="Times New Roman" w:eastAsia="Times New Roman" w:hAnsi="Times New Roman" w:cs="Times New Roman"/>
                <w:color w:val="000000"/>
                <w:lang w:eastAsia="da-DK"/>
              </w:rPr>
            </w:pPr>
            <w:r w:rsidRPr="004C611D">
              <w:rPr>
                <w:rFonts w:ascii="Times New Roman" w:eastAsia="Times New Roman" w:hAnsi="Times New Roman" w:cs="Times New Roman"/>
                <w:color w:val="000000"/>
                <w:lang w:eastAsia="da-DK"/>
              </w:rPr>
              <w:t> </w:t>
            </w:r>
          </w:p>
        </w:tc>
      </w:tr>
    </w:tbl>
    <w:p w14:paraId="367E4129" w14:textId="77777777" w:rsidR="00946573" w:rsidRPr="008B4ABF" w:rsidRDefault="004C611D" w:rsidP="00A21B75">
      <w:pPr>
        <w:spacing w:after="0" w:line="276" w:lineRule="auto"/>
        <w:jc w:val="both"/>
        <w:rPr>
          <w:rFonts w:ascii="Times New Roman" w:hAnsi="Times New Roman" w:cs="Times New Roman"/>
          <w:color w:val="000000" w:themeColor="text1"/>
          <w:sz w:val="20"/>
          <w:szCs w:val="20"/>
        </w:rPr>
      </w:pPr>
      <w:r w:rsidRPr="008B4ABF">
        <w:rPr>
          <w:rFonts w:ascii="Times New Roman" w:hAnsi="Times New Roman" w:cs="Times New Roman"/>
          <w:color w:val="000000" w:themeColor="text1"/>
          <w:sz w:val="20"/>
          <w:szCs w:val="20"/>
        </w:rPr>
        <w:t>Kilde: APNN og GFLK.</w:t>
      </w:r>
    </w:p>
    <w:p w14:paraId="2496869B" w14:textId="77777777" w:rsidR="004C611D" w:rsidRDefault="004C611D" w:rsidP="00241DBF">
      <w:pPr>
        <w:spacing w:after="0" w:line="276" w:lineRule="auto"/>
        <w:jc w:val="both"/>
        <w:rPr>
          <w:rFonts w:ascii="Times New Roman" w:hAnsi="Times New Roman" w:cs="Times New Roman"/>
          <w:color w:val="000000" w:themeColor="text1"/>
        </w:rPr>
      </w:pPr>
    </w:p>
    <w:p w14:paraId="3DB6B170" w14:textId="6BC8D5B0" w:rsidR="00DB5437" w:rsidRDefault="00996FC4" w:rsidP="008F260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Tilsvarende fremgår af tabel 2 ejerforhold i det kystnære rejefiskeri.  Det er intet selskab i det kystnære rejefiskeri</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som overstiger kvoteloftet på 15 pct. ud fra den direkte kvoteandel af den kystnære rejekvote. Hvis den indirekte kvoteandel er medtaget</w:t>
      </w:r>
      <w:r w:rsidR="00FE25E5">
        <w:rPr>
          <w:rFonts w:ascii="Times New Roman" w:hAnsi="Times New Roman" w:cs="Times New Roman"/>
          <w:color w:val="000000" w:themeColor="text1"/>
        </w:rPr>
        <w:t>,</w:t>
      </w:r>
      <w:r>
        <w:rPr>
          <w:rFonts w:ascii="Times New Roman" w:hAnsi="Times New Roman" w:cs="Times New Roman"/>
          <w:color w:val="000000" w:themeColor="text1"/>
        </w:rPr>
        <w:t xml:space="preserve"> overstiger heller ingen kvoteloftet. Men fordi </w:t>
      </w:r>
      <w:r w:rsidR="008E4242">
        <w:rPr>
          <w:rFonts w:ascii="Times New Roman" w:hAnsi="Times New Roman" w:cs="Times New Roman"/>
          <w:color w:val="000000" w:themeColor="text1"/>
        </w:rPr>
        <w:t>selskab K.3 og K.18 er et og samme selskab</w:t>
      </w:r>
      <w:r>
        <w:rPr>
          <w:rFonts w:ascii="Times New Roman" w:hAnsi="Times New Roman" w:cs="Times New Roman"/>
          <w:color w:val="000000" w:themeColor="text1"/>
        </w:rPr>
        <w:t xml:space="preserve"> opgøres deres samlede direkte og indirekte kvoteandel til 22,85 pct. som overstiger kvoteloftet med 7,85 pct.</w:t>
      </w:r>
    </w:p>
    <w:p w14:paraId="2C4A7E70" w14:textId="77777777" w:rsidR="00DB5437" w:rsidRDefault="00DB5437">
      <w:pPr>
        <w:spacing w:after="0" w:line="276" w:lineRule="auto"/>
        <w:jc w:val="both"/>
        <w:rPr>
          <w:rFonts w:ascii="Times New Roman" w:hAnsi="Times New Roman" w:cs="Times New Roman"/>
          <w:color w:val="000000" w:themeColor="text1"/>
        </w:rPr>
      </w:pPr>
    </w:p>
    <w:p w14:paraId="40E1520C" w14:textId="77777777" w:rsidR="00DB5437" w:rsidRDefault="00DB5437">
      <w:pPr>
        <w:spacing w:after="0" w:line="276" w:lineRule="auto"/>
        <w:jc w:val="both"/>
        <w:rPr>
          <w:rFonts w:ascii="Times New Roman" w:hAnsi="Times New Roman" w:cs="Times New Roman"/>
          <w:color w:val="000000" w:themeColor="text1"/>
        </w:rPr>
      </w:pPr>
    </w:p>
    <w:p w14:paraId="1F157B84" w14:textId="1DB0A085" w:rsidR="004C611D" w:rsidRPr="00AC4047" w:rsidRDefault="004C611D">
      <w:pPr>
        <w:spacing w:after="0" w:line="276" w:lineRule="auto"/>
        <w:jc w:val="both"/>
        <w:rPr>
          <w:rFonts w:ascii="Times New Roman" w:hAnsi="Times New Roman" w:cs="Times New Roman"/>
          <w:b/>
          <w:color w:val="000000" w:themeColor="text1"/>
        </w:rPr>
      </w:pPr>
      <w:r w:rsidRPr="00AC4047">
        <w:rPr>
          <w:rFonts w:ascii="Times New Roman" w:hAnsi="Times New Roman" w:cs="Times New Roman"/>
          <w:b/>
          <w:color w:val="000000" w:themeColor="text1"/>
        </w:rPr>
        <w:t xml:space="preserve">Tabel 2: Oversigt over selskaber i det </w:t>
      </w:r>
      <w:r w:rsidR="00C44E12">
        <w:rPr>
          <w:rFonts w:ascii="Times New Roman" w:hAnsi="Times New Roman" w:cs="Times New Roman"/>
          <w:b/>
          <w:color w:val="000000" w:themeColor="text1"/>
        </w:rPr>
        <w:t xml:space="preserve">kystnære </w:t>
      </w:r>
      <w:r w:rsidRPr="00AC4047">
        <w:rPr>
          <w:rFonts w:ascii="Times New Roman" w:hAnsi="Times New Roman" w:cs="Times New Roman"/>
          <w:b/>
          <w:color w:val="000000" w:themeColor="text1"/>
        </w:rPr>
        <w:t>rejefiskeri i 2019 samt deres kvoteandele.</w:t>
      </w:r>
    </w:p>
    <w:tbl>
      <w:tblPr>
        <w:tblW w:w="9740" w:type="dxa"/>
        <w:tblCellMar>
          <w:left w:w="70" w:type="dxa"/>
          <w:right w:w="70" w:type="dxa"/>
        </w:tblCellMar>
        <w:tblLook w:val="04A0" w:firstRow="1" w:lastRow="0" w:firstColumn="1" w:lastColumn="0" w:noHBand="0" w:noVBand="1"/>
      </w:tblPr>
      <w:tblGrid>
        <w:gridCol w:w="3140"/>
        <w:gridCol w:w="2300"/>
        <w:gridCol w:w="2460"/>
        <w:gridCol w:w="1840"/>
      </w:tblGrid>
      <w:tr w:rsidR="00DB5437" w:rsidRPr="00DB5437" w14:paraId="4C95BF18" w14:textId="77777777" w:rsidTr="00DB5437">
        <w:trPr>
          <w:trHeight w:val="260"/>
        </w:trPr>
        <w:tc>
          <w:tcPr>
            <w:tcW w:w="3140" w:type="dxa"/>
            <w:tcBorders>
              <w:top w:val="single" w:sz="4" w:space="0" w:color="auto"/>
              <w:left w:val="single" w:sz="4" w:space="0" w:color="auto"/>
              <w:bottom w:val="nil"/>
              <w:right w:val="single" w:sz="4" w:space="0" w:color="auto"/>
            </w:tcBorders>
            <w:shd w:val="clear" w:color="000000" w:fill="FFFFFF"/>
            <w:noWrap/>
            <w:vAlign w:val="bottom"/>
            <w:hideMark/>
          </w:tcPr>
          <w:p w14:paraId="163032AD" w14:textId="77777777" w:rsidR="00DB5437" w:rsidRPr="00DB5437" w:rsidRDefault="00DB5437" w:rsidP="00E24F47">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2300" w:type="dxa"/>
            <w:tcBorders>
              <w:top w:val="single" w:sz="4" w:space="0" w:color="auto"/>
              <w:left w:val="nil"/>
              <w:bottom w:val="nil"/>
              <w:right w:val="single" w:sz="4" w:space="0" w:color="auto"/>
            </w:tcBorders>
            <w:shd w:val="clear" w:color="000000" w:fill="FFFFFF"/>
            <w:noWrap/>
            <w:vAlign w:val="bottom"/>
            <w:hideMark/>
          </w:tcPr>
          <w:p w14:paraId="5214C168"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Direkte andel af den</w:t>
            </w:r>
          </w:p>
        </w:tc>
        <w:tc>
          <w:tcPr>
            <w:tcW w:w="2460" w:type="dxa"/>
            <w:tcBorders>
              <w:top w:val="single" w:sz="4" w:space="0" w:color="auto"/>
              <w:left w:val="nil"/>
              <w:bottom w:val="nil"/>
              <w:right w:val="single" w:sz="4" w:space="0" w:color="auto"/>
            </w:tcBorders>
            <w:shd w:val="clear" w:color="000000" w:fill="FFFFFF"/>
            <w:noWrap/>
            <w:vAlign w:val="bottom"/>
            <w:hideMark/>
          </w:tcPr>
          <w:p w14:paraId="014C9338"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Indirekte andel af den</w:t>
            </w:r>
          </w:p>
        </w:tc>
        <w:tc>
          <w:tcPr>
            <w:tcW w:w="1840" w:type="dxa"/>
            <w:tcBorders>
              <w:top w:val="single" w:sz="4" w:space="0" w:color="auto"/>
              <w:left w:val="nil"/>
              <w:bottom w:val="nil"/>
              <w:right w:val="single" w:sz="4" w:space="0" w:color="auto"/>
            </w:tcBorders>
            <w:shd w:val="clear" w:color="000000" w:fill="FFFFFF"/>
            <w:noWrap/>
            <w:vAlign w:val="bottom"/>
            <w:hideMark/>
          </w:tcPr>
          <w:p w14:paraId="71B8760D"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xml:space="preserve">Kvoteandel </w:t>
            </w:r>
          </w:p>
        </w:tc>
      </w:tr>
      <w:tr w:rsidR="00DB5437" w:rsidRPr="00DB5437" w14:paraId="2BE29EE1"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7D0D02A" w14:textId="77777777" w:rsidR="00DB5437" w:rsidRPr="00DB5437" w:rsidRDefault="00E812F2" w:rsidP="00E24F47">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Selskaber</w:t>
            </w:r>
          </w:p>
        </w:tc>
        <w:tc>
          <w:tcPr>
            <w:tcW w:w="2300" w:type="dxa"/>
            <w:tcBorders>
              <w:top w:val="nil"/>
              <w:left w:val="nil"/>
              <w:bottom w:val="single" w:sz="4" w:space="0" w:color="auto"/>
              <w:right w:val="single" w:sz="4" w:space="0" w:color="auto"/>
            </w:tcBorders>
            <w:shd w:val="clear" w:color="000000" w:fill="FFFFFF"/>
            <w:noWrap/>
            <w:vAlign w:val="bottom"/>
            <w:hideMark/>
          </w:tcPr>
          <w:p w14:paraId="10CEA9F0"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kystnære rejekvote</w:t>
            </w:r>
          </w:p>
        </w:tc>
        <w:tc>
          <w:tcPr>
            <w:tcW w:w="2460" w:type="dxa"/>
            <w:tcBorders>
              <w:top w:val="nil"/>
              <w:left w:val="nil"/>
              <w:bottom w:val="single" w:sz="4" w:space="0" w:color="auto"/>
              <w:right w:val="single" w:sz="4" w:space="0" w:color="auto"/>
            </w:tcBorders>
            <w:shd w:val="clear" w:color="000000" w:fill="FFFFFF"/>
            <w:noWrap/>
            <w:vAlign w:val="bottom"/>
            <w:hideMark/>
          </w:tcPr>
          <w:p w14:paraId="635A0506"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kystnære rejekvote</w:t>
            </w:r>
          </w:p>
        </w:tc>
        <w:tc>
          <w:tcPr>
            <w:tcW w:w="1840" w:type="dxa"/>
            <w:tcBorders>
              <w:top w:val="nil"/>
              <w:left w:val="nil"/>
              <w:bottom w:val="single" w:sz="4" w:space="0" w:color="auto"/>
              <w:right w:val="single" w:sz="4" w:space="0" w:color="auto"/>
            </w:tcBorders>
            <w:shd w:val="clear" w:color="000000" w:fill="FFFFFF"/>
            <w:noWrap/>
            <w:vAlign w:val="bottom"/>
            <w:hideMark/>
          </w:tcPr>
          <w:p w14:paraId="0F7F90CC"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i alt</w:t>
            </w:r>
          </w:p>
        </w:tc>
      </w:tr>
      <w:tr w:rsidR="00DB5437" w:rsidRPr="00DB5437" w14:paraId="37770145" w14:textId="77777777" w:rsidTr="00DB5437">
        <w:trPr>
          <w:trHeight w:val="260"/>
        </w:trPr>
        <w:tc>
          <w:tcPr>
            <w:tcW w:w="3140" w:type="dxa"/>
            <w:tcBorders>
              <w:top w:val="nil"/>
              <w:left w:val="single" w:sz="4" w:space="0" w:color="auto"/>
              <w:bottom w:val="nil"/>
              <w:right w:val="nil"/>
            </w:tcBorders>
            <w:shd w:val="clear" w:color="000000" w:fill="FFFFFF"/>
            <w:noWrap/>
            <w:vAlign w:val="bottom"/>
            <w:hideMark/>
          </w:tcPr>
          <w:p w14:paraId="2FF5DD21" w14:textId="1C0AD19B" w:rsidR="00DB5437" w:rsidRPr="00DB5437" w:rsidRDefault="008E4242" w:rsidP="00E24F47">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6310818"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10,50%</w:t>
            </w:r>
          </w:p>
        </w:tc>
        <w:tc>
          <w:tcPr>
            <w:tcW w:w="2460" w:type="dxa"/>
            <w:tcBorders>
              <w:top w:val="nil"/>
              <w:left w:val="nil"/>
              <w:bottom w:val="single" w:sz="4" w:space="0" w:color="auto"/>
              <w:right w:val="single" w:sz="4" w:space="0" w:color="auto"/>
            </w:tcBorders>
            <w:shd w:val="clear" w:color="auto" w:fill="auto"/>
            <w:noWrap/>
            <w:vAlign w:val="bottom"/>
            <w:hideMark/>
          </w:tcPr>
          <w:p w14:paraId="221030AD" w14:textId="77777777" w:rsidR="00DB5437" w:rsidRPr="00DB5437" w:rsidRDefault="00DB5437" w:rsidP="00E24F47">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622819EA" w14:textId="77777777" w:rsidR="00DB5437" w:rsidRPr="00DB5437" w:rsidRDefault="00DB5437" w:rsidP="00E24F47">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10,50%</w:t>
            </w:r>
          </w:p>
        </w:tc>
      </w:tr>
      <w:tr w:rsidR="00DB5437" w:rsidRPr="008E4242" w14:paraId="787F241E" w14:textId="77777777" w:rsidTr="00DB5437">
        <w:trPr>
          <w:trHeight w:val="260"/>
        </w:trPr>
        <w:tc>
          <w:tcPr>
            <w:tcW w:w="3140" w:type="dxa"/>
            <w:tcBorders>
              <w:top w:val="single" w:sz="4" w:space="0" w:color="auto"/>
              <w:left w:val="single" w:sz="4" w:space="0" w:color="auto"/>
              <w:bottom w:val="nil"/>
              <w:right w:val="nil"/>
            </w:tcBorders>
            <w:shd w:val="clear" w:color="000000" w:fill="FFFFFF"/>
            <w:noWrap/>
            <w:vAlign w:val="bottom"/>
            <w:hideMark/>
          </w:tcPr>
          <w:p w14:paraId="6B78970B" w14:textId="0EA402E6" w:rsidR="00DB5437" w:rsidRPr="00E24F47" w:rsidRDefault="008E4242" w:rsidP="00E24F47">
            <w:pPr>
              <w:spacing w:after="0" w:line="276" w:lineRule="auto"/>
              <w:rPr>
                <w:rFonts w:ascii="Times New Roman" w:eastAsia="Times New Roman" w:hAnsi="Times New Roman" w:cs="Times New Roman"/>
                <w:color w:val="000000"/>
                <w:sz w:val="20"/>
                <w:szCs w:val="20"/>
                <w:lang w:val="en-US" w:eastAsia="da-DK"/>
              </w:rPr>
            </w:pPr>
            <w:r w:rsidRPr="008E4242">
              <w:rPr>
                <w:rFonts w:ascii="Times New Roman" w:eastAsia="Times New Roman" w:hAnsi="Times New Roman" w:cs="Times New Roman"/>
                <w:color w:val="000000"/>
                <w:sz w:val="20"/>
                <w:szCs w:val="20"/>
                <w:lang w:val="en-US" w:eastAsia="da-DK"/>
              </w:rPr>
              <w:t>K.2</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C477F2E" w14:textId="77777777" w:rsidR="00DB5437" w:rsidRPr="00E24F47" w:rsidRDefault="00DB5437" w:rsidP="00E24F47">
            <w:pPr>
              <w:spacing w:after="0" w:line="276" w:lineRule="auto"/>
              <w:jc w:val="right"/>
              <w:rPr>
                <w:rFonts w:ascii="Times New Roman" w:eastAsia="Times New Roman" w:hAnsi="Times New Roman" w:cs="Times New Roman"/>
                <w:color w:val="000000"/>
                <w:sz w:val="20"/>
                <w:szCs w:val="20"/>
                <w:lang w:val="en-US" w:eastAsia="da-DK"/>
              </w:rPr>
            </w:pPr>
            <w:r w:rsidRPr="00E24F47">
              <w:rPr>
                <w:rFonts w:ascii="Times New Roman" w:eastAsia="Times New Roman" w:hAnsi="Times New Roman" w:cs="Times New Roman"/>
                <w:color w:val="000000"/>
                <w:sz w:val="20"/>
                <w:szCs w:val="20"/>
                <w:lang w:val="en-US" w:eastAsia="da-DK"/>
              </w:rPr>
              <w:t>9,90%</w:t>
            </w:r>
          </w:p>
        </w:tc>
        <w:tc>
          <w:tcPr>
            <w:tcW w:w="2460" w:type="dxa"/>
            <w:tcBorders>
              <w:top w:val="nil"/>
              <w:left w:val="nil"/>
              <w:bottom w:val="single" w:sz="4" w:space="0" w:color="auto"/>
              <w:right w:val="single" w:sz="4" w:space="0" w:color="auto"/>
            </w:tcBorders>
            <w:shd w:val="clear" w:color="auto" w:fill="auto"/>
            <w:noWrap/>
            <w:vAlign w:val="bottom"/>
            <w:hideMark/>
          </w:tcPr>
          <w:p w14:paraId="2DE6B6B1" w14:textId="77777777" w:rsidR="00DB5437" w:rsidRPr="00E24F47" w:rsidRDefault="00DB5437" w:rsidP="00E24F47">
            <w:pPr>
              <w:spacing w:after="0" w:line="276" w:lineRule="auto"/>
              <w:rPr>
                <w:rFonts w:ascii="Times New Roman" w:eastAsia="Times New Roman" w:hAnsi="Times New Roman" w:cs="Times New Roman"/>
                <w:color w:val="000000"/>
                <w:sz w:val="20"/>
                <w:szCs w:val="20"/>
                <w:lang w:val="en-US" w:eastAsia="da-DK"/>
              </w:rPr>
            </w:pPr>
            <w:r w:rsidRPr="00E24F47">
              <w:rPr>
                <w:rFonts w:ascii="Times New Roman" w:eastAsia="Times New Roman" w:hAnsi="Times New Roman" w:cs="Times New Roman"/>
                <w:color w:val="000000"/>
                <w:sz w:val="20"/>
                <w:szCs w:val="20"/>
                <w:lang w:val="en-US"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06FB79DF" w14:textId="77777777" w:rsidR="00DB5437" w:rsidRPr="00E24F47" w:rsidRDefault="00DB5437" w:rsidP="00E24F47">
            <w:pPr>
              <w:spacing w:after="0" w:line="276" w:lineRule="auto"/>
              <w:jc w:val="right"/>
              <w:rPr>
                <w:rFonts w:ascii="Times New Roman" w:eastAsia="Times New Roman" w:hAnsi="Times New Roman" w:cs="Times New Roman"/>
                <w:color w:val="000000"/>
                <w:sz w:val="20"/>
                <w:szCs w:val="20"/>
                <w:lang w:val="en-US" w:eastAsia="da-DK"/>
              </w:rPr>
            </w:pPr>
            <w:r w:rsidRPr="00E24F47">
              <w:rPr>
                <w:rFonts w:ascii="Times New Roman" w:eastAsia="Times New Roman" w:hAnsi="Times New Roman" w:cs="Times New Roman"/>
                <w:color w:val="000000"/>
                <w:sz w:val="20"/>
                <w:szCs w:val="20"/>
                <w:lang w:val="en-US" w:eastAsia="da-DK"/>
              </w:rPr>
              <w:t>9,90%</w:t>
            </w:r>
          </w:p>
        </w:tc>
      </w:tr>
      <w:tr w:rsidR="00DB5437" w:rsidRPr="008E4242" w14:paraId="01F4D0F6" w14:textId="77777777" w:rsidTr="00DB5437">
        <w:trPr>
          <w:trHeight w:val="260"/>
        </w:trPr>
        <w:tc>
          <w:tcPr>
            <w:tcW w:w="3140" w:type="dxa"/>
            <w:tcBorders>
              <w:top w:val="single" w:sz="4" w:space="0" w:color="auto"/>
              <w:left w:val="single" w:sz="4" w:space="0" w:color="auto"/>
              <w:bottom w:val="nil"/>
              <w:right w:val="single" w:sz="4" w:space="0" w:color="auto"/>
            </w:tcBorders>
            <w:shd w:val="clear" w:color="000000" w:fill="FFFFFF"/>
            <w:noWrap/>
            <w:vAlign w:val="bottom"/>
            <w:hideMark/>
          </w:tcPr>
          <w:p w14:paraId="4099975F" w14:textId="3CD7DB31" w:rsidR="00DB5437" w:rsidRPr="00DB5437" w:rsidRDefault="008E4242" w:rsidP="00E24F47">
            <w:pPr>
              <w:spacing w:after="0" w:line="276" w:lineRule="auto"/>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K.3</w:t>
            </w:r>
          </w:p>
        </w:tc>
        <w:tc>
          <w:tcPr>
            <w:tcW w:w="2300" w:type="dxa"/>
            <w:tcBorders>
              <w:top w:val="nil"/>
              <w:left w:val="nil"/>
              <w:bottom w:val="single" w:sz="4" w:space="0" w:color="auto"/>
              <w:right w:val="single" w:sz="4" w:space="0" w:color="auto"/>
            </w:tcBorders>
            <w:shd w:val="clear" w:color="000000" w:fill="FFFFFF"/>
            <w:noWrap/>
            <w:vAlign w:val="bottom"/>
            <w:hideMark/>
          </w:tcPr>
          <w:p w14:paraId="5F50F6BE" w14:textId="77777777" w:rsidR="00DB5437" w:rsidRPr="00E24F47" w:rsidRDefault="00DB5437" w:rsidP="00E24F47">
            <w:pPr>
              <w:spacing w:after="0" w:line="276" w:lineRule="auto"/>
              <w:jc w:val="right"/>
              <w:rPr>
                <w:rFonts w:ascii="Times New Roman" w:eastAsia="Times New Roman" w:hAnsi="Times New Roman" w:cs="Times New Roman"/>
                <w:color w:val="000000"/>
                <w:sz w:val="20"/>
                <w:szCs w:val="20"/>
                <w:lang w:val="en-US" w:eastAsia="da-DK"/>
              </w:rPr>
            </w:pPr>
            <w:r w:rsidRPr="00E24F47">
              <w:rPr>
                <w:rFonts w:ascii="Times New Roman" w:eastAsia="Times New Roman" w:hAnsi="Times New Roman" w:cs="Times New Roman"/>
                <w:color w:val="000000"/>
                <w:sz w:val="20"/>
                <w:szCs w:val="20"/>
                <w:lang w:val="en-US" w:eastAsia="da-DK"/>
              </w:rPr>
              <w:t>5,75%</w:t>
            </w:r>
          </w:p>
        </w:tc>
        <w:tc>
          <w:tcPr>
            <w:tcW w:w="2460" w:type="dxa"/>
            <w:tcBorders>
              <w:top w:val="nil"/>
              <w:left w:val="nil"/>
              <w:bottom w:val="single" w:sz="4" w:space="0" w:color="auto"/>
              <w:right w:val="single" w:sz="4" w:space="0" w:color="auto"/>
            </w:tcBorders>
            <w:shd w:val="clear" w:color="auto" w:fill="auto"/>
            <w:noWrap/>
            <w:vAlign w:val="bottom"/>
            <w:hideMark/>
          </w:tcPr>
          <w:p w14:paraId="4016D20E" w14:textId="77777777" w:rsidR="00DB5437" w:rsidRPr="00E24F47" w:rsidRDefault="00DB5437" w:rsidP="00E24F47">
            <w:pPr>
              <w:spacing w:after="0" w:line="276" w:lineRule="auto"/>
              <w:jc w:val="right"/>
              <w:rPr>
                <w:rFonts w:ascii="Times New Roman" w:eastAsia="Times New Roman" w:hAnsi="Times New Roman" w:cs="Times New Roman"/>
                <w:color w:val="000000"/>
                <w:sz w:val="20"/>
                <w:szCs w:val="20"/>
                <w:lang w:val="en-US" w:eastAsia="da-DK"/>
              </w:rPr>
            </w:pPr>
            <w:r w:rsidRPr="00E24F47">
              <w:rPr>
                <w:rFonts w:ascii="Times New Roman" w:eastAsia="Times New Roman" w:hAnsi="Times New Roman" w:cs="Times New Roman"/>
                <w:color w:val="000000"/>
                <w:sz w:val="20"/>
                <w:szCs w:val="20"/>
                <w:lang w:val="en-US" w:eastAsia="da-DK"/>
              </w:rPr>
              <w:t>6,46%</w:t>
            </w:r>
          </w:p>
        </w:tc>
        <w:tc>
          <w:tcPr>
            <w:tcW w:w="1840" w:type="dxa"/>
            <w:tcBorders>
              <w:top w:val="nil"/>
              <w:left w:val="nil"/>
              <w:bottom w:val="single" w:sz="4" w:space="0" w:color="auto"/>
              <w:right w:val="single" w:sz="4" w:space="0" w:color="auto"/>
            </w:tcBorders>
            <w:shd w:val="clear" w:color="000000" w:fill="FFFFFF"/>
            <w:noWrap/>
            <w:vAlign w:val="bottom"/>
            <w:hideMark/>
          </w:tcPr>
          <w:p w14:paraId="468546AA" w14:textId="77777777" w:rsidR="00DB5437" w:rsidRPr="00E24F47" w:rsidRDefault="00DB5437" w:rsidP="00E24F47">
            <w:pPr>
              <w:spacing w:after="0" w:line="276" w:lineRule="auto"/>
              <w:jc w:val="right"/>
              <w:rPr>
                <w:rFonts w:ascii="Times New Roman" w:eastAsia="Times New Roman" w:hAnsi="Times New Roman" w:cs="Times New Roman"/>
                <w:color w:val="000000"/>
                <w:sz w:val="20"/>
                <w:szCs w:val="20"/>
                <w:lang w:val="en-US" w:eastAsia="da-DK"/>
              </w:rPr>
            </w:pPr>
            <w:r w:rsidRPr="00E24F47">
              <w:rPr>
                <w:rFonts w:ascii="Times New Roman" w:eastAsia="Times New Roman" w:hAnsi="Times New Roman" w:cs="Times New Roman"/>
                <w:color w:val="000000"/>
                <w:sz w:val="20"/>
                <w:szCs w:val="20"/>
                <w:lang w:val="en-US" w:eastAsia="da-DK"/>
              </w:rPr>
              <w:t>12,21%</w:t>
            </w:r>
          </w:p>
        </w:tc>
      </w:tr>
      <w:tr w:rsidR="00DB5437" w:rsidRPr="008E4242" w14:paraId="12721BFB" w14:textId="77777777" w:rsidTr="00DB5437">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121BE" w14:textId="4000B759" w:rsidR="00DB5437" w:rsidRPr="00822D81" w:rsidRDefault="008E4242" w:rsidP="00822D81">
            <w:pPr>
              <w:spacing w:after="0" w:line="276" w:lineRule="auto"/>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K.4</w:t>
            </w:r>
          </w:p>
        </w:tc>
        <w:tc>
          <w:tcPr>
            <w:tcW w:w="2300" w:type="dxa"/>
            <w:tcBorders>
              <w:top w:val="nil"/>
              <w:left w:val="nil"/>
              <w:bottom w:val="single" w:sz="4" w:space="0" w:color="auto"/>
              <w:right w:val="single" w:sz="4" w:space="0" w:color="auto"/>
            </w:tcBorders>
            <w:shd w:val="clear" w:color="000000" w:fill="FFFFFF"/>
            <w:noWrap/>
            <w:vAlign w:val="bottom"/>
            <w:hideMark/>
          </w:tcPr>
          <w:p w14:paraId="4E784E97" w14:textId="77777777" w:rsidR="00DB5437" w:rsidRPr="00822D81" w:rsidRDefault="00DB5437" w:rsidP="00822D81">
            <w:pPr>
              <w:spacing w:after="0" w:line="276" w:lineRule="auto"/>
              <w:jc w:val="right"/>
              <w:rPr>
                <w:rFonts w:ascii="Times New Roman" w:eastAsia="Times New Roman" w:hAnsi="Times New Roman" w:cs="Times New Roman"/>
                <w:color w:val="000000"/>
                <w:sz w:val="20"/>
                <w:szCs w:val="20"/>
                <w:lang w:val="en-US" w:eastAsia="da-DK"/>
              </w:rPr>
            </w:pPr>
            <w:r w:rsidRPr="00822D81">
              <w:rPr>
                <w:rFonts w:ascii="Times New Roman" w:eastAsia="Times New Roman" w:hAnsi="Times New Roman" w:cs="Times New Roman"/>
                <w:color w:val="000000"/>
                <w:sz w:val="20"/>
                <w:szCs w:val="20"/>
                <w:lang w:val="en-US" w:eastAsia="da-DK"/>
              </w:rPr>
              <w:t>4,67%</w:t>
            </w:r>
          </w:p>
        </w:tc>
        <w:tc>
          <w:tcPr>
            <w:tcW w:w="2460" w:type="dxa"/>
            <w:tcBorders>
              <w:top w:val="nil"/>
              <w:left w:val="nil"/>
              <w:bottom w:val="single" w:sz="4" w:space="0" w:color="auto"/>
              <w:right w:val="single" w:sz="4" w:space="0" w:color="auto"/>
            </w:tcBorders>
            <w:shd w:val="clear" w:color="auto" w:fill="auto"/>
            <w:noWrap/>
            <w:vAlign w:val="bottom"/>
            <w:hideMark/>
          </w:tcPr>
          <w:p w14:paraId="786BDC28" w14:textId="77777777" w:rsidR="00DB5437" w:rsidRPr="00822D81" w:rsidRDefault="00DB5437" w:rsidP="00822D81">
            <w:pPr>
              <w:spacing w:after="0" w:line="276" w:lineRule="auto"/>
              <w:jc w:val="right"/>
              <w:rPr>
                <w:rFonts w:ascii="Times New Roman" w:eastAsia="Times New Roman" w:hAnsi="Times New Roman" w:cs="Times New Roman"/>
                <w:color w:val="000000"/>
                <w:sz w:val="20"/>
                <w:szCs w:val="20"/>
                <w:lang w:val="en-US" w:eastAsia="da-DK"/>
              </w:rPr>
            </w:pPr>
            <w:r w:rsidRPr="00822D81">
              <w:rPr>
                <w:rFonts w:ascii="Times New Roman" w:eastAsia="Times New Roman" w:hAnsi="Times New Roman" w:cs="Times New Roman"/>
                <w:color w:val="000000"/>
                <w:sz w:val="20"/>
                <w:szCs w:val="20"/>
                <w:lang w:val="en-US" w:eastAsia="da-DK"/>
              </w:rPr>
              <w:t>2,95%</w:t>
            </w:r>
          </w:p>
        </w:tc>
        <w:tc>
          <w:tcPr>
            <w:tcW w:w="1840" w:type="dxa"/>
            <w:tcBorders>
              <w:top w:val="nil"/>
              <w:left w:val="nil"/>
              <w:bottom w:val="single" w:sz="4" w:space="0" w:color="auto"/>
              <w:right w:val="single" w:sz="4" w:space="0" w:color="auto"/>
            </w:tcBorders>
            <w:shd w:val="clear" w:color="000000" w:fill="FFFFFF"/>
            <w:noWrap/>
            <w:vAlign w:val="bottom"/>
            <w:hideMark/>
          </w:tcPr>
          <w:p w14:paraId="5CE9DA8C" w14:textId="77777777" w:rsidR="00DB5437" w:rsidRPr="00822D81" w:rsidRDefault="00DB5437" w:rsidP="00822D81">
            <w:pPr>
              <w:spacing w:after="0" w:line="276" w:lineRule="auto"/>
              <w:jc w:val="right"/>
              <w:rPr>
                <w:rFonts w:ascii="Times New Roman" w:eastAsia="Times New Roman" w:hAnsi="Times New Roman" w:cs="Times New Roman"/>
                <w:color w:val="000000"/>
                <w:sz w:val="20"/>
                <w:szCs w:val="20"/>
                <w:lang w:val="en-US" w:eastAsia="da-DK"/>
              </w:rPr>
            </w:pPr>
            <w:r w:rsidRPr="00822D81">
              <w:rPr>
                <w:rFonts w:ascii="Times New Roman" w:eastAsia="Times New Roman" w:hAnsi="Times New Roman" w:cs="Times New Roman"/>
                <w:color w:val="000000"/>
                <w:sz w:val="20"/>
                <w:szCs w:val="20"/>
                <w:lang w:val="en-US" w:eastAsia="da-DK"/>
              </w:rPr>
              <w:t>7,62%</w:t>
            </w:r>
          </w:p>
        </w:tc>
      </w:tr>
      <w:tr w:rsidR="00DB5437" w:rsidRPr="00DB5437" w14:paraId="7FF3D625"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3EA82DF9" w14:textId="7686B549" w:rsidR="00DB5437" w:rsidRPr="00822D81" w:rsidRDefault="008E4242" w:rsidP="00822D81">
            <w:pPr>
              <w:spacing w:after="0" w:line="276" w:lineRule="auto"/>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K.5</w:t>
            </w:r>
          </w:p>
        </w:tc>
        <w:tc>
          <w:tcPr>
            <w:tcW w:w="2300" w:type="dxa"/>
            <w:tcBorders>
              <w:top w:val="nil"/>
              <w:left w:val="nil"/>
              <w:bottom w:val="single" w:sz="4" w:space="0" w:color="auto"/>
              <w:right w:val="single" w:sz="4" w:space="0" w:color="auto"/>
            </w:tcBorders>
            <w:shd w:val="clear" w:color="000000" w:fill="FFFFFF"/>
            <w:noWrap/>
            <w:vAlign w:val="bottom"/>
            <w:hideMark/>
          </w:tcPr>
          <w:p w14:paraId="54F86F5D" w14:textId="77777777" w:rsidR="00DB5437" w:rsidRPr="00822D81" w:rsidRDefault="00DB5437" w:rsidP="00822D81">
            <w:pPr>
              <w:spacing w:after="0" w:line="276" w:lineRule="auto"/>
              <w:jc w:val="right"/>
              <w:rPr>
                <w:rFonts w:ascii="Times New Roman" w:eastAsia="Times New Roman" w:hAnsi="Times New Roman" w:cs="Times New Roman"/>
                <w:color w:val="000000"/>
                <w:sz w:val="20"/>
                <w:szCs w:val="20"/>
                <w:lang w:val="en-US" w:eastAsia="da-DK"/>
              </w:rPr>
            </w:pPr>
            <w:r w:rsidRPr="00822D81">
              <w:rPr>
                <w:rFonts w:ascii="Times New Roman" w:eastAsia="Times New Roman" w:hAnsi="Times New Roman" w:cs="Times New Roman"/>
                <w:color w:val="000000"/>
                <w:sz w:val="20"/>
                <w:szCs w:val="20"/>
                <w:lang w:val="en-US" w:eastAsia="da-DK"/>
              </w:rPr>
              <w:t>14,47%</w:t>
            </w:r>
          </w:p>
        </w:tc>
        <w:tc>
          <w:tcPr>
            <w:tcW w:w="2460" w:type="dxa"/>
            <w:tcBorders>
              <w:top w:val="nil"/>
              <w:left w:val="nil"/>
              <w:bottom w:val="single" w:sz="4" w:space="0" w:color="auto"/>
              <w:right w:val="single" w:sz="4" w:space="0" w:color="auto"/>
            </w:tcBorders>
            <w:shd w:val="clear" w:color="auto" w:fill="auto"/>
            <w:noWrap/>
            <w:vAlign w:val="bottom"/>
            <w:hideMark/>
          </w:tcPr>
          <w:p w14:paraId="59D52EAE" w14:textId="77777777" w:rsidR="00DB5437" w:rsidRPr="00822D81" w:rsidRDefault="00DB5437" w:rsidP="00822D81">
            <w:pPr>
              <w:spacing w:after="0" w:line="276" w:lineRule="auto"/>
              <w:rPr>
                <w:rFonts w:ascii="Times New Roman" w:eastAsia="Times New Roman" w:hAnsi="Times New Roman" w:cs="Times New Roman"/>
                <w:color w:val="000000"/>
                <w:sz w:val="20"/>
                <w:szCs w:val="20"/>
                <w:lang w:val="en-US" w:eastAsia="da-DK"/>
              </w:rPr>
            </w:pPr>
            <w:r w:rsidRPr="00822D81">
              <w:rPr>
                <w:rFonts w:ascii="Times New Roman" w:eastAsia="Times New Roman" w:hAnsi="Times New Roman" w:cs="Times New Roman"/>
                <w:color w:val="000000"/>
                <w:sz w:val="20"/>
                <w:szCs w:val="20"/>
                <w:lang w:val="en-US"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626CB8A1"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822D81">
              <w:rPr>
                <w:rFonts w:ascii="Times New Roman" w:eastAsia="Times New Roman" w:hAnsi="Times New Roman" w:cs="Times New Roman"/>
                <w:color w:val="000000"/>
                <w:sz w:val="20"/>
                <w:szCs w:val="20"/>
                <w:lang w:val="en-US" w:eastAsia="da-DK"/>
              </w:rPr>
              <w:t>14</w:t>
            </w:r>
            <w:r w:rsidRPr="00DB5437">
              <w:rPr>
                <w:rFonts w:ascii="Times New Roman" w:eastAsia="Times New Roman" w:hAnsi="Times New Roman" w:cs="Times New Roman"/>
                <w:color w:val="000000"/>
                <w:sz w:val="20"/>
                <w:szCs w:val="20"/>
                <w:lang w:eastAsia="da-DK"/>
              </w:rPr>
              <w:t>,47%</w:t>
            </w:r>
          </w:p>
        </w:tc>
      </w:tr>
      <w:tr w:rsidR="00DB5437" w:rsidRPr="00DB5437" w14:paraId="194F0134"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486B4B97" w14:textId="28E59733"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K.6</w:t>
            </w:r>
          </w:p>
        </w:tc>
        <w:tc>
          <w:tcPr>
            <w:tcW w:w="2300" w:type="dxa"/>
            <w:tcBorders>
              <w:top w:val="nil"/>
              <w:left w:val="nil"/>
              <w:bottom w:val="single" w:sz="4" w:space="0" w:color="auto"/>
              <w:right w:val="single" w:sz="4" w:space="0" w:color="auto"/>
            </w:tcBorders>
            <w:shd w:val="clear" w:color="000000" w:fill="FFFFFF"/>
            <w:noWrap/>
            <w:vAlign w:val="bottom"/>
            <w:hideMark/>
          </w:tcPr>
          <w:p w14:paraId="573FCD53"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9,98%</w:t>
            </w:r>
          </w:p>
        </w:tc>
        <w:tc>
          <w:tcPr>
            <w:tcW w:w="2460" w:type="dxa"/>
            <w:tcBorders>
              <w:top w:val="nil"/>
              <w:left w:val="nil"/>
              <w:bottom w:val="single" w:sz="4" w:space="0" w:color="auto"/>
              <w:right w:val="single" w:sz="4" w:space="0" w:color="auto"/>
            </w:tcBorders>
            <w:shd w:val="clear" w:color="auto" w:fill="auto"/>
            <w:noWrap/>
            <w:vAlign w:val="bottom"/>
            <w:hideMark/>
          </w:tcPr>
          <w:p w14:paraId="45B4D174"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44D422FC"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9,98%</w:t>
            </w:r>
          </w:p>
        </w:tc>
      </w:tr>
      <w:tr w:rsidR="00DB5437" w:rsidRPr="00DB5437" w14:paraId="1DC4CC46"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06EDF1B3" w14:textId="0AE645BD"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K.7</w:t>
            </w:r>
          </w:p>
        </w:tc>
        <w:tc>
          <w:tcPr>
            <w:tcW w:w="2300" w:type="dxa"/>
            <w:tcBorders>
              <w:top w:val="nil"/>
              <w:left w:val="nil"/>
              <w:bottom w:val="single" w:sz="4" w:space="0" w:color="auto"/>
              <w:right w:val="single" w:sz="4" w:space="0" w:color="auto"/>
            </w:tcBorders>
            <w:shd w:val="clear" w:color="000000" w:fill="FFFFFF"/>
            <w:noWrap/>
            <w:vAlign w:val="bottom"/>
            <w:hideMark/>
          </w:tcPr>
          <w:p w14:paraId="715E1047"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2,33%</w:t>
            </w:r>
          </w:p>
        </w:tc>
        <w:tc>
          <w:tcPr>
            <w:tcW w:w="2460" w:type="dxa"/>
            <w:tcBorders>
              <w:top w:val="nil"/>
              <w:left w:val="nil"/>
              <w:bottom w:val="single" w:sz="4" w:space="0" w:color="auto"/>
              <w:right w:val="single" w:sz="4" w:space="0" w:color="auto"/>
            </w:tcBorders>
            <w:shd w:val="clear" w:color="auto" w:fill="auto"/>
            <w:noWrap/>
            <w:vAlign w:val="bottom"/>
            <w:hideMark/>
          </w:tcPr>
          <w:p w14:paraId="40A37319"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598350EF"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2,33%</w:t>
            </w:r>
          </w:p>
        </w:tc>
      </w:tr>
      <w:tr w:rsidR="00DB5437" w:rsidRPr="00DB5437" w14:paraId="64FD078D" w14:textId="77777777" w:rsidTr="00DB5437">
        <w:trPr>
          <w:trHeight w:val="260"/>
        </w:trPr>
        <w:tc>
          <w:tcPr>
            <w:tcW w:w="3140" w:type="dxa"/>
            <w:tcBorders>
              <w:top w:val="nil"/>
              <w:left w:val="single" w:sz="4" w:space="0" w:color="auto"/>
              <w:bottom w:val="nil"/>
              <w:right w:val="single" w:sz="4" w:space="0" w:color="auto"/>
            </w:tcBorders>
            <w:shd w:val="clear" w:color="000000" w:fill="FFFFFF"/>
            <w:noWrap/>
            <w:vAlign w:val="bottom"/>
            <w:hideMark/>
          </w:tcPr>
          <w:p w14:paraId="21DD5F0A" w14:textId="3F0E1EB4"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K.8</w:t>
            </w:r>
          </w:p>
        </w:tc>
        <w:tc>
          <w:tcPr>
            <w:tcW w:w="2300" w:type="dxa"/>
            <w:tcBorders>
              <w:top w:val="nil"/>
              <w:left w:val="nil"/>
              <w:bottom w:val="single" w:sz="4" w:space="0" w:color="auto"/>
              <w:right w:val="single" w:sz="4" w:space="0" w:color="auto"/>
            </w:tcBorders>
            <w:shd w:val="clear" w:color="000000" w:fill="FFFFFF"/>
            <w:noWrap/>
            <w:vAlign w:val="bottom"/>
            <w:hideMark/>
          </w:tcPr>
          <w:p w14:paraId="4493D2A8"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3,04%</w:t>
            </w:r>
          </w:p>
        </w:tc>
        <w:tc>
          <w:tcPr>
            <w:tcW w:w="2460" w:type="dxa"/>
            <w:tcBorders>
              <w:top w:val="nil"/>
              <w:left w:val="nil"/>
              <w:bottom w:val="single" w:sz="4" w:space="0" w:color="auto"/>
              <w:right w:val="single" w:sz="4" w:space="0" w:color="auto"/>
            </w:tcBorders>
            <w:shd w:val="clear" w:color="auto" w:fill="auto"/>
            <w:noWrap/>
            <w:vAlign w:val="bottom"/>
            <w:hideMark/>
          </w:tcPr>
          <w:p w14:paraId="76055091"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44F0CD33"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3,04%</w:t>
            </w:r>
          </w:p>
        </w:tc>
      </w:tr>
      <w:tr w:rsidR="00DB5437" w:rsidRPr="00DB5437" w14:paraId="376272D3" w14:textId="77777777" w:rsidTr="00DB5437">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786E2" w14:textId="1BBCBE54"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K.9</w:t>
            </w:r>
          </w:p>
        </w:tc>
        <w:tc>
          <w:tcPr>
            <w:tcW w:w="2300" w:type="dxa"/>
            <w:tcBorders>
              <w:top w:val="nil"/>
              <w:left w:val="nil"/>
              <w:bottom w:val="single" w:sz="4" w:space="0" w:color="auto"/>
              <w:right w:val="single" w:sz="4" w:space="0" w:color="auto"/>
            </w:tcBorders>
            <w:shd w:val="clear" w:color="000000" w:fill="FFFFFF"/>
            <w:noWrap/>
            <w:vAlign w:val="bottom"/>
            <w:hideMark/>
          </w:tcPr>
          <w:p w14:paraId="539E8410"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3,04%</w:t>
            </w:r>
          </w:p>
        </w:tc>
        <w:tc>
          <w:tcPr>
            <w:tcW w:w="2460" w:type="dxa"/>
            <w:tcBorders>
              <w:top w:val="nil"/>
              <w:left w:val="nil"/>
              <w:bottom w:val="single" w:sz="4" w:space="0" w:color="auto"/>
              <w:right w:val="single" w:sz="4" w:space="0" w:color="auto"/>
            </w:tcBorders>
            <w:shd w:val="clear" w:color="auto" w:fill="auto"/>
            <w:noWrap/>
            <w:vAlign w:val="bottom"/>
            <w:hideMark/>
          </w:tcPr>
          <w:p w14:paraId="033D2C3D"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5CD6CC24"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3,04%</w:t>
            </w:r>
          </w:p>
        </w:tc>
      </w:tr>
      <w:tr w:rsidR="00DB5437" w:rsidRPr="00DB5437" w14:paraId="7F3859FF"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6DBC8CA" w14:textId="32DE5550"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K.10</w:t>
            </w:r>
          </w:p>
        </w:tc>
        <w:tc>
          <w:tcPr>
            <w:tcW w:w="2300" w:type="dxa"/>
            <w:tcBorders>
              <w:top w:val="nil"/>
              <w:left w:val="nil"/>
              <w:bottom w:val="single" w:sz="4" w:space="0" w:color="auto"/>
              <w:right w:val="single" w:sz="4" w:space="0" w:color="auto"/>
            </w:tcBorders>
            <w:shd w:val="clear" w:color="000000" w:fill="FFFFFF"/>
            <w:noWrap/>
            <w:vAlign w:val="bottom"/>
            <w:hideMark/>
          </w:tcPr>
          <w:p w14:paraId="48B2D9CE"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1,81%</w:t>
            </w:r>
          </w:p>
        </w:tc>
        <w:tc>
          <w:tcPr>
            <w:tcW w:w="2460" w:type="dxa"/>
            <w:tcBorders>
              <w:top w:val="nil"/>
              <w:left w:val="nil"/>
              <w:bottom w:val="single" w:sz="4" w:space="0" w:color="auto"/>
              <w:right w:val="single" w:sz="4" w:space="0" w:color="auto"/>
            </w:tcBorders>
            <w:shd w:val="clear" w:color="auto" w:fill="auto"/>
            <w:noWrap/>
            <w:vAlign w:val="bottom"/>
            <w:hideMark/>
          </w:tcPr>
          <w:p w14:paraId="105A874F"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7C05A282"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1,81%</w:t>
            </w:r>
          </w:p>
        </w:tc>
      </w:tr>
      <w:tr w:rsidR="00DB5437" w:rsidRPr="00DB5437" w14:paraId="45B3D514"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FE186BF" w14:textId="167BABC4"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K.11</w:t>
            </w:r>
          </w:p>
        </w:tc>
        <w:tc>
          <w:tcPr>
            <w:tcW w:w="2300" w:type="dxa"/>
            <w:tcBorders>
              <w:top w:val="nil"/>
              <w:left w:val="nil"/>
              <w:bottom w:val="single" w:sz="4" w:space="0" w:color="auto"/>
              <w:right w:val="single" w:sz="4" w:space="0" w:color="auto"/>
            </w:tcBorders>
            <w:shd w:val="clear" w:color="000000" w:fill="FFFFFF"/>
            <w:noWrap/>
            <w:vAlign w:val="bottom"/>
            <w:hideMark/>
          </w:tcPr>
          <w:p w14:paraId="79FB11A5"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2,95%</w:t>
            </w:r>
          </w:p>
        </w:tc>
        <w:tc>
          <w:tcPr>
            <w:tcW w:w="2460" w:type="dxa"/>
            <w:tcBorders>
              <w:top w:val="nil"/>
              <w:left w:val="nil"/>
              <w:bottom w:val="single" w:sz="4" w:space="0" w:color="auto"/>
              <w:right w:val="single" w:sz="4" w:space="0" w:color="auto"/>
            </w:tcBorders>
            <w:shd w:val="clear" w:color="auto" w:fill="auto"/>
            <w:noWrap/>
            <w:vAlign w:val="bottom"/>
            <w:hideMark/>
          </w:tcPr>
          <w:p w14:paraId="2FE0D2FD"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5F0B0B0D"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2,95%</w:t>
            </w:r>
          </w:p>
        </w:tc>
      </w:tr>
      <w:tr w:rsidR="00DB5437" w:rsidRPr="00DB5437" w14:paraId="44E85A6F"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F023490" w14:textId="21793F8B"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K.12</w:t>
            </w:r>
          </w:p>
        </w:tc>
        <w:tc>
          <w:tcPr>
            <w:tcW w:w="2300" w:type="dxa"/>
            <w:tcBorders>
              <w:top w:val="nil"/>
              <w:left w:val="nil"/>
              <w:bottom w:val="single" w:sz="4" w:space="0" w:color="auto"/>
              <w:right w:val="single" w:sz="4" w:space="0" w:color="auto"/>
            </w:tcBorders>
            <w:shd w:val="clear" w:color="000000" w:fill="FFFFFF"/>
            <w:noWrap/>
            <w:vAlign w:val="bottom"/>
            <w:hideMark/>
          </w:tcPr>
          <w:p w14:paraId="32A7390D"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2,58%</w:t>
            </w:r>
          </w:p>
        </w:tc>
        <w:tc>
          <w:tcPr>
            <w:tcW w:w="2460" w:type="dxa"/>
            <w:tcBorders>
              <w:top w:val="nil"/>
              <w:left w:val="nil"/>
              <w:bottom w:val="single" w:sz="4" w:space="0" w:color="auto"/>
              <w:right w:val="single" w:sz="4" w:space="0" w:color="auto"/>
            </w:tcBorders>
            <w:shd w:val="clear" w:color="auto" w:fill="auto"/>
            <w:noWrap/>
            <w:vAlign w:val="bottom"/>
            <w:hideMark/>
          </w:tcPr>
          <w:p w14:paraId="54447F2A"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62CF471F"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2,58%</w:t>
            </w:r>
          </w:p>
        </w:tc>
      </w:tr>
      <w:tr w:rsidR="00DB5437" w:rsidRPr="00DB5437" w14:paraId="5D94A0AD"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0E23CED" w14:textId="438779F5"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K.13</w:t>
            </w:r>
          </w:p>
        </w:tc>
        <w:tc>
          <w:tcPr>
            <w:tcW w:w="2300" w:type="dxa"/>
            <w:tcBorders>
              <w:top w:val="nil"/>
              <w:left w:val="nil"/>
              <w:bottom w:val="single" w:sz="4" w:space="0" w:color="auto"/>
              <w:right w:val="single" w:sz="4" w:space="0" w:color="auto"/>
            </w:tcBorders>
            <w:shd w:val="clear" w:color="000000" w:fill="FFFFFF"/>
            <w:noWrap/>
            <w:vAlign w:val="bottom"/>
            <w:hideMark/>
          </w:tcPr>
          <w:p w14:paraId="22481974"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9,15%</w:t>
            </w:r>
          </w:p>
        </w:tc>
        <w:tc>
          <w:tcPr>
            <w:tcW w:w="2460" w:type="dxa"/>
            <w:tcBorders>
              <w:top w:val="nil"/>
              <w:left w:val="nil"/>
              <w:bottom w:val="single" w:sz="4" w:space="0" w:color="auto"/>
              <w:right w:val="single" w:sz="4" w:space="0" w:color="auto"/>
            </w:tcBorders>
            <w:shd w:val="clear" w:color="auto" w:fill="auto"/>
            <w:noWrap/>
            <w:vAlign w:val="bottom"/>
            <w:hideMark/>
          </w:tcPr>
          <w:p w14:paraId="43054A50"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3D00AA5E"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9,15%</w:t>
            </w:r>
          </w:p>
        </w:tc>
      </w:tr>
      <w:tr w:rsidR="00DB5437" w:rsidRPr="00DB5437" w14:paraId="156A28D8"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9E50675" w14:textId="3F5E8A44"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K.14</w:t>
            </w:r>
          </w:p>
        </w:tc>
        <w:tc>
          <w:tcPr>
            <w:tcW w:w="2300" w:type="dxa"/>
            <w:tcBorders>
              <w:top w:val="nil"/>
              <w:left w:val="nil"/>
              <w:bottom w:val="single" w:sz="4" w:space="0" w:color="auto"/>
              <w:right w:val="single" w:sz="4" w:space="0" w:color="auto"/>
            </w:tcBorders>
            <w:shd w:val="clear" w:color="000000" w:fill="FFFFFF"/>
            <w:noWrap/>
            <w:vAlign w:val="bottom"/>
            <w:hideMark/>
          </w:tcPr>
          <w:p w14:paraId="523588C6"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3,59%</w:t>
            </w:r>
          </w:p>
        </w:tc>
        <w:tc>
          <w:tcPr>
            <w:tcW w:w="2460" w:type="dxa"/>
            <w:tcBorders>
              <w:top w:val="nil"/>
              <w:left w:val="nil"/>
              <w:bottom w:val="single" w:sz="4" w:space="0" w:color="auto"/>
              <w:right w:val="single" w:sz="4" w:space="0" w:color="auto"/>
            </w:tcBorders>
            <w:shd w:val="clear" w:color="auto" w:fill="auto"/>
            <w:noWrap/>
            <w:vAlign w:val="bottom"/>
            <w:hideMark/>
          </w:tcPr>
          <w:p w14:paraId="6ACCFEB3"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55541302"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3,59%</w:t>
            </w:r>
          </w:p>
        </w:tc>
      </w:tr>
      <w:tr w:rsidR="00DB5437" w:rsidRPr="00DB5437" w14:paraId="0D762231"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24AD9646" w14:textId="1F3514C9"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K.15</w:t>
            </w:r>
          </w:p>
        </w:tc>
        <w:tc>
          <w:tcPr>
            <w:tcW w:w="2300" w:type="dxa"/>
            <w:tcBorders>
              <w:top w:val="nil"/>
              <w:left w:val="nil"/>
              <w:bottom w:val="single" w:sz="4" w:space="0" w:color="auto"/>
              <w:right w:val="single" w:sz="4" w:space="0" w:color="auto"/>
            </w:tcBorders>
            <w:shd w:val="clear" w:color="000000" w:fill="FFFFFF"/>
            <w:noWrap/>
            <w:vAlign w:val="bottom"/>
            <w:hideMark/>
          </w:tcPr>
          <w:p w14:paraId="326AD0ED"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5,97%</w:t>
            </w:r>
          </w:p>
        </w:tc>
        <w:tc>
          <w:tcPr>
            <w:tcW w:w="2460" w:type="dxa"/>
            <w:tcBorders>
              <w:top w:val="nil"/>
              <w:left w:val="nil"/>
              <w:bottom w:val="single" w:sz="4" w:space="0" w:color="auto"/>
              <w:right w:val="single" w:sz="4" w:space="0" w:color="auto"/>
            </w:tcBorders>
            <w:shd w:val="clear" w:color="auto" w:fill="auto"/>
            <w:noWrap/>
            <w:vAlign w:val="bottom"/>
            <w:hideMark/>
          </w:tcPr>
          <w:p w14:paraId="46DDD13D"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46B0F364"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5,97%</w:t>
            </w:r>
          </w:p>
        </w:tc>
      </w:tr>
      <w:tr w:rsidR="00DB5437" w:rsidRPr="00DB5437" w14:paraId="421E0C8C"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080A63A2" w14:textId="526B1ED0"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K.16</w:t>
            </w:r>
          </w:p>
        </w:tc>
        <w:tc>
          <w:tcPr>
            <w:tcW w:w="2300" w:type="dxa"/>
            <w:tcBorders>
              <w:top w:val="nil"/>
              <w:left w:val="nil"/>
              <w:bottom w:val="single" w:sz="4" w:space="0" w:color="auto"/>
              <w:right w:val="single" w:sz="4" w:space="0" w:color="auto"/>
            </w:tcBorders>
            <w:shd w:val="clear" w:color="000000" w:fill="FFFFFF"/>
            <w:noWrap/>
            <w:vAlign w:val="bottom"/>
            <w:hideMark/>
          </w:tcPr>
          <w:p w14:paraId="119CE950"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1,93%</w:t>
            </w:r>
          </w:p>
        </w:tc>
        <w:tc>
          <w:tcPr>
            <w:tcW w:w="2460" w:type="dxa"/>
            <w:tcBorders>
              <w:top w:val="nil"/>
              <w:left w:val="nil"/>
              <w:bottom w:val="single" w:sz="4" w:space="0" w:color="auto"/>
              <w:right w:val="single" w:sz="4" w:space="0" w:color="auto"/>
            </w:tcBorders>
            <w:shd w:val="clear" w:color="auto" w:fill="auto"/>
            <w:noWrap/>
            <w:vAlign w:val="bottom"/>
            <w:hideMark/>
          </w:tcPr>
          <w:p w14:paraId="4BAF6306"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2276C987"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1,93%</w:t>
            </w:r>
          </w:p>
        </w:tc>
      </w:tr>
      <w:tr w:rsidR="00DB5437" w:rsidRPr="00DB5437" w14:paraId="50BD5DE2"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5D41BCC" w14:textId="7289E973"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K.17</w:t>
            </w:r>
          </w:p>
        </w:tc>
        <w:tc>
          <w:tcPr>
            <w:tcW w:w="2300" w:type="dxa"/>
            <w:tcBorders>
              <w:top w:val="nil"/>
              <w:left w:val="nil"/>
              <w:bottom w:val="single" w:sz="4" w:space="0" w:color="auto"/>
              <w:right w:val="single" w:sz="4" w:space="0" w:color="auto"/>
            </w:tcBorders>
            <w:shd w:val="clear" w:color="000000" w:fill="FFFFFF"/>
            <w:noWrap/>
            <w:vAlign w:val="bottom"/>
            <w:hideMark/>
          </w:tcPr>
          <w:p w14:paraId="053B18C9"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2,52%</w:t>
            </w:r>
          </w:p>
        </w:tc>
        <w:tc>
          <w:tcPr>
            <w:tcW w:w="2460" w:type="dxa"/>
            <w:tcBorders>
              <w:top w:val="nil"/>
              <w:left w:val="nil"/>
              <w:bottom w:val="single" w:sz="4" w:space="0" w:color="auto"/>
              <w:right w:val="single" w:sz="4" w:space="0" w:color="auto"/>
            </w:tcBorders>
            <w:shd w:val="clear" w:color="auto" w:fill="auto"/>
            <w:noWrap/>
            <w:vAlign w:val="bottom"/>
            <w:hideMark/>
          </w:tcPr>
          <w:p w14:paraId="473288EC"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78BB9E85"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2,52%</w:t>
            </w:r>
          </w:p>
        </w:tc>
      </w:tr>
      <w:tr w:rsidR="00DB5437" w:rsidRPr="00DB5437" w14:paraId="3809A271" w14:textId="77777777" w:rsidTr="00DB5437">
        <w:trPr>
          <w:trHeight w:val="260"/>
        </w:trPr>
        <w:tc>
          <w:tcPr>
            <w:tcW w:w="3140" w:type="dxa"/>
            <w:tcBorders>
              <w:top w:val="nil"/>
              <w:left w:val="single" w:sz="4" w:space="0" w:color="auto"/>
              <w:bottom w:val="nil"/>
              <w:right w:val="nil"/>
            </w:tcBorders>
            <w:shd w:val="clear" w:color="000000" w:fill="FFFFFF"/>
            <w:noWrap/>
            <w:vAlign w:val="bottom"/>
            <w:hideMark/>
          </w:tcPr>
          <w:p w14:paraId="0BC793D3" w14:textId="2FCDE374" w:rsidR="00DB5437" w:rsidRPr="00DB5437" w:rsidRDefault="008E4242" w:rsidP="00822D81">
            <w:pPr>
              <w:spacing w:after="0" w:line="276" w:lineRule="auto"/>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K.18</w:t>
            </w: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27ECEA3"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3,82%</w:t>
            </w:r>
          </w:p>
        </w:tc>
        <w:tc>
          <w:tcPr>
            <w:tcW w:w="2460" w:type="dxa"/>
            <w:tcBorders>
              <w:top w:val="nil"/>
              <w:left w:val="nil"/>
              <w:bottom w:val="single" w:sz="4" w:space="0" w:color="auto"/>
              <w:right w:val="single" w:sz="4" w:space="0" w:color="auto"/>
            </w:tcBorders>
            <w:shd w:val="clear" w:color="auto" w:fill="auto"/>
            <w:noWrap/>
            <w:vAlign w:val="bottom"/>
            <w:hideMark/>
          </w:tcPr>
          <w:p w14:paraId="55C9F38B"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6,83%</w:t>
            </w:r>
          </w:p>
        </w:tc>
        <w:tc>
          <w:tcPr>
            <w:tcW w:w="1840" w:type="dxa"/>
            <w:tcBorders>
              <w:top w:val="nil"/>
              <w:left w:val="nil"/>
              <w:bottom w:val="single" w:sz="4" w:space="0" w:color="auto"/>
              <w:right w:val="single" w:sz="4" w:space="0" w:color="auto"/>
            </w:tcBorders>
            <w:shd w:val="clear" w:color="000000" w:fill="FFFFFF"/>
            <w:noWrap/>
            <w:vAlign w:val="bottom"/>
            <w:hideMark/>
          </w:tcPr>
          <w:p w14:paraId="3F90FB68"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10,64%</w:t>
            </w:r>
          </w:p>
        </w:tc>
      </w:tr>
      <w:tr w:rsidR="00DB5437" w:rsidRPr="00DB5437" w14:paraId="6A31E66E" w14:textId="77777777" w:rsidTr="00DB5437">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9A4D6" w14:textId="089BAA97" w:rsidR="00DB5437" w:rsidRPr="00DB5437" w:rsidRDefault="008E4242" w:rsidP="00822D81">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K.19</w:t>
            </w:r>
          </w:p>
        </w:tc>
        <w:tc>
          <w:tcPr>
            <w:tcW w:w="2300" w:type="dxa"/>
            <w:tcBorders>
              <w:top w:val="nil"/>
              <w:left w:val="nil"/>
              <w:bottom w:val="single" w:sz="4" w:space="0" w:color="auto"/>
              <w:right w:val="single" w:sz="4" w:space="0" w:color="auto"/>
            </w:tcBorders>
            <w:shd w:val="clear" w:color="000000" w:fill="FFFFFF"/>
            <w:noWrap/>
            <w:vAlign w:val="bottom"/>
            <w:hideMark/>
          </w:tcPr>
          <w:p w14:paraId="5B259323"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2,00%</w:t>
            </w:r>
          </w:p>
        </w:tc>
        <w:tc>
          <w:tcPr>
            <w:tcW w:w="2460" w:type="dxa"/>
            <w:tcBorders>
              <w:top w:val="nil"/>
              <w:left w:val="nil"/>
              <w:bottom w:val="single" w:sz="4" w:space="0" w:color="auto"/>
              <w:right w:val="single" w:sz="4" w:space="0" w:color="auto"/>
            </w:tcBorders>
            <w:shd w:val="clear" w:color="auto" w:fill="auto"/>
            <w:noWrap/>
            <w:vAlign w:val="bottom"/>
            <w:hideMark/>
          </w:tcPr>
          <w:p w14:paraId="4B8A870C"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11,99%</w:t>
            </w:r>
          </w:p>
        </w:tc>
        <w:tc>
          <w:tcPr>
            <w:tcW w:w="1840" w:type="dxa"/>
            <w:tcBorders>
              <w:top w:val="nil"/>
              <w:left w:val="nil"/>
              <w:bottom w:val="single" w:sz="4" w:space="0" w:color="auto"/>
              <w:right w:val="single" w:sz="4" w:space="0" w:color="auto"/>
            </w:tcBorders>
            <w:shd w:val="clear" w:color="000000" w:fill="FFFFFF"/>
            <w:noWrap/>
            <w:vAlign w:val="bottom"/>
            <w:hideMark/>
          </w:tcPr>
          <w:p w14:paraId="1C6BAF54"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13,99%</w:t>
            </w:r>
          </w:p>
        </w:tc>
      </w:tr>
      <w:tr w:rsidR="00DB5437" w:rsidRPr="00DB5437" w14:paraId="20C9025E"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761FDA7" w14:textId="56EC2757" w:rsidR="00DB5437" w:rsidRPr="00DB5437" w:rsidRDefault="008E4242" w:rsidP="00822D81">
            <w:pPr>
              <w:spacing w:after="0" w:line="276" w:lineRule="auto"/>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K.20</w:t>
            </w:r>
          </w:p>
        </w:tc>
        <w:tc>
          <w:tcPr>
            <w:tcW w:w="2300" w:type="dxa"/>
            <w:tcBorders>
              <w:top w:val="nil"/>
              <w:left w:val="nil"/>
              <w:bottom w:val="single" w:sz="4" w:space="0" w:color="auto"/>
              <w:right w:val="single" w:sz="4" w:space="0" w:color="auto"/>
            </w:tcBorders>
            <w:shd w:val="clear" w:color="000000" w:fill="FFFFFF"/>
            <w:noWrap/>
            <w:vAlign w:val="bottom"/>
            <w:hideMark/>
          </w:tcPr>
          <w:p w14:paraId="254CB487"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val="en-US" w:eastAsia="da-DK"/>
              </w:rPr>
            </w:pPr>
            <w:r w:rsidRPr="00DB5437">
              <w:rPr>
                <w:rFonts w:ascii="Times New Roman" w:eastAsia="Times New Roman" w:hAnsi="Times New Roman" w:cs="Times New Roman"/>
                <w:color w:val="000000"/>
                <w:sz w:val="20"/>
                <w:szCs w:val="20"/>
                <w:lang w:val="en-US" w:eastAsia="da-DK"/>
              </w:rPr>
              <w:t> </w:t>
            </w:r>
          </w:p>
        </w:tc>
        <w:tc>
          <w:tcPr>
            <w:tcW w:w="2460" w:type="dxa"/>
            <w:tcBorders>
              <w:top w:val="nil"/>
              <w:left w:val="nil"/>
              <w:bottom w:val="single" w:sz="4" w:space="0" w:color="auto"/>
              <w:right w:val="single" w:sz="4" w:space="0" w:color="auto"/>
            </w:tcBorders>
            <w:shd w:val="clear" w:color="auto" w:fill="auto"/>
            <w:noWrap/>
            <w:vAlign w:val="bottom"/>
            <w:hideMark/>
          </w:tcPr>
          <w:p w14:paraId="0AB6761D"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5,25%</w:t>
            </w:r>
          </w:p>
        </w:tc>
        <w:tc>
          <w:tcPr>
            <w:tcW w:w="1840" w:type="dxa"/>
            <w:tcBorders>
              <w:top w:val="nil"/>
              <w:left w:val="nil"/>
              <w:bottom w:val="single" w:sz="4" w:space="0" w:color="auto"/>
              <w:right w:val="single" w:sz="4" w:space="0" w:color="auto"/>
            </w:tcBorders>
            <w:shd w:val="clear" w:color="000000" w:fill="FFFFFF"/>
            <w:noWrap/>
            <w:vAlign w:val="bottom"/>
            <w:hideMark/>
          </w:tcPr>
          <w:p w14:paraId="14DDEC90"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5,25%</w:t>
            </w:r>
          </w:p>
        </w:tc>
      </w:tr>
      <w:tr w:rsidR="00DB5437" w:rsidRPr="00DB5437" w14:paraId="53F1D7CA" w14:textId="77777777" w:rsidTr="00DB5437">
        <w:trPr>
          <w:trHeight w:val="26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A6C9083"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I alt</w:t>
            </w:r>
          </w:p>
        </w:tc>
        <w:tc>
          <w:tcPr>
            <w:tcW w:w="2300" w:type="dxa"/>
            <w:tcBorders>
              <w:top w:val="nil"/>
              <w:left w:val="nil"/>
              <w:bottom w:val="single" w:sz="4" w:space="0" w:color="auto"/>
              <w:right w:val="single" w:sz="4" w:space="0" w:color="auto"/>
            </w:tcBorders>
            <w:shd w:val="clear" w:color="000000" w:fill="FFFFFF"/>
            <w:noWrap/>
            <w:vAlign w:val="bottom"/>
            <w:hideMark/>
          </w:tcPr>
          <w:p w14:paraId="11F0CC8E"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100,00%</w:t>
            </w:r>
          </w:p>
        </w:tc>
        <w:tc>
          <w:tcPr>
            <w:tcW w:w="2460" w:type="dxa"/>
            <w:tcBorders>
              <w:top w:val="nil"/>
              <w:left w:val="nil"/>
              <w:bottom w:val="single" w:sz="4" w:space="0" w:color="auto"/>
              <w:right w:val="single" w:sz="4" w:space="0" w:color="auto"/>
            </w:tcBorders>
            <w:shd w:val="clear" w:color="auto" w:fill="auto"/>
            <w:noWrap/>
            <w:vAlign w:val="bottom"/>
            <w:hideMark/>
          </w:tcPr>
          <w:p w14:paraId="5DE42AB1" w14:textId="77777777" w:rsidR="00DB5437" w:rsidRPr="00DB5437" w:rsidRDefault="00DB5437" w:rsidP="00822D81">
            <w:pPr>
              <w:spacing w:after="0" w:line="276" w:lineRule="auto"/>
              <w:jc w:val="right"/>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33,47%</w:t>
            </w:r>
          </w:p>
        </w:tc>
        <w:tc>
          <w:tcPr>
            <w:tcW w:w="1840" w:type="dxa"/>
            <w:tcBorders>
              <w:top w:val="nil"/>
              <w:left w:val="nil"/>
              <w:bottom w:val="single" w:sz="4" w:space="0" w:color="auto"/>
              <w:right w:val="single" w:sz="4" w:space="0" w:color="auto"/>
            </w:tcBorders>
            <w:shd w:val="clear" w:color="000000" w:fill="FFFFFF"/>
            <w:noWrap/>
            <w:vAlign w:val="bottom"/>
            <w:hideMark/>
          </w:tcPr>
          <w:p w14:paraId="1546B09B" w14:textId="77777777" w:rsidR="00DB5437" w:rsidRPr="00DB5437" w:rsidRDefault="00DB5437" w:rsidP="00822D81">
            <w:pPr>
              <w:spacing w:after="0" w:line="276" w:lineRule="auto"/>
              <w:rPr>
                <w:rFonts w:ascii="Times New Roman" w:eastAsia="Times New Roman" w:hAnsi="Times New Roman" w:cs="Times New Roman"/>
                <w:color w:val="000000"/>
                <w:sz w:val="20"/>
                <w:szCs w:val="20"/>
                <w:lang w:eastAsia="da-DK"/>
              </w:rPr>
            </w:pPr>
            <w:r w:rsidRPr="00DB5437">
              <w:rPr>
                <w:rFonts w:ascii="Times New Roman" w:eastAsia="Times New Roman" w:hAnsi="Times New Roman" w:cs="Times New Roman"/>
                <w:color w:val="000000"/>
                <w:sz w:val="20"/>
                <w:szCs w:val="20"/>
                <w:lang w:eastAsia="da-DK"/>
              </w:rPr>
              <w:t> </w:t>
            </w:r>
          </w:p>
        </w:tc>
      </w:tr>
    </w:tbl>
    <w:p w14:paraId="7FF04409" w14:textId="77777777" w:rsidR="00264B10" w:rsidRPr="008B4ABF" w:rsidRDefault="00DB5437" w:rsidP="00A21B75">
      <w:pPr>
        <w:spacing w:after="0" w:line="276" w:lineRule="auto"/>
        <w:jc w:val="both"/>
        <w:rPr>
          <w:rFonts w:ascii="Times New Roman" w:hAnsi="Times New Roman" w:cs="Times New Roman"/>
          <w:color w:val="000000" w:themeColor="text1"/>
          <w:sz w:val="20"/>
          <w:szCs w:val="20"/>
        </w:rPr>
      </w:pPr>
      <w:r w:rsidRPr="008B4ABF">
        <w:rPr>
          <w:rFonts w:ascii="Times New Roman" w:hAnsi="Times New Roman" w:cs="Times New Roman"/>
          <w:color w:val="000000" w:themeColor="text1"/>
          <w:sz w:val="20"/>
          <w:szCs w:val="20"/>
        </w:rPr>
        <w:t>Kilde: APNN og GFLK.</w:t>
      </w:r>
    </w:p>
    <w:p w14:paraId="3F6EFD70" w14:textId="5D172CFE" w:rsidR="00DB5437" w:rsidRPr="004C611D" w:rsidRDefault="00DB5437" w:rsidP="00241DBF">
      <w:pPr>
        <w:spacing w:after="0" w:line="276" w:lineRule="auto"/>
        <w:jc w:val="both"/>
        <w:rPr>
          <w:rFonts w:ascii="Times New Roman" w:hAnsi="Times New Roman" w:cs="Times New Roman"/>
          <w:color w:val="000000" w:themeColor="text1"/>
        </w:rPr>
      </w:pPr>
    </w:p>
    <w:p w14:paraId="1FFD8862" w14:textId="77777777" w:rsidR="00264B10" w:rsidRPr="00E24F47" w:rsidRDefault="00264B10" w:rsidP="008F260E">
      <w:pPr>
        <w:spacing w:after="0" w:line="276" w:lineRule="auto"/>
        <w:jc w:val="both"/>
        <w:rPr>
          <w:rFonts w:ascii="Times New Roman" w:hAnsi="Times New Roman" w:cs="Times New Roman"/>
          <w:i/>
          <w:color w:val="000000" w:themeColor="text1"/>
          <w:sz w:val="24"/>
          <w:szCs w:val="24"/>
        </w:rPr>
      </w:pPr>
      <w:r w:rsidRPr="00E24F47">
        <w:rPr>
          <w:rFonts w:ascii="Times New Roman" w:hAnsi="Times New Roman" w:cs="Times New Roman"/>
          <w:i/>
          <w:color w:val="000000" w:themeColor="text1"/>
          <w:sz w:val="24"/>
          <w:szCs w:val="24"/>
        </w:rPr>
        <w:t>Rejefabrikkerne</w:t>
      </w:r>
    </w:p>
    <w:p w14:paraId="5C65D125" w14:textId="7C89BBCA" w:rsidR="005C78F4" w:rsidRDefault="003D277B" w:rsidP="00822D81">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I 2006 var der</w:t>
      </w:r>
      <w:r w:rsidRPr="003D277B">
        <w:rPr>
          <w:rFonts w:ascii="Times New Roman" w:hAnsi="Times New Roman" w:cs="Times New Roman"/>
        </w:rPr>
        <w:t xml:space="preserve"> syv rejefabrikke</w:t>
      </w:r>
      <w:r>
        <w:rPr>
          <w:rFonts w:ascii="Times New Roman" w:hAnsi="Times New Roman" w:cs="Times New Roman"/>
        </w:rPr>
        <w:t>r i Grønland, der samlet set havde</w:t>
      </w:r>
      <w:r w:rsidRPr="003D277B">
        <w:rPr>
          <w:rFonts w:ascii="Times New Roman" w:hAnsi="Times New Roman" w:cs="Times New Roman"/>
        </w:rPr>
        <w:t xml:space="preserve"> en anslået </w:t>
      </w:r>
      <w:r w:rsidR="000C2C69">
        <w:rPr>
          <w:rFonts w:ascii="Times New Roman" w:hAnsi="Times New Roman" w:cs="Times New Roman"/>
        </w:rPr>
        <w:t xml:space="preserve">potentielt </w:t>
      </w:r>
      <w:r w:rsidRPr="003D277B">
        <w:rPr>
          <w:rFonts w:ascii="Times New Roman" w:hAnsi="Times New Roman" w:cs="Times New Roman"/>
        </w:rPr>
        <w:t>produ</w:t>
      </w:r>
      <w:r>
        <w:rPr>
          <w:rFonts w:ascii="Times New Roman" w:hAnsi="Times New Roman" w:cs="Times New Roman"/>
        </w:rPr>
        <w:t>ktionskapacitet svarende på over 100.000</w:t>
      </w:r>
      <w:r w:rsidRPr="003D277B">
        <w:rPr>
          <w:rFonts w:ascii="Times New Roman" w:hAnsi="Times New Roman" w:cs="Times New Roman"/>
        </w:rPr>
        <w:t xml:space="preserve"> tons </w:t>
      </w:r>
      <w:r>
        <w:rPr>
          <w:rFonts w:ascii="Times New Roman" w:hAnsi="Times New Roman" w:cs="Times New Roman"/>
        </w:rPr>
        <w:t>rå rejer om året. Fabrikkerne var</w:t>
      </w:r>
      <w:r w:rsidRPr="003D277B">
        <w:rPr>
          <w:rFonts w:ascii="Times New Roman" w:hAnsi="Times New Roman" w:cs="Times New Roman"/>
        </w:rPr>
        <w:t xml:space="preserve"> placeret i</w:t>
      </w:r>
      <w:r>
        <w:rPr>
          <w:rFonts w:ascii="Times New Roman" w:hAnsi="Times New Roman" w:cs="Times New Roman"/>
        </w:rPr>
        <w:t xml:space="preserve"> </w:t>
      </w:r>
      <w:r w:rsidRPr="003D277B">
        <w:rPr>
          <w:rFonts w:ascii="Times New Roman" w:hAnsi="Times New Roman" w:cs="Times New Roman"/>
        </w:rPr>
        <w:t xml:space="preserve">hovedstaden Nuuk samt i byerne Ilulissat, Aasiaat, Sisimiut, Paamiut, </w:t>
      </w:r>
      <w:proofErr w:type="spellStart"/>
      <w:r w:rsidRPr="003D277B">
        <w:rPr>
          <w:rFonts w:ascii="Times New Roman" w:hAnsi="Times New Roman" w:cs="Times New Roman"/>
        </w:rPr>
        <w:t>Narsaq</w:t>
      </w:r>
      <w:proofErr w:type="spellEnd"/>
      <w:r w:rsidRPr="003D277B">
        <w:rPr>
          <w:rFonts w:ascii="Times New Roman" w:hAnsi="Times New Roman" w:cs="Times New Roman"/>
        </w:rPr>
        <w:t xml:space="preserve"> og </w:t>
      </w:r>
      <w:proofErr w:type="spellStart"/>
      <w:r w:rsidRPr="003D277B">
        <w:rPr>
          <w:rFonts w:ascii="Times New Roman" w:hAnsi="Times New Roman" w:cs="Times New Roman"/>
        </w:rPr>
        <w:t>Alluitsup</w:t>
      </w:r>
      <w:proofErr w:type="spellEnd"/>
      <w:r w:rsidRPr="003D277B">
        <w:rPr>
          <w:rFonts w:ascii="Times New Roman" w:hAnsi="Times New Roman" w:cs="Times New Roman"/>
        </w:rPr>
        <w:t xml:space="preserve"> </w:t>
      </w:r>
      <w:proofErr w:type="spellStart"/>
      <w:r w:rsidRPr="003D277B">
        <w:rPr>
          <w:rFonts w:ascii="Times New Roman" w:hAnsi="Times New Roman" w:cs="Times New Roman"/>
        </w:rPr>
        <w:t>Paa</w:t>
      </w:r>
      <w:proofErr w:type="spellEnd"/>
      <w:r w:rsidRPr="003D277B">
        <w:rPr>
          <w:rFonts w:ascii="Times New Roman" w:hAnsi="Times New Roman" w:cs="Times New Roman"/>
        </w:rPr>
        <w:t>.</w:t>
      </w:r>
      <w:r>
        <w:rPr>
          <w:rFonts w:ascii="Times New Roman" w:hAnsi="Times New Roman" w:cs="Times New Roman"/>
        </w:rPr>
        <w:t xml:space="preserve"> </w:t>
      </w:r>
    </w:p>
    <w:p w14:paraId="49156576" w14:textId="77777777" w:rsidR="005C78F4" w:rsidRDefault="005C78F4" w:rsidP="00822D81">
      <w:pPr>
        <w:autoSpaceDE w:val="0"/>
        <w:autoSpaceDN w:val="0"/>
        <w:adjustRightInd w:val="0"/>
        <w:spacing w:after="0" w:line="276" w:lineRule="auto"/>
        <w:jc w:val="both"/>
        <w:rPr>
          <w:rFonts w:ascii="Times New Roman" w:hAnsi="Times New Roman" w:cs="Times New Roman"/>
        </w:rPr>
      </w:pPr>
    </w:p>
    <w:p w14:paraId="54E244B8" w14:textId="2BC94155" w:rsidR="00264B10" w:rsidRDefault="00264B10" w:rsidP="00822D81">
      <w:pPr>
        <w:autoSpaceDE w:val="0"/>
        <w:autoSpaceDN w:val="0"/>
        <w:adjustRightInd w:val="0"/>
        <w:spacing w:after="0" w:line="276" w:lineRule="auto"/>
        <w:jc w:val="both"/>
        <w:rPr>
          <w:rFonts w:ascii="Times New Roman" w:hAnsi="Times New Roman" w:cs="Times New Roman"/>
        </w:rPr>
      </w:pPr>
      <w:r w:rsidRPr="00264B10">
        <w:rPr>
          <w:rFonts w:ascii="Times New Roman" w:hAnsi="Times New Roman" w:cs="Times New Roman"/>
        </w:rPr>
        <w:t>Der er</w:t>
      </w:r>
      <w:r w:rsidR="00442905" w:rsidRPr="00264B10">
        <w:rPr>
          <w:rFonts w:ascii="Times New Roman" w:hAnsi="Times New Roman" w:cs="Times New Roman"/>
        </w:rPr>
        <w:t xml:space="preserve"> </w:t>
      </w:r>
      <w:r w:rsidRPr="00264B10">
        <w:rPr>
          <w:rFonts w:ascii="Times New Roman" w:hAnsi="Times New Roman" w:cs="Times New Roman"/>
        </w:rPr>
        <w:t xml:space="preserve">fire aktive </w:t>
      </w:r>
      <w:r w:rsidR="00442905" w:rsidRPr="00264B10">
        <w:rPr>
          <w:rFonts w:ascii="Times New Roman" w:hAnsi="Times New Roman" w:cs="Times New Roman"/>
        </w:rPr>
        <w:t xml:space="preserve">rejefabrikker i </w:t>
      </w:r>
      <w:r w:rsidR="00A21B75" w:rsidRPr="00264B10">
        <w:rPr>
          <w:rFonts w:ascii="Times New Roman" w:hAnsi="Times New Roman" w:cs="Times New Roman"/>
        </w:rPr>
        <w:t>2</w:t>
      </w:r>
      <w:r w:rsidR="00A21B75">
        <w:rPr>
          <w:rFonts w:ascii="Times New Roman" w:hAnsi="Times New Roman" w:cs="Times New Roman"/>
        </w:rPr>
        <w:t>021</w:t>
      </w:r>
      <w:r w:rsidR="00442905" w:rsidRPr="00264B10">
        <w:rPr>
          <w:rFonts w:ascii="Times New Roman" w:hAnsi="Times New Roman" w:cs="Times New Roman"/>
        </w:rPr>
        <w:t>, der saml</w:t>
      </w:r>
      <w:r w:rsidRPr="00264B10">
        <w:rPr>
          <w:rFonts w:ascii="Times New Roman" w:hAnsi="Times New Roman" w:cs="Times New Roman"/>
        </w:rPr>
        <w:t xml:space="preserve">et set har en anslået </w:t>
      </w:r>
      <w:r w:rsidR="00442905" w:rsidRPr="00264B10">
        <w:rPr>
          <w:rFonts w:ascii="Times New Roman" w:hAnsi="Times New Roman" w:cs="Times New Roman"/>
        </w:rPr>
        <w:t>produktionskapacitet på</w:t>
      </w:r>
      <w:r w:rsidR="003D277B">
        <w:rPr>
          <w:rFonts w:ascii="Times New Roman" w:hAnsi="Times New Roman" w:cs="Times New Roman"/>
        </w:rPr>
        <w:t xml:space="preserve"> op til</w:t>
      </w:r>
      <w:r w:rsidR="00442905" w:rsidRPr="00264B10">
        <w:rPr>
          <w:rFonts w:ascii="Times New Roman" w:hAnsi="Times New Roman" w:cs="Times New Roman"/>
        </w:rPr>
        <w:t xml:space="preserve"> 80.000 tons rå rejer om året. Fabrikkerne er placeret i Nuuk, Ilulissat, Aasiaat og Sisimiut. </w:t>
      </w:r>
      <w:r w:rsidR="003D277B">
        <w:rPr>
          <w:rFonts w:ascii="Times New Roman" w:hAnsi="Times New Roman" w:cs="Times New Roman"/>
        </w:rPr>
        <w:t>Det er reduktion</w:t>
      </w:r>
      <w:r w:rsidRPr="00264B10">
        <w:rPr>
          <w:rFonts w:ascii="Times New Roman" w:hAnsi="Times New Roman" w:cs="Times New Roman"/>
        </w:rPr>
        <w:t xml:space="preserve"> af antal rejefabrikker i forhold t</w:t>
      </w:r>
      <w:r w:rsidR="003D277B">
        <w:rPr>
          <w:rFonts w:ascii="Times New Roman" w:hAnsi="Times New Roman" w:cs="Times New Roman"/>
        </w:rPr>
        <w:t xml:space="preserve">il 2006 på 3 fabrikker og nedgang i produktionskapacitet på </w:t>
      </w:r>
      <w:r w:rsidR="000C2C69">
        <w:rPr>
          <w:rFonts w:ascii="Times New Roman" w:hAnsi="Times New Roman" w:cs="Times New Roman"/>
        </w:rPr>
        <w:t xml:space="preserve">ca. </w:t>
      </w:r>
      <w:r w:rsidR="003D277B">
        <w:rPr>
          <w:rFonts w:ascii="Times New Roman" w:hAnsi="Times New Roman" w:cs="Times New Roman"/>
        </w:rPr>
        <w:t>20.000 tons.</w:t>
      </w:r>
      <w:r w:rsidRPr="00264B10">
        <w:rPr>
          <w:rFonts w:ascii="Times New Roman" w:hAnsi="Times New Roman" w:cs="Times New Roman"/>
        </w:rPr>
        <w:t xml:space="preserve"> hvor der også</w:t>
      </w:r>
      <w:r w:rsidR="000C2C69">
        <w:rPr>
          <w:rFonts w:ascii="Times New Roman" w:hAnsi="Times New Roman" w:cs="Times New Roman"/>
        </w:rPr>
        <w:t xml:space="preserve"> var</w:t>
      </w:r>
      <w:r w:rsidRPr="00264B10">
        <w:rPr>
          <w:rFonts w:ascii="Times New Roman" w:hAnsi="Times New Roman" w:cs="Times New Roman"/>
        </w:rPr>
        <w:t xml:space="preserve"> fabrikker i Paamiut, Maniitsoq, </w:t>
      </w:r>
      <w:proofErr w:type="spellStart"/>
      <w:r w:rsidRPr="00264B10">
        <w:rPr>
          <w:rFonts w:ascii="Times New Roman" w:hAnsi="Times New Roman" w:cs="Times New Roman"/>
        </w:rPr>
        <w:t>Alluitsup</w:t>
      </w:r>
      <w:proofErr w:type="spellEnd"/>
      <w:r w:rsidRPr="00264B10">
        <w:rPr>
          <w:rFonts w:ascii="Times New Roman" w:hAnsi="Times New Roman" w:cs="Times New Roman"/>
        </w:rPr>
        <w:t xml:space="preserve"> </w:t>
      </w:r>
      <w:proofErr w:type="spellStart"/>
      <w:r w:rsidRPr="00264B10">
        <w:rPr>
          <w:rFonts w:ascii="Times New Roman" w:hAnsi="Times New Roman" w:cs="Times New Roman"/>
        </w:rPr>
        <w:t>Paa</w:t>
      </w:r>
      <w:proofErr w:type="spellEnd"/>
      <w:r w:rsidRPr="00264B10">
        <w:rPr>
          <w:rFonts w:ascii="Times New Roman" w:hAnsi="Times New Roman" w:cs="Times New Roman"/>
        </w:rPr>
        <w:t xml:space="preserve"> og </w:t>
      </w:r>
      <w:proofErr w:type="spellStart"/>
      <w:r w:rsidRPr="00264B10">
        <w:rPr>
          <w:rFonts w:ascii="Times New Roman" w:hAnsi="Times New Roman" w:cs="Times New Roman"/>
        </w:rPr>
        <w:t>Narsaq</w:t>
      </w:r>
      <w:proofErr w:type="spellEnd"/>
      <w:r w:rsidRPr="00264B10">
        <w:rPr>
          <w:rFonts w:ascii="Times New Roman" w:hAnsi="Times New Roman" w:cs="Times New Roman"/>
        </w:rPr>
        <w:t>.</w:t>
      </w:r>
    </w:p>
    <w:p w14:paraId="0773336B" w14:textId="77777777" w:rsidR="0099179A" w:rsidRDefault="0099179A" w:rsidP="00A21B75">
      <w:pPr>
        <w:spacing w:after="0" w:line="276" w:lineRule="auto"/>
        <w:jc w:val="both"/>
        <w:rPr>
          <w:rFonts w:ascii="Times New Roman" w:hAnsi="Times New Roman" w:cs="Times New Roman"/>
        </w:rPr>
      </w:pPr>
    </w:p>
    <w:p w14:paraId="7BEEBB25" w14:textId="77777777" w:rsidR="00AA6C36" w:rsidRDefault="00AA6C36">
      <w:pPr>
        <w:spacing w:after="0" w:line="276" w:lineRule="auto"/>
        <w:jc w:val="both"/>
        <w:rPr>
          <w:rFonts w:ascii="MercuryTextG1-Roman" w:hAnsi="MercuryTextG1-Roman" w:cs="MercuryTextG1-Roman"/>
          <w:sz w:val="17"/>
          <w:szCs w:val="17"/>
        </w:rPr>
      </w:pPr>
    </w:p>
    <w:p w14:paraId="108E82F7" w14:textId="77777777" w:rsidR="00AA6C36" w:rsidRPr="00E24F47" w:rsidRDefault="00AA6C36">
      <w:pPr>
        <w:spacing w:after="0" w:line="276" w:lineRule="auto"/>
        <w:jc w:val="both"/>
        <w:rPr>
          <w:rFonts w:ascii="Times New Roman" w:hAnsi="Times New Roman" w:cs="Times New Roman"/>
          <w:i/>
          <w:sz w:val="24"/>
          <w:szCs w:val="24"/>
        </w:rPr>
      </w:pPr>
      <w:r w:rsidRPr="00E24F47">
        <w:rPr>
          <w:rFonts w:ascii="Times New Roman" w:hAnsi="Times New Roman" w:cs="Times New Roman"/>
          <w:i/>
          <w:sz w:val="24"/>
          <w:szCs w:val="24"/>
        </w:rPr>
        <w:t>Tilskudsordninger</w:t>
      </w:r>
    </w:p>
    <w:p w14:paraId="4642EF68" w14:textId="5962ACD7" w:rsidR="00DD609E" w:rsidRPr="00DD609E" w:rsidRDefault="004320C1">
      <w:pPr>
        <w:spacing w:after="0" w:line="276" w:lineRule="auto"/>
        <w:jc w:val="both"/>
        <w:rPr>
          <w:rFonts w:ascii="Times New Roman" w:hAnsi="Times New Roman" w:cs="Times New Roman"/>
          <w:color w:val="000000"/>
          <w:shd w:val="clear" w:color="auto" w:fill="FFFFFF"/>
        </w:rPr>
      </w:pPr>
      <w:r w:rsidRPr="00DD609E">
        <w:rPr>
          <w:rFonts w:ascii="Times New Roman" w:hAnsi="Times New Roman" w:cs="Times New Roman"/>
        </w:rPr>
        <w:t xml:space="preserve">I forbindelse med kystnært rejefiskeri blev der i årrække betalt indhandlingstilskud pr. kg. samt et tilskud pr. liter olie. I 2003 blev der ydet indhandlingstilskud til rå isede rejer på 0,75 kr.pr.kg. </w:t>
      </w:r>
      <w:r w:rsidR="000C2C69">
        <w:rPr>
          <w:rFonts w:ascii="Times New Roman" w:hAnsi="Times New Roman" w:cs="Times New Roman"/>
        </w:rPr>
        <w:t xml:space="preserve">I en redegørelse fra </w:t>
      </w:r>
      <w:r w:rsidR="00DD609E" w:rsidRPr="00DD609E">
        <w:rPr>
          <w:rFonts w:ascii="Times New Roman" w:hAnsi="Times New Roman" w:cs="Times New Roman"/>
          <w:color w:val="000000"/>
          <w:shd w:val="clear" w:color="auto" w:fill="FFFFFF"/>
        </w:rPr>
        <w:t xml:space="preserve">Nævnet </w:t>
      </w:r>
      <w:r w:rsidR="00DD609E" w:rsidRPr="00DD609E">
        <w:rPr>
          <w:rFonts w:ascii="Times New Roman" w:hAnsi="Times New Roman" w:cs="Times New Roman"/>
          <w:color w:val="000000"/>
          <w:shd w:val="clear" w:color="auto" w:fill="FFFFFF"/>
        </w:rPr>
        <w:lastRenderedPageBreak/>
        <w:t>vedrørende udviklingen i det kystnære rejefiskeri, som var forelagt Landsstyret</w:t>
      </w:r>
      <w:r w:rsidR="00FA5FA8">
        <w:rPr>
          <w:rFonts w:ascii="Times New Roman" w:hAnsi="Times New Roman" w:cs="Times New Roman"/>
          <w:color w:val="000000"/>
          <w:shd w:val="clear" w:color="auto" w:fill="FFFFFF"/>
        </w:rPr>
        <w:t>,</w:t>
      </w:r>
      <w:r w:rsidR="00DD609E" w:rsidRPr="00DD609E">
        <w:rPr>
          <w:rFonts w:ascii="Times New Roman" w:hAnsi="Times New Roman" w:cs="Times New Roman"/>
          <w:color w:val="000000"/>
          <w:shd w:val="clear" w:color="auto" w:fill="FFFFFF"/>
        </w:rPr>
        <w:t xml:space="preserve"> estimerede</w:t>
      </w:r>
      <w:r w:rsidR="00FA5FA8">
        <w:rPr>
          <w:rFonts w:ascii="Times New Roman" w:hAnsi="Times New Roman" w:cs="Times New Roman"/>
          <w:color w:val="000000"/>
          <w:shd w:val="clear" w:color="auto" w:fill="FFFFFF"/>
        </w:rPr>
        <w:t>s</w:t>
      </w:r>
      <w:r w:rsidR="00DD609E" w:rsidRPr="00DD609E">
        <w:rPr>
          <w:rFonts w:ascii="Times New Roman" w:hAnsi="Times New Roman" w:cs="Times New Roman"/>
          <w:color w:val="000000"/>
          <w:shd w:val="clear" w:color="auto" w:fill="FFFFFF"/>
        </w:rPr>
        <w:t xml:space="preserve"> i 2004, at prisudviklingen og omkostningsstrukturen i det kystnære rejefiskeri indikerede et gennemsnitligt tilskudsbehov på 0,40 kr.pr.kg.  rå isede rejer. Indhandlingstilskuddet på rejer var afskaffet efter 2007.</w:t>
      </w:r>
    </w:p>
    <w:p w14:paraId="10E75308" w14:textId="77777777" w:rsidR="00932588" w:rsidRPr="00DD609E" w:rsidRDefault="00DD609E">
      <w:pPr>
        <w:spacing w:after="0" w:line="276" w:lineRule="auto"/>
        <w:jc w:val="both"/>
        <w:rPr>
          <w:rFonts w:ascii="Times New Roman" w:hAnsi="Times New Roman" w:cs="Times New Roman"/>
        </w:rPr>
      </w:pPr>
      <w:r w:rsidRPr="00DD609E">
        <w:rPr>
          <w:rFonts w:ascii="Times New Roman" w:hAnsi="Times New Roman" w:cs="Times New Roman"/>
          <w:color w:val="000000"/>
        </w:rPr>
        <w:br/>
      </w:r>
      <w:r w:rsidRPr="00DD609E">
        <w:rPr>
          <w:rFonts w:ascii="Times New Roman" w:hAnsi="Times New Roman" w:cs="Times New Roman"/>
        </w:rPr>
        <w:t xml:space="preserve">Det blev genindført olietilskud i 2003. Tilskuddet udmøntedes ved et tilskud på 0,53 kr. pr. liter olie. Olietilskuddet blev afskaffet efter 2004. </w:t>
      </w:r>
    </w:p>
    <w:p w14:paraId="1569231D" w14:textId="77777777" w:rsidR="00E8769D" w:rsidRPr="00DD609E" w:rsidRDefault="00E8769D">
      <w:pPr>
        <w:spacing w:after="0" w:line="276" w:lineRule="auto"/>
        <w:jc w:val="both"/>
        <w:rPr>
          <w:rFonts w:ascii="Times New Roman" w:hAnsi="Times New Roman" w:cs="Times New Roman"/>
          <w:color w:val="000000" w:themeColor="text1"/>
          <w:lang w:val="is-IS"/>
        </w:rPr>
      </w:pPr>
    </w:p>
    <w:p w14:paraId="7D74D4C4" w14:textId="64FE10C5" w:rsidR="00C23B93" w:rsidRPr="00DD609E" w:rsidRDefault="00C23B93">
      <w:pPr>
        <w:spacing w:after="0" w:line="276" w:lineRule="auto"/>
        <w:jc w:val="both"/>
        <w:rPr>
          <w:rFonts w:ascii="Times New Roman" w:hAnsi="Times New Roman" w:cs="Times New Roman"/>
          <w:color w:val="000000" w:themeColor="text1"/>
        </w:rPr>
      </w:pPr>
      <w:r w:rsidRPr="00DD609E">
        <w:rPr>
          <w:rFonts w:ascii="Times New Roman" w:hAnsi="Times New Roman" w:cs="Times New Roman"/>
          <w:color w:val="000000" w:themeColor="text1"/>
        </w:rPr>
        <w:t>I efteråret 2006 blev der vedtaget lov om fiskerifinansieringspuljen, hvorfra det kystnære rejefiskeri kan ansøges om tilskud til finansiering ved anskaffelser af fartøjer (10 pct. tilskud) og redskaber (20 pct. tilskud).</w:t>
      </w:r>
    </w:p>
    <w:p w14:paraId="2FE7E965" w14:textId="77777777" w:rsidR="001835C9" w:rsidRDefault="001835C9">
      <w:pPr>
        <w:spacing w:after="0" w:line="276" w:lineRule="auto"/>
        <w:jc w:val="both"/>
        <w:rPr>
          <w:rFonts w:ascii="Times New Roman" w:hAnsi="Times New Roman" w:cs="Times New Roman"/>
          <w:color w:val="000000" w:themeColor="text1"/>
        </w:rPr>
      </w:pPr>
    </w:p>
    <w:p w14:paraId="6EF18295" w14:textId="1316013D" w:rsidR="001835C9" w:rsidRDefault="001835C9">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Fra august </w:t>
      </w:r>
      <w:r w:rsidR="00FA5FA8">
        <w:rPr>
          <w:rFonts w:ascii="Times New Roman" w:hAnsi="Times New Roman" w:cs="Times New Roman"/>
          <w:color w:val="000000" w:themeColor="text1"/>
        </w:rPr>
        <w:t>til</w:t>
      </w:r>
      <w:r>
        <w:rPr>
          <w:rFonts w:ascii="Times New Roman" w:hAnsi="Times New Roman" w:cs="Times New Roman"/>
          <w:color w:val="000000" w:themeColor="text1"/>
        </w:rPr>
        <w:t xml:space="preserve"> december 2020 blev der ydet pristilskud til indhandling</w:t>
      </w:r>
      <w:r w:rsidR="00477589">
        <w:rPr>
          <w:rFonts w:ascii="Times New Roman" w:hAnsi="Times New Roman" w:cs="Times New Roman"/>
          <w:color w:val="000000" w:themeColor="text1"/>
        </w:rPr>
        <w:t>en</w:t>
      </w:r>
      <w:r>
        <w:rPr>
          <w:rFonts w:ascii="Times New Roman" w:hAnsi="Times New Roman" w:cs="Times New Roman"/>
          <w:color w:val="000000" w:themeColor="text1"/>
        </w:rPr>
        <w:t xml:space="preserve"> af isede rejer. Den støtte blev oprettet som konsekvens af </w:t>
      </w:r>
      <w:proofErr w:type="gramStart"/>
      <w:r>
        <w:rPr>
          <w:rFonts w:ascii="Times New Roman" w:hAnsi="Times New Roman" w:cs="Times New Roman"/>
          <w:color w:val="000000" w:themeColor="text1"/>
        </w:rPr>
        <w:t>COVID epidemien</w:t>
      </w:r>
      <w:proofErr w:type="gramEnd"/>
      <w:r>
        <w:rPr>
          <w:rFonts w:ascii="Times New Roman" w:hAnsi="Times New Roman" w:cs="Times New Roman"/>
          <w:color w:val="000000" w:themeColor="text1"/>
        </w:rPr>
        <w:t>. Den var tænkt som midlertidig støtte til de kystnære fiskere. Støtten ophørte den 31. december 2020. På nuværende tidspunkt vurderer en arbejdsgruppe</w:t>
      </w:r>
      <w:r w:rsidR="00477589">
        <w:rPr>
          <w:rFonts w:ascii="Times New Roman" w:hAnsi="Times New Roman" w:cs="Times New Roman"/>
          <w:color w:val="000000" w:themeColor="text1"/>
        </w:rPr>
        <w:t>,</w:t>
      </w:r>
      <w:r>
        <w:rPr>
          <w:rFonts w:ascii="Times New Roman" w:hAnsi="Times New Roman" w:cs="Times New Roman"/>
          <w:color w:val="000000" w:themeColor="text1"/>
        </w:rPr>
        <w:t xml:space="preserve"> om det er behov for at støtten forsætter i nogle måneder endnu</w:t>
      </w:r>
      <w:r w:rsidR="00477589">
        <w:rPr>
          <w:rFonts w:ascii="Times New Roman" w:hAnsi="Times New Roman" w:cs="Times New Roman"/>
          <w:color w:val="000000" w:themeColor="text1"/>
        </w:rPr>
        <w:t xml:space="preserve"> som følge af COVID-19</w:t>
      </w:r>
      <w:r>
        <w:rPr>
          <w:rFonts w:ascii="Times New Roman" w:hAnsi="Times New Roman" w:cs="Times New Roman"/>
          <w:color w:val="000000" w:themeColor="text1"/>
        </w:rPr>
        <w:t>.</w:t>
      </w:r>
    </w:p>
    <w:p w14:paraId="422B857D" w14:textId="77777777" w:rsidR="001835C9" w:rsidRDefault="001835C9">
      <w:pPr>
        <w:spacing w:after="0" w:line="276" w:lineRule="auto"/>
        <w:jc w:val="both"/>
        <w:rPr>
          <w:rFonts w:ascii="Times New Roman" w:hAnsi="Times New Roman" w:cs="Times New Roman"/>
          <w:color w:val="000000" w:themeColor="text1"/>
        </w:rPr>
      </w:pPr>
    </w:p>
    <w:p w14:paraId="1AACF3E4" w14:textId="4E3A3636" w:rsidR="00C423E6" w:rsidRPr="00431F26" w:rsidRDefault="003E0419">
      <w:pPr>
        <w:spacing w:after="0"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00C423E6" w:rsidRPr="00431F26">
        <w:rPr>
          <w:rFonts w:ascii="Times New Roman" w:hAnsi="Times New Roman" w:cs="Times New Roman"/>
          <w:b/>
          <w:color w:val="000000" w:themeColor="text1"/>
          <w:sz w:val="28"/>
          <w:szCs w:val="28"/>
        </w:rPr>
        <w:t>Biologisk rådgivning for rejer og kvotering af rejefiskeriet</w:t>
      </w:r>
    </w:p>
    <w:p w14:paraId="78151F62" w14:textId="2A3E972D" w:rsidR="002F36D6" w:rsidRDefault="00C66D94" w:rsidP="00477589">
      <w:pPr>
        <w:spacing w:after="0" w:line="276" w:lineRule="auto"/>
        <w:jc w:val="both"/>
        <w:rPr>
          <w:rFonts w:ascii="Times New Roman" w:eastAsia="Times New Roman" w:hAnsi="Times New Roman" w:cs="Times New Roman"/>
          <w:color w:val="000000"/>
          <w:lang w:eastAsia="da-DK"/>
        </w:rPr>
      </w:pPr>
      <w:r w:rsidRPr="000C43C1">
        <w:rPr>
          <w:rFonts w:ascii="Times New Roman" w:hAnsi="Times New Roman" w:cs="Times New Roman"/>
          <w:color w:val="000000" w:themeColor="text1"/>
        </w:rPr>
        <w:t>Der har været rådgivet for rejer udenskærs i Vestgrønland siden 1977. Fra 1981 blev der fastsat TAC for havgående rejefiskeri. I det kystnære rejefiskeri var de</w:t>
      </w:r>
      <w:r w:rsidR="00016EBD">
        <w:rPr>
          <w:rFonts w:ascii="Times New Roman" w:hAnsi="Times New Roman" w:cs="Times New Roman"/>
          <w:color w:val="000000" w:themeColor="text1"/>
        </w:rPr>
        <w:t>r</w:t>
      </w:r>
      <w:r w:rsidRPr="000C43C1">
        <w:rPr>
          <w:rFonts w:ascii="Times New Roman" w:hAnsi="Times New Roman" w:cs="Times New Roman"/>
          <w:color w:val="000000" w:themeColor="text1"/>
        </w:rPr>
        <w:t xml:space="preserve"> små kvoter i bestemte områder men hovedparten af fangstområderne var frit fiskeri. Den biologiske rådgivning for rejer blev </w:t>
      </w:r>
      <w:r w:rsidR="00382C6B">
        <w:rPr>
          <w:rFonts w:ascii="Times New Roman" w:hAnsi="Times New Roman" w:cs="Times New Roman"/>
          <w:color w:val="000000" w:themeColor="text1"/>
        </w:rPr>
        <w:t>givet</w:t>
      </w:r>
      <w:r w:rsidRPr="000C43C1">
        <w:rPr>
          <w:rFonts w:ascii="Times New Roman" w:hAnsi="Times New Roman" w:cs="Times New Roman"/>
          <w:color w:val="000000" w:themeColor="text1"/>
        </w:rPr>
        <w:t xml:space="preserve"> første gang i 1995 for hele Vestgrønland både udenskærs og indenskærs. Fra 1995 blev der også indført TAC for det kystnære rejefiskeri.</w:t>
      </w:r>
      <w:r w:rsidR="00F67749" w:rsidRPr="000C43C1">
        <w:rPr>
          <w:rFonts w:ascii="Times New Roman" w:hAnsi="Times New Roman" w:cs="Times New Roman"/>
          <w:color w:val="000000" w:themeColor="text1"/>
        </w:rPr>
        <w:t xml:space="preserve"> </w:t>
      </w:r>
      <w:r w:rsidR="000C43C1" w:rsidRPr="000C43C1">
        <w:rPr>
          <w:rFonts w:ascii="Times New Roman" w:hAnsi="Times New Roman" w:cs="Times New Roman"/>
          <w:color w:val="000000" w:themeColor="text1"/>
        </w:rPr>
        <w:t xml:space="preserve">Biologisk set bliver bestanden af rejer i Vestgrønland og Canada betragtet som én bestand. Siden 1990’erne har Grønland og Canada forsøgt at nå til enighed om fordelingen af TAC for rejer. Der er endnu ikke opnået </w:t>
      </w:r>
      <w:r w:rsidR="000C43C1" w:rsidRPr="002F36D6">
        <w:rPr>
          <w:rFonts w:ascii="Times New Roman" w:hAnsi="Times New Roman" w:cs="Times New Roman"/>
          <w:color w:val="000000" w:themeColor="text1"/>
        </w:rPr>
        <w:t xml:space="preserve">enighed om en egentlig fordelingsnøgle imellem Grønland og Canada. </w:t>
      </w:r>
      <w:r w:rsidR="002F36D6" w:rsidRPr="002F36D6">
        <w:rPr>
          <w:rFonts w:ascii="Times New Roman" w:hAnsi="Times New Roman" w:cs="Times New Roman"/>
          <w:color w:val="000000"/>
        </w:rPr>
        <w:t xml:space="preserve">Der er ikke en fast procentdel af TAC, der årligt sættes af til Canada. Mængden der afsættes til Canada er bestemt ud fra en beregningsmodel baseret på parametre omkring bestandens biomasse samt historiske fangster og varierer fra år til år, men ligger i størrelsesordenen 1-3 pct. af TAC. </w:t>
      </w:r>
      <w:r w:rsidR="002F36D6" w:rsidRPr="002F36D6">
        <w:rPr>
          <w:rFonts w:ascii="Times New Roman" w:eastAsia="Times New Roman" w:hAnsi="Times New Roman" w:cs="Times New Roman"/>
          <w:color w:val="000000"/>
          <w:lang w:eastAsia="da-DK"/>
        </w:rPr>
        <w:t> </w:t>
      </w:r>
    </w:p>
    <w:p w14:paraId="5D61DD39" w14:textId="77777777" w:rsidR="003E0419" w:rsidRPr="002F36D6" w:rsidRDefault="003E0419" w:rsidP="00477589">
      <w:pPr>
        <w:spacing w:after="0" w:line="276" w:lineRule="auto"/>
        <w:jc w:val="both"/>
        <w:rPr>
          <w:rFonts w:ascii="Times New Roman" w:eastAsia="Times New Roman" w:hAnsi="Times New Roman" w:cs="Times New Roman"/>
          <w:color w:val="000000"/>
          <w:lang w:eastAsia="da-DK"/>
        </w:rPr>
      </w:pPr>
    </w:p>
    <w:p w14:paraId="0E70BFD5" w14:textId="77777777" w:rsidR="002F36D6" w:rsidRPr="002F36D6" w:rsidRDefault="002F36D6" w:rsidP="00E24F47">
      <w:pPr>
        <w:spacing w:after="0" w:line="276" w:lineRule="auto"/>
        <w:jc w:val="both"/>
        <w:rPr>
          <w:rFonts w:ascii="Times New Roman" w:eastAsia="Times New Roman" w:hAnsi="Times New Roman" w:cs="Times New Roman"/>
          <w:color w:val="000000"/>
          <w:lang w:eastAsia="da-DK"/>
        </w:rPr>
      </w:pPr>
      <w:r w:rsidRPr="002F36D6">
        <w:rPr>
          <w:rFonts w:ascii="Times New Roman" w:eastAsia="Times New Roman" w:hAnsi="Times New Roman" w:cs="Times New Roman"/>
          <w:color w:val="000000"/>
          <w:lang w:eastAsia="da-DK"/>
        </w:rPr>
        <w:t>Canada overholder ikke en kvote der svarer til den del af TAC som er afsat fra Grønland. De sætter deres egen TAC som ligger i størrelsesordenen 14 - 17% af TAC. Derved kommer den samlede TAC for bestanden til at ligge over den videnskabelige rådgivning fra NAFO.</w:t>
      </w:r>
    </w:p>
    <w:p w14:paraId="167C05FB" w14:textId="77777777" w:rsidR="002F36D6" w:rsidRPr="002F36D6" w:rsidRDefault="002F36D6" w:rsidP="00E24F47">
      <w:pPr>
        <w:spacing w:after="0" w:line="276" w:lineRule="auto"/>
        <w:jc w:val="both"/>
        <w:rPr>
          <w:rFonts w:ascii="Times New Roman" w:eastAsia="Times New Roman" w:hAnsi="Times New Roman" w:cs="Times New Roman"/>
          <w:color w:val="000000"/>
          <w:lang w:eastAsia="da-DK"/>
        </w:rPr>
      </w:pPr>
      <w:r w:rsidRPr="002F36D6">
        <w:rPr>
          <w:rFonts w:ascii="Times New Roman" w:eastAsia="Times New Roman" w:hAnsi="Times New Roman" w:cs="Times New Roman"/>
          <w:color w:val="000000"/>
          <w:lang w:eastAsia="da-DK"/>
        </w:rPr>
        <w:t> </w:t>
      </w:r>
    </w:p>
    <w:p w14:paraId="2EFE191E" w14:textId="77777777" w:rsidR="002F36D6" w:rsidRPr="002F36D6" w:rsidRDefault="002F36D6" w:rsidP="00E24F47">
      <w:pPr>
        <w:spacing w:after="0" w:line="276" w:lineRule="auto"/>
        <w:jc w:val="both"/>
        <w:rPr>
          <w:rFonts w:ascii="Times New Roman" w:eastAsia="Times New Roman" w:hAnsi="Times New Roman" w:cs="Times New Roman"/>
          <w:color w:val="000000"/>
          <w:lang w:eastAsia="da-DK"/>
        </w:rPr>
      </w:pPr>
      <w:r w:rsidRPr="002F36D6">
        <w:rPr>
          <w:rFonts w:ascii="Times New Roman" w:eastAsia="Times New Roman" w:hAnsi="Times New Roman" w:cs="Times New Roman"/>
          <w:color w:val="000000"/>
          <w:lang w:eastAsia="da-DK"/>
        </w:rPr>
        <w:t xml:space="preserve">Canadas faktiske fangster har de seneste år ligget på et niveau der svarer til 2-3% af TAC. Det vil sige </w:t>
      </w:r>
      <w:r w:rsidR="00016EBD">
        <w:rPr>
          <w:rFonts w:ascii="Times New Roman" w:eastAsia="Times New Roman" w:hAnsi="Times New Roman" w:cs="Times New Roman"/>
          <w:color w:val="000000"/>
          <w:lang w:eastAsia="da-DK"/>
        </w:rPr>
        <w:t xml:space="preserve">at </w:t>
      </w:r>
      <w:r w:rsidRPr="002F36D6">
        <w:rPr>
          <w:rFonts w:ascii="Times New Roman" w:eastAsia="Times New Roman" w:hAnsi="Times New Roman" w:cs="Times New Roman"/>
          <w:color w:val="000000"/>
          <w:lang w:eastAsia="da-DK"/>
        </w:rPr>
        <w:t>deres optag er langt under den kvote de har sat.</w:t>
      </w:r>
    </w:p>
    <w:p w14:paraId="651670CF" w14:textId="77777777" w:rsidR="00C66D94" w:rsidRDefault="00C66D94" w:rsidP="00A21B75">
      <w:pPr>
        <w:spacing w:after="0" w:line="276" w:lineRule="auto"/>
        <w:jc w:val="both"/>
        <w:rPr>
          <w:rFonts w:ascii="Times New Roman" w:hAnsi="Times New Roman" w:cs="Times New Roman"/>
          <w:color w:val="000000"/>
        </w:rPr>
      </w:pPr>
    </w:p>
    <w:p w14:paraId="28F29808" w14:textId="77777777" w:rsidR="002F36D6" w:rsidRPr="00F67749" w:rsidRDefault="002F36D6" w:rsidP="001835C9">
      <w:pPr>
        <w:spacing w:after="0" w:line="276" w:lineRule="auto"/>
        <w:jc w:val="both"/>
        <w:rPr>
          <w:rFonts w:ascii="Times New Roman" w:hAnsi="Times New Roman" w:cs="Times New Roman"/>
          <w:color w:val="000000" w:themeColor="text1"/>
        </w:rPr>
      </w:pPr>
    </w:p>
    <w:p w14:paraId="58437C42" w14:textId="77777777" w:rsidR="00A93A45" w:rsidRDefault="00A93A45" w:rsidP="003E35AB">
      <w:pPr>
        <w:spacing w:after="0" w:line="276" w:lineRule="auto"/>
        <w:jc w:val="both"/>
        <w:rPr>
          <w:rFonts w:ascii="Times New Roman" w:hAnsi="Times New Roman" w:cs="Times New Roman"/>
          <w:b/>
          <w:color w:val="000000" w:themeColor="text1"/>
        </w:rPr>
      </w:pPr>
    </w:p>
    <w:p w14:paraId="7BE8030D" w14:textId="77777777" w:rsidR="00A93A45" w:rsidRDefault="00A93A45" w:rsidP="003E35AB">
      <w:pPr>
        <w:spacing w:after="0" w:line="276" w:lineRule="auto"/>
        <w:jc w:val="both"/>
        <w:rPr>
          <w:rFonts w:ascii="Times New Roman" w:hAnsi="Times New Roman" w:cs="Times New Roman"/>
          <w:b/>
          <w:color w:val="000000" w:themeColor="text1"/>
        </w:rPr>
      </w:pPr>
    </w:p>
    <w:p w14:paraId="64827A39" w14:textId="77777777" w:rsidR="00A93A45" w:rsidRDefault="00A93A45" w:rsidP="003E35AB">
      <w:pPr>
        <w:spacing w:after="0" w:line="276" w:lineRule="auto"/>
        <w:jc w:val="both"/>
        <w:rPr>
          <w:rFonts w:ascii="Times New Roman" w:hAnsi="Times New Roman" w:cs="Times New Roman"/>
          <w:b/>
          <w:color w:val="000000" w:themeColor="text1"/>
        </w:rPr>
      </w:pPr>
    </w:p>
    <w:p w14:paraId="52DBF465" w14:textId="77777777" w:rsidR="00A93A45" w:rsidRDefault="00A93A45" w:rsidP="003E35AB">
      <w:pPr>
        <w:spacing w:after="0" w:line="276" w:lineRule="auto"/>
        <w:jc w:val="both"/>
        <w:rPr>
          <w:rFonts w:ascii="Times New Roman" w:hAnsi="Times New Roman" w:cs="Times New Roman"/>
          <w:b/>
          <w:color w:val="000000" w:themeColor="text1"/>
        </w:rPr>
      </w:pPr>
    </w:p>
    <w:p w14:paraId="75B98B2C" w14:textId="77777777" w:rsidR="00A93A45" w:rsidRDefault="00A93A45" w:rsidP="003E35AB">
      <w:pPr>
        <w:spacing w:after="0" w:line="276" w:lineRule="auto"/>
        <w:jc w:val="both"/>
        <w:rPr>
          <w:rFonts w:ascii="Times New Roman" w:hAnsi="Times New Roman" w:cs="Times New Roman"/>
          <w:b/>
          <w:color w:val="000000" w:themeColor="text1"/>
        </w:rPr>
      </w:pPr>
    </w:p>
    <w:p w14:paraId="050AA705" w14:textId="77777777" w:rsidR="00A93A45" w:rsidRDefault="00A93A45" w:rsidP="003E35AB">
      <w:pPr>
        <w:spacing w:after="0" w:line="276" w:lineRule="auto"/>
        <w:jc w:val="both"/>
        <w:rPr>
          <w:rFonts w:ascii="Times New Roman" w:hAnsi="Times New Roman" w:cs="Times New Roman"/>
          <w:b/>
          <w:color w:val="000000" w:themeColor="text1"/>
        </w:rPr>
      </w:pPr>
    </w:p>
    <w:p w14:paraId="7DBF34C8" w14:textId="069108C8" w:rsidR="00C66D94" w:rsidRDefault="00791C8F" w:rsidP="003E35AB">
      <w:pPr>
        <w:spacing w:after="0" w:line="276" w:lineRule="auto"/>
        <w:jc w:val="both"/>
        <w:rPr>
          <w:rFonts w:ascii="Times New Roman" w:hAnsi="Times New Roman" w:cs="Times New Roman"/>
          <w:b/>
          <w:color w:val="000000" w:themeColor="text1"/>
        </w:rPr>
      </w:pPr>
      <w:r w:rsidRPr="00AC4047">
        <w:rPr>
          <w:rFonts w:ascii="Times New Roman" w:hAnsi="Times New Roman" w:cs="Times New Roman"/>
          <w:b/>
          <w:color w:val="000000" w:themeColor="text1"/>
        </w:rPr>
        <w:t xml:space="preserve">Figur </w:t>
      </w:r>
      <w:r w:rsidR="003E0419">
        <w:rPr>
          <w:rFonts w:ascii="Times New Roman" w:hAnsi="Times New Roman" w:cs="Times New Roman"/>
          <w:b/>
          <w:color w:val="000000" w:themeColor="text1"/>
        </w:rPr>
        <w:t>1</w:t>
      </w:r>
      <w:r w:rsidR="00CF2DAB" w:rsidRPr="00AC4047">
        <w:rPr>
          <w:rFonts w:ascii="Times New Roman" w:hAnsi="Times New Roman" w:cs="Times New Roman"/>
          <w:b/>
          <w:color w:val="000000" w:themeColor="text1"/>
        </w:rPr>
        <w:t xml:space="preserve">: </w:t>
      </w:r>
      <w:r w:rsidR="00C66D94" w:rsidRPr="00AC4047">
        <w:rPr>
          <w:rFonts w:ascii="Times New Roman" w:hAnsi="Times New Roman" w:cs="Times New Roman"/>
          <w:b/>
          <w:color w:val="000000" w:themeColor="text1"/>
        </w:rPr>
        <w:t>Udvikling i den biologisk rådgivning for rejer, TAC og rejefangster</w:t>
      </w:r>
      <w:r w:rsidR="008C2EDF" w:rsidRPr="00AC4047">
        <w:rPr>
          <w:rFonts w:ascii="Times New Roman" w:hAnsi="Times New Roman" w:cs="Times New Roman"/>
          <w:b/>
          <w:color w:val="000000" w:themeColor="text1"/>
        </w:rPr>
        <w:t xml:space="preserve"> i Vestgrønland</w:t>
      </w:r>
      <w:r w:rsidR="00C66D94" w:rsidRPr="00AC4047">
        <w:rPr>
          <w:rFonts w:ascii="Times New Roman" w:hAnsi="Times New Roman" w:cs="Times New Roman"/>
          <w:b/>
          <w:color w:val="000000" w:themeColor="text1"/>
        </w:rPr>
        <w:t>, 1990-</w:t>
      </w:r>
      <w:r w:rsidR="006419AF">
        <w:rPr>
          <w:rFonts w:ascii="Times New Roman" w:hAnsi="Times New Roman" w:cs="Times New Roman"/>
          <w:b/>
          <w:color w:val="000000" w:themeColor="text1"/>
        </w:rPr>
        <w:t>2020</w:t>
      </w:r>
      <w:r w:rsidRPr="00AC4047">
        <w:rPr>
          <w:rFonts w:ascii="Times New Roman" w:hAnsi="Times New Roman" w:cs="Times New Roman"/>
          <w:b/>
          <w:color w:val="000000" w:themeColor="text1"/>
        </w:rPr>
        <w:t>.</w:t>
      </w:r>
    </w:p>
    <w:p w14:paraId="2B58E09B" w14:textId="09FB3BEA" w:rsidR="003E35AB" w:rsidRPr="00AC4047" w:rsidRDefault="00C84531" w:rsidP="003E35AB">
      <w:pPr>
        <w:spacing w:after="0" w:line="276" w:lineRule="auto"/>
        <w:jc w:val="both"/>
        <w:rPr>
          <w:rFonts w:ascii="Times New Roman" w:hAnsi="Times New Roman" w:cs="Times New Roman"/>
          <w:b/>
          <w:color w:val="000000" w:themeColor="text1"/>
        </w:rPr>
      </w:pPr>
      <w:r>
        <w:rPr>
          <w:noProof/>
          <w:lang w:val="en-US"/>
        </w:rPr>
        <w:lastRenderedPageBreak/>
        <w:drawing>
          <wp:inline distT="0" distB="0" distL="0" distR="0" wp14:anchorId="063632BD" wp14:editId="461D2EE1">
            <wp:extent cx="6120130" cy="44958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8FF004" w14:textId="77777777" w:rsidR="00D4352B" w:rsidRPr="00136741" w:rsidRDefault="00D4352B" w:rsidP="00241DBF">
      <w:pPr>
        <w:spacing w:after="0" w:line="276" w:lineRule="auto"/>
        <w:jc w:val="both"/>
        <w:rPr>
          <w:rFonts w:ascii="Times New Roman" w:hAnsi="Times New Roman" w:cs="Times New Roman"/>
          <w:color w:val="000000" w:themeColor="text1"/>
          <w:sz w:val="20"/>
          <w:szCs w:val="20"/>
        </w:rPr>
      </w:pPr>
      <w:r w:rsidRPr="00136741">
        <w:rPr>
          <w:rFonts w:ascii="Times New Roman" w:hAnsi="Times New Roman" w:cs="Times New Roman"/>
          <w:color w:val="000000" w:themeColor="text1"/>
          <w:sz w:val="20"/>
          <w:szCs w:val="20"/>
        </w:rPr>
        <w:t>Kilde: Grønlands Naturinstitut.</w:t>
      </w:r>
    </w:p>
    <w:p w14:paraId="07F77FEE" w14:textId="20F9976E" w:rsidR="00C66D94" w:rsidRPr="00136741" w:rsidRDefault="00CF09F8" w:rsidP="008F260E">
      <w:pPr>
        <w:spacing w:after="0" w:line="276" w:lineRule="auto"/>
        <w:jc w:val="both"/>
        <w:rPr>
          <w:rFonts w:ascii="Times New Roman" w:hAnsi="Times New Roman" w:cs="Times New Roman"/>
          <w:color w:val="000000" w:themeColor="text1"/>
          <w:sz w:val="20"/>
          <w:szCs w:val="20"/>
        </w:rPr>
      </w:pPr>
      <w:r w:rsidRPr="00136741">
        <w:rPr>
          <w:rFonts w:ascii="Times New Roman" w:hAnsi="Times New Roman" w:cs="Times New Roman"/>
          <w:color w:val="000000" w:themeColor="text1"/>
          <w:sz w:val="20"/>
          <w:szCs w:val="20"/>
        </w:rPr>
        <w:t xml:space="preserve">Note: </w:t>
      </w:r>
      <w:r w:rsidR="00870C00">
        <w:rPr>
          <w:rFonts w:ascii="Times New Roman" w:hAnsi="Times New Roman" w:cs="Times New Roman"/>
          <w:color w:val="000000" w:themeColor="text1"/>
          <w:sz w:val="20"/>
          <w:szCs w:val="20"/>
        </w:rPr>
        <w:t xml:space="preserve">Rejefangsterne som er opgjort på grundlag af </w:t>
      </w:r>
      <w:proofErr w:type="gramStart"/>
      <w:r w:rsidR="00870C00">
        <w:rPr>
          <w:rFonts w:ascii="Times New Roman" w:hAnsi="Times New Roman" w:cs="Times New Roman"/>
          <w:color w:val="000000" w:themeColor="text1"/>
          <w:sz w:val="20"/>
          <w:szCs w:val="20"/>
        </w:rPr>
        <w:t>logbøger</w:t>
      </w:r>
      <w:proofErr w:type="gramEnd"/>
      <w:r w:rsidR="00870C00">
        <w:rPr>
          <w:rFonts w:ascii="Times New Roman" w:hAnsi="Times New Roman" w:cs="Times New Roman"/>
          <w:color w:val="000000" w:themeColor="text1"/>
          <w:sz w:val="20"/>
          <w:szCs w:val="20"/>
        </w:rPr>
        <w:t xml:space="preserve"> er de samlede mængder rejer hævet op fra havet. Opgørelsen af 2020 fangster er ikke klar hvorfor </w:t>
      </w:r>
      <w:r w:rsidR="00C84531">
        <w:rPr>
          <w:rFonts w:ascii="Times New Roman" w:hAnsi="Times New Roman" w:cs="Times New Roman"/>
          <w:color w:val="000000" w:themeColor="text1"/>
          <w:sz w:val="20"/>
          <w:szCs w:val="20"/>
        </w:rPr>
        <w:t xml:space="preserve">det anvendes kvotetræk. Opgørelse af fangsterne med anvendelse af kvotetræk vil være lavere end opgørelsen af samlet rejefangst. </w:t>
      </w:r>
      <w:r w:rsidRPr="00136741">
        <w:rPr>
          <w:rFonts w:ascii="Times New Roman" w:hAnsi="Times New Roman" w:cs="Times New Roman"/>
          <w:color w:val="000000" w:themeColor="text1"/>
          <w:sz w:val="20"/>
          <w:szCs w:val="20"/>
        </w:rPr>
        <w:t xml:space="preserve">TAC er </w:t>
      </w:r>
      <w:proofErr w:type="gramStart"/>
      <w:r w:rsidRPr="00136741">
        <w:rPr>
          <w:rFonts w:ascii="Times New Roman" w:hAnsi="Times New Roman" w:cs="Times New Roman"/>
          <w:color w:val="000000" w:themeColor="text1"/>
          <w:sz w:val="20"/>
          <w:szCs w:val="20"/>
        </w:rPr>
        <w:t>eksklusiv</w:t>
      </w:r>
      <w:proofErr w:type="gramEnd"/>
      <w:r w:rsidRPr="00136741">
        <w:rPr>
          <w:rFonts w:ascii="Times New Roman" w:hAnsi="Times New Roman" w:cs="Times New Roman"/>
          <w:color w:val="000000" w:themeColor="text1"/>
          <w:sz w:val="20"/>
          <w:szCs w:val="20"/>
        </w:rPr>
        <w:t xml:space="preserve"> rejekvote</w:t>
      </w:r>
      <w:r w:rsidR="00477589">
        <w:rPr>
          <w:rFonts w:ascii="Times New Roman" w:hAnsi="Times New Roman" w:cs="Times New Roman"/>
          <w:color w:val="000000" w:themeColor="text1"/>
          <w:sz w:val="20"/>
          <w:szCs w:val="20"/>
        </w:rPr>
        <w:t>,</w:t>
      </w:r>
      <w:r w:rsidRPr="00136741">
        <w:rPr>
          <w:rFonts w:ascii="Times New Roman" w:hAnsi="Times New Roman" w:cs="Times New Roman"/>
          <w:color w:val="000000" w:themeColor="text1"/>
          <w:sz w:val="20"/>
          <w:szCs w:val="20"/>
        </w:rPr>
        <w:t xml:space="preserve"> der tildeles </w:t>
      </w:r>
      <w:r w:rsidR="008A2197" w:rsidRPr="00136741">
        <w:rPr>
          <w:rFonts w:ascii="Times New Roman" w:hAnsi="Times New Roman" w:cs="Times New Roman"/>
          <w:color w:val="000000" w:themeColor="text1"/>
          <w:sz w:val="20"/>
          <w:szCs w:val="20"/>
        </w:rPr>
        <w:t>Canada</w:t>
      </w:r>
      <w:r w:rsidR="00477589">
        <w:rPr>
          <w:rFonts w:ascii="Times New Roman" w:hAnsi="Times New Roman" w:cs="Times New Roman"/>
          <w:color w:val="000000" w:themeColor="text1"/>
          <w:sz w:val="20"/>
          <w:szCs w:val="20"/>
        </w:rPr>
        <w:t>,</w:t>
      </w:r>
      <w:r w:rsidR="003E35AB">
        <w:rPr>
          <w:rFonts w:ascii="Times New Roman" w:hAnsi="Times New Roman" w:cs="Times New Roman"/>
          <w:color w:val="000000" w:themeColor="text1"/>
          <w:sz w:val="20"/>
          <w:szCs w:val="20"/>
        </w:rPr>
        <w:t xml:space="preserve"> men inklusiv </w:t>
      </w:r>
      <w:r w:rsidR="00477589">
        <w:rPr>
          <w:rFonts w:ascii="Times New Roman" w:hAnsi="Times New Roman" w:cs="Times New Roman"/>
          <w:color w:val="000000" w:themeColor="text1"/>
          <w:sz w:val="20"/>
          <w:szCs w:val="20"/>
        </w:rPr>
        <w:t xml:space="preserve">den </w:t>
      </w:r>
      <w:r w:rsidR="003E35AB">
        <w:rPr>
          <w:rFonts w:ascii="Times New Roman" w:hAnsi="Times New Roman" w:cs="Times New Roman"/>
          <w:color w:val="000000" w:themeColor="text1"/>
          <w:sz w:val="20"/>
          <w:szCs w:val="20"/>
        </w:rPr>
        <w:t xml:space="preserve">kvote der gives til EU. </w:t>
      </w:r>
      <w:r w:rsidR="000E4CEB" w:rsidRPr="00136741">
        <w:rPr>
          <w:rFonts w:ascii="Times New Roman" w:hAnsi="Times New Roman" w:cs="Times New Roman"/>
          <w:color w:val="000000" w:themeColor="text1"/>
          <w:sz w:val="20"/>
          <w:szCs w:val="20"/>
        </w:rPr>
        <w:t xml:space="preserve"> Fangstmængderne </w:t>
      </w:r>
      <w:r w:rsidR="0080536C" w:rsidRPr="00136741">
        <w:rPr>
          <w:rFonts w:ascii="Times New Roman" w:hAnsi="Times New Roman" w:cs="Times New Roman"/>
          <w:color w:val="000000" w:themeColor="text1"/>
          <w:sz w:val="20"/>
          <w:szCs w:val="20"/>
        </w:rPr>
        <w:t>er de rejer der er fisket i grønlandsk fiskerizone</w:t>
      </w:r>
      <w:r w:rsidR="000E4CEB" w:rsidRPr="00136741">
        <w:rPr>
          <w:rFonts w:ascii="Times New Roman" w:hAnsi="Times New Roman" w:cs="Times New Roman"/>
          <w:color w:val="000000" w:themeColor="text1"/>
          <w:sz w:val="20"/>
          <w:szCs w:val="20"/>
        </w:rPr>
        <w:t>.</w:t>
      </w:r>
    </w:p>
    <w:p w14:paraId="3CF382F6" w14:textId="77777777" w:rsidR="008A2197" w:rsidRPr="00CF09F8" w:rsidRDefault="008A2197" w:rsidP="008F260E">
      <w:pPr>
        <w:spacing w:after="0" w:line="276" w:lineRule="auto"/>
        <w:jc w:val="both"/>
        <w:rPr>
          <w:rFonts w:ascii="Times New Roman" w:hAnsi="Times New Roman" w:cs="Times New Roman"/>
          <w:color w:val="000000" w:themeColor="text1"/>
        </w:rPr>
      </w:pPr>
    </w:p>
    <w:p w14:paraId="64F3E55E" w14:textId="3E3A5FDB" w:rsidR="005C78F4" w:rsidRDefault="00382C6B">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173D85">
        <w:rPr>
          <w:rFonts w:ascii="Times New Roman" w:hAnsi="Times New Roman" w:cs="Times New Roman"/>
          <w:color w:val="000000" w:themeColor="text1"/>
        </w:rPr>
        <w:t>il t</w:t>
      </w:r>
      <w:r w:rsidR="00C423E6" w:rsidRPr="000C43C1">
        <w:rPr>
          <w:rFonts w:ascii="Times New Roman" w:hAnsi="Times New Roman" w:cs="Times New Roman"/>
          <w:color w:val="000000" w:themeColor="text1"/>
        </w:rPr>
        <w:t>rods</w:t>
      </w:r>
      <w:r>
        <w:rPr>
          <w:rFonts w:ascii="Times New Roman" w:hAnsi="Times New Roman" w:cs="Times New Roman"/>
          <w:color w:val="000000" w:themeColor="text1"/>
        </w:rPr>
        <w:t xml:space="preserve"> for, at</w:t>
      </w:r>
      <w:r w:rsidR="00C423E6" w:rsidRPr="000C43C1">
        <w:rPr>
          <w:rFonts w:ascii="Times New Roman" w:hAnsi="Times New Roman" w:cs="Times New Roman"/>
          <w:color w:val="000000" w:themeColor="text1"/>
        </w:rPr>
        <w:t xml:space="preserve"> der blev fastsat TAC for både havgående og kystnært rejefiskeri i Vestgrønland</w:t>
      </w:r>
      <w:r>
        <w:rPr>
          <w:rFonts w:ascii="Times New Roman" w:hAnsi="Times New Roman" w:cs="Times New Roman"/>
          <w:color w:val="000000" w:themeColor="text1"/>
        </w:rPr>
        <w:t>,</w:t>
      </w:r>
      <w:r w:rsidR="00C423E6" w:rsidRPr="000C43C1">
        <w:rPr>
          <w:rFonts w:ascii="Times New Roman" w:hAnsi="Times New Roman" w:cs="Times New Roman"/>
          <w:color w:val="000000" w:themeColor="text1"/>
        </w:rPr>
        <w:t xml:space="preserve"> blev der fanget</w:t>
      </w:r>
      <w:r w:rsidR="00F47357">
        <w:rPr>
          <w:rFonts w:ascii="Times New Roman" w:hAnsi="Times New Roman" w:cs="Times New Roman"/>
          <w:color w:val="000000" w:themeColor="text1"/>
        </w:rPr>
        <w:t xml:space="preserve"> højere mængder en</w:t>
      </w:r>
      <w:r w:rsidR="00016EBD">
        <w:rPr>
          <w:rFonts w:ascii="Times New Roman" w:hAnsi="Times New Roman" w:cs="Times New Roman"/>
          <w:color w:val="000000" w:themeColor="text1"/>
        </w:rPr>
        <w:t>d</w:t>
      </w:r>
      <w:r w:rsidR="00F47357">
        <w:rPr>
          <w:rFonts w:ascii="Times New Roman" w:hAnsi="Times New Roman" w:cs="Times New Roman"/>
          <w:color w:val="000000" w:themeColor="text1"/>
        </w:rPr>
        <w:t xml:space="preserve"> TAC´en</w:t>
      </w:r>
      <w:r w:rsidR="00791C8F">
        <w:rPr>
          <w:rFonts w:ascii="Times New Roman" w:hAnsi="Times New Roman" w:cs="Times New Roman"/>
          <w:color w:val="000000" w:themeColor="text1"/>
        </w:rPr>
        <w:t xml:space="preserve">, jf. figur </w:t>
      </w:r>
      <w:r w:rsidR="003E0419">
        <w:rPr>
          <w:rFonts w:ascii="Times New Roman" w:hAnsi="Times New Roman" w:cs="Times New Roman"/>
          <w:color w:val="000000" w:themeColor="text1"/>
        </w:rPr>
        <w:t>1</w:t>
      </w:r>
      <w:r w:rsidR="00C423E6">
        <w:rPr>
          <w:rFonts w:ascii="Times New Roman" w:hAnsi="Times New Roman" w:cs="Times New Roman"/>
          <w:color w:val="000000" w:themeColor="text1"/>
        </w:rPr>
        <w:t xml:space="preserve">. </w:t>
      </w:r>
      <w:r w:rsidR="00C66D94" w:rsidRPr="00F67749">
        <w:rPr>
          <w:rFonts w:ascii="Times New Roman" w:hAnsi="Times New Roman" w:cs="Times New Roman"/>
          <w:color w:val="000000" w:themeColor="text1"/>
        </w:rPr>
        <w:t>De totale fangster er estimeret fra logbøger og er i perioden fra 1975 til 2003 korrigeret for ”overpakningsfaktor” og konverteret til levende vægt (den mængde er udtaget fra bestanden).</w:t>
      </w:r>
      <w:r w:rsidR="00F47357">
        <w:rPr>
          <w:rFonts w:ascii="Times New Roman" w:hAnsi="Times New Roman" w:cs="Times New Roman"/>
          <w:color w:val="000000" w:themeColor="text1"/>
        </w:rPr>
        <w:t xml:space="preserve"> Overpaknings-faktoren tager højde for overpakning af rejerne ved produktion til havs</w:t>
      </w:r>
      <w:r w:rsidR="00173D85">
        <w:rPr>
          <w:rFonts w:ascii="Times New Roman" w:hAnsi="Times New Roman" w:cs="Times New Roman"/>
          <w:color w:val="000000" w:themeColor="text1"/>
        </w:rPr>
        <w:t>,</w:t>
      </w:r>
      <w:r w:rsidR="00F47357">
        <w:rPr>
          <w:rFonts w:ascii="Times New Roman" w:hAnsi="Times New Roman" w:cs="Times New Roman"/>
          <w:color w:val="000000" w:themeColor="text1"/>
        </w:rPr>
        <w:t xml:space="preserve"> som</w:t>
      </w:r>
      <w:r w:rsidR="00016EBD">
        <w:rPr>
          <w:rFonts w:ascii="Times New Roman" w:hAnsi="Times New Roman" w:cs="Times New Roman"/>
          <w:color w:val="000000" w:themeColor="text1"/>
        </w:rPr>
        <w:t xml:space="preserve"> der</w:t>
      </w:r>
      <w:r w:rsidR="00F47357">
        <w:rPr>
          <w:rFonts w:ascii="Times New Roman" w:hAnsi="Times New Roman" w:cs="Times New Roman"/>
          <w:color w:val="000000" w:themeColor="text1"/>
        </w:rPr>
        <w:t xml:space="preserve"> ikke var taget hensyn til ved beregning af fangstmængderne før</w:t>
      </w:r>
      <w:r w:rsidR="002F36D6">
        <w:rPr>
          <w:rFonts w:ascii="Times New Roman" w:hAnsi="Times New Roman" w:cs="Times New Roman"/>
          <w:color w:val="000000" w:themeColor="text1"/>
        </w:rPr>
        <w:t xml:space="preserve"> dvs. flere kilo er sat i hver pakning end angivet på emballagen.</w:t>
      </w:r>
      <w:r w:rsidR="00C66D94" w:rsidRPr="00F67749">
        <w:rPr>
          <w:rFonts w:ascii="Times New Roman" w:hAnsi="Times New Roman" w:cs="Times New Roman"/>
          <w:color w:val="000000" w:themeColor="text1"/>
        </w:rPr>
        <w:t xml:space="preserve"> </w:t>
      </w:r>
    </w:p>
    <w:p w14:paraId="7BB3245B" w14:textId="77777777" w:rsidR="005C78F4" w:rsidRDefault="005C78F4">
      <w:pPr>
        <w:spacing w:after="0" w:line="276" w:lineRule="auto"/>
        <w:jc w:val="both"/>
        <w:rPr>
          <w:rFonts w:ascii="Times New Roman" w:hAnsi="Times New Roman" w:cs="Times New Roman"/>
          <w:color w:val="000000" w:themeColor="text1"/>
        </w:rPr>
      </w:pPr>
    </w:p>
    <w:p w14:paraId="2286B5C4" w14:textId="607C2B79" w:rsidR="00C66D94" w:rsidRDefault="00C66D94">
      <w:pPr>
        <w:spacing w:after="0" w:line="276" w:lineRule="auto"/>
        <w:jc w:val="both"/>
        <w:rPr>
          <w:rFonts w:ascii="Times New Roman" w:hAnsi="Times New Roman" w:cs="Times New Roman"/>
          <w:color w:val="000000" w:themeColor="text1"/>
        </w:rPr>
      </w:pPr>
      <w:r w:rsidRPr="00F67749">
        <w:rPr>
          <w:rFonts w:ascii="Times New Roman" w:hAnsi="Times New Roman" w:cs="Times New Roman"/>
          <w:color w:val="000000" w:themeColor="text1"/>
        </w:rPr>
        <w:t>1</w:t>
      </w:r>
      <w:r w:rsidR="00D55F3D">
        <w:rPr>
          <w:rFonts w:ascii="Times New Roman" w:hAnsi="Times New Roman" w:cs="Times New Roman"/>
          <w:color w:val="000000" w:themeColor="text1"/>
        </w:rPr>
        <w:t>.</w:t>
      </w:r>
      <w:r w:rsidRPr="00F67749">
        <w:rPr>
          <w:rFonts w:ascii="Times New Roman" w:hAnsi="Times New Roman" w:cs="Times New Roman"/>
          <w:color w:val="000000" w:themeColor="text1"/>
        </w:rPr>
        <w:t xml:space="preserve"> januar 2004, trådte en ny lov i kraft</w:t>
      </w:r>
      <w:r w:rsidR="00382C6B">
        <w:rPr>
          <w:rFonts w:ascii="Times New Roman" w:hAnsi="Times New Roman" w:cs="Times New Roman"/>
          <w:color w:val="000000" w:themeColor="text1"/>
        </w:rPr>
        <w:t>,</w:t>
      </w:r>
      <w:r w:rsidRPr="00F67749">
        <w:rPr>
          <w:rFonts w:ascii="Times New Roman" w:hAnsi="Times New Roman" w:cs="Times New Roman"/>
          <w:color w:val="000000" w:themeColor="text1"/>
        </w:rPr>
        <w:t xml:space="preserve"> og fangsterne i logbøgerne har siden været angivet som den reelle mængde rejer</w:t>
      </w:r>
      <w:r w:rsidR="00382C6B">
        <w:rPr>
          <w:rFonts w:ascii="Times New Roman" w:hAnsi="Times New Roman" w:cs="Times New Roman"/>
          <w:color w:val="000000" w:themeColor="text1"/>
        </w:rPr>
        <w:t>,</w:t>
      </w:r>
      <w:r w:rsidRPr="00F67749">
        <w:rPr>
          <w:rFonts w:ascii="Times New Roman" w:hAnsi="Times New Roman" w:cs="Times New Roman"/>
          <w:color w:val="000000" w:themeColor="text1"/>
        </w:rPr>
        <w:t xml:space="preserve"> der er taget ud af havet. Dette kan</w:t>
      </w:r>
      <w:r w:rsidR="00C423E6">
        <w:rPr>
          <w:rFonts w:ascii="Times New Roman" w:hAnsi="Times New Roman" w:cs="Times New Roman"/>
          <w:color w:val="000000" w:themeColor="text1"/>
        </w:rPr>
        <w:t xml:space="preserve"> </w:t>
      </w:r>
      <w:r w:rsidRPr="00F67749">
        <w:rPr>
          <w:rFonts w:ascii="Times New Roman" w:hAnsi="Times New Roman" w:cs="Times New Roman"/>
          <w:color w:val="000000" w:themeColor="text1"/>
        </w:rPr>
        <w:t xml:space="preserve">forklare noget </w:t>
      </w:r>
      <w:r w:rsidR="00016EBD">
        <w:rPr>
          <w:rFonts w:ascii="Times New Roman" w:hAnsi="Times New Roman" w:cs="Times New Roman"/>
          <w:color w:val="000000" w:themeColor="text1"/>
        </w:rPr>
        <w:t xml:space="preserve">af </w:t>
      </w:r>
      <w:r w:rsidRPr="00F67749">
        <w:rPr>
          <w:rFonts w:ascii="Times New Roman" w:hAnsi="Times New Roman" w:cs="Times New Roman"/>
          <w:color w:val="000000" w:themeColor="text1"/>
        </w:rPr>
        <w:t>forskellen i fastsat kvote og fangster frem til 2003. Endvidere er</w:t>
      </w:r>
      <w:r w:rsidR="00382C6B">
        <w:rPr>
          <w:rFonts w:ascii="Times New Roman" w:hAnsi="Times New Roman" w:cs="Times New Roman"/>
          <w:color w:val="000000" w:themeColor="text1"/>
        </w:rPr>
        <w:t xml:space="preserve"> det</w:t>
      </w:r>
      <w:r w:rsidRPr="00F67749">
        <w:rPr>
          <w:rFonts w:ascii="Times New Roman" w:hAnsi="Times New Roman" w:cs="Times New Roman"/>
          <w:color w:val="000000" w:themeColor="text1"/>
        </w:rPr>
        <w:t xml:space="preserve"> muligt for rejefartøjerne at overføre ikke fisket kvote til året efter (</w:t>
      </w:r>
      <w:proofErr w:type="spellStart"/>
      <w:r w:rsidRPr="00F67749">
        <w:rPr>
          <w:rFonts w:ascii="Times New Roman" w:hAnsi="Times New Roman" w:cs="Times New Roman"/>
          <w:color w:val="000000" w:themeColor="text1"/>
        </w:rPr>
        <w:t>kvoteflex</w:t>
      </w:r>
      <w:proofErr w:type="spellEnd"/>
      <w:r w:rsidRPr="00F67749">
        <w:rPr>
          <w:rFonts w:ascii="Times New Roman" w:hAnsi="Times New Roman" w:cs="Times New Roman"/>
          <w:color w:val="000000" w:themeColor="text1"/>
        </w:rPr>
        <w:t>)</w:t>
      </w:r>
      <w:r w:rsidR="00382C6B">
        <w:rPr>
          <w:rFonts w:ascii="Times New Roman" w:hAnsi="Times New Roman" w:cs="Times New Roman"/>
          <w:color w:val="000000" w:themeColor="text1"/>
        </w:rPr>
        <w:t>. D</w:t>
      </w:r>
      <w:r w:rsidRPr="00F67749">
        <w:rPr>
          <w:rFonts w:ascii="Times New Roman" w:hAnsi="Times New Roman" w:cs="Times New Roman"/>
          <w:color w:val="000000" w:themeColor="text1"/>
        </w:rPr>
        <w:t>ette kan betyde, at der nogle år er fisket mere end TAC.</w:t>
      </w:r>
      <w:r w:rsidR="007D5A7D">
        <w:rPr>
          <w:rFonts w:ascii="Times New Roman" w:hAnsi="Times New Roman" w:cs="Times New Roman"/>
          <w:color w:val="000000" w:themeColor="text1"/>
        </w:rPr>
        <w:t xml:space="preserve"> Fra 2010 har forvaltningsplanen for rejer sikret</w:t>
      </w:r>
      <w:r w:rsidR="00382C6B">
        <w:rPr>
          <w:rFonts w:ascii="Times New Roman" w:hAnsi="Times New Roman" w:cs="Times New Roman"/>
          <w:color w:val="000000" w:themeColor="text1"/>
        </w:rPr>
        <w:t>,</w:t>
      </w:r>
      <w:r w:rsidR="007D5A7D">
        <w:rPr>
          <w:rFonts w:ascii="Times New Roman" w:hAnsi="Times New Roman" w:cs="Times New Roman"/>
          <w:color w:val="000000" w:themeColor="text1"/>
        </w:rPr>
        <w:t xml:space="preserve"> at </w:t>
      </w:r>
      <w:r w:rsidR="00914DA3">
        <w:rPr>
          <w:rFonts w:ascii="Times New Roman" w:hAnsi="Times New Roman" w:cs="Times New Roman"/>
          <w:color w:val="000000" w:themeColor="text1"/>
        </w:rPr>
        <w:t xml:space="preserve">TAC´en </w:t>
      </w:r>
      <w:r w:rsidR="006B3CA1">
        <w:rPr>
          <w:rFonts w:ascii="Times New Roman" w:hAnsi="Times New Roman" w:cs="Times New Roman"/>
          <w:color w:val="000000" w:themeColor="text1"/>
        </w:rPr>
        <w:t xml:space="preserve">ikke </w:t>
      </w:r>
      <w:r w:rsidR="00914DA3">
        <w:rPr>
          <w:rFonts w:ascii="Times New Roman" w:hAnsi="Times New Roman" w:cs="Times New Roman"/>
          <w:color w:val="000000" w:themeColor="text1"/>
        </w:rPr>
        <w:t>sættesover den biologiske rådgivning.</w:t>
      </w:r>
    </w:p>
    <w:p w14:paraId="24F7D9AD" w14:textId="77777777" w:rsidR="008A2197" w:rsidRDefault="008A2197">
      <w:pPr>
        <w:spacing w:after="0" w:line="276" w:lineRule="auto"/>
        <w:jc w:val="both"/>
        <w:rPr>
          <w:rFonts w:ascii="Times New Roman" w:hAnsi="Times New Roman" w:cs="Times New Roman"/>
          <w:color w:val="000000" w:themeColor="text1"/>
        </w:rPr>
      </w:pPr>
    </w:p>
    <w:p w14:paraId="5D0EDB2B" w14:textId="77777777" w:rsidR="00A93A45" w:rsidRDefault="00A93A45">
      <w:pPr>
        <w:spacing w:after="0" w:line="276" w:lineRule="auto"/>
        <w:jc w:val="both"/>
        <w:rPr>
          <w:rFonts w:ascii="Times New Roman" w:hAnsi="Times New Roman" w:cs="Times New Roman"/>
          <w:color w:val="000000" w:themeColor="text1"/>
        </w:rPr>
      </w:pPr>
    </w:p>
    <w:p w14:paraId="53668189" w14:textId="13DB3F0F" w:rsidR="004533C0" w:rsidRDefault="00791C8F">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Det fremgår af figur </w:t>
      </w:r>
      <w:r w:rsidR="003E0419">
        <w:rPr>
          <w:rFonts w:ascii="Times New Roman" w:hAnsi="Times New Roman" w:cs="Times New Roman"/>
          <w:color w:val="000000" w:themeColor="text1"/>
        </w:rPr>
        <w:t>1</w:t>
      </w:r>
      <w:r w:rsidR="00382C6B">
        <w:rPr>
          <w:rFonts w:ascii="Times New Roman" w:hAnsi="Times New Roman" w:cs="Times New Roman"/>
          <w:color w:val="000000" w:themeColor="text1"/>
        </w:rPr>
        <w:t>,</w:t>
      </w:r>
      <w:r w:rsidR="008A2197">
        <w:rPr>
          <w:rFonts w:ascii="Times New Roman" w:hAnsi="Times New Roman" w:cs="Times New Roman"/>
          <w:color w:val="000000" w:themeColor="text1"/>
        </w:rPr>
        <w:t xml:space="preserve"> at de samlede rejefangster hos den grønlandske flåde </w:t>
      </w:r>
      <w:r w:rsidR="008C2EDF">
        <w:rPr>
          <w:rFonts w:ascii="Times New Roman" w:hAnsi="Times New Roman" w:cs="Times New Roman"/>
          <w:color w:val="000000" w:themeColor="text1"/>
        </w:rPr>
        <w:t xml:space="preserve">i Vestgrønland </w:t>
      </w:r>
      <w:r w:rsidR="008A2197">
        <w:rPr>
          <w:rFonts w:ascii="Times New Roman" w:hAnsi="Times New Roman" w:cs="Times New Roman"/>
          <w:color w:val="000000" w:themeColor="text1"/>
        </w:rPr>
        <w:t>steg fra ca. 78.000 tons i 1990 til ca. 154.000 tons i 2008. I perioden 2008 til 2015 har den biologiske rådgivning</w:t>
      </w:r>
      <w:r w:rsidR="00894A30">
        <w:rPr>
          <w:rFonts w:ascii="Times New Roman" w:hAnsi="Times New Roman" w:cs="Times New Roman"/>
          <w:color w:val="000000" w:themeColor="text1"/>
        </w:rPr>
        <w:t xml:space="preserve"> anbefalet et fald </w:t>
      </w:r>
      <w:r w:rsidR="00894A30">
        <w:rPr>
          <w:rFonts w:ascii="Times New Roman" w:hAnsi="Times New Roman" w:cs="Times New Roman"/>
          <w:color w:val="000000" w:themeColor="text1"/>
        </w:rPr>
        <w:lastRenderedPageBreak/>
        <w:t>i rejefiskeriet</w:t>
      </w:r>
      <w:r w:rsidR="008A2197">
        <w:rPr>
          <w:rFonts w:ascii="Times New Roman" w:hAnsi="Times New Roman" w:cs="Times New Roman"/>
          <w:color w:val="000000" w:themeColor="text1"/>
        </w:rPr>
        <w:t xml:space="preserve"> og TAC </w:t>
      </w:r>
      <w:r w:rsidR="00894A30">
        <w:rPr>
          <w:rFonts w:ascii="Times New Roman" w:hAnsi="Times New Roman" w:cs="Times New Roman"/>
          <w:color w:val="000000" w:themeColor="text1"/>
        </w:rPr>
        <w:t xml:space="preserve">har tilsvarende </w:t>
      </w:r>
      <w:r w:rsidR="008A2197">
        <w:rPr>
          <w:rFonts w:ascii="Times New Roman" w:hAnsi="Times New Roman" w:cs="Times New Roman"/>
          <w:color w:val="000000" w:themeColor="text1"/>
        </w:rPr>
        <w:t>været kraftig faldende</w:t>
      </w:r>
      <w:r w:rsidR="00894A30">
        <w:rPr>
          <w:rFonts w:ascii="Times New Roman" w:hAnsi="Times New Roman" w:cs="Times New Roman"/>
          <w:color w:val="000000" w:themeColor="text1"/>
        </w:rPr>
        <w:t xml:space="preserve">. Tilsvarende har der været et fald i </w:t>
      </w:r>
      <w:r w:rsidR="008A2197">
        <w:rPr>
          <w:rFonts w:ascii="Times New Roman" w:hAnsi="Times New Roman" w:cs="Times New Roman"/>
          <w:color w:val="000000" w:themeColor="text1"/>
        </w:rPr>
        <w:t xml:space="preserve">fangede mængder. Fra 2015 er det sket en betydelig </w:t>
      </w:r>
      <w:r w:rsidR="00894A30">
        <w:rPr>
          <w:rFonts w:ascii="Times New Roman" w:hAnsi="Times New Roman" w:cs="Times New Roman"/>
          <w:color w:val="000000" w:themeColor="text1"/>
        </w:rPr>
        <w:t xml:space="preserve">stigning, og det er sket på grundlag af </w:t>
      </w:r>
      <w:r w:rsidR="008A2197">
        <w:rPr>
          <w:rFonts w:ascii="Times New Roman" w:hAnsi="Times New Roman" w:cs="Times New Roman"/>
          <w:color w:val="000000" w:themeColor="text1"/>
        </w:rPr>
        <w:t>rejerådgivning</w:t>
      </w:r>
      <w:r w:rsidR="005C78F4">
        <w:rPr>
          <w:rFonts w:ascii="Times New Roman" w:hAnsi="Times New Roman" w:cs="Times New Roman"/>
          <w:color w:val="000000" w:themeColor="text1"/>
        </w:rPr>
        <w:t>en</w:t>
      </w:r>
      <w:r w:rsidR="00894A30">
        <w:rPr>
          <w:rFonts w:ascii="Times New Roman" w:hAnsi="Times New Roman" w:cs="Times New Roman"/>
          <w:color w:val="000000" w:themeColor="text1"/>
        </w:rPr>
        <w:t>,</w:t>
      </w:r>
      <w:r w:rsidR="008A2197">
        <w:rPr>
          <w:rFonts w:ascii="Times New Roman" w:hAnsi="Times New Roman" w:cs="Times New Roman"/>
          <w:color w:val="000000" w:themeColor="text1"/>
        </w:rPr>
        <w:t xml:space="preserve"> hvor TAC har steget fra 74.000 tons i 2015 til 1</w:t>
      </w:r>
      <w:r w:rsidR="006419AF">
        <w:rPr>
          <w:rFonts w:ascii="Times New Roman" w:hAnsi="Times New Roman" w:cs="Times New Roman"/>
          <w:color w:val="000000" w:themeColor="text1"/>
        </w:rPr>
        <w:t>15</w:t>
      </w:r>
      <w:r w:rsidR="008A2197">
        <w:rPr>
          <w:rFonts w:ascii="Times New Roman" w:hAnsi="Times New Roman" w:cs="Times New Roman"/>
          <w:color w:val="000000" w:themeColor="text1"/>
        </w:rPr>
        <w:t>.000 tons i 20</w:t>
      </w:r>
      <w:r w:rsidR="006419AF">
        <w:rPr>
          <w:rFonts w:ascii="Times New Roman" w:hAnsi="Times New Roman" w:cs="Times New Roman"/>
          <w:color w:val="000000" w:themeColor="text1"/>
        </w:rPr>
        <w:t>21</w:t>
      </w:r>
      <w:r w:rsidR="008A2197">
        <w:rPr>
          <w:rFonts w:ascii="Times New Roman" w:hAnsi="Times New Roman" w:cs="Times New Roman"/>
          <w:color w:val="000000" w:themeColor="text1"/>
        </w:rPr>
        <w:t xml:space="preserve">. </w:t>
      </w:r>
    </w:p>
    <w:p w14:paraId="1E844DBF" w14:textId="77777777" w:rsidR="003B0BFB" w:rsidRDefault="003B0BFB">
      <w:pPr>
        <w:spacing w:after="0" w:line="276" w:lineRule="auto"/>
        <w:jc w:val="both"/>
        <w:rPr>
          <w:rFonts w:ascii="Times New Roman" w:hAnsi="Times New Roman" w:cs="Times New Roman"/>
          <w:b/>
          <w:color w:val="000000" w:themeColor="text1"/>
          <w:sz w:val="24"/>
          <w:szCs w:val="24"/>
        </w:rPr>
      </w:pPr>
    </w:p>
    <w:p w14:paraId="54A75E38" w14:textId="28990076" w:rsidR="003B0BFB" w:rsidRPr="005C78F4" w:rsidRDefault="000E4CEB">
      <w:pPr>
        <w:spacing w:after="0" w:line="276" w:lineRule="auto"/>
        <w:jc w:val="both"/>
        <w:rPr>
          <w:rFonts w:ascii="Times New Roman" w:hAnsi="Times New Roman" w:cs="Times New Roman"/>
          <w:color w:val="000000" w:themeColor="text1"/>
        </w:rPr>
      </w:pPr>
      <w:r w:rsidRPr="005C78F4">
        <w:rPr>
          <w:rFonts w:ascii="Times New Roman" w:hAnsi="Times New Roman" w:cs="Times New Roman"/>
          <w:color w:val="000000" w:themeColor="text1"/>
        </w:rPr>
        <w:t>Siden 1989 er har der</w:t>
      </w:r>
      <w:r>
        <w:rPr>
          <w:rFonts w:ascii="Times New Roman" w:hAnsi="Times New Roman" w:cs="Times New Roman"/>
          <w:color w:val="000000" w:themeColor="text1"/>
        </w:rPr>
        <w:t xml:space="preserve"> været rådgivning for rejer i Østgrønland. </w:t>
      </w:r>
      <w:r w:rsidR="001519B6">
        <w:rPr>
          <w:rFonts w:ascii="Times New Roman" w:hAnsi="Times New Roman" w:cs="Times New Roman"/>
          <w:color w:val="000000" w:themeColor="text1"/>
        </w:rPr>
        <w:t xml:space="preserve">Det </w:t>
      </w:r>
      <w:proofErr w:type="gramStart"/>
      <w:r w:rsidR="001519B6">
        <w:rPr>
          <w:rFonts w:ascii="Times New Roman" w:hAnsi="Times New Roman" w:cs="Times New Roman"/>
          <w:color w:val="000000" w:themeColor="text1"/>
        </w:rPr>
        <w:t>er har</w:t>
      </w:r>
      <w:proofErr w:type="gramEnd"/>
      <w:r w:rsidR="001519B6">
        <w:rPr>
          <w:rFonts w:ascii="Times New Roman" w:hAnsi="Times New Roman" w:cs="Times New Roman"/>
          <w:color w:val="000000" w:themeColor="text1"/>
        </w:rPr>
        <w:t xml:space="preserve"> også været fastsat TAC for rejer i Østgrønland siden før 1989. Størrelsen af rejefiskeriet i Østgrønland er af mindre skala end i Vestgrønland. TAC for rejen i perioden 1990 – 2004 har varieret fra omkring 9.000 tons til ca. 16.000 tons. Fangstmængderne i samme periode </w:t>
      </w:r>
      <w:r w:rsidR="00173D85">
        <w:rPr>
          <w:rFonts w:ascii="Times New Roman" w:hAnsi="Times New Roman" w:cs="Times New Roman"/>
          <w:color w:val="000000" w:themeColor="text1"/>
        </w:rPr>
        <w:t xml:space="preserve">har </w:t>
      </w:r>
      <w:r w:rsidR="001519B6">
        <w:rPr>
          <w:rFonts w:ascii="Times New Roman" w:hAnsi="Times New Roman" w:cs="Times New Roman"/>
          <w:color w:val="000000" w:themeColor="text1"/>
        </w:rPr>
        <w:t>varieret fra ca. 9.000 tons til ca. 14.000 tons</w:t>
      </w:r>
      <w:r w:rsidR="00173D85">
        <w:rPr>
          <w:rFonts w:ascii="Times New Roman" w:hAnsi="Times New Roman" w:cs="Times New Roman"/>
          <w:color w:val="000000" w:themeColor="text1"/>
        </w:rPr>
        <w:t>,</w:t>
      </w:r>
      <w:r w:rsidR="001519B6">
        <w:rPr>
          <w:rFonts w:ascii="Times New Roman" w:hAnsi="Times New Roman" w:cs="Times New Roman"/>
          <w:color w:val="000000" w:themeColor="text1"/>
        </w:rPr>
        <w:t xml:space="preserve"> hvor mængderne i de fleste år har oversteget TAC´en. Siden 2005 – 2013 har TAC´en været på et konstant niveau </w:t>
      </w:r>
      <w:r w:rsidR="00173D85">
        <w:rPr>
          <w:rFonts w:ascii="Times New Roman" w:hAnsi="Times New Roman" w:cs="Times New Roman"/>
          <w:color w:val="000000" w:themeColor="text1"/>
        </w:rPr>
        <w:t xml:space="preserve">på </w:t>
      </w:r>
      <w:r w:rsidR="001519B6">
        <w:rPr>
          <w:rFonts w:ascii="Times New Roman" w:hAnsi="Times New Roman" w:cs="Times New Roman"/>
          <w:color w:val="000000" w:themeColor="text1"/>
        </w:rPr>
        <w:t>omkring 12.000 tons. Fiskeriet i den periode har dog ikke gået godt</w:t>
      </w:r>
      <w:r w:rsidR="00173D85">
        <w:rPr>
          <w:rFonts w:ascii="Times New Roman" w:hAnsi="Times New Roman" w:cs="Times New Roman"/>
          <w:color w:val="000000" w:themeColor="text1"/>
        </w:rPr>
        <w:t>,</w:t>
      </w:r>
      <w:r w:rsidR="001519B6">
        <w:rPr>
          <w:rFonts w:ascii="Times New Roman" w:hAnsi="Times New Roman" w:cs="Times New Roman"/>
          <w:color w:val="000000" w:themeColor="text1"/>
        </w:rPr>
        <w:t xml:space="preserve"> og fangstmængderne har været faldende og ligget langt under TAC´en. Fra 2013 og frem til 2018 </w:t>
      </w:r>
      <w:r w:rsidR="00173D85">
        <w:rPr>
          <w:rFonts w:ascii="Times New Roman" w:hAnsi="Times New Roman" w:cs="Times New Roman"/>
          <w:color w:val="000000" w:themeColor="text1"/>
        </w:rPr>
        <w:t xml:space="preserve">er </w:t>
      </w:r>
      <w:r w:rsidR="001519B6">
        <w:rPr>
          <w:rFonts w:ascii="Times New Roman" w:hAnsi="Times New Roman" w:cs="Times New Roman"/>
          <w:color w:val="000000" w:themeColor="text1"/>
        </w:rPr>
        <w:t xml:space="preserve">TAC´en for rejer i Østgrønland faldet betydeligt </w:t>
      </w:r>
      <w:r w:rsidR="00173D85">
        <w:rPr>
          <w:rFonts w:ascii="Times New Roman" w:hAnsi="Times New Roman" w:cs="Times New Roman"/>
          <w:color w:val="000000" w:themeColor="text1"/>
        </w:rPr>
        <w:t xml:space="preserve">og tilsvarende </w:t>
      </w:r>
      <w:r w:rsidR="003E0419">
        <w:rPr>
          <w:rFonts w:ascii="Times New Roman" w:hAnsi="Times New Roman" w:cs="Times New Roman"/>
          <w:color w:val="000000" w:themeColor="text1"/>
        </w:rPr>
        <w:t>er fangstmængderne</w:t>
      </w:r>
      <w:r w:rsidR="00173D85">
        <w:rPr>
          <w:rFonts w:ascii="Times New Roman" w:hAnsi="Times New Roman" w:cs="Times New Roman"/>
          <w:color w:val="000000" w:themeColor="text1"/>
        </w:rPr>
        <w:t xml:space="preserve"> faldet</w:t>
      </w:r>
      <w:r w:rsidR="001519B6">
        <w:rPr>
          <w:rFonts w:ascii="Times New Roman" w:hAnsi="Times New Roman" w:cs="Times New Roman"/>
          <w:color w:val="000000" w:themeColor="text1"/>
        </w:rPr>
        <w:t>. I 2019</w:t>
      </w:r>
      <w:r w:rsidR="00B30026">
        <w:rPr>
          <w:rFonts w:ascii="Times New Roman" w:hAnsi="Times New Roman" w:cs="Times New Roman"/>
          <w:color w:val="000000" w:themeColor="text1"/>
        </w:rPr>
        <w:t xml:space="preserve"> og 2020 har rejefangsterne i Øst været stigende hvor i 2020 blev der fanget over 3.000 tons rejer, den største mængde sidste 10 år. TAC´en i 2021 er hævet til 7.000 tons hvilket er en stigning på 2.250 i forhold til 2020.</w:t>
      </w:r>
    </w:p>
    <w:p w14:paraId="33D66F46" w14:textId="77777777" w:rsidR="003B0BFB" w:rsidRDefault="003B0BFB">
      <w:pPr>
        <w:spacing w:after="0" w:line="276" w:lineRule="auto"/>
        <w:jc w:val="both"/>
        <w:rPr>
          <w:rFonts w:ascii="Times New Roman" w:hAnsi="Times New Roman" w:cs="Times New Roman"/>
          <w:b/>
          <w:color w:val="000000" w:themeColor="text1"/>
          <w:sz w:val="24"/>
          <w:szCs w:val="24"/>
        </w:rPr>
      </w:pPr>
    </w:p>
    <w:p w14:paraId="44779D9B" w14:textId="50899F2A" w:rsidR="00455065" w:rsidRPr="00AC4047" w:rsidRDefault="00455065">
      <w:pPr>
        <w:spacing w:after="0" w:line="276" w:lineRule="auto"/>
        <w:jc w:val="both"/>
        <w:rPr>
          <w:rFonts w:ascii="Times New Roman" w:hAnsi="Times New Roman" w:cs="Times New Roman"/>
          <w:b/>
          <w:color w:val="000000" w:themeColor="text1"/>
        </w:rPr>
      </w:pPr>
      <w:r w:rsidRPr="00AC4047">
        <w:rPr>
          <w:rFonts w:ascii="Times New Roman" w:hAnsi="Times New Roman" w:cs="Times New Roman"/>
          <w:b/>
          <w:color w:val="000000" w:themeColor="text1"/>
        </w:rPr>
        <w:t xml:space="preserve">Figur </w:t>
      </w:r>
      <w:r w:rsidR="003E0419">
        <w:rPr>
          <w:rFonts w:ascii="Times New Roman" w:hAnsi="Times New Roman" w:cs="Times New Roman"/>
          <w:b/>
          <w:color w:val="000000" w:themeColor="text1"/>
        </w:rPr>
        <w:t>2</w:t>
      </w:r>
      <w:r w:rsidRPr="00AC4047">
        <w:rPr>
          <w:rFonts w:ascii="Times New Roman" w:hAnsi="Times New Roman" w:cs="Times New Roman"/>
          <w:b/>
          <w:color w:val="000000" w:themeColor="text1"/>
        </w:rPr>
        <w:t>: Udvikling i den biologisk rådgivning for rejer, TAC og rejefangster i Østgrønland, 1990-20</w:t>
      </w:r>
      <w:r w:rsidR="006419AF">
        <w:rPr>
          <w:rFonts w:ascii="Times New Roman" w:hAnsi="Times New Roman" w:cs="Times New Roman"/>
          <w:b/>
          <w:color w:val="000000" w:themeColor="text1"/>
        </w:rPr>
        <w:t>20</w:t>
      </w:r>
      <w:r w:rsidR="00791C8F" w:rsidRPr="00AC4047">
        <w:rPr>
          <w:rFonts w:ascii="Times New Roman" w:hAnsi="Times New Roman" w:cs="Times New Roman"/>
          <w:b/>
          <w:color w:val="000000" w:themeColor="text1"/>
        </w:rPr>
        <w:t>.</w:t>
      </w:r>
    </w:p>
    <w:p w14:paraId="3BE62098" w14:textId="01CFE607" w:rsidR="00455065" w:rsidRDefault="00741469">
      <w:pPr>
        <w:spacing w:after="0" w:line="276" w:lineRule="auto"/>
        <w:jc w:val="both"/>
        <w:rPr>
          <w:rFonts w:ascii="Times New Roman" w:hAnsi="Times New Roman" w:cs="Times New Roman"/>
          <w:b/>
          <w:color w:val="000000" w:themeColor="text1"/>
          <w:sz w:val="24"/>
          <w:szCs w:val="24"/>
        </w:rPr>
      </w:pPr>
      <w:r>
        <w:rPr>
          <w:noProof/>
          <w:lang w:val="en-US"/>
        </w:rPr>
        <w:drawing>
          <wp:inline distT="0" distB="0" distL="0" distR="0" wp14:anchorId="1FB85E6E" wp14:editId="3FAE539A">
            <wp:extent cx="6120130" cy="4568190"/>
            <wp:effectExtent l="0" t="0" r="0" b="381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7D4688" w14:textId="77777777" w:rsidR="00D4352B" w:rsidRPr="001346DF" w:rsidRDefault="00D4352B">
      <w:pPr>
        <w:spacing w:after="0" w:line="276" w:lineRule="auto"/>
        <w:jc w:val="both"/>
        <w:rPr>
          <w:rFonts w:ascii="Times New Roman" w:hAnsi="Times New Roman" w:cs="Times New Roman"/>
          <w:color w:val="000000" w:themeColor="text1"/>
          <w:sz w:val="20"/>
          <w:szCs w:val="20"/>
        </w:rPr>
      </w:pPr>
      <w:r w:rsidRPr="001346DF">
        <w:rPr>
          <w:rFonts w:ascii="Times New Roman" w:hAnsi="Times New Roman" w:cs="Times New Roman"/>
          <w:color w:val="000000" w:themeColor="text1"/>
          <w:sz w:val="20"/>
          <w:szCs w:val="20"/>
        </w:rPr>
        <w:t>Kilde: Grønlands Naturinstitut.</w:t>
      </w:r>
    </w:p>
    <w:p w14:paraId="0F0784AF" w14:textId="4A055B7B" w:rsidR="00D4352B" w:rsidRPr="001346DF" w:rsidRDefault="00D4352B">
      <w:pPr>
        <w:spacing w:after="0" w:line="276" w:lineRule="auto"/>
        <w:jc w:val="both"/>
        <w:rPr>
          <w:rFonts w:ascii="Times New Roman" w:hAnsi="Times New Roman" w:cs="Times New Roman"/>
          <w:color w:val="000000" w:themeColor="text1"/>
          <w:sz w:val="20"/>
          <w:szCs w:val="20"/>
        </w:rPr>
      </w:pPr>
      <w:r w:rsidRPr="001346DF">
        <w:rPr>
          <w:rFonts w:ascii="Times New Roman" w:hAnsi="Times New Roman" w:cs="Times New Roman"/>
          <w:color w:val="000000" w:themeColor="text1"/>
          <w:sz w:val="20"/>
          <w:szCs w:val="20"/>
        </w:rPr>
        <w:t xml:space="preserve">Note: </w:t>
      </w:r>
      <w:r w:rsidR="00C84531">
        <w:rPr>
          <w:rFonts w:ascii="Times New Roman" w:hAnsi="Times New Roman" w:cs="Times New Roman"/>
          <w:color w:val="000000" w:themeColor="text1"/>
          <w:sz w:val="20"/>
          <w:szCs w:val="20"/>
        </w:rPr>
        <w:t xml:space="preserve">Opgørelsen af 2020 fangster er ikke klar hvorfor det anvendes kvotetræk. </w:t>
      </w:r>
      <w:r w:rsidR="00BE7BB5">
        <w:rPr>
          <w:rFonts w:ascii="Times New Roman" w:hAnsi="Times New Roman" w:cs="Times New Roman"/>
          <w:color w:val="000000" w:themeColor="text1"/>
          <w:sz w:val="20"/>
          <w:szCs w:val="20"/>
        </w:rPr>
        <w:t xml:space="preserve">TAC er </w:t>
      </w:r>
      <w:proofErr w:type="gramStart"/>
      <w:r w:rsidR="00BE7BB5">
        <w:rPr>
          <w:rFonts w:ascii="Times New Roman" w:hAnsi="Times New Roman" w:cs="Times New Roman"/>
          <w:color w:val="000000" w:themeColor="text1"/>
          <w:sz w:val="20"/>
          <w:szCs w:val="20"/>
        </w:rPr>
        <w:t>inklusiv</w:t>
      </w:r>
      <w:proofErr w:type="gramEnd"/>
      <w:r w:rsidR="00BE7BB5">
        <w:rPr>
          <w:rFonts w:ascii="Times New Roman" w:hAnsi="Times New Roman" w:cs="Times New Roman"/>
          <w:color w:val="000000" w:themeColor="text1"/>
          <w:sz w:val="20"/>
          <w:szCs w:val="20"/>
        </w:rPr>
        <w:t xml:space="preserve"> rejekvote som tildeles EU. Rejefangsterne er </w:t>
      </w:r>
      <w:proofErr w:type="gramStart"/>
      <w:r w:rsidR="00BE7BB5">
        <w:rPr>
          <w:rFonts w:ascii="Times New Roman" w:hAnsi="Times New Roman" w:cs="Times New Roman"/>
          <w:color w:val="000000" w:themeColor="text1"/>
          <w:sz w:val="20"/>
          <w:szCs w:val="20"/>
        </w:rPr>
        <w:t>eksklusiv</w:t>
      </w:r>
      <w:proofErr w:type="gramEnd"/>
      <w:r w:rsidR="00BE7BB5">
        <w:rPr>
          <w:rFonts w:ascii="Times New Roman" w:hAnsi="Times New Roman" w:cs="Times New Roman"/>
          <w:color w:val="000000" w:themeColor="text1"/>
          <w:sz w:val="20"/>
          <w:szCs w:val="20"/>
        </w:rPr>
        <w:t xml:space="preserve"> fiskeri på rejekvote til EU.</w:t>
      </w:r>
    </w:p>
    <w:p w14:paraId="07734811" w14:textId="10B365F1" w:rsidR="004533C0" w:rsidRPr="00431F26" w:rsidRDefault="003E0419">
      <w:pPr>
        <w:spacing w:after="0"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sidR="004533C0" w:rsidRPr="00431F26">
        <w:rPr>
          <w:rFonts w:ascii="Times New Roman" w:hAnsi="Times New Roman" w:cs="Times New Roman"/>
          <w:b/>
          <w:color w:val="000000" w:themeColor="text1"/>
          <w:sz w:val="28"/>
          <w:szCs w:val="28"/>
        </w:rPr>
        <w:t>Kapacitetstilpasning</w:t>
      </w:r>
      <w:r w:rsidR="00CF2DAB" w:rsidRPr="00431F26">
        <w:rPr>
          <w:rFonts w:ascii="Times New Roman" w:hAnsi="Times New Roman" w:cs="Times New Roman"/>
          <w:b/>
          <w:color w:val="000000" w:themeColor="text1"/>
          <w:sz w:val="28"/>
          <w:szCs w:val="28"/>
        </w:rPr>
        <w:t xml:space="preserve"> i rejeflåden</w:t>
      </w:r>
    </w:p>
    <w:p w14:paraId="6CA05DFC" w14:textId="77777777" w:rsidR="004533C0" w:rsidRDefault="004533C0">
      <w:pPr>
        <w:spacing w:after="0" w:line="276" w:lineRule="auto"/>
        <w:jc w:val="both"/>
        <w:rPr>
          <w:rFonts w:ascii="Times New Roman" w:hAnsi="Times New Roman" w:cs="Times New Roman"/>
          <w:color w:val="000000" w:themeColor="text1"/>
          <w:shd w:val="clear" w:color="auto" w:fill="FFFFFF"/>
        </w:rPr>
      </w:pPr>
      <w:r w:rsidRPr="00F67749">
        <w:rPr>
          <w:rFonts w:ascii="Times New Roman" w:hAnsi="Times New Roman" w:cs="Times New Roman"/>
          <w:color w:val="000000" w:themeColor="text1"/>
          <w:shd w:val="clear" w:color="auto" w:fill="FFFFFF"/>
        </w:rPr>
        <w:lastRenderedPageBreak/>
        <w:t>Et centralt punkt i fiskeripolitik</w:t>
      </w:r>
      <w:r w:rsidR="001346DF">
        <w:rPr>
          <w:rFonts w:ascii="Times New Roman" w:hAnsi="Times New Roman" w:cs="Times New Roman"/>
          <w:color w:val="000000" w:themeColor="text1"/>
          <w:shd w:val="clear" w:color="auto" w:fill="FFFFFF"/>
        </w:rPr>
        <w:t>ken</w:t>
      </w:r>
      <w:r w:rsidRPr="00F67749">
        <w:rPr>
          <w:rFonts w:ascii="Times New Roman" w:hAnsi="Times New Roman" w:cs="Times New Roman"/>
          <w:color w:val="000000" w:themeColor="text1"/>
          <w:shd w:val="clear" w:color="auto" w:fill="FFFFFF"/>
        </w:rPr>
        <w:t xml:space="preserve"> har siden begyndelsen af 1990’erne været at opnå reduktion af den grønlandske fiskerflåde med henblik på at øge rentabiliteten i fiskeriet og samtidig </w:t>
      </w:r>
      <w:r w:rsidR="00265A13">
        <w:rPr>
          <w:rFonts w:ascii="Times New Roman" w:hAnsi="Times New Roman" w:cs="Times New Roman"/>
          <w:color w:val="000000" w:themeColor="text1"/>
          <w:shd w:val="clear" w:color="auto" w:fill="FFFFFF"/>
        </w:rPr>
        <w:t xml:space="preserve">at </w:t>
      </w:r>
      <w:r w:rsidRPr="00F67749">
        <w:rPr>
          <w:rFonts w:ascii="Times New Roman" w:hAnsi="Times New Roman" w:cs="Times New Roman"/>
          <w:color w:val="000000" w:themeColor="text1"/>
          <w:shd w:val="clear" w:color="auto" w:fill="FFFFFF"/>
        </w:rPr>
        <w:t>nedsætte fangsttrykket på bestandene.</w:t>
      </w:r>
    </w:p>
    <w:p w14:paraId="5F427405" w14:textId="272396B9" w:rsidR="002F3D38" w:rsidRDefault="004533C0">
      <w:pPr>
        <w:spacing w:after="0" w:line="276" w:lineRule="auto"/>
        <w:jc w:val="both"/>
        <w:rPr>
          <w:rFonts w:ascii="Times New Roman" w:hAnsi="Times New Roman" w:cs="Times New Roman"/>
          <w:color w:val="000000" w:themeColor="text1"/>
          <w:shd w:val="clear" w:color="auto" w:fill="FFFFFF"/>
        </w:rPr>
      </w:pPr>
      <w:r w:rsidRPr="00F67749">
        <w:rPr>
          <w:rFonts w:ascii="Times New Roman" w:hAnsi="Times New Roman" w:cs="Times New Roman"/>
          <w:color w:val="000000" w:themeColor="text1"/>
        </w:rPr>
        <w:br/>
      </w:r>
      <w:r w:rsidR="00791C8F">
        <w:rPr>
          <w:rFonts w:ascii="Times New Roman" w:hAnsi="Times New Roman" w:cs="Times New Roman"/>
          <w:color w:val="000000" w:themeColor="text1"/>
          <w:shd w:val="clear" w:color="auto" w:fill="FFFFFF"/>
        </w:rPr>
        <w:t xml:space="preserve">Indførelsen af </w:t>
      </w:r>
      <w:proofErr w:type="gramStart"/>
      <w:r w:rsidR="00791C8F">
        <w:rPr>
          <w:rFonts w:ascii="Times New Roman" w:hAnsi="Times New Roman" w:cs="Times New Roman"/>
          <w:color w:val="000000" w:themeColor="text1"/>
          <w:shd w:val="clear" w:color="auto" w:fill="FFFFFF"/>
        </w:rPr>
        <w:t>IOK</w:t>
      </w:r>
      <w:r w:rsidR="0060111D">
        <w:rPr>
          <w:rFonts w:ascii="Times New Roman" w:hAnsi="Times New Roman" w:cs="Times New Roman"/>
          <w:color w:val="000000" w:themeColor="text1"/>
          <w:shd w:val="clear" w:color="auto" w:fill="FFFFFF"/>
        </w:rPr>
        <w:t xml:space="preserve"> systemet</w:t>
      </w:r>
      <w:proofErr w:type="gramEnd"/>
      <w:r w:rsidR="0060111D">
        <w:rPr>
          <w:rFonts w:ascii="Times New Roman" w:hAnsi="Times New Roman" w:cs="Times New Roman"/>
          <w:color w:val="000000" w:themeColor="text1"/>
          <w:shd w:val="clear" w:color="auto" w:fill="FFFFFF"/>
        </w:rPr>
        <w:t xml:space="preserve"> h</w:t>
      </w:r>
      <w:r w:rsidRPr="00F67749">
        <w:rPr>
          <w:rFonts w:ascii="Times New Roman" w:hAnsi="Times New Roman" w:cs="Times New Roman"/>
          <w:color w:val="000000" w:themeColor="text1"/>
          <w:shd w:val="clear" w:color="auto" w:fill="FFFFFF"/>
        </w:rPr>
        <w:t>a</w:t>
      </w:r>
      <w:r w:rsidR="0060111D">
        <w:rPr>
          <w:rFonts w:ascii="Times New Roman" w:hAnsi="Times New Roman" w:cs="Times New Roman"/>
          <w:color w:val="000000" w:themeColor="text1"/>
          <w:shd w:val="clear" w:color="auto" w:fill="FFFFFF"/>
        </w:rPr>
        <w:t>r haft den tilsigtede effekt</w:t>
      </w:r>
      <w:r w:rsidR="009827AD">
        <w:rPr>
          <w:rFonts w:ascii="Times New Roman" w:hAnsi="Times New Roman" w:cs="Times New Roman"/>
          <w:color w:val="000000" w:themeColor="text1"/>
          <w:shd w:val="clear" w:color="auto" w:fill="FFFFFF"/>
        </w:rPr>
        <w:t xml:space="preserve"> i forhold til</w:t>
      </w:r>
      <w:r w:rsidR="00265A13">
        <w:rPr>
          <w:rFonts w:ascii="Times New Roman" w:hAnsi="Times New Roman" w:cs="Times New Roman"/>
          <w:color w:val="000000" w:themeColor="text1"/>
          <w:shd w:val="clear" w:color="auto" w:fill="FFFFFF"/>
        </w:rPr>
        <w:t xml:space="preserve"> en</w:t>
      </w:r>
      <w:r w:rsidR="009827AD">
        <w:rPr>
          <w:rFonts w:ascii="Times New Roman" w:hAnsi="Times New Roman" w:cs="Times New Roman"/>
          <w:color w:val="000000" w:themeColor="text1"/>
          <w:shd w:val="clear" w:color="auto" w:fill="FFFFFF"/>
        </w:rPr>
        <w:t xml:space="preserve"> reduktion </w:t>
      </w:r>
      <w:r w:rsidR="00265A13">
        <w:rPr>
          <w:rFonts w:ascii="Times New Roman" w:hAnsi="Times New Roman" w:cs="Times New Roman"/>
          <w:color w:val="000000" w:themeColor="text1"/>
          <w:shd w:val="clear" w:color="auto" w:fill="FFFFFF"/>
        </w:rPr>
        <w:t xml:space="preserve">i kapaciteten, og dette har betydet et fald i antal af fartøjer. </w:t>
      </w:r>
      <w:r w:rsidR="0060111D">
        <w:rPr>
          <w:rFonts w:ascii="Times New Roman" w:hAnsi="Times New Roman" w:cs="Times New Roman"/>
          <w:color w:val="000000" w:themeColor="text1"/>
          <w:shd w:val="clear" w:color="auto" w:fill="FFFFFF"/>
        </w:rPr>
        <w:t xml:space="preserve"> </w:t>
      </w:r>
      <w:r w:rsidR="002F3D38">
        <w:rPr>
          <w:rFonts w:ascii="Times New Roman" w:hAnsi="Times New Roman" w:cs="Times New Roman"/>
          <w:color w:val="000000" w:themeColor="text1"/>
          <w:shd w:val="clear" w:color="auto" w:fill="FFFFFF"/>
        </w:rPr>
        <w:t xml:space="preserve">I 1990 var antallet af rejetrawler i flåden </w:t>
      </w:r>
      <w:r w:rsidR="007D0A56">
        <w:rPr>
          <w:rFonts w:ascii="Times New Roman" w:hAnsi="Times New Roman" w:cs="Times New Roman"/>
          <w:color w:val="000000" w:themeColor="text1"/>
          <w:shd w:val="clear" w:color="auto" w:fill="FFFFFF"/>
        </w:rPr>
        <w:t>på 198 som</w:t>
      </w:r>
      <w:r w:rsidR="002F3D38">
        <w:rPr>
          <w:rFonts w:ascii="Times New Roman" w:hAnsi="Times New Roman" w:cs="Times New Roman"/>
          <w:color w:val="000000" w:themeColor="text1"/>
          <w:shd w:val="clear" w:color="auto" w:fill="FFFFFF"/>
        </w:rPr>
        <w:t xml:space="preserve"> fiskede ca. 78.000 tons, jf. figur 1.</w:t>
      </w:r>
      <w:r w:rsidR="00791C8F">
        <w:rPr>
          <w:rStyle w:val="Fodnotehenvisning"/>
          <w:rFonts w:ascii="Times New Roman" w:hAnsi="Times New Roman" w:cs="Times New Roman"/>
          <w:color w:val="000000" w:themeColor="text1"/>
          <w:shd w:val="clear" w:color="auto" w:fill="FFFFFF"/>
        </w:rPr>
        <w:footnoteReference w:id="2"/>
      </w:r>
      <w:r w:rsidR="002F3D38">
        <w:rPr>
          <w:rFonts w:ascii="Times New Roman" w:hAnsi="Times New Roman" w:cs="Times New Roman"/>
          <w:color w:val="000000" w:themeColor="text1"/>
          <w:shd w:val="clear" w:color="auto" w:fill="FFFFFF"/>
        </w:rPr>
        <w:t xml:space="preserve"> </w:t>
      </w:r>
      <w:r w:rsidR="002F3D38" w:rsidRPr="002F3D38">
        <w:rPr>
          <w:rFonts w:ascii="Times New Roman" w:hAnsi="Times New Roman" w:cs="Times New Roman"/>
          <w:color w:val="000000" w:themeColor="text1"/>
          <w:shd w:val="clear" w:color="auto" w:fill="FFFFFF"/>
        </w:rPr>
        <w:t>I</w:t>
      </w:r>
      <w:r w:rsidR="002F3D38">
        <w:rPr>
          <w:rFonts w:ascii="Times New Roman" w:hAnsi="Times New Roman" w:cs="Times New Roman"/>
          <w:color w:val="000000" w:themeColor="text1"/>
          <w:shd w:val="clear" w:color="auto" w:fill="FFFFFF"/>
        </w:rPr>
        <w:t xml:space="preserve"> </w:t>
      </w:r>
      <w:proofErr w:type="gramStart"/>
      <w:r w:rsidR="002F3D38">
        <w:rPr>
          <w:rFonts w:ascii="Times New Roman" w:hAnsi="Times New Roman" w:cs="Times New Roman"/>
          <w:color w:val="000000" w:themeColor="text1"/>
          <w:shd w:val="clear" w:color="auto" w:fill="FFFFFF"/>
        </w:rPr>
        <w:t xml:space="preserve">2002  </w:t>
      </w:r>
      <w:r w:rsidR="006B3CA1">
        <w:rPr>
          <w:rFonts w:ascii="Times New Roman" w:hAnsi="Times New Roman" w:cs="Times New Roman"/>
          <w:color w:val="000000" w:themeColor="text1"/>
          <w:shd w:val="clear" w:color="auto" w:fill="FFFFFF"/>
        </w:rPr>
        <w:t>var</w:t>
      </w:r>
      <w:proofErr w:type="gramEnd"/>
      <w:r w:rsidR="006B3CA1">
        <w:rPr>
          <w:rFonts w:ascii="Times New Roman" w:hAnsi="Times New Roman" w:cs="Times New Roman"/>
          <w:color w:val="000000" w:themeColor="text1"/>
          <w:shd w:val="clear" w:color="auto" w:fill="FFFFFF"/>
        </w:rPr>
        <w:t xml:space="preserve"> </w:t>
      </w:r>
      <w:r w:rsidR="002F3D38">
        <w:rPr>
          <w:rFonts w:ascii="Times New Roman" w:hAnsi="Times New Roman" w:cs="Times New Roman"/>
          <w:color w:val="000000" w:themeColor="text1"/>
          <w:shd w:val="clear" w:color="auto" w:fill="FFFFFF"/>
        </w:rPr>
        <w:t>antallet af fartøjer fald</w:t>
      </w:r>
      <w:r w:rsidR="006B3CA1">
        <w:rPr>
          <w:rFonts w:ascii="Times New Roman" w:hAnsi="Times New Roman" w:cs="Times New Roman"/>
          <w:color w:val="000000" w:themeColor="text1"/>
          <w:shd w:val="clear" w:color="auto" w:fill="FFFFFF"/>
        </w:rPr>
        <w:t>e</w:t>
      </w:r>
      <w:r w:rsidR="002F3D38">
        <w:rPr>
          <w:rFonts w:ascii="Times New Roman" w:hAnsi="Times New Roman" w:cs="Times New Roman"/>
          <w:color w:val="000000" w:themeColor="text1"/>
          <w:shd w:val="clear" w:color="auto" w:fill="FFFFFF"/>
        </w:rPr>
        <w:t>t  til 82 som fiskede 129.000 tons. Det er</w:t>
      </w:r>
      <w:r w:rsidR="0060111D">
        <w:rPr>
          <w:rFonts w:ascii="Times New Roman" w:hAnsi="Times New Roman" w:cs="Times New Roman"/>
          <w:color w:val="000000" w:themeColor="text1"/>
          <w:shd w:val="clear" w:color="auto" w:fill="FFFFFF"/>
        </w:rPr>
        <w:t xml:space="preserve"> mere end</w:t>
      </w:r>
      <w:r w:rsidR="006B3CA1">
        <w:rPr>
          <w:rFonts w:ascii="Times New Roman" w:hAnsi="Times New Roman" w:cs="Times New Roman"/>
          <w:color w:val="000000" w:themeColor="text1"/>
          <w:shd w:val="clear" w:color="auto" w:fill="FFFFFF"/>
        </w:rPr>
        <w:t xml:space="preserve"> en</w:t>
      </w:r>
      <w:r w:rsidR="0060111D">
        <w:rPr>
          <w:rFonts w:ascii="Times New Roman" w:hAnsi="Times New Roman" w:cs="Times New Roman"/>
          <w:color w:val="000000" w:themeColor="text1"/>
          <w:shd w:val="clear" w:color="auto" w:fill="FFFFFF"/>
        </w:rPr>
        <w:t xml:space="preserve"> halvering af rejeflåden over </w:t>
      </w:r>
      <w:r w:rsidR="006B3CA1">
        <w:rPr>
          <w:rFonts w:ascii="Times New Roman" w:hAnsi="Times New Roman" w:cs="Times New Roman"/>
          <w:color w:val="000000" w:themeColor="text1"/>
          <w:shd w:val="clear" w:color="auto" w:fill="FFFFFF"/>
        </w:rPr>
        <w:t xml:space="preserve">en </w:t>
      </w:r>
      <w:r w:rsidR="0060111D">
        <w:rPr>
          <w:rFonts w:ascii="Times New Roman" w:hAnsi="Times New Roman" w:cs="Times New Roman"/>
          <w:color w:val="000000" w:themeColor="text1"/>
          <w:shd w:val="clear" w:color="auto" w:fill="FFFFFF"/>
        </w:rPr>
        <w:t>12 års periode</w:t>
      </w:r>
      <w:r w:rsidR="002F3D38">
        <w:rPr>
          <w:rFonts w:ascii="Times New Roman" w:hAnsi="Times New Roman" w:cs="Times New Roman"/>
          <w:color w:val="000000" w:themeColor="text1"/>
          <w:shd w:val="clear" w:color="auto" w:fill="FFFFFF"/>
        </w:rPr>
        <w:t xml:space="preserve"> men trods færre fartøjer fiskede meget større mængder</w:t>
      </w:r>
      <w:r w:rsidR="0060111D">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002F3D38">
        <w:rPr>
          <w:rFonts w:ascii="Times New Roman" w:hAnsi="Times New Roman" w:cs="Times New Roman"/>
          <w:color w:val="000000" w:themeColor="text1"/>
          <w:shd w:val="clear" w:color="auto" w:fill="FFFFFF"/>
        </w:rPr>
        <w:t xml:space="preserve">Det er en klar indikation </w:t>
      </w:r>
      <w:r w:rsidR="00265A13">
        <w:rPr>
          <w:rFonts w:ascii="Times New Roman" w:hAnsi="Times New Roman" w:cs="Times New Roman"/>
          <w:color w:val="000000" w:themeColor="text1"/>
          <w:shd w:val="clear" w:color="auto" w:fill="FFFFFF"/>
        </w:rPr>
        <w:t>af,</w:t>
      </w:r>
      <w:r w:rsidR="00791C8F">
        <w:rPr>
          <w:rFonts w:ascii="Times New Roman" w:hAnsi="Times New Roman" w:cs="Times New Roman"/>
          <w:color w:val="000000" w:themeColor="text1"/>
          <w:shd w:val="clear" w:color="auto" w:fill="FFFFFF"/>
        </w:rPr>
        <w:t xml:space="preserve"> at </w:t>
      </w:r>
      <w:proofErr w:type="gramStart"/>
      <w:r w:rsidR="00791C8F">
        <w:rPr>
          <w:rFonts w:ascii="Times New Roman" w:hAnsi="Times New Roman" w:cs="Times New Roman"/>
          <w:color w:val="000000" w:themeColor="text1"/>
          <w:shd w:val="clear" w:color="auto" w:fill="FFFFFF"/>
        </w:rPr>
        <w:t>IOK</w:t>
      </w:r>
      <w:r w:rsidR="002F3D38">
        <w:rPr>
          <w:rFonts w:ascii="Times New Roman" w:hAnsi="Times New Roman" w:cs="Times New Roman"/>
          <w:color w:val="000000" w:themeColor="text1"/>
          <w:shd w:val="clear" w:color="auto" w:fill="FFFFFF"/>
        </w:rPr>
        <w:t xml:space="preserve"> systemet</w:t>
      </w:r>
      <w:proofErr w:type="gramEnd"/>
      <w:r w:rsidR="002F3D38">
        <w:rPr>
          <w:rFonts w:ascii="Times New Roman" w:hAnsi="Times New Roman" w:cs="Times New Roman"/>
          <w:color w:val="000000" w:themeColor="text1"/>
          <w:shd w:val="clear" w:color="auto" w:fill="FFFFFF"/>
        </w:rPr>
        <w:t xml:space="preserve"> har bidraget til kapacitetstilpasninger af rejeflåden i den periode. </w:t>
      </w:r>
    </w:p>
    <w:p w14:paraId="1369DE2D" w14:textId="77777777" w:rsidR="002F3D38" w:rsidRDefault="002F3D38">
      <w:pPr>
        <w:spacing w:after="0" w:line="276" w:lineRule="auto"/>
        <w:jc w:val="both"/>
        <w:rPr>
          <w:rFonts w:ascii="Times New Roman" w:hAnsi="Times New Roman" w:cs="Times New Roman"/>
          <w:color w:val="000000" w:themeColor="text1"/>
          <w:shd w:val="clear" w:color="auto" w:fill="FFFFFF"/>
        </w:rPr>
      </w:pPr>
    </w:p>
    <w:p w14:paraId="5F7D2F93" w14:textId="52A32BFB" w:rsidR="004533C0" w:rsidRDefault="002F3D38">
      <w:pPr>
        <w:spacing w:after="0" w:line="276"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F</w:t>
      </w:r>
      <w:r w:rsidR="004533C0">
        <w:rPr>
          <w:rFonts w:ascii="Times New Roman" w:hAnsi="Times New Roman" w:cs="Times New Roman"/>
          <w:color w:val="000000" w:themeColor="text1"/>
          <w:shd w:val="clear" w:color="auto" w:fill="FFFFFF"/>
        </w:rPr>
        <w:t xml:space="preserve">igur </w:t>
      </w:r>
      <w:r w:rsidR="003E0419">
        <w:rPr>
          <w:rFonts w:ascii="Times New Roman" w:hAnsi="Times New Roman" w:cs="Times New Roman"/>
          <w:color w:val="000000" w:themeColor="text1"/>
          <w:shd w:val="clear" w:color="auto" w:fill="FFFFFF"/>
        </w:rPr>
        <w:t xml:space="preserve">3 </w:t>
      </w:r>
      <w:r w:rsidR="004533C0">
        <w:rPr>
          <w:rFonts w:ascii="Times New Roman" w:hAnsi="Times New Roman" w:cs="Times New Roman"/>
          <w:color w:val="000000" w:themeColor="text1"/>
          <w:shd w:val="clear" w:color="auto" w:fill="FFFFFF"/>
        </w:rPr>
        <w:t xml:space="preserve">viser udviklingen i antal fartøjer i rejeflåden fordelt på havgående og kystnær flåde. På grund af </w:t>
      </w:r>
      <w:r w:rsidR="006B3CA1">
        <w:rPr>
          <w:rFonts w:ascii="Times New Roman" w:hAnsi="Times New Roman" w:cs="Times New Roman"/>
          <w:color w:val="000000" w:themeColor="text1"/>
          <w:shd w:val="clear" w:color="auto" w:fill="FFFFFF"/>
        </w:rPr>
        <w:t xml:space="preserve">at </w:t>
      </w:r>
      <w:r w:rsidR="004533C0">
        <w:rPr>
          <w:rFonts w:ascii="Times New Roman" w:hAnsi="Times New Roman" w:cs="Times New Roman"/>
          <w:color w:val="000000" w:themeColor="text1"/>
          <w:shd w:val="clear" w:color="auto" w:fill="FFFFFF"/>
        </w:rPr>
        <w:t>kvaliteten i data før 2002 er relativ</w:t>
      </w:r>
      <w:r w:rsidR="006B3CA1">
        <w:rPr>
          <w:rFonts w:ascii="Times New Roman" w:hAnsi="Times New Roman" w:cs="Times New Roman"/>
          <w:color w:val="000000" w:themeColor="text1"/>
          <w:shd w:val="clear" w:color="auto" w:fill="FFFFFF"/>
        </w:rPr>
        <w:t>t</w:t>
      </w:r>
      <w:r w:rsidR="004533C0">
        <w:rPr>
          <w:rFonts w:ascii="Times New Roman" w:hAnsi="Times New Roman" w:cs="Times New Roman"/>
          <w:color w:val="000000" w:themeColor="text1"/>
          <w:shd w:val="clear" w:color="auto" w:fill="FFFFFF"/>
        </w:rPr>
        <w:t xml:space="preserve"> usikker vises kun udviklingen i perioden 2002 – 20</w:t>
      </w:r>
      <w:r w:rsidR="003E0419">
        <w:rPr>
          <w:rFonts w:ascii="Times New Roman" w:hAnsi="Times New Roman" w:cs="Times New Roman"/>
          <w:color w:val="000000" w:themeColor="text1"/>
          <w:shd w:val="clear" w:color="auto" w:fill="FFFFFF"/>
        </w:rPr>
        <w:t>20</w:t>
      </w:r>
      <w:r w:rsidR="004533C0">
        <w:rPr>
          <w:rFonts w:ascii="Times New Roman" w:hAnsi="Times New Roman" w:cs="Times New Roman"/>
          <w:color w:val="000000" w:themeColor="text1"/>
          <w:shd w:val="clear" w:color="auto" w:fill="FFFFFF"/>
        </w:rPr>
        <w:t>.</w:t>
      </w:r>
    </w:p>
    <w:p w14:paraId="60970254" w14:textId="77777777" w:rsidR="00D9025E" w:rsidRDefault="00D9025E">
      <w:pPr>
        <w:spacing w:after="0" w:line="276" w:lineRule="auto"/>
        <w:jc w:val="both"/>
        <w:rPr>
          <w:rFonts w:ascii="Times New Roman" w:hAnsi="Times New Roman" w:cs="Times New Roman"/>
          <w:color w:val="000000" w:themeColor="text1"/>
          <w:shd w:val="clear" w:color="auto" w:fill="FFFFFF"/>
        </w:rPr>
      </w:pPr>
    </w:p>
    <w:p w14:paraId="1C4127E2" w14:textId="0C316855" w:rsidR="00D9025E" w:rsidRPr="003B0C88" w:rsidRDefault="00D9025E">
      <w:pPr>
        <w:spacing w:after="0" w:line="276" w:lineRule="auto"/>
        <w:jc w:val="both"/>
        <w:rPr>
          <w:rFonts w:ascii="Times New Roman" w:hAnsi="Times New Roman" w:cs="Times New Roman"/>
          <w:color w:val="000000" w:themeColor="text1"/>
          <w:shd w:val="clear" w:color="auto" w:fill="FFFFFF"/>
          <w:lang w:val="is-IS"/>
        </w:rPr>
      </w:pPr>
      <w:r>
        <w:rPr>
          <w:rFonts w:ascii="Times New Roman" w:hAnsi="Times New Roman" w:cs="Times New Roman"/>
          <w:color w:val="000000" w:themeColor="text1"/>
          <w:shd w:val="clear" w:color="auto" w:fill="FFFFFF"/>
        </w:rPr>
        <w:t>Det er sket en betydelig kapacitetstilpasning i den havgående rejeflåde</w:t>
      </w:r>
      <w:r w:rsidR="00265A13">
        <w:rPr>
          <w:rFonts w:ascii="Times New Roman" w:hAnsi="Times New Roman" w:cs="Times New Roman"/>
          <w:color w:val="000000" w:themeColor="text1"/>
          <w:shd w:val="clear" w:color="auto" w:fill="FFFFFF"/>
        </w:rPr>
        <w:t>,</w:t>
      </w:r>
      <w:r w:rsidR="00791C8F">
        <w:rPr>
          <w:rFonts w:ascii="Times New Roman" w:hAnsi="Times New Roman" w:cs="Times New Roman"/>
          <w:color w:val="000000" w:themeColor="text1"/>
          <w:shd w:val="clear" w:color="auto" w:fill="FFFFFF"/>
        </w:rPr>
        <w:t xml:space="preserve"> siden IO</w:t>
      </w:r>
      <w:r w:rsidR="006B3CA1">
        <w:rPr>
          <w:rFonts w:ascii="Times New Roman" w:hAnsi="Times New Roman" w:cs="Times New Roman"/>
          <w:color w:val="000000" w:themeColor="text1"/>
          <w:shd w:val="clear" w:color="auto" w:fill="FFFFFF"/>
        </w:rPr>
        <w:t>K</w:t>
      </w:r>
      <w:r>
        <w:rPr>
          <w:rFonts w:ascii="Times New Roman" w:hAnsi="Times New Roman" w:cs="Times New Roman"/>
          <w:color w:val="000000" w:themeColor="text1"/>
          <w:shd w:val="clear" w:color="auto" w:fill="FFFFFF"/>
        </w:rPr>
        <w:t xml:space="preserve">-systemet blev indført. I 2002 </w:t>
      </w:r>
      <w:r w:rsidR="006B3CA1">
        <w:rPr>
          <w:rFonts w:ascii="Times New Roman" w:hAnsi="Times New Roman" w:cs="Times New Roman"/>
          <w:color w:val="000000" w:themeColor="text1"/>
          <w:shd w:val="clear" w:color="auto" w:fill="FFFFFF"/>
        </w:rPr>
        <w:t xml:space="preserve">var </w:t>
      </w:r>
      <w:r>
        <w:rPr>
          <w:rFonts w:ascii="Times New Roman" w:hAnsi="Times New Roman" w:cs="Times New Roman"/>
          <w:color w:val="000000" w:themeColor="text1"/>
          <w:shd w:val="clear" w:color="auto" w:fill="FFFFFF"/>
        </w:rPr>
        <w:t>antallet af hav</w:t>
      </w:r>
      <w:r w:rsidR="007D0A56">
        <w:rPr>
          <w:rFonts w:ascii="Times New Roman" w:hAnsi="Times New Roman" w:cs="Times New Roman"/>
          <w:color w:val="000000" w:themeColor="text1"/>
          <w:shd w:val="clear" w:color="auto" w:fill="FFFFFF"/>
        </w:rPr>
        <w:t>gående rejetrawlere fald</w:t>
      </w:r>
      <w:r w:rsidR="006B3CA1">
        <w:rPr>
          <w:rFonts w:ascii="Times New Roman" w:hAnsi="Times New Roman" w:cs="Times New Roman"/>
          <w:color w:val="000000" w:themeColor="text1"/>
          <w:shd w:val="clear" w:color="auto" w:fill="FFFFFF"/>
        </w:rPr>
        <w:t>e</w:t>
      </w:r>
      <w:r w:rsidR="007D0A56">
        <w:rPr>
          <w:rFonts w:ascii="Times New Roman" w:hAnsi="Times New Roman" w:cs="Times New Roman"/>
          <w:color w:val="000000" w:themeColor="text1"/>
          <w:shd w:val="clear" w:color="auto" w:fill="FFFFFF"/>
        </w:rPr>
        <w:t>t fra 54</w:t>
      </w:r>
      <w:r>
        <w:rPr>
          <w:rFonts w:ascii="Times New Roman" w:hAnsi="Times New Roman" w:cs="Times New Roman"/>
          <w:color w:val="000000" w:themeColor="text1"/>
          <w:shd w:val="clear" w:color="auto" w:fill="FFFFFF"/>
        </w:rPr>
        <w:t xml:space="preserve"> fartøjer i 1990 til 20. Fra 2002 til 2019 </w:t>
      </w:r>
      <w:r w:rsidR="00CF5089">
        <w:rPr>
          <w:rFonts w:ascii="Times New Roman" w:hAnsi="Times New Roman" w:cs="Times New Roman"/>
          <w:color w:val="000000" w:themeColor="text1"/>
          <w:shd w:val="clear" w:color="auto" w:fill="FFFFFF"/>
        </w:rPr>
        <w:t>er antallet</w:t>
      </w:r>
      <w:r>
        <w:rPr>
          <w:rFonts w:ascii="Times New Roman" w:hAnsi="Times New Roman" w:cs="Times New Roman"/>
          <w:color w:val="000000" w:themeColor="text1"/>
          <w:shd w:val="clear" w:color="auto" w:fill="FFFFFF"/>
        </w:rPr>
        <w:t xml:space="preserve"> af havgående fartøjer fald</w:t>
      </w:r>
      <w:r w:rsidR="006B3CA1">
        <w:rPr>
          <w:rFonts w:ascii="Times New Roman" w:hAnsi="Times New Roman" w:cs="Times New Roman"/>
          <w:color w:val="000000" w:themeColor="text1"/>
          <w:shd w:val="clear" w:color="auto" w:fill="FFFFFF"/>
        </w:rPr>
        <w:t>e</w:t>
      </w:r>
      <w:r>
        <w:rPr>
          <w:rFonts w:ascii="Times New Roman" w:hAnsi="Times New Roman" w:cs="Times New Roman"/>
          <w:color w:val="000000" w:themeColor="text1"/>
          <w:shd w:val="clear" w:color="auto" w:fill="FFFFFF"/>
        </w:rPr>
        <w:t>t yderligere med 13 fartøjer</w:t>
      </w:r>
      <w:r w:rsidR="00265A13">
        <w:rPr>
          <w:rFonts w:ascii="Times New Roman" w:hAnsi="Times New Roman" w:cs="Times New Roman"/>
          <w:color w:val="000000" w:themeColor="text1"/>
          <w:shd w:val="clear" w:color="auto" w:fill="FFFFFF"/>
        </w:rPr>
        <w:t xml:space="preserve">, dvs. </w:t>
      </w:r>
      <w:r>
        <w:rPr>
          <w:rFonts w:ascii="Times New Roman" w:hAnsi="Times New Roman" w:cs="Times New Roman"/>
          <w:color w:val="000000" w:themeColor="text1"/>
          <w:shd w:val="clear" w:color="auto" w:fill="FFFFFF"/>
        </w:rPr>
        <w:t xml:space="preserve">ned til 7 fartøjer i 2019. Det bemærkes det er kommet </w:t>
      </w:r>
      <w:r w:rsidR="003B0C88">
        <w:rPr>
          <w:rFonts w:ascii="Times New Roman" w:hAnsi="Times New Roman" w:cs="Times New Roman"/>
          <w:color w:val="000000" w:themeColor="text1"/>
          <w:shd w:val="clear" w:color="auto" w:fill="FFFFFF"/>
        </w:rPr>
        <w:t xml:space="preserve">5 </w:t>
      </w:r>
      <w:r>
        <w:rPr>
          <w:rFonts w:ascii="Times New Roman" w:hAnsi="Times New Roman" w:cs="Times New Roman"/>
          <w:color w:val="000000" w:themeColor="text1"/>
          <w:shd w:val="clear" w:color="auto" w:fill="FFFFFF"/>
        </w:rPr>
        <w:t>nybyggede havgående rejetrawler</w:t>
      </w:r>
      <w:r w:rsidR="003B0C88">
        <w:rPr>
          <w:rFonts w:ascii="Times New Roman" w:hAnsi="Times New Roman" w:cs="Times New Roman"/>
          <w:color w:val="000000" w:themeColor="text1"/>
          <w:shd w:val="clear" w:color="auto" w:fill="FFFFFF"/>
        </w:rPr>
        <w:t>e ind i fiskeri i perioden2017-2020</w:t>
      </w:r>
      <w:r w:rsidR="00477589">
        <w:rPr>
          <w:rFonts w:ascii="Times New Roman" w:hAnsi="Times New Roman" w:cs="Times New Roman"/>
          <w:color w:val="000000" w:themeColor="text1"/>
          <w:shd w:val="clear" w:color="auto" w:fill="FFFFFF"/>
        </w:rPr>
        <w:t xml:space="preserve">. </w:t>
      </w:r>
      <w:r w:rsidR="003B0C88">
        <w:rPr>
          <w:rFonts w:ascii="Times New Roman" w:hAnsi="Times New Roman" w:cs="Times New Roman"/>
          <w:color w:val="000000" w:themeColor="text1"/>
          <w:shd w:val="clear" w:color="auto" w:fill="FFFFFF"/>
        </w:rPr>
        <w:t>En yderligere nybygget havgående rejetrawler forventes at blive leveret medio 2021.</w:t>
      </w:r>
      <w:r w:rsidR="00477589">
        <w:rPr>
          <w:rFonts w:ascii="Times New Roman" w:hAnsi="Times New Roman" w:cs="Times New Roman"/>
          <w:color w:val="000000" w:themeColor="text1"/>
          <w:shd w:val="clear" w:color="auto" w:fill="FFFFFF"/>
        </w:rPr>
        <w:t>K</w:t>
      </w:r>
      <w:r>
        <w:rPr>
          <w:rFonts w:ascii="Times New Roman" w:hAnsi="Times New Roman" w:cs="Times New Roman"/>
          <w:color w:val="000000" w:themeColor="text1"/>
          <w:shd w:val="clear" w:color="auto" w:fill="FFFFFF"/>
        </w:rPr>
        <w:t>apaciteten hos det enkelte fartøj forventes at være steget betydeligt i forhold til 2002 og tidligere år.</w:t>
      </w:r>
      <w:r w:rsidR="00697786">
        <w:rPr>
          <w:rFonts w:ascii="Times New Roman" w:hAnsi="Times New Roman" w:cs="Times New Roman"/>
          <w:color w:val="000000" w:themeColor="text1"/>
          <w:shd w:val="clear" w:color="auto" w:fill="FFFFFF"/>
        </w:rPr>
        <w:t xml:space="preserve"> Den gennemsnitlige alder på de havgående rejetrawler i 2021 på ca. 10 år.</w:t>
      </w:r>
    </w:p>
    <w:p w14:paraId="0AA3DB00" w14:textId="77777777" w:rsidR="00180C0D" w:rsidRDefault="00180C0D">
      <w:pPr>
        <w:spacing w:after="0" w:line="276" w:lineRule="auto"/>
        <w:jc w:val="both"/>
        <w:rPr>
          <w:rFonts w:ascii="Times New Roman" w:hAnsi="Times New Roman" w:cs="Times New Roman"/>
          <w:color w:val="000000" w:themeColor="text1"/>
          <w:shd w:val="clear" w:color="auto" w:fill="FFFFFF"/>
        </w:rPr>
      </w:pPr>
    </w:p>
    <w:p w14:paraId="4B1556EE" w14:textId="77777777" w:rsidR="001346DF" w:rsidRDefault="00562F3D">
      <w:pPr>
        <w:spacing w:after="0" w:line="276"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Det er tilsvarende sket </w:t>
      </w:r>
      <w:r w:rsidR="00265A13">
        <w:rPr>
          <w:rFonts w:ascii="Times New Roman" w:hAnsi="Times New Roman" w:cs="Times New Roman"/>
          <w:color w:val="000000" w:themeColor="text1"/>
          <w:shd w:val="clear" w:color="auto" w:fill="FFFFFF"/>
        </w:rPr>
        <w:t xml:space="preserve">en </w:t>
      </w:r>
      <w:r w:rsidR="001346DF">
        <w:rPr>
          <w:rFonts w:ascii="Times New Roman" w:hAnsi="Times New Roman" w:cs="Times New Roman"/>
          <w:color w:val="000000" w:themeColor="text1"/>
          <w:shd w:val="clear" w:color="auto" w:fill="FFFFFF"/>
        </w:rPr>
        <w:t xml:space="preserve">betydelig </w:t>
      </w:r>
      <w:r>
        <w:rPr>
          <w:rFonts w:ascii="Times New Roman" w:hAnsi="Times New Roman" w:cs="Times New Roman"/>
          <w:color w:val="000000" w:themeColor="text1"/>
          <w:shd w:val="clear" w:color="auto" w:fill="FFFFFF"/>
        </w:rPr>
        <w:t>kapacitetstilpasning i det kystnære rejefiskeri. I 2002 var der 62 rejetrawler i den kystnære rej</w:t>
      </w:r>
      <w:r w:rsidR="007D0A56">
        <w:rPr>
          <w:rFonts w:ascii="Times New Roman" w:hAnsi="Times New Roman" w:cs="Times New Roman"/>
          <w:color w:val="000000" w:themeColor="text1"/>
          <w:shd w:val="clear" w:color="auto" w:fill="FFFFFF"/>
        </w:rPr>
        <w:t>eflåde</w:t>
      </w:r>
      <w:r w:rsidR="00265A13">
        <w:rPr>
          <w:rFonts w:ascii="Times New Roman" w:hAnsi="Times New Roman" w:cs="Times New Roman"/>
          <w:color w:val="000000" w:themeColor="text1"/>
          <w:shd w:val="clear" w:color="auto" w:fill="FFFFFF"/>
        </w:rPr>
        <w:t>,</w:t>
      </w:r>
      <w:r w:rsidR="007D0A56">
        <w:rPr>
          <w:rFonts w:ascii="Times New Roman" w:hAnsi="Times New Roman" w:cs="Times New Roman"/>
          <w:color w:val="000000" w:themeColor="text1"/>
          <w:shd w:val="clear" w:color="auto" w:fill="FFFFFF"/>
        </w:rPr>
        <w:t xml:space="preserve"> hvilket var et fald på 82</w:t>
      </w:r>
      <w:r>
        <w:rPr>
          <w:rFonts w:ascii="Times New Roman" w:hAnsi="Times New Roman" w:cs="Times New Roman"/>
          <w:color w:val="000000" w:themeColor="text1"/>
          <w:shd w:val="clear" w:color="auto" w:fill="FFFFFF"/>
        </w:rPr>
        <w:t xml:space="preserve"> trawler</w:t>
      </w:r>
      <w:r w:rsidR="007D0A56">
        <w:rPr>
          <w:rFonts w:ascii="Times New Roman" w:hAnsi="Times New Roman" w:cs="Times New Roman"/>
          <w:color w:val="000000" w:themeColor="text1"/>
          <w:shd w:val="clear" w:color="auto" w:fill="FFFFFF"/>
        </w:rPr>
        <w:t>e</w:t>
      </w:r>
      <w:r>
        <w:rPr>
          <w:rFonts w:ascii="Times New Roman" w:hAnsi="Times New Roman" w:cs="Times New Roman"/>
          <w:color w:val="000000" w:themeColor="text1"/>
          <w:shd w:val="clear" w:color="auto" w:fill="FFFFFF"/>
        </w:rPr>
        <w:t xml:space="preserve"> i forhold til 1990. </w:t>
      </w:r>
    </w:p>
    <w:p w14:paraId="0CB4D0B1" w14:textId="77777777" w:rsidR="001346DF" w:rsidRDefault="001346DF">
      <w:pPr>
        <w:spacing w:after="0" w:line="276" w:lineRule="auto"/>
        <w:jc w:val="both"/>
        <w:rPr>
          <w:rFonts w:ascii="Times New Roman" w:hAnsi="Times New Roman" w:cs="Times New Roman"/>
          <w:color w:val="000000" w:themeColor="text1"/>
          <w:shd w:val="clear" w:color="auto" w:fill="FFFFFF"/>
        </w:rPr>
      </w:pPr>
    </w:p>
    <w:p w14:paraId="0FB6BCD1" w14:textId="77777777" w:rsidR="001346DF" w:rsidRDefault="002F3D38">
      <w:pPr>
        <w:spacing w:after="0" w:line="276" w:lineRule="auto"/>
        <w:jc w:val="both"/>
        <w:rPr>
          <w:rFonts w:ascii="Times New Roman" w:hAnsi="Times New Roman" w:cs="Times New Roman"/>
        </w:rPr>
      </w:pPr>
      <w:r w:rsidRPr="00BA5D7C">
        <w:rPr>
          <w:rFonts w:ascii="Times New Roman" w:hAnsi="Times New Roman" w:cs="Times New Roman"/>
        </w:rPr>
        <w:t>I en redegørelse fra Nævnet vedrørende udviklingen i det kystnære rejefiskeri i marts 2004 konkluderes det, at man på kort og mell</w:t>
      </w:r>
      <w:r>
        <w:rPr>
          <w:rFonts w:ascii="Times New Roman" w:hAnsi="Times New Roman" w:cs="Times New Roman"/>
        </w:rPr>
        <w:t xml:space="preserve">emlangt sigt kan afhjælpe økonomiske </w:t>
      </w:r>
      <w:r w:rsidRPr="00BA5D7C">
        <w:rPr>
          <w:rFonts w:ascii="Times New Roman" w:hAnsi="Times New Roman" w:cs="Times New Roman"/>
        </w:rPr>
        <w:t xml:space="preserve">problemer ved at fortsætte med indhandlingstilskud. </w:t>
      </w:r>
      <w:r>
        <w:rPr>
          <w:rFonts w:ascii="Times New Roman" w:hAnsi="Times New Roman" w:cs="Times New Roman"/>
        </w:rPr>
        <w:t xml:space="preserve">Dette bidrog til en stigning i kapaciteten fra 2004-2005. </w:t>
      </w:r>
    </w:p>
    <w:p w14:paraId="70765F56" w14:textId="77777777" w:rsidR="001346DF" w:rsidRDefault="001346DF">
      <w:pPr>
        <w:spacing w:after="0" w:line="276" w:lineRule="auto"/>
        <w:jc w:val="both"/>
        <w:rPr>
          <w:rFonts w:ascii="Times New Roman" w:hAnsi="Times New Roman" w:cs="Times New Roman"/>
        </w:rPr>
      </w:pPr>
    </w:p>
    <w:p w14:paraId="0834560A" w14:textId="5E7C4E02" w:rsidR="002F3D38" w:rsidRDefault="002F3D38">
      <w:pPr>
        <w:spacing w:after="0" w:line="276" w:lineRule="auto"/>
        <w:jc w:val="both"/>
        <w:rPr>
          <w:rFonts w:ascii="Times New Roman" w:hAnsi="Times New Roman" w:cs="Times New Roman"/>
        </w:rPr>
      </w:pPr>
      <w:r w:rsidRPr="00BA5D7C">
        <w:rPr>
          <w:rFonts w:ascii="Times New Roman" w:hAnsi="Times New Roman" w:cs="Times New Roman"/>
        </w:rPr>
        <w:t xml:space="preserve">På længere sigt </w:t>
      </w:r>
      <w:r>
        <w:rPr>
          <w:rFonts w:ascii="Times New Roman" w:hAnsi="Times New Roman" w:cs="Times New Roman"/>
        </w:rPr>
        <w:t>mente Nævnet</w:t>
      </w:r>
      <w:r w:rsidR="00265A13">
        <w:rPr>
          <w:rFonts w:ascii="Times New Roman" w:hAnsi="Times New Roman" w:cs="Times New Roman"/>
        </w:rPr>
        <w:t>,</w:t>
      </w:r>
      <w:r>
        <w:rPr>
          <w:rFonts w:ascii="Times New Roman" w:hAnsi="Times New Roman" w:cs="Times New Roman"/>
        </w:rPr>
        <w:t xml:space="preserve"> at det vil være </w:t>
      </w:r>
      <w:r w:rsidRPr="00BA5D7C">
        <w:rPr>
          <w:rFonts w:ascii="Times New Roman" w:hAnsi="Times New Roman" w:cs="Times New Roman"/>
        </w:rPr>
        <w:t>uforsvarligt at understøtte urentabelt kystnært fiskeri med tilskudsordninger såsom indhandlingstilskud, olietilskud og andre former for tilskud. Derfor har forvaltningsmyndigheden igennem støtteordninger og favorable lån afhjulpet rejefiskeriet med en gradvis kapacitetstilpasning i det kystnære flådesegment</w:t>
      </w:r>
      <w:r w:rsidR="006B3CA1">
        <w:rPr>
          <w:rFonts w:ascii="Times New Roman" w:hAnsi="Times New Roman" w:cs="Times New Roman"/>
        </w:rPr>
        <w:t xml:space="preserve"> med en</w:t>
      </w:r>
      <w:r w:rsidRPr="00BA5D7C">
        <w:rPr>
          <w:rFonts w:ascii="Times New Roman" w:hAnsi="Times New Roman" w:cs="Times New Roman"/>
        </w:rPr>
        <w:t xml:space="preserve"> udfasning af mindre effektive fartøjer.</w:t>
      </w:r>
      <w:r>
        <w:rPr>
          <w:rFonts w:ascii="Times New Roman" w:hAnsi="Times New Roman" w:cs="Times New Roman"/>
        </w:rPr>
        <w:t xml:space="preserve"> Afskaffelse af indhandlingstilskud og brændstofstilskud har bidraget yderligere til strukturtilpasning </w:t>
      </w:r>
      <w:r w:rsidR="006B3CA1">
        <w:rPr>
          <w:rFonts w:ascii="Times New Roman" w:hAnsi="Times New Roman" w:cs="Times New Roman"/>
        </w:rPr>
        <w:t xml:space="preserve">i </w:t>
      </w:r>
      <w:r>
        <w:rPr>
          <w:rFonts w:ascii="Times New Roman" w:hAnsi="Times New Roman" w:cs="Times New Roman"/>
        </w:rPr>
        <w:t>den kystnære rejeflåde.</w:t>
      </w:r>
    </w:p>
    <w:p w14:paraId="5AD57168" w14:textId="77777777" w:rsidR="00562F3D" w:rsidRDefault="00562F3D">
      <w:pPr>
        <w:spacing w:after="0" w:line="276" w:lineRule="auto"/>
        <w:jc w:val="both"/>
        <w:rPr>
          <w:rFonts w:ascii="Times New Roman" w:hAnsi="Times New Roman" w:cs="Times New Roman"/>
        </w:rPr>
      </w:pPr>
    </w:p>
    <w:p w14:paraId="496C9053" w14:textId="5C95520E" w:rsidR="001346DF" w:rsidRDefault="00562F3D">
      <w:pPr>
        <w:spacing w:after="0" w:line="276" w:lineRule="auto"/>
        <w:jc w:val="both"/>
        <w:rPr>
          <w:rFonts w:ascii="Times New Roman" w:hAnsi="Times New Roman" w:cs="Times New Roman"/>
        </w:rPr>
      </w:pPr>
      <w:r>
        <w:rPr>
          <w:rFonts w:ascii="Times New Roman" w:hAnsi="Times New Roman" w:cs="Times New Roman"/>
        </w:rPr>
        <w:t xml:space="preserve">Det var forsat </w:t>
      </w:r>
      <w:r w:rsidR="00FE3450">
        <w:rPr>
          <w:rFonts w:ascii="Times New Roman" w:hAnsi="Times New Roman" w:cs="Times New Roman"/>
        </w:rPr>
        <w:t xml:space="preserve">sket en </w:t>
      </w:r>
      <w:r>
        <w:rPr>
          <w:rFonts w:ascii="Times New Roman" w:hAnsi="Times New Roman" w:cs="Times New Roman"/>
        </w:rPr>
        <w:t xml:space="preserve">stor kapacitetstilpasning i </w:t>
      </w:r>
      <w:proofErr w:type="gramStart"/>
      <w:r>
        <w:rPr>
          <w:rFonts w:ascii="Times New Roman" w:hAnsi="Times New Roman" w:cs="Times New Roman"/>
        </w:rPr>
        <w:t>den kystnære rejeflåden</w:t>
      </w:r>
      <w:proofErr w:type="gramEnd"/>
      <w:r>
        <w:rPr>
          <w:rFonts w:ascii="Times New Roman" w:hAnsi="Times New Roman" w:cs="Times New Roman"/>
        </w:rPr>
        <w:t xml:space="preserve"> frem til 2013. I perioden 2013 </w:t>
      </w:r>
      <w:r w:rsidR="00060999">
        <w:rPr>
          <w:rFonts w:ascii="Times New Roman" w:hAnsi="Times New Roman" w:cs="Times New Roman"/>
        </w:rPr>
        <w:t>frem til</w:t>
      </w:r>
      <w:r>
        <w:rPr>
          <w:rFonts w:ascii="Times New Roman" w:hAnsi="Times New Roman" w:cs="Times New Roman"/>
        </w:rPr>
        <w:t xml:space="preserve"> </w:t>
      </w:r>
      <w:r w:rsidR="00697786">
        <w:rPr>
          <w:rFonts w:ascii="Times New Roman" w:hAnsi="Times New Roman" w:cs="Times New Roman"/>
        </w:rPr>
        <w:t xml:space="preserve">2020 </w:t>
      </w:r>
      <w:r>
        <w:rPr>
          <w:rFonts w:ascii="Times New Roman" w:hAnsi="Times New Roman" w:cs="Times New Roman"/>
        </w:rPr>
        <w:t xml:space="preserve">ser det </w:t>
      </w:r>
      <w:r w:rsidR="001346DF">
        <w:rPr>
          <w:rFonts w:ascii="Times New Roman" w:hAnsi="Times New Roman" w:cs="Times New Roman"/>
        </w:rPr>
        <w:t xml:space="preserve">imidlertid </w:t>
      </w:r>
      <w:r>
        <w:rPr>
          <w:rFonts w:ascii="Times New Roman" w:hAnsi="Times New Roman" w:cs="Times New Roman"/>
        </w:rPr>
        <w:t>ud</w:t>
      </w:r>
      <w:r w:rsidR="00173D85">
        <w:rPr>
          <w:rFonts w:ascii="Times New Roman" w:hAnsi="Times New Roman" w:cs="Times New Roman"/>
        </w:rPr>
        <w:t xml:space="preserve"> til,</w:t>
      </w:r>
      <w:r>
        <w:rPr>
          <w:rFonts w:ascii="Times New Roman" w:hAnsi="Times New Roman" w:cs="Times New Roman"/>
        </w:rPr>
        <w:t xml:space="preserve"> </w:t>
      </w:r>
      <w:r w:rsidR="00173D85">
        <w:rPr>
          <w:rFonts w:ascii="Times New Roman" w:hAnsi="Times New Roman" w:cs="Times New Roman"/>
        </w:rPr>
        <w:t>at</w:t>
      </w:r>
      <w:r>
        <w:rPr>
          <w:rFonts w:ascii="Times New Roman" w:hAnsi="Times New Roman" w:cs="Times New Roman"/>
        </w:rPr>
        <w:t xml:space="preserve"> kapacitetstilpasningen er gået i stå</w:t>
      </w:r>
      <w:r w:rsidR="00CF2DAB">
        <w:rPr>
          <w:rFonts w:ascii="Times New Roman" w:hAnsi="Times New Roman" w:cs="Times New Roman"/>
        </w:rPr>
        <w:t>, jf. figur 2</w:t>
      </w:r>
      <w:r>
        <w:rPr>
          <w:rFonts w:ascii="Times New Roman" w:hAnsi="Times New Roman" w:cs="Times New Roman"/>
        </w:rPr>
        <w:t xml:space="preserve">. </w:t>
      </w:r>
    </w:p>
    <w:p w14:paraId="151B4809" w14:textId="2C520753" w:rsidR="001346DF" w:rsidRPr="00AC4047" w:rsidRDefault="00791C8F" w:rsidP="00A21B75">
      <w:pPr>
        <w:spacing w:after="0" w:line="276" w:lineRule="auto"/>
        <w:jc w:val="both"/>
        <w:rPr>
          <w:rFonts w:ascii="Times New Roman" w:hAnsi="Times New Roman" w:cs="Times New Roman"/>
          <w:b/>
          <w:color w:val="000000" w:themeColor="text1"/>
        </w:rPr>
      </w:pPr>
      <w:r w:rsidRPr="00AC4047">
        <w:rPr>
          <w:rFonts w:ascii="Times New Roman" w:hAnsi="Times New Roman" w:cs="Times New Roman"/>
          <w:b/>
          <w:color w:val="000000" w:themeColor="text1"/>
        </w:rPr>
        <w:t xml:space="preserve">Figur </w:t>
      </w:r>
      <w:r w:rsidR="003E0419">
        <w:rPr>
          <w:rFonts w:ascii="Times New Roman" w:hAnsi="Times New Roman" w:cs="Times New Roman"/>
          <w:b/>
          <w:color w:val="000000" w:themeColor="text1"/>
        </w:rPr>
        <w:t>3</w:t>
      </w:r>
      <w:r w:rsidR="001346DF" w:rsidRPr="00AC4047">
        <w:rPr>
          <w:rFonts w:ascii="Times New Roman" w:hAnsi="Times New Roman" w:cs="Times New Roman"/>
          <w:b/>
          <w:color w:val="000000" w:themeColor="text1"/>
        </w:rPr>
        <w:t>: Udviklingen antal fartøjer i rejeflåden 2002-20</w:t>
      </w:r>
      <w:r w:rsidR="003E0419">
        <w:rPr>
          <w:rFonts w:ascii="Times New Roman" w:hAnsi="Times New Roman" w:cs="Times New Roman"/>
          <w:b/>
          <w:color w:val="000000" w:themeColor="text1"/>
        </w:rPr>
        <w:t>20</w:t>
      </w:r>
      <w:r w:rsidR="0080536C" w:rsidRPr="00AC4047">
        <w:rPr>
          <w:rFonts w:ascii="Times New Roman" w:hAnsi="Times New Roman" w:cs="Times New Roman"/>
          <w:b/>
          <w:color w:val="000000" w:themeColor="text1"/>
        </w:rPr>
        <w:t>.</w:t>
      </w:r>
    </w:p>
    <w:p w14:paraId="52A747A0" w14:textId="0C0B81C0" w:rsidR="001346DF" w:rsidRDefault="00420D8F" w:rsidP="00A21B75">
      <w:pPr>
        <w:spacing w:after="0" w:line="276" w:lineRule="auto"/>
        <w:jc w:val="both"/>
        <w:rPr>
          <w:rFonts w:ascii="Times New Roman" w:hAnsi="Times New Roman" w:cs="Times New Roman"/>
          <w:color w:val="000000" w:themeColor="text1"/>
        </w:rPr>
      </w:pPr>
      <w:r>
        <w:rPr>
          <w:noProof/>
          <w:lang w:val="en-US"/>
        </w:rPr>
        <w:lastRenderedPageBreak/>
        <w:drawing>
          <wp:inline distT="0" distB="0" distL="0" distR="0" wp14:anchorId="307D637D" wp14:editId="30D7A324">
            <wp:extent cx="6120130" cy="3782060"/>
            <wp:effectExtent l="0" t="0" r="0" b="889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73B477" w14:textId="77777777" w:rsidR="00223F2E" w:rsidRPr="008B4ABF" w:rsidRDefault="00223F2E" w:rsidP="00241DBF">
      <w:pPr>
        <w:spacing w:after="0" w:line="276" w:lineRule="auto"/>
        <w:jc w:val="both"/>
        <w:rPr>
          <w:rFonts w:ascii="Times New Roman" w:hAnsi="Times New Roman" w:cs="Times New Roman"/>
          <w:color w:val="000000" w:themeColor="text1"/>
          <w:sz w:val="20"/>
          <w:szCs w:val="20"/>
        </w:rPr>
      </w:pPr>
      <w:r w:rsidRPr="008B4ABF">
        <w:rPr>
          <w:rFonts w:ascii="Times New Roman" w:hAnsi="Times New Roman" w:cs="Times New Roman"/>
          <w:color w:val="000000" w:themeColor="text1"/>
          <w:sz w:val="20"/>
          <w:szCs w:val="20"/>
        </w:rPr>
        <w:t>Kilde: GFLK.</w:t>
      </w:r>
    </w:p>
    <w:p w14:paraId="4FDF3649" w14:textId="77777777" w:rsidR="00223F2E" w:rsidRPr="00F67749" w:rsidRDefault="00223F2E" w:rsidP="008F260E">
      <w:pPr>
        <w:spacing w:after="0" w:line="276" w:lineRule="auto"/>
        <w:jc w:val="both"/>
        <w:rPr>
          <w:rFonts w:ascii="Times New Roman" w:hAnsi="Times New Roman" w:cs="Times New Roman"/>
          <w:color w:val="000000" w:themeColor="text1"/>
        </w:rPr>
      </w:pPr>
    </w:p>
    <w:p w14:paraId="41326E81" w14:textId="2293E079" w:rsidR="009B58DE" w:rsidRDefault="00060999" w:rsidP="008F260E">
      <w:pPr>
        <w:spacing w:after="0" w:line="276" w:lineRule="auto"/>
        <w:jc w:val="both"/>
        <w:rPr>
          <w:rFonts w:ascii="Times New Roman" w:hAnsi="Times New Roman" w:cs="Times New Roman"/>
        </w:rPr>
      </w:pPr>
      <w:r>
        <w:rPr>
          <w:rFonts w:ascii="Times New Roman" w:hAnsi="Times New Roman" w:cs="Times New Roman"/>
        </w:rPr>
        <w:t xml:space="preserve">I </w:t>
      </w:r>
      <w:r w:rsidR="003E0419">
        <w:rPr>
          <w:rFonts w:ascii="Times New Roman" w:hAnsi="Times New Roman" w:cs="Times New Roman"/>
        </w:rPr>
        <w:t xml:space="preserve">2020 </w:t>
      </w:r>
      <w:r>
        <w:rPr>
          <w:rFonts w:ascii="Times New Roman" w:hAnsi="Times New Roman" w:cs="Times New Roman"/>
        </w:rPr>
        <w:t xml:space="preserve">er der </w:t>
      </w:r>
      <w:r w:rsidR="003B0C88">
        <w:rPr>
          <w:rFonts w:ascii="Times New Roman" w:hAnsi="Times New Roman" w:cs="Times New Roman"/>
        </w:rPr>
        <w:t xml:space="preserve">21 </w:t>
      </w:r>
      <w:r>
        <w:rPr>
          <w:rFonts w:ascii="Times New Roman" w:hAnsi="Times New Roman" w:cs="Times New Roman"/>
        </w:rPr>
        <w:t>kystnære rejefartøjer</w:t>
      </w:r>
      <w:r w:rsidR="00FE3450">
        <w:rPr>
          <w:rFonts w:ascii="Times New Roman" w:hAnsi="Times New Roman" w:cs="Times New Roman"/>
        </w:rPr>
        <w:t>,</w:t>
      </w:r>
      <w:r w:rsidR="00CF2DAB">
        <w:rPr>
          <w:rFonts w:ascii="Times New Roman" w:hAnsi="Times New Roman" w:cs="Times New Roman"/>
        </w:rPr>
        <w:t xml:space="preserve"> som har en gennemsnitsalder </w:t>
      </w:r>
      <w:r w:rsidR="00F03BC5">
        <w:rPr>
          <w:rFonts w:ascii="Times New Roman" w:hAnsi="Times New Roman" w:cs="Times New Roman"/>
        </w:rPr>
        <w:t xml:space="preserve">på ca. </w:t>
      </w:r>
      <w:r w:rsidR="00CF2DAB">
        <w:rPr>
          <w:rFonts w:ascii="Times New Roman" w:hAnsi="Times New Roman" w:cs="Times New Roman"/>
        </w:rPr>
        <w:t>31 år</w:t>
      </w:r>
      <w:r>
        <w:rPr>
          <w:rFonts w:ascii="Times New Roman" w:hAnsi="Times New Roman" w:cs="Times New Roman"/>
        </w:rPr>
        <w:t xml:space="preserve">. </w:t>
      </w:r>
      <w:r w:rsidR="00CF2DAB">
        <w:rPr>
          <w:rFonts w:ascii="Times New Roman" w:hAnsi="Times New Roman" w:cs="Times New Roman"/>
        </w:rPr>
        <w:t xml:space="preserve">Det er kun investeret i et nybygget kystnært rejefartøj de sidste 20 år. Så </w:t>
      </w:r>
      <w:r w:rsidR="00F03BC5">
        <w:rPr>
          <w:rFonts w:ascii="Times New Roman" w:hAnsi="Times New Roman" w:cs="Times New Roman"/>
        </w:rPr>
        <w:t xml:space="preserve">det </w:t>
      </w:r>
      <w:r w:rsidR="00FE3450">
        <w:rPr>
          <w:rFonts w:ascii="Times New Roman" w:hAnsi="Times New Roman" w:cs="Times New Roman"/>
        </w:rPr>
        <w:t>vurder</w:t>
      </w:r>
      <w:r w:rsidR="00F03BC5">
        <w:rPr>
          <w:rFonts w:ascii="Times New Roman" w:hAnsi="Times New Roman" w:cs="Times New Roman"/>
        </w:rPr>
        <w:t>es</w:t>
      </w:r>
      <w:r w:rsidR="00FE3450">
        <w:rPr>
          <w:rFonts w:ascii="Times New Roman" w:hAnsi="Times New Roman" w:cs="Times New Roman"/>
        </w:rPr>
        <w:t xml:space="preserve">, at </w:t>
      </w:r>
      <w:r w:rsidR="00CF2DAB">
        <w:rPr>
          <w:rFonts w:ascii="Times New Roman" w:hAnsi="Times New Roman" w:cs="Times New Roman"/>
        </w:rPr>
        <w:t xml:space="preserve">den kystnære rejeflåde ikke </w:t>
      </w:r>
      <w:r w:rsidR="00FE3450">
        <w:rPr>
          <w:rFonts w:ascii="Times New Roman" w:hAnsi="Times New Roman" w:cs="Times New Roman"/>
        </w:rPr>
        <w:t xml:space="preserve">er </w:t>
      </w:r>
      <w:proofErr w:type="spellStart"/>
      <w:r w:rsidR="00CF2DAB">
        <w:rPr>
          <w:rFonts w:ascii="Times New Roman" w:hAnsi="Times New Roman" w:cs="Times New Roman"/>
        </w:rPr>
        <w:t>tidsvarende</w:t>
      </w:r>
      <w:proofErr w:type="spellEnd"/>
      <w:r w:rsidR="00FE3450">
        <w:rPr>
          <w:rFonts w:ascii="Times New Roman" w:hAnsi="Times New Roman" w:cs="Times New Roman"/>
        </w:rPr>
        <w:t>,</w:t>
      </w:r>
      <w:r w:rsidR="00CF2DAB">
        <w:rPr>
          <w:rFonts w:ascii="Times New Roman" w:hAnsi="Times New Roman" w:cs="Times New Roman"/>
        </w:rPr>
        <w:t xml:space="preserve"> og de</w:t>
      </w:r>
      <w:r w:rsidR="001346DF">
        <w:rPr>
          <w:rFonts w:ascii="Times New Roman" w:hAnsi="Times New Roman" w:cs="Times New Roman"/>
        </w:rPr>
        <w:t>r</w:t>
      </w:r>
      <w:r w:rsidR="00CF2DAB">
        <w:rPr>
          <w:rFonts w:ascii="Times New Roman" w:hAnsi="Times New Roman" w:cs="Times New Roman"/>
        </w:rPr>
        <w:t xml:space="preserve"> </w:t>
      </w:r>
      <w:r w:rsidR="001346DF">
        <w:rPr>
          <w:rFonts w:ascii="Times New Roman" w:hAnsi="Times New Roman" w:cs="Times New Roman"/>
        </w:rPr>
        <w:t xml:space="preserve">i dag </w:t>
      </w:r>
      <w:r w:rsidR="00CF2DAB">
        <w:rPr>
          <w:rFonts w:ascii="Times New Roman" w:hAnsi="Times New Roman" w:cs="Times New Roman"/>
        </w:rPr>
        <w:t xml:space="preserve">er </w:t>
      </w:r>
      <w:r w:rsidR="001346DF">
        <w:rPr>
          <w:rFonts w:ascii="Times New Roman" w:hAnsi="Times New Roman" w:cs="Times New Roman"/>
        </w:rPr>
        <w:t xml:space="preserve">et </w:t>
      </w:r>
      <w:r w:rsidR="00CF2DAB">
        <w:rPr>
          <w:rFonts w:ascii="Times New Roman" w:hAnsi="Times New Roman" w:cs="Times New Roman"/>
        </w:rPr>
        <w:t xml:space="preserve">større behov for modernisering. </w:t>
      </w:r>
    </w:p>
    <w:p w14:paraId="46C6187D" w14:textId="77777777" w:rsidR="009B58DE" w:rsidRDefault="009B58DE">
      <w:pPr>
        <w:spacing w:after="0" w:line="276" w:lineRule="auto"/>
        <w:jc w:val="both"/>
        <w:rPr>
          <w:rFonts w:ascii="Times New Roman" w:hAnsi="Times New Roman" w:cs="Times New Roman"/>
        </w:rPr>
      </w:pPr>
    </w:p>
    <w:p w14:paraId="38A65425" w14:textId="77777777" w:rsidR="001346DF" w:rsidRDefault="00562F3D">
      <w:pPr>
        <w:spacing w:after="0" w:line="276" w:lineRule="auto"/>
        <w:jc w:val="both"/>
        <w:rPr>
          <w:rFonts w:ascii="Times New Roman" w:hAnsi="Times New Roman" w:cs="Times New Roman"/>
        </w:rPr>
      </w:pPr>
      <w:r>
        <w:rPr>
          <w:rFonts w:ascii="Times New Roman" w:hAnsi="Times New Roman" w:cs="Times New Roman"/>
        </w:rPr>
        <w:t>Det er usikkert</w:t>
      </w:r>
      <w:r w:rsidR="00FE3450">
        <w:rPr>
          <w:rFonts w:ascii="Times New Roman" w:hAnsi="Times New Roman" w:cs="Times New Roman"/>
        </w:rPr>
        <w:t>,</w:t>
      </w:r>
      <w:r>
        <w:rPr>
          <w:rFonts w:ascii="Times New Roman" w:hAnsi="Times New Roman" w:cs="Times New Roman"/>
        </w:rPr>
        <w:t xml:space="preserve"> hvad forklaringen </w:t>
      </w:r>
      <w:r w:rsidR="00FE3450">
        <w:rPr>
          <w:rFonts w:ascii="Times New Roman" w:hAnsi="Times New Roman" w:cs="Times New Roman"/>
        </w:rPr>
        <w:t xml:space="preserve">er </w:t>
      </w:r>
      <w:r>
        <w:rPr>
          <w:rFonts w:ascii="Times New Roman" w:hAnsi="Times New Roman" w:cs="Times New Roman"/>
        </w:rPr>
        <w:t>på</w:t>
      </w:r>
      <w:r w:rsidR="00FE3450">
        <w:rPr>
          <w:rFonts w:ascii="Times New Roman" w:hAnsi="Times New Roman" w:cs="Times New Roman"/>
        </w:rPr>
        <w:t>,</w:t>
      </w:r>
      <w:r w:rsidR="00CF2DAB">
        <w:rPr>
          <w:rFonts w:ascii="Times New Roman" w:hAnsi="Times New Roman" w:cs="Times New Roman"/>
        </w:rPr>
        <w:t xml:space="preserve"> at kapacitetstilpasning er gået i stå siden 2013</w:t>
      </w:r>
      <w:r w:rsidR="00FE3450">
        <w:rPr>
          <w:rFonts w:ascii="Times New Roman" w:hAnsi="Times New Roman" w:cs="Times New Roman"/>
        </w:rPr>
        <w:t>. D</w:t>
      </w:r>
      <w:r>
        <w:rPr>
          <w:rFonts w:ascii="Times New Roman" w:hAnsi="Times New Roman" w:cs="Times New Roman"/>
        </w:rPr>
        <w:t xml:space="preserve">et er </w:t>
      </w:r>
      <w:r w:rsidR="00FE3450">
        <w:rPr>
          <w:rFonts w:ascii="Times New Roman" w:hAnsi="Times New Roman" w:cs="Times New Roman"/>
        </w:rPr>
        <w:t xml:space="preserve">især </w:t>
      </w:r>
      <w:r w:rsidR="005C78F4">
        <w:rPr>
          <w:rFonts w:ascii="Times New Roman" w:hAnsi="Times New Roman" w:cs="Times New Roman"/>
        </w:rPr>
        <w:t>mærkeligt</w:t>
      </w:r>
      <w:r w:rsidR="00FE3450">
        <w:rPr>
          <w:rFonts w:ascii="Times New Roman" w:hAnsi="Times New Roman" w:cs="Times New Roman"/>
        </w:rPr>
        <w:t>, når</w:t>
      </w:r>
      <w:r w:rsidR="00C76D2B">
        <w:rPr>
          <w:rFonts w:ascii="Times New Roman" w:hAnsi="Times New Roman" w:cs="Times New Roman"/>
        </w:rPr>
        <w:t xml:space="preserve"> der</w:t>
      </w:r>
      <w:r>
        <w:rPr>
          <w:rFonts w:ascii="Times New Roman" w:hAnsi="Times New Roman" w:cs="Times New Roman"/>
        </w:rPr>
        <w:t xml:space="preserve"> er en del kystnære fartøjer</w:t>
      </w:r>
      <w:r w:rsidR="00FE3450">
        <w:rPr>
          <w:rFonts w:ascii="Times New Roman" w:hAnsi="Times New Roman" w:cs="Times New Roman"/>
        </w:rPr>
        <w:t>,</w:t>
      </w:r>
      <w:r>
        <w:rPr>
          <w:rFonts w:ascii="Times New Roman" w:hAnsi="Times New Roman" w:cs="Times New Roman"/>
        </w:rPr>
        <w:t xml:space="preserve"> som har større kapacitet end deres kvoter.</w:t>
      </w:r>
      <w:r w:rsidR="00CF2DAB">
        <w:rPr>
          <w:rFonts w:ascii="Times New Roman" w:hAnsi="Times New Roman" w:cs="Times New Roman"/>
        </w:rPr>
        <w:t xml:space="preserve"> Ligeledes </w:t>
      </w:r>
      <w:r w:rsidR="00C76D2B">
        <w:rPr>
          <w:rFonts w:ascii="Times New Roman" w:hAnsi="Times New Roman" w:cs="Times New Roman"/>
        </w:rPr>
        <w:t xml:space="preserve">er det et spørgsmål, </w:t>
      </w:r>
      <w:r w:rsidR="00CF2DAB">
        <w:rPr>
          <w:rFonts w:ascii="Times New Roman" w:hAnsi="Times New Roman" w:cs="Times New Roman"/>
        </w:rPr>
        <w:t>hvorfor ikke nogen investerer i nye kystnære rejefartøjer</w:t>
      </w:r>
      <w:r w:rsidR="001346DF">
        <w:rPr>
          <w:rFonts w:ascii="Times New Roman" w:hAnsi="Times New Roman" w:cs="Times New Roman"/>
        </w:rPr>
        <w:t>:</w:t>
      </w:r>
      <w:r>
        <w:rPr>
          <w:rFonts w:ascii="Times New Roman" w:hAnsi="Times New Roman" w:cs="Times New Roman"/>
        </w:rPr>
        <w:t xml:space="preserve"> </w:t>
      </w:r>
    </w:p>
    <w:p w14:paraId="5FF6D606" w14:textId="77777777" w:rsidR="001346DF" w:rsidRPr="001346DF" w:rsidRDefault="00562F3D">
      <w:pPr>
        <w:pStyle w:val="Listeafsnit"/>
        <w:numPr>
          <w:ilvl w:val="0"/>
          <w:numId w:val="7"/>
        </w:numPr>
        <w:spacing w:after="0" w:line="276" w:lineRule="auto"/>
        <w:jc w:val="both"/>
        <w:rPr>
          <w:rFonts w:ascii="Times New Roman" w:hAnsi="Times New Roman" w:cs="Times New Roman"/>
          <w:color w:val="000000" w:themeColor="text1"/>
        </w:rPr>
      </w:pPr>
      <w:r w:rsidRPr="001346DF">
        <w:rPr>
          <w:rFonts w:ascii="Times New Roman" w:hAnsi="Times New Roman" w:cs="Times New Roman"/>
        </w:rPr>
        <w:t>En forklaring kunne være</w:t>
      </w:r>
      <w:r w:rsidR="00C76D2B" w:rsidRPr="001346DF">
        <w:rPr>
          <w:rFonts w:ascii="Times New Roman" w:hAnsi="Times New Roman" w:cs="Times New Roman"/>
        </w:rPr>
        <w:t>,</w:t>
      </w:r>
      <w:r w:rsidRPr="001346DF">
        <w:rPr>
          <w:rFonts w:ascii="Times New Roman" w:hAnsi="Times New Roman" w:cs="Times New Roman"/>
        </w:rPr>
        <w:t xml:space="preserve"> at</w:t>
      </w:r>
      <w:r w:rsidR="00060999" w:rsidRPr="001346DF">
        <w:rPr>
          <w:rFonts w:ascii="Times New Roman" w:hAnsi="Times New Roman" w:cs="Times New Roman"/>
        </w:rPr>
        <w:t xml:space="preserve"> de store fiskeriselskaber har investeret i en del af disse selskaber samt lånefinansieret en del. På den måde kontrollerer de store selskaber </w:t>
      </w:r>
      <w:r w:rsidR="00C76D2B" w:rsidRPr="001346DF">
        <w:rPr>
          <w:rFonts w:ascii="Times New Roman" w:hAnsi="Times New Roman" w:cs="Times New Roman"/>
        </w:rPr>
        <w:t xml:space="preserve">en </w:t>
      </w:r>
      <w:r w:rsidR="00060999" w:rsidRPr="001346DF">
        <w:rPr>
          <w:rFonts w:ascii="Times New Roman" w:hAnsi="Times New Roman" w:cs="Times New Roman"/>
        </w:rPr>
        <w:t>større del af kvoten igennem indirekte ejerskab</w:t>
      </w:r>
      <w:r w:rsidR="00C76D2B" w:rsidRPr="001346DF">
        <w:rPr>
          <w:rFonts w:ascii="Times New Roman" w:hAnsi="Times New Roman" w:cs="Times New Roman"/>
        </w:rPr>
        <w:t>,</w:t>
      </w:r>
      <w:r w:rsidR="00060999" w:rsidRPr="001346DF">
        <w:rPr>
          <w:rFonts w:ascii="Times New Roman" w:hAnsi="Times New Roman" w:cs="Times New Roman"/>
        </w:rPr>
        <w:t xml:space="preserve"> og det opstår en uvillighed </w:t>
      </w:r>
      <w:r w:rsidR="00C76D2B" w:rsidRPr="001346DF">
        <w:rPr>
          <w:rFonts w:ascii="Times New Roman" w:hAnsi="Times New Roman" w:cs="Times New Roman"/>
        </w:rPr>
        <w:t xml:space="preserve">til </w:t>
      </w:r>
      <w:r w:rsidR="00060999" w:rsidRPr="001346DF">
        <w:rPr>
          <w:rFonts w:ascii="Times New Roman" w:hAnsi="Times New Roman" w:cs="Times New Roman"/>
        </w:rPr>
        <w:t xml:space="preserve">at sælge kvoteandelene. </w:t>
      </w:r>
    </w:p>
    <w:p w14:paraId="1B7D8211" w14:textId="77777777" w:rsidR="001346DF" w:rsidRPr="00FE79FB" w:rsidRDefault="00C76D2B">
      <w:pPr>
        <w:pStyle w:val="Listeafsnit"/>
        <w:numPr>
          <w:ilvl w:val="0"/>
          <w:numId w:val="7"/>
        </w:numPr>
        <w:spacing w:after="0" w:line="276" w:lineRule="auto"/>
        <w:jc w:val="both"/>
        <w:rPr>
          <w:rFonts w:ascii="Times New Roman" w:hAnsi="Times New Roman" w:cs="Times New Roman"/>
          <w:color w:val="000000" w:themeColor="text1"/>
        </w:rPr>
      </w:pPr>
      <w:r w:rsidRPr="001346DF">
        <w:rPr>
          <w:rFonts w:ascii="Times New Roman" w:hAnsi="Times New Roman" w:cs="Times New Roman"/>
        </w:rPr>
        <w:t>En a</w:t>
      </w:r>
      <w:r w:rsidR="00060999" w:rsidRPr="001346DF">
        <w:rPr>
          <w:rFonts w:ascii="Times New Roman" w:hAnsi="Times New Roman" w:cs="Times New Roman"/>
        </w:rPr>
        <w:t>nden forklaring kunne være</w:t>
      </w:r>
      <w:r w:rsidRPr="001346DF">
        <w:rPr>
          <w:rFonts w:ascii="Times New Roman" w:hAnsi="Times New Roman" w:cs="Times New Roman"/>
        </w:rPr>
        <w:t>,</w:t>
      </w:r>
      <w:r w:rsidR="00060999" w:rsidRPr="001346DF">
        <w:rPr>
          <w:rFonts w:ascii="Times New Roman" w:hAnsi="Times New Roman" w:cs="Times New Roman"/>
        </w:rPr>
        <w:t xml:space="preserve"> at en del af </w:t>
      </w:r>
      <w:proofErr w:type="spellStart"/>
      <w:r w:rsidR="00060999" w:rsidRPr="001346DF">
        <w:rPr>
          <w:rFonts w:ascii="Times New Roman" w:hAnsi="Times New Roman" w:cs="Times New Roman"/>
        </w:rPr>
        <w:t>ejerene</w:t>
      </w:r>
      <w:proofErr w:type="spellEnd"/>
      <w:r w:rsidR="00060999" w:rsidRPr="001346DF">
        <w:rPr>
          <w:rFonts w:ascii="Times New Roman" w:hAnsi="Times New Roman" w:cs="Times New Roman"/>
        </w:rPr>
        <w:t xml:space="preserve"> i det kystnære rejefiskeri deltager aktivt i fiskeriet. </w:t>
      </w:r>
      <w:r w:rsidRPr="001346DF">
        <w:rPr>
          <w:rFonts w:ascii="Times New Roman" w:hAnsi="Times New Roman" w:cs="Times New Roman"/>
        </w:rPr>
        <w:t xml:space="preserve">Mange af dem er </w:t>
      </w:r>
      <w:r w:rsidR="00060999" w:rsidRPr="001346DF">
        <w:rPr>
          <w:rFonts w:ascii="Times New Roman" w:hAnsi="Times New Roman" w:cs="Times New Roman"/>
        </w:rPr>
        <w:t>op</w:t>
      </w:r>
      <w:r w:rsidR="005C78F4">
        <w:rPr>
          <w:rFonts w:ascii="Times New Roman" w:hAnsi="Times New Roman" w:cs="Times New Roman"/>
        </w:rPr>
        <w:t>pe</w:t>
      </w:r>
      <w:r w:rsidR="00060999" w:rsidRPr="001346DF">
        <w:rPr>
          <w:rFonts w:ascii="Times New Roman" w:hAnsi="Times New Roman" w:cs="Times New Roman"/>
        </w:rPr>
        <w:t xml:space="preserve"> i alderen</w:t>
      </w:r>
      <w:r w:rsidRPr="001346DF">
        <w:rPr>
          <w:rFonts w:ascii="Times New Roman" w:hAnsi="Times New Roman" w:cs="Times New Roman"/>
        </w:rPr>
        <w:t>,</w:t>
      </w:r>
      <w:r w:rsidR="00060999" w:rsidRPr="001346DF">
        <w:rPr>
          <w:rFonts w:ascii="Times New Roman" w:hAnsi="Times New Roman" w:cs="Times New Roman"/>
        </w:rPr>
        <w:t xml:space="preserve"> hvorfor de </w:t>
      </w:r>
      <w:proofErr w:type="gramStart"/>
      <w:r w:rsidR="00060999" w:rsidRPr="001346DF">
        <w:rPr>
          <w:rFonts w:ascii="Times New Roman" w:hAnsi="Times New Roman" w:cs="Times New Roman"/>
        </w:rPr>
        <w:t>er</w:t>
      </w:r>
      <w:proofErr w:type="gramEnd"/>
      <w:r w:rsidR="00060999" w:rsidRPr="001346DF">
        <w:rPr>
          <w:rFonts w:ascii="Times New Roman" w:hAnsi="Times New Roman" w:cs="Times New Roman"/>
        </w:rPr>
        <w:t xml:space="preserve"> måske ikke </w:t>
      </w:r>
      <w:r w:rsidRPr="001346DF">
        <w:rPr>
          <w:rFonts w:ascii="Times New Roman" w:hAnsi="Times New Roman" w:cs="Times New Roman"/>
        </w:rPr>
        <w:t xml:space="preserve">er </w:t>
      </w:r>
      <w:r w:rsidR="00060999" w:rsidRPr="001346DF">
        <w:rPr>
          <w:rFonts w:ascii="Times New Roman" w:hAnsi="Times New Roman" w:cs="Times New Roman"/>
        </w:rPr>
        <w:t xml:space="preserve">villige </w:t>
      </w:r>
      <w:r w:rsidRPr="001346DF">
        <w:rPr>
          <w:rFonts w:ascii="Times New Roman" w:hAnsi="Times New Roman" w:cs="Times New Roman"/>
        </w:rPr>
        <w:t xml:space="preserve">til </w:t>
      </w:r>
      <w:r w:rsidR="00060999" w:rsidRPr="001346DF">
        <w:rPr>
          <w:rFonts w:ascii="Times New Roman" w:hAnsi="Times New Roman" w:cs="Times New Roman"/>
        </w:rPr>
        <w:t xml:space="preserve">at påtage sig en større risiko ved at investere i nyt fartøj. </w:t>
      </w:r>
    </w:p>
    <w:p w14:paraId="38F39081" w14:textId="1E1739EF" w:rsidR="00FE79FB" w:rsidRPr="001346DF" w:rsidRDefault="00FE79FB">
      <w:pPr>
        <w:pStyle w:val="Listeafsnit"/>
        <w:numPr>
          <w:ilvl w:val="0"/>
          <w:numId w:val="7"/>
        </w:numPr>
        <w:spacing w:after="0" w:line="276" w:lineRule="auto"/>
        <w:jc w:val="both"/>
        <w:rPr>
          <w:rFonts w:ascii="Times New Roman" w:hAnsi="Times New Roman" w:cs="Times New Roman"/>
          <w:color w:val="000000" w:themeColor="text1"/>
        </w:rPr>
      </w:pPr>
      <w:r>
        <w:rPr>
          <w:rFonts w:ascii="Times New Roman" w:hAnsi="Times New Roman" w:cs="Times New Roman"/>
        </w:rPr>
        <w:t>En tredje forklaring kunne være den begrænsning</w:t>
      </w:r>
      <w:r w:rsidR="007063F7">
        <w:rPr>
          <w:rFonts w:ascii="Times New Roman" w:hAnsi="Times New Roman" w:cs="Times New Roman"/>
        </w:rPr>
        <w:t>,</w:t>
      </w:r>
      <w:r>
        <w:rPr>
          <w:rFonts w:ascii="Times New Roman" w:hAnsi="Times New Roman" w:cs="Times New Roman"/>
        </w:rPr>
        <w:t xml:space="preserve"> som er på </w:t>
      </w:r>
      <w:r w:rsidR="009B0B8D">
        <w:rPr>
          <w:rFonts w:ascii="Times New Roman" w:hAnsi="Times New Roman" w:cs="Times New Roman"/>
        </w:rPr>
        <w:t>ejerforhold</w:t>
      </w:r>
      <w:r w:rsidR="007063F7">
        <w:rPr>
          <w:rFonts w:ascii="Times New Roman" w:hAnsi="Times New Roman" w:cs="Times New Roman"/>
        </w:rPr>
        <w:t>,</w:t>
      </w:r>
      <w:r>
        <w:rPr>
          <w:rFonts w:ascii="Times New Roman" w:hAnsi="Times New Roman" w:cs="Times New Roman"/>
        </w:rPr>
        <w:t xml:space="preserve"> at selskaber</w:t>
      </w:r>
      <w:r w:rsidR="007063F7">
        <w:rPr>
          <w:rFonts w:ascii="Times New Roman" w:hAnsi="Times New Roman" w:cs="Times New Roman"/>
        </w:rPr>
        <w:t>,</w:t>
      </w:r>
      <w:r>
        <w:rPr>
          <w:rFonts w:ascii="Times New Roman" w:hAnsi="Times New Roman" w:cs="Times New Roman"/>
        </w:rPr>
        <w:t xml:space="preserve"> som deltager i rejefiskeriet</w:t>
      </w:r>
      <w:r w:rsidR="007063F7">
        <w:rPr>
          <w:rFonts w:ascii="Times New Roman" w:hAnsi="Times New Roman" w:cs="Times New Roman"/>
        </w:rPr>
        <w:t>,</w:t>
      </w:r>
      <w:r>
        <w:rPr>
          <w:rFonts w:ascii="Times New Roman" w:hAnsi="Times New Roman" w:cs="Times New Roman"/>
        </w:rPr>
        <w:t xml:space="preserve"> skal være 100 pct. ejet af hjemmehørende i Grønland. Det sætter begrænsning for det kystnære rejefiskeri</w:t>
      </w:r>
      <w:r w:rsidR="007063F7">
        <w:rPr>
          <w:rFonts w:ascii="Times New Roman" w:hAnsi="Times New Roman" w:cs="Times New Roman"/>
        </w:rPr>
        <w:t>s</w:t>
      </w:r>
      <w:r>
        <w:rPr>
          <w:rFonts w:ascii="Times New Roman" w:hAnsi="Times New Roman" w:cs="Times New Roman"/>
        </w:rPr>
        <w:t xml:space="preserve"> adgang til finansiering igennem fremmed kapital og udenlandske investorer. </w:t>
      </w:r>
    </w:p>
    <w:p w14:paraId="72FB85E5" w14:textId="77777777" w:rsidR="00562F3D" w:rsidRPr="001346DF" w:rsidRDefault="00FE79FB">
      <w:pPr>
        <w:pStyle w:val="Listeafsnit"/>
        <w:numPr>
          <w:ilvl w:val="0"/>
          <w:numId w:val="7"/>
        </w:numPr>
        <w:spacing w:after="0" w:line="276" w:lineRule="auto"/>
        <w:jc w:val="both"/>
        <w:rPr>
          <w:rFonts w:ascii="Times New Roman" w:hAnsi="Times New Roman" w:cs="Times New Roman"/>
          <w:color w:val="000000" w:themeColor="text1"/>
        </w:rPr>
      </w:pPr>
      <w:r>
        <w:rPr>
          <w:rFonts w:ascii="Times New Roman" w:hAnsi="Times New Roman" w:cs="Times New Roman"/>
        </w:rPr>
        <w:t xml:space="preserve">En fjerde </w:t>
      </w:r>
      <w:r w:rsidR="00060999" w:rsidRPr="001346DF">
        <w:rPr>
          <w:rFonts w:ascii="Times New Roman" w:hAnsi="Times New Roman" w:cs="Times New Roman"/>
        </w:rPr>
        <w:t xml:space="preserve">forklaring kan være den politiske usikkerhed omkring </w:t>
      </w:r>
      <w:r w:rsidR="001346DF">
        <w:rPr>
          <w:rFonts w:ascii="Times New Roman" w:hAnsi="Times New Roman" w:cs="Times New Roman"/>
        </w:rPr>
        <w:t xml:space="preserve">den </w:t>
      </w:r>
      <w:r w:rsidR="00060999" w:rsidRPr="001346DF">
        <w:rPr>
          <w:rFonts w:ascii="Times New Roman" w:hAnsi="Times New Roman" w:cs="Times New Roman"/>
        </w:rPr>
        <w:t>fremtidig</w:t>
      </w:r>
      <w:r w:rsidR="001346DF">
        <w:rPr>
          <w:rFonts w:ascii="Times New Roman" w:hAnsi="Times New Roman" w:cs="Times New Roman"/>
        </w:rPr>
        <w:t>e</w:t>
      </w:r>
      <w:r w:rsidR="00060999" w:rsidRPr="001346DF">
        <w:rPr>
          <w:rFonts w:ascii="Times New Roman" w:hAnsi="Times New Roman" w:cs="Times New Roman"/>
        </w:rPr>
        <w:t xml:space="preserve"> forvaltning af rejefiskeriet.</w:t>
      </w:r>
    </w:p>
    <w:p w14:paraId="364C84A6" w14:textId="77777777" w:rsidR="002F3D38" w:rsidRDefault="002F3D38">
      <w:pPr>
        <w:spacing w:after="0" w:line="276" w:lineRule="auto"/>
        <w:jc w:val="both"/>
        <w:rPr>
          <w:rFonts w:ascii="Times New Roman" w:hAnsi="Times New Roman" w:cs="Times New Roman"/>
          <w:color w:val="000000" w:themeColor="text1"/>
          <w:shd w:val="clear" w:color="auto" w:fill="FFFFFF"/>
        </w:rPr>
      </w:pPr>
    </w:p>
    <w:p w14:paraId="3089A1DB" w14:textId="77777777" w:rsidR="00156111" w:rsidRDefault="00156111" w:rsidP="00E24F47">
      <w:pPr>
        <w:spacing w:after="0" w:line="276" w:lineRule="auto"/>
        <w:rPr>
          <w:rFonts w:ascii="Times New Roman" w:hAnsi="Times New Roman" w:cs="Times New Roman"/>
          <w:b/>
          <w:color w:val="000000" w:themeColor="text1"/>
          <w:sz w:val="28"/>
          <w:szCs w:val="28"/>
        </w:rPr>
      </w:pPr>
    </w:p>
    <w:p w14:paraId="2B132853" w14:textId="77777777" w:rsidR="00156111" w:rsidRDefault="00156111" w:rsidP="00E24F47">
      <w:pPr>
        <w:spacing w:after="0" w:line="276" w:lineRule="auto"/>
        <w:rPr>
          <w:rFonts w:ascii="Times New Roman" w:hAnsi="Times New Roman" w:cs="Times New Roman"/>
          <w:b/>
          <w:color w:val="000000" w:themeColor="text1"/>
          <w:sz w:val="28"/>
          <w:szCs w:val="28"/>
        </w:rPr>
      </w:pPr>
    </w:p>
    <w:p w14:paraId="18FEC2DC" w14:textId="77777777" w:rsidR="00156111" w:rsidRDefault="00156111" w:rsidP="00E24F47">
      <w:pPr>
        <w:spacing w:after="0" w:line="276" w:lineRule="auto"/>
        <w:rPr>
          <w:rFonts w:ascii="Times New Roman" w:hAnsi="Times New Roman" w:cs="Times New Roman"/>
          <w:i/>
          <w:color w:val="000000" w:themeColor="text1"/>
        </w:rPr>
      </w:pPr>
      <w:r>
        <w:rPr>
          <w:rFonts w:ascii="Times New Roman" w:hAnsi="Times New Roman" w:cs="Times New Roman"/>
          <w:i/>
          <w:color w:val="000000" w:themeColor="text1"/>
        </w:rPr>
        <w:t>Udviklingen i handler med kvoteandele i rejefiskeriet</w:t>
      </w:r>
    </w:p>
    <w:p w14:paraId="00862913" w14:textId="77777777" w:rsidR="00156111" w:rsidRDefault="00156111" w:rsidP="00E24F47">
      <w:pPr>
        <w:spacing w:after="0" w:line="276"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Udviklingen i handler med kvoteandele i det havgående og kystnært rejefiskeri over tid hænger tæt sammen med kapacitet. </w:t>
      </w:r>
    </w:p>
    <w:p w14:paraId="35E26564" w14:textId="77777777" w:rsidR="00385E14" w:rsidRDefault="00385E14" w:rsidP="00E24F47">
      <w:pPr>
        <w:spacing w:after="0" w:line="276" w:lineRule="auto"/>
        <w:rPr>
          <w:rFonts w:ascii="Times New Roman" w:hAnsi="Times New Roman" w:cs="Times New Roman"/>
          <w:color w:val="000000" w:themeColor="text1"/>
        </w:rPr>
      </w:pPr>
    </w:p>
    <w:p w14:paraId="49587C9A" w14:textId="7D44BDC2" w:rsidR="008F65D7" w:rsidRDefault="00156111" w:rsidP="00E24F47">
      <w:pPr>
        <w:spacing w:after="0" w:line="276" w:lineRule="auto"/>
        <w:jc w:val="both"/>
        <w:rPr>
          <w:rFonts w:ascii="Times New Roman" w:eastAsia="Times New Roman" w:hAnsi="Times New Roman" w:cs="Times New Roman"/>
          <w:color w:val="000000"/>
          <w:lang w:eastAsia="da-DK"/>
        </w:rPr>
      </w:pPr>
      <w:r>
        <w:rPr>
          <w:rFonts w:ascii="Times New Roman" w:hAnsi="Times New Roman" w:cs="Times New Roman"/>
          <w:color w:val="000000" w:themeColor="text1"/>
        </w:rPr>
        <w:t xml:space="preserve">Tabel 3 viser handler med kvoteandele i rejefiskeriet siden 1998 fordelt på det havgående og kystnært rejefiskeri. </w:t>
      </w:r>
      <w:r w:rsidR="008F65D7">
        <w:rPr>
          <w:rFonts w:ascii="Times New Roman" w:hAnsi="Times New Roman" w:cs="Times New Roman"/>
          <w:color w:val="000000" w:themeColor="text1"/>
        </w:rPr>
        <w:t>Det fremgår af tabellen</w:t>
      </w:r>
      <w:r w:rsidR="00385E14">
        <w:rPr>
          <w:rFonts w:ascii="Times New Roman" w:hAnsi="Times New Roman" w:cs="Times New Roman"/>
          <w:color w:val="000000" w:themeColor="text1"/>
        </w:rPr>
        <w:t>,</w:t>
      </w:r>
      <w:r w:rsidR="008F65D7">
        <w:rPr>
          <w:rFonts w:ascii="Times New Roman" w:hAnsi="Times New Roman" w:cs="Times New Roman"/>
          <w:color w:val="000000" w:themeColor="text1"/>
        </w:rPr>
        <w:t xml:space="preserve"> at </w:t>
      </w:r>
      <w:r w:rsidR="00D55F3D">
        <w:rPr>
          <w:rFonts w:ascii="Times New Roman" w:hAnsi="Times New Roman" w:cs="Times New Roman"/>
          <w:color w:val="000000" w:themeColor="text1"/>
        </w:rPr>
        <w:t xml:space="preserve">den </w:t>
      </w:r>
      <w:r w:rsidR="008F65D7">
        <w:rPr>
          <w:rFonts w:ascii="Times New Roman" w:hAnsi="Times New Roman" w:cs="Times New Roman"/>
          <w:color w:val="000000" w:themeColor="text1"/>
        </w:rPr>
        <w:t xml:space="preserve">største del af handler med kvoteandele i det havgående rejefiskeri i Vestgrønland </w:t>
      </w:r>
      <w:r w:rsidR="00D55F3D">
        <w:rPr>
          <w:rFonts w:ascii="Times New Roman" w:hAnsi="Times New Roman" w:cs="Times New Roman"/>
          <w:color w:val="000000" w:themeColor="text1"/>
        </w:rPr>
        <w:t xml:space="preserve">er </w:t>
      </w:r>
      <w:r w:rsidR="008F65D7">
        <w:rPr>
          <w:rFonts w:ascii="Times New Roman" w:hAnsi="Times New Roman" w:cs="Times New Roman"/>
          <w:color w:val="000000" w:themeColor="text1"/>
        </w:rPr>
        <w:t xml:space="preserve">foregået i perioden 1998-2000, 2004-2006 samt i 2008. Siden 2008 har der, med undtagelsen af i 2012 hvor det blev solgt en lille andel, ikke været nogen for handel af kvoteandele i Vest. </w:t>
      </w:r>
      <w:r w:rsidR="008F65D7">
        <w:rPr>
          <w:rFonts w:ascii="Times New Roman" w:eastAsia="Times New Roman" w:hAnsi="Times New Roman" w:cs="Times New Roman"/>
          <w:color w:val="000000"/>
          <w:lang w:eastAsia="da-DK"/>
        </w:rPr>
        <w:t>I</w:t>
      </w:r>
      <w:r w:rsidR="008F65D7" w:rsidRPr="00120D8E">
        <w:rPr>
          <w:rFonts w:ascii="Times New Roman" w:eastAsia="Times New Roman" w:hAnsi="Times New Roman" w:cs="Times New Roman"/>
          <w:color w:val="000000"/>
          <w:lang w:eastAsia="da-DK"/>
        </w:rPr>
        <w:t xml:space="preserve"> 2003 var der en omlægning af forvaltningen af det hav</w:t>
      </w:r>
      <w:r w:rsidR="008F65D7">
        <w:rPr>
          <w:rFonts w:ascii="Times New Roman" w:eastAsia="Times New Roman" w:hAnsi="Times New Roman" w:cs="Times New Roman"/>
          <w:color w:val="000000"/>
          <w:lang w:eastAsia="da-DK"/>
        </w:rPr>
        <w:t>gående rejefiskeri</w:t>
      </w:r>
      <w:r w:rsidR="008F65D7" w:rsidRPr="00120D8E">
        <w:rPr>
          <w:rFonts w:ascii="Times New Roman" w:eastAsia="Times New Roman" w:hAnsi="Times New Roman" w:cs="Times New Roman"/>
          <w:color w:val="000000"/>
          <w:lang w:eastAsia="da-DK"/>
        </w:rPr>
        <w:t xml:space="preserve">, som er årsagen til andelshandlerne - det meste er altså ikke reelt handler, men overførsler til den nye </w:t>
      </w:r>
      <w:r w:rsidR="008F65D7">
        <w:rPr>
          <w:rFonts w:ascii="Times New Roman" w:eastAsia="Times New Roman" w:hAnsi="Times New Roman" w:cs="Times New Roman"/>
          <w:color w:val="000000"/>
          <w:lang w:eastAsia="da-DK"/>
        </w:rPr>
        <w:t>f</w:t>
      </w:r>
      <w:r w:rsidR="008F65D7" w:rsidRPr="00120D8E">
        <w:rPr>
          <w:rFonts w:ascii="Times New Roman" w:eastAsia="Times New Roman" w:hAnsi="Times New Roman" w:cs="Times New Roman"/>
          <w:color w:val="000000"/>
          <w:lang w:eastAsia="da-DK"/>
        </w:rPr>
        <w:t>orvaltningsområdeinddeling</w:t>
      </w:r>
      <w:r w:rsidR="008F65D7">
        <w:rPr>
          <w:rFonts w:ascii="Times New Roman" w:eastAsia="Times New Roman" w:hAnsi="Times New Roman" w:cs="Times New Roman"/>
          <w:color w:val="000000"/>
          <w:lang w:eastAsia="da-DK"/>
        </w:rPr>
        <w:t>. Handlen på 29,1 pct.</w:t>
      </w:r>
      <w:r w:rsidR="008F65D7" w:rsidRPr="00120D8E">
        <w:rPr>
          <w:rFonts w:ascii="Times New Roman" w:eastAsia="Times New Roman" w:hAnsi="Times New Roman" w:cs="Times New Roman"/>
          <w:color w:val="000000"/>
          <w:lang w:eastAsia="da-DK"/>
        </w:rPr>
        <w:t xml:space="preserve"> </w:t>
      </w:r>
      <w:r w:rsidR="008F65D7">
        <w:rPr>
          <w:rFonts w:ascii="Times New Roman" w:eastAsia="Times New Roman" w:hAnsi="Times New Roman" w:cs="Times New Roman"/>
          <w:color w:val="000000"/>
          <w:lang w:eastAsia="da-DK"/>
        </w:rPr>
        <w:t xml:space="preserve">i 2018 på den havgående rejekvote i </w:t>
      </w:r>
      <w:r w:rsidR="008F65D7" w:rsidRPr="00120D8E">
        <w:rPr>
          <w:rFonts w:ascii="Times New Roman" w:eastAsia="Times New Roman" w:hAnsi="Times New Roman" w:cs="Times New Roman"/>
          <w:color w:val="000000"/>
          <w:lang w:eastAsia="da-DK"/>
        </w:rPr>
        <w:t>Vestgrønland dækker over en opstramning af selskabsregistreringen</w:t>
      </w:r>
      <w:r w:rsidR="008F65D7">
        <w:rPr>
          <w:rFonts w:ascii="Times New Roman" w:eastAsia="Times New Roman" w:hAnsi="Times New Roman" w:cs="Times New Roman"/>
          <w:color w:val="000000"/>
          <w:lang w:eastAsia="da-DK"/>
        </w:rPr>
        <w:t xml:space="preserve">, </w:t>
      </w:r>
      <w:r w:rsidR="008F65D7" w:rsidRPr="00120D8E">
        <w:rPr>
          <w:rFonts w:ascii="Times New Roman" w:eastAsia="Times New Roman" w:hAnsi="Times New Roman" w:cs="Times New Roman"/>
          <w:color w:val="000000"/>
          <w:lang w:eastAsia="da-DK"/>
        </w:rPr>
        <w:t>så aktiviteterne blev registreret korrekt under den rigtige selskabsregi</w:t>
      </w:r>
      <w:r w:rsidR="008F65D7">
        <w:rPr>
          <w:rFonts w:ascii="Times New Roman" w:eastAsia="Times New Roman" w:hAnsi="Times New Roman" w:cs="Times New Roman"/>
          <w:color w:val="000000"/>
          <w:lang w:eastAsia="da-DK"/>
        </w:rPr>
        <w:t xml:space="preserve">strering hvorfor det er </w:t>
      </w:r>
      <w:r w:rsidR="008F65D7" w:rsidRPr="00120D8E">
        <w:rPr>
          <w:rFonts w:ascii="Times New Roman" w:eastAsia="Times New Roman" w:hAnsi="Times New Roman" w:cs="Times New Roman"/>
          <w:color w:val="000000"/>
          <w:lang w:eastAsia="da-DK"/>
        </w:rPr>
        <w:t xml:space="preserve">en reel handel. </w:t>
      </w:r>
      <w:r w:rsidR="008F65D7">
        <w:rPr>
          <w:rFonts w:ascii="Times New Roman" w:eastAsia="Times New Roman" w:hAnsi="Times New Roman" w:cs="Times New Roman"/>
          <w:color w:val="000000"/>
          <w:lang w:eastAsia="da-DK"/>
        </w:rPr>
        <w:t xml:space="preserve">Det samme gælder med kvoteandelen på 33,3 pct. i Østgrønland i 2018.  </w:t>
      </w:r>
    </w:p>
    <w:p w14:paraId="62B10BFD" w14:textId="77777777" w:rsidR="008F65D7" w:rsidRDefault="008F65D7" w:rsidP="00E24F47">
      <w:pPr>
        <w:spacing w:after="0" w:line="276" w:lineRule="auto"/>
        <w:jc w:val="both"/>
        <w:rPr>
          <w:rFonts w:ascii="Times New Roman" w:eastAsia="Times New Roman" w:hAnsi="Times New Roman" w:cs="Times New Roman"/>
          <w:color w:val="000000"/>
          <w:lang w:eastAsia="da-DK"/>
        </w:rPr>
      </w:pPr>
    </w:p>
    <w:p w14:paraId="3D25E644" w14:textId="61C9875B" w:rsidR="008F65D7" w:rsidRDefault="009B0B8D" w:rsidP="00E24F47">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Der</w:t>
      </w:r>
      <w:r w:rsidR="008F65D7">
        <w:rPr>
          <w:rFonts w:ascii="Times New Roman" w:eastAsia="Times New Roman" w:hAnsi="Times New Roman" w:cs="Times New Roman"/>
          <w:color w:val="000000"/>
          <w:lang w:eastAsia="da-DK"/>
        </w:rPr>
        <w:t xml:space="preserve"> </w:t>
      </w:r>
      <w:r w:rsidR="00D55F3D">
        <w:rPr>
          <w:rFonts w:ascii="Times New Roman" w:eastAsia="Times New Roman" w:hAnsi="Times New Roman" w:cs="Times New Roman"/>
          <w:color w:val="000000"/>
          <w:lang w:eastAsia="da-DK"/>
        </w:rPr>
        <w:t xml:space="preserve">har </w:t>
      </w:r>
      <w:r w:rsidR="008F65D7">
        <w:rPr>
          <w:rFonts w:ascii="Times New Roman" w:eastAsia="Times New Roman" w:hAnsi="Times New Roman" w:cs="Times New Roman"/>
          <w:color w:val="000000"/>
          <w:lang w:eastAsia="da-DK"/>
        </w:rPr>
        <w:t xml:space="preserve">været meget aktiv handel med kvoteandele i det kystnære rejefiskeri </w:t>
      </w:r>
      <w:r>
        <w:rPr>
          <w:rFonts w:ascii="Times New Roman" w:eastAsia="Times New Roman" w:hAnsi="Times New Roman" w:cs="Times New Roman"/>
          <w:color w:val="000000"/>
          <w:lang w:eastAsia="da-DK"/>
        </w:rPr>
        <w:t xml:space="preserve">i perioden </w:t>
      </w:r>
      <w:r w:rsidR="008F65D7">
        <w:rPr>
          <w:rFonts w:ascii="Times New Roman" w:eastAsia="Times New Roman" w:hAnsi="Times New Roman" w:cs="Times New Roman"/>
          <w:color w:val="000000"/>
          <w:lang w:eastAsia="da-DK"/>
        </w:rPr>
        <w:t xml:space="preserve">1998 indtil </w:t>
      </w:r>
      <w:r>
        <w:rPr>
          <w:rFonts w:ascii="Times New Roman" w:eastAsia="Times New Roman" w:hAnsi="Times New Roman" w:cs="Times New Roman"/>
          <w:color w:val="000000"/>
          <w:lang w:eastAsia="da-DK"/>
        </w:rPr>
        <w:t>2014. Fra 2014 har der været har der kun været handlet små andele i 2016 og 2019</w:t>
      </w:r>
      <w:r w:rsidR="00CF5089">
        <w:rPr>
          <w:rFonts w:ascii="Times New Roman" w:eastAsia="Times New Roman" w:hAnsi="Times New Roman" w:cs="Times New Roman"/>
          <w:color w:val="000000"/>
          <w:lang w:eastAsia="da-DK"/>
        </w:rPr>
        <w:t>. Tabel 3 viser den samlede handel af kvoteandele fordelt på år og flådesegmenter.</w:t>
      </w:r>
    </w:p>
    <w:p w14:paraId="71FF941E" w14:textId="77777777" w:rsidR="008F65D7" w:rsidRPr="000A6B3B" w:rsidRDefault="008F65D7" w:rsidP="00E24F47">
      <w:pPr>
        <w:spacing w:after="0" w:line="276" w:lineRule="auto"/>
        <w:jc w:val="both"/>
        <w:rPr>
          <w:rFonts w:ascii="Times New Roman" w:eastAsia="Times New Roman" w:hAnsi="Times New Roman" w:cs="Times New Roman"/>
          <w:color w:val="000000"/>
          <w:lang w:eastAsia="da-DK"/>
        </w:rPr>
      </w:pPr>
    </w:p>
    <w:p w14:paraId="74E245CC" w14:textId="2BF59B55" w:rsidR="00156111" w:rsidRPr="008B4ABF" w:rsidRDefault="00156111" w:rsidP="00477589">
      <w:pPr>
        <w:spacing w:after="0" w:line="276" w:lineRule="auto"/>
        <w:rPr>
          <w:rFonts w:ascii="Times New Roman" w:hAnsi="Times New Roman" w:cs="Times New Roman"/>
          <w:b/>
          <w:color w:val="000000" w:themeColor="text1"/>
        </w:rPr>
      </w:pPr>
      <w:r w:rsidRPr="008B4ABF">
        <w:rPr>
          <w:rFonts w:ascii="Times New Roman" w:hAnsi="Times New Roman" w:cs="Times New Roman"/>
          <w:b/>
          <w:color w:val="000000" w:themeColor="text1"/>
        </w:rPr>
        <w:t>Tabel 3: Handler med kvotea</w:t>
      </w:r>
      <w:r w:rsidR="009B0B8D" w:rsidRPr="008B4ABF">
        <w:rPr>
          <w:rFonts w:ascii="Times New Roman" w:hAnsi="Times New Roman" w:cs="Times New Roman"/>
          <w:b/>
          <w:color w:val="000000" w:themeColor="text1"/>
        </w:rPr>
        <w:t>ndele i rejefiskeriet, 1998-2020</w:t>
      </w:r>
      <w:r w:rsidRPr="008B4ABF">
        <w:rPr>
          <w:rFonts w:ascii="Times New Roman" w:hAnsi="Times New Roman" w:cs="Times New Roman"/>
          <w:b/>
          <w:color w:val="000000" w:themeColor="text1"/>
        </w:rPr>
        <w:t>.</w:t>
      </w:r>
    </w:p>
    <w:tbl>
      <w:tblPr>
        <w:tblW w:w="5006" w:type="pct"/>
        <w:tblCellMar>
          <w:left w:w="70" w:type="dxa"/>
          <w:right w:w="70" w:type="dxa"/>
        </w:tblCellMar>
        <w:tblLook w:val="04A0" w:firstRow="1" w:lastRow="0" w:firstColumn="1" w:lastColumn="0" w:noHBand="0" w:noVBand="1"/>
      </w:tblPr>
      <w:tblGrid>
        <w:gridCol w:w="1106"/>
        <w:gridCol w:w="2958"/>
        <w:gridCol w:w="3025"/>
        <w:gridCol w:w="2551"/>
      </w:tblGrid>
      <w:tr w:rsidR="009B0B8D" w:rsidRPr="009B0B8D" w14:paraId="5C724031" w14:textId="77777777" w:rsidTr="009B0B8D">
        <w:trPr>
          <w:trHeight w:val="291"/>
        </w:trPr>
        <w:tc>
          <w:tcPr>
            <w:tcW w:w="57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83F8F"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År</w:t>
            </w:r>
          </w:p>
        </w:tc>
        <w:tc>
          <w:tcPr>
            <w:tcW w:w="1534" w:type="pct"/>
            <w:tcBorders>
              <w:top w:val="single" w:sz="4" w:space="0" w:color="auto"/>
              <w:left w:val="nil"/>
              <w:bottom w:val="single" w:sz="4" w:space="0" w:color="auto"/>
              <w:right w:val="single" w:sz="4" w:space="0" w:color="auto"/>
            </w:tcBorders>
            <w:shd w:val="clear" w:color="000000" w:fill="FFFFFF"/>
            <w:noWrap/>
            <w:vAlign w:val="bottom"/>
            <w:hideMark/>
          </w:tcPr>
          <w:p w14:paraId="264B4A1C"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Havgående rejekvote-Vest</w:t>
            </w:r>
          </w:p>
        </w:tc>
        <w:tc>
          <w:tcPr>
            <w:tcW w:w="1569" w:type="pct"/>
            <w:tcBorders>
              <w:top w:val="single" w:sz="4" w:space="0" w:color="auto"/>
              <w:left w:val="nil"/>
              <w:bottom w:val="single" w:sz="4" w:space="0" w:color="auto"/>
              <w:right w:val="single" w:sz="4" w:space="0" w:color="auto"/>
            </w:tcBorders>
            <w:shd w:val="clear" w:color="000000" w:fill="FFFFFF"/>
            <w:noWrap/>
            <w:vAlign w:val="bottom"/>
            <w:hideMark/>
          </w:tcPr>
          <w:p w14:paraId="3166E313"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Havgående rejekvote-Øst</w:t>
            </w:r>
          </w:p>
        </w:tc>
        <w:tc>
          <w:tcPr>
            <w:tcW w:w="1323" w:type="pct"/>
            <w:tcBorders>
              <w:top w:val="single" w:sz="4" w:space="0" w:color="auto"/>
              <w:left w:val="nil"/>
              <w:bottom w:val="single" w:sz="4" w:space="0" w:color="auto"/>
              <w:right w:val="single" w:sz="4" w:space="0" w:color="auto"/>
            </w:tcBorders>
            <w:shd w:val="clear" w:color="000000" w:fill="FFFFFF"/>
            <w:noWrap/>
            <w:vAlign w:val="bottom"/>
            <w:hideMark/>
          </w:tcPr>
          <w:p w14:paraId="53220DA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Kystnære rejekvote</w:t>
            </w:r>
          </w:p>
        </w:tc>
      </w:tr>
      <w:tr w:rsidR="009B0B8D" w:rsidRPr="009B0B8D" w14:paraId="586401F4"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26157C0F"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1998</w:t>
            </w:r>
          </w:p>
        </w:tc>
        <w:tc>
          <w:tcPr>
            <w:tcW w:w="1534" w:type="pct"/>
            <w:tcBorders>
              <w:top w:val="nil"/>
              <w:left w:val="nil"/>
              <w:bottom w:val="single" w:sz="4" w:space="0" w:color="auto"/>
              <w:right w:val="single" w:sz="4" w:space="0" w:color="auto"/>
            </w:tcBorders>
            <w:shd w:val="clear" w:color="000000" w:fill="FFFFFF"/>
            <w:noWrap/>
            <w:vAlign w:val="bottom"/>
            <w:hideMark/>
          </w:tcPr>
          <w:p w14:paraId="21450047"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40,5%</w:t>
            </w:r>
          </w:p>
        </w:tc>
        <w:tc>
          <w:tcPr>
            <w:tcW w:w="1569" w:type="pct"/>
            <w:tcBorders>
              <w:top w:val="nil"/>
              <w:left w:val="nil"/>
              <w:bottom w:val="single" w:sz="4" w:space="0" w:color="auto"/>
              <w:right w:val="single" w:sz="4" w:space="0" w:color="auto"/>
            </w:tcBorders>
            <w:shd w:val="clear" w:color="000000" w:fill="FFFFFF"/>
            <w:noWrap/>
            <w:vAlign w:val="bottom"/>
            <w:hideMark/>
          </w:tcPr>
          <w:p w14:paraId="6F285970"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7,0%</w:t>
            </w:r>
          </w:p>
        </w:tc>
        <w:tc>
          <w:tcPr>
            <w:tcW w:w="1323" w:type="pct"/>
            <w:tcBorders>
              <w:top w:val="nil"/>
              <w:left w:val="nil"/>
              <w:bottom w:val="single" w:sz="4" w:space="0" w:color="auto"/>
              <w:right w:val="single" w:sz="4" w:space="0" w:color="auto"/>
            </w:tcBorders>
            <w:shd w:val="clear" w:color="000000" w:fill="FFFFFF"/>
            <w:noWrap/>
            <w:vAlign w:val="bottom"/>
            <w:hideMark/>
          </w:tcPr>
          <w:p w14:paraId="79FC1FFC"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2,1%</w:t>
            </w:r>
          </w:p>
        </w:tc>
      </w:tr>
      <w:tr w:rsidR="009B0B8D" w:rsidRPr="009B0B8D" w14:paraId="6A7B521C"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0FABCDC7"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1999</w:t>
            </w:r>
          </w:p>
        </w:tc>
        <w:tc>
          <w:tcPr>
            <w:tcW w:w="1534" w:type="pct"/>
            <w:tcBorders>
              <w:top w:val="nil"/>
              <w:left w:val="nil"/>
              <w:bottom w:val="single" w:sz="4" w:space="0" w:color="auto"/>
              <w:right w:val="single" w:sz="4" w:space="0" w:color="auto"/>
            </w:tcBorders>
            <w:shd w:val="clear" w:color="000000" w:fill="FFFFFF"/>
            <w:noWrap/>
            <w:vAlign w:val="bottom"/>
            <w:hideMark/>
          </w:tcPr>
          <w:p w14:paraId="4D02007E"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9,9%</w:t>
            </w:r>
          </w:p>
        </w:tc>
        <w:tc>
          <w:tcPr>
            <w:tcW w:w="1569" w:type="pct"/>
            <w:tcBorders>
              <w:top w:val="nil"/>
              <w:left w:val="nil"/>
              <w:bottom w:val="single" w:sz="4" w:space="0" w:color="auto"/>
              <w:right w:val="single" w:sz="4" w:space="0" w:color="auto"/>
            </w:tcBorders>
            <w:shd w:val="clear" w:color="000000" w:fill="FFFFFF"/>
            <w:noWrap/>
            <w:vAlign w:val="bottom"/>
            <w:hideMark/>
          </w:tcPr>
          <w:p w14:paraId="60D9BA43"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3,5%</w:t>
            </w:r>
          </w:p>
        </w:tc>
        <w:tc>
          <w:tcPr>
            <w:tcW w:w="1323" w:type="pct"/>
            <w:tcBorders>
              <w:top w:val="nil"/>
              <w:left w:val="nil"/>
              <w:bottom w:val="single" w:sz="4" w:space="0" w:color="auto"/>
              <w:right w:val="single" w:sz="4" w:space="0" w:color="auto"/>
            </w:tcBorders>
            <w:shd w:val="clear" w:color="000000" w:fill="FFFFFF"/>
            <w:noWrap/>
            <w:vAlign w:val="bottom"/>
            <w:hideMark/>
          </w:tcPr>
          <w:p w14:paraId="1BCB8A0A"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15,4%</w:t>
            </w:r>
          </w:p>
        </w:tc>
      </w:tr>
      <w:tr w:rsidR="009B0B8D" w:rsidRPr="009B0B8D" w14:paraId="2917DBAC"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1809EA05"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2000</w:t>
            </w:r>
          </w:p>
        </w:tc>
        <w:tc>
          <w:tcPr>
            <w:tcW w:w="1534" w:type="pct"/>
            <w:tcBorders>
              <w:top w:val="nil"/>
              <w:left w:val="nil"/>
              <w:bottom w:val="single" w:sz="4" w:space="0" w:color="auto"/>
              <w:right w:val="single" w:sz="4" w:space="0" w:color="auto"/>
            </w:tcBorders>
            <w:shd w:val="clear" w:color="000000" w:fill="FFFFFF"/>
            <w:noWrap/>
            <w:vAlign w:val="bottom"/>
            <w:hideMark/>
          </w:tcPr>
          <w:p w14:paraId="4F63803B"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17,2%</w:t>
            </w:r>
          </w:p>
        </w:tc>
        <w:tc>
          <w:tcPr>
            <w:tcW w:w="1569" w:type="pct"/>
            <w:tcBorders>
              <w:top w:val="nil"/>
              <w:left w:val="nil"/>
              <w:bottom w:val="single" w:sz="4" w:space="0" w:color="auto"/>
              <w:right w:val="single" w:sz="4" w:space="0" w:color="auto"/>
            </w:tcBorders>
            <w:shd w:val="clear" w:color="000000" w:fill="FFFFFF"/>
            <w:noWrap/>
            <w:vAlign w:val="bottom"/>
            <w:hideMark/>
          </w:tcPr>
          <w:p w14:paraId="373B3D0A"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76A167CB"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1,3%</w:t>
            </w:r>
          </w:p>
        </w:tc>
      </w:tr>
      <w:tr w:rsidR="009B0B8D" w:rsidRPr="009B0B8D" w14:paraId="14E16DC3"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135311F4"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2001</w:t>
            </w:r>
          </w:p>
        </w:tc>
        <w:tc>
          <w:tcPr>
            <w:tcW w:w="1534" w:type="pct"/>
            <w:tcBorders>
              <w:top w:val="nil"/>
              <w:left w:val="nil"/>
              <w:bottom w:val="single" w:sz="4" w:space="0" w:color="auto"/>
              <w:right w:val="single" w:sz="4" w:space="0" w:color="auto"/>
            </w:tcBorders>
            <w:shd w:val="clear" w:color="000000" w:fill="FFFFFF"/>
            <w:noWrap/>
            <w:vAlign w:val="bottom"/>
            <w:hideMark/>
          </w:tcPr>
          <w:p w14:paraId="74E4878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7E2FD6E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0C5430D1"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1,8%</w:t>
            </w:r>
          </w:p>
        </w:tc>
      </w:tr>
      <w:tr w:rsidR="009B0B8D" w:rsidRPr="009B0B8D" w14:paraId="5E90A0E7"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273C8F48"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2002</w:t>
            </w:r>
          </w:p>
        </w:tc>
        <w:tc>
          <w:tcPr>
            <w:tcW w:w="1534" w:type="pct"/>
            <w:tcBorders>
              <w:top w:val="nil"/>
              <w:left w:val="nil"/>
              <w:bottom w:val="single" w:sz="4" w:space="0" w:color="auto"/>
              <w:right w:val="single" w:sz="4" w:space="0" w:color="auto"/>
            </w:tcBorders>
            <w:shd w:val="clear" w:color="000000" w:fill="FFFFFF"/>
            <w:noWrap/>
            <w:vAlign w:val="bottom"/>
            <w:hideMark/>
          </w:tcPr>
          <w:p w14:paraId="595194E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0,6%</w:t>
            </w:r>
          </w:p>
        </w:tc>
        <w:tc>
          <w:tcPr>
            <w:tcW w:w="1569" w:type="pct"/>
            <w:tcBorders>
              <w:top w:val="nil"/>
              <w:left w:val="nil"/>
              <w:bottom w:val="single" w:sz="4" w:space="0" w:color="auto"/>
              <w:right w:val="single" w:sz="4" w:space="0" w:color="auto"/>
            </w:tcBorders>
            <w:shd w:val="clear" w:color="000000" w:fill="FFFFFF"/>
            <w:noWrap/>
            <w:vAlign w:val="bottom"/>
            <w:hideMark/>
          </w:tcPr>
          <w:p w14:paraId="29CA09EE"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46EBC92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20,8%</w:t>
            </w:r>
          </w:p>
        </w:tc>
      </w:tr>
      <w:tr w:rsidR="009B0B8D" w:rsidRPr="009B0B8D" w14:paraId="03CF741D"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6D799F8C"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2003</w:t>
            </w:r>
          </w:p>
        </w:tc>
        <w:tc>
          <w:tcPr>
            <w:tcW w:w="1534" w:type="pct"/>
            <w:tcBorders>
              <w:top w:val="nil"/>
              <w:left w:val="nil"/>
              <w:bottom w:val="single" w:sz="4" w:space="0" w:color="auto"/>
              <w:right w:val="single" w:sz="4" w:space="0" w:color="auto"/>
            </w:tcBorders>
            <w:shd w:val="clear" w:color="000000" w:fill="FFFFFF"/>
            <w:noWrap/>
            <w:vAlign w:val="bottom"/>
            <w:hideMark/>
          </w:tcPr>
          <w:p w14:paraId="6DEAB1B2"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100,0%</w:t>
            </w:r>
          </w:p>
        </w:tc>
        <w:tc>
          <w:tcPr>
            <w:tcW w:w="1569" w:type="pct"/>
            <w:tcBorders>
              <w:top w:val="nil"/>
              <w:left w:val="nil"/>
              <w:bottom w:val="single" w:sz="4" w:space="0" w:color="auto"/>
              <w:right w:val="single" w:sz="4" w:space="0" w:color="auto"/>
            </w:tcBorders>
            <w:shd w:val="clear" w:color="000000" w:fill="FFFFFF"/>
            <w:noWrap/>
            <w:vAlign w:val="bottom"/>
            <w:hideMark/>
          </w:tcPr>
          <w:p w14:paraId="5FAFF2F9"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7C09174A"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53,9%</w:t>
            </w:r>
          </w:p>
        </w:tc>
      </w:tr>
      <w:tr w:rsidR="009B0B8D" w:rsidRPr="009B0B8D" w14:paraId="0D2F7896"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48A62452"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2004</w:t>
            </w:r>
          </w:p>
        </w:tc>
        <w:tc>
          <w:tcPr>
            <w:tcW w:w="1534" w:type="pct"/>
            <w:tcBorders>
              <w:top w:val="nil"/>
              <w:left w:val="nil"/>
              <w:bottom w:val="single" w:sz="4" w:space="0" w:color="auto"/>
              <w:right w:val="single" w:sz="4" w:space="0" w:color="auto"/>
            </w:tcBorders>
            <w:shd w:val="clear" w:color="000000" w:fill="FFFFFF"/>
            <w:noWrap/>
            <w:vAlign w:val="bottom"/>
            <w:hideMark/>
          </w:tcPr>
          <w:p w14:paraId="28CC48F0"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6,0%</w:t>
            </w:r>
          </w:p>
        </w:tc>
        <w:tc>
          <w:tcPr>
            <w:tcW w:w="1569" w:type="pct"/>
            <w:tcBorders>
              <w:top w:val="nil"/>
              <w:left w:val="nil"/>
              <w:bottom w:val="single" w:sz="4" w:space="0" w:color="auto"/>
              <w:right w:val="single" w:sz="4" w:space="0" w:color="auto"/>
            </w:tcBorders>
            <w:shd w:val="clear" w:color="000000" w:fill="FFFFFF"/>
            <w:noWrap/>
            <w:vAlign w:val="bottom"/>
            <w:hideMark/>
          </w:tcPr>
          <w:p w14:paraId="4016EF49"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1,7%</w:t>
            </w:r>
          </w:p>
        </w:tc>
        <w:tc>
          <w:tcPr>
            <w:tcW w:w="1323" w:type="pct"/>
            <w:tcBorders>
              <w:top w:val="nil"/>
              <w:left w:val="nil"/>
              <w:bottom w:val="single" w:sz="4" w:space="0" w:color="auto"/>
              <w:right w:val="single" w:sz="4" w:space="0" w:color="auto"/>
            </w:tcBorders>
            <w:shd w:val="clear" w:color="000000" w:fill="FFFFFF"/>
            <w:noWrap/>
            <w:vAlign w:val="bottom"/>
            <w:hideMark/>
          </w:tcPr>
          <w:p w14:paraId="4AE6A407"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18,8%</w:t>
            </w:r>
          </w:p>
        </w:tc>
      </w:tr>
      <w:tr w:rsidR="009B0B8D" w:rsidRPr="009B0B8D" w14:paraId="257C5DDF"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7131D660"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2005</w:t>
            </w:r>
          </w:p>
        </w:tc>
        <w:tc>
          <w:tcPr>
            <w:tcW w:w="1534" w:type="pct"/>
            <w:tcBorders>
              <w:top w:val="nil"/>
              <w:left w:val="nil"/>
              <w:bottom w:val="single" w:sz="4" w:space="0" w:color="auto"/>
              <w:right w:val="single" w:sz="4" w:space="0" w:color="auto"/>
            </w:tcBorders>
            <w:shd w:val="clear" w:color="000000" w:fill="FFFFFF"/>
            <w:noWrap/>
            <w:vAlign w:val="bottom"/>
            <w:hideMark/>
          </w:tcPr>
          <w:p w14:paraId="1FFA1072"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13,8%</w:t>
            </w:r>
          </w:p>
        </w:tc>
        <w:tc>
          <w:tcPr>
            <w:tcW w:w="1569" w:type="pct"/>
            <w:tcBorders>
              <w:top w:val="nil"/>
              <w:left w:val="nil"/>
              <w:bottom w:val="single" w:sz="4" w:space="0" w:color="auto"/>
              <w:right w:val="single" w:sz="4" w:space="0" w:color="auto"/>
            </w:tcBorders>
            <w:shd w:val="clear" w:color="000000" w:fill="FFFFFF"/>
            <w:noWrap/>
            <w:vAlign w:val="bottom"/>
            <w:hideMark/>
          </w:tcPr>
          <w:p w14:paraId="5755AAB9"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7,5%</w:t>
            </w:r>
          </w:p>
        </w:tc>
        <w:tc>
          <w:tcPr>
            <w:tcW w:w="1323" w:type="pct"/>
            <w:tcBorders>
              <w:top w:val="nil"/>
              <w:left w:val="nil"/>
              <w:bottom w:val="single" w:sz="4" w:space="0" w:color="auto"/>
              <w:right w:val="single" w:sz="4" w:space="0" w:color="auto"/>
            </w:tcBorders>
            <w:shd w:val="clear" w:color="000000" w:fill="FFFFFF"/>
            <w:noWrap/>
            <w:vAlign w:val="bottom"/>
            <w:hideMark/>
          </w:tcPr>
          <w:p w14:paraId="0C8355B9"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10,5%</w:t>
            </w:r>
          </w:p>
        </w:tc>
      </w:tr>
      <w:tr w:rsidR="009B0B8D" w:rsidRPr="009B0B8D" w14:paraId="2CB6D7CF"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2F29E850"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2006</w:t>
            </w:r>
          </w:p>
        </w:tc>
        <w:tc>
          <w:tcPr>
            <w:tcW w:w="1534" w:type="pct"/>
            <w:tcBorders>
              <w:top w:val="nil"/>
              <w:left w:val="nil"/>
              <w:bottom w:val="single" w:sz="4" w:space="0" w:color="auto"/>
              <w:right w:val="single" w:sz="4" w:space="0" w:color="auto"/>
            </w:tcBorders>
            <w:shd w:val="clear" w:color="000000" w:fill="FFFFFF"/>
            <w:noWrap/>
            <w:vAlign w:val="bottom"/>
            <w:hideMark/>
          </w:tcPr>
          <w:p w14:paraId="75C216A8"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8,6%</w:t>
            </w:r>
          </w:p>
        </w:tc>
        <w:tc>
          <w:tcPr>
            <w:tcW w:w="1569" w:type="pct"/>
            <w:tcBorders>
              <w:top w:val="nil"/>
              <w:left w:val="nil"/>
              <w:bottom w:val="single" w:sz="4" w:space="0" w:color="auto"/>
              <w:right w:val="single" w:sz="4" w:space="0" w:color="auto"/>
            </w:tcBorders>
            <w:shd w:val="clear" w:color="000000" w:fill="FFFFFF"/>
            <w:noWrap/>
            <w:vAlign w:val="bottom"/>
            <w:hideMark/>
          </w:tcPr>
          <w:p w14:paraId="31EC23D1"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4B26DB4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18,8%</w:t>
            </w:r>
          </w:p>
        </w:tc>
      </w:tr>
      <w:tr w:rsidR="009B0B8D" w:rsidRPr="009B0B8D" w14:paraId="069A3DD1"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7D81EFB2"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2007</w:t>
            </w:r>
          </w:p>
        </w:tc>
        <w:tc>
          <w:tcPr>
            <w:tcW w:w="1534" w:type="pct"/>
            <w:tcBorders>
              <w:top w:val="nil"/>
              <w:left w:val="nil"/>
              <w:bottom w:val="single" w:sz="4" w:space="0" w:color="auto"/>
              <w:right w:val="single" w:sz="4" w:space="0" w:color="auto"/>
            </w:tcBorders>
            <w:shd w:val="clear" w:color="000000" w:fill="FFFFFF"/>
            <w:noWrap/>
            <w:vAlign w:val="bottom"/>
            <w:hideMark/>
          </w:tcPr>
          <w:p w14:paraId="7CD5752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23FC2BD1"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4,8%</w:t>
            </w:r>
          </w:p>
        </w:tc>
        <w:tc>
          <w:tcPr>
            <w:tcW w:w="1323" w:type="pct"/>
            <w:tcBorders>
              <w:top w:val="nil"/>
              <w:left w:val="nil"/>
              <w:bottom w:val="single" w:sz="4" w:space="0" w:color="auto"/>
              <w:right w:val="single" w:sz="4" w:space="0" w:color="auto"/>
            </w:tcBorders>
            <w:shd w:val="clear" w:color="000000" w:fill="FFFFFF"/>
            <w:noWrap/>
            <w:vAlign w:val="bottom"/>
            <w:hideMark/>
          </w:tcPr>
          <w:p w14:paraId="1C29B1E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3,0%</w:t>
            </w:r>
          </w:p>
        </w:tc>
      </w:tr>
      <w:tr w:rsidR="009B0B8D" w:rsidRPr="009B0B8D" w14:paraId="4991E242"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66422110"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2008</w:t>
            </w:r>
          </w:p>
        </w:tc>
        <w:tc>
          <w:tcPr>
            <w:tcW w:w="1534" w:type="pct"/>
            <w:tcBorders>
              <w:top w:val="nil"/>
              <w:left w:val="nil"/>
              <w:bottom w:val="single" w:sz="4" w:space="0" w:color="auto"/>
              <w:right w:val="single" w:sz="4" w:space="0" w:color="auto"/>
            </w:tcBorders>
            <w:shd w:val="clear" w:color="000000" w:fill="FFFFFF"/>
            <w:noWrap/>
            <w:vAlign w:val="bottom"/>
            <w:hideMark/>
          </w:tcPr>
          <w:p w14:paraId="11FB4E1D"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20,5%</w:t>
            </w:r>
          </w:p>
        </w:tc>
        <w:tc>
          <w:tcPr>
            <w:tcW w:w="1569" w:type="pct"/>
            <w:tcBorders>
              <w:top w:val="nil"/>
              <w:left w:val="nil"/>
              <w:bottom w:val="single" w:sz="4" w:space="0" w:color="auto"/>
              <w:right w:val="single" w:sz="4" w:space="0" w:color="auto"/>
            </w:tcBorders>
            <w:shd w:val="clear" w:color="000000" w:fill="FFFFFF"/>
            <w:noWrap/>
            <w:vAlign w:val="bottom"/>
            <w:hideMark/>
          </w:tcPr>
          <w:p w14:paraId="70F0663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1,1%</w:t>
            </w:r>
          </w:p>
        </w:tc>
        <w:tc>
          <w:tcPr>
            <w:tcW w:w="1323" w:type="pct"/>
            <w:tcBorders>
              <w:top w:val="nil"/>
              <w:left w:val="nil"/>
              <w:bottom w:val="single" w:sz="4" w:space="0" w:color="auto"/>
              <w:right w:val="single" w:sz="4" w:space="0" w:color="auto"/>
            </w:tcBorders>
            <w:shd w:val="clear" w:color="000000" w:fill="FFFFFF"/>
            <w:noWrap/>
            <w:vAlign w:val="bottom"/>
            <w:hideMark/>
          </w:tcPr>
          <w:p w14:paraId="518DD78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20,5%</w:t>
            </w:r>
          </w:p>
        </w:tc>
      </w:tr>
      <w:tr w:rsidR="009B0B8D" w:rsidRPr="009B0B8D" w14:paraId="32E7E80D"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7CA1C8C0"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2009</w:t>
            </w:r>
          </w:p>
        </w:tc>
        <w:tc>
          <w:tcPr>
            <w:tcW w:w="1534" w:type="pct"/>
            <w:tcBorders>
              <w:top w:val="nil"/>
              <w:left w:val="nil"/>
              <w:bottom w:val="single" w:sz="4" w:space="0" w:color="auto"/>
              <w:right w:val="single" w:sz="4" w:space="0" w:color="auto"/>
            </w:tcBorders>
            <w:shd w:val="clear" w:color="000000" w:fill="FFFFFF"/>
            <w:noWrap/>
            <w:vAlign w:val="bottom"/>
            <w:hideMark/>
          </w:tcPr>
          <w:p w14:paraId="659F7897"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31E2290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4C4CA1CC"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11,1%</w:t>
            </w:r>
          </w:p>
        </w:tc>
      </w:tr>
      <w:tr w:rsidR="009B0B8D" w:rsidRPr="009B0B8D" w14:paraId="707FEF17"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05BE0581"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2010</w:t>
            </w:r>
          </w:p>
        </w:tc>
        <w:tc>
          <w:tcPr>
            <w:tcW w:w="1534" w:type="pct"/>
            <w:tcBorders>
              <w:top w:val="nil"/>
              <w:left w:val="nil"/>
              <w:bottom w:val="single" w:sz="4" w:space="0" w:color="auto"/>
              <w:right w:val="single" w:sz="4" w:space="0" w:color="auto"/>
            </w:tcBorders>
            <w:shd w:val="clear" w:color="000000" w:fill="FFFFFF"/>
            <w:noWrap/>
            <w:vAlign w:val="bottom"/>
            <w:hideMark/>
          </w:tcPr>
          <w:p w14:paraId="65E5E3FA"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3F67DDEA"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0EB929A9"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7,1%</w:t>
            </w:r>
          </w:p>
        </w:tc>
      </w:tr>
      <w:tr w:rsidR="009B0B8D" w:rsidRPr="009B0B8D" w14:paraId="0055ED66"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7704361F"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2011</w:t>
            </w:r>
          </w:p>
        </w:tc>
        <w:tc>
          <w:tcPr>
            <w:tcW w:w="1534" w:type="pct"/>
            <w:tcBorders>
              <w:top w:val="nil"/>
              <w:left w:val="nil"/>
              <w:bottom w:val="single" w:sz="4" w:space="0" w:color="auto"/>
              <w:right w:val="single" w:sz="4" w:space="0" w:color="auto"/>
            </w:tcBorders>
            <w:shd w:val="clear" w:color="000000" w:fill="FFFFFF"/>
            <w:noWrap/>
            <w:vAlign w:val="bottom"/>
            <w:hideMark/>
          </w:tcPr>
          <w:p w14:paraId="779D2B5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6394679E"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4F580F7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7,2%</w:t>
            </w:r>
          </w:p>
        </w:tc>
      </w:tr>
      <w:tr w:rsidR="009B0B8D" w:rsidRPr="009B0B8D" w14:paraId="0C586774"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7B811920"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2012</w:t>
            </w:r>
          </w:p>
        </w:tc>
        <w:tc>
          <w:tcPr>
            <w:tcW w:w="1534" w:type="pct"/>
            <w:tcBorders>
              <w:top w:val="nil"/>
              <w:left w:val="nil"/>
              <w:bottom w:val="single" w:sz="4" w:space="0" w:color="auto"/>
              <w:right w:val="single" w:sz="4" w:space="0" w:color="auto"/>
            </w:tcBorders>
            <w:shd w:val="clear" w:color="000000" w:fill="FFFFFF"/>
            <w:noWrap/>
            <w:vAlign w:val="bottom"/>
            <w:hideMark/>
          </w:tcPr>
          <w:p w14:paraId="22ADCDE0"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1,0%</w:t>
            </w:r>
          </w:p>
        </w:tc>
        <w:tc>
          <w:tcPr>
            <w:tcW w:w="1569" w:type="pct"/>
            <w:tcBorders>
              <w:top w:val="nil"/>
              <w:left w:val="nil"/>
              <w:bottom w:val="single" w:sz="4" w:space="0" w:color="auto"/>
              <w:right w:val="single" w:sz="4" w:space="0" w:color="auto"/>
            </w:tcBorders>
            <w:shd w:val="clear" w:color="000000" w:fill="FFFFFF"/>
            <w:noWrap/>
            <w:vAlign w:val="bottom"/>
            <w:hideMark/>
          </w:tcPr>
          <w:p w14:paraId="00BFC5CC"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5813D828"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16,3%</w:t>
            </w:r>
          </w:p>
        </w:tc>
      </w:tr>
      <w:tr w:rsidR="009B0B8D" w:rsidRPr="009B0B8D" w14:paraId="76DF5797"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368581D1"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2013</w:t>
            </w:r>
          </w:p>
        </w:tc>
        <w:tc>
          <w:tcPr>
            <w:tcW w:w="1534" w:type="pct"/>
            <w:tcBorders>
              <w:top w:val="nil"/>
              <w:left w:val="nil"/>
              <w:bottom w:val="single" w:sz="4" w:space="0" w:color="auto"/>
              <w:right w:val="single" w:sz="4" w:space="0" w:color="auto"/>
            </w:tcBorders>
            <w:shd w:val="clear" w:color="000000" w:fill="FFFFFF"/>
            <w:noWrap/>
            <w:vAlign w:val="bottom"/>
            <w:hideMark/>
          </w:tcPr>
          <w:p w14:paraId="3AD1FD00"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24E3CD2E"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524331EE"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4,0%</w:t>
            </w:r>
          </w:p>
        </w:tc>
      </w:tr>
      <w:tr w:rsidR="009B0B8D" w:rsidRPr="009B0B8D" w14:paraId="6F91C3B9"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71303DC7"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2014</w:t>
            </w:r>
          </w:p>
        </w:tc>
        <w:tc>
          <w:tcPr>
            <w:tcW w:w="1534" w:type="pct"/>
            <w:tcBorders>
              <w:top w:val="nil"/>
              <w:left w:val="nil"/>
              <w:bottom w:val="single" w:sz="4" w:space="0" w:color="auto"/>
              <w:right w:val="single" w:sz="4" w:space="0" w:color="auto"/>
            </w:tcBorders>
            <w:shd w:val="clear" w:color="000000" w:fill="FFFFFF"/>
            <w:noWrap/>
            <w:vAlign w:val="bottom"/>
            <w:hideMark/>
          </w:tcPr>
          <w:p w14:paraId="62BEFA4B"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53950AF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17D2083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11,3%</w:t>
            </w:r>
          </w:p>
        </w:tc>
      </w:tr>
      <w:tr w:rsidR="009B0B8D" w:rsidRPr="009B0B8D" w14:paraId="41C26787"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460E94AE"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2015</w:t>
            </w:r>
          </w:p>
        </w:tc>
        <w:tc>
          <w:tcPr>
            <w:tcW w:w="1534" w:type="pct"/>
            <w:tcBorders>
              <w:top w:val="nil"/>
              <w:left w:val="nil"/>
              <w:bottom w:val="single" w:sz="4" w:space="0" w:color="auto"/>
              <w:right w:val="single" w:sz="4" w:space="0" w:color="auto"/>
            </w:tcBorders>
            <w:shd w:val="clear" w:color="000000" w:fill="FFFFFF"/>
            <w:noWrap/>
            <w:vAlign w:val="bottom"/>
            <w:hideMark/>
          </w:tcPr>
          <w:p w14:paraId="386AB672"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70E6081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43D0F13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r>
      <w:tr w:rsidR="009B0B8D" w:rsidRPr="009B0B8D" w14:paraId="3192F9F4"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5A0A87C0"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2016</w:t>
            </w:r>
          </w:p>
        </w:tc>
        <w:tc>
          <w:tcPr>
            <w:tcW w:w="1534" w:type="pct"/>
            <w:tcBorders>
              <w:top w:val="nil"/>
              <w:left w:val="nil"/>
              <w:bottom w:val="single" w:sz="4" w:space="0" w:color="auto"/>
              <w:right w:val="single" w:sz="4" w:space="0" w:color="auto"/>
            </w:tcBorders>
            <w:shd w:val="clear" w:color="000000" w:fill="FFFFFF"/>
            <w:noWrap/>
            <w:vAlign w:val="bottom"/>
            <w:hideMark/>
          </w:tcPr>
          <w:p w14:paraId="6106A531"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56FC3DD6"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25DD304E"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2,4%</w:t>
            </w:r>
          </w:p>
        </w:tc>
      </w:tr>
      <w:tr w:rsidR="009B0B8D" w:rsidRPr="009B0B8D" w14:paraId="2D16BEBB"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6E8BC268"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2017</w:t>
            </w:r>
          </w:p>
        </w:tc>
        <w:tc>
          <w:tcPr>
            <w:tcW w:w="1534" w:type="pct"/>
            <w:tcBorders>
              <w:top w:val="nil"/>
              <w:left w:val="nil"/>
              <w:bottom w:val="single" w:sz="4" w:space="0" w:color="auto"/>
              <w:right w:val="single" w:sz="4" w:space="0" w:color="auto"/>
            </w:tcBorders>
            <w:shd w:val="clear" w:color="000000" w:fill="FFFFFF"/>
            <w:noWrap/>
            <w:vAlign w:val="bottom"/>
            <w:hideMark/>
          </w:tcPr>
          <w:p w14:paraId="02ADF58A"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66B1560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3C3DE213"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r>
      <w:tr w:rsidR="009B0B8D" w:rsidRPr="009B0B8D" w14:paraId="5E470945"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5C9FDEE1"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2018</w:t>
            </w:r>
          </w:p>
        </w:tc>
        <w:tc>
          <w:tcPr>
            <w:tcW w:w="1534" w:type="pct"/>
            <w:tcBorders>
              <w:top w:val="nil"/>
              <w:left w:val="nil"/>
              <w:bottom w:val="single" w:sz="4" w:space="0" w:color="auto"/>
              <w:right w:val="single" w:sz="4" w:space="0" w:color="auto"/>
            </w:tcBorders>
            <w:shd w:val="clear" w:color="000000" w:fill="FFFFFF"/>
            <w:noWrap/>
            <w:vAlign w:val="bottom"/>
            <w:hideMark/>
          </w:tcPr>
          <w:p w14:paraId="7C363A7F"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29,1%</w:t>
            </w:r>
          </w:p>
        </w:tc>
        <w:tc>
          <w:tcPr>
            <w:tcW w:w="1569" w:type="pct"/>
            <w:tcBorders>
              <w:top w:val="nil"/>
              <w:left w:val="nil"/>
              <w:bottom w:val="single" w:sz="4" w:space="0" w:color="auto"/>
              <w:right w:val="single" w:sz="4" w:space="0" w:color="auto"/>
            </w:tcBorders>
            <w:shd w:val="clear" w:color="000000" w:fill="FFFFFF"/>
            <w:noWrap/>
            <w:vAlign w:val="bottom"/>
            <w:hideMark/>
          </w:tcPr>
          <w:p w14:paraId="476F1565"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33,3%</w:t>
            </w:r>
          </w:p>
        </w:tc>
        <w:tc>
          <w:tcPr>
            <w:tcW w:w="1323" w:type="pct"/>
            <w:tcBorders>
              <w:top w:val="nil"/>
              <w:left w:val="nil"/>
              <w:bottom w:val="single" w:sz="4" w:space="0" w:color="auto"/>
              <w:right w:val="single" w:sz="4" w:space="0" w:color="auto"/>
            </w:tcBorders>
            <w:shd w:val="clear" w:color="000000" w:fill="FFFFFF"/>
            <w:noWrap/>
            <w:vAlign w:val="bottom"/>
            <w:hideMark/>
          </w:tcPr>
          <w:p w14:paraId="0B9495E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r>
      <w:tr w:rsidR="009B0B8D" w:rsidRPr="009B0B8D" w14:paraId="3AB85AC6"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663B73CE"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2019</w:t>
            </w:r>
          </w:p>
        </w:tc>
        <w:tc>
          <w:tcPr>
            <w:tcW w:w="1534" w:type="pct"/>
            <w:tcBorders>
              <w:top w:val="nil"/>
              <w:left w:val="nil"/>
              <w:bottom w:val="single" w:sz="4" w:space="0" w:color="auto"/>
              <w:right w:val="single" w:sz="4" w:space="0" w:color="auto"/>
            </w:tcBorders>
            <w:shd w:val="clear" w:color="000000" w:fill="FFFFFF"/>
            <w:noWrap/>
            <w:vAlign w:val="bottom"/>
            <w:hideMark/>
          </w:tcPr>
          <w:p w14:paraId="11D69A94"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70F4D317"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7B530373"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3,6%</w:t>
            </w:r>
          </w:p>
        </w:tc>
      </w:tr>
      <w:tr w:rsidR="009B0B8D" w:rsidRPr="009B0B8D" w14:paraId="28B72104" w14:textId="77777777" w:rsidTr="009B0B8D">
        <w:trPr>
          <w:trHeight w:val="291"/>
        </w:trPr>
        <w:tc>
          <w:tcPr>
            <w:tcW w:w="574" w:type="pct"/>
            <w:tcBorders>
              <w:top w:val="nil"/>
              <w:left w:val="single" w:sz="4" w:space="0" w:color="auto"/>
              <w:bottom w:val="single" w:sz="4" w:space="0" w:color="auto"/>
              <w:right w:val="single" w:sz="4" w:space="0" w:color="auto"/>
            </w:tcBorders>
            <w:shd w:val="clear" w:color="000000" w:fill="FFFFFF"/>
            <w:noWrap/>
            <w:vAlign w:val="bottom"/>
            <w:hideMark/>
          </w:tcPr>
          <w:p w14:paraId="4D7F2B7B" w14:textId="77777777" w:rsidR="009B0B8D" w:rsidRPr="009B0B8D" w:rsidRDefault="009B0B8D" w:rsidP="009B0B8D">
            <w:pPr>
              <w:spacing w:after="0" w:line="240" w:lineRule="auto"/>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2020</w:t>
            </w:r>
          </w:p>
        </w:tc>
        <w:tc>
          <w:tcPr>
            <w:tcW w:w="1534" w:type="pct"/>
            <w:tcBorders>
              <w:top w:val="nil"/>
              <w:left w:val="nil"/>
              <w:bottom w:val="single" w:sz="4" w:space="0" w:color="auto"/>
              <w:right w:val="single" w:sz="4" w:space="0" w:color="auto"/>
            </w:tcBorders>
            <w:shd w:val="clear" w:color="000000" w:fill="FFFFFF"/>
            <w:noWrap/>
            <w:vAlign w:val="bottom"/>
            <w:hideMark/>
          </w:tcPr>
          <w:p w14:paraId="22B3E773"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569" w:type="pct"/>
            <w:tcBorders>
              <w:top w:val="nil"/>
              <w:left w:val="nil"/>
              <w:bottom w:val="single" w:sz="4" w:space="0" w:color="auto"/>
              <w:right w:val="single" w:sz="4" w:space="0" w:color="auto"/>
            </w:tcBorders>
            <w:shd w:val="clear" w:color="000000" w:fill="FFFFFF"/>
            <w:noWrap/>
            <w:vAlign w:val="bottom"/>
            <w:hideMark/>
          </w:tcPr>
          <w:p w14:paraId="6AC2F17B"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c>
          <w:tcPr>
            <w:tcW w:w="1323" w:type="pct"/>
            <w:tcBorders>
              <w:top w:val="nil"/>
              <w:left w:val="nil"/>
              <w:bottom w:val="single" w:sz="4" w:space="0" w:color="auto"/>
              <w:right w:val="single" w:sz="4" w:space="0" w:color="auto"/>
            </w:tcBorders>
            <w:shd w:val="clear" w:color="000000" w:fill="FFFFFF"/>
            <w:noWrap/>
            <w:vAlign w:val="bottom"/>
            <w:hideMark/>
          </w:tcPr>
          <w:p w14:paraId="53B6D931" w14:textId="77777777" w:rsidR="009B0B8D" w:rsidRPr="009B0B8D" w:rsidRDefault="009B0B8D" w:rsidP="009B0B8D">
            <w:pPr>
              <w:spacing w:after="0" w:line="240" w:lineRule="auto"/>
              <w:jc w:val="right"/>
              <w:rPr>
                <w:rFonts w:ascii="Times New Roman" w:eastAsia="Times New Roman" w:hAnsi="Times New Roman" w:cs="Times New Roman"/>
                <w:color w:val="000000"/>
                <w:sz w:val="20"/>
                <w:szCs w:val="20"/>
                <w:lang w:eastAsia="da-DK"/>
              </w:rPr>
            </w:pPr>
            <w:r w:rsidRPr="009B0B8D">
              <w:rPr>
                <w:rFonts w:ascii="Times New Roman" w:eastAsia="Times New Roman" w:hAnsi="Times New Roman" w:cs="Times New Roman"/>
                <w:color w:val="000000"/>
                <w:sz w:val="20"/>
                <w:szCs w:val="20"/>
                <w:lang w:eastAsia="da-DK"/>
              </w:rPr>
              <w:t>0,0%</w:t>
            </w:r>
          </w:p>
        </w:tc>
      </w:tr>
    </w:tbl>
    <w:p w14:paraId="5DF9FD1C" w14:textId="77777777" w:rsidR="00156111" w:rsidRPr="009B0B8D" w:rsidRDefault="0096216E" w:rsidP="00477589">
      <w:pPr>
        <w:spacing w:after="0" w:line="276" w:lineRule="auto"/>
        <w:rPr>
          <w:rFonts w:ascii="Times New Roman" w:hAnsi="Times New Roman" w:cs="Times New Roman"/>
          <w:color w:val="000000" w:themeColor="text1"/>
          <w:sz w:val="20"/>
          <w:szCs w:val="20"/>
        </w:rPr>
      </w:pPr>
      <w:r w:rsidRPr="009B0B8D">
        <w:rPr>
          <w:rFonts w:ascii="Times New Roman" w:hAnsi="Times New Roman" w:cs="Times New Roman"/>
          <w:color w:val="000000" w:themeColor="text1"/>
          <w:sz w:val="20"/>
          <w:szCs w:val="20"/>
        </w:rPr>
        <w:t>Kilde: GFLK.</w:t>
      </w:r>
    </w:p>
    <w:p w14:paraId="4DEEC989" w14:textId="77777777" w:rsidR="00CF5089" w:rsidRDefault="00CF5089" w:rsidP="00A21B75">
      <w:pPr>
        <w:spacing w:after="0" w:line="276" w:lineRule="auto"/>
        <w:jc w:val="both"/>
        <w:rPr>
          <w:rFonts w:ascii="Times New Roman" w:hAnsi="Times New Roman" w:cs="Times New Roman"/>
          <w:b/>
          <w:color w:val="000000" w:themeColor="text1"/>
          <w:sz w:val="28"/>
          <w:szCs w:val="28"/>
        </w:rPr>
      </w:pPr>
    </w:p>
    <w:p w14:paraId="144543B2" w14:textId="7AB6B29A" w:rsidR="0080536C" w:rsidRPr="00431F26" w:rsidRDefault="00236B2A" w:rsidP="00A21B75">
      <w:pPr>
        <w:spacing w:after="0"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3E0419">
        <w:rPr>
          <w:rFonts w:ascii="Times New Roman" w:hAnsi="Times New Roman" w:cs="Times New Roman"/>
          <w:b/>
          <w:color w:val="000000" w:themeColor="text1"/>
          <w:sz w:val="28"/>
          <w:szCs w:val="28"/>
        </w:rPr>
        <w:t xml:space="preserve">. </w:t>
      </w:r>
      <w:r w:rsidR="0080536C" w:rsidRPr="00431F26">
        <w:rPr>
          <w:rFonts w:ascii="Times New Roman" w:hAnsi="Times New Roman" w:cs="Times New Roman"/>
          <w:b/>
          <w:color w:val="000000" w:themeColor="text1"/>
          <w:sz w:val="28"/>
          <w:szCs w:val="28"/>
        </w:rPr>
        <w:t>Fordeling af rejefangster efter flådesegment</w:t>
      </w:r>
      <w:r>
        <w:rPr>
          <w:rFonts w:ascii="Times New Roman" w:hAnsi="Times New Roman" w:cs="Times New Roman"/>
          <w:b/>
          <w:color w:val="000000" w:themeColor="text1"/>
          <w:sz w:val="28"/>
          <w:szCs w:val="28"/>
        </w:rPr>
        <w:t xml:space="preserve"> og indhandling til landanlæg</w:t>
      </w:r>
    </w:p>
    <w:p w14:paraId="4042C17B" w14:textId="77777777" w:rsidR="0080536C" w:rsidRPr="00F362EF" w:rsidRDefault="0080536C" w:rsidP="00E24F47">
      <w:pPr>
        <w:spacing w:after="0" w:line="276" w:lineRule="auto"/>
        <w:jc w:val="both"/>
        <w:rPr>
          <w:rFonts w:ascii="Times New Roman" w:hAnsi="Times New Roman" w:cs="Times New Roman"/>
          <w:color w:val="000000" w:themeColor="text1"/>
        </w:rPr>
      </w:pPr>
      <w:r w:rsidRPr="00F362EF">
        <w:rPr>
          <w:rFonts w:ascii="Times New Roman" w:hAnsi="Times New Roman" w:cs="Times New Roman"/>
          <w:color w:val="000000" w:themeColor="text1"/>
        </w:rPr>
        <w:lastRenderedPageBreak/>
        <w:t xml:space="preserve">I 2002 blev der indført en kvotefordelingsnøgle i rejefiskeriet. I forhold til kvotefordelingsnøglen fordeles 43 pct. af den samlede TAC for rejer til den kystnære flåde og 57 pct. til den havgående flåde i Vestgrønland. TAC´en for rejer ved Østgrønland tildeles udelukkende den havgående flådekomponent. </w:t>
      </w:r>
    </w:p>
    <w:p w14:paraId="5C055FE7" w14:textId="77777777" w:rsidR="0080536C" w:rsidRPr="00F362EF" w:rsidRDefault="0080536C" w:rsidP="00E24F47">
      <w:pPr>
        <w:spacing w:after="0" w:line="276" w:lineRule="auto"/>
        <w:jc w:val="both"/>
        <w:rPr>
          <w:rFonts w:ascii="Times New Roman" w:hAnsi="Times New Roman" w:cs="Times New Roman"/>
          <w:color w:val="000000" w:themeColor="text1"/>
        </w:rPr>
      </w:pPr>
    </w:p>
    <w:p w14:paraId="553D010D" w14:textId="348319DE" w:rsidR="0080536C" w:rsidRDefault="0080536C" w:rsidP="00E24F47">
      <w:pPr>
        <w:spacing w:after="0" w:line="276" w:lineRule="auto"/>
        <w:jc w:val="both"/>
        <w:rPr>
          <w:rFonts w:ascii="Times New Roman" w:hAnsi="Times New Roman" w:cs="Times New Roman"/>
          <w:color w:val="000000" w:themeColor="text1"/>
        </w:rPr>
      </w:pPr>
      <w:r w:rsidRPr="00F362EF">
        <w:rPr>
          <w:rFonts w:ascii="Times New Roman" w:hAnsi="Times New Roman" w:cs="Times New Roman"/>
          <w:color w:val="000000" w:themeColor="text1"/>
        </w:rPr>
        <w:t xml:space="preserve">Figur </w:t>
      </w:r>
      <w:r w:rsidR="00236B2A">
        <w:rPr>
          <w:rFonts w:ascii="Times New Roman" w:hAnsi="Times New Roman" w:cs="Times New Roman"/>
          <w:color w:val="000000" w:themeColor="text1"/>
        </w:rPr>
        <w:t xml:space="preserve">4 </w:t>
      </w:r>
      <w:r w:rsidRPr="00F362EF">
        <w:rPr>
          <w:rFonts w:ascii="Times New Roman" w:hAnsi="Times New Roman" w:cs="Times New Roman"/>
          <w:color w:val="000000" w:themeColor="text1"/>
        </w:rPr>
        <w:t>viser udviklingen i fordelingen af rejefangsterne i Vestgrønland på havgående og kystnær flåde siden indførelsen af kvotefordelingsnøglen.</w:t>
      </w:r>
    </w:p>
    <w:p w14:paraId="205E2B4A" w14:textId="77777777" w:rsidR="0080536C" w:rsidRDefault="0080536C" w:rsidP="00E24F47">
      <w:pPr>
        <w:spacing w:after="0" w:line="276" w:lineRule="auto"/>
        <w:jc w:val="both"/>
        <w:rPr>
          <w:rFonts w:ascii="Times New Roman" w:hAnsi="Times New Roman" w:cs="Times New Roman"/>
          <w:color w:val="000000" w:themeColor="text1"/>
        </w:rPr>
      </w:pPr>
    </w:p>
    <w:p w14:paraId="57AF6802" w14:textId="117265D9" w:rsidR="004136AB" w:rsidRDefault="0080536C" w:rsidP="00E24F4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Det fremgår af figur </w:t>
      </w:r>
      <w:r w:rsidR="00236B2A">
        <w:rPr>
          <w:rFonts w:ascii="Times New Roman" w:hAnsi="Times New Roman" w:cs="Times New Roman"/>
          <w:color w:val="000000" w:themeColor="text1"/>
        </w:rPr>
        <w:t>4</w:t>
      </w:r>
      <w:r w:rsidR="007063F7">
        <w:rPr>
          <w:rFonts w:ascii="Times New Roman" w:hAnsi="Times New Roman" w:cs="Times New Roman"/>
          <w:color w:val="000000" w:themeColor="text1"/>
        </w:rPr>
        <w:t>,</w:t>
      </w:r>
      <w:r>
        <w:rPr>
          <w:rFonts w:ascii="Times New Roman" w:hAnsi="Times New Roman" w:cs="Times New Roman"/>
          <w:color w:val="000000" w:themeColor="text1"/>
        </w:rPr>
        <w:t xml:space="preserve"> at i perioden 2002 – 2007 har den havgående og kystnær rejeflåde fisket nogenlunde det</w:t>
      </w:r>
      <w:r w:rsidR="007063F7">
        <w:rPr>
          <w:rFonts w:ascii="Times New Roman" w:hAnsi="Times New Roman" w:cs="Times New Roman"/>
          <w:color w:val="000000" w:themeColor="text1"/>
        </w:rPr>
        <w:t>,</w:t>
      </w:r>
      <w:r>
        <w:rPr>
          <w:rFonts w:ascii="Times New Roman" w:hAnsi="Times New Roman" w:cs="Times New Roman"/>
          <w:color w:val="000000" w:themeColor="text1"/>
        </w:rPr>
        <w:t xml:space="preserve"> som svarer til kvotefordelingsnøglerne på hhv. 57 pct. og 43 pct. I perioden 2009 – 2013 ser det ud til</w:t>
      </w:r>
      <w:r w:rsidR="007063F7">
        <w:rPr>
          <w:rFonts w:ascii="Times New Roman" w:hAnsi="Times New Roman" w:cs="Times New Roman"/>
          <w:color w:val="000000" w:themeColor="text1"/>
        </w:rPr>
        <w:t>,</w:t>
      </w:r>
      <w:r>
        <w:rPr>
          <w:rFonts w:ascii="Times New Roman" w:hAnsi="Times New Roman" w:cs="Times New Roman"/>
          <w:color w:val="000000" w:themeColor="text1"/>
        </w:rPr>
        <w:t xml:space="preserve"> at en del kvotemængder er solgt fra den havgående flåde til den kystnære svarende til </w:t>
      </w:r>
      <w:r w:rsidR="007063F7">
        <w:rPr>
          <w:rFonts w:ascii="Times New Roman" w:hAnsi="Times New Roman" w:cs="Times New Roman"/>
          <w:color w:val="000000" w:themeColor="text1"/>
        </w:rPr>
        <w:t xml:space="preserve">i gennemsnit, at hvert flådesegment har udnyttet </w:t>
      </w:r>
      <w:r>
        <w:rPr>
          <w:rFonts w:ascii="Times New Roman" w:hAnsi="Times New Roman" w:cs="Times New Roman"/>
          <w:color w:val="000000" w:themeColor="text1"/>
        </w:rPr>
        <w:t xml:space="preserve">50 pct. </w:t>
      </w:r>
      <w:r w:rsidR="00737348">
        <w:rPr>
          <w:rFonts w:ascii="Times New Roman" w:hAnsi="Times New Roman" w:cs="Times New Roman"/>
          <w:color w:val="000000" w:themeColor="text1"/>
        </w:rPr>
        <w:t>I 2014 steg den havgående flådes andel af fangsterne til 54 pct.</w:t>
      </w:r>
      <w:r w:rsidR="007063F7">
        <w:rPr>
          <w:rFonts w:ascii="Times New Roman" w:hAnsi="Times New Roman" w:cs="Times New Roman"/>
          <w:color w:val="000000" w:themeColor="text1"/>
        </w:rPr>
        <w:t>,</w:t>
      </w:r>
      <w:r w:rsidR="00737348">
        <w:rPr>
          <w:rFonts w:ascii="Times New Roman" w:hAnsi="Times New Roman" w:cs="Times New Roman"/>
          <w:color w:val="000000" w:themeColor="text1"/>
        </w:rPr>
        <w:t xml:space="preserve"> men</w:t>
      </w:r>
      <w:r w:rsidR="007063F7">
        <w:rPr>
          <w:rFonts w:ascii="Times New Roman" w:hAnsi="Times New Roman" w:cs="Times New Roman"/>
          <w:color w:val="000000" w:themeColor="text1"/>
        </w:rPr>
        <w:t xml:space="preserve"> andelen </w:t>
      </w:r>
      <w:r w:rsidR="00737348">
        <w:rPr>
          <w:rFonts w:ascii="Times New Roman" w:hAnsi="Times New Roman" w:cs="Times New Roman"/>
          <w:color w:val="000000" w:themeColor="text1"/>
        </w:rPr>
        <w:t xml:space="preserve">har ligget under 50 pct. i periode 2015-2017. Det kystnære rejefiskeri har således fanget </w:t>
      </w:r>
      <w:r w:rsidR="007063F7">
        <w:rPr>
          <w:rFonts w:ascii="Times New Roman" w:hAnsi="Times New Roman" w:cs="Times New Roman"/>
          <w:color w:val="000000" w:themeColor="text1"/>
        </w:rPr>
        <w:t xml:space="preserve">en større andel af </w:t>
      </w:r>
      <w:r w:rsidR="00737348">
        <w:rPr>
          <w:rFonts w:ascii="Times New Roman" w:hAnsi="Times New Roman" w:cs="Times New Roman"/>
          <w:color w:val="000000" w:themeColor="text1"/>
        </w:rPr>
        <w:t>rejer</w:t>
      </w:r>
      <w:r w:rsidR="007063F7">
        <w:rPr>
          <w:rFonts w:ascii="Times New Roman" w:hAnsi="Times New Roman" w:cs="Times New Roman"/>
          <w:color w:val="000000" w:themeColor="text1"/>
        </w:rPr>
        <w:t>ne</w:t>
      </w:r>
      <w:r w:rsidR="00737348">
        <w:rPr>
          <w:rFonts w:ascii="Times New Roman" w:hAnsi="Times New Roman" w:cs="Times New Roman"/>
          <w:color w:val="000000" w:themeColor="text1"/>
        </w:rPr>
        <w:t xml:space="preserve"> fra 2015-2017. </w:t>
      </w:r>
      <w:r w:rsidR="004136AB">
        <w:rPr>
          <w:rFonts w:ascii="Times New Roman" w:hAnsi="Times New Roman" w:cs="Times New Roman"/>
          <w:color w:val="000000" w:themeColor="text1"/>
        </w:rPr>
        <w:t>I 2018</w:t>
      </w:r>
      <w:r w:rsidR="0001054E">
        <w:rPr>
          <w:rFonts w:ascii="Times New Roman" w:hAnsi="Times New Roman" w:cs="Times New Roman"/>
          <w:color w:val="000000" w:themeColor="text1"/>
        </w:rPr>
        <w:t xml:space="preserve">-2020 har </w:t>
      </w:r>
      <w:r w:rsidR="004136AB">
        <w:rPr>
          <w:rFonts w:ascii="Times New Roman" w:hAnsi="Times New Roman" w:cs="Times New Roman"/>
          <w:color w:val="000000" w:themeColor="text1"/>
        </w:rPr>
        <w:t xml:space="preserve">den havgående rejeflåde </w:t>
      </w:r>
      <w:r w:rsidR="0001054E">
        <w:rPr>
          <w:rFonts w:ascii="Times New Roman" w:hAnsi="Times New Roman" w:cs="Times New Roman"/>
          <w:color w:val="000000" w:themeColor="text1"/>
        </w:rPr>
        <w:t xml:space="preserve">dog fisket </w:t>
      </w:r>
      <w:r w:rsidR="00D55F3D">
        <w:rPr>
          <w:rFonts w:ascii="Times New Roman" w:hAnsi="Times New Roman" w:cs="Times New Roman"/>
          <w:color w:val="000000" w:themeColor="text1"/>
        </w:rPr>
        <w:t xml:space="preserve">en </w:t>
      </w:r>
      <w:r w:rsidR="0001054E">
        <w:rPr>
          <w:rFonts w:ascii="Times New Roman" w:hAnsi="Times New Roman" w:cs="Times New Roman"/>
          <w:color w:val="000000" w:themeColor="text1"/>
        </w:rPr>
        <w:t>større andel</w:t>
      </w:r>
      <w:r w:rsidR="00D55F3D">
        <w:rPr>
          <w:rFonts w:ascii="Times New Roman" w:hAnsi="Times New Roman" w:cs="Times New Roman"/>
          <w:color w:val="000000" w:themeColor="text1"/>
        </w:rPr>
        <w:t xml:space="preserve"> </w:t>
      </w:r>
      <w:r w:rsidR="00CF5089">
        <w:rPr>
          <w:rFonts w:ascii="Times New Roman" w:hAnsi="Times New Roman" w:cs="Times New Roman"/>
          <w:color w:val="000000" w:themeColor="text1"/>
        </w:rPr>
        <w:t>af rejerne</w:t>
      </w:r>
      <w:r w:rsidR="00B37020">
        <w:rPr>
          <w:rFonts w:ascii="Times New Roman" w:hAnsi="Times New Roman" w:cs="Times New Roman"/>
          <w:color w:val="000000" w:themeColor="text1"/>
        </w:rPr>
        <w:t xml:space="preserve">, mellem 53-55 pct. af de samlede rejefangster i </w:t>
      </w:r>
      <w:proofErr w:type="gramStart"/>
      <w:r w:rsidR="00B37020">
        <w:rPr>
          <w:rFonts w:ascii="Times New Roman" w:hAnsi="Times New Roman" w:cs="Times New Roman"/>
          <w:color w:val="000000" w:themeColor="text1"/>
        </w:rPr>
        <w:t>Vestgrønland.</w:t>
      </w:r>
      <w:r w:rsidR="004136AB">
        <w:rPr>
          <w:rFonts w:ascii="Times New Roman" w:hAnsi="Times New Roman" w:cs="Times New Roman"/>
          <w:color w:val="000000" w:themeColor="text1"/>
        </w:rPr>
        <w:t>.</w:t>
      </w:r>
      <w:proofErr w:type="gramEnd"/>
      <w:r w:rsidR="004136AB">
        <w:rPr>
          <w:rFonts w:ascii="Times New Roman" w:hAnsi="Times New Roman" w:cs="Times New Roman"/>
          <w:color w:val="000000" w:themeColor="text1"/>
        </w:rPr>
        <w:t xml:space="preserve"> </w:t>
      </w:r>
    </w:p>
    <w:p w14:paraId="7F36026B" w14:textId="77777777" w:rsidR="0056716A" w:rsidRDefault="0056716A" w:rsidP="00E24F47">
      <w:pPr>
        <w:spacing w:after="0" w:line="276" w:lineRule="auto"/>
        <w:jc w:val="both"/>
        <w:rPr>
          <w:rFonts w:ascii="Times New Roman" w:hAnsi="Times New Roman" w:cs="Times New Roman"/>
          <w:color w:val="000000" w:themeColor="text1"/>
        </w:rPr>
      </w:pPr>
    </w:p>
    <w:p w14:paraId="5607C013" w14:textId="1BE4555B" w:rsidR="00737348" w:rsidRDefault="004136AB" w:rsidP="00E24F4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Som tidligere nævnt, kan årskvotemængder fra det havgående rejefiskeri sælges til det kystnære </w:t>
      </w:r>
      <w:r w:rsidR="00CF5089">
        <w:rPr>
          <w:rFonts w:ascii="Times New Roman" w:hAnsi="Times New Roman" w:cs="Times New Roman"/>
          <w:color w:val="000000" w:themeColor="text1"/>
        </w:rPr>
        <w:t>rejefiskeri, men</w:t>
      </w:r>
      <w:r>
        <w:rPr>
          <w:rFonts w:ascii="Times New Roman" w:hAnsi="Times New Roman" w:cs="Times New Roman"/>
          <w:color w:val="000000" w:themeColor="text1"/>
        </w:rPr>
        <w:t xml:space="preserve"> ikke omvendt. </w:t>
      </w:r>
      <w:r w:rsidR="00CF0FFE">
        <w:rPr>
          <w:rFonts w:ascii="Times New Roman" w:hAnsi="Times New Roman" w:cs="Times New Roman"/>
          <w:color w:val="000000" w:themeColor="text1"/>
        </w:rPr>
        <w:t>En d</w:t>
      </w:r>
      <w:r>
        <w:rPr>
          <w:rFonts w:ascii="Times New Roman" w:hAnsi="Times New Roman" w:cs="Times New Roman"/>
          <w:color w:val="000000" w:themeColor="text1"/>
        </w:rPr>
        <w:t>el af</w:t>
      </w:r>
      <w:r w:rsidR="00737348">
        <w:rPr>
          <w:rFonts w:ascii="Times New Roman" w:hAnsi="Times New Roman" w:cs="Times New Roman"/>
          <w:color w:val="000000" w:themeColor="text1"/>
        </w:rPr>
        <w:t xml:space="preserve"> forklaringen</w:t>
      </w:r>
      <w:r>
        <w:rPr>
          <w:rFonts w:ascii="Times New Roman" w:hAnsi="Times New Roman" w:cs="Times New Roman"/>
          <w:color w:val="000000" w:themeColor="text1"/>
        </w:rPr>
        <w:t xml:space="preserve"> på</w:t>
      </w:r>
      <w:r w:rsidR="007063F7">
        <w:rPr>
          <w:rFonts w:ascii="Times New Roman" w:hAnsi="Times New Roman" w:cs="Times New Roman"/>
          <w:color w:val="000000" w:themeColor="text1"/>
        </w:rPr>
        <w:t>,</w:t>
      </w:r>
      <w:r w:rsidR="00737348">
        <w:rPr>
          <w:rFonts w:ascii="Times New Roman" w:hAnsi="Times New Roman" w:cs="Times New Roman"/>
          <w:color w:val="000000" w:themeColor="text1"/>
        </w:rPr>
        <w:t xml:space="preserve"> at det havgående rejefiskeri</w:t>
      </w:r>
      <w:r w:rsidR="007063F7">
        <w:rPr>
          <w:rFonts w:ascii="Times New Roman" w:hAnsi="Times New Roman" w:cs="Times New Roman"/>
          <w:color w:val="000000" w:themeColor="text1"/>
        </w:rPr>
        <w:t xml:space="preserve"> ikke</w:t>
      </w:r>
      <w:r w:rsidR="00737348">
        <w:rPr>
          <w:rFonts w:ascii="Times New Roman" w:hAnsi="Times New Roman" w:cs="Times New Roman"/>
          <w:color w:val="000000" w:themeColor="text1"/>
        </w:rPr>
        <w:t xml:space="preserve"> udnytter sine 57 pct. af </w:t>
      </w:r>
      <w:proofErr w:type="gramStart"/>
      <w:r w:rsidR="00737348">
        <w:rPr>
          <w:rFonts w:ascii="Times New Roman" w:hAnsi="Times New Roman" w:cs="Times New Roman"/>
          <w:color w:val="000000" w:themeColor="text1"/>
        </w:rPr>
        <w:t>kvoten</w:t>
      </w:r>
      <w:proofErr w:type="gramEnd"/>
      <w:r>
        <w:rPr>
          <w:rFonts w:ascii="Times New Roman" w:hAnsi="Times New Roman" w:cs="Times New Roman"/>
          <w:color w:val="000000" w:themeColor="text1"/>
        </w:rPr>
        <w:t xml:space="preserve"> er derfor salg af årskvoter til det kystnære rejefisker, jf. figur 6</w:t>
      </w:r>
      <w:r w:rsidR="00CF0FFE">
        <w:rPr>
          <w:rFonts w:ascii="Times New Roman" w:hAnsi="Times New Roman" w:cs="Times New Roman"/>
          <w:color w:val="000000" w:themeColor="text1"/>
        </w:rPr>
        <w:t>.</w:t>
      </w:r>
      <w:r w:rsidR="00737348">
        <w:rPr>
          <w:rFonts w:ascii="Times New Roman" w:hAnsi="Times New Roman" w:cs="Times New Roman"/>
          <w:color w:val="000000" w:themeColor="text1"/>
        </w:rPr>
        <w:t xml:space="preserve"> Muligheden for kvotefleks kan dog forklare noget af udsving</w:t>
      </w:r>
      <w:r w:rsidR="007063F7">
        <w:rPr>
          <w:rFonts w:ascii="Times New Roman" w:hAnsi="Times New Roman" w:cs="Times New Roman"/>
          <w:color w:val="000000" w:themeColor="text1"/>
        </w:rPr>
        <w:t>ene</w:t>
      </w:r>
      <w:r w:rsidR="00737348">
        <w:rPr>
          <w:rFonts w:ascii="Times New Roman" w:hAnsi="Times New Roman" w:cs="Times New Roman"/>
          <w:color w:val="000000" w:themeColor="text1"/>
        </w:rPr>
        <w:t xml:space="preserve"> i fordeling af fangsterne </w:t>
      </w:r>
      <w:r w:rsidR="007063F7">
        <w:rPr>
          <w:rFonts w:ascii="Times New Roman" w:hAnsi="Times New Roman" w:cs="Times New Roman"/>
          <w:color w:val="000000" w:themeColor="text1"/>
        </w:rPr>
        <w:t>mellem</w:t>
      </w:r>
      <w:r w:rsidR="00737348">
        <w:rPr>
          <w:rFonts w:ascii="Times New Roman" w:hAnsi="Times New Roman" w:cs="Times New Roman"/>
          <w:color w:val="000000" w:themeColor="text1"/>
        </w:rPr>
        <w:t xml:space="preserve"> det havgående og kystnære rejefiskeri. </w:t>
      </w:r>
    </w:p>
    <w:p w14:paraId="026086D4" w14:textId="77777777" w:rsidR="0080536C" w:rsidRPr="00F67749" w:rsidRDefault="0080536C" w:rsidP="00A21B75">
      <w:pPr>
        <w:spacing w:after="0" w:line="276" w:lineRule="auto"/>
        <w:jc w:val="both"/>
        <w:rPr>
          <w:rFonts w:ascii="Times New Roman" w:hAnsi="Times New Roman" w:cs="Times New Roman"/>
          <w:color w:val="000000" w:themeColor="text1"/>
        </w:rPr>
      </w:pPr>
    </w:p>
    <w:p w14:paraId="2BBDC4C1" w14:textId="4084142F" w:rsidR="0080536C" w:rsidRPr="00F67749" w:rsidRDefault="0080536C" w:rsidP="003E35AB">
      <w:pPr>
        <w:spacing w:after="0" w:line="276" w:lineRule="auto"/>
        <w:jc w:val="both"/>
        <w:rPr>
          <w:rFonts w:ascii="Times New Roman" w:hAnsi="Times New Roman" w:cs="Times New Roman"/>
          <w:color w:val="000000" w:themeColor="text1"/>
        </w:rPr>
      </w:pPr>
      <w:r w:rsidRPr="00AC4047">
        <w:rPr>
          <w:rFonts w:ascii="Times New Roman" w:hAnsi="Times New Roman" w:cs="Times New Roman"/>
          <w:b/>
          <w:color w:val="000000" w:themeColor="text1"/>
        </w:rPr>
        <w:t xml:space="preserve">Figur </w:t>
      </w:r>
      <w:r w:rsidR="00236B2A">
        <w:rPr>
          <w:rFonts w:ascii="Times New Roman" w:hAnsi="Times New Roman" w:cs="Times New Roman"/>
          <w:b/>
          <w:color w:val="000000" w:themeColor="text1"/>
        </w:rPr>
        <w:t>4</w:t>
      </w:r>
      <w:r w:rsidRPr="00AC4047">
        <w:rPr>
          <w:rFonts w:ascii="Times New Roman" w:hAnsi="Times New Roman" w:cs="Times New Roman"/>
          <w:b/>
          <w:color w:val="000000" w:themeColor="text1"/>
        </w:rPr>
        <w:t>: Udvikling i fordeling af rejefangsten i Vestgrønland på havgående og kystnær flåde, 2002-</w:t>
      </w:r>
      <w:r w:rsidR="00236B2A" w:rsidRPr="00AC4047">
        <w:rPr>
          <w:rFonts w:ascii="Times New Roman" w:hAnsi="Times New Roman" w:cs="Times New Roman"/>
          <w:b/>
          <w:color w:val="000000" w:themeColor="text1"/>
        </w:rPr>
        <w:t>20</w:t>
      </w:r>
      <w:r w:rsidR="00236B2A">
        <w:rPr>
          <w:rFonts w:ascii="Times New Roman" w:hAnsi="Times New Roman" w:cs="Times New Roman"/>
          <w:b/>
          <w:color w:val="000000" w:themeColor="text1"/>
        </w:rPr>
        <w:t>20</w:t>
      </w:r>
      <w:r w:rsidRPr="00AC4047">
        <w:rPr>
          <w:rFonts w:ascii="Times New Roman" w:hAnsi="Times New Roman" w:cs="Times New Roman"/>
          <w:b/>
          <w:color w:val="000000" w:themeColor="text1"/>
        </w:rPr>
        <w:t>.</w:t>
      </w:r>
      <w:r w:rsidR="000E01C5">
        <w:rPr>
          <w:noProof/>
          <w:lang w:val="en-US"/>
        </w:rPr>
        <w:drawing>
          <wp:inline distT="0" distB="0" distL="0" distR="0" wp14:anchorId="06A61E79" wp14:editId="2DEBC194">
            <wp:extent cx="6229350" cy="4010025"/>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31F6A8" w14:textId="77777777" w:rsidR="004136AB" w:rsidRDefault="00F7372A" w:rsidP="00E24F47">
      <w:pPr>
        <w:spacing w:after="0" w:line="276" w:lineRule="auto"/>
        <w:rPr>
          <w:rFonts w:ascii="Times New Roman" w:hAnsi="Times New Roman" w:cs="Times New Roman"/>
          <w:color w:val="000000" w:themeColor="text1"/>
          <w:sz w:val="20"/>
          <w:szCs w:val="20"/>
        </w:rPr>
      </w:pPr>
      <w:r w:rsidRPr="00F7372A">
        <w:rPr>
          <w:rFonts w:ascii="Times New Roman" w:hAnsi="Times New Roman" w:cs="Times New Roman"/>
          <w:color w:val="000000" w:themeColor="text1"/>
          <w:sz w:val="20"/>
          <w:szCs w:val="20"/>
        </w:rPr>
        <w:t>Kilde</w:t>
      </w:r>
      <w:r>
        <w:rPr>
          <w:rFonts w:ascii="Times New Roman" w:hAnsi="Times New Roman" w:cs="Times New Roman"/>
          <w:color w:val="000000" w:themeColor="text1"/>
          <w:sz w:val="20"/>
          <w:szCs w:val="20"/>
        </w:rPr>
        <w:t>: Grønlands Naturinstitut.</w:t>
      </w:r>
    </w:p>
    <w:p w14:paraId="298CBE44" w14:textId="4C72EEB9" w:rsidR="004136AB" w:rsidRDefault="004136AB" w:rsidP="00E24F47">
      <w:pPr>
        <w:spacing w:after="0" w:line="276" w:lineRule="auto"/>
        <w:rPr>
          <w:rFonts w:ascii="Times New Roman" w:hAnsi="Times New Roman" w:cs="Times New Roman"/>
          <w:color w:val="000000" w:themeColor="text1"/>
        </w:rPr>
      </w:pPr>
      <w:r w:rsidRPr="000A6B3B">
        <w:rPr>
          <w:rFonts w:ascii="Times New Roman" w:hAnsi="Times New Roman" w:cs="Times New Roman"/>
          <w:color w:val="000000" w:themeColor="text1"/>
        </w:rPr>
        <w:t xml:space="preserve">Figur </w:t>
      </w:r>
      <w:r w:rsidR="00236B2A">
        <w:rPr>
          <w:rFonts w:ascii="Times New Roman" w:hAnsi="Times New Roman" w:cs="Times New Roman"/>
          <w:color w:val="000000" w:themeColor="text1"/>
        </w:rPr>
        <w:t>5</w:t>
      </w:r>
      <w:r w:rsidR="00236B2A" w:rsidRPr="000A6B3B">
        <w:rPr>
          <w:rFonts w:ascii="Times New Roman" w:hAnsi="Times New Roman" w:cs="Times New Roman"/>
          <w:color w:val="000000" w:themeColor="text1"/>
        </w:rPr>
        <w:t xml:space="preserve"> </w:t>
      </w:r>
      <w:r w:rsidRPr="000A6B3B">
        <w:rPr>
          <w:rFonts w:ascii="Times New Roman" w:hAnsi="Times New Roman" w:cs="Times New Roman"/>
          <w:color w:val="000000" w:themeColor="text1"/>
        </w:rPr>
        <w:t xml:space="preserve">viser omfanget af handlen af årskvoter fra det havgående rejefiskeri til </w:t>
      </w:r>
      <w:proofErr w:type="gramStart"/>
      <w:r w:rsidRPr="000A6B3B">
        <w:rPr>
          <w:rFonts w:ascii="Times New Roman" w:hAnsi="Times New Roman" w:cs="Times New Roman"/>
          <w:color w:val="000000" w:themeColor="text1"/>
        </w:rPr>
        <w:t>den kystnære rejeflåden</w:t>
      </w:r>
      <w:proofErr w:type="gramEnd"/>
      <w:r w:rsidRPr="000A6B3B">
        <w:rPr>
          <w:rFonts w:ascii="Times New Roman" w:hAnsi="Times New Roman" w:cs="Times New Roman"/>
          <w:color w:val="000000" w:themeColor="text1"/>
        </w:rPr>
        <w:t xml:space="preserve">. </w:t>
      </w:r>
    </w:p>
    <w:p w14:paraId="176BF472" w14:textId="77777777" w:rsidR="00236B2A" w:rsidRPr="000A6B3B" w:rsidRDefault="00236B2A" w:rsidP="00E24F47">
      <w:pPr>
        <w:spacing w:after="0" w:line="276" w:lineRule="auto"/>
        <w:rPr>
          <w:rFonts w:ascii="Times New Roman" w:hAnsi="Times New Roman" w:cs="Times New Roman"/>
          <w:color w:val="000000" w:themeColor="text1"/>
        </w:rPr>
      </w:pPr>
    </w:p>
    <w:p w14:paraId="238D86AB" w14:textId="7DD90596" w:rsidR="004136AB" w:rsidRPr="00A26BE1" w:rsidRDefault="004136AB" w:rsidP="00E24F47">
      <w:pPr>
        <w:spacing w:after="0" w:line="276" w:lineRule="auto"/>
        <w:jc w:val="both"/>
        <w:rPr>
          <w:rFonts w:ascii="Times New Roman" w:hAnsi="Times New Roman" w:cs="Times New Roman"/>
          <w:color w:val="000000" w:themeColor="text1"/>
        </w:rPr>
      </w:pPr>
      <w:r w:rsidRPr="000A6B3B">
        <w:rPr>
          <w:rFonts w:ascii="Times New Roman" w:hAnsi="Times New Roman" w:cs="Times New Roman"/>
          <w:color w:val="000000" w:themeColor="text1"/>
        </w:rPr>
        <w:lastRenderedPageBreak/>
        <w:t xml:space="preserve">Det fremgår af figuren at det blev solgt en betydelige mængder årskvoter fra </w:t>
      </w:r>
      <w:proofErr w:type="gramStart"/>
      <w:r w:rsidRPr="000A6B3B">
        <w:rPr>
          <w:rFonts w:ascii="Times New Roman" w:hAnsi="Times New Roman" w:cs="Times New Roman"/>
          <w:color w:val="000000" w:themeColor="text1"/>
        </w:rPr>
        <w:t>det havgående flåde</w:t>
      </w:r>
      <w:proofErr w:type="gramEnd"/>
      <w:r w:rsidRPr="000A6B3B">
        <w:rPr>
          <w:rFonts w:ascii="Times New Roman" w:hAnsi="Times New Roman" w:cs="Times New Roman"/>
          <w:color w:val="000000" w:themeColor="text1"/>
        </w:rPr>
        <w:t xml:space="preserve"> til den kystnære. Det er uklart hvorfor det blev solgt så store mængder til den kystnære flåde. En mulig forklaring kan være prisforholdet mellem frosne skalrejer produceret til havs og kogte og pillede rejer forædlet på fabrikkerne</w:t>
      </w:r>
      <w:r w:rsidR="00A26BE1">
        <w:rPr>
          <w:rFonts w:ascii="Times New Roman" w:hAnsi="Times New Roman" w:cs="Times New Roman"/>
          <w:color w:val="000000" w:themeColor="text1"/>
        </w:rPr>
        <w:t xml:space="preserve"> af indhandling fra den kystnære flåde</w:t>
      </w:r>
      <w:r w:rsidRPr="000A6B3B">
        <w:rPr>
          <w:rFonts w:ascii="Times New Roman" w:hAnsi="Times New Roman" w:cs="Times New Roman"/>
          <w:color w:val="000000" w:themeColor="text1"/>
        </w:rPr>
        <w:t xml:space="preserve">. Anden forklaring kan være fartøjsproblemer i 2012. Mængden af årskvoter solgt fra havgående rejefiskeri til det kystnære har været stærkt faldende i perioden 2012 til 2018. I 2019 </w:t>
      </w:r>
      <w:r w:rsidR="00431AEE">
        <w:rPr>
          <w:rFonts w:ascii="Times New Roman" w:hAnsi="Times New Roman" w:cs="Times New Roman"/>
          <w:color w:val="000000" w:themeColor="text1"/>
        </w:rPr>
        <w:t>blev der</w:t>
      </w:r>
      <w:r w:rsidRPr="000A6B3B">
        <w:rPr>
          <w:rFonts w:ascii="Times New Roman" w:hAnsi="Times New Roman" w:cs="Times New Roman"/>
          <w:color w:val="000000" w:themeColor="text1"/>
        </w:rPr>
        <w:t xml:space="preserve"> kun solgt </w:t>
      </w:r>
      <w:r w:rsidR="00431AEE">
        <w:rPr>
          <w:rFonts w:ascii="Times New Roman" w:hAnsi="Times New Roman" w:cs="Times New Roman"/>
          <w:color w:val="000000" w:themeColor="text1"/>
        </w:rPr>
        <w:t>4</w:t>
      </w:r>
      <w:r w:rsidRPr="000A6B3B">
        <w:rPr>
          <w:rFonts w:ascii="Times New Roman" w:hAnsi="Times New Roman" w:cs="Times New Roman"/>
          <w:color w:val="000000" w:themeColor="text1"/>
        </w:rPr>
        <w:t>59 tons fra havgående rejeflåde til den kystnære</w:t>
      </w:r>
      <w:r w:rsidR="00431AEE">
        <w:rPr>
          <w:rFonts w:ascii="Times New Roman" w:hAnsi="Times New Roman" w:cs="Times New Roman"/>
          <w:color w:val="000000" w:themeColor="text1"/>
        </w:rPr>
        <w:t xml:space="preserve"> hvorefter den mængde steg til 3.300 tons i 2020</w:t>
      </w:r>
      <w:r w:rsidRPr="000A6B3B">
        <w:rPr>
          <w:rFonts w:ascii="Times New Roman" w:hAnsi="Times New Roman" w:cs="Times New Roman"/>
          <w:color w:val="000000" w:themeColor="text1"/>
        </w:rPr>
        <w:t xml:space="preserve">. </w:t>
      </w:r>
      <w:r w:rsidR="00431AEE">
        <w:rPr>
          <w:rFonts w:ascii="Times New Roman" w:hAnsi="Times New Roman" w:cs="Times New Roman"/>
          <w:color w:val="000000" w:themeColor="text1"/>
        </w:rPr>
        <w:t>Faldende overførsler af havgående kvoter til det kystnære fiskeri er muligvis tegn på</w:t>
      </w:r>
      <w:r w:rsidRPr="00A26BE1">
        <w:rPr>
          <w:rFonts w:ascii="Times New Roman" w:hAnsi="Times New Roman" w:cs="Times New Roman"/>
          <w:color w:val="000000" w:themeColor="text1"/>
        </w:rPr>
        <w:t xml:space="preserve">, at den havgående rejeflåde vil udnytte sine </w:t>
      </w:r>
      <w:r w:rsidR="00431AEE">
        <w:rPr>
          <w:rFonts w:ascii="Times New Roman" w:hAnsi="Times New Roman" w:cs="Times New Roman"/>
          <w:color w:val="000000" w:themeColor="text1"/>
        </w:rPr>
        <w:t>større</w:t>
      </w:r>
      <w:r w:rsidR="00431AEE" w:rsidRPr="00A26BE1">
        <w:rPr>
          <w:rFonts w:ascii="Times New Roman" w:hAnsi="Times New Roman" w:cs="Times New Roman"/>
          <w:color w:val="000000" w:themeColor="text1"/>
        </w:rPr>
        <w:t xml:space="preserve"> </w:t>
      </w:r>
      <w:r w:rsidRPr="00A26BE1">
        <w:rPr>
          <w:rFonts w:ascii="Times New Roman" w:hAnsi="Times New Roman" w:cs="Times New Roman"/>
          <w:color w:val="000000" w:themeColor="text1"/>
        </w:rPr>
        <w:t>andel</w:t>
      </w:r>
      <w:r w:rsidR="00431AEE">
        <w:rPr>
          <w:rFonts w:ascii="Times New Roman" w:hAnsi="Times New Roman" w:cs="Times New Roman"/>
          <w:color w:val="000000" w:themeColor="text1"/>
        </w:rPr>
        <w:t xml:space="preserve"> af sine kvoter selv</w:t>
      </w:r>
      <w:r w:rsidRPr="00A26BE1">
        <w:rPr>
          <w:rFonts w:ascii="Times New Roman" w:hAnsi="Times New Roman" w:cs="Times New Roman"/>
          <w:color w:val="000000" w:themeColor="text1"/>
        </w:rPr>
        <w:t xml:space="preserve"> fremover, særligt når de har investeret så massivt i nybyggede og meget effektive produktionstrawlere</w:t>
      </w:r>
      <w:r w:rsidR="00EA4D35">
        <w:rPr>
          <w:rFonts w:ascii="Times New Roman" w:hAnsi="Times New Roman" w:cs="Times New Roman"/>
          <w:color w:val="000000" w:themeColor="text1"/>
        </w:rPr>
        <w:t xml:space="preserve">. </w:t>
      </w:r>
      <w:r w:rsidR="00431AEE">
        <w:rPr>
          <w:rFonts w:ascii="Times New Roman" w:hAnsi="Times New Roman" w:cs="Times New Roman"/>
          <w:color w:val="000000" w:themeColor="text1"/>
        </w:rPr>
        <w:t>Med de nybyggede trawlere</w:t>
      </w:r>
      <w:r w:rsidR="00EA4D35">
        <w:rPr>
          <w:rFonts w:ascii="Times New Roman" w:hAnsi="Times New Roman" w:cs="Times New Roman"/>
          <w:color w:val="000000" w:themeColor="text1"/>
        </w:rPr>
        <w:t xml:space="preserve"> </w:t>
      </w:r>
      <w:r w:rsidRPr="00A26BE1">
        <w:rPr>
          <w:rFonts w:ascii="Times New Roman" w:hAnsi="Times New Roman" w:cs="Times New Roman"/>
          <w:color w:val="000000" w:themeColor="text1"/>
        </w:rPr>
        <w:t>forventes fangstkapaciteten i det havgående rejefiskeri</w:t>
      </w:r>
      <w:r w:rsidR="00431AEE">
        <w:rPr>
          <w:rFonts w:ascii="Times New Roman" w:hAnsi="Times New Roman" w:cs="Times New Roman"/>
          <w:color w:val="000000" w:themeColor="text1"/>
        </w:rPr>
        <w:t xml:space="preserve"> at stige</w:t>
      </w:r>
      <w:r w:rsidRPr="00A26BE1">
        <w:rPr>
          <w:rFonts w:ascii="Times New Roman" w:hAnsi="Times New Roman" w:cs="Times New Roman"/>
          <w:color w:val="000000" w:themeColor="text1"/>
        </w:rPr>
        <w:t>.</w:t>
      </w:r>
    </w:p>
    <w:p w14:paraId="07740C04" w14:textId="77777777" w:rsidR="004136AB" w:rsidRDefault="004136AB" w:rsidP="00EA4D35">
      <w:pPr>
        <w:spacing w:after="0" w:line="276" w:lineRule="auto"/>
        <w:rPr>
          <w:rFonts w:ascii="Times New Roman" w:hAnsi="Times New Roman" w:cs="Times New Roman"/>
          <w:color w:val="000000" w:themeColor="text1"/>
          <w:sz w:val="20"/>
          <w:szCs w:val="20"/>
        </w:rPr>
      </w:pPr>
    </w:p>
    <w:p w14:paraId="09FDAA48" w14:textId="6CF9F247" w:rsidR="004136AB" w:rsidRPr="000A6B3B" w:rsidRDefault="004136AB" w:rsidP="00EA4D35">
      <w:pPr>
        <w:spacing w:after="0" w:line="276" w:lineRule="auto"/>
        <w:rPr>
          <w:rFonts w:ascii="Times New Roman" w:eastAsia="Times New Roman" w:hAnsi="Times New Roman" w:cs="Times New Roman"/>
          <w:b/>
          <w:color w:val="000000"/>
          <w:lang w:eastAsia="da-DK"/>
        </w:rPr>
      </w:pPr>
      <w:r w:rsidRPr="000A6B3B">
        <w:rPr>
          <w:rFonts w:ascii="Times New Roman" w:eastAsia="Times New Roman" w:hAnsi="Times New Roman" w:cs="Times New Roman"/>
          <w:b/>
          <w:color w:val="000000"/>
          <w:lang w:eastAsia="da-DK"/>
        </w:rPr>
        <w:t xml:space="preserve">Figur </w:t>
      </w:r>
      <w:r w:rsidR="00236B2A">
        <w:rPr>
          <w:rFonts w:ascii="Times New Roman" w:eastAsia="Times New Roman" w:hAnsi="Times New Roman" w:cs="Times New Roman"/>
          <w:b/>
          <w:color w:val="000000"/>
          <w:lang w:eastAsia="da-DK"/>
        </w:rPr>
        <w:t>5</w:t>
      </w:r>
      <w:r w:rsidRPr="000A6B3B">
        <w:rPr>
          <w:rFonts w:ascii="Times New Roman" w:eastAsia="Times New Roman" w:hAnsi="Times New Roman" w:cs="Times New Roman"/>
          <w:b/>
          <w:color w:val="000000"/>
          <w:lang w:eastAsia="da-DK"/>
        </w:rPr>
        <w:t>: Salg af årskvoter fra det havgående rejefiskeri til det kystnære, 2010-20</w:t>
      </w:r>
      <w:r w:rsidR="00B37020">
        <w:rPr>
          <w:rFonts w:ascii="Times New Roman" w:eastAsia="Times New Roman" w:hAnsi="Times New Roman" w:cs="Times New Roman"/>
          <w:b/>
          <w:color w:val="000000"/>
          <w:lang w:eastAsia="da-DK"/>
        </w:rPr>
        <w:t>20</w:t>
      </w:r>
      <w:r w:rsidRPr="000A6B3B">
        <w:rPr>
          <w:rFonts w:ascii="Times New Roman" w:eastAsia="Times New Roman" w:hAnsi="Times New Roman" w:cs="Times New Roman"/>
          <w:b/>
          <w:color w:val="000000"/>
          <w:lang w:eastAsia="da-DK"/>
        </w:rPr>
        <w:t>.</w:t>
      </w:r>
    </w:p>
    <w:p w14:paraId="53A31BE6" w14:textId="69574D99" w:rsidR="004136AB" w:rsidRPr="00860884" w:rsidRDefault="00431AEE" w:rsidP="00EA4D35">
      <w:pPr>
        <w:spacing w:after="0" w:line="276" w:lineRule="auto"/>
        <w:rPr>
          <w:rFonts w:ascii="Times New Roman" w:eastAsia="Times New Roman" w:hAnsi="Times New Roman" w:cs="Times New Roman"/>
          <w:color w:val="000000"/>
          <w:sz w:val="20"/>
          <w:szCs w:val="20"/>
          <w:lang w:eastAsia="da-DK"/>
        </w:rPr>
      </w:pPr>
      <w:r>
        <w:rPr>
          <w:noProof/>
          <w:lang w:val="en-US"/>
        </w:rPr>
        <w:drawing>
          <wp:inline distT="0" distB="0" distL="0" distR="0" wp14:anchorId="1DAFDA15" wp14:editId="023B297E">
            <wp:extent cx="6120130" cy="389255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136AB" w:rsidRPr="00860884">
        <w:rPr>
          <w:rFonts w:ascii="Times New Roman" w:eastAsia="Times New Roman" w:hAnsi="Times New Roman" w:cs="Times New Roman"/>
          <w:color w:val="000000"/>
          <w:sz w:val="20"/>
          <w:szCs w:val="20"/>
          <w:lang w:eastAsia="da-DK"/>
        </w:rPr>
        <w:t>Kilde: GFLK.</w:t>
      </w:r>
    </w:p>
    <w:p w14:paraId="33721FA5" w14:textId="77777777" w:rsidR="004136AB" w:rsidRDefault="004136AB" w:rsidP="00E24F47">
      <w:pPr>
        <w:spacing w:after="0" w:line="276" w:lineRule="auto"/>
        <w:rPr>
          <w:rFonts w:ascii="Times New Roman" w:hAnsi="Times New Roman" w:cs="Times New Roman"/>
          <w:color w:val="000000" w:themeColor="text1"/>
          <w:sz w:val="20"/>
          <w:szCs w:val="20"/>
        </w:rPr>
      </w:pPr>
    </w:p>
    <w:p w14:paraId="3C34D5A8" w14:textId="77777777" w:rsidR="004136AB" w:rsidRDefault="004136AB" w:rsidP="00E24F47">
      <w:pPr>
        <w:spacing w:after="0" w:line="276" w:lineRule="auto"/>
        <w:rPr>
          <w:rFonts w:ascii="Times New Roman" w:hAnsi="Times New Roman" w:cs="Times New Roman"/>
          <w:color w:val="000000" w:themeColor="text1"/>
          <w:sz w:val="20"/>
          <w:szCs w:val="20"/>
        </w:rPr>
      </w:pPr>
    </w:p>
    <w:p w14:paraId="51F56A44" w14:textId="77777777" w:rsidR="0080536C" w:rsidRPr="00F7372A" w:rsidRDefault="0080536C" w:rsidP="00E24F47">
      <w:pPr>
        <w:spacing w:after="0" w:line="276" w:lineRule="auto"/>
        <w:rPr>
          <w:rFonts w:ascii="Times New Roman" w:hAnsi="Times New Roman" w:cs="Times New Roman"/>
          <w:color w:val="000000" w:themeColor="text1"/>
          <w:sz w:val="20"/>
          <w:szCs w:val="20"/>
        </w:rPr>
      </w:pPr>
      <w:r w:rsidRPr="00F7372A">
        <w:rPr>
          <w:rFonts w:ascii="Times New Roman" w:hAnsi="Times New Roman" w:cs="Times New Roman"/>
          <w:color w:val="000000" w:themeColor="text1"/>
          <w:sz w:val="20"/>
          <w:szCs w:val="20"/>
        </w:rPr>
        <w:br w:type="page"/>
      </w:r>
    </w:p>
    <w:p w14:paraId="4EFAA38B" w14:textId="77777777" w:rsidR="00236B2A" w:rsidRPr="00E24F47" w:rsidRDefault="00236B2A" w:rsidP="003E0419">
      <w:pPr>
        <w:spacing w:after="0" w:line="276" w:lineRule="auto"/>
        <w:jc w:val="both"/>
        <w:rPr>
          <w:rFonts w:ascii="Times New Roman" w:hAnsi="Times New Roman" w:cs="Times New Roman"/>
          <w:i/>
          <w:sz w:val="24"/>
          <w:szCs w:val="24"/>
        </w:rPr>
      </w:pPr>
      <w:r w:rsidRPr="00E24F47">
        <w:rPr>
          <w:rFonts w:ascii="Times New Roman" w:hAnsi="Times New Roman" w:cs="Times New Roman"/>
          <w:i/>
          <w:sz w:val="24"/>
          <w:szCs w:val="24"/>
        </w:rPr>
        <w:lastRenderedPageBreak/>
        <w:t>Indhandling til rejefabrikkerne</w:t>
      </w:r>
    </w:p>
    <w:p w14:paraId="0060FA78" w14:textId="77777777" w:rsidR="003E0419" w:rsidRDefault="003E0419" w:rsidP="003E0419">
      <w:pPr>
        <w:spacing w:after="0" w:line="276" w:lineRule="auto"/>
        <w:jc w:val="both"/>
        <w:rPr>
          <w:rFonts w:ascii="Times New Roman" w:hAnsi="Times New Roman" w:cs="Times New Roman"/>
        </w:rPr>
      </w:pPr>
      <w:r>
        <w:rPr>
          <w:rFonts w:ascii="Times New Roman" w:hAnsi="Times New Roman" w:cs="Times New Roman"/>
        </w:rPr>
        <w:t xml:space="preserve">I 2006 blev der indhandlet samlet ca. 60.000 tons rejer til de 7 fabrikker som indhandlede og producerede rejer i det år, </w:t>
      </w:r>
      <w:r w:rsidR="00236B2A">
        <w:rPr>
          <w:rFonts w:ascii="Times New Roman" w:hAnsi="Times New Roman" w:cs="Times New Roman"/>
        </w:rPr>
        <w:t>jf. figur 6</w:t>
      </w:r>
      <w:r>
        <w:rPr>
          <w:rFonts w:ascii="Times New Roman" w:hAnsi="Times New Roman" w:cs="Times New Roman"/>
        </w:rPr>
        <w:t xml:space="preserve">. Antages produktionskapaciteten i 2006 at være 100.000 tons svarer det til en kapacitetsudnyttelse på 60 pct. De samlede indhandlingsmængder har været faldende siden 2006 og indtil 2015. Det har betydet at rejeerhvervet har tilpasset kapaciteten ved at reducere antal rejefabrikker. </w:t>
      </w:r>
    </w:p>
    <w:p w14:paraId="23758172" w14:textId="77777777" w:rsidR="003E0419" w:rsidRDefault="003E0419" w:rsidP="003E0419">
      <w:pPr>
        <w:spacing w:after="0" w:line="276" w:lineRule="auto"/>
        <w:jc w:val="both"/>
        <w:rPr>
          <w:rFonts w:ascii="Times New Roman" w:hAnsi="Times New Roman" w:cs="Times New Roman"/>
        </w:rPr>
      </w:pPr>
    </w:p>
    <w:p w14:paraId="6DF3C090" w14:textId="77777777" w:rsidR="003E0419" w:rsidRPr="001835C9" w:rsidRDefault="003E0419" w:rsidP="003E0419">
      <w:pPr>
        <w:spacing w:after="0" w:line="276" w:lineRule="auto"/>
        <w:jc w:val="both"/>
        <w:rPr>
          <w:rFonts w:ascii="Times New Roman" w:hAnsi="Times New Roman" w:cs="Times New Roman"/>
          <w:lang w:val="is-IS"/>
        </w:rPr>
      </w:pPr>
      <w:r>
        <w:rPr>
          <w:rFonts w:ascii="Times New Roman" w:hAnsi="Times New Roman" w:cs="Times New Roman"/>
        </w:rPr>
        <w:t xml:space="preserve">Det må forventes at den teknologiske udvikling har øget i nogen grad kapaciteten </w:t>
      </w:r>
      <w:r w:rsidR="000C2C69">
        <w:rPr>
          <w:rFonts w:ascii="Times New Roman" w:hAnsi="Times New Roman" w:cs="Times New Roman"/>
        </w:rPr>
        <w:t>på</w:t>
      </w:r>
      <w:r>
        <w:rPr>
          <w:rFonts w:ascii="Times New Roman" w:hAnsi="Times New Roman" w:cs="Times New Roman"/>
        </w:rPr>
        <w:t xml:space="preserve"> den enkelte fabrik. I 20</w:t>
      </w:r>
      <w:r w:rsidR="00236B2A">
        <w:rPr>
          <w:rFonts w:ascii="Times New Roman" w:hAnsi="Times New Roman" w:cs="Times New Roman"/>
        </w:rPr>
        <w:t>20 blev der indhandlet ca. 5</w:t>
      </w:r>
      <w:r>
        <w:rPr>
          <w:rFonts w:ascii="Times New Roman" w:hAnsi="Times New Roman" w:cs="Times New Roman"/>
        </w:rPr>
        <w:t>7.000 tons rejer svarende til en kapacitetsudnyttelse på 59 pct.</w:t>
      </w:r>
      <w:r w:rsidR="00236B2A">
        <w:rPr>
          <w:rFonts w:ascii="Times New Roman" w:hAnsi="Times New Roman" w:cs="Times New Roman"/>
        </w:rPr>
        <w:t xml:space="preserve"> hvis den samlede produktionskapacitet hos rejefabrikkerne i 2020 opgøres til 80.000 tons.</w:t>
      </w:r>
      <w:r>
        <w:rPr>
          <w:rFonts w:ascii="Times New Roman" w:hAnsi="Times New Roman" w:cs="Times New Roman"/>
        </w:rPr>
        <w:t xml:space="preserve"> Det er derfor </w:t>
      </w:r>
      <w:r w:rsidR="00236B2A">
        <w:rPr>
          <w:rFonts w:ascii="Times New Roman" w:hAnsi="Times New Roman" w:cs="Times New Roman"/>
        </w:rPr>
        <w:t xml:space="preserve">stadig en del </w:t>
      </w:r>
      <w:r>
        <w:rPr>
          <w:rFonts w:ascii="Times New Roman" w:hAnsi="Times New Roman" w:cs="Times New Roman"/>
        </w:rPr>
        <w:t>overkapacitet hos rejefabrikkerne i dag i forhold til deres råvaregrundlag.</w:t>
      </w:r>
    </w:p>
    <w:p w14:paraId="457F3EC2" w14:textId="77777777" w:rsidR="00082B90" w:rsidRDefault="00082B90" w:rsidP="00082B90">
      <w:pPr>
        <w:spacing w:after="0" w:line="276" w:lineRule="auto"/>
        <w:rPr>
          <w:rFonts w:ascii="Times New Roman" w:hAnsi="Times New Roman" w:cs="Times New Roman"/>
          <w:b/>
        </w:rPr>
      </w:pPr>
    </w:p>
    <w:p w14:paraId="3B2F4DD9" w14:textId="78072765" w:rsidR="003E0419" w:rsidRDefault="00236B2A" w:rsidP="00E24F47">
      <w:pPr>
        <w:spacing w:after="0" w:line="276" w:lineRule="auto"/>
        <w:rPr>
          <w:rFonts w:ascii="Times New Roman" w:hAnsi="Times New Roman" w:cs="Times New Roman"/>
          <w:b/>
        </w:rPr>
      </w:pPr>
      <w:r>
        <w:rPr>
          <w:rFonts w:ascii="Times New Roman" w:hAnsi="Times New Roman" w:cs="Times New Roman"/>
          <w:b/>
        </w:rPr>
        <w:t>Figur 6</w:t>
      </w:r>
      <w:r w:rsidR="003E0419" w:rsidRPr="007A06DA">
        <w:rPr>
          <w:rFonts w:ascii="Times New Roman" w:hAnsi="Times New Roman" w:cs="Times New Roman"/>
          <w:b/>
        </w:rPr>
        <w:t>: Udvikling indhandlingsmængder af rejer, 200</w:t>
      </w:r>
      <w:r w:rsidR="003E0419">
        <w:rPr>
          <w:rFonts w:ascii="Times New Roman" w:hAnsi="Times New Roman" w:cs="Times New Roman"/>
          <w:b/>
        </w:rPr>
        <w:t>6</w:t>
      </w:r>
      <w:r w:rsidR="003E0419" w:rsidRPr="007A06DA">
        <w:rPr>
          <w:rFonts w:ascii="Times New Roman" w:hAnsi="Times New Roman" w:cs="Times New Roman"/>
          <w:b/>
        </w:rPr>
        <w:t>-20</w:t>
      </w:r>
      <w:r w:rsidR="003E0419">
        <w:rPr>
          <w:rFonts w:ascii="Times New Roman" w:hAnsi="Times New Roman" w:cs="Times New Roman"/>
          <w:b/>
        </w:rPr>
        <w:t>20</w:t>
      </w:r>
      <w:r w:rsidR="003E0419" w:rsidRPr="007A06DA">
        <w:rPr>
          <w:rFonts w:ascii="Times New Roman" w:hAnsi="Times New Roman" w:cs="Times New Roman"/>
          <w:b/>
        </w:rPr>
        <w:t>.</w:t>
      </w:r>
    </w:p>
    <w:p w14:paraId="20CA4949" w14:textId="77777777" w:rsidR="003E0419" w:rsidRPr="007A06DA" w:rsidRDefault="003E0419" w:rsidP="003E0419">
      <w:pPr>
        <w:spacing w:after="0" w:line="276" w:lineRule="auto"/>
        <w:jc w:val="both"/>
        <w:rPr>
          <w:rFonts w:ascii="Times New Roman" w:hAnsi="Times New Roman" w:cs="Times New Roman"/>
          <w:b/>
        </w:rPr>
      </w:pPr>
      <w:r>
        <w:rPr>
          <w:noProof/>
          <w:lang w:val="en-US"/>
        </w:rPr>
        <w:drawing>
          <wp:inline distT="0" distB="0" distL="0" distR="0" wp14:anchorId="25254D66" wp14:editId="2316F994">
            <wp:extent cx="6120130" cy="387477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F1F3EB" w14:textId="77777777" w:rsidR="003E0419" w:rsidRPr="00AD0BE7" w:rsidRDefault="003E0419" w:rsidP="003E0419">
      <w:pPr>
        <w:spacing w:after="0" w:line="276" w:lineRule="auto"/>
        <w:jc w:val="both"/>
        <w:rPr>
          <w:rFonts w:ascii="Times New Roman" w:hAnsi="Times New Roman" w:cs="Times New Roman"/>
          <w:sz w:val="20"/>
          <w:szCs w:val="20"/>
        </w:rPr>
      </w:pPr>
      <w:r w:rsidRPr="00AD0BE7">
        <w:rPr>
          <w:rFonts w:ascii="Times New Roman" w:hAnsi="Times New Roman" w:cs="Times New Roman"/>
          <w:sz w:val="20"/>
          <w:szCs w:val="20"/>
        </w:rPr>
        <w:t>Kilde: Grønlands Statistik.</w:t>
      </w:r>
    </w:p>
    <w:p w14:paraId="68272B07" w14:textId="77777777" w:rsidR="003E0419" w:rsidRPr="00264B10" w:rsidRDefault="003E0419" w:rsidP="003E0419">
      <w:pPr>
        <w:spacing w:after="0" w:line="276" w:lineRule="auto"/>
        <w:jc w:val="both"/>
        <w:rPr>
          <w:rFonts w:ascii="Times New Roman" w:hAnsi="Times New Roman" w:cs="Times New Roman"/>
        </w:rPr>
      </w:pPr>
    </w:p>
    <w:p w14:paraId="41AA8F46" w14:textId="77777777" w:rsidR="003E0419" w:rsidRDefault="003E0419" w:rsidP="003E0419">
      <w:pPr>
        <w:spacing w:after="0" w:line="276" w:lineRule="auto"/>
        <w:jc w:val="both"/>
        <w:rPr>
          <w:rFonts w:ascii="Times New Roman" w:hAnsi="Times New Roman" w:cs="Times New Roman"/>
        </w:rPr>
      </w:pPr>
      <w:r w:rsidRPr="00264B10">
        <w:rPr>
          <w:rFonts w:ascii="Times New Roman" w:hAnsi="Times New Roman" w:cs="Times New Roman"/>
        </w:rPr>
        <w:t>Rejefabrikkerne beskæftiger sig udelukkende med produktion af kogte og pillede rejer (C&amp;P). C&amp;P kan betragtes som halvfabrikata</w:t>
      </w:r>
      <w:r>
        <w:rPr>
          <w:rFonts w:ascii="Times New Roman" w:hAnsi="Times New Roman" w:cs="Times New Roman"/>
        </w:rPr>
        <w:t>,</w:t>
      </w:r>
      <w:r w:rsidRPr="00264B10">
        <w:rPr>
          <w:rFonts w:ascii="Times New Roman" w:hAnsi="Times New Roman" w:cs="Times New Roman"/>
        </w:rPr>
        <w:t xml:space="preserve"> som</w:t>
      </w:r>
      <w:r>
        <w:rPr>
          <w:rFonts w:ascii="Times New Roman" w:hAnsi="Times New Roman" w:cs="Times New Roman"/>
        </w:rPr>
        <w:t xml:space="preserve"> i første omgang</w:t>
      </w:r>
      <w:r w:rsidRPr="00264B10">
        <w:rPr>
          <w:rFonts w:ascii="Times New Roman" w:hAnsi="Times New Roman" w:cs="Times New Roman"/>
        </w:rPr>
        <w:t xml:space="preserve"> eksporteres til Danmark</w:t>
      </w:r>
      <w:r>
        <w:rPr>
          <w:rFonts w:ascii="Times New Roman" w:hAnsi="Times New Roman" w:cs="Times New Roman"/>
        </w:rPr>
        <w:t xml:space="preserve"> og Tyskland</w:t>
      </w:r>
      <w:r w:rsidRPr="00264B10">
        <w:rPr>
          <w:rFonts w:ascii="Times New Roman" w:hAnsi="Times New Roman" w:cs="Times New Roman"/>
        </w:rPr>
        <w:t xml:space="preserve">, hvor de </w:t>
      </w:r>
      <w:r>
        <w:rPr>
          <w:rFonts w:ascii="Times New Roman" w:hAnsi="Times New Roman" w:cs="Times New Roman"/>
        </w:rPr>
        <w:t>primært</w:t>
      </w:r>
      <w:r w:rsidRPr="00264B10">
        <w:rPr>
          <w:rFonts w:ascii="Times New Roman" w:hAnsi="Times New Roman" w:cs="Times New Roman"/>
        </w:rPr>
        <w:t xml:space="preserve"> ompakkes</w:t>
      </w:r>
      <w:r>
        <w:rPr>
          <w:rFonts w:ascii="Times New Roman" w:hAnsi="Times New Roman" w:cs="Times New Roman"/>
        </w:rPr>
        <w:t xml:space="preserve"> inden de videreeksporteres</w:t>
      </w:r>
      <w:r w:rsidRPr="00264B10">
        <w:rPr>
          <w:rFonts w:ascii="Times New Roman" w:hAnsi="Times New Roman" w:cs="Times New Roman"/>
        </w:rPr>
        <w:t>. Råvaretilgang til rejefabrikkerne består af indhandling af rå, isede rejer fra den kystnære flåde uden produktion, og</w:t>
      </w:r>
      <w:r>
        <w:rPr>
          <w:rFonts w:ascii="Times New Roman" w:hAnsi="Times New Roman" w:cs="Times New Roman"/>
        </w:rPr>
        <w:t xml:space="preserve"> af</w:t>
      </w:r>
      <w:r w:rsidRPr="00264B10">
        <w:rPr>
          <w:rFonts w:ascii="Times New Roman" w:hAnsi="Times New Roman" w:cs="Times New Roman"/>
        </w:rPr>
        <w:t xml:space="preserve"> indhandlingspligtige frosne </w:t>
      </w:r>
      <w:r>
        <w:rPr>
          <w:rFonts w:ascii="Times New Roman" w:hAnsi="Times New Roman" w:cs="Times New Roman"/>
        </w:rPr>
        <w:t>i</w:t>
      </w:r>
      <w:r w:rsidRPr="00264B10">
        <w:rPr>
          <w:rFonts w:ascii="Times New Roman" w:hAnsi="Times New Roman" w:cs="Times New Roman"/>
        </w:rPr>
        <w:t xml:space="preserve">ndustrirejer fra fartøjer med egen produktion. </w:t>
      </w:r>
    </w:p>
    <w:p w14:paraId="47474134" w14:textId="77777777" w:rsidR="003E0419" w:rsidRDefault="003E0419" w:rsidP="00A21B75">
      <w:pPr>
        <w:spacing w:after="0" w:line="276" w:lineRule="auto"/>
        <w:rPr>
          <w:rFonts w:ascii="Times New Roman" w:hAnsi="Times New Roman" w:cs="Times New Roman"/>
          <w:b/>
          <w:color w:val="000000" w:themeColor="text1"/>
          <w:sz w:val="28"/>
          <w:szCs w:val="28"/>
        </w:rPr>
      </w:pPr>
    </w:p>
    <w:p w14:paraId="139D3A64" w14:textId="3CDDC522" w:rsidR="003E0419" w:rsidRDefault="003E0419" w:rsidP="00A21B75">
      <w:pPr>
        <w:spacing w:after="0" w:line="276" w:lineRule="auto"/>
        <w:rPr>
          <w:rFonts w:ascii="Times New Roman" w:hAnsi="Times New Roman" w:cs="Times New Roman"/>
          <w:b/>
          <w:color w:val="000000" w:themeColor="text1"/>
          <w:sz w:val="28"/>
          <w:szCs w:val="28"/>
        </w:rPr>
      </w:pPr>
    </w:p>
    <w:p w14:paraId="22E08F7B" w14:textId="0AB52595" w:rsidR="00082B90" w:rsidRDefault="00082B90" w:rsidP="00A21B75">
      <w:pPr>
        <w:spacing w:after="0" w:line="276" w:lineRule="auto"/>
        <w:rPr>
          <w:rFonts w:ascii="Times New Roman" w:hAnsi="Times New Roman" w:cs="Times New Roman"/>
          <w:b/>
          <w:color w:val="000000" w:themeColor="text1"/>
          <w:sz w:val="28"/>
          <w:szCs w:val="28"/>
        </w:rPr>
      </w:pPr>
    </w:p>
    <w:p w14:paraId="626F7A54" w14:textId="77777777" w:rsidR="00082B90" w:rsidRDefault="00082B90" w:rsidP="00A21B75">
      <w:pPr>
        <w:spacing w:after="0" w:line="276" w:lineRule="auto"/>
        <w:rPr>
          <w:rFonts w:ascii="Times New Roman" w:hAnsi="Times New Roman" w:cs="Times New Roman"/>
          <w:b/>
          <w:color w:val="000000" w:themeColor="text1"/>
          <w:sz w:val="28"/>
          <w:szCs w:val="28"/>
        </w:rPr>
      </w:pPr>
    </w:p>
    <w:p w14:paraId="11D5C148" w14:textId="77777777" w:rsidR="0037026C" w:rsidRPr="00431F26" w:rsidRDefault="00236B2A" w:rsidP="00A21B75">
      <w:pPr>
        <w:spacing w:after="0"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r w:rsidR="003E0419">
        <w:rPr>
          <w:rFonts w:ascii="Times New Roman" w:hAnsi="Times New Roman" w:cs="Times New Roman"/>
          <w:b/>
          <w:color w:val="000000" w:themeColor="text1"/>
          <w:sz w:val="28"/>
          <w:szCs w:val="28"/>
        </w:rPr>
        <w:t xml:space="preserve">. </w:t>
      </w:r>
      <w:r w:rsidR="0037026C" w:rsidRPr="00431F26">
        <w:rPr>
          <w:rFonts w:ascii="Times New Roman" w:hAnsi="Times New Roman" w:cs="Times New Roman"/>
          <w:b/>
          <w:color w:val="000000" w:themeColor="text1"/>
          <w:sz w:val="28"/>
          <w:szCs w:val="28"/>
        </w:rPr>
        <w:t>Udvikling i økonomien i rejeflåden</w:t>
      </w:r>
    </w:p>
    <w:p w14:paraId="5064AE6A" w14:textId="05335AAF" w:rsidR="0037026C" w:rsidRPr="008A57DA" w:rsidRDefault="0037026C" w:rsidP="00241DBF">
      <w:pPr>
        <w:spacing w:after="0" w:line="276" w:lineRule="auto"/>
        <w:jc w:val="both"/>
        <w:rPr>
          <w:rFonts w:ascii="Times New Roman" w:hAnsi="Times New Roman" w:cs="Times New Roman"/>
        </w:rPr>
      </w:pPr>
      <w:r w:rsidRPr="008A57DA">
        <w:rPr>
          <w:rFonts w:ascii="Times New Roman" w:hAnsi="Times New Roman" w:cs="Times New Roman"/>
        </w:rPr>
        <w:t xml:space="preserve">IOK-systemet </w:t>
      </w:r>
      <w:r w:rsidR="00CE51C5">
        <w:rPr>
          <w:rFonts w:ascii="Times New Roman" w:hAnsi="Times New Roman" w:cs="Times New Roman"/>
        </w:rPr>
        <w:t xml:space="preserve">har </w:t>
      </w:r>
      <w:r w:rsidRPr="008A57DA">
        <w:rPr>
          <w:rFonts w:ascii="Times New Roman" w:hAnsi="Times New Roman" w:cs="Times New Roman"/>
        </w:rPr>
        <w:t xml:space="preserve">i betydelig grad øget det samfundsmæssige </w:t>
      </w:r>
      <w:r w:rsidR="00074C00">
        <w:rPr>
          <w:rFonts w:ascii="Times New Roman" w:hAnsi="Times New Roman" w:cs="Times New Roman"/>
        </w:rPr>
        <w:t xml:space="preserve">økonomiske </w:t>
      </w:r>
      <w:r w:rsidRPr="008A57DA">
        <w:rPr>
          <w:rFonts w:ascii="Times New Roman" w:hAnsi="Times New Roman" w:cs="Times New Roman"/>
        </w:rPr>
        <w:t>udbytte</w:t>
      </w:r>
      <w:r>
        <w:rPr>
          <w:rFonts w:ascii="Times New Roman" w:hAnsi="Times New Roman" w:cs="Times New Roman"/>
        </w:rPr>
        <w:t xml:space="preserve"> i rejefiskeriet</w:t>
      </w:r>
      <w:r w:rsidRPr="008A57DA">
        <w:rPr>
          <w:rFonts w:ascii="Times New Roman" w:hAnsi="Times New Roman" w:cs="Times New Roman"/>
        </w:rPr>
        <w:t xml:space="preserve">. </w:t>
      </w:r>
      <w:r>
        <w:rPr>
          <w:rFonts w:ascii="Times New Roman" w:hAnsi="Times New Roman" w:cs="Times New Roman"/>
        </w:rPr>
        <w:t>Det er siden indførelsen af IOK sket betydelig kapacitetstilpasning</w:t>
      </w:r>
      <w:r w:rsidRPr="008A57DA">
        <w:rPr>
          <w:rFonts w:ascii="Times New Roman" w:hAnsi="Times New Roman" w:cs="Times New Roman"/>
        </w:rPr>
        <w:t xml:space="preserve"> i fiskerflåden </w:t>
      </w:r>
      <w:r>
        <w:rPr>
          <w:rFonts w:ascii="Times New Roman" w:hAnsi="Times New Roman" w:cs="Times New Roman"/>
        </w:rPr>
        <w:t>med stigende kvotegrundlag for det enkelte fartøj samt tilhørende stigning i rentabiliteten. F</w:t>
      </w:r>
      <w:r w:rsidRPr="008A57DA">
        <w:rPr>
          <w:rFonts w:ascii="Times New Roman" w:hAnsi="Times New Roman" w:cs="Times New Roman"/>
        </w:rPr>
        <w:t xml:space="preserve">iskeriet er antagelig tæt på at foregå så økonomisk effektivt som muligt. Det eksisterende IOK-system </w:t>
      </w:r>
      <w:r>
        <w:rPr>
          <w:rFonts w:ascii="Times New Roman" w:hAnsi="Times New Roman" w:cs="Times New Roman"/>
        </w:rPr>
        <w:t xml:space="preserve">har </w:t>
      </w:r>
      <w:r w:rsidRPr="008A57DA">
        <w:rPr>
          <w:rFonts w:ascii="Times New Roman" w:hAnsi="Times New Roman" w:cs="Times New Roman"/>
        </w:rPr>
        <w:t>stort set fungeret efter hensigten og har været i stand til at skabe den ønskede udvikling</w:t>
      </w:r>
      <w:r>
        <w:rPr>
          <w:rFonts w:ascii="Times New Roman" w:hAnsi="Times New Roman" w:cs="Times New Roman"/>
        </w:rPr>
        <w:t xml:space="preserve"> i effektivitet</w:t>
      </w:r>
      <w:r w:rsidRPr="008A57DA">
        <w:rPr>
          <w:rFonts w:ascii="Times New Roman" w:hAnsi="Times New Roman" w:cs="Times New Roman"/>
        </w:rPr>
        <w:t xml:space="preserve"> i fiskeriet</w:t>
      </w:r>
      <w:r>
        <w:rPr>
          <w:rFonts w:ascii="Times New Roman" w:hAnsi="Times New Roman" w:cs="Times New Roman"/>
        </w:rPr>
        <w:t>.</w:t>
      </w:r>
    </w:p>
    <w:p w14:paraId="4183E862" w14:textId="1005C297" w:rsidR="0037026C" w:rsidRDefault="0037026C" w:rsidP="00720DFD">
      <w:pPr>
        <w:spacing w:after="0" w:line="276" w:lineRule="auto"/>
        <w:jc w:val="both"/>
        <w:rPr>
          <w:rFonts w:ascii="Times New Roman" w:hAnsi="Times New Roman" w:cs="Times New Roman"/>
          <w:b/>
          <w:color w:val="000000" w:themeColor="text1"/>
          <w:sz w:val="24"/>
          <w:szCs w:val="24"/>
        </w:rPr>
      </w:pPr>
    </w:p>
    <w:p w14:paraId="6C318A37" w14:textId="573BFCCA" w:rsidR="003C3DB2" w:rsidRPr="00E24F47" w:rsidRDefault="003C3DB2" w:rsidP="003C3DB2">
      <w:pPr>
        <w:spacing w:after="0" w:line="276" w:lineRule="auto"/>
        <w:jc w:val="both"/>
        <w:rPr>
          <w:rFonts w:ascii="Times New Roman" w:hAnsi="Times New Roman" w:cs="Times New Roman"/>
          <w:i/>
          <w:color w:val="000000" w:themeColor="text1"/>
          <w:sz w:val="24"/>
          <w:szCs w:val="24"/>
        </w:rPr>
      </w:pPr>
      <w:r w:rsidRPr="00E24F47">
        <w:rPr>
          <w:rFonts w:ascii="Times New Roman" w:hAnsi="Times New Roman" w:cs="Times New Roman"/>
          <w:i/>
          <w:color w:val="000000" w:themeColor="text1"/>
          <w:sz w:val="24"/>
          <w:szCs w:val="24"/>
        </w:rPr>
        <w:t xml:space="preserve">Udvikling i rejepriserne </w:t>
      </w:r>
    </w:p>
    <w:p w14:paraId="063742BC" w14:textId="77777777" w:rsidR="00646809" w:rsidRDefault="00646809" w:rsidP="003C3DB2">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Det har været en meget stor stigning i priserne på rejer sidste 10 år hvilket har bidraget til at øge rentabiliteten i rejefiskeriet og rejeproduktionen i land. </w:t>
      </w:r>
    </w:p>
    <w:p w14:paraId="1E55D8A6" w14:textId="77777777" w:rsidR="00646809" w:rsidRDefault="00646809" w:rsidP="003C3DB2">
      <w:pPr>
        <w:spacing w:after="0" w:line="276" w:lineRule="auto"/>
        <w:jc w:val="both"/>
        <w:rPr>
          <w:rFonts w:ascii="Times New Roman" w:hAnsi="Times New Roman" w:cs="Times New Roman"/>
          <w:color w:val="000000" w:themeColor="text1"/>
        </w:rPr>
      </w:pPr>
    </w:p>
    <w:p w14:paraId="335DA694" w14:textId="590B3750" w:rsidR="00646809" w:rsidRPr="00E24F47" w:rsidRDefault="00646809" w:rsidP="003C3DB2">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Figur 7 viser udviklingen i eksportpriserne for skalrejer og kogte og pillede rejer samt indhandlingsprisen på rejer. </w:t>
      </w:r>
    </w:p>
    <w:p w14:paraId="5F9B4EC5" w14:textId="77777777" w:rsidR="00646809" w:rsidRPr="00646809" w:rsidRDefault="00646809" w:rsidP="003C3DB2">
      <w:pPr>
        <w:spacing w:after="0" w:line="276" w:lineRule="auto"/>
        <w:jc w:val="both"/>
        <w:rPr>
          <w:rFonts w:ascii="Times New Roman" w:hAnsi="Times New Roman" w:cs="Times New Roman"/>
          <w:color w:val="000000" w:themeColor="text1"/>
        </w:rPr>
      </w:pPr>
    </w:p>
    <w:p w14:paraId="60B410FD" w14:textId="127EBD9D" w:rsidR="00646809" w:rsidRDefault="00646809" w:rsidP="00E24F47">
      <w:pPr>
        <w:spacing w:after="0" w:line="276" w:lineRule="auto"/>
        <w:rPr>
          <w:rFonts w:ascii="Times New Roman" w:hAnsi="Times New Roman" w:cs="Times New Roman"/>
          <w:b/>
        </w:rPr>
      </w:pPr>
      <w:r>
        <w:rPr>
          <w:rFonts w:ascii="Times New Roman" w:hAnsi="Times New Roman" w:cs="Times New Roman"/>
          <w:b/>
        </w:rPr>
        <w:t>Figur 7</w:t>
      </w:r>
      <w:r w:rsidRPr="007A06DA">
        <w:rPr>
          <w:rFonts w:ascii="Times New Roman" w:hAnsi="Times New Roman" w:cs="Times New Roman"/>
          <w:b/>
        </w:rPr>
        <w:t xml:space="preserve">: Udvikling </w:t>
      </w:r>
      <w:r>
        <w:rPr>
          <w:rFonts w:ascii="Times New Roman" w:hAnsi="Times New Roman" w:cs="Times New Roman"/>
          <w:b/>
        </w:rPr>
        <w:t>priserne på rejer 2010-2020</w:t>
      </w:r>
      <w:r w:rsidRPr="007A06DA">
        <w:rPr>
          <w:rFonts w:ascii="Times New Roman" w:hAnsi="Times New Roman" w:cs="Times New Roman"/>
          <w:b/>
        </w:rPr>
        <w:t>.</w:t>
      </w:r>
    </w:p>
    <w:p w14:paraId="7A3BE2C6" w14:textId="77777777" w:rsidR="00646809" w:rsidRPr="00360ACC" w:rsidRDefault="00646809" w:rsidP="003C3DB2">
      <w:pPr>
        <w:spacing w:after="0" w:line="276" w:lineRule="auto"/>
        <w:jc w:val="both"/>
        <w:rPr>
          <w:rFonts w:ascii="Times New Roman" w:hAnsi="Times New Roman" w:cs="Times New Roman"/>
          <w:i/>
          <w:color w:val="000000" w:themeColor="text1"/>
        </w:rPr>
      </w:pPr>
    </w:p>
    <w:p w14:paraId="4806E7BB" w14:textId="1C07DE36" w:rsidR="003C3DB2" w:rsidRDefault="00646809" w:rsidP="00720DFD">
      <w:pPr>
        <w:spacing w:after="0" w:line="276" w:lineRule="auto"/>
        <w:jc w:val="both"/>
        <w:rPr>
          <w:rFonts w:ascii="Times New Roman" w:hAnsi="Times New Roman" w:cs="Times New Roman"/>
          <w:b/>
          <w:color w:val="000000" w:themeColor="text1"/>
          <w:sz w:val="24"/>
          <w:szCs w:val="24"/>
        </w:rPr>
      </w:pPr>
      <w:r>
        <w:rPr>
          <w:noProof/>
          <w:lang w:val="en-US"/>
        </w:rPr>
        <w:drawing>
          <wp:inline distT="0" distB="0" distL="0" distR="0" wp14:anchorId="74E48C2D" wp14:editId="45DFB14F">
            <wp:extent cx="6096000" cy="4333876"/>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330769" w14:textId="25B0E60B" w:rsidR="00C53B26" w:rsidRDefault="00C53B26" w:rsidP="00C53B26">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Kilde: Grønlands Statistik.</w:t>
      </w:r>
    </w:p>
    <w:p w14:paraId="0E760D8A" w14:textId="2694FB12" w:rsidR="003D425E" w:rsidRDefault="003D425E" w:rsidP="00C53B26">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Note: Indhandlingsprisen på rejer består af både isede og frosne rejer som landes til rejefabrikkerne.</w:t>
      </w:r>
    </w:p>
    <w:p w14:paraId="66C4124B" w14:textId="77777777" w:rsidR="00C53B26" w:rsidRPr="00E24F47" w:rsidRDefault="00C53B26" w:rsidP="00C53B26">
      <w:pPr>
        <w:spacing w:after="0" w:line="276" w:lineRule="auto"/>
        <w:jc w:val="both"/>
        <w:rPr>
          <w:rFonts w:ascii="Times New Roman" w:hAnsi="Times New Roman" w:cs="Times New Roman"/>
          <w:color w:val="000000" w:themeColor="text1"/>
          <w:sz w:val="20"/>
          <w:szCs w:val="20"/>
        </w:rPr>
      </w:pPr>
    </w:p>
    <w:p w14:paraId="3EED0353" w14:textId="47E49DB2" w:rsidR="00C53B26" w:rsidRDefault="00C53B26" w:rsidP="00C53B26">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Det fremgår af figur 7 at i perioden 2010 til 2015 steg eksportpriserne på skalrejer og kogte og pillede rejer med hhv. 138 pct. og 136 pct. Indhandlingsprisen på rejer i samme periode fulgte ikke med prisstigningen på eksport hvor den steg med 44 pct. svarende til 1/3 del af prisstigningen på eksport. I perioden fra 2015 har </w:t>
      </w:r>
      <w:r>
        <w:rPr>
          <w:rFonts w:ascii="Times New Roman" w:hAnsi="Times New Roman" w:cs="Times New Roman"/>
          <w:color w:val="000000" w:themeColor="text1"/>
        </w:rPr>
        <w:lastRenderedPageBreak/>
        <w:t xml:space="preserve">prisen på skalrejer ligget relativ højt men har været faldende fra 2018. Og særligt i 2020 under </w:t>
      </w:r>
      <w:proofErr w:type="gramStart"/>
      <w:r>
        <w:rPr>
          <w:rFonts w:ascii="Times New Roman" w:hAnsi="Times New Roman" w:cs="Times New Roman"/>
          <w:color w:val="000000" w:themeColor="text1"/>
        </w:rPr>
        <w:t>COVID epidemien</w:t>
      </w:r>
      <w:proofErr w:type="gramEnd"/>
      <w:r>
        <w:rPr>
          <w:rFonts w:ascii="Times New Roman" w:hAnsi="Times New Roman" w:cs="Times New Roman"/>
          <w:color w:val="000000" w:themeColor="text1"/>
        </w:rPr>
        <w:t>. Prisen på kogte og pillede rejer faldt betydeligt i perioden 2015-2017 hvorefter den steg betydeligt fra 2017 til starten af 2019. Prisen på kogte og pillede rejer har været faldende siden og særligt i 2020.</w:t>
      </w:r>
    </w:p>
    <w:p w14:paraId="288289F6" w14:textId="300DF4E6" w:rsidR="00C53B26" w:rsidRDefault="00C53B26" w:rsidP="00C53B26">
      <w:pPr>
        <w:spacing w:after="0" w:line="276" w:lineRule="auto"/>
        <w:jc w:val="both"/>
        <w:rPr>
          <w:rFonts w:ascii="Times New Roman" w:hAnsi="Times New Roman" w:cs="Times New Roman"/>
          <w:color w:val="000000" w:themeColor="text1"/>
        </w:rPr>
      </w:pPr>
    </w:p>
    <w:p w14:paraId="2278F818" w14:textId="113D1274" w:rsidR="00C53B26" w:rsidRDefault="00C53B26" w:rsidP="00C53B26">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Prisen på indhandlede rejer har ligget relativ</w:t>
      </w:r>
      <w:r w:rsidR="00CE51C5">
        <w:rPr>
          <w:rFonts w:ascii="Times New Roman" w:hAnsi="Times New Roman" w:cs="Times New Roman"/>
          <w:color w:val="000000" w:themeColor="text1"/>
        </w:rPr>
        <w:t>t</w:t>
      </w:r>
      <w:r>
        <w:rPr>
          <w:rFonts w:ascii="Times New Roman" w:hAnsi="Times New Roman" w:cs="Times New Roman"/>
          <w:color w:val="000000" w:themeColor="text1"/>
        </w:rPr>
        <w:t xml:space="preserve"> stabilt fra 2015-2017. Fra 2017 til 2019 steg prisen en del hvor den var på det højeste niveau i 2019 sidste 10 år. Som med eksportpriserne har COVID epidemien haft negative konsekvenser for indhandlingsprisen på rejer i 2020.</w:t>
      </w:r>
    </w:p>
    <w:p w14:paraId="1CD30B06" w14:textId="77777777" w:rsidR="00C53B26" w:rsidRDefault="00C53B26" w:rsidP="008F260E">
      <w:pPr>
        <w:spacing w:after="0" w:line="276" w:lineRule="auto"/>
        <w:jc w:val="both"/>
        <w:rPr>
          <w:rFonts w:ascii="Times New Roman" w:hAnsi="Times New Roman" w:cs="Times New Roman"/>
          <w:i/>
          <w:color w:val="000000" w:themeColor="text1"/>
        </w:rPr>
      </w:pPr>
    </w:p>
    <w:p w14:paraId="7C76C333" w14:textId="1E2AAA37" w:rsidR="0037026C" w:rsidRPr="00E24F47" w:rsidRDefault="0037026C" w:rsidP="008F260E">
      <w:pPr>
        <w:spacing w:after="0" w:line="276" w:lineRule="auto"/>
        <w:jc w:val="both"/>
        <w:rPr>
          <w:rFonts w:ascii="Times New Roman" w:hAnsi="Times New Roman" w:cs="Times New Roman"/>
          <w:i/>
          <w:color w:val="000000" w:themeColor="text1"/>
          <w:sz w:val="24"/>
          <w:szCs w:val="24"/>
        </w:rPr>
      </w:pPr>
      <w:r w:rsidRPr="00E24F47">
        <w:rPr>
          <w:rFonts w:ascii="Times New Roman" w:hAnsi="Times New Roman" w:cs="Times New Roman"/>
          <w:i/>
          <w:color w:val="000000" w:themeColor="text1"/>
          <w:sz w:val="24"/>
          <w:szCs w:val="24"/>
        </w:rPr>
        <w:t>Økonomien i reje</w:t>
      </w:r>
      <w:r w:rsidR="00BC7384">
        <w:rPr>
          <w:rFonts w:ascii="Times New Roman" w:hAnsi="Times New Roman" w:cs="Times New Roman"/>
          <w:i/>
          <w:color w:val="000000" w:themeColor="text1"/>
          <w:sz w:val="24"/>
          <w:szCs w:val="24"/>
        </w:rPr>
        <w:t>sektoren</w:t>
      </w:r>
    </w:p>
    <w:p w14:paraId="732B864B" w14:textId="65D0D41F" w:rsidR="0037026C" w:rsidRDefault="0037026C" w:rsidP="00E24F47">
      <w:pPr>
        <w:spacing w:after="0" w:line="276" w:lineRule="auto"/>
        <w:jc w:val="both"/>
        <w:rPr>
          <w:rFonts w:ascii="Times New Roman" w:hAnsi="Times New Roman" w:cs="Times New Roman"/>
        </w:rPr>
      </w:pPr>
      <w:r w:rsidRPr="008A57DA">
        <w:rPr>
          <w:rFonts w:ascii="Times New Roman" w:hAnsi="Times New Roman" w:cs="Times New Roman"/>
        </w:rPr>
        <w:t>I starten af 1990 var rejefiskeriet</w:t>
      </w:r>
      <w:r>
        <w:rPr>
          <w:rFonts w:ascii="Times New Roman" w:hAnsi="Times New Roman" w:cs="Times New Roman"/>
        </w:rPr>
        <w:t xml:space="preserve"> med få undtagelser en ren</w:t>
      </w:r>
      <w:r w:rsidRPr="008A57DA">
        <w:rPr>
          <w:rFonts w:ascii="Times New Roman" w:hAnsi="Times New Roman" w:cs="Times New Roman"/>
        </w:rPr>
        <w:t xml:space="preserve"> underskudsforretning</w:t>
      </w:r>
      <w:r>
        <w:rPr>
          <w:rFonts w:ascii="Times New Roman" w:hAnsi="Times New Roman" w:cs="Times New Roman"/>
        </w:rPr>
        <w:t xml:space="preserve">. Ud over den lave rentabilitet var der meget </w:t>
      </w:r>
      <w:r w:rsidRPr="008A57DA">
        <w:rPr>
          <w:rFonts w:ascii="Times New Roman" w:hAnsi="Times New Roman" w:cs="Times New Roman"/>
        </w:rPr>
        <w:t>høj gældsætning</w:t>
      </w:r>
      <w:r>
        <w:rPr>
          <w:rFonts w:ascii="Times New Roman" w:hAnsi="Times New Roman" w:cs="Times New Roman"/>
        </w:rPr>
        <w:t xml:space="preserve"> i rejeerhvervet</w:t>
      </w:r>
      <w:r w:rsidR="00431F26">
        <w:rPr>
          <w:rFonts w:ascii="Times New Roman" w:hAnsi="Times New Roman" w:cs="Times New Roman"/>
        </w:rPr>
        <w:t>. Indførelsen af IOK</w:t>
      </w:r>
      <w:r w:rsidRPr="008A57DA">
        <w:rPr>
          <w:rFonts w:ascii="Times New Roman" w:hAnsi="Times New Roman" w:cs="Times New Roman"/>
        </w:rPr>
        <w:t xml:space="preserve"> sammen med kvotering af rejefiskeri</w:t>
      </w:r>
      <w:r>
        <w:rPr>
          <w:rFonts w:ascii="Times New Roman" w:hAnsi="Times New Roman" w:cs="Times New Roman"/>
        </w:rPr>
        <w:t xml:space="preserve"> og tilhørende kapacitetstilpasning</w:t>
      </w:r>
      <w:r w:rsidRPr="008A57DA">
        <w:rPr>
          <w:rFonts w:ascii="Times New Roman" w:hAnsi="Times New Roman" w:cs="Times New Roman"/>
        </w:rPr>
        <w:t xml:space="preserve"> har bidraget til en betydelige stigning i rentabiliteten over tid. </w:t>
      </w:r>
      <w:r>
        <w:rPr>
          <w:rFonts w:ascii="Times New Roman" w:hAnsi="Times New Roman" w:cs="Times New Roman"/>
        </w:rPr>
        <w:t>Der er manglende historiske informationer om i økonomien i rejeflåden, hvorfor de</w:t>
      </w:r>
      <w:r w:rsidR="00EA4D35">
        <w:rPr>
          <w:rFonts w:ascii="Times New Roman" w:hAnsi="Times New Roman" w:cs="Times New Roman"/>
        </w:rPr>
        <w:t>r</w:t>
      </w:r>
      <w:r>
        <w:rPr>
          <w:rFonts w:ascii="Times New Roman" w:hAnsi="Times New Roman" w:cs="Times New Roman"/>
        </w:rPr>
        <w:t xml:space="preserve"> kan ikke fremstilles en sammenhængende tidsserie over udviklingen i rejeflådens rentabilitet. </w:t>
      </w:r>
      <w:r w:rsidR="0091517A">
        <w:rPr>
          <w:rFonts w:ascii="Times New Roman" w:hAnsi="Times New Roman" w:cs="Times New Roman"/>
        </w:rPr>
        <w:t xml:space="preserve">Tabel 4 viser økonomien i rejesektoren i udvalgte år. Tabellen er udarbejdet på grundlag af økonomiske oplysninger som erhvervet er forpligtige til at indberette til GFLK pr. driftsenhed (fartøjer og fabrikker) pr. år. I forbindelse med indberetninger af økonomiske oplysninger for fartøjer var det første år 2013 men 2017 for fabrikkerne. </w:t>
      </w:r>
    </w:p>
    <w:p w14:paraId="4D6AD37C" w14:textId="1A182C2F" w:rsidR="0091517A" w:rsidRDefault="0091517A" w:rsidP="00E24F47">
      <w:pPr>
        <w:spacing w:after="0" w:line="276" w:lineRule="auto"/>
        <w:jc w:val="both"/>
        <w:rPr>
          <w:rFonts w:ascii="Times New Roman" w:hAnsi="Times New Roman" w:cs="Times New Roman"/>
        </w:rPr>
      </w:pPr>
    </w:p>
    <w:p w14:paraId="2C63BED3" w14:textId="1C3D5CE0" w:rsidR="0091517A" w:rsidRPr="008B4ABF" w:rsidRDefault="0091517A" w:rsidP="00E24F47">
      <w:pPr>
        <w:spacing w:after="0" w:line="276" w:lineRule="auto"/>
        <w:jc w:val="both"/>
        <w:rPr>
          <w:rFonts w:ascii="Times New Roman" w:hAnsi="Times New Roman" w:cs="Times New Roman"/>
          <w:b/>
        </w:rPr>
      </w:pPr>
      <w:r w:rsidRPr="008B4ABF">
        <w:rPr>
          <w:rFonts w:ascii="Times New Roman" w:hAnsi="Times New Roman" w:cs="Times New Roman"/>
          <w:b/>
        </w:rPr>
        <w:t>Tabel 4: Økonomien i rejesektoren i udvalgte år 2013-2019.</w:t>
      </w:r>
    </w:p>
    <w:tbl>
      <w:tblPr>
        <w:tblW w:w="5000" w:type="pct"/>
        <w:tblCellMar>
          <w:left w:w="70" w:type="dxa"/>
          <w:right w:w="70" w:type="dxa"/>
        </w:tblCellMar>
        <w:tblLook w:val="04A0" w:firstRow="1" w:lastRow="0" w:firstColumn="1" w:lastColumn="0" w:noHBand="0" w:noVBand="1"/>
      </w:tblPr>
      <w:tblGrid>
        <w:gridCol w:w="3785"/>
        <w:gridCol w:w="1461"/>
        <w:gridCol w:w="1462"/>
        <w:gridCol w:w="1462"/>
        <w:gridCol w:w="1458"/>
      </w:tblGrid>
      <w:tr w:rsidR="0091517A" w:rsidRPr="0091517A" w14:paraId="6E6D2C55" w14:textId="77777777" w:rsidTr="00E24F47">
        <w:trPr>
          <w:trHeight w:val="300"/>
        </w:trPr>
        <w:tc>
          <w:tcPr>
            <w:tcW w:w="1706" w:type="pct"/>
            <w:tcBorders>
              <w:top w:val="single" w:sz="4" w:space="0" w:color="auto"/>
              <w:left w:val="single" w:sz="4" w:space="0" w:color="auto"/>
              <w:bottom w:val="nil"/>
              <w:right w:val="nil"/>
            </w:tcBorders>
            <w:shd w:val="clear" w:color="000000" w:fill="FFFFFF"/>
            <w:noWrap/>
            <w:vAlign w:val="bottom"/>
            <w:hideMark/>
          </w:tcPr>
          <w:p w14:paraId="73199BFD" w14:textId="77777777" w:rsidR="0091517A" w:rsidRPr="0091517A" w:rsidRDefault="0091517A" w:rsidP="0091517A">
            <w:pPr>
              <w:spacing w:after="0" w:line="240" w:lineRule="auto"/>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 </w:t>
            </w:r>
          </w:p>
        </w:tc>
        <w:tc>
          <w:tcPr>
            <w:tcW w:w="824" w:type="pct"/>
            <w:tcBorders>
              <w:top w:val="single" w:sz="4" w:space="0" w:color="auto"/>
              <w:left w:val="single" w:sz="4" w:space="0" w:color="auto"/>
              <w:bottom w:val="nil"/>
              <w:right w:val="single" w:sz="4" w:space="0" w:color="auto"/>
            </w:tcBorders>
            <w:shd w:val="clear" w:color="000000" w:fill="FFFFFF"/>
            <w:noWrap/>
            <w:vAlign w:val="bottom"/>
            <w:hideMark/>
          </w:tcPr>
          <w:p w14:paraId="38822302" w14:textId="0515B74D" w:rsidR="0091517A" w:rsidRPr="0091517A" w:rsidRDefault="0091517A" w:rsidP="0091517A">
            <w:pPr>
              <w:spacing w:after="0" w:line="240" w:lineRule="auto"/>
              <w:rPr>
                <w:rFonts w:ascii="Times New Roman" w:eastAsia="Times New Roman" w:hAnsi="Times New Roman" w:cs="Times New Roman"/>
                <w:color w:val="000000"/>
                <w:sz w:val="20"/>
                <w:szCs w:val="20"/>
                <w:lang w:eastAsia="da-DK"/>
              </w:rPr>
            </w:pPr>
          </w:p>
        </w:tc>
        <w:tc>
          <w:tcPr>
            <w:tcW w:w="824" w:type="pct"/>
            <w:tcBorders>
              <w:top w:val="single" w:sz="4" w:space="0" w:color="auto"/>
              <w:left w:val="nil"/>
              <w:bottom w:val="nil"/>
              <w:right w:val="single" w:sz="4" w:space="0" w:color="auto"/>
            </w:tcBorders>
            <w:shd w:val="clear" w:color="000000" w:fill="FFFFFF"/>
            <w:noWrap/>
            <w:vAlign w:val="bottom"/>
            <w:hideMark/>
          </w:tcPr>
          <w:p w14:paraId="7385E55B" w14:textId="5A4CB968" w:rsidR="0091517A" w:rsidRPr="0091517A" w:rsidRDefault="0091517A" w:rsidP="0091517A">
            <w:pPr>
              <w:spacing w:after="0" w:line="240" w:lineRule="auto"/>
              <w:rPr>
                <w:rFonts w:ascii="Times New Roman" w:eastAsia="Times New Roman" w:hAnsi="Times New Roman" w:cs="Times New Roman"/>
                <w:color w:val="000000"/>
                <w:sz w:val="20"/>
                <w:szCs w:val="20"/>
                <w:lang w:eastAsia="da-DK"/>
              </w:rPr>
            </w:pPr>
          </w:p>
        </w:tc>
        <w:tc>
          <w:tcPr>
            <w:tcW w:w="824" w:type="pct"/>
            <w:tcBorders>
              <w:top w:val="single" w:sz="4" w:space="0" w:color="auto"/>
              <w:left w:val="nil"/>
              <w:bottom w:val="nil"/>
              <w:right w:val="nil"/>
            </w:tcBorders>
            <w:shd w:val="clear" w:color="000000" w:fill="FFFFFF"/>
            <w:noWrap/>
            <w:vAlign w:val="bottom"/>
            <w:hideMark/>
          </w:tcPr>
          <w:p w14:paraId="72BCC7E5" w14:textId="59224DF3" w:rsidR="0091517A" w:rsidRPr="0091517A" w:rsidRDefault="0091517A" w:rsidP="0091517A">
            <w:pPr>
              <w:spacing w:after="0" w:line="240" w:lineRule="auto"/>
              <w:rPr>
                <w:rFonts w:ascii="Times New Roman" w:eastAsia="Times New Roman" w:hAnsi="Times New Roman" w:cs="Times New Roman"/>
                <w:color w:val="000000"/>
                <w:sz w:val="20"/>
                <w:szCs w:val="20"/>
                <w:lang w:eastAsia="da-DK"/>
              </w:rPr>
            </w:pPr>
          </w:p>
        </w:tc>
        <w:tc>
          <w:tcPr>
            <w:tcW w:w="824" w:type="pct"/>
            <w:tcBorders>
              <w:top w:val="single" w:sz="4" w:space="0" w:color="auto"/>
              <w:left w:val="single" w:sz="4" w:space="0" w:color="auto"/>
              <w:bottom w:val="nil"/>
              <w:right w:val="single" w:sz="4" w:space="0" w:color="auto"/>
            </w:tcBorders>
            <w:shd w:val="clear" w:color="000000" w:fill="FFFFFF"/>
            <w:noWrap/>
            <w:vAlign w:val="bottom"/>
            <w:hideMark/>
          </w:tcPr>
          <w:p w14:paraId="4F4D9580" w14:textId="79A8F6C7" w:rsidR="0091517A" w:rsidRPr="0091517A" w:rsidRDefault="0091517A" w:rsidP="0091517A">
            <w:pPr>
              <w:spacing w:after="0" w:line="240" w:lineRule="auto"/>
              <w:rPr>
                <w:rFonts w:ascii="Times New Roman" w:eastAsia="Times New Roman" w:hAnsi="Times New Roman" w:cs="Times New Roman"/>
                <w:color w:val="000000"/>
                <w:sz w:val="20"/>
                <w:szCs w:val="20"/>
                <w:lang w:eastAsia="da-DK"/>
              </w:rPr>
            </w:pPr>
          </w:p>
        </w:tc>
      </w:tr>
      <w:tr w:rsidR="0091517A" w:rsidRPr="0091517A" w14:paraId="4017869A" w14:textId="77777777" w:rsidTr="00E24F47">
        <w:trPr>
          <w:trHeight w:val="300"/>
        </w:trPr>
        <w:tc>
          <w:tcPr>
            <w:tcW w:w="1706" w:type="pct"/>
            <w:tcBorders>
              <w:top w:val="nil"/>
              <w:left w:val="single" w:sz="4" w:space="0" w:color="auto"/>
              <w:bottom w:val="single" w:sz="4" w:space="0" w:color="auto"/>
              <w:right w:val="nil"/>
            </w:tcBorders>
            <w:shd w:val="clear" w:color="000000" w:fill="FFFFFF"/>
            <w:noWrap/>
            <w:vAlign w:val="bottom"/>
            <w:hideMark/>
          </w:tcPr>
          <w:p w14:paraId="6D4ABB1A" w14:textId="77777777" w:rsidR="0091517A" w:rsidRPr="0091517A" w:rsidRDefault="0091517A" w:rsidP="0091517A">
            <w:pPr>
              <w:spacing w:after="0" w:line="240" w:lineRule="auto"/>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Mio.kr.</w:t>
            </w:r>
          </w:p>
        </w:tc>
        <w:tc>
          <w:tcPr>
            <w:tcW w:w="824" w:type="pct"/>
            <w:tcBorders>
              <w:top w:val="nil"/>
              <w:left w:val="single" w:sz="4" w:space="0" w:color="auto"/>
              <w:bottom w:val="single" w:sz="4" w:space="0" w:color="auto"/>
              <w:right w:val="single" w:sz="4" w:space="0" w:color="auto"/>
            </w:tcBorders>
            <w:shd w:val="clear" w:color="000000" w:fill="FFFFFF"/>
            <w:noWrap/>
            <w:vAlign w:val="bottom"/>
            <w:hideMark/>
          </w:tcPr>
          <w:p w14:paraId="66F8C8F5" w14:textId="77777777" w:rsidR="0091517A" w:rsidRPr="0091517A" w:rsidRDefault="0091517A" w:rsidP="0091517A">
            <w:pPr>
              <w:spacing w:after="0" w:line="240" w:lineRule="auto"/>
              <w:jc w:val="right"/>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2013</w:t>
            </w:r>
          </w:p>
        </w:tc>
        <w:tc>
          <w:tcPr>
            <w:tcW w:w="824" w:type="pct"/>
            <w:tcBorders>
              <w:top w:val="nil"/>
              <w:left w:val="nil"/>
              <w:bottom w:val="single" w:sz="4" w:space="0" w:color="auto"/>
              <w:right w:val="single" w:sz="4" w:space="0" w:color="auto"/>
            </w:tcBorders>
            <w:shd w:val="clear" w:color="000000" w:fill="FFFFFF"/>
            <w:noWrap/>
            <w:vAlign w:val="bottom"/>
            <w:hideMark/>
          </w:tcPr>
          <w:p w14:paraId="71424A39" w14:textId="77777777" w:rsidR="0091517A" w:rsidRPr="0091517A" w:rsidRDefault="0091517A" w:rsidP="0091517A">
            <w:pPr>
              <w:spacing w:after="0" w:line="240" w:lineRule="auto"/>
              <w:jc w:val="right"/>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2015</w:t>
            </w:r>
          </w:p>
        </w:tc>
        <w:tc>
          <w:tcPr>
            <w:tcW w:w="824" w:type="pct"/>
            <w:tcBorders>
              <w:top w:val="nil"/>
              <w:left w:val="nil"/>
              <w:bottom w:val="single" w:sz="4" w:space="0" w:color="auto"/>
              <w:right w:val="nil"/>
            </w:tcBorders>
            <w:shd w:val="clear" w:color="000000" w:fill="FFFFFF"/>
            <w:noWrap/>
            <w:vAlign w:val="bottom"/>
            <w:hideMark/>
          </w:tcPr>
          <w:p w14:paraId="17266A24" w14:textId="77777777" w:rsidR="0091517A" w:rsidRPr="0091517A" w:rsidRDefault="0091517A" w:rsidP="0091517A">
            <w:pPr>
              <w:spacing w:after="0" w:line="240" w:lineRule="auto"/>
              <w:jc w:val="right"/>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2017</w:t>
            </w:r>
          </w:p>
        </w:tc>
        <w:tc>
          <w:tcPr>
            <w:tcW w:w="824" w:type="pct"/>
            <w:tcBorders>
              <w:top w:val="nil"/>
              <w:left w:val="single" w:sz="4" w:space="0" w:color="auto"/>
              <w:bottom w:val="single" w:sz="4" w:space="0" w:color="auto"/>
              <w:right w:val="single" w:sz="4" w:space="0" w:color="auto"/>
            </w:tcBorders>
            <w:shd w:val="clear" w:color="000000" w:fill="FFFFFF"/>
            <w:noWrap/>
            <w:vAlign w:val="bottom"/>
            <w:hideMark/>
          </w:tcPr>
          <w:p w14:paraId="37C29D41" w14:textId="77777777" w:rsidR="0091517A" w:rsidRPr="0091517A" w:rsidRDefault="0091517A" w:rsidP="0091517A">
            <w:pPr>
              <w:spacing w:after="0" w:line="240" w:lineRule="auto"/>
              <w:jc w:val="right"/>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2019</w:t>
            </w:r>
          </w:p>
        </w:tc>
      </w:tr>
      <w:tr w:rsidR="0091517A" w:rsidRPr="0091517A" w14:paraId="7C13682C"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6193A06E" w14:textId="77777777" w:rsidR="0091517A" w:rsidRPr="0091517A" w:rsidRDefault="0091517A" w:rsidP="0091517A">
            <w:pPr>
              <w:spacing w:after="0" w:line="240" w:lineRule="auto"/>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Omsætning</w:t>
            </w:r>
          </w:p>
        </w:tc>
        <w:tc>
          <w:tcPr>
            <w:tcW w:w="824" w:type="pct"/>
            <w:tcBorders>
              <w:top w:val="nil"/>
              <w:left w:val="nil"/>
              <w:bottom w:val="single" w:sz="4" w:space="0" w:color="auto"/>
              <w:right w:val="single" w:sz="4" w:space="0" w:color="auto"/>
            </w:tcBorders>
            <w:shd w:val="clear" w:color="000000" w:fill="FFFFFF"/>
            <w:noWrap/>
            <w:vAlign w:val="bottom"/>
            <w:hideMark/>
          </w:tcPr>
          <w:p w14:paraId="777E77AC"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1.328,0</w:t>
            </w:r>
          </w:p>
        </w:tc>
        <w:tc>
          <w:tcPr>
            <w:tcW w:w="824" w:type="pct"/>
            <w:tcBorders>
              <w:top w:val="nil"/>
              <w:left w:val="nil"/>
              <w:bottom w:val="single" w:sz="4" w:space="0" w:color="auto"/>
              <w:right w:val="single" w:sz="4" w:space="0" w:color="auto"/>
            </w:tcBorders>
            <w:shd w:val="clear" w:color="000000" w:fill="FFFFFF"/>
            <w:noWrap/>
            <w:vAlign w:val="bottom"/>
            <w:hideMark/>
          </w:tcPr>
          <w:p w14:paraId="49C1E7E9"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1.654,0</w:t>
            </w:r>
          </w:p>
        </w:tc>
        <w:tc>
          <w:tcPr>
            <w:tcW w:w="824" w:type="pct"/>
            <w:tcBorders>
              <w:top w:val="nil"/>
              <w:left w:val="nil"/>
              <w:bottom w:val="single" w:sz="4" w:space="0" w:color="auto"/>
              <w:right w:val="single" w:sz="4" w:space="0" w:color="auto"/>
            </w:tcBorders>
            <w:shd w:val="clear" w:color="000000" w:fill="FFFFFF"/>
            <w:noWrap/>
            <w:vAlign w:val="bottom"/>
            <w:hideMark/>
          </w:tcPr>
          <w:p w14:paraId="2EEABB2C"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2.876,3</w:t>
            </w:r>
          </w:p>
        </w:tc>
        <w:tc>
          <w:tcPr>
            <w:tcW w:w="824" w:type="pct"/>
            <w:tcBorders>
              <w:top w:val="nil"/>
              <w:left w:val="nil"/>
              <w:bottom w:val="single" w:sz="4" w:space="0" w:color="auto"/>
              <w:right w:val="single" w:sz="4" w:space="0" w:color="auto"/>
            </w:tcBorders>
            <w:shd w:val="clear" w:color="000000" w:fill="FFFFFF"/>
            <w:noWrap/>
            <w:vAlign w:val="bottom"/>
            <w:hideMark/>
          </w:tcPr>
          <w:p w14:paraId="7E1B658A"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3.452,9</w:t>
            </w:r>
          </w:p>
        </w:tc>
      </w:tr>
      <w:tr w:rsidR="0091517A" w:rsidRPr="0091517A" w14:paraId="2175C40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0F9068BB"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Havgående rejefiskeri</w:t>
            </w:r>
          </w:p>
        </w:tc>
        <w:tc>
          <w:tcPr>
            <w:tcW w:w="824" w:type="pct"/>
            <w:tcBorders>
              <w:top w:val="nil"/>
              <w:left w:val="nil"/>
              <w:bottom w:val="single" w:sz="4" w:space="0" w:color="auto"/>
              <w:right w:val="single" w:sz="4" w:space="0" w:color="auto"/>
            </w:tcBorders>
            <w:shd w:val="clear" w:color="000000" w:fill="FFFFFF"/>
            <w:noWrap/>
            <w:vAlign w:val="bottom"/>
            <w:hideMark/>
          </w:tcPr>
          <w:p w14:paraId="320E9471"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1.020,0</w:t>
            </w:r>
          </w:p>
        </w:tc>
        <w:tc>
          <w:tcPr>
            <w:tcW w:w="824" w:type="pct"/>
            <w:tcBorders>
              <w:top w:val="nil"/>
              <w:left w:val="nil"/>
              <w:bottom w:val="single" w:sz="4" w:space="0" w:color="auto"/>
              <w:right w:val="single" w:sz="4" w:space="0" w:color="auto"/>
            </w:tcBorders>
            <w:shd w:val="clear" w:color="000000" w:fill="FFFFFF"/>
            <w:noWrap/>
            <w:vAlign w:val="bottom"/>
            <w:hideMark/>
          </w:tcPr>
          <w:p w14:paraId="746189F7"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1.288,7</w:t>
            </w:r>
          </w:p>
        </w:tc>
        <w:tc>
          <w:tcPr>
            <w:tcW w:w="824" w:type="pct"/>
            <w:tcBorders>
              <w:top w:val="nil"/>
              <w:left w:val="nil"/>
              <w:bottom w:val="single" w:sz="4" w:space="0" w:color="auto"/>
              <w:right w:val="single" w:sz="4" w:space="0" w:color="auto"/>
            </w:tcBorders>
            <w:shd w:val="clear" w:color="000000" w:fill="FFFFFF"/>
            <w:noWrap/>
            <w:vAlign w:val="bottom"/>
            <w:hideMark/>
          </w:tcPr>
          <w:p w14:paraId="5CF6BD8B"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1.265,2</w:t>
            </w:r>
          </w:p>
        </w:tc>
        <w:tc>
          <w:tcPr>
            <w:tcW w:w="824" w:type="pct"/>
            <w:tcBorders>
              <w:top w:val="nil"/>
              <w:left w:val="nil"/>
              <w:bottom w:val="single" w:sz="4" w:space="0" w:color="auto"/>
              <w:right w:val="single" w:sz="4" w:space="0" w:color="auto"/>
            </w:tcBorders>
            <w:shd w:val="clear" w:color="000000" w:fill="FFFFFF"/>
            <w:noWrap/>
            <w:vAlign w:val="bottom"/>
            <w:hideMark/>
          </w:tcPr>
          <w:p w14:paraId="00D25E3C"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1.300,4</w:t>
            </w:r>
          </w:p>
        </w:tc>
      </w:tr>
      <w:tr w:rsidR="0091517A" w:rsidRPr="0091517A" w14:paraId="7694E15E"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3DEDAB57"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Kystnært rejefiskeri</w:t>
            </w:r>
          </w:p>
        </w:tc>
        <w:tc>
          <w:tcPr>
            <w:tcW w:w="824" w:type="pct"/>
            <w:tcBorders>
              <w:top w:val="nil"/>
              <w:left w:val="nil"/>
              <w:bottom w:val="single" w:sz="4" w:space="0" w:color="auto"/>
              <w:right w:val="single" w:sz="4" w:space="0" w:color="auto"/>
            </w:tcBorders>
            <w:shd w:val="clear" w:color="000000" w:fill="FFFFFF"/>
            <w:noWrap/>
            <w:vAlign w:val="bottom"/>
            <w:hideMark/>
          </w:tcPr>
          <w:p w14:paraId="61D2FE6F"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308,0</w:t>
            </w:r>
          </w:p>
        </w:tc>
        <w:tc>
          <w:tcPr>
            <w:tcW w:w="824" w:type="pct"/>
            <w:tcBorders>
              <w:top w:val="nil"/>
              <w:left w:val="nil"/>
              <w:bottom w:val="single" w:sz="4" w:space="0" w:color="auto"/>
              <w:right w:val="single" w:sz="4" w:space="0" w:color="auto"/>
            </w:tcBorders>
            <w:shd w:val="clear" w:color="000000" w:fill="FFFFFF"/>
            <w:noWrap/>
            <w:vAlign w:val="bottom"/>
            <w:hideMark/>
          </w:tcPr>
          <w:p w14:paraId="7677D7F7"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365,4</w:t>
            </w:r>
          </w:p>
        </w:tc>
        <w:tc>
          <w:tcPr>
            <w:tcW w:w="824" w:type="pct"/>
            <w:tcBorders>
              <w:top w:val="nil"/>
              <w:left w:val="nil"/>
              <w:bottom w:val="single" w:sz="4" w:space="0" w:color="auto"/>
              <w:right w:val="single" w:sz="4" w:space="0" w:color="auto"/>
            </w:tcBorders>
            <w:shd w:val="clear" w:color="000000" w:fill="FFFFFF"/>
            <w:noWrap/>
            <w:vAlign w:val="bottom"/>
            <w:hideMark/>
          </w:tcPr>
          <w:p w14:paraId="6EA5114B"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585,1</w:t>
            </w:r>
          </w:p>
        </w:tc>
        <w:tc>
          <w:tcPr>
            <w:tcW w:w="824" w:type="pct"/>
            <w:tcBorders>
              <w:top w:val="nil"/>
              <w:left w:val="nil"/>
              <w:bottom w:val="single" w:sz="4" w:space="0" w:color="auto"/>
              <w:right w:val="single" w:sz="4" w:space="0" w:color="auto"/>
            </w:tcBorders>
            <w:shd w:val="clear" w:color="000000" w:fill="FFFFFF"/>
            <w:noWrap/>
            <w:vAlign w:val="bottom"/>
            <w:hideMark/>
          </w:tcPr>
          <w:p w14:paraId="4D95601C"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732,0</w:t>
            </w:r>
          </w:p>
        </w:tc>
      </w:tr>
      <w:tr w:rsidR="0091517A" w:rsidRPr="0091517A" w14:paraId="7C2CEE9A"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4896D320"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Rejefabrikker</w:t>
            </w:r>
          </w:p>
        </w:tc>
        <w:tc>
          <w:tcPr>
            <w:tcW w:w="824" w:type="pct"/>
            <w:tcBorders>
              <w:top w:val="nil"/>
              <w:left w:val="nil"/>
              <w:bottom w:val="single" w:sz="4" w:space="0" w:color="auto"/>
              <w:right w:val="single" w:sz="4" w:space="0" w:color="auto"/>
            </w:tcBorders>
            <w:shd w:val="clear" w:color="000000" w:fill="FFFFFF"/>
            <w:noWrap/>
            <w:vAlign w:val="bottom"/>
            <w:hideMark/>
          </w:tcPr>
          <w:p w14:paraId="5D2E55C1"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w:t>
            </w:r>
          </w:p>
        </w:tc>
        <w:tc>
          <w:tcPr>
            <w:tcW w:w="824" w:type="pct"/>
            <w:tcBorders>
              <w:top w:val="nil"/>
              <w:left w:val="nil"/>
              <w:bottom w:val="single" w:sz="4" w:space="0" w:color="auto"/>
              <w:right w:val="single" w:sz="4" w:space="0" w:color="auto"/>
            </w:tcBorders>
            <w:shd w:val="clear" w:color="000000" w:fill="FFFFFF"/>
            <w:noWrap/>
            <w:vAlign w:val="bottom"/>
            <w:hideMark/>
          </w:tcPr>
          <w:p w14:paraId="559CB2DD"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w:t>
            </w:r>
          </w:p>
        </w:tc>
        <w:tc>
          <w:tcPr>
            <w:tcW w:w="824" w:type="pct"/>
            <w:tcBorders>
              <w:top w:val="nil"/>
              <w:left w:val="nil"/>
              <w:bottom w:val="single" w:sz="4" w:space="0" w:color="auto"/>
              <w:right w:val="single" w:sz="4" w:space="0" w:color="auto"/>
            </w:tcBorders>
            <w:shd w:val="clear" w:color="000000" w:fill="FFFFFF"/>
            <w:noWrap/>
            <w:vAlign w:val="bottom"/>
            <w:hideMark/>
          </w:tcPr>
          <w:p w14:paraId="7786BBBF"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1.026,1</w:t>
            </w:r>
          </w:p>
        </w:tc>
        <w:tc>
          <w:tcPr>
            <w:tcW w:w="824" w:type="pct"/>
            <w:tcBorders>
              <w:top w:val="nil"/>
              <w:left w:val="nil"/>
              <w:bottom w:val="single" w:sz="4" w:space="0" w:color="auto"/>
              <w:right w:val="single" w:sz="4" w:space="0" w:color="auto"/>
            </w:tcBorders>
            <w:shd w:val="clear" w:color="000000" w:fill="FFFFFF"/>
            <w:noWrap/>
            <w:vAlign w:val="bottom"/>
            <w:hideMark/>
          </w:tcPr>
          <w:p w14:paraId="06DD8B12"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1.420,5</w:t>
            </w:r>
          </w:p>
        </w:tc>
      </w:tr>
      <w:tr w:rsidR="0091517A" w:rsidRPr="0091517A" w14:paraId="0901480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62CA8B92" w14:textId="77777777" w:rsidR="0091517A" w:rsidRPr="0091517A" w:rsidRDefault="0091517A" w:rsidP="0091517A">
            <w:pPr>
              <w:spacing w:after="0" w:line="240" w:lineRule="auto"/>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Overskud før afskrivninger, renter og skat</w:t>
            </w:r>
          </w:p>
        </w:tc>
        <w:tc>
          <w:tcPr>
            <w:tcW w:w="824" w:type="pct"/>
            <w:tcBorders>
              <w:top w:val="nil"/>
              <w:left w:val="nil"/>
              <w:bottom w:val="single" w:sz="4" w:space="0" w:color="auto"/>
              <w:right w:val="single" w:sz="4" w:space="0" w:color="auto"/>
            </w:tcBorders>
            <w:shd w:val="clear" w:color="000000" w:fill="FFFFFF"/>
            <w:noWrap/>
            <w:vAlign w:val="bottom"/>
            <w:hideMark/>
          </w:tcPr>
          <w:p w14:paraId="0F59432C"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344,4</w:t>
            </w:r>
          </w:p>
        </w:tc>
        <w:tc>
          <w:tcPr>
            <w:tcW w:w="824" w:type="pct"/>
            <w:tcBorders>
              <w:top w:val="nil"/>
              <w:left w:val="nil"/>
              <w:bottom w:val="single" w:sz="4" w:space="0" w:color="auto"/>
              <w:right w:val="single" w:sz="4" w:space="0" w:color="auto"/>
            </w:tcBorders>
            <w:shd w:val="clear" w:color="000000" w:fill="FFFFFF"/>
            <w:noWrap/>
            <w:vAlign w:val="bottom"/>
            <w:hideMark/>
          </w:tcPr>
          <w:p w14:paraId="6E72AE5F"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580,0</w:t>
            </w:r>
          </w:p>
        </w:tc>
        <w:tc>
          <w:tcPr>
            <w:tcW w:w="824" w:type="pct"/>
            <w:tcBorders>
              <w:top w:val="nil"/>
              <w:left w:val="nil"/>
              <w:bottom w:val="single" w:sz="4" w:space="0" w:color="auto"/>
              <w:right w:val="single" w:sz="4" w:space="0" w:color="auto"/>
            </w:tcBorders>
            <w:shd w:val="clear" w:color="000000" w:fill="FFFFFF"/>
            <w:noWrap/>
            <w:vAlign w:val="bottom"/>
            <w:hideMark/>
          </w:tcPr>
          <w:p w14:paraId="409865FA"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736,5</w:t>
            </w:r>
          </w:p>
        </w:tc>
        <w:tc>
          <w:tcPr>
            <w:tcW w:w="824" w:type="pct"/>
            <w:tcBorders>
              <w:top w:val="nil"/>
              <w:left w:val="nil"/>
              <w:bottom w:val="single" w:sz="4" w:space="0" w:color="auto"/>
              <w:right w:val="single" w:sz="4" w:space="0" w:color="auto"/>
            </w:tcBorders>
            <w:shd w:val="clear" w:color="000000" w:fill="FFFFFF"/>
            <w:noWrap/>
            <w:vAlign w:val="bottom"/>
            <w:hideMark/>
          </w:tcPr>
          <w:p w14:paraId="318CFE37"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792,2</w:t>
            </w:r>
          </w:p>
        </w:tc>
      </w:tr>
      <w:tr w:rsidR="0091517A" w:rsidRPr="0091517A" w14:paraId="56B3704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11349899"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Havgående rejefiskeri</w:t>
            </w:r>
          </w:p>
        </w:tc>
        <w:tc>
          <w:tcPr>
            <w:tcW w:w="824" w:type="pct"/>
            <w:tcBorders>
              <w:top w:val="nil"/>
              <w:left w:val="nil"/>
              <w:bottom w:val="single" w:sz="4" w:space="0" w:color="auto"/>
              <w:right w:val="single" w:sz="4" w:space="0" w:color="auto"/>
            </w:tcBorders>
            <w:shd w:val="clear" w:color="000000" w:fill="FFFFFF"/>
            <w:noWrap/>
            <w:vAlign w:val="bottom"/>
            <w:hideMark/>
          </w:tcPr>
          <w:p w14:paraId="29CEE293"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265,6</w:t>
            </w:r>
          </w:p>
        </w:tc>
        <w:tc>
          <w:tcPr>
            <w:tcW w:w="824" w:type="pct"/>
            <w:tcBorders>
              <w:top w:val="nil"/>
              <w:left w:val="nil"/>
              <w:bottom w:val="single" w:sz="4" w:space="0" w:color="auto"/>
              <w:right w:val="single" w:sz="4" w:space="0" w:color="auto"/>
            </w:tcBorders>
            <w:shd w:val="clear" w:color="000000" w:fill="FFFFFF"/>
            <w:noWrap/>
            <w:vAlign w:val="bottom"/>
            <w:hideMark/>
          </w:tcPr>
          <w:p w14:paraId="00D6F5B3"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435,1</w:t>
            </w:r>
          </w:p>
        </w:tc>
        <w:tc>
          <w:tcPr>
            <w:tcW w:w="824" w:type="pct"/>
            <w:tcBorders>
              <w:top w:val="nil"/>
              <w:left w:val="nil"/>
              <w:bottom w:val="single" w:sz="4" w:space="0" w:color="auto"/>
              <w:right w:val="single" w:sz="4" w:space="0" w:color="auto"/>
            </w:tcBorders>
            <w:shd w:val="clear" w:color="000000" w:fill="FFFFFF"/>
            <w:noWrap/>
            <w:vAlign w:val="bottom"/>
            <w:hideMark/>
          </w:tcPr>
          <w:p w14:paraId="519C94C4"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386,6</w:t>
            </w:r>
          </w:p>
        </w:tc>
        <w:tc>
          <w:tcPr>
            <w:tcW w:w="824" w:type="pct"/>
            <w:tcBorders>
              <w:top w:val="nil"/>
              <w:left w:val="nil"/>
              <w:bottom w:val="single" w:sz="4" w:space="0" w:color="auto"/>
              <w:right w:val="single" w:sz="4" w:space="0" w:color="auto"/>
            </w:tcBorders>
            <w:shd w:val="clear" w:color="000000" w:fill="FFFFFF"/>
            <w:noWrap/>
            <w:vAlign w:val="bottom"/>
            <w:hideMark/>
          </w:tcPr>
          <w:p w14:paraId="7F03FAA4"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438,9</w:t>
            </w:r>
          </w:p>
        </w:tc>
      </w:tr>
      <w:tr w:rsidR="0091517A" w:rsidRPr="0091517A" w14:paraId="406B0D7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3CE6E94C"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Kystnært rejefiskeri</w:t>
            </w:r>
          </w:p>
        </w:tc>
        <w:tc>
          <w:tcPr>
            <w:tcW w:w="824" w:type="pct"/>
            <w:tcBorders>
              <w:top w:val="nil"/>
              <w:left w:val="nil"/>
              <w:bottom w:val="single" w:sz="4" w:space="0" w:color="auto"/>
              <w:right w:val="single" w:sz="4" w:space="0" w:color="auto"/>
            </w:tcBorders>
            <w:shd w:val="clear" w:color="000000" w:fill="FFFFFF"/>
            <w:noWrap/>
            <w:vAlign w:val="bottom"/>
            <w:hideMark/>
          </w:tcPr>
          <w:p w14:paraId="0190E779"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78,8</w:t>
            </w:r>
          </w:p>
        </w:tc>
        <w:tc>
          <w:tcPr>
            <w:tcW w:w="824" w:type="pct"/>
            <w:tcBorders>
              <w:top w:val="nil"/>
              <w:left w:val="nil"/>
              <w:bottom w:val="single" w:sz="4" w:space="0" w:color="auto"/>
              <w:right w:val="single" w:sz="4" w:space="0" w:color="auto"/>
            </w:tcBorders>
            <w:shd w:val="clear" w:color="000000" w:fill="FFFFFF"/>
            <w:noWrap/>
            <w:vAlign w:val="bottom"/>
            <w:hideMark/>
          </w:tcPr>
          <w:p w14:paraId="2F0CBEC9"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144,9</w:t>
            </w:r>
          </w:p>
        </w:tc>
        <w:tc>
          <w:tcPr>
            <w:tcW w:w="824" w:type="pct"/>
            <w:tcBorders>
              <w:top w:val="nil"/>
              <w:left w:val="nil"/>
              <w:bottom w:val="single" w:sz="4" w:space="0" w:color="auto"/>
              <w:right w:val="single" w:sz="4" w:space="0" w:color="auto"/>
            </w:tcBorders>
            <w:shd w:val="clear" w:color="000000" w:fill="FFFFFF"/>
            <w:noWrap/>
            <w:vAlign w:val="bottom"/>
            <w:hideMark/>
          </w:tcPr>
          <w:p w14:paraId="16FFF6D8"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189,2</w:t>
            </w:r>
          </w:p>
        </w:tc>
        <w:tc>
          <w:tcPr>
            <w:tcW w:w="824" w:type="pct"/>
            <w:tcBorders>
              <w:top w:val="nil"/>
              <w:left w:val="nil"/>
              <w:bottom w:val="single" w:sz="4" w:space="0" w:color="auto"/>
              <w:right w:val="single" w:sz="4" w:space="0" w:color="auto"/>
            </w:tcBorders>
            <w:shd w:val="clear" w:color="000000" w:fill="FFFFFF"/>
            <w:noWrap/>
            <w:vAlign w:val="bottom"/>
            <w:hideMark/>
          </w:tcPr>
          <w:p w14:paraId="74AD88EE"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217,2</w:t>
            </w:r>
          </w:p>
        </w:tc>
      </w:tr>
      <w:tr w:rsidR="0091517A" w:rsidRPr="0091517A" w14:paraId="59D4F190"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65F00E74"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Rejefabrikker</w:t>
            </w:r>
          </w:p>
        </w:tc>
        <w:tc>
          <w:tcPr>
            <w:tcW w:w="824" w:type="pct"/>
            <w:tcBorders>
              <w:top w:val="nil"/>
              <w:left w:val="nil"/>
              <w:bottom w:val="single" w:sz="4" w:space="0" w:color="auto"/>
              <w:right w:val="single" w:sz="4" w:space="0" w:color="auto"/>
            </w:tcBorders>
            <w:shd w:val="clear" w:color="000000" w:fill="FFFFFF"/>
            <w:noWrap/>
            <w:vAlign w:val="bottom"/>
            <w:hideMark/>
          </w:tcPr>
          <w:p w14:paraId="456766E2"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w:t>
            </w:r>
          </w:p>
        </w:tc>
        <w:tc>
          <w:tcPr>
            <w:tcW w:w="824" w:type="pct"/>
            <w:tcBorders>
              <w:top w:val="nil"/>
              <w:left w:val="nil"/>
              <w:bottom w:val="single" w:sz="4" w:space="0" w:color="auto"/>
              <w:right w:val="single" w:sz="4" w:space="0" w:color="auto"/>
            </w:tcBorders>
            <w:shd w:val="clear" w:color="000000" w:fill="FFFFFF"/>
            <w:noWrap/>
            <w:vAlign w:val="bottom"/>
            <w:hideMark/>
          </w:tcPr>
          <w:p w14:paraId="2AE2D7C6"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w:t>
            </w:r>
          </w:p>
        </w:tc>
        <w:tc>
          <w:tcPr>
            <w:tcW w:w="824" w:type="pct"/>
            <w:tcBorders>
              <w:top w:val="nil"/>
              <w:left w:val="nil"/>
              <w:bottom w:val="single" w:sz="4" w:space="0" w:color="auto"/>
              <w:right w:val="single" w:sz="4" w:space="0" w:color="auto"/>
            </w:tcBorders>
            <w:shd w:val="clear" w:color="000000" w:fill="FFFFFF"/>
            <w:noWrap/>
            <w:vAlign w:val="bottom"/>
            <w:hideMark/>
          </w:tcPr>
          <w:p w14:paraId="5B7CA171" w14:textId="77777777" w:rsidR="0091517A" w:rsidRPr="0091517A" w:rsidRDefault="0091517A" w:rsidP="0091517A">
            <w:pPr>
              <w:spacing w:after="0" w:line="240" w:lineRule="auto"/>
              <w:jc w:val="right"/>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160,7</w:t>
            </w:r>
          </w:p>
        </w:tc>
        <w:tc>
          <w:tcPr>
            <w:tcW w:w="824" w:type="pct"/>
            <w:tcBorders>
              <w:top w:val="nil"/>
              <w:left w:val="nil"/>
              <w:bottom w:val="single" w:sz="4" w:space="0" w:color="auto"/>
              <w:right w:val="single" w:sz="4" w:space="0" w:color="auto"/>
            </w:tcBorders>
            <w:shd w:val="clear" w:color="000000" w:fill="FFFFFF"/>
            <w:noWrap/>
            <w:vAlign w:val="bottom"/>
            <w:hideMark/>
          </w:tcPr>
          <w:p w14:paraId="574A5613"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136,2</w:t>
            </w:r>
          </w:p>
        </w:tc>
      </w:tr>
      <w:tr w:rsidR="0091517A" w:rsidRPr="0091517A" w14:paraId="39D8EC3E"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59441945" w14:textId="77777777" w:rsidR="0091517A" w:rsidRPr="0091517A" w:rsidRDefault="0091517A" w:rsidP="0091517A">
            <w:pPr>
              <w:spacing w:after="0" w:line="240" w:lineRule="auto"/>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Overskud før renter og skat</w:t>
            </w:r>
          </w:p>
        </w:tc>
        <w:tc>
          <w:tcPr>
            <w:tcW w:w="824" w:type="pct"/>
            <w:tcBorders>
              <w:top w:val="nil"/>
              <w:left w:val="nil"/>
              <w:bottom w:val="single" w:sz="4" w:space="0" w:color="auto"/>
              <w:right w:val="single" w:sz="4" w:space="0" w:color="auto"/>
            </w:tcBorders>
            <w:shd w:val="clear" w:color="000000" w:fill="FFFFFF"/>
            <w:noWrap/>
            <w:vAlign w:val="bottom"/>
            <w:hideMark/>
          </w:tcPr>
          <w:p w14:paraId="248A64DA"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233,7</w:t>
            </w:r>
          </w:p>
        </w:tc>
        <w:tc>
          <w:tcPr>
            <w:tcW w:w="824" w:type="pct"/>
            <w:tcBorders>
              <w:top w:val="nil"/>
              <w:left w:val="nil"/>
              <w:bottom w:val="single" w:sz="4" w:space="0" w:color="auto"/>
              <w:right w:val="single" w:sz="4" w:space="0" w:color="auto"/>
            </w:tcBorders>
            <w:shd w:val="clear" w:color="000000" w:fill="FFFFFF"/>
            <w:noWrap/>
            <w:vAlign w:val="bottom"/>
            <w:hideMark/>
          </w:tcPr>
          <w:p w14:paraId="6C4BD18A"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466,7</w:t>
            </w:r>
          </w:p>
        </w:tc>
        <w:tc>
          <w:tcPr>
            <w:tcW w:w="824" w:type="pct"/>
            <w:tcBorders>
              <w:top w:val="nil"/>
              <w:left w:val="nil"/>
              <w:bottom w:val="single" w:sz="4" w:space="0" w:color="auto"/>
              <w:right w:val="single" w:sz="4" w:space="0" w:color="auto"/>
            </w:tcBorders>
            <w:shd w:val="clear" w:color="000000" w:fill="FFFFFF"/>
            <w:noWrap/>
            <w:vAlign w:val="bottom"/>
            <w:hideMark/>
          </w:tcPr>
          <w:p w14:paraId="33B28CE0"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593,5</w:t>
            </w:r>
          </w:p>
        </w:tc>
        <w:tc>
          <w:tcPr>
            <w:tcW w:w="824" w:type="pct"/>
            <w:tcBorders>
              <w:top w:val="nil"/>
              <w:left w:val="nil"/>
              <w:bottom w:val="single" w:sz="4" w:space="0" w:color="auto"/>
              <w:right w:val="single" w:sz="4" w:space="0" w:color="auto"/>
            </w:tcBorders>
            <w:shd w:val="clear" w:color="000000" w:fill="FFFFFF"/>
            <w:noWrap/>
            <w:vAlign w:val="bottom"/>
            <w:hideMark/>
          </w:tcPr>
          <w:p w14:paraId="63D33D06" w14:textId="77777777" w:rsidR="0091517A" w:rsidRPr="0091517A" w:rsidRDefault="0091517A" w:rsidP="0091517A">
            <w:pPr>
              <w:spacing w:after="0" w:line="240" w:lineRule="auto"/>
              <w:jc w:val="right"/>
              <w:rPr>
                <w:rFonts w:ascii="Times New Roman" w:eastAsia="Times New Roman" w:hAnsi="Times New Roman" w:cs="Times New Roman"/>
                <w:b/>
                <w:bCs/>
                <w:color w:val="000000"/>
                <w:sz w:val="20"/>
                <w:szCs w:val="20"/>
                <w:lang w:eastAsia="da-DK"/>
              </w:rPr>
            </w:pPr>
            <w:r w:rsidRPr="0091517A">
              <w:rPr>
                <w:rFonts w:ascii="Times New Roman" w:eastAsia="Times New Roman" w:hAnsi="Times New Roman" w:cs="Times New Roman"/>
                <w:b/>
                <w:bCs/>
                <w:color w:val="000000"/>
                <w:sz w:val="20"/>
                <w:szCs w:val="20"/>
                <w:lang w:eastAsia="da-DK"/>
              </w:rPr>
              <w:t>646,3</w:t>
            </w:r>
          </w:p>
        </w:tc>
      </w:tr>
      <w:tr w:rsidR="0091517A" w:rsidRPr="0091517A" w14:paraId="476B2060"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51EBD0ED"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Havgående rejefiskeri</w:t>
            </w:r>
          </w:p>
        </w:tc>
        <w:tc>
          <w:tcPr>
            <w:tcW w:w="824" w:type="pct"/>
            <w:tcBorders>
              <w:top w:val="nil"/>
              <w:left w:val="nil"/>
              <w:bottom w:val="single" w:sz="4" w:space="0" w:color="auto"/>
              <w:right w:val="single" w:sz="4" w:space="0" w:color="auto"/>
            </w:tcBorders>
            <w:shd w:val="clear" w:color="000000" w:fill="FFFFFF"/>
            <w:noWrap/>
            <w:vAlign w:val="bottom"/>
            <w:hideMark/>
          </w:tcPr>
          <w:p w14:paraId="5EBAFC19"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193,8</w:t>
            </w:r>
          </w:p>
        </w:tc>
        <w:tc>
          <w:tcPr>
            <w:tcW w:w="824" w:type="pct"/>
            <w:tcBorders>
              <w:top w:val="nil"/>
              <w:left w:val="nil"/>
              <w:bottom w:val="single" w:sz="4" w:space="0" w:color="auto"/>
              <w:right w:val="single" w:sz="4" w:space="0" w:color="auto"/>
            </w:tcBorders>
            <w:shd w:val="clear" w:color="000000" w:fill="FFFFFF"/>
            <w:noWrap/>
            <w:vAlign w:val="bottom"/>
            <w:hideMark/>
          </w:tcPr>
          <w:p w14:paraId="4666296B"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352,7</w:t>
            </w:r>
          </w:p>
        </w:tc>
        <w:tc>
          <w:tcPr>
            <w:tcW w:w="824" w:type="pct"/>
            <w:tcBorders>
              <w:top w:val="nil"/>
              <w:left w:val="nil"/>
              <w:bottom w:val="single" w:sz="4" w:space="0" w:color="auto"/>
              <w:right w:val="single" w:sz="4" w:space="0" w:color="auto"/>
            </w:tcBorders>
            <w:shd w:val="clear" w:color="000000" w:fill="FFFFFF"/>
            <w:noWrap/>
            <w:vAlign w:val="bottom"/>
            <w:hideMark/>
          </w:tcPr>
          <w:p w14:paraId="584FBBA5"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339,4</w:t>
            </w:r>
          </w:p>
        </w:tc>
        <w:tc>
          <w:tcPr>
            <w:tcW w:w="824" w:type="pct"/>
            <w:tcBorders>
              <w:top w:val="nil"/>
              <w:left w:val="nil"/>
              <w:bottom w:val="single" w:sz="4" w:space="0" w:color="auto"/>
              <w:right w:val="single" w:sz="4" w:space="0" w:color="auto"/>
            </w:tcBorders>
            <w:shd w:val="clear" w:color="000000" w:fill="FFFFFF"/>
            <w:noWrap/>
            <w:vAlign w:val="bottom"/>
            <w:hideMark/>
          </w:tcPr>
          <w:p w14:paraId="05DE979D"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398,4</w:t>
            </w:r>
          </w:p>
        </w:tc>
      </w:tr>
      <w:tr w:rsidR="0091517A" w:rsidRPr="0091517A" w14:paraId="752B08EA"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73C5E182"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Kystnært rejefiskeri</w:t>
            </w:r>
          </w:p>
        </w:tc>
        <w:tc>
          <w:tcPr>
            <w:tcW w:w="824" w:type="pct"/>
            <w:tcBorders>
              <w:top w:val="nil"/>
              <w:left w:val="nil"/>
              <w:bottom w:val="single" w:sz="4" w:space="0" w:color="auto"/>
              <w:right w:val="single" w:sz="4" w:space="0" w:color="auto"/>
            </w:tcBorders>
            <w:shd w:val="clear" w:color="000000" w:fill="FFFFFF"/>
            <w:noWrap/>
            <w:vAlign w:val="bottom"/>
            <w:hideMark/>
          </w:tcPr>
          <w:p w14:paraId="096921E1"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39,9</w:t>
            </w:r>
          </w:p>
        </w:tc>
        <w:tc>
          <w:tcPr>
            <w:tcW w:w="824" w:type="pct"/>
            <w:tcBorders>
              <w:top w:val="nil"/>
              <w:left w:val="nil"/>
              <w:bottom w:val="single" w:sz="4" w:space="0" w:color="auto"/>
              <w:right w:val="single" w:sz="4" w:space="0" w:color="auto"/>
            </w:tcBorders>
            <w:shd w:val="clear" w:color="000000" w:fill="FFFFFF"/>
            <w:noWrap/>
            <w:vAlign w:val="bottom"/>
            <w:hideMark/>
          </w:tcPr>
          <w:p w14:paraId="21456CB6"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113,9</w:t>
            </w:r>
          </w:p>
        </w:tc>
        <w:tc>
          <w:tcPr>
            <w:tcW w:w="824" w:type="pct"/>
            <w:tcBorders>
              <w:top w:val="nil"/>
              <w:left w:val="nil"/>
              <w:bottom w:val="single" w:sz="4" w:space="0" w:color="auto"/>
              <w:right w:val="single" w:sz="4" w:space="0" w:color="auto"/>
            </w:tcBorders>
            <w:shd w:val="clear" w:color="000000" w:fill="FFFFFF"/>
            <w:noWrap/>
            <w:vAlign w:val="bottom"/>
            <w:hideMark/>
          </w:tcPr>
          <w:p w14:paraId="7F684FE4"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130,8</w:t>
            </w:r>
          </w:p>
        </w:tc>
        <w:tc>
          <w:tcPr>
            <w:tcW w:w="824" w:type="pct"/>
            <w:tcBorders>
              <w:top w:val="nil"/>
              <w:left w:val="nil"/>
              <w:bottom w:val="single" w:sz="4" w:space="0" w:color="auto"/>
              <w:right w:val="single" w:sz="4" w:space="0" w:color="auto"/>
            </w:tcBorders>
            <w:shd w:val="clear" w:color="000000" w:fill="FFFFFF"/>
            <w:noWrap/>
            <w:vAlign w:val="bottom"/>
            <w:hideMark/>
          </w:tcPr>
          <w:p w14:paraId="5FCDCC7F"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145,9</w:t>
            </w:r>
          </w:p>
        </w:tc>
      </w:tr>
      <w:tr w:rsidR="0091517A" w:rsidRPr="0091517A" w14:paraId="68188C35" w14:textId="77777777" w:rsidTr="00E24F47">
        <w:trPr>
          <w:trHeight w:val="300"/>
        </w:trPr>
        <w:tc>
          <w:tcPr>
            <w:tcW w:w="1706" w:type="pct"/>
            <w:tcBorders>
              <w:top w:val="nil"/>
              <w:left w:val="single" w:sz="4" w:space="0" w:color="auto"/>
              <w:bottom w:val="single" w:sz="4" w:space="0" w:color="auto"/>
              <w:right w:val="single" w:sz="4" w:space="0" w:color="auto"/>
            </w:tcBorders>
            <w:shd w:val="clear" w:color="000000" w:fill="FFFFFF"/>
            <w:noWrap/>
            <w:vAlign w:val="bottom"/>
            <w:hideMark/>
          </w:tcPr>
          <w:p w14:paraId="0F01DE9D"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xml:space="preserve">   Rejefabrikker</w:t>
            </w:r>
          </w:p>
        </w:tc>
        <w:tc>
          <w:tcPr>
            <w:tcW w:w="824" w:type="pct"/>
            <w:tcBorders>
              <w:top w:val="nil"/>
              <w:left w:val="nil"/>
              <w:bottom w:val="single" w:sz="4" w:space="0" w:color="auto"/>
              <w:right w:val="single" w:sz="4" w:space="0" w:color="auto"/>
            </w:tcBorders>
            <w:shd w:val="clear" w:color="000000" w:fill="FFFFFF"/>
            <w:noWrap/>
            <w:vAlign w:val="bottom"/>
            <w:hideMark/>
          </w:tcPr>
          <w:p w14:paraId="55C5EC33"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w:t>
            </w:r>
          </w:p>
        </w:tc>
        <w:tc>
          <w:tcPr>
            <w:tcW w:w="824" w:type="pct"/>
            <w:tcBorders>
              <w:top w:val="nil"/>
              <w:left w:val="nil"/>
              <w:bottom w:val="single" w:sz="4" w:space="0" w:color="auto"/>
              <w:right w:val="single" w:sz="4" w:space="0" w:color="auto"/>
            </w:tcBorders>
            <w:shd w:val="clear" w:color="000000" w:fill="FFFFFF"/>
            <w:noWrap/>
            <w:vAlign w:val="bottom"/>
            <w:hideMark/>
          </w:tcPr>
          <w:p w14:paraId="25033F17" w14:textId="77777777" w:rsidR="0091517A" w:rsidRPr="0091517A" w:rsidRDefault="0091517A" w:rsidP="0091517A">
            <w:pPr>
              <w:spacing w:after="0" w:line="240" w:lineRule="auto"/>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 </w:t>
            </w:r>
          </w:p>
        </w:tc>
        <w:tc>
          <w:tcPr>
            <w:tcW w:w="824" w:type="pct"/>
            <w:tcBorders>
              <w:top w:val="nil"/>
              <w:left w:val="nil"/>
              <w:bottom w:val="single" w:sz="4" w:space="0" w:color="auto"/>
              <w:right w:val="single" w:sz="4" w:space="0" w:color="auto"/>
            </w:tcBorders>
            <w:shd w:val="clear" w:color="000000" w:fill="FFFFFF"/>
            <w:noWrap/>
            <w:vAlign w:val="bottom"/>
            <w:hideMark/>
          </w:tcPr>
          <w:p w14:paraId="089811AD" w14:textId="77777777" w:rsidR="0091517A" w:rsidRPr="0091517A" w:rsidRDefault="0091517A" w:rsidP="0091517A">
            <w:pPr>
              <w:spacing w:after="0" w:line="240" w:lineRule="auto"/>
              <w:jc w:val="right"/>
              <w:rPr>
                <w:rFonts w:ascii="Times New Roman" w:eastAsia="Times New Roman" w:hAnsi="Times New Roman" w:cs="Times New Roman"/>
                <w:color w:val="000000"/>
                <w:sz w:val="20"/>
                <w:szCs w:val="20"/>
                <w:lang w:eastAsia="da-DK"/>
              </w:rPr>
            </w:pPr>
            <w:r w:rsidRPr="0091517A">
              <w:rPr>
                <w:rFonts w:ascii="Times New Roman" w:eastAsia="Times New Roman" w:hAnsi="Times New Roman" w:cs="Times New Roman"/>
                <w:color w:val="000000"/>
                <w:sz w:val="20"/>
                <w:szCs w:val="20"/>
                <w:lang w:eastAsia="da-DK"/>
              </w:rPr>
              <w:t>123,3</w:t>
            </w:r>
          </w:p>
        </w:tc>
        <w:tc>
          <w:tcPr>
            <w:tcW w:w="824" w:type="pct"/>
            <w:tcBorders>
              <w:top w:val="nil"/>
              <w:left w:val="nil"/>
              <w:bottom w:val="single" w:sz="4" w:space="0" w:color="auto"/>
              <w:right w:val="single" w:sz="4" w:space="0" w:color="auto"/>
            </w:tcBorders>
            <w:shd w:val="clear" w:color="000000" w:fill="FFFFFF"/>
            <w:noWrap/>
            <w:vAlign w:val="bottom"/>
            <w:hideMark/>
          </w:tcPr>
          <w:p w14:paraId="4CEAD5CA" w14:textId="77777777" w:rsidR="0091517A" w:rsidRPr="0091517A" w:rsidRDefault="0091517A" w:rsidP="0091517A">
            <w:pPr>
              <w:spacing w:after="0" w:line="240" w:lineRule="auto"/>
              <w:jc w:val="right"/>
              <w:rPr>
                <w:rFonts w:ascii="Times New Roman" w:eastAsia="Times New Roman" w:hAnsi="Times New Roman" w:cs="Times New Roman"/>
                <w:i/>
                <w:iCs/>
                <w:color w:val="000000"/>
                <w:sz w:val="20"/>
                <w:szCs w:val="20"/>
                <w:lang w:eastAsia="da-DK"/>
              </w:rPr>
            </w:pPr>
            <w:r w:rsidRPr="0091517A">
              <w:rPr>
                <w:rFonts w:ascii="Times New Roman" w:eastAsia="Times New Roman" w:hAnsi="Times New Roman" w:cs="Times New Roman"/>
                <w:i/>
                <w:iCs/>
                <w:color w:val="000000"/>
                <w:sz w:val="20"/>
                <w:szCs w:val="20"/>
                <w:lang w:eastAsia="da-DK"/>
              </w:rPr>
              <w:t>102,0</w:t>
            </w:r>
          </w:p>
        </w:tc>
      </w:tr>
    </w:tbl>
    <w:p w14:paraId="60ECE61D" w14:textId="135933E7" w:rsidR="0091517A" w:rsidRPr="00E24F47" w:rsidRDefault="0091517A" w:rsidP="00E24F47">
      <w:pPr>
        <w:spacing w:after="0" w:line="276" w:lineRule="auto"/>
        <w:jc w:val="both"/>
        <w:rPr>
          <w:rFonts w:ascii="Times New Roman" w:hAnsi="Times New Roman" w:cs="Times New Roman"/>
          <w:sz w:val="20"/>
          <w:szCs w:val="20"/>
        </w:rPr>
      </w:pPr>
      <w:r w:rsidRPr="00E24F47">
        <w:rPr>
          <w:rFonts w:ascii="Times New Roman" w:hAnsi="Times New Roman" w:cs="Times New Roman"/>
          <w:sz w:val="20"/>
          <w:szCs w:val="20"/>
        </w:rPr>
        <w:t>Kilde: GFLK.</w:t>
      </w:r>
    </w:p>
    <w:p w14:paraId="6028E80D" w14:textId="2482EB04" w:rsidR="0091517A" w:rsidRPr="00E24F47" w:rsidRDefault="0091517A" w:rsidP="00E24F47">
      <w:pPr>
        <w:spacing w:after="0" w:line="276" w:lineRule="auto"/>
        <w:jc w:val="both"/>
        <w:rPr>
          <w:rFonts w:ascii="Times New Roman" w:hAnsi="Times New Roman" w:cs="Times New Roman"/>
          <w:sz w:val="20"/>
          <w:szCs w:val="20"/>
        </w:rPr>
      </w:pPr>
      <w:r w:rsidRPr="00E24F47">
        <w:rPr>
          <w:rFonts w:ascii="Times New Roman" w:hAnsi="Times New Roman" w:cs="Times New Roman"/>
          <w:sz w:val="20"/>
          <w:szCs w:val="20"/>
        </w:rPr>
        <w:t>Note: Det har været svært at kvalificere de data som det enkelte selskab i rejesektoren har leveret</w:t>
      </w:r>
      <w:r w:rsidR="00D6305F">
        <w:rPr>
          <w:rFonts w:ascii="Times New Roman" w:hAnsi="Times New Roman" w:cs="Times New Roman"/>
          <w:sz w:val="20"/>
          <w:szCs w:val="20"/>
        </w:rPr>
        <w:t xml:space="preserve"> fordi selskabernes årsregnskaber i mange tilfælde omfatter flere driftsenheder</w:t>
      </w:r>
      <w:r w:rsidRPr="00E24F47">
        <w:rPr>
          <w:rFonts w:ascii="Times New Roman" w:hAnsi="Times New Roman" w:cs="Times New Roman"/>
          <w:sz w:val="20"/>
          <w:szCs w:val="20"/>
        </w:rPr>
        <w:t>. Det tages derfor forhold for de tal som er fremstillet i tabellen.</w:t>
      </w:r>
      <w:r w:rsidR="00AD7C82">
        <w:rPr>
          <w:rFonts w:ascii="Times New Roman" w:hAnsi="Times New Roman" w:cs="Times New Roman"/>
          <w:sz w:val="20"/>
          <w:szCs w:val="20"/>
        </w:rPr>
        <w:t xml:space="preserve"> Rejefabrikkernes omsætning og overskud fra andre arter de producerer er inkluderet i tallene i tabellen.</w:t>
      </w:r>
    </w:p>
    <w:p w14:paraId="0BA91F95" w14:textId="77777777" w:rsidR="005A6BB2" w:rsidRDefault="005A6BB2" w:rsidP="00E24F47">
      <w:pPr>
        <w:spacing w:after="0" w:line="276" w:lineRule="auto"/>
        <w:jc w:val="both"/>
        <w:rPr>
          <w:rFonts w:ascii="Times New Roman" w:hAnsi="Times New Roman" w:cs="Times New Roman"/>
        </w:rPr>
      </w:pPr>
    </w:p>
    <w:p w14:paraId="67CBD45E" w14:textId="7A6BF9AE" w:rsidR="0037026C" w:rsidRDefault="0037026C" w:rsidP="00E24F47">
      <w:pPr>
        <w:spacing w:after="0" w:line="276" w:lineRule="auto"/>
        <w:jc w:val="both"/>
        <w:rPr>
          <w:rFonts w:ascii="Times New Roman" w:hAnsi="Times New Roman" w:cs="Times New Roman"/>
        </w:rPr>
      </w:pPr>
      <w:r w:rsidRPr="008A57DA">
        <w:rPr>
          <w:rFonts w:ascii="Times New Roman" w:hAnsi="Times New Roman" w:cs="Times New Roman"/>
        </w:rPr>
        <w:t>Den havgående rejeflådes rentabilitet har steget fra en oversku</w:t>
      </w:r>
      <w:r>
        <w:rPr>
          <w:rFonts w:ascii="Times New Roman" w:hAnsi="Times New Roman" w:cs="Times New Roman"/>
        </w:rPr>
        <w:t>dsgrad</w:t>
      </w:r>
      <w:r w:rsidR="002A3495">
        <w:rPr>
          <w:rFonts w:ascii="Times New Roman" w:hAnsi="Times New Roman" w:cs="Times New Roman"/>
        </w:rPr>
        <w:t xml:space="preserve"> (overskud før </w:t>
      </w:r>
      <w:r w:rsidR="0091517A">
        <w:rPr>
          <w:rFonts w:ascii="Times New Roman" w:hAnsi="Times New Roman" w:cs="Times New Roman"/>
        </w:rPr>
        <w:t>renter</w:t>
      </w:r>
      <w:r w:rsidR="002A3495">
        <w:rPr>
          <w:rFonts w:ascii="Times New Roman" w:hAnsi="Times New Roman" w:cs="Times New Roman"/>
        </w:rPr>
        <w:t xml:space="preserve"> og skat i forhold til omsætning)</w:t>
      </w:r>
      <w:r>
        <w:rPr>
          <w:rFonts w:ascii="Times New Roman" w:hAnsi="Times New Roman" w:cs="Times New Roman"/>
        </w:rPr>
        <w:t xml:space="preserve"> på omkring nul i 1990erne til ca. 15 pct. i 2010</w:t>
      </w:r>
      <w:r w:rsidRPr="008A57DA">
        <w:rPr>
          <w:rFonts w:ascii="Times New Roman" w:hAnsi="Times New Roman" w:cs="Times New Roman"/>
        </w:rPr>
        <w:t xml:space="preserve">. Overskudsgraden </w:t>
      </w:r>
      <w:r>
        <w:rPr>
          <w:rFonts w:ascii="Times New Roman" w:hAnsi="Times New Roman" w:cs="Times New Roman"/>
        </w:rPr>
        <w:t xml:space="preserve">steg yderligere </w:t>
      </w:r>
      <w:r w:rsidRPr="008A57DA">
        <w:rPr>
          <w:rFonts w:ascii="Times New Roman" w:hAnsi="Times New Roman" w:cs="Times New Roman"/>
        </w:rPr>
        <w:t xml:space="preserve">i </w:t>
      </w:r>
      <w:r w:rsidR="0091517A">
        <w:rPr>
          <w:rFonts w:ascii="Times New Roman" w:hAnsi="Times New Roman" w:cs="Times New Roman"/>
        </w:rPr>
        <w:t xml:space="preserve">2013 til 19 pct. og </w:t>
      </w:r>
      <w:r w:rsidR="00CF5089">
        <w:rPr>
          <w:rFonts w:ascii="Times New Roman" w:hAnsi="Times New Roman" w:cs="Times New Roman"/>
        </w:rPr>
        <w:t>op</w:t>
      </w:r>
      <w:r w:rsidR="00AD7A5E">
        <w:rPr>
          <w:rFonts w:ascii="Times New Roman" w:hAnsi="Times New Roman" w:cs="Times New Roman"/>
        </w:rPr>
        <w:t xml:space="preserve"> </w:t>
      </w:r>
      <w:r w:rsidR="00CF5089">
        <w:rPr>
          <w:rFonts w:ascii="Times New Roman" w:hAnsi="Times New Roman" w:cs="Times New Roman"/>
        </w:rPr>
        <w:t>til ca.</w:t>
      </w:r>
      <w:r>
        <w:rPr>
          <w:rFonts w:ascii="Times New Roman" w:hAnsi="Times New Roman" w:cs="Times New Roman"/>
        </w:rPr>
        <w:t xml:space="preserve"> </w:t>
      </w:r>
      <w:r w:rsidRPr="008A57DA">
        <w:rPr>
          <w:rFonts w:ascii="Times New Roman" w:hAnsi="Times New Roman" w:cs="Times New Roman"/>
        </w:rPr>
        <w:t>27 pct.</w:t>
      </w:r>
      <w:r w:rsidR="002A3495">
        <w:rPr>
          <w:rFonts w:ascii="Times New Roman" w:hAnsi="Times New Roman" w:cs="Times New Roman"/>
        </w:rPr>
        <w:t xml:space="preserve"> </w:t>
      </w:r>
      <w:r w:rsidR="0091517A">
        <w:rPr>
          <w:rFonts w:ascii="Times New Roman" w:hAnsi="Times New Roman" w:cs="Times New Roman"/>
        </w:rPr>
        <w:t xml:space="preserve">i 2017. </w:t>
      </w:r>
      <w:r w:rsidR="002A3495">
        <w:rPr>
          <w:rFonts w:ascii="Times New Roman" w:hAnsi="Times New Roman" w:cs="Times New Roman"/>
        </w:rPr>
        <w:t xml:space="preserve">I 2019 steg den gennemsnitlige overskudsgrad til ca. </w:t>
      </w:r>
      <w:r w:rsidR="0091517A">
        <w:rPr>
          <w:rFonts w:ascii="Times New Roman" w:hAnsi="Times New Roman" w:cs="Times New Roman"/>
        </w:rPr>
        <w:t xml:space="preserve">31 </w:t>
      </w:r>
      <w:r w:rsidR="002A3495">
        <w:rPr>
          <w:rFonts w:ascii="Times New Roman" w:hAnsi="Times New Roman" w:cs="Times New Roman"/>
        </w:rPr>
        <w:t>pct.</w:t>
      </w:r>
      <w:r w:rsidRPr="008A57DA">
        <w:rPr>
          <w:rFonts w:ascii="Times New Roman" w:hAnsi="Times New Roman" w:cs="Times New Roman"/>
        </w:rPr>
        <w:t xml:space="preserve"> </w:t>
      </w:r>
      <w:r>
        <w:rPr>
          <w:rFonts w:ascii="Times New Roman" w:hAnsi="Times New Roman" w:cs="Times New Roman"/>
        </w:rPr>
        <w:t xml:space="preserve">Det bemærkes, at niveauet af overskuddet er de seneste </w:t>
      </w:r>
      <w:proofErr w:type="gramStart"/>
      <w:r>
        <w:rPr>
          <w:rFonts w:ascii="Times New Roman" w:hAnsi="Times New Roman" w:cs="Times New Roman"/>
        </w:rPr>
        <w:t>år</w:t>
      </w:r>
      <w:proofErr w:type="gramEnd"/>
      <w:r>
        <w:rPr>
          <w:rFonts w:ascii="Times New Roman" w:hAnsi="Times New Roman" w:cs="Times New Roman"/>
        </w:rPr>
        <w:t xml:space="preserve"> </w:t>
      </w:r>
      <w:r w:rsidRPr="008A57DA">
        <w:rPr>
          <w:rFonts w:ascii="Times New Roman" w:hAnsi="Times New Roman" w:cs="Times New Roman"/>
        </w:rPr>
        <w:t xml:space="preserve">er </w:t>
      </w:r>
      <w:r>
        <w:rPr>
          <w:rFonts w:ascii="Times New Roman" w:hAnsi="Times New Roman" w:cs="Times New Roman"/>
        </w:rPr>
        <w:t xml:space="preserve">meget højt til trods for, at </w:t>
      </w:r>
      <w:r w:rsidRPr="008A57DA">
        <w:rPr>
          <w:rFonts w:ascii="Times New Roman" w:hAnsi="Times New Roman" w:cs="Times New Roman"/>
        </w:rPr>
        <w:t xml:space="preserve">den havgående flåde har betalt </w:t>
      </w:r>
      <w:r>
        <w:rPr>
          <w:rFonts w:ascii="Times New Roman" w:hAnsi="Times New Roman" w:cs="Times New Roman"/>
        </w:rPr>
        <w:t xml:space="preserve">relativt </w:t>
      </w:r>
      <w:r w:rsidRPr="008A57DA">
        <w:rPr>
          <w:rFonts w:ascii="Times New Roman" w:hAnsi="Times New Roman" w:cs="Times New Roman"/>
        </w:rPr>
        <w:t>høje ressourceafgifter</w:t>
      </w:r>
      <w:r>
        <w:rPr>
          <w:rFonts w:ascii="Times New Roman" w:hAnsi="Times New Roman" w:cs="Times New Roman"/>
        </w:rPr>
        <w:t xml:space="preserve"> til det offentlige</w:t>
      </w:r>
      <w:r w:rsidRPr="008A57DA">
        <w:rPr>
          <w:rFonts w:ascii="Times New Roman" w:hAnsi="Times New Roman" w:cs="Times New Roman"/>
        </w:rPr>
        <w:t>. Renses overskuddet for afgifter</w:t>
      </w:r>
      <w:r>
        <w:rPr>
          <w:rFonts w:ascii="Times New Roman" w:hAnsi="Times New Roman" w:cs="Times New Roman"/>
        </w:rPr>
        <w:t>,</w:t>
      </w:r>
      <w:r w:rsidRPr="008A57DA">
        <w:rPr>
          <w:rFonts w:ascii="Times New Roman" w:hAnsi="Times New Roman" w:cs="Times New Roman"/>
        </w:rPr>
        <w:t xml:space="preserve"> vil</w:t>
      </w:r>
      <w:r>
        <w:rPr>
          <w:rFonts w:ascii="Times New Roman" w:hAnsi="Times New Roman" w:cs="Times New Roman"/>
        </w:rPr>
        <w:t>le</w:t>
      </w:r>
      <w:r w:rsidRPr="008A57DA">
        <w:rPr>
          <w:rFonts w:ascii="Times New Roman" w:hAnsi="Times New Roman" w:cs="Times New Roman"/>
        </w:rPr>
        <w:t xml:space="preserve"> overskudsgraden </w:t>
      </w:r>
      <w:r>
        <w:rPr>
          <w:rFonts w:ascii="Times New Roman" w:hAnsi="Times New Roman" w:cs="Times New Roman"/>
        </w:rPr>
        <w:t>i 201</w:t>
      </w:r>
      <w:r w:rsidR="002A3495">
        <w:rPr>
          <w:rFonts w:ascii="Times New Roman" w:hAnsi="Times New Roman" w:cs="Times New Roman"/>
        </w:rPr>
        <w:t xml:space="preserve">9 </w:t>
      </w:r>
      <w:r>
        <w:rPr>
          <w:rFonts w:ascii="Times New Roman" w:hAnsi="Times New Roman" w:cs="Times New Roman"/>
        </w:rPr>
        <w:t xml:space="preserve">havde være </w:t>
      </w:r>
      <w:r w:rsidR="00153CA9">
        <w:rPr>
          <w:rFonts w:ascii="Times New Roman" w:hAnsi="Times New Roman" w:cs="Times New Roman"/>
        </w:rPr>
        <w:t>over 40</w:t>
      </w:r>
      <w:r>
        <w:rPr>
          <w:rFonts w:ascii="Times New Roman" w:hAnsi="Times New Roman" w:cs="Times New Roman"/>
        </w:rPr>
        <w:t xml:space="preserve"> pct. En gunstig udvikling i rejepriserne de seneste 10 år har også bidraget </w:t>
      </w:r>
      <w:r w:rsidR="003C3DB2">
        <w:rPr>
          <w:rFonts w:ascii="Times New Roman" w:hAnsi="Times New Roman" w:cs="Times New Roman"/>
        </w:rPr>
        <w:t xml:space="preserve">i høj grad </w:t>
      </w:r>
      <w:r>
        <w:rPr>
          <w:rFonts w:ascii="Times New Roman" w:hAnsi="Times New Roman" w:cs="Times New Roman"/>
        </w:rPr>
        <w:t>til at forbedre rentabiliteten i den havgående rejeflåde.</w:t>
      </w:r>
      <w:r w:rsidR="00EA4D35">
        <w:rPr>
          <w:rFonts w:ascii="Times New Roman" w:hAnsi="Times New Roman" w:cs="Times New Roman"/>
        </w:rPr>
        <w:t xml:space="preserve"> En god konsolidering medvirker til at gøre fiskeriet mindre udsving </w:t>
      </w:r>
      <w:r w:rsidR="00EA4D35">
        <w:rPr>
          <w:rFonts w:ascii="Times New Roman" w:hAnsi="Times New Roman" w:cs="Times New Roman"/>
        </w:rPr>
        <w:lastRenderedPageBreak/>
        <w:t>over for skiftende konjunkturer og udsving i ressourcegrundlag. Værdien heraf er senest kommet til udtryk i forbindelse med COVID-19-pandemien.</w:t>
      </w:r>
    </w:p>
    <w:p w14:paraId="245F34A0" w14:textId="77777777" w:rsidR="00EA4D35" w:rsidRDefault="00EA4D35" w:rsidP="00E24F47">
      <w:pPr>
        <w:spacing w:after="0" w:line="276" w:lineRule="auto"/>
        <w:jc w:val="both"/>
        <w:rPr>
          <w:rFonts w:ascii="Times New Roman" w:hAnsi="Times New Roman" w:cs="Times New Roman"/>
        </w:rPr>
      </w:pPr>
    </w:p>
    <w:p w14:paraId="119F145C" w14:textId="76E0D7A5" w:rsidR="0037026C" w:rsidRDefault="0037026C" w:rsidP="00E24F47">
      <w:pPr>
        <w:spacing w:after="0" w:line="276" w:lineRule="auto"/>
        <w:jc w:val="both"/>
        <w:rPr>
          <w:rFonts w:ascii="Times New Roman" w:hAnsi="Times New Roman" w:cs="Times New Roman"/>
        </w:rPr>
      </w:pPr>
      <w:r>
        <w:rPr>
          <w:rFonts w:ascii="Times New Roman" w:hAnsi="Times New Roman" w:cs="Times New Roman"/>
        </w:rPr>
        <w:t xml:space="preserve">Økonomien i den kystnære rejeflåde i 1990erne var en ren underskudsforretning på grund af overkapacitet i flåden og dermed et lavt kvotegrundlag for det enkelte fartøj. </w:t>
      </w:r>
      <w:proofErr w:type="gramStart"/>
      <w:r>
        <w:rPr>
          <w:rFonts w:ascii="Times New Roman" w:hAnsi="Times New Roman" w:cs="Times New Roman"/>
        </w:rPr>
        <w:t>IOK system</w:t>
      </w:r>
      <w:proofErr w:type="gramEnd"/>
      <w:r>
        <w:rPr>
          <w:rFonts w:ascii="Times New Roman" w:hAnsi="Times New Roman" w:cs="Times New Roman"/>
        </w:rPr>
        <w:t xml:space="preserve"> har bidraget til forbedring i rentabiliteten i den kystnære flåde. Stigningen i rentabiliteten har dog udviklet sig langsomt over tid. Tilskudsordninger bidrog i en periode til at </w:t>
      </w:r>
      <w:proofErr w:type="spellStart"/>
      <w:r>
        <w:rPr>
          <w:rFonts w:ascii="Times New Roman" w:hAnsi="Times New Roman" w:cs="Times New Roman"/>
        </w:rPr>
        <w:t>fasteholde</w:t>
      </w:r>
      <w:proofErr w:type="spellEnd"/>
      <w:r>
        <w:rPr>
          <w:rFonts w:ascii="Times New Roman" w:hAnsi="Times New Roman" w:cs="Times New Roman"/>
        </w:rPr>
        <w:t xml:space="preserve"> lav rentabilitet for flåden. I 2004 var det samlede kystnære rejefiskeri stadig en underskudsforrentning. I 2008 opnåede den kystnære flåde </w:t>
      </w:r>
      <w:r w:rsidR="003C3DB2">
        <w:rPr>
          <w:rFonts w:ascii="Times New Roman" w:hAnsi="Times New Roman" w:cs="Times New Roman"/>
        </w:rPr>
        <w:t xml:space="preserve">samlet </w:t>
      </w:r>
      <w:r>
        <w:rPr>
          <w:rFonts w:ascii="Times New Roman" w:hAnsi="Times New Roman" w:cs="Times New Roman"/>
        </w:rPr>
        <w:t xml:space="preserve">en overskudsgrad på ca. 10 pct. Siden 2008 har den kystnære flåde oplevet yderligere forbedring i rentabiliteten.  </w:t>
      </w:r>
      <w:r w:rsidRPr="008A57DA">
        <w:rPr>
          <w:rFonts w:ascii="Times New Roman" w:hAnsi="Times New Roman" w:cs="Times New Roman"/>
        </w:rPr>
        <w:t xml:space="preserve">Overskudsgraden </w:t>
      </w:r>
      <w:r>
        <w:rPr>
          <w:rFonts w:ascii="Times New Roman" w:hAnsi="Times New Roman" w:cs="Times New Roman"/>
        </w:rPr>
        <w:t xml:space="preserve">i den samlede flåde steg yderligere </w:t>
      </w:r>
      <w:r w:rsidRPr="008A57DA">
        <w:rPr>
          <w:rFonts w:ascii="Times New Roman" w:hAnsi="Times New Roman" w:cs="Times New Roman"/>
        </w:rPr>
        <w:t xml:space="preserve">i </w:t>
      </w:r>
      <w:r>
        <w:rPr>
          <w:rFonts w:ascii="Times New Roman" w:hAnsi="Times New Roman" w:cs="Times New Roman"/>
        </w:rPr>
        <w:t>2015</w:t>
      </w:r>
      <w:r w:rsidRPr="008A57DA">
        <w:rPr>
          <w:rFonts w:ascii="Times New Roman" w:hAnsi="Times New Roman" w:cs="Times New Roman"/>
        </w:rPr>
        <w:t xml:space="preserve"> </w:t>
      </w:r>
      <w:r>
        <w:rPr>
          <w:rFonts w:ascii="Times New Roman" w:hAnsi="Times New Roman" w:cs="Times New Roman"/>
        </w:rPr>
        <w:t>til ca. 30</w:t>
      </w:r>
      <w:r w:rsidRPr="008A57DA">
        <w:rPr>
          <w:rFonts w:ascii="Times New Roman" w:hAnsi="Times New Roman" w:cs="Times New Roman"/>
        </w:rPr>
        <w:t xml:space="preserve"> pct. </w:t>
      </w:r>
      <w:r>
        <w:rPr>
          <w:rFonts w:ascii="Times New Roman" w:hAnsi="Times New Roman" w:cs="Times New Roman"/>
        </w:rPr>
        <w:t>Selv om overskudsgraden i 2017</w:t>
      </w:r>
      <w:r w:rsidR="00153CA9">
        <w:rPr>
          <w:rFonts w:ascii="Times New Roman" w:hAnsi="Times New Roman" w:cs="Times New Roman"/>
        </w:rPr>
        <w:t xml:space="preserve"> og 2019 er</w:t>
      </w:r>
      <w:r>
        <w:rPr>
          <w:rFonts w:ascii="Times New Roman" w:hAnsi="Times New Roman" w:cs="Times New Roman"/>
        </w:rPr>
        <w:t xml:space="preserve"> fald</w:t>
      </w:r>
      <w:r w:rsidR="00153CA9">
        <w:rPr>
          <w:rFonts w:ascii="Times New Roman" w:hAnsi="Times New Roman" w:cs="Times New Roman"/>
        </w:rPr>
        <w:t>e</w:t>
      </w:r>
      <w:r>
        <w:rPr>
          <w:rFonts w:ascii="Times New Roman" w:hAnsi="Times New Roman" w:cs="Times New Roman"/>
        </w:rPr>
        <w:t xml:space="preserve">t til </w:t>
      </w:r>
      <w:r w:rsidR="00153CA9">
        <w:rPr>
          <w:rFonts w:ascii="Times New Roman" w:hAnsi="Times New Roman" w:cs="Times New Roman"/>
        </w:rPr>
        <w:t xml:space="preserve">hhv. </w:t>
      </w:r>
      <w:r>
        <w:rPr>
          <w:rFonts w:ascii="Times New Roman" w:hAnsi="Times New Roman" w:cs="Times New Roman"/>
        </w:rPr>
        <w:t>ca. 22 pct.</w:t>
      </w:r>
      <w:r w:rsidR="00153CA9">
        <w:rPr>
          <w:rFonts w:ascii="Times New Roman" w:hAnsi="Times New Roman" w:cs="Times New Roman"/>
        </w:rPr>
        <w:t xml:space="preserve"> og ca. 20 pct.</w:t>
      </w:r>
      <w:r>
        <w:rPr>
          <w:rFonts w:ascii="Times New Roman" w:hAnsi="Times New Roman" w:cs="Times New Roman"/>
        </w:rPr>
        <w:t>, er den forsat relativt høj. Det forventes, at økonomien i det kystnære rejefiskeri forsat kan forbedres med yderligere struktur- og kapacitetstilpasninger.</w:t>
      </w:r>
    </w:p>
    <w:p w14:paraId="1EDCCAB7" w14:textId="0E77CAFF" w:rsidR="00720DFD" w:rsidRDefault="00720DFD" w:rsidP="00E24F47">
      <w:pPr>
        <w:spacing w:after="0" w:line="276" w:lineRule="auto"/>
        <w:jc w:val="both"/>
        <w:rPr>
          <w:rFonts w:ascii="Times New Roman" w:hAnsi="Times New Roman" w:cs="Times New Roman"/>
        </w:rPr>
      </w:pPr>
    </w:p>
    <w:p w14:paraId="24B34944" w14:textId="2D808B81" w:rsidR="00C7691D" w:rsidRDefault="00C7691D" w:rsidP="00E24F47">
      <w:pPr>
        <w:spacing w:after="0" w:line="276" w:lineRule="auto"/>
        <w:jc w:val="both"/>
        <w:rPr>
          <w:rFonts w:ascii="Times New Roman" w:hAnsi="Times New Roman" w:cs="Times New Roman"/>
        </w:rPr>
      </w:pPr>
      <w:r>
        <w:rPr>
          <w:rFonts w:ascii="Times New Roman" w:hAnsi="Times New Roman" w:cs="Times New Roman"/>
        </w:rPr>
        <w:t xml:space="preserve">Rentabiliteten hos rejefabrikkerne er noget mindre end i rejefiskeriet. I 2017 opnåede rejefabrikkerne en samlet overskudgrad på ca. 12 pct. hvorimod overskudsgraden </w:t>
      </w:r>
      <w:r w:rsidR="00CE51C5">
        <w:rPr>
          <w:rFonts w:ascii="Times New Roman" w:hAnsi="Times New Roman" w:cs="Times New Roman"/>
        </w:rPr>
        <w:t xml:space="preserve">faldt </w:t>
      </w:r>
      <w:r>
        <w:rPr>
          <w:rFonts w:ascii="Times New Roman" w:hAnsi="Times New Roman" w:cs="Times New Roman"/>
        </w:rPr>
        <w:t>til ca. 7 pct. i 2019. Det bemærkes at produktion og salg af andre arter som hellefisk, torsk og krabber er med i tallene for rejefabrikkerne i tabel 4.</w:t>
      </w:r>
    </w:p>
    <w:p w14:paraId="29586B56" w14:textId="77777777" w:rsidR="009E5997" w:rsidRDefault="009E5997" w:rsidP="009E5997">
      <w:pPr>
        <w:spacing w:after="0" w:line="276" w:lineRule="auto"/>
        <w:jc w:val="both"/>
        <w:rPr>
          <w:rFonts w:ascii="Times New Roman" w:hAnsi="Times New Roman" w:cs="Times New Roman"/>
          <w:i/>
          <w:color w:val="000000" w:themeColor="text1"/>
        </w:rPr>
      </w:pPr>
    </w:p>
    <w:p w14:paraId="401A8DB2" w14:textId="23A1492B" w:rsidR="009E5997" w:rsidRPr="00932588" w:rsidRDefault="009E5997" w:rsidP="009E5997">
      <w:pPr>
        <w:spacing w:after="0" w:line="276" w:lineRule="auto"/>
        <w:jc w:val="both"/>
        <w:rPr>
          <w:rFonts w:ascii="Times New Roman" w:hAnsi="Times New Roman" w:cs="Times New Roman"/>
          <w:i/>
          <w:color w:val="000000" w:themeColor="text1"/>
        </w:rPr>
      </w:pPr>
      <w:r w:rsidRPr="00932588">
        <w:rPr>
          <w:rFonts w:ascii="Times New Roman" w:hAnsi="Times New Roman" w:cs="Times New Roman"/>
          <w:i/>
          <w:color w:val="000000" w:themeColor="text1"/>
        </w:rPr>
        <w:t>Aflønning af arbejdskraft</w:t>
      </w:r>
    </w:p>
    <w:p w14:paraId="55BABC21" w14:textId="77777777" w:rsidR="009E5997" w:rsidRDefault="009E5997" w:rsidP="009E599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Den store reduktion i antallet af fartøjer i rejefiskeriet siden 1990erne indtil i dag har tilsvarende reduceret antal besætningsmedlemmer i fiskeriet. Det er ligeledes sket en reduktion i antallet af rejefabrikker, hvilket har reduceret antallet af medarbejdere i land. Den teknologiske udvikling har også betydet, at det er behov for færre ansatte end før til fartøjer og fabriksanlæg. </w:t>
      </w:r>
    </w:p>
    <w:p w14:paraId="77D02F5A" w14:textId="77777777" w:rsidR="009E5997" w:rsidRDefault="009E5997" w:rsidP="009E5997">
      <w:pPr>
        <w:spacing w:after="0" w:line="276" w:lineRule="auto"/>
        <w:jc w:val="both"/>
        <w:rPr>
          <w:rFonts w:ascii="Times New Roman" w:hAnsi="Times New Roman" w:cs="Times New Roman"/>
          <w:color w:val="000000" w:themeColor="text1"/>
        </w:rPr>
      </w:pPr>
    </w:p>
    <w:p w14:paraId="08B58915" w14:textId="3A835B45" w:rsidR="009E5997" w:rsidRDefault="009E5997" w:rsidP="009E599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Reduktionen i antallet af fartøjer og besætningsmedlemmer samt den stigende rentabilitet har påvirket gennemsnitslønnen i rejefiskeriet meget positivt. Oplysninger om det gennemsnitlige lønniveau i 1990erne samt udviklingen i lønnen særskilt for rejeflåden eller rejefabrikkerne er ikke tilgængelige. </w:t>
      </w:r>
    </w:p>
    <w:p w14:paraId="3758A7FF" w14:textId="77777777" w:rsidR="009E5997" w:rsidRDefault="009E5997" w:rsidP="009E5997">
      <w:pPr>
        <w:spacing w:after="0" w:line="276" w:lineRule="auto"/>
        <w:jc w:val="both"/>
        <w:rPr>
          <w:rFonts w:ascii="Times New Roman" w:hAnsi="Times New Roman" w:cs="Times New Roman"/>
          <w:color w:val="000000" w:themeColor="text1"/>
        </w:rPr>
      </w:pPr>
    </w:p>
    <w:p w14:paraId="5F31B268" w14:textId="77777777" w:rsidR="009E5997" w:rsidRDefault="009E5997" w:rsidP="009E599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Den gennemsnitlige løn pr. besætningsmedlem i den havgående rejeflåde i 2008 var på ca. 528.000 kr. I 2017 var den lønnen steget til ca. 993.000 kr. svarende til en stigning på ca. 88 pct. </w:t>
      </w:r>
    </w:p>
    <w:p w14:paraId="109638A5" w14:textId="77777777" w:rsidR="009E5997" w:rsidRDefault="009E5997" w:rsidP="009E5997">
      <w:pPr>
        <w:spacing w:after="0" w:line="276" w:lineRule="auto"/>
        <w:jc w:val="both"/>
        <w:rPr>
          <w:rFonts w:ascii="Times New Roman" w:hAnsi="Times New Roman" w:cs="Times New Roman"/>
          <w:color w:val="000000" w:themeColor="text1"/>
        </w:rPr>
      </w:pPr>
    </w:p>
    <w:p w14:paraId="6E07C4E4" w14:textId="77777777" w:rsidR="009E5997" w:rsidRDefault="009E5997" w:rsidP="009E599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Tilsvarende var den gennemsnitlige løn pr. besætningsmedlem i den kystnære rejeflåde i 2008 var på ca. 228.000 kr. I 2017 var den lønnen steget til ca. 626.000 kr. svarende til en stigning på ca. 174 pct. </w:t>
      </w:r>
    </w:p>
    <w:p w14:paraId="3B194C73" w14:textId="77777777" w:rsidR="009E5997" w:rsidRDefault="009E5997" w:rsidP="009E5997">
      <w:pPr>
        <w:spacing w:after="0" w:line="276" w:lineRule="auto"/>
        <w:jc w:val="both"/>
        <w:rPr>
          <w:rFonts w:ascii="Times New Roman" w:hAnsi="Times New Roman" w:cs="Times New Roman"/>
          <w:color w:val="000000" w:themeColor="text1"/>
        </w:rPr>
      </w:pPr>
    </w:p>
    <w:p w14:paraId="5496A7BA" w14:textId="77777777" w:rsidR="009E5997" w:rsidRDefault="009E5997" w:rsidP="009E599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Den gennemsnitlige løn hos fabriksmedarbejder hos rejefabrikkerne er ikke steget så meget som lønnen i fiskeriet. Det estimeres, at gennemsnitlige årsløn var på ca. 200.000 kr. i 2008. I 2017 var årslønnen steget til ca. 250.000 kr. i gennemsnit pr. medarbejder, svarende til en stigning på 25 pct.</w:t>
      </w:r>
    </w:p>
    <w:p w14:paraId="4BA104CC" w14:textId="77777777" w:rsidR="009E5997" w:rsidRDefault="009E5997" w:rsidP="00E24F47">
      <w:pPr>
        <w:spacing w:after="0" w:line="276" w:lineRule="auto"/>
        <w:jc w:val="both"/>
        <w:rPr>
          <w:rFonts w:ascii="Times New Roman" w:hAnsi="Times New Roman" w:cs="Times New Roman"/>
        </w:rPr>
      </w:pPr>
    </w:p>
    <w:p w14:paraId="1759984A" w14:textId="77777777" w:rsidR="0037026C" w:rsidRPr="00EA4D35" w:rsidRDefault="00236B2A" w:rsidP="00A21B75">
      <w:pPr>
        <w:spacing w:after="0"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3E0419">
        <w:rPr>
          <w:rFonts w:ascii="Times New Roman" w:hAnsi="Times New Roman" w:cs="Times New Roman"/>
          <w:b/>
          <w:color w:val="000000" w:themeColor="text1"/>
          <w:sz w:val="28"/>
          <w:szCs w:val="28"/>
        </w:rPr>
        <w:t xml:space="preserve">. </w:t>
      </w:r>
      <w:r w:rsidR="0037026C" w:rsidRPr="00EA4D35">
        <w:rPr>
          <w:rFonts w:ascii="Times New Roman" w:hAnsi="Times New Roman" w:cs="Times New Roman"/>
          <w:b/>
          <w:color w:val="000000" w:themeColor="text1"/>
          <w:sz w:val="28"/>
          <w:szCs w:val="28"/>
        </w:rPr>
        <w:t>Ressourceafgifter på rejefiskeriet</w:t>
      </w:r>
    </w:p>
    <w:p w14:paraId="6333FF23" w14:textId="77777777" w:rsidR="0037026C" w:rsidRPr="00B61220" w:rsidRDefault="0037026C" w:rsidP="00EA4D35">
      <w:pPr>
        <w:spacing w:after="0" w:line="276" w:lineRule="auto"/>
        <w:jc w:val="both"/>
        <w:rPr>
          <w:rFonts w:ascii="Times New Roman" w:hAnsi="Times New Roman" w:cs="Times New Roman"/>
          <w:color w:val="000000" w:themeColor="text1"/>
        </w:rPr>
      </w:pPr>
      <w:r w:rsidRPr="00B61220">
        <w:rPr>
          <w:rFonts w:ascii="Times New Roman" w:hAnsi="Times New Roman" w:cs="Times New Roman"/>
          <w:color w:val="000000" w:themeColor="text1"/>
        </w:rPr>
        <w:t xml:space="preserve">I 1982 blev direkte eksport af rejer fra de producerende rejetrawlere afgiftsbelagt for første gang. Oprindeligt blev rejeafgiften skiftende opkrævet som fast andel af eksportværdi eller som kroneafgift pr.kg. fangst. </w:t>
      </w:r>
    </w:p>
    <w:p w14:paraId="5CCFBAA7" w14:textId="77777777" w:rsidR="0037026C" w:rsidRPr="00B61220" w:rsidRDefault="0037026C" w:rsidP="00EA4D35">
      <w:pPr>
        <w:spacing w:after="0" w:line="276" w:lineRule="auto"/>
        <w:jc w:val="both"/>
        <w:rPr>
          <w:rFonts w:ascii="Times New Roman" w:hAnsi="Times New Roman" w:cs="Times New Roman"/>
          <w:color w:val="000000" w:themeColor="text1"/>
        </w:rPr>
      </w:pPr>
    </w:p>
    <w:p w14:paraId="283889D0" w14:textId="77777777" w:rsidR="0037026C" w:rsidRDefault="0037026C" w:rsidP="00EA4D35">
      <w:pPr>
        <w:spacing w:after="0" w:line="276" w:lineRule="auto"/>
        <w:jc w:val="both"/>
        <w:rPr>
          <w:rFonts w:ascii="Times New Roman" w:hAnsi="Times New Roman" w:cs="Times New Roman"/>
          <w:color w:val="000000" w:themeColor="text1"/>
        </w:rPr>
      </w:pPr>
      <w:r w:rsidRPr="00B61220">
        <w:rPr>
          <w:rFonts w:ascii="Times New Roman" w:hAnsi="Times New Roman" w:cs="Times New Roman"/>
          <w:color w:val="000000" w:themeColor="text1"/>
        </w:rPr>
        <w:t xml:space="preserve">Rejeafgiften i </w:t>
      </w:r>
      <w:r>
        <w:rPr>
          <w:rFonts w:ascii="Times New Roman" w:hAnsi="Times New Roman" w:cs="Times New Roman"/>
          <w:color w:val="000000" w:themeColor="text1"/>
        </w:rPr>
        <w:t>den</w:t>
      </w:r>
      <w:r w:rsidRPr="00B61220">
        <w:rPr>
          <w:rFonts w:ascii="Times New Roman" w:hAnsi="Times New Roman" w:cs="Times New Roman"/>
          <w:color w:val="000000" w:themeColor="text1"/>
        </w:rPr>
        <w:t xml:space="preserve"> form</w:t>
      </w:r>
      <w:r>
        <w:rPr>
          <w:rFonts w:ascii="Times New Roman" w:hAnsi="Times New Roman" w:cs="Times New Roman"/>
          <w:color w:val="000000" w:themeColor="text1"/>
        </w:rPr>
        <w:t>,</w:t>
      </w:r>
      <w:r w:rsidRPr="00B61220">
        <w:rPr>
          <w:rFonts w:ascii="Times New Roman" w:hAnsi="Times New Roman" w:cs="Times New Roman"/>
          <w:color w:val="000000" w:themeColor="text1"/>
        </w:rPr>
        <w:t xml:space="preserve"> der var gældende indtil udgangen af 2017, var en dynamisk afgift som andel af eksportværdi baseret på udviklingen i salgspriser og trådte i kraft 1. januar 2004.</w:t>
      </w:r>
      <w:r>
        <w:rPr>
          <w:rFonts w:ascii="Times New Roman" w:hAnsi="Times New Roman" w:cs="Times New Roman"/>
          <w:color w:val="000000" w:themeColor="text1"/>
        </w:rPr>
        <w:t xml:space="preserve"> </w:t>
      </w:r>
    </w:p>
    <w:p w14:paraId="1C0BAEAE" w14:textId="77777777" w:rsidR="0037026C" w:rsidRDefault="0037026C" w:rsidP="00EA4D35">
      <w:pPr>
        <w:spacing w:after="0" w:line="276" w:lineRule="auto"/>
        <w:jc w:val="both"/>
        <w:rPr>
          <w:rFonts w:ascii="Times New Roman" w:hAnsi="Times New Roman" w:cs="Times New Roman"/>
          <w:color w:val="000000" w:themeColor="text1"/>
        </w:rPr>
      </w:pPr>
    </w:p>
    <w:p w14:paraId="073912F2" w14:textId="77777777" w:rsidR="0037026C" w:rsidRDefault="0037026C" w:rsidP="00EA4D35">
      <w:pPr>
        <w:spacing w:after="0" w:line="276" w:lineRule="auto"/>
        <w:ind w:right="27"/>
        <w:jc w:val="both"/>
        <w:rPr>
          <w:rFonts w:ascii="Times New Roman" w:hAnsi="Times New Roman" w:cs="Times New Roman"/>
          <w:color w:val="000000" w:themeColor="text1"/>
        </w:rPr>
      </w:pPr>
      <w:r w:rsidRPr="0007535D">
        <w:rPr>
          <w:rFonts w:ascii="Times New Roman" w:hAnsi="Times New Roman" w:cs="Times New Roman"/>
          <w:color w:val="000000" w:themeColor="text1"/>
        </w:rPr>
        <w:t xml:space="preserve">Med </w:t>
      </w:r>
      <w:proofErr w:type="spellStart"/>
      <w:r w:rsidRPr="0007535D">
        <w:rPr>
          <w:rFonts w:ascii="Times New Roman" w:hAnsi="Times New Roman" w:cs="Times New Roman"/>
          <w:color w:val="000000" w:themeColor="text1"/>
        </w:rPr>
        <w:t>Inatsisartutlov</w:t>
      </w:r>
      <w:proofErr w:type="spellEnd"/>
      <w:r w:rsidRPr="0007535D">
        <w:rPr>
          <w:rFonts w:ascii="Times New Roman" w:hAnsi="Times New Roman" w:cs="Times New Roman"/>
          <w:color w:val="000000" w:themeColor="text1"/>
        </w:rPr>
        <w:t xml:space="preserve"> nr. 46 af 23. november 2017 om ressourceafgift på grønlandsk fiskeri indførtes en ny ressourceafgiftsmodel for det samlede fiskeri i Grønland fra 1. januar 2018. </w:t>
      </w:r>
      <w:r>
        <w:rPr>
          <w:rFonts w:ascii="Times New Roman" w:hAnsi="Times New Roman" w:cs="Times New Roman"/>
          <w:color w:val="000000" w:themeColor="text1"/>
        </w:rPr>
        <w:t xml:space="preserve">Eksport af rejer er afgiftsbelagt </w:t>
      </w:r>
      <w:r>
        <w:rPr>
          <w:rFonts w:ascii="Times New Roman" w:hAnsi="Times New Roman" w:cs="Times New Roman"/>
          <w:color w:val="000000" w:themeColor="text1"/>
        </w:rPr>
        <w:lastRenderedPageBreak/>
        <w:t xml:space="preserve">som stigende andel af eksportværdi fra direkte produktion til havs. Indhandling af rejer er afgiftsbelagt </w:t>
      </w:r>
      <w:r w:rsidR="00431F26">
        <w:rPr>
          <w:rFonts w:ascii="Times New Roman" w:hAnsi="Times New Roman" w:cs="Times New Roman"/>
          <w:color w:val="000000" w:themeColor="text1"/>
        </w:rPr>
        <w:t xml:space="preserve">første gang fra 2018 </w:t>
      </w:r>
      <w:r>
        <w:rPr>
          <w:rFonts w:ascii="Times New Roman" w:hAnsi="Times New Roman" w:cs="Times New Roman"/>
          <w:color w:val="000000" w:themeColor="text1"/>
        </w:rPr>
        <w:t>med fast andel af indhandlingsværdi.</w:t>
      </w:r>
    </w:p>
    <w:p w14:paraId="33987733" w14:textId="77777777" w:rsidR="0037026C" w:rsidRPr="00B61220" w:rsidRDefault="0037026C" w:rsidP="00EA4D35">
      <w:pPr>
        <w:spacing w:after="0" w:line="276" w:lineRule="auto"/>
        <w:jc w:val="both"/>
        <w:rPr>
          <w:rFonts w:ascii="Times New Roman" w:hAnsi="Times New Roman" w:cs="Times New Roman"/>
          <w:color w:val="000000" w:themeColor="text1"/>
        </w:rPr>
      </w:pPr>
    </w:p>
    <w:p w14:paraId="7B21BC96" w14:textId="3774A097" w:rsidR="0056716A" w:rsidRDefault="00431F26" w:rsidP="00720DFD">
      <w:pPr>
        <w:spacing w:after="0" w:line="276" w:lineRule="auto"/>
        <w:jc w:val="both"/>
        <w:rPr>
          <w:rFonts w:ascii="Times New Roman" w:hAnsi="Times New Roman" w:cs="Times New Roman"/>
        </w:rPr>
      </w:pPr>
      <w:r>
        <w:rPr>
          <w:rFonts w:ascii="Times New Roman" w:hAnsi="Times New Roman" w:cs="Times New Roman"/>
        </w:rPr>
        <w:t xml:space="preserve">I figur </w:t>
      </w:r>
      <w:r w:rsidR="001929AE">
        <w:rPr>
          <w:rFonts w:ascii="Times New Roman" w:hAnsi="Times New Roman" w:cs="Times New Roman"/>
        </w:rPr>
        <w:t>8</w:t>
      </w:r>
      <w:r w:rsidR="0037026C">
        <w:rPr>
          <w:rFonts w:ascii="Times New Roman" w:hAnsi="Times New Roman" w:cs="Times New Roman"/>
        </w:rPr>
        <w:t xml:space="preserve"> </w:t>
      </w:r>
      <w:r w:rsidR="0037026C" w:rsidRPr="005B4B1E">
        <w:rPr>
          <w:rFonts w:ascii="Times New Roman" w:hAnsi="Times New Roman" w:cs="Times New Roman"/>
        </w:rPr>
        <w:t>vises udviklingen i afgiftsprovenuet</w:t>
      </w:r>
      <w:r w:rsidR="0037026C">
        <w:rPr>
          <w:rFonts w:ascii="Times New Roman" w:hAnsi="Times New Roman" w:cs="Times New Roman"/>
        </w:rPr>
        <w:t xml:space="preserve"> fra rejeafgiften perioden 1996-20</w:t>
      </w:r>
      <w:r w:rsidR="00720DFD">
        <w:rPr>
          <w:rFonts w:ascii="Times New Roman" w:hAnsi="Times New Roman" w:cs="Times New Roman"/>
        </w:rPr>
        <w:t>20</w:t>
      </w:r>
      <w:r w:rsidR="0037026C" w:rsidRPr="005B4B1E">
        <w:rPr>
          <w:rFonts w:ascii="Times New Roman" w:hAnsi="Times New Roman" w:cs="Times New Roman"/>
        </w:rPr>
        <w:t xml:space="preserve">. </w:t>
      </w:r>
    </w:p>
    <w:p w14:paraId="121F470E" w14:textId="77777777" w:rsidR="0037026C" w:rsidRDefault="0037026C" w:rsidP="00A21B75">
      <w:pPr>
        <w:spacing w:after="0" w:line="276" w:lineRule="auto"/>
        <w:jc w:val="both"/>
        <w:rPr>
          <w:rFonts w:ascii="Times New Roman" w:hAnsi="Times New Roman" w:cs="Times New Roman"/>
          <w:i/>
          <w:color w:val="000000" w:themeColor="text1"/>
        </w:rPr>
      </w:pPr>
    </w:p>
    <w:p w14:paraId="54F5A306" w14:textId="10419AB3" w:rsidR="0037026C" w:rsidRPr="00AC4047" w:rsidRDefault="0037026C" w:rsidP="00241DBF">
      <w:pPr>
        <w:spacing w:after="0" w:line="276" w:lineRule="auto"/>
        <w:jc w:val="both"/>
        <w:rPr>
          <w:rFonts w:ascii="Times New Roman" w:hAnsi="Times New Roman" w:cs="Times New Roman"/>
          <w:b/>
          <w:color w:val="000000" w:themeColor="text1"/>
        </w:rPr>
      </w:pPr>
      <w:r w:rsidRPr="00AC4047">
        <w:rPr>
          <w:rFonts w:ascii="Times New Roman" w:hAnsi="Times New Roman" w:cs="Times New Roman"/>
          <w:b/>
          <w:color w:val="000000" w:themeColor="text1"/>
        </w:rPr>
        <w:t>Figur</w:t>
      </w:r>
      <w:r w:rsidR="00431F26" w:rsidRPr="00AC4047">
        <w:rPr>
          <w:rFonts w:ascii="Times New Roman" w:hAnsi="Times New Roman" w:cs="Times New Roman"/>
          <w:b/>
          <w:color w:val="000000" w:themeColor="text1"/>
        </w:rPr>
        <w:t xml:space="preserve"> </w:t>
      </w:r>
      <w:r w:rsidR="001929AE">
        <w:rPr>
          <w:rFonts w:ascii="Times New Roman" w:hAnsi="Times New Roman" w:cs="Times New Roman"/>
          <w:b/>
          <w:color w:val="000000" w:themeColor="text1"/>
        </w:rPr>
        <w:t>8</w:t>
      </w:r>
      <w:r w:rsidRPr="00AC4047">
        <w:rPr>
          <w:rFonts w:ascii="Times New Roman" w:hAnsi="Times New Roman" w:cs="Times New Roman"/>
          <w:b/>
          <w:color w:val="000000" w:themeColor="text1"/>
        </w:rPr>
        <w:t>: Pro</w:t>
      </w:r>
      <w:r w:rsidR="005A6BB2">
        <w:rPr>
          <w:rFonts w:ascii="Times New Roman" w:hAnsi="Times New Roman" w:cs="Times New Roman"/>
          <w:b/>
          <w:color w:val="000000" w:themeColor="text1"/>
        </w:rPr>
        <w:t>venu fra rejeafgiften, 1996-2020</w:t>
      </w:r>
      <w:r w:rsidR="00431F26" w:rsidRPr="00AC4047">
        <w:rPr>
          <w:rFonts w:ascii="Times New Roman" w:hAnsi="Times New Roman" w:cs="Times New Roman"/>
          <w:b/>
          <w:color w:val="000000" w:themeColor="text1"/>
        </w:rPr>
        <w:t>.</w:t>
      </w:r>
    </w:p>
    <w:p w14:paraId="6E7C0D32" w14:textId="7F3704DE" w:rsidR="0037026C" w:rsidRDefault="00CF5089" w:rsidP="00241DBF">
      <w:pPr>
        <w:spacing w:after="0" w:line="276" w:lineRule="auto"/>
        <w:jc w:val="both"/>
        <w:rPr>
          <w:rFonts w:ascii="Times New Roman" w:hAnsi="Times New Roman" w:cs="Times New Roman"/>
          <w:color w:val="000000" w:themeColor="text1"/>
        </w:rPr>
      </w:pPr>
      <w:r>
        <w:rPr>
          <w:noProof/>
          <w:lang w:val="en-US"/>
        </w:rPr>
        <w:drawing>
          <wp:inline distT="0" distB="0" distL="0" distR="0" wp14:anchorId="7CC2BF98" wp14:editId="434C50EA">
            <wp:extent cx="6120130" cy="3822065"/>
            <wp:effectExtent l="0" t="0" r="0" b="698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132636" w14:textId="29A8DC72" w:rsidR="0037026C" w:rsidRDefault="00CF5089" w:rsidP="00720DFD">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Kilde: Skattestyrelsen.</w:t>
      </w:r>
    </w:p>
    <w:p w14:paraId="4E1DC081" w14:textId="77777777" w:rsidR="00CF5089" w:rsidRPr="008B4ABF" w:rsidRDefault="00CF5089" w:rsidP="00720DFD">
      <w:pPr>
        <w:spacing w:after="0" w:line="276" w:lineRule="auto"/>
        <w:jc w:val="both"/>
        <w:rPr>
          <w:rFonts w:ascii="Times New Roman" w:hAnsi="Times New Roman" w:cs="Times New Roman"/>
          <w:color w:val="000000" w:themeColor="text1"/>
          <w:sz w:val="20"/>
          <w:szCs w:val="20"/>
        </w:rPr>
      </w:pPr>
    </w:p>
    <w:p w14:paraId="01ADA097" w14:textId="38926CB4" w:rsidR="00720DFD" w:rsidRDefault="00720DFD" w:rsidP="00720DFD">
      <w:pPr>
        <w:spacing w:after="0" w:line="276" w:lineRule="auto"/>
        <w:jc w:val="both"/>
        <w:rPr>
          <w:rFonts w:ascii="Times New Roman" w:hAnsi="Times New Roman" w:cs="Times New Roman"/>
          <w:i/>
          <w:color w:val="000000" w:themeColor="text1"/>
        </w:rPr>
      </w:pPr>
      <w:r>
        <w:rPr>
          <w:rFonts w:ascii="Times New Roman" w:hAnsi="Times New Roman" w:cs="Times New Roman"/>
        </w:rPr>
        <w:t>Provenuet fra rejeafgiften fra 1996, hvor der er indført IOK system for både havgående og kystnært rejefiskeri, var på ca. 7 mio.kr. Den har holdt sig relativ</w:t>
      </w:r>
      <w:r w:rsidR="00CE51C5">
        <w:rPr>
          <w:rFonts w:ascii="Times New Roman" w:hAnsi="Times New Roman" w:cs="Times New Roman"/>
        </w:rPr>
        <w:t>t</w:t>
      </w:r>
      <w:r>
        <w:rPr>
          <w:rFonts w:ascii="Times New Roman" w:hAnsi="Times New Roman" w:cs="Times New Roman"/>
        </w:rPr>
        <w:t xml:space="preserve"> lav</w:t>
      </w:r>
      <w:r w:rsidR="00CE51C5">
        <w:rPr>
          <w:rFonts w:ascii="Times New Roman" w:hAnsi="Times New Roman" w:cs="Times New Roman"/>
        </w:rPr>
        <w:t>t</w:t>
      </w:r>
      <w:r>
        <w:rPr>
          <w:rFonts w:ascii="Times New Roman" w:hAnsi="Times New Roman" w:cs="Times New Roman"/>
        </w:rPr>
        <w:t xml:space="preserve"> indtil 2005, hvor den var næsten nul. I perioden efter 2005 er provenuet steget årligt og var på </w:t>
      </w:r>
      <w:r w:rsidR="00EA4D35">
        <w:rPr>
          <w:rFonts w:ascii="Times New Roman" w:hAnsi="Times New Roman" w:cs="Times New Roman"/>
        </w:rPr>
        <w:t xml:space="preserve">et </w:t>
      </w:r>
      <w:r>
        <w:rPr>
          <w:rFonts w:ascii="Times New Roman" w:hAnsi="Times New Roman" w:cs="Times New Roman"/>
        </w:rPr>
        <w:t xml:space="preserve">historisk højt niveau i </w:t>
      </w:r>
      <w:r w:rsidR="00CF5089">
        <w:rPr>
          <w:rFonts w:ascii="Times New Roman" w:hAnsi="Times New Roman" w:cs="Times New Roman"/>
        </w:rPr>
        <w:t>2018-2020</w:t>
      </w:r>
      <w:r>
        <w:rPr>
          <w:rFonts w:ascii="Times New Roman" w:hAnsi="Times New Roman" w:cs="Times New Roman"/>
        </w:rPr>
        <w:t>.</w:t>
      </w:r>
    </w:p>
    <w:p w14:paraId="7CF67274" w14:textId="77777777" w:rsidR="00720DFD" w:rsidRPr="00720DFD" w:rsidRDefault="00720DFD" w:rsidP="00720DFD">
      <w:pPr>
        <w:spacing w:after="0" w:line="276" w:lineRule="auto"/>
        <w:jc w:val="both"/>
        <w:rPr>
          <w:rFonts w:ascii="Times New Roman" w:hAnsi="Times New Roman" w:cs="Times New Roman"/>
          <w:i/>
          <w:color w:val="000000" w:themeColor="text1"/>
        </w:rPr>
      </w:pPr>
    </w:p>
    <w:p w14:paraId="1591D5CA" w14:textId="49066829" w:rsidR="00720DFD" w:rsidRDefault="00720DFD" w:rsidP="00720DFD">
      <w:pPr>
        <w:spacing w:after="0" w:line="276" w:lineRule="auto"/>
        <w:jc w:val="both"/>
        <w:rPr>
          <w:rFonts w:ascii="Times New Roman" w:hAnsi="Times New Roman" w:cs="Times New Roman"/>
        </w:rPr>
      </w:pPr>
      <w:r w:rsidRPr="00720DFD">
        <w:rPr>
          <w:rFonts w:ascii="Times New Roman" w:hAnsi="Times New Roman" w:cs="Times New Roman"/>
        </w:rPr>
        <w:t xml:space="preserve">Selv om stigende priser og mængder bidrager stærkt til stigningen i provenu, afspejler de tal indirekte, at rentabiliteten i flåden </w:t>
      </w:r>
      <w:r w:rsidR="00995CE0">
        <w:rPr>
          <w:rFonts w:ascii="Times New Roman" w:hAnsi="Times New Roman" w:cs="Times New Roman"/>
        </w:rPr>
        <w:t xml:space="preserve">er </w:t>
      </w:r>
      <w:r w:rsidRPr="00720DFD">
        <w:rPr>
          <w:rFonts w:ascii="Times New Roman" w:hAnsi="Times New Roman" w:cs="Times New Roman"/>
        </w:rPr>
        <w:t xml:space="preserve">høj, idet det i takt med den positive udvikling i driftsøkonomien har været muligt gradvist at forøge det samfundsøkonomiske afkast som højere beskatning af ressourcerenten ved tilpasninger i rejeafgiftens størrelse i opadgående retning. Udviklingen i afgiftsprovenuet er derfor endnu </w:t>
      </w:r>
      <w:r w:rsidR="00EA4D35">
        <w:rPr>
          <w:rFonts w:ascii="Times New Roman" w:hAnsi="Times New Roman" w:cs="Times New Roman"/>
        </w:rPr>
        <w:t xml:space="preserve">en </w:t>
      </w:r>
      <w:r w:rsidRPr="00720DFD">
        <w:rPr>
          <w:rFonts w:ascii="Times New Roman" w:hAnsi="Times New Roman" w:cs="Times New Roman"/>
        </w:rPr>
        <w:t xml:space="preserve">indikator på, at IOK-systemet er en succes for økonomien i rejeflåden samt for samfundet. </w:t>
      </w:r>
    </w:p>
    <w:p w14:paraId="09D50424" w14:textId="77777777" w:rsidR="0037026C" w:rsidRDefault="0037026C" w:rsidP="00EA4D35">
      <w:pPr>
        <w:spacing w:after="0" w:line="276" w:lineRule="auto"/>
        <w:rPr>
          <w:rFonts w:ascii="Times New Roman" w:hAnsi="Times New Roman" w:cs="Times New Roman"/>
          <w:color w:val="000000" w:themeColor="text1"/>
        </w:rPr>
      </w:pPr>
    </w:p>
    <w:p w14:paraId="27B436C7" w14:textId="77777777" w:rsidR="00471AE0" w:rsidRDefault="00471AE0">
      <w:pPr>
        <w:spacing w:after="0" w:line="276" w:lineRule="auto"/>
        <w:jc w:val="both"/>
        <w:rPr>
          <w:rFonts w:ascii="Times New Roman" w:hAnsi="Times New Roman" w:cs="Times New Roman"/>
          <w:color w:val="000000" w:themeColor="text1"/>
        </w:rPr>
      </w:pPr>
    </w:p>
    <w:p w14:paraId="47A63DC5" w14:textId="77777777" w:rsidR="00471AE0" w:rsidRDefault="00471AE0">
      <w:pPr>
        <w:spacing w:after="0" w:line="276" w:lineRule="auto"/>
        <w:jc w:val="both"/>
        <w:rPr>
          <w:rFonts w:ascii="Times New Roman" w:hAnsi="Times New Roman" w:cs="Times New Roman"/>
          <w:color w:val="000000" w:themeColor="text1"/>
        </w:rPr>
      </w:pPr>
    </w:p>
    <w:p w14:paraId="467FB292" w14:textId="77777777" w:rsidR="00471AE0" w:rsidRDefault="00471AE0">
      <w:pPr>
        <w:spacing w:after="0" w:line="276" w:lineRule="auto"/>
        <w:jc w:val="both"/>
        <w:rPr>
          <w:rFonts w:ascii="Times New Roman" w:hAnsi="Times New Roman" w:cs="Times New Roman"/>
          <w:color w:val="000000" w:themeColor="text1"/>
        </w:rPr>
      </w:pPr>
    </w:p>
    <w:p w14:paraId="2BF26EEC" w14:textId="77777777" w:rsidR="00471AE0" w:rsidRDefault="00471AE0">
      <w:pPr>
        <w:spacing w:after="0" w:line="276" w:lineRule="auto"/>
        <w:jc w:val="both"/>
        <w:rPr>
          <w:rFonts w:ascii="Times New Roman" w:hAnsi="Times New Roman" w:cs="Times New Roman"/>
          <w:color w:val="000000" w:themeColor="text1"/>
        </w:rPr>
      </w:pPr>
    </w:p>
    <w:p w14:paraId="647ABE3F" w14:textId="77777777" w:rsidR="00CF5089" w:rsidRDefault="00CF5089" w:rsidP="00241DBF">
      <w:pPr>
        <w:spacing w:after="0" w:line="276" w:lineRule="auto"/>
        <w:jc w:val="both"/>
        <w:rPr>
          <w:rFonts w:ascii="Times New Roman" w:hAnsi="Times New Roman" w:cs="Times New Roman"/>
          <w:b/>
          <w:color w:val="000000" w:themeColor="text1"/>
          <w:sz w:val="28"/>
          <w:szCs w:val="28"/>
        </w:rPr>
      </w:pPr>
    </w:p>
    <w:p w14:paraId="509D5B9F" w14:textId="46F5F311" w:rsidR="00B21CBE" w:rsidRPr="00E9193E" w:rsidRDefault="001727D0" w:rsidP="00241DBF">
      <w:pPr>
        <w:spacing w:after="0" w:line="276" w:lineRule="auto"/>
        <w:jc w:val="both"/>
        <w:rPr>
          <w:rFonts w:ascii="Times New Roman" w:hAnsi="Times New Roman" w:cs="Times New Roman"/>
          <w:b/>
          <w:color w:val="000000" w:themeColor="text1"/>
          <w:sz w:val="28"/>
          <w:szCs w:val="28"/>
        </w:rPr>
      </w:pPr>
      <w:r w:rsidRPr="00E9193E">
        <w:rPr>
          <w:rFonts w:ascii="Times New Roman" w:hAnsi="Times New Roman" w:cs="Times New Roman"/>
          <w:b/>
          <w:color w:val="000000" w:themeColor="text1"/>
          <w:sz w:val="28"/>
          <w:szCs w:val="28"/>
        </w:rPr>
        <w:t>Bilag A: Oversigt over rejetrawler i 2020</w:t>
      </w:r>
    </w:p>
    <w:p w14:paraId="3FD0CAEA" w14:textId="77777777" w:rsidR="001727D0" w:rsidRDefault="001727D0" w:rsidP="00720DFD">
      <w:pPr>
        <w:spacing w:after="0" w:line="276" w:lineRule="auto"/>
        <w:jc w:val="both"/>
        <w:rPr>
          <w:rFonts w:ascii="Times New Roman" w:hAnsi="Times New Roman" w:cs="Times New Roman"/>
          <w:color w:val="000000" w:themeColor="text1"/>
        </w:rPr>
      </w:pPr>
    </w:p>
    <w:p w14:paraId="480538EA" w14:textId="77777777" w:rsidR="001727D0" w:rsidRPr="0099672D" w:rsidRDefault="001727D0" w:rsidP="00720DFD">
      <w:pPr>
        <w:spacing w:after="0" w:line="276" w:lineRule="auto"/>
        <w:jc w:val="both"/>
        <w:rPr>
          <w:rFonts w:ascii="Times New Roman" w:hAnsi="Times New Roman" w:cs="Times New Roman"/>
          <w:color w:val="000000" w:themeColor="text1"/>
          <w:sz w:val="24"/>
          <w:szCs w:val="24"/>
        </w:rPr>
      </w:pPr>
      <w:r w:rsidRPr="0099672D">
        <w:rPr>
          <w:rFonts w:ascii="Times New Roman" w:hAnsi="Times New Roman" w:cs="Times New Roman"/>
          <w:color w:val="000000" w:themeColor="text1"/>
          <w:sz w:val="24"/>
          <w:szCs w:val="24"/>
        </w:rPr>
        <w:lastRenderedPageBreak/>
        <w:t>Havgående rejetrawler i 2020</w:t>
      </w:r>
    </w:p>
    <w:tbl>
      <w:tblPr>
        <w:tblW w:w="5000" w:type="pct"/>
        <w:tblCellMar>
          <w:left w:w="70" w:type="dxa"/>
          <w:right w:w="70" w:type="dxa"/>
        </w:tblCellMar>
        <w:tblLook w:val="04A0" w:firstRow="1" w:lastRow="0" w:firstColumn="1" w:lastColumn="0" w:noHBand="0" w:noVBand="1"/>
      </w:tblPr>
      <w:tblGrid>
        <w:gridCol w:w="5018"/>
        <w:gridCol w:w="2860"/>
        <w:gridCol w:w="1750"/>
      </w:tblGrid>
      <w:tr w:rsidR="0099672D" w:rsidRPr="0099672D" w14:paraId="13B38F5B" w14:textId="77777777" w:rsidTr="0099672D">
        <w:trPr>
          <w:trHeight w:val="315"/>
        </w:trPr>
        <w:tc>
          <w:tcPr>
            <w:tcW w:w="26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1B810"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Navn på rejetrawler</w:t>
            </w:r>
          </w:p>
        </w:tc>
        <w:tc>
          <w:tcPr>
            <w:tcW w:w="1485" w:type="pct"/>
            <w:tcBorders>
              <w:top w:val="single" w:sz="4" w:space="0" w:color="auto"/>
              <w:left w:val="nil"/>
              <w:bottom w:val="single" w:sz="4" w:space="0" w:color="auto"/>
              <w:right w:val="single" w:sz="4" w:space="0" w:color="auto"/>
            </w:tcBorders>
            <w:shd w:val="clear" w:color="000000" w:fill="FFFFFF"/>
            <w:noWrap/>
            <w:vAlign w:val="bottom"/>
            <w:hideMark/>
          </w:tcPr>
          <w:p w14:paraId="59BEF316"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Længde, meter</w:t>
            </w:r>
          </w:p>
        </w:tc>
        <w:tc>
          <w:tcPr>
            <w:tcW w:w="909" w:type="pct"/>
            <w:tcBorders>
              <w:top w:val="single" w:sz="4" w:space="0" w:color="auto"/>
              <w:left w:val="nil"/>
              <w:bottom w:val="single" w:sz="4" w:space="0" w:color="auto"/>
              <w:right w:val="single" w:sz="4" w:space="0" w:color="auto"/>
            </w:tcBorders>
            <w:shd w:val="clear" w:color="000000" w:fill="FFFFFF"/>
            <w:noWrap/>
            <w:vAlign w:val="bottom"/>
            <w:hideMark/>
          </w:tcPr>
          <w:p w14:paraId="0D807274"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Byggeår</w:t>
            </w:r>
          </w:p>
        </w:tc>
      </w:tr>
      <w:tr w:rsidR="0099672D" w:rsidRPr="0099672D" w14:paraId="70E8BC2D" w14:textId="77777777" w:rsidTr="0099672D">
        <w:trPr>
          <w:trHeight w:val="315"/>
        </w:trPr>
        <w:tc>
          <w:tcPr>
            <w:tcW w:w="2606" w:type="pct"/>
            <w:tcBorders>
              <w:top w:val="nil"/>
              <w:left w:val="single" w:sz="4" w:space="0" w:color="auto"/>
              <w:bottom w:val="single" w:sz="4" w:space="0" w:color="auto"/>
              <w:right w:val="single" w:sz="4" w:space="0" w:color="auto"/>
            </w:tcBorders>
            <w:shd w:val="clear" w:color="000000" w:fill="FFFFFF"/>
            <w:noWrap/>
            <w:vAlign w:val="bottom"/>
            <w:hideMark/>
          </w:tcPr>
          <w:p w14:paraId="6A8F46E9"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Regina C</w:t>
            </w:r>
          </w:p>
        </w:tc>
        <w:tc>
          <w:tcPr>
            <w:tcW w:w="1485" w:type="pct"/>
            <w:tcBorders>
              <w:top w:val="nil"/>
              <w:left w:val="nil"/>
              <w:bottom w:val="single" w:sz="4" w:space="0" w:color="auto"/>
              <w:right w:val="single" w:sz="4" w:space="0" w:color="auto"/>
            </w:tcBorders>
            <w:shd w:val="clear" w:color="000000" w:fill="FFFFFF"/>
            <w:noWrap/>
            <w:vAlign w:val="bottom"/>
            <w:hideMark/>
          </w:tcPr>
          <w:p w14:paraId="15A042F8"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79,05</w:t>
            </w:r>
          </w:p>
        </w:tc>
        <w:tc>
          <w:tcPr>
            <w:tcW w:w="909" w:type="pct"/>
            <w:tcBorders>
              <w:top w:val="nil"/>
              <w:left w:val="nil"/>
              <w:bottom w:val="single" w:sz="4" w:space="0" w:color="auto"/>
              <w:right w:val="single" w:sz="4" w:space="0" w:color="auto"/>
            </w:tcBorders>
            <w:shd w:val="clear" w:color="000000" w:fill="FFFFFF"/>
            <w:noWrap/>
            <w:vAlign w:val="bottom"/>
            <w:hideMark/>
          </w:tcPr>
          <w:p w14:paraId="4035F444"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2018</w:t>
            </w:r>
          </w:p>
        </w:tc>
      </w:tr>
      <w:tr w:rsidR="0099672D" w:rsidRPr="0099672D" w14:paraId="41BDD856" w14:textId="77777777" w:rsidTr="0099672D">
        <w:trPr>
          <w:trHeight w:val="315"/>
        </w:trPr>
        <w:tc>
          <w:tcPr>
            <w:tcW w:w="2606" w:type="pct"/>
            <w:tcBorders>
              <w:top w:val="nil"/>
              <w:left w:val="single" w:sz="4" w:space="0" w:color="auto"/>
              <w:bottom w:val="nil"/>
              <w:right w:val="single" w:sz="4" w:space="0" w:color="auto"/>
            </w:tcBorders>
            <w:shd w:val="clear" w:color="000000" w:fill="FFFFFF"/>
            <w:noWrap/>
            <w:vAlign w:val="bottom"/>
            <w:hideMark/>
          </w:tcPr>
          <w:p w14:paraId="2B8804A2"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Markus</w:t>
            </w:r>
          </w:p>
        </w:tc>
        <w:tc>
          <w:tcPr>
            <w:tcW w:w="1485" w:type="pct"/>
            <w:tcBorders>
              <w:top w:val="nil"/>
              <w:left w:val="nil"/>
              <w:bottom w:val="single" w:sz="4" w:space="0" w:color="auto"/>
              <w:right w:val="single" w:sz="4" w:space="0" w:color="auto"/>
            </w:tcBorders>
            <w:shd w:val="clear" w:color="000000" w:fill="FFFFFF"/>
            <w:noWrap/>
            <w:vAlign w:val="bottom"/>
            <w:hideMark/>
          </w:tcPr>
          <w:p w14:paraId="1C267F1D"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80,6</w:t>
            </w:r>
          </w:p>
        </w:tc>
        <w:tc>
          <w:tcPr>
            <w:tcW w:w="909" w:type="pct"/>
            <w:tcBorders>
              <w:top w:val="nil"/>
              <w:left w:val="nil"/>
              <w:bottom w:val="single" w:sz="4" w:space="0" w:color="auto"/>
              <w:right w:val="single" w:sz="4" w:space="0" w:color="auto"/>
            </w:tcBorders>
            <w:shd w:val="clear" w:color="000000" w:fill="FFFFFF"/>
            <w:noWrap/>
            <w:vAlign w:val="bottom"/>
            <w:hideMark/>
          </w:tcPr>
          <w:p w14:paraId="0BE74139"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2017</w:t>
            </w:r>
          </w:p>
        </w:tc>
      </w:tr>
      <w:tr w:rsidR="0099672D" w:rsidRPr="0099672D" w14:paraId="1904310D" w14:textId="77777777" w:rsidTr="0099672D">
        <w:trPr>
          <w:trHeight w:val="315"/>
        </w:trPr>
        <w:tc>
          <w:tcPr>
            <w:tcW w:w="26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130A9"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 xml:space="preserve">Polar </w:t>
            </w:r>
            <w:proofErr w:type="spellStart"/>
            <w:r w:rsidRPr="0099672D">
              <w:rPr>
                <w:rFonts w:ascii="Times New Roman" w:eastAsia="Times New Roman" w:hAnsi="Times New Roman" w:cs="Times New Roman"/>
                <w:color w:val="000000"/>
                <w:sz w:val="24"/>
                <w:szCs w:val="24"/>
                <w:lang w:eastAsia="da-DK"/>
              </w:rPr>
              <w:t>Nattoralik</w:t>
            </w:r>
            <w:proofErr w:type="spellEnd"/>
          </w:p>
        </w:tc>
        <w:tc>
          <w:tcPr>
            <w:tcW w:w="1485" w:type="pct"/>
            <w:tcBorders>
              <w:top w:val="nil"/>
              <w:left w:val="nil"/>
              <w:bottom w:val="single" w:sz="4" w:space="0" w:color="auto"/>
              <w:right w:val="single" w:sz="4" w:space="0" w:color="auto"/>
            </w:tcBorders>
            <w:shd w:val="clear" w:color="000000" w:fill="FFFFFF"/>
            <w:noWrap/>
            <w:vAlign w:val="bottom"/>
            <w:hideMark/>
          </w:tcPr>
          <w:p w14:paraId="33549FEF"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80,6</w:t>
            </w:r>
          </w:p>
        </w:tc>
        <w:tc>
          <w:tcPr>
            <w:tcW w:w="909" w:type="pct"/>
            <w:tcBorders>
              <w:top w:val="nil"/>
              <w:left w:val="nil"/>
              <w:bottom w:val="single" w:sz="4" w:space="0" w:color="auto"/>
              <w:right w:val="single" w:sz="4" w:space="0" w:color="auto"/>
            </w:tcBorders>
            <w:shd w:val="clear" w:color="000000" w:fill="FFFFFF"/>
            <w:noWrap/>
            <w:vAlign w:val="bottom"/>
            <w:hideMark/>
          </w:tcPr>
          <w:p w14:paraId="508853D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2019</w:t>
            </w:r>
          </w:p>
        </w:tc>
      </w:tr>
      <w:tr w:rsidR="0099672D" w:rsidRPr="0099672D" w14:paraId="3DEE28AA" w14:textId="77777777" w:rsidTr="0099672D">
        <w:trPr>
          <w:trHeight w:val="315"/>
        </w:trPr>
        <w:tc>
          <w:tcPr>
            <w:tcW w:w="2606" w:type="pct"/>
            <w:tcBorders>
              <w:top w:val="nil"/>
              <w:left w:val="single" w:sz="4" w:space="0" w:color="auto"/>
              <w:bottom w:val="nil"/>
              <w:right w:val="single" w:sz="4" w:space="0" w:color="auto"/>
            </w:tcBorders>
            <w:shd w:val="clear" w:color="000000" w:fill="FFFFFF"/>
            <w:noWrap/>
            <w:vAlign w:val="bottom"/>
            <w:hideMark/>
          </w:tcPr>
          <w:p w14:paraId="50DA7512"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 xml:space="preserve">Polar </w:t>
            </w:r>
            <w:proofErr w:type="spellStart"/>
            <w:r w:rsidRPr="0099672D">
              <w:rPr>
                <w:rFonts w:ascii="Times New Roman" w:eastAsia="Times New Roman" w:hAnsi="Times New Roman" w:cs="Times New Roman"/>
                <w:color w:val="000000"/>
                <w:sz w:val="24"/>
                <w:szCs w:val="24"/>
                <w:lang w:eastAsia="da-DK"/>
              </w:rPr>
              <w:t>Qaasiut</w:t>
            </w:r>
            <w:proofErr w:type="spellEnd"/>
          </w:p>
        </w:tc>
        <w:tc>
          <w:tcPr>
            <w:tcW w:w="1485" w:type="pct"/>
            <w:tcBorders>
              <w:top w:val="nil"/>
              <w:left w:val="nil"/>
              <w:bottom w:val="single" w:sz="4" w:space="0" w:color="auto"/>
              <w:right w:val="single" w:sz="4" w:space="0" w:color="auto"/>
            </w:tcBorders>
            <w:shd w:val="clear" w:color="000000" w:fill="FFFFFF"/>
            <w:noWrap/>
            <w:vAlign w:val="bottom"/>
            <w:hideMark/>
          </w:tcPr>
          <w:p w14:paraId="67CA19F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70,5</w:t>
            </w:r>
          </w:p>
        </w:tc>
        <w:tc>
          <w:tcPr>
            <w:tcW w:w="909" w:type="pct"/>
            <w:tcBorders>
              <w:top w:val="nil"/>
              <w:left w:val="nil"/>
              <w:bottom w:val="single" w:sz="4" w:space="0" w:color="auto"/>
              <w:right w:val="single" w:sz="4" w:space="0" w:color="auto"/>
            </w:tcBorders>
            <w:shd w:val="clear" w:color="000000" w:fill="FFFFFF"/>
            <w:noWrap/>
            <w:vAlign w:val="bottom"/>
            <w:hideMark/>
          </w:tcPr>
          <w:p w14:paraId="4F52FE2F"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2002</w:t>
            </w:r>
          </w:p>
        </w:tc>
      </w:tr>
      <w:tr w:rsidR="0099672D" w:rsidRPr="0099672D" w14:paraId="7E73209C" w14:textId="77777777" w:rsidTr="0099672D">
        <w:trPr>
          <w:trHeight w:val="315"/>
        </w:trPr>
        <w:tc>
          <w:tcPr>
            <w:tcW w:w="26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9AE88E"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Akamalik</w:t>
            </w:r>
            <w:proofErr w:type="spellEnd"/>
          </w:p>
        </w:tc>
        <w:tc>
          <w:tcPr>
            <w:tcW w:w="1485" w:type="pct"/>
            <w:tcBorders>
              <w:top w:val="nil"/>
              <w:left w:val="nil"/>
              <w:bottom w:val="single" w:sz="4" w:space="0" w:color="auto"/>
              <w:right w:val="single" w:sz="4" w:space="0" w:color="auto"/>
            </w:tcBorders>
            <w:shd w:val="clear" w:color="000000" w:fill="FFFFFF"/>
            <w:noWrap/>
            <w:vAlign w:val="bottom"/>
            <w:hideMark/>
          </w:tcPr>
          <w:p w14:paraId="75D897E1"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75,8</w:t>
            </w:r>
          </w:p>
        </w:tc>
        <w:tc>
          <w:tcPr>
            <w:tcW w:w="909" w:type="pct"/>
            <w:tcBorders>
              <w:top w:val="nil"/>
              <w:left w:val="nil"/>
              <w:bottom w:val="single" w:sz="4" w:space="0" w:color="auto"/>
              <w:right w:val="single" w:sz="4" w:space="0" w:color="auto"/>
            </w:tcBorders>
            <w:shd w:val="clear" w:color="000000" w:fill="FFFFFF"/>
            <w:noWrap/>
            <w:vAlign w:val="bottom"/>
            <w:hideMark/>
          </w:tcPr>
          <w:p w14:paraId="11477C2A"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2001</w:t>
            </w:r>
          </w:p>
        </w:tc>
      </w:tr>
      <w:tr w:rsidR="0099672D" w:rsidRPr="0099672D" w14:paraId="671431B5" w14:textId="77777777" w:rsidTr="0099672D">
        <w:trPr>
          <w:trHeight w:val="315"/>
        </w:trPr>
        <w:tc>
          <w:tcPr>
            <w:tcW w:w="2606" w:type="pct"/>
            <w:tcBorders>
              <w:top w:val="nil"/>
              <w:left w:val="single" w:sz="4" w:space="0" w:color="auto"/>
              <w:bottom w:val="single" w:sz="4" w:space="0" w:color="auto"/>
              <w:right w:val="single" w:sz="4" w:space="0" w:color="auto"/>
            </w:tcBorders>
            <w:shd w:val="clear" w:color="000000" w:fill="FFFFFF"/>
            <w:noWrap/>
            <w:vAlign w:val="bottom"/>
            <w:hideMark/>
          </w:tcPr>
          <w:p w14:paraId="21B6FA35"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Avataq</w:t>
            </w:r>
            <w:proofErr w:type="spellEnd"/>
          </w:p>
        </w:tc>
        <w:tc>
          <w:tcPr>
            <w:tcW w:w="1485" w:type="pct"/>
            <w:tcBorders>
              <w:top w:val="nil"/>
              <w:left w:val="nil"/>
              <w:bottom w:val="single" w:sz="4" w:space="0" w:color="auto"/>
              <w:right w:val="single" w:sz="4" w:space="0" w:color="auto"/>
            </w:tcBorders>
            <w:shd w:val="clear" w:color="000000" w:fill="FFFFFF"/>
            <w:noWrap/>
            <w:vAlign w:val="bottom"/>
            <w:hideMark/>
          </w:tcPr>
          <w:p w14:paraId="03A98EB6"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82,3</w:t>
            </w:r>
          </w:p>
        </w:tc>
        <w:tc>
          <w:tcPr>
            <w:tcW w:w="909" w:type="pct"/>
            <w:tcBorders>
              <w:top w:val="nil"/>
              <w:left w:val="nil"/>
              <w:bottom w:val="single" w:sz="4" w:space="0" w:color="auto"/>
              <w:right w:val="single" w:sz="4" w:space="0" w:color="auto"/>
            </w:tcBorders>
            <w:shd w:val="clear" w:color="000000" w:fill="FFFFFF"/>
            <w:noWrap/>
            <w:vAlign w:val="bottom"/>
            <w:hideMark/>
          </w:tcPr>
          <w:p w14:paraId="1AD48C39"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2019</w:t>
            </w:r>
          </w:p>
        </w:tc>
      </w:tr>
      <w:tr w:rsidR="0099672D" w:rsidRPr="0099672D" w14:paraId="44EEC1EF" w14:textId="77777777" w:rsidTr="0099672D">
        <w:trPr>
          <w:trHeight w:val="315"/>
        </w:trPr>
        <w:tc>
          <w:tcPr>
            <w:tcW w:w="2606" w:type="pct"/>
            <w:tcBorders>
              <w:top w:val="nil"/>
              <w:left w:val="single" w:sz="4" w:space="0" w:color="auto"/>
              <w:bottom w:val="single" w:sz="4" w:space="0" w:color="auto"/>
              <w:right w:val="single" w:sz="4" w:space="0" w:color="auto"/>
            </w:tcBorders>
            <w:shd w:val="clear" w:color="000000" w:fill="FFFFFF"/>
            <w:noWrap/>
            <w:vAlign w:val="bottom"/>
            <w:hideMark/>
          </w:tcPr>
          <w:p w14:paraId="0CC3E624"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Nataarnaq</w:t>
            </w:r>
            <w:proofErr w:type="spellEnd"/>
          </w:p>
        </w:tc>
        <w:tc>
          <w:tcPr>
            <w:tcW w:w="1485" w:type="pct"/>
            <w:tcBorders>
              <w:top w:val="nil"/>
              <w:left w:val="nil"/>
              <w:bottom w:val="single" w:sz="4" w:space="0" w:color="auto"/>
              <w:right w:val="single" w:sz="4" w:space="0" w:color="auto"/>
            </w:tcBorders>
            <w:shd w:val="clear" w:color="000000" w:fill="FFFFFF"/>
            <w:noWrap/>
            <w:vAlign w:val="bottom"/>
            <w:hideMark/>
          </w:tcPr>
          <w:p w14:paraId="5260B072"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67,5</w:t>
            </w:r>
          </w:p>
        </w:tc>
        <w:tc>
          <w:tcPr>
            <w:tcW w:w="909" w:type="pct"/>
            <w:tcBorders>
              <w:top w:val="nil"/>
              <w:left w:val="nil"/>
              <w:bottom w:val="single" w:sz="4" w:space="0" w:color="auto"/>
              <w:right w:val="single" w:sz="4" w:space="0" w:color="auto"/>
            </w:tcBorders>
            <w:shd w:val="clear" w:color="000000" w:fill="FFFFFF"/>
            <w:noWrap/>
            <w:vAlign w:val="bottom"/>
            <w:hideMark/>
          </w:tcPr>
          <w:p w14:paraId="625DD62F"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2001</w:t>
            </w:r>
          </w:p>
        </w:tc>
      </w:tr>
    </w:tbl>
    <w:p w14:paraId="31BAFE3C" w14:textId="41F5CAFE" w:rsidR="001727D0" w:rsidRPr="00D8694E" w:rsidRDefault="001727D0" w:rsidP="00A21B75">
      <w:pPr>
        <w:spacing w:after="0" w:line="276" w:lineRule="auto"/>
        <w:jc w:val="both"/>
        <w:rPr>
          <w:rFonts w:ascii="Times New Roman" w:hAnsi="Times New Roman" w:cs="Times New Roman"/>
          <w:color w:val="000000" w:themeColor="text1"/>
          <w:sz w:val="20"/>
          <w:szCs w:val="20"/>
        </w:rPr>
      </w:pPr>
      <w:r w:rsidRPr="00D8694E">
        <w:rPr>
          <w:rFonts w:ascii="Times New Roman" w:hAnsi="Times New Roman" w:cs="Times New Roman"/>
          <w:color w:val="000000" w:themeColor="text1"/>
          <w:sz w:val="20"/>
          <w:szCs w:val="20"/>
        </w:rPr>
        <w:t>Kilde: GFLK.</w:t>
      </w:r>
    </w:p>
    <w:p w14:paraId="6DB82247" w14:textId="77777777" w:rsidR="001727D0" w:rsidRPr="003916D6" w:rsidRDefault="001727D0" w:rsidP="00241DBF">
      <w:pPr>
        <w:spacing w:after="0" w:line="276" w:lineRule="auto"/>
        <w:jc w:val="both"/>
        <w:rPr>
          <w:rFonts w:ascii="Times New Roman" w:hAnsi="Times New Roman" w:cs="Times New Roman"/>
          <w:color w:val="000000" w:themeColor="text1"/>
        </w:rPr>
      </w:pPr>
    </w:p>
    <w:p w14:paraId="4C07FFDE" w14:textId="55AFC1F1" w:rsidR="001727D0" w:rsidRPr="0099672D" w:rsidRDefault="001727D0" w:rsidP="00720DFD">
      <w:pPr>
        <w:spacing w:after="0" w:line="276" w:lineRule="auto"/>
        <w:jc w:val="both"/>
        <w:rPr>
          <w:rFonts w:ascii="Times New Roman" w:hAnsi="Times New Roman" w:cs="Times New Roman"/>
          <w:color w:val="000000" w:themeColor="text1"/>
          <w:sz w:val="24"/>
          <w:szCs w:val="24"/>
        </w:rPr>
      </w:pPr>
      <w:r w:rsidRPr="0099672D">
        <w:rPr>
          <w:rFonts w:ascii="Times New Roman" w:hAnsi="Times New Roman" w:cs="Times New Roman"/>
          <w:color w:val="000000" w:themeColor="text1"/>
          <w:sz w:val="24"/>
          <w:szCs w:val="24"/>
        </w:rPr>
        <w:t>Kystnære rejetrawler i 2020</w:t>
      </w:r>
    </w:p>
    <w:tbl>
      <w:tblPr>
        <w:tblW w:w="5000" w:type="pct"/>
        <w:tblCellMar>
          <w:left w:w="70" w:type="dxa"/>
          <w:right w:w="70" w:type="dxa"/>
        </w:tblCellMar>
        <w:tblLook w:val="04A0" w:firstRow="1" w:lastRow="0" w:firstColumn="1" w:lastColumn="0" w:noHBand="0" w:noVBand="1"/>
      </w:tblPr>
      <w:tblGrid>
        <w:gridCol w:w="4575"/>
        <w:gridCol w:w="2607"/>
        <w:gridCol w:w="2446"/>
      </w:tblGrid>
      <w:tr w:rsidR="0099672D" w:rsidRPr="0099672D" w14:paraId="63768F62" w14:textId="77777777" w:rsidTr="0099672D">
        <w:trPr>
          <w:trHeight w:val="315"/>
        </w:trPr>
        <w:tc>
          <w:tcPr>
            <w:tcW w:w="23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8FECA"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Navn på rejetrawler</w:t>
            </w:r>
          </w:p>
        </w:tc>
        <w:tc>
          <w:tcPr>
            <w:tcW w:w="1354" w:type="pct"/>
            <w:tcBorders>
              <w:top w:val="single" w:sz="4" w:space="0" w:color="auto"/>
              <w:left w:val="nil"/>
              <w:bottom w:val="single" w:sz="4" w:space="0" w:color="auto"/>
              <w:right w:val="single" w:sz="4" w:space="0" w:color="auto"/>
            </w:tcBorders>
            <w:shd w:val="clear" w:color="000000" w:fill="FFFFFF"/>
            <w:noWrap/>
            <w:vAlign w:val="bottom"/>
            <w:hideMark/>
          </w:tcPr>
          <w:p w14:paraId="25933C8A"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Længde, meter</w:t>
            </w:r>
          </w:p>
        </w:tc>
        <w:tc>
          <w:tcPr>
            <w:tcW w:w="1271" w:type="pct"/>
            <w:tcBorders>
              <w:top w:val="single" w:sz="4" w:space="0" w:color="auto"/>
              <w:left w:val="nil"/>
              <w:bottom w:val="single" w:sz="4" w:space="0" w:color="auto"/>
              <w:right w:val="single" w:sz="4" w:space="0" w:color="auto"/>
            </w:tcBorders>
            <w:shd w:val="clear" w:color="000000" w:fill="FFFFFF"/>
            <w:noWrap/>
            <w:vAlign w:val="bottom"/>
            <w:hideMark/>
          </w:tcPr>
          <w:p w14:paraId="1C86339B"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Byggeår</w:t>
            </w:r>
          </w:p>
        </w:tc>
      </w:tr>
      <w:tr w:rsidR="0099672D" w:rsidRPr="0099672D" w14:paraId="03B12DCB"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66786C8"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Svend C</w:t>
            </w:r>
          </w:p>
        </w:tc>
        <w:tc>
          <w:tcPr>
            <w:tcW w:w="1354" w:type="pct"/>
            <w:tcBorders>
              <w:top w:val="nil"/>
              <w:left w:val="nil"/>
              <w:bottom w:val="single" w:sz="4" w:space="0" w:color="auto"/>
              <w:right w:val="single" w:sz="4" w:space="0" w:color="auto"/>
            </w:tcBorders>
            <w:shd w:val="clear" w:color="000000" w:fill="FFFFFF"/>
            <w:noWrap/>
            <w:vAlign w:val="bottom"/>
            <w:hideMark/>
          </w:tcPr>
          <w:p w14:paraId="5CAA7AE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83,5</w:t>
            </w:r>
          </w:p>
        </w:tc>
        <w:tc>
          <w:tcPr>
            <w:tcW w:w="1271" w:type="pct"/>
            <w:tcBorders>
              <w:top w:val="nil"/>
              <w:left w:val="nil"/>
              <w:bottom w:val="single" w:sz="4" w:space="0" w:color="auto"/>
              <w:right w:val="single" w:sz="4" w:space="0" w:color="auto"/>
            </w:tcBorders>
            <w:shd w:val="clear" w:color="000000" w:fill="FFFFFF"/>
            <w:noWrap/>
            <w:vAlign w:val="bottom"/>
            <w:hideMark/>
          </w:tcPr>
          <w:p w14:paraId="1338C383"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2016</w:t>
            </w:r>
          </w:p>
        </w:tc>
      </w:tr>
      <w:tr w:rsidR="0099672D" w:rsidRPr="0099672D" w14:paraId="27C77911"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3F3676E0"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Angunnguaq</w:t>
            </w:r>
            <w:proofErr w:type="spellEnd"/>
            <w:r w:rsidRPr="0099672D">
              <w:rPr>
                <w:rFonts w:ascii="Times New Roman" w:eastAsia="Times New Roman" w:hAnsi="Times New Roman" w:cs="Times New Roman"/>
                <w:color w:val="000000"/>
                <w:sz w:val="24"/>
                <w:szCs w:val="24"/>
                <w:lang w:eastAsia="da-DK"/>
              </w:rPr>
              <w:t xml:space="preserve"> II</w:t>
            </w:r>
          </w:p>
        </w:tc>
        <w:tc>
          <w:tcPr>
            <w:tcW w:w="1354" w:type="pct"/>
            <w:tcBorders>
              <w:top w:val="nil"/>
              <w:left w:val="nil"/>
              <w:bottom w:val="single" w:sz="4" w:space="0" w:color="auto"/>
              <w:right w:val="single" w:sz="4" w:space="0" w:color="auto"/>
            </w:tcBorders>
            <w:shd w:val="clear" w:color="000000" w:fill="FFFFFF"/>
            <w:noWrap/>
            <w:vAlign w:val="bottom"/>
            <w:hideMark/>
          </w:tcPr>
          <w:p w14:paraId="277B36B5"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46,1</w:t>
            </w:r>
          </w:p>
        </w:tc>
        <w:tc>
          <w:tcPr>
            <w:tcW w:w="1271" w:type="pct"/>
            <w:tcBorders>
              <w:top w:val="nil"/>
              <w:left w:val="nil"/>
              <w:bottom w:val="single" w:sz="4" w:space="0" w:color="auto"/>
              <w:right w:val="single" w:sz="4" w:space="0" w:color="auto"/>
            </w:tcBorders>
            <w:shd w:val="clear" w:color="000000" w:fill="FFFFFF"/>
            <w:noWrap/>
            <w:vAlign w:val="bottom"/>
            <w:hideMark/>
          </w:tcPr>
          <w:p w14:paraId="3CEE9499"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1985</w:t>
            </w:r>
          </w:p>
        </w:tc>
      </w:tr>
      <w:tr w:rsidR="0099672D" w:rsidRPr="0099672D" w14:paraId="4EE7788A"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A7C3F98"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Lomur</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7BA06974"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43,2</w:t>
            </w:r>
          </w:p>
        </w:tc>
        <w:tc>
          <w:tcPr>
            <w:tcW w:w="1271" w:type="pct"/>
            <w:tcBorders>
              <w:top w:val="nil"/>
              <w:left w:val="nil"/>
              <w:bottom w:val="single" w:sz="4" w:space="0" w:color="auto"/>
              <w:right w:val="single" w:sz="4" w:space="0" w:color="auto"/>
            </w:tcBorders>
            <w:shd w:val="clear" w:color="000000" w:fill="FFFFFF"/>
            <w:noWrap/>
            <w:vAlign w:val="bottom"/>
            <w:hideMark/>
          </w:tcPr>
          <w:p w14:paraId="53FA9308"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1998</w:t>
            </w:r>
          </w:p>
        </w:tc>
      </w:tr>
      <w:tr w:rsidR="0099672D" w:rsidRPr="0099672D" w14:paraId="12717E40"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1082FC9"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 xml:space="preserve">Polar </w:t>
            </w:r>
            <w:proofErr w:type="spellStart"/>
            <w:r w:rsidRPr="0099672D">
              <w:rPr>
                <w:rFonts w:ascii="Times New Roman" w:eastAsia="Times New Roman" w:hAnsi="Times New Roman" w:cs="Times New Roman"/>
                <w:color w:val="000000"/>
                <w:sz w:val="24"/>
                <w:szCs w:val="24"/>
                <w:lang w:eastAsia="da-DK"/>
              </w:rPr>
              <w:t>Nataarnaq</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521DE9D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42,1</w:t>
            </w:r>
          </w:p>
        </w:tc>
        <w:tc>
          <w:tcPr>
            <w:tcW w:w="1271" w:type="pct"/>
            <w:tcBorders>
              <w:top w:val="nil"/>
              <w:left w:val="nil"/>
              <w:bottom w:val="single" w:sz="4" w:space="0" w:color="auto"/>
              <w:right w:val="single" w:sz="4" w:space="0" w:color="auto"/>
            </w:tcBorders>
            <w:shd w:val="clear" w:color="000000" w:fill="FFFFFF"/>
            <w:noWrap/>
            <w:vAlign w:val="bottom"/>
            <w:hideMark/>
          </w:tcPr>
          <w:p w14:paraId="60A0C34E"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1987</w:t>
            </w:r>
          </w:p>
        </w:tc>
      </w:tr>
      <w:tr w:rsidR="0099672D" w:rsidRPr="0099672D" w14:paraId="4CE42A9B"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7051AD8"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 xml:space="preserve">Polar </w:t>
            </w:r>
            <w:proofErr w:type="spellStart"/>
            <w:r w:rsidRPr="0099672D">
              <w:rPr>
                <w:rFonts w:ascii="Times New Roman" w:eastAsia="Times New Roman" w:hAnsi="Times New Roman" w:cs="Times New Roman"/>
                <w:color w:val="000000"/>
                <w:sz w:val="24"/>
                <w:szCs w:val="24"/>
                <w:lang w:eastAsia="da-DK"/>
              </w:rPr>
              <w:t>Aassik</w:t>
            </w:r>
            <w:proofErr w:type="spellEnd"/>
            <w:r w:rsidRPr="0099672D">
              <w:rPr>
                <w:rFonts w:ascii="Times New Roman" w:eastAsia="Times New Roman" w:hAnsi="Times New Roman" w:cs="Times New Roman"/>
                <w:color w:val="000000"/>
                <w:sz w:val="24"/>
                <w:szCs w:val="24"/>
                <w:lang w:eastAsia="da-DK"/>
              </w:rPr>
              <w:t xml:space="preserve"> </w:t>
            </w:r>
          </w:p>
        </w:tc>
        <w:tc>
          <w:tcPr>
            <w:tcW w:w="1354" w:type="pct"/>
            <w:tcBorders>
              <w:top w:val="nil"/>
              <w:left w:val="nil"/>
              <w:bottom w:val="single" w:sz="4" w:space="0" w:color="auto"/>
              <w:right w:val="single" w:sz="4" w:space="0" w:color="auto"/>
            </w:tcBorders>
            <w:shd w:val="clear" w:color="000000" w:fill="FFFFFF"/>
            <w:noWrap/>
            <w:vAlign w:val="bottom"/>
            <w:hideMark/>
          </w:tcPr>
          <w:p w14:paraId="09E38FC9"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34,0</w:t>
            </w:r>
          </w:p>
        </w:tc>
        <w:tc>
          <w:tcPr>
            <w:tcW w:w="1271" w:type="pct"/>
            <w:tcBorders>
              <w:top w:val="nil"/>
              <w:left w:val="nil"/>
              <w:bottom w:val="single" w:sz="4" w:space="0" w:color="auto"/>
              <w:right w:val="single" w:sz="4" w:space="0" w:color="auto"/>
            </w:tcBorders>
            <w:shd w:val="clear" w:color="000000" w:fill="FFFFFF"/>
            <w:noWrap/>
            <w:vAlign w:val="bottom"/>
            <w:hideMark/>
          </w:tcPr>
          <w:p w14:paraId="7A0FD826"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1989</w:t>
            </w:r>
          </w:p>
        </w:tc>
      </w:tr>
      <w:tr w:rsidR="0099672D" w:rsidRPr="0099672D" w14:paraId="5D14738F"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8435F70"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Claudia</w:t>
            </w:r>
          </w:p>
        </w:tc>
        <w:tc>
          <w:tcPr>
            <w:tcW w:w="1354" w:type="pct"/>
            <w:tcBorders>
              <w:top w:val="nil"/>
              <w:left w:val="nil"/>
              <w:bottom w:val="single" w:sz="4" w:space="0" w:color="auto"/>
              <w:right w:val="single" w:sz="4" w:space="0" w:color="auto"/>
            </w:tcBorders>
            <w:shd w:val="clear" w:color="000000" w:fill="FFFFFF"/>
            <w:noWrap/>
            <w:vAlign w:val="bottom"/>
            <w:hideMark/>
          </w:tcPr>
          <w:p w14:paraId="7BB1317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29,0</w:t>
            </w:r>
          </w:p>
        </w:tc>
        <w:tc>
          <w:tcPr>
            <w:tcW w:w="1271" w:type="pct"/>
            <w:tcBorders>
              <w:top w:val="nil"/>
              <w:left w:val="nil"/>
              <w:bottom w:val="single" w:sz="4" w:space="0" w:color="auto"/>
              <w:right w:val="single" w:sz="4" w:space="0" w:color="auto"/>
            </w:tcBorders>
            <w:shd w:val="clear" w:color="000000" w:fill="FFFFFF"/>
            <w:noWrap/>
            <w:vAlign w:val="bottom"/>
            <w:hideMark/>
          </w:tcPr>
          <w:p w14:paraId="57C2892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1978</w:t>
            </w:r>
          </w:p>
        </w:tc>
      </w:tr>
      <w:tr w:rsidR="0099672D" w:rsidRPr="0099672D" w14:paraId="3A47723A"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74A21F58"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Sermilik</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0A99707A"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25,9</w:t>
            </w:r>
          </w:p>
        </w:tc>
        <w:tc>
          <w:tcPr>
            <w:tcW w:w="1271" w:type="pct"/>
            <w:tcBorders>
              <w:top w:val="nil"/>
              <w:left w:val="nil"/>
              <w:bottom w:val="single" w:sz="4" w:space="0" w:color="auto"/>
              <w:right w:val="single" w:sz="4" w:space="0" w:color="auto"/>
            </w:tcBorders>
            <w:shd w:val="clear" w:color="000000" w:fill="FFFFFF"/>
            <w:noWrap/>
            <w:vAlign w:val="bottom"/>
            <w:hideMark/>
          </w:tcPr>
          <w:p w14:paraId="3B7CB563"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1987</w:t>
            </w:r>
          </w:p>
        </w:tc>
      </w:tr>
      <w:tr w:rsidR="0099672D" w:rsidRPr="0099672D" w14:paraId="41BA44E3"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1F5FE0D"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Sakkak</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3520108A"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24,7</w:t>
            </w:r>
          </w:p>
        </w:tc>
        <w:tc>
          <w:tcPr>
            <w:tcW w:w="1271" w:type="pct"/>
            <w:tcBorders>
              <w:top w:val="nil"/>
              <w:left w:val="nil"/>
              <w:bottom w:val="single" w:sz="4" w:space="0" w:color="auto"/>
              <w:right w:val="single" w:sz="4" w:space="0" w:color="auto"/>
            </w:tcBorders>
            <w:shd w:val="clear" w:color="000000" w:fill="FFFFFF"/>
            <w:noWrap/>
            <w:vAlign w:val="bottom"/>
            <w:hideMark/>
          </w:tcPr>
          <w:p w14:paraId="2A27537A"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54A99423"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21F1A2F1"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Maren H</w:t>
            </w:r>
          </w:p>
        </w:tc>
        <w:tc>
          <w:tcPr>
            <w:tcW w:w="1354" w:type="pct"/>
            <w:tcBorders>
              <w:top w:val="nil"/>
              <w:left w:val="nil"/>
              <w:bottom w:val="single" w:sz="4" w:space="0" w:color="auto"/>
              <w:right w:val="single" w:sz="4" w:space="0" w:color="auto"/>
            </w:tcBorders>
            <w:shd w:val="clear" w:color="000000" w:fill="FFFFFF"/>
            <w:noWrap/>
            <w:vAlign w:val="bottom"/>
            <w:hideMark/>
          </w:tcPr>
          <w:p w14:paraId="4E04AF4C"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23,9</w:t>
            </w:r>
          </w:p>
        </w:tc>
        <w:tc>
          <w:tcPr>
            <w:tcW w:w="1271" w:type="pct"/>
            <w:tcBorders>
              <w:top w:val="nil"/>
              <w:left w:val="nil"/>
              <w:bottom w:val="single" w:sz="4" w:space="0" w:color="auto"/>
              <w:right w:val="single" w:sz="4" w:space="0" w:color="auto"/>
            </w:tcBorders>
            <w:shd w:val="clear" w:color="000000" w:fill="FFFFFF"/>
            <w:noWrap/>
            <w:vAlign w:val="bottom"/>
            <w:hideMark/>
          </w:tcPr>
          <w:p w14:paraId="24C5D5D8"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6B7F34BB"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08A4E64C"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Pani</w:t>
            </w:r>
            <w:proofErr w:type="spellEnd"/>
            <w:r w:rsidRPr="0099672D">
              <w:rPr>
                <w:rFonts w:ascii="Times New Roman" w:eastAsia="Times New Roman" w:hAnsi="Times New Roman" w:cs="Times New Roman"/>
                <w:color w:val="000000"/>
                <w:sz w:val="24"/>
                <w:szCs w:val="24"/>
                <w:lang w:eastAsia="da-DK"/>
              </w:rPr>
              <w:t xml:space="preserve"> II</w:t>
            </w:r>
          </w:p>
        </w:tc>
        <w:tc>
          <w:tcPr>
            <w:tcW w:w="1354" w:type="pct"/>
            <w:tcBorders>
              <w:top w:val="nil"/>
              <w:left w:val="nil"/>
              <w:bottom w:val="single" w:sz="4" w:space="0" w:color="auto"/>
              <w:right w:val="single" w:sz="4" w:space="0" w:color="auto"/>
            </w:tcBorders>
            <w:shd w:val="clear" w:color="000000" w:fill="FFFFFF"/>
            <w:noWrap/>
            <w:vAlign w:val="bottom"/>
            <w:hideMark/>
          </w:tcPr>
          <w:p w14:paraId="3923B472"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23,9</w:t>
            </w:r>
          </w:p>
        </w:tc>
        <w:tc>
          <w:tcPr>
            <w:tcW w:w="1271" w:type="pct"/>
            <w:tcBorders>
              <w:top w:val="nil"/>
              <w:left w:val="nil"/>
              <w:bottom w:val="single" w:sz="4" w:space="0" w:color="auto"/>
              <w:right w:val="single" w:sz="4" w:space="0" w:color="auto"/>
            </w:tcBorders>
            <w:shd w:val="clear" w:color="000000" w:fill="FFFFFF"/>
            <w:noWrap/>
            <w:vAlign w:val="bottom"/>
            <w:hideMark/>
          </w:tcPr>
          <w:p w14:paraId="29CE542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00C250F4"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0A16DE9A"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Aqissiaq</w:t>
            </w:r>
            <w:proofErr w:type="spellEnd"/>
            <w:r w:rsidRPr="0099672D">
              <w:rPr>
                <w:rFonts w:ascii="Times New Roman" w:eastAsia="Times New Roman" w:hAnsi="Times New Roman" w:cs="Times New Roman"/>
                <w:color w:val="000000"/>
                <w:sz w:val="24"/>
                <w:szCs w:val="24"/>
                <w:lang w:eastAsia="da-DK"/>
              </w:rPr>
              <w:t xml:space="preserve"> II (Ikke aktiv i 2020)</w:t>
            </w:r>
          </w:p>
        </w:tc>
        <w:tc>
          <w:tcPr>
            <w:tcW w:w="1354" w:type="pct"/>
            <w:tcBorders>
              <w:top w:val="nil"/>
              <w:left w:val="nil"/>
              <w:bottom w:val="single" w:sz="4" w:space="0" w:color="auto"/>
              <w:right w:val="single" w:sz="4" w:space="0" w:color="auto"/>
            </w:tcBorders>
            <w:shd w:val="clear" w:color="000000" w:fill="FFFFFF"/>
            <w:noWrap/>
            <w:vAlign w:val="bottom"/>
            <w:hideMark/>
          </w:tcPr>
          <w:p w14:paraId="2A666661"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23,9</w:t>
            </w:r>
          </w:p>
        </w:tc>
        <w:tc>
          <w:tcPr>
            <w:tcW w:w="1271" w:type="pct"/>
            <w:tcBorders>
              <w:top w:val="nil"/>
              <w:left w:val="nil"/>
              <w:bottom w:val="single" w:sz="4" w:space="0" w:color="auto"/>
              <w:right w:val="single" w:sz="4" w:space="0" w:color="auto"/>
            </w:tcBorders>
            <w:shd w:val="clear" w:color="000000" w:fill="FFFFFF"/>
            <w:noWrap/>
            <w:vAlign w:val="bottom"/>
            <w:hideMark/>
          </w:tcPr>
          <w:p w14:paraId="3572661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41F0B57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39A84BA6"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Theodora B</w:t>
            </w:r>
          </w:p>
        </w:tc>
        <w:tc>
          <w:tcPr>
            <w:tcW w:w="1354" w:type="pct"/>
            <w:tcBorders>
              <w:top w:val="nil"/>
              <w:left w:val="nil"/>
              <w:bottom w:val="single" w:sz="4" w:space="0" w:color="auto"/>
              <w:right w:val="single" w:sz="4" w:space="0" w:color="auto"/>
            </w:tcBorders>
            <w:shd w:val="clear" w:color="000000" w:fill="FFFFFF"/>
            <w:noWrap/>
            <w:vAlign w:val="bottom"/>
            <w:hideMark/>
          </w:tcPr>
          <w:p w14:paraId="086B033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22,2</w:t>
            </w:r>
          </w:p>
        </w:tc>
        <w:tc>
          <w:tcPr>
            <w:tcW w:w="1271" w:type="pct"/>
            <w:tcBorders>
              <w:top w:val="nil"/>
              <w:left w:val="nil"/>
              <w:bottom w:val="single" w:sz="4" w:space="0" w:color="auto"/>
              <w:right w:val="single" w:sz="4" w:space="0" w:color="auto"/>
            </w:tcBorders>
            <w:shd w:val="clear" w:color="000000" w:fill="FFFFFF"/>
            <w:noWrap/>
            <w:vAlign w:val="bottom"/>
            <w:hideMark/>
          </w:tcPr>
          <w:p w14:paraId="0C660C4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1991</w:t>
            </w:r>
          </w:p>
        </w:tc>
      </w:tr>
      <w:tr w:rsidR="0099672D" w:rsidRPr="0099672D" w14:paraId="06E6FE3F"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4A6F45C4"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Aleqa</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29D44360"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22,2</w:t>
            </w:r>
          </w:p>
        </w:tc>
        <w:tc>
          <w:tcPr>
            <w:tcW w:w="1271" w:type="pct"/>
            <w:tcBorders>
              <w:top w:val="nil"/>
              <w:left w:val="nil"/>
              <w:bottom w:val="single" w:sz="4" w:space="0" w:color="auto"/>
              <w:right w:val="single" w:sz="4" w:space="0" w:color="auto"/>
            </w:tcBorders>
            <w:shd w:val="clear" w:color="000000" w:fill="FFFFFF"/>
            <w:noWrap/>
            <w:vAlign w:val="bottom"/>
            <w:hideMark/>
          </w:tcPr>
          <w:p w14:paraId="4F29852D"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2F376593"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6B463C4"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Avataq</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31644ED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22,2</w:t>
            </w:r>
          </w:p>
        </w:tc>
        <w:tc>
          <w:tcPr>
            <w:tcW w:w="1271" w:type="pct"/>
            <w:tcBorders>
              <w:top w:val="nil"/>
              <w:left w:val="nil"/>
              <w:bottom w:val="single" w:sz="4" w:space="0" w:color="auto"/>
              <w:right w:val="single" w:sz="4" w:space="0" w:color="auto"/>
            </w:tcBorders>
            <w:shd w:val="clear" w:color="000000" w:fill="FFFFFF"/>
            <w:noWrap/>
            <w:vAlign w:val="bottom"/>
            <w:hideMark/>
          </w:tcPr>
          <w:p w14:paraId="70315283"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39B1E89E"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7B408726"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Karina E</w:t>
            </w:r>
          </w:p>
        </w:tc>
        <w:tc>
          <w:tcPr>
            <w:tcW w:w="1354" w:type="pct"/>
            <w:tcBorders>
              <w:top w:val="nil"/>
              <w:left w:val="nil"/>
              <w:bottom w:val="single" w:sz="4" w:space="0" w:color="auto"/>
              <w:right w:val="single" w:sz="4" w:space="0" w:color="auto"/>
            </w:tcBorders>
            <w:shd w:val="clear" w:color="000000" w:fill="FFFFFF"/>
            <w:noWrap/>
            <w:vAlign w:val="bottom"/>
            <w:hideMark/>
          </w:tcPr>
          <w:p w14:paraId="758DB955"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22,0</w:t>
            </w:r>
          </w:p>
        </w:tc>
        <w:tc>
          <w:tcPr>
            <w:tcW w:w="1271" w:type="pct"/>
            <w:tcBorders>
              <w:top w:val="nil"/>
              <w:left w:val="nil"/>
              <w:bottom w:val="single" w:sz="4" w:space="0" w:color="auto"/>
              <w:right w:val="single" w:sz="4" w:space="0" w:color="auto"/>
            </w:tcBorders>
            <w:shd w:val="clear" w:color="000000" w:fill="FFFFFF"/>
            <w:noWrap/>
            <w:vAlign w:val="bottom"/>
            <w:hideMark/>
          </w:tcPr>
          <w:p w14:paraId="590BEDE2"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2000</w:t>
            </w:r>
          </w:p>
        </w:tc>
      </w:tr>
      <w:tr w:rsidR="0099672D" w:rsidRPr="0099672D" w14:paraId="22BD92E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7935D65A"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Daavi</w:t>
            </w:r>
            <w:proofErr w:type="spellEnd"/>
            <w:r w:rsidRPr="0099672D">
              <w:rPr>
                <w:rFonts w:ascii="Times New Roman" w:eastAsia="Times New Roman" w:hAnsi="Times New Roman" w:cs="Times New Roman"/>
                <w:color w:val="000000"/>
                <w:sz w:val="24"/>
                <w:szCs w:val="24"/>
                <w:lang w:eastAsia="da-DK"/>
              </w:rPr>
              <w:t xml:space="preserve"> </w:t>
            </w:r>
          </w:p>
        </w:tc>
        <w:tc>
          <w:tcPr>
            <w:tcW w:w="1354" w:type="pct"/>
            <w:tcBorders>
              <w:top w:val="nil"/>
              <w:left w:val="nil"/>
              <w:bottom w:val="single" w:sz="4" w:space="0" w:color="auto"/>
              <w:right w:val="single" w:sz="4" w:space="0" w:color="auto"/>
            </w:tcBorders>
            <w:shd w:val="clear" w:color="000000" w:fill="FFFFFF"/>
            <w:noWrap/>
            <w:vAlign w:val="bottom"/>
            <w:hideMark/>
          </w:tcPr>
          <w:p w14:paraId="216D3C8C"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22,0</w:t>
            </w:r>
          </w:p>
        </w:tc>
        <w:tc>
          <w:tcPr>
            <w:tcW w:w="1271" w:type="pct"/>
            <w:tcBorders>
              <w:top w:val="nil"/>
              <w:left w:val="nil"/>
              <w:bottom w:val="single" w:sz="4" w:space="0" w:color="auto"/>
              <w:right w:val="single" w:sz="4" w:space="0" w:color="auto"/>
            </w:tcBorders>
            <w:shd w:val="clear" w:color="000000" w:fill="FFFFFF"/>
            <w:noWrap/>
            <w:vAlign w:val="bottom"/>
            <w:hideMark/>
          </w:tcPr>
          <w:p w14:paraId="76B89874"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1988</w:t>
            </w:r>
          </w:p>
        </w:tc>
      </w:tr>
      <w:tr w:rsidR="0099672D" w:rsidRPr="0099672D" w14:paraId="6D056F02"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DBA6071"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Kingigtok</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5212C0CB"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22,0</w:t>
            </w:r>
          </w:p>
        </w:tc>
        <w:tc>
          <w:tcPr>
            <w:tcW w:w="1271" w:type="pct"/>
            <w:tcBorders>
              <w:top w:val="nil"/>
              <w:left w:val="nil"/>
              <w:bottom w:val="single" w:sz="4" w:space="0" w:color="auto"/>
              <w:right w:val="single" w:sz="4" w:space="0" w:color="auto"/>
            </w:tcBorders>
            <w:shd w:val="clear" w:color="000000" w:fill="FFFFFF"/>
            <w:noWrap/>
            <w:vAlign w:val="bottom"/>
            <w:hideMark/>
          </w:tcPr>
          <w:p w14:paraId="347AFB3F"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1983</w:t>
            </w:r>
          </w:p>
        </w:tc>
      </w:tr>
      <w:tr w:rsidR="0099672D" w:rsidRPr="0099672D" w14:paraId="1474A1A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048098BD"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Sara Dorthe</w:t>
            </w:r>
          </w:p>
        </w:tc>
        <w:tc>
          <w:tcPr>
            <w:tcW w:w="1354" w:type="pct"/>
            <w:tcBorders>
              <w:top w:val="nil"/>
              <w:left w:val="nil"/>
              <w:bottom w:val="single" w:sz="4" w:space="0" w:color="auto"/>
              <w:right w:val="single" w:sz="4" w:space="0" w:color="auto"/>
            </w:tcBorders>
            <w:shd w:val="clear" w:color="000000" w:fill="FFFFFF"/>
            <w:noWrap/>
            <w:vAlign w:val="bottom"/>
            <w:hideMark/>
          </w:tcPr>
          <w:p w14:paraId="54704B9F"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20,0</w:t>
            </w:r>
          </w:p>
        </w:tc>
        <w:tc>
          <w:tcPr>
            <w:tcW w:w="1271" w:type="pct"/>
            <w:tcBorders>
              <w:top w:val="nil"/>
              <w:left w:val="nil"/>
              <w:bottom w:val="single" w:sz="4" w:space="0" w:color="auto"/>
              <w:right w:val="single" w:sz="4" w:space="0" w:color="auto"/>
            </w:tcBorders>
            <w:shd w:val="clear" w:color="000000" w:fill="FFFFFF"/>
            <w:noWrap/>
            <w:vAlign w:val="bottom"/>
            <w:hideMark/>
          </w:tcPr>
          <w:p w14:paraId="7311FF1B"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1981</w:t>
            </w:r>
          </w:p>
        </w:tc>
      </w:tr>
      <w:tr w:rsidR="0099672D" w:rsidRPr="0099672D" w14:paraId="5757F5BE"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96B2EDB"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Aalisartoq</w:t>
            </w:r>
            <w:proofErr w:type="spellEnd"/>
          </w:p>
        </w:tc>
        <w:tc>
          <w:tcPr>
            <w:tcW w:w="1354" w:type="pct"/>
            <w:tcBorders>
              <w:top w:val="nil"/>
              <w:left w:val="nil"/>
              <w:bottom w:val="single" w:sz="4" w:space="0" w:color="auto"/>
              <w:right w:val="single" w:sz="4" w:space="0" w:color="auto"/>
            </w:tcBorders>
            <w:shd w:val="clear" w:color="000000" w:fill="FFFFFF"/>
            <w:noWrap/>
            <w:vAlign w:val="bottom"/>
            <w:hideMark/>
          </w:tcPr>
          <w:p w14:paraId="7FF16C8F"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19,9</w:t>
            </w:r>
          </w:p>
        </w:tc>
        <w:tc>
          <w:tcPr>
            <w:tcW w:w="1271" w:type="pct"/>
            <w:tcBorders>
              <w:top w:val="nil"/>
              <w:left w:val="nil"/>
              <w:bottom w:val="single" w:sz="4" w:space="0" w:color="auto"/>
              <w:right w:val="single" w:sz="4" w:space="0" w:color="auto"/>
            </w:tcBorders>
            <w:shd w:val="clear" w:color="000000" w:fill="FFFFFF"/>
            <w:noWrap/>
            <w:vAlign w:val="bottom"/>
            <w:hideMark/>
          </w:tcPr>
          <w:p w14:paraId="6BDEA474"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1993</w:t>
            </w:r>
          </w:p>
        </w:tc>
      </w:tr>
      <w:tr w:rsidR="0099672D" w:rsidRPr="0099672D" w14:paraId="588769DE"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647B60C0"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Angunnguaq</w:t>
            </w:r>
            <w:proofErr w:type="spellEnd"/>
            <w:r w:rsidRPr="0099672D">
              <w:rPr>
                <w:rFonts w:ascii="Times New Roman" w:eastAsia="Times New Roman" w:hAnsi="Times New Roman" w:cs="Times New Roman"/>
                <w:color w:val="000000"/>
                <w:sz w:val="24"/>
                <w:szCs w:val="24"/>
                <w:lang w:eastAsia="da-DK"/>
              </w:rPr>
              <w:t xml:space="preserve"> (Udgik i 2020)</w:t>
            </w:r>
          </w:p>
        </w:tc>
        <w:tc>
          <w:tcPr>
            <w:tcW w:w="1354" w:type="pct"/>
            <w:tcBorders>
              <w:top w:val="nil"/>
              <w:left w:val="nil"/>
              <w:bottom w:val="single" w:sz="4" w:space="0" w:color="auto"/>
              <w:right w:val="single" w:sz="4" w:space="0" w:color="auto"/>
            </w:tcBorders>
            <w:shd w:val="clear" w:color="000000" w:fill="FFFFFF"/>
            <w:noWrap/>
            <w:vAlign w:val="bottom"/>
            <w:hideMark/>
          </w:tcPr>
          <w:p w14:paraId="6C3B80B6"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18,6</w:t>
            </w:r>
          </w:p>
        </w:tc>
        <w:tc>
          <w:tcPr>
            <w:tcW w:w="1271" w:type="pct"/>
            <w:tcBorders>
              <w:top w:val="nil"/>
              <w:left w:val="nil"/>
              <w:bottom w:val="single" w:sz="4" w:space="0" w:color="auto"/>
              <w:right w:val="single" w:sz="4" w:space="0" w:color="auto"/>
            </w:tcBorders>
            <w:shd w:val="clear" w:color="000000" w:fill="FFFFFF"/>
            <w:noWrap/>
            <w:vAlign w:val="bottom"/>
            <w:hideMark/>
          </w:tcPr>
          <w:p w14:paraId="41C5B396"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1957</w:t>
            </w:r>
          </w:p>
        </w:tc>
      </w:tr>
      <w:tr w:rsidR="0099672D" w:rsidRPr="0099672D" w14:paraId="6F9847AD"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5DF54476"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Bingo III</w:t>
            </w:r>
          </w:p>
        </w:tc>
        <w:tc>
          <w:tcPr>
            <w:tcW w:w="1354" w:type="pct"/>
            <w:tcBorders>
              <w:top w:val="nil"/>
              <w:left w:val="nil"/>
              <w:bottom w:val="single" w:sz="4" w:space="0" w:color="auto"/>
              <w:right w:val="single" w:sz="4" w:space="0" w:color="auto"/>
            </w:tcBorders>
            <w:shd w:val="clear" w:color="000000" w:fill="FFFFFF"/>
            <w:noWrap/>
            <w:vAlign w:val="bottom"/>
            <w:hideMark/>
          </w:tcPr>
          <w:p w14:paraId="2550426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17,4</w:t>
            </w:r>
          </w:p>
        </w:tc>
        <w:tc>
          <w:tcPr>
            <w:tcW w:w="1271" w:type="pct"/>
            <w:tcBorders>
              <w:top w:val="nil"/>
              <w:left w:val="nil"/>
              <w:bottom w:val="single" w:sz="4" w:space="0" w:color="auto"/>
              <w:right w:val="single" w:sz="4" w:space="0" w:color="auto"/>
            </w:tcBorders>
            <w:shd w:val="clear" w:color="000000" w:fill="FFFFFF"/>
            <w:noWrap/>
            <w:vAlign w:val="bottom"/>
            <w:hideMark/>
          </w:tcPr>
          <w:p w14:paraId="1310339A"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2000</w:t>
            </w:r>
          </w:p>
        </w:tc>
      </w:tr>
      <w:tr w:rsidR="0099672D" w:rsidRPr="0099672D" w14:paraId="522E11A9" w14:textId="77777777" w:rsidTr="0099672D">
        <w:trPr>
          <w:trHeight w:val="315"/>
        </w:trPr>
        <w:tc>
          <w:tcPr>
            <w:tcW w:w="2376" w:type="pct"/>
            <w:tcBorders>
              <w:top w:val="nil"/>
              <w:left w:val="single" w:sz="4" w:space="0" w:color="auto"/>
              <w:bottom w:val="single" w:sz="4" w:space="0" w:color="auto"/>
              <w:right w:val="single" w:sz="4" w:space="0" w:color="auto"/>
            </w:tcBorders>
            <w:shd w:val="clear" w:color="000000" w:fill="FFFFFF"/>
            <w:noWrap/>
            <w:vAlign w:val="bottom"/>
            <w:hideMark/>
          </w:tcPr>
          <w:p w14:paraId="4002A28C" w14:textId="77777777" w:rsidR="0099672D" w:rsidRPr="0099672D" w:rsidRDefault="0099672D" w:rsidP="0099672D">
            <w:pPr>
              <w:spacing w:after="0" w:line="240" w:lineRule="auto"/>
              <w:rPr>
                <w:rFonts w:ascii="Times New Roman" w:eastAsia="Times New Roman" w:hAnsi="Times New Roman" w:cs="Times New Roman"/>
                <w:color w:val="000000"/>
                <w:sz w:val="24"/>
                <w:szCs w:val="24"/>
                <w:lang w:eastAsia="da-DK"/>
              </w:rPr>
            </w:pPr>
            <w:proofErr w:type="spellStart"/>
            <w:r w:rsidRPr="0099672D">
              <w:rPr>
                <w:rFonts w:ascii="Times New Roman" w:eastAsia="Times New Roman" w:hAnsi="Times New Roman" w:cs="Times New Roman"/>
                <w:color w:val="000000"/>
                <w:sz w:val="24"/>
                <w:szCs w:val="24"/>
                <w:lang w:eastAsia="da-DK"/>
              </w:rPr>
              <w:t>Arnatsiaq</w:t>
            </w:r>
            <w:proofErr w:type="spellEnd"/>
            <w:r w:rsidRPr="0099672D">
              <w:rPr>
                <w:rFonts w:ascii="Times New Roman" w:eastAsia="Times New Roman" w:hAnsi="Times New Roman" w:cs="Times New Roman"/>
                <w:color w:val="000000"/>
                <w:sz w:val="24"/>
                <w:szCs w:val="24"/>
                <w:lang w:eastAsia="da-DK"/>
              </w:rPr>
              <w:t xml:space="preserve"> (Ikke aktiv i 2020)</w:t>
            </w:r>
          </w:p>
        </w:tc>
        <w:tc>
          <w:tcPr>
            <w:tcW w:w="1354" w:type="pct"/>
            <w:tcBorders>
              <w:top w:val="nil"/>
              <w:left w:val="nil"/>
              <w:bottom w:val="single" w:sz="4" w:space="0" w:color="auto"/>
              <w:right w:val="single" w:sz="4" w:space="0" w:color="auto"/>
            </w:tcBorders>
            <w:shd w:val="clear" w:color="000000" w:fill="FFFFFF"/>
            <w:noWrap/>
            <w:vAlign w:val="bottom"/>
            <w:hideMark/>
          </w:tcPr>
          <w:p w14:paraId="4022A183"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13,3</w:t>
            </w:r>
          </w:p>
        </w:tc>
        <w:tc>
          <w:tcPr>
            <w:tcW w:w="1271" w:type="pct"/>
            <w:tcBorders>
              <w:top w:val="nil"/>
              <w:left w:val="nil"/>
              <w:bottom w:val="single" w:sz="4" w:space="0" w:color="auto"/>
              <w:right w:val="single" w:sz="4" w:space="0" w:color="auto"/>
            </w:tcBorders>
            <w:shd w:val="clear" w:color="000000" w:fill="FFFFFF"/>
            <w:noWrap/>
            <w:vAlign w:val="bottom"/>
            <w:hideMark/>
          </w:tcPr>
          <w:p w14:paraId="0B9AF177" w14:textId="77777777" w:rsidR="0099672D" w:rsidRPr="0099672D" w:rsidRDefault="0099672D" w:rsidP="0099672D">
            <w:pPr>
              <w:spacing w:after="0" w:line="240" w:lineRule="auto"/>
              <w:jc w:val="right"/>
              <w:rPr>
                <w:rFonts w:ascii="Times New Roman" w:eastAsia="Times New Roman" w:hAnsi="Times New Roman" w:cs="Times New Roman"/>
                <w:color w:val="000000"/>
                <w:sz w:val="24"/>
                <w:szCs w:val="24"/>
                <w:lang w:eastAsia="da-DK"/>
              </w:rPr>
            </w:pPr>
            <w:r w:rsidRPr="0099672D">
              <w:rPr>
                <w:rFonts w:ascii="Times New Roman" w:eastAsia="Times New Roman" w:hAnsi="Times New Roman" w:cs="Times New Roman"/>
                <w:color w:val="000000"/>
                <w:sz w:val="24"/>
                <w:szCs w:val="24"/>
                <w:lang w:eastAsia="da-DK"/>
              </w:rPr>
              <w:t>1993</w:t>
            </w:r>
          </w:p>
        </w:tc>
      </w:tr>
    </w:tbl>
    <w:p w14:paraId="20C09D9E" w14:textId="77777777" w:rsidR="001727D0" w:rsidRPr="0091443D" w:rsidRDefault="001727D0" w:rsidP="00A21B75">
      <w:pPr>
        <w:spacing w:after="0" w:line="276" w:lineRule="auto"/>
        <w:jc w:val="both"/>
        <w:rPr>
          <w:rFonts w:ascii="Times New Roman" w:hAnsi="Times New Roman" w:cs="Times New Roman"/>
          <w:color w:val="000000" w:themeColor="text1"/>
          <w:sz w:val="20"/>
          <w:szCs w:val="20"/>
        </w:rPr>
      </w:pPr>
      <w:r w:rsidRPr="0091443D">
        <w:rPr>
          <w:rFonts w:ascii="Times New Roman" w:hAnsi="Times New Roman" w:cs="Times New Roman"/>
          <w:color w:val="000000" w:themeColor="text1"/>
          <w:sz w:val="20"/>
          <w:szCs w:val="20"/>
        </w:rPr>
        <w:t>Kilde: GFLK.</w:t>
      </w:r>
    </w:p>
    <w:sectPr w:rsidR="001727D0" w:rsidRPr="0091443D" w:rsidSect="00836D31">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2CC8A" w14:textId="77777777" w:rsidR="00703623" w:rsidRDefault="00703623" w:rsidP="00CF09F8">
      <w:pPr>
        <w:spacing w:after="0" w:line="240" w:lineRule="auto"/>
      </w:pPr>
      <w:r>
        <w:separator/>
      </w:r>
    </w:p>
  </w:endnote>
  <w:endnote w:type="continuationSeparator" w:id="0">
    <w:p w14:paraId="40E4DBC6" w14:textId="77777777" w:rsidR="00703623" w:rsidRDefault="00703623" w:rsidP="00CF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ercuryTextG1-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45AC" w14:textId="77777777" w:rsidR="008B4ABF" w:rsidRDefault="008B4AB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182034"/>
      <w:docPartObj>
        <w:docPartGallery w:val="Page Numbers (Bottom of Page)"/>
        <w:docPartUnique/>
      </w:docPartObj>
    </w:sdtPr>
    <w:sdtContent>
      <w:p w14:paraId="00310FCE" w14:textId="21B599FE" w:rsidR="008B4ABF" w:rsidRDefault="008B4ABF">
        <w:pPr>
          <w:pStyle w:val="Sidefod"/>
          <w:jc w:val="center"/>
        </w:pPr>
        <w:r>
          <w:fldChar w:fldCharType="begin"/>
        </w:r>
        <w:r>
          <w:instrText>PAGE   \* MERGEFORMAT</w:instrText>
        </w:r>
        <w:r>
          <w:fldChar w:fldCharType="separate"/>
        </w:r>
        <w:r>
          <w:rPr>
            <w:noProof/>
          </w:rPr>
          <w:t>19</w:t>
        </w:r>
        <w:r>
          <w:fldChar w:fldCharType="end"/>
        </w:r>
      </w:p>
    </w:sdtContent>
  </w:sdt>
  <w:p w14:paraId="75380AEE" w14:textId="77777777" w:rsidR="008B4ABF" w:rsidRDefault="008B4AB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924B" w14:textId="77777777" w:rsidR="008B4ABF" w:rsidRDefault="008B4A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C87D" w14:textId="77777777" w:rsidR="00703623" w:rsidRDefault="00703623" w:rsidP="00CF09F8">
      <w:pPr>
        <w:spacing w:after="0" w:line="240" w:lineRule="auto"/>
      </w:pPr>
      <w:r>
        <w:separator/>
      </w:r>
    </w:p>
  </w:footnote>
  <w:footnote w:type="continuationSeparator" w:id="0">
    <w:p w14:paraId="117DE5C9" w14:textId="77777777" w:rsidR="00703623" w:rsidRDefault="00703623" w:rsidP="00CF09F8">
      <w:pPr>
        <w:spacing w:after="0" w:line="240" w:lineRule="auto"/>
      </w:pPr>
      <w:r>
        <w:continuationSeparator/>
      </w:r>
    </w:p>
  </w:footnote>
  <w:footnote w:id="1">
    <w:p w14:paraId="7EE21C69" w14:textId="646111B3" w:rsidR="008B4ABF" w:rsidRPr="00CF09F8" w:rsidRDefault="008B4ABF">
      <w:pPr>
        <w:pStyle w:val="Fodnotetekst"/>
        <w:rPr>
          <w:rFonts w:ascii="Times New Roman" w:hAnsi="Times New Roman" w:cs="Times New Roman"/>
        </w:rPr>
      </w:pPr>
      <w:r w:rsidRPr="00CF09F8">
        <w:rPr>
          <w:rStyle w:val="Fodnotehenvisning"/>
          <w:rFonts w:ascii="Times New Roman" w:hAnsi="Times New Roman" w:cs="Times New Roman"/>
        </w:rPr>
        <w:footnoteRef/>
      </w:r>
      <w:r w:rsidRPr="00CF09F8">
        <w:rPr>
          <w:rFonts w:ascii="Times New Roman" w:hAnsi="Times New Roman" w:cs="Times New Roman"/>
        </w:rPr>
        <w:t xml:space="preserve"> </w:t>
      </w:r>
      <w:r>
        <w:rPr>
          <w:rFonts w:ascii="Times New Roman" w:hAnsi="Times New Roman" w:cs="Times New Roman"/>
        </w:rPr>
        <w:t>Udover de 19 kystnære rejetrawlere har i</w:t>
      </w:r>
      <w:r w:rsidRPr="00CF09F8">
        <w:rPr>
          <w:rFonts w:ascii="Times New Roman" w:hAnsi="Times New Roman" w:cs="Times New Roman"/>
        </w:rPr>
        <w:t xml:space="preserve"> 20</w:t>
      </w:r>
      <w:r>
        <w:rPr>
          <w:rFonts w:ascii="Times New Roman" w:hAnsi="Times New Roman" w:cs="Times New Roman"/>
        </w:rPr>
        <w:t>20 også et</w:t>
      </w:r>
      <w:r w:rsidRPr="00CF09F8">
        <w:rPr>
          <w:rFonts w:ascii="Times New Roman" w:hAnsi="Times New Roman" w:cs="Times New Roman"/>
        </w:rPr>
        <w:t xml:space="preserve"> havgående rejefartøj fiske</w:t>
      </w:r>
      <w:r>
        <w:rPr>
          <w:rFonts w:ascii="Times New Roman" w:hAnsi="Times New Roman" w:cs="Times New Roman"/>
        </w:rPr>
        <w:t>t</w:t>
      </w:r>
      <w:r w:rsidRPr="00CF09F8">
        <w:rPr>
          <w:rFonts w:ascii="Times New Roman" w:hAnsi="Times New Roman" w:cs="Times New Roman"/>
        </w:rPr>
        <w:t xml:space="preserve"> på et kystnært licens.</w:t>
      </w:r>
    </w:p>
  </w:footnote>
  <w:footnote w:id="2">
    <w:p w14:paraId="4368D996" w14:textId="77777777" w:rsidR="008B4ABF" w:rsidRPr="00791C8F" w:rsidRDefault="008B4ABF">
      <w:pPr>
        <w:pStyle w:val="Fodnotetekst"/>
        <w:rPr>
          <w:rFonts w:ascii="Times New Roman" w:hAnsi="Times New Roman" w:cs="Times New Roman"/>
        </w:rPr>
      </w:pPr>
      <w:r w:rsidRPr="00791C8F">
        <w:rPr>
          <w:rStyle w:val="Fodnotehenvisning"/>
          <w:rFonts w:ascii="Times New Roman" w:hAnsi="Times New Roman" w:cs="Times New Roman"/>
        </w:rPr>
        <w:footnoteRef/>
      </w:r>
      <w:r w:rsidRPr="00791C8F">
        <w:rPr>
          <w:rFonts w:ascii="Times New Roman" w:hAnsi="Times New Roman" w:cs="Times New Roman"/>
        </w:rPr>
        <w:t xml:space="preserve"> Antallet af rejefartøjer i 1990 er opgjort for det havgående rejefartøjer på grundlag af information fra bemærkninger i fiskeriloven 1990 samt information fra fiskerierhvervet. For opgørelsen af antal kystnære rejefartøjer er det opgjort på grundlag af information i Royal Greenlands avis Qarsorsat (udgivet af RG. Februar 1994) samt information erhvervet.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DA83" w14:textId="77777777" w:rsidR="008B4ABF" w:rsidRDefault="008B4AB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A9EA" w14:textId="45B5D315" w:rsidR="008B4ABF" w:rsidRPr="008B4ABF" w:rsidRDefault="008B4ABF">
    <w:pPr>
      <w:pStyle w:val="Sidehoved"/>
      <w:rPr>
        <w:rFonts w:ascii="Times New Roman" w:hAnsi="Times New Roman" w:cs="Times New Roman"/>
      </w:rPr>
    </w:pPr>
    <w:r w:rsidRPr="008B4ABF">
      <w:rPr>
        <w:rFonts w:ascii="Times New Roman" w:hAnsi="Times New Roman" w:cs="Times New Roman"/>
      </w:rPr>
      <w:t>Fiskerikommissionen</w:t>
    </w:r>
    <w:r w:rsidRPr="008B4ABF">
      <w:rPr>
        <w:rFonts w:ascii="Times New Roman" w:hAnsi="Times New Roman" w:cs="Times New Roman"/>
      </w:rPr>
      <w:tab/>
    </w:r>
    <w:r>
      <w:rPr>
        <w:rFonts w:ascii="Times New Roman" w:hAnsi="Times New Roman" w:cs="Times New Roman"/>
      </w:rPr>
      <w:t>februar</w:t>
    </w:r>
    <w:r w:rsidRPr="008B4ABF">
      <w:rPr>
        <w:rFonts w:ascii="Times New Roman" w:hAnsi="Times New Roman" w:cs="Times New Roman"/>
      </w:rPr>
      <w:t xml:space="preserve"> 2021</w:t>
    </w:r>
    <w:r w:rsidRPr="008B4ABF">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5E17" w14:textId="77777777" w:rsidR="008B4ABF" w:rsidRDefault="008B4A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96C"/>
    <w:multiLevelType w:val="hybridMultilevel"/>
    <w:tmpl w:val="79868358"/>
    <w:lvl w:ilvl="0" w:tplc="6D8AA42E">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54D6E40"/>
    <w:multiLevelType w:val="hybridMultilevel"/>
    <w:tmpl w:val="B5120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6C60F8"/>
    <w:multiLevelType w:val="hybridMultilevel"/>
    <w:tmpl w:val="3F7022F2"/>
    <w:lvl w:ilvl="0" w:tplc="F05CB98C">
      <w:start w:val="1"/>
      <w:numFmt w:val="lowerLetter"/>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A00E55"/>
    <w:multiLevelType w:val="hybridMultilevel"/>
    <w:tmpl w:val="B1103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AE3193"/>
    <w:multiLevelType w:val="hybridMultilevel"/>
    <w:tmpl w:val="22DCD52C"/>
    <w:lvl w:ilvl="0" w:tplc="926E2954">
      <w:start w:val="1"/>
      <w:numFmt w:val="bullet"/>
      <w:lvlText w:val=""/>
      <w:lvlJc w:val="left"/>
      <w:pPr>
        <w:tabs>
          <w:tab w:val="num" w:pos="720"/>
        </w:tabs>
        <w:ind w:left="720" w:hanging="360"/>
      </w:pPr>
      <w:rPr>
        <w:rFonts w:ascii="Wingdings" w:hAnsi="Wingdings" w:hint="default"/>
      </w:rPr>
    </w:lvl>
    <w:lvl w:ilvl="1" w:tplc="C69607BE" w:tentative="1">
      <w:start w:val="1"/>
      <w:numFmt w:val="bullet"/>
      <w:lvlText w:val=""/>
      <w:lvlJc w:val="left"/>
      <w:pPr>
        <w:tabs>
          <w:tab w:val="num" w:pos="1440"/>
        </w:tabs>
        <w:ind w:left="1440" w:hanging="360"/>
      </w:pPr>
      <w:rPr>
        <w:rFonts w:ascii="Wingdings" w:hAnsi="Wingdings" w:hint="default"/>
      </w:rPr>
    </w:lvl>
    <w:lvl w:ilvl="2" w:tplc="51383B06" w:tentative="1">
      <w:start w:val="1"/>
      <w:numFmt w:val="bullet"/>
      <w:lvlText w:val=""/>
      <w:lvlJc w:val="left"/>
      <w:pPr>
        <w:tabs>
          <w:tab w:val="num" w:pos="2160"/>
        </w:tabs>
        <w:ind w:left="2160" w:hanging="360"/>
      </w:pPr>
      <w:rPr>
        <w:rFonts w:ascii="Wingdings" w:hAnsi="Wingdings" w:hint="default"/>
      </w:rPr>
    </w:lvl>
    <w:lvl w:ilvl="3" w:tplc="C7861B00" w:tentative="1">
      <w:start w:val="1"/>
      <w:numFmt w:val="bullet"/>
      <w:lvlText w:val=""/>
      <w:lvlJc w:val="left"/>
      <w:pPr>
        <w:tabs>
          <w:tab w:val="num" w:pos="2880"/>
        </w:tabs>
        <w:ind w:left="2880" w:hanging="360"/>
      </w:pPr>
      <w:rPr>
        <w:rFonts w:ascii="Wingdings" w:hAnsi="Wingdings" w:hint="default"/>
      </w:rPr>
    </w:lvl>
    <w:lvl w:ilvl="4" w:tplc="3272CF50" w:tentative="1">
      <w:start w:val="1"/>
      <w:numFmt w:val="bullet"/>
      <w:lvlText w:val=""/>
      <w:lvlJc w:val="left"/>
      <w:pPr>
        <w:tabs>
          <w:tab w:val="num" w:pos="3600"/>
        </w:tabs>
        <w:ind w:left="3600" w:hanging="360"/>
      </w:pPr>
      <w:rPr>
        <w:rFonts w:ascii="Wingdings" w:hAnsi="Wingdings" w:hint="default"/>
      </w:rPr>
    </w:lvl>
    <w:lvl w:ilvl="5" w:tplc="EF8C982E" w:tentative="1">
      <w:start w:val="1"/>
      <w:numFmt w:val="bullet"/>
      <w:lvlText w:val=""/>
      <w:lvlJc w:val="left"/>
      <w:pPr>
        <w:tabs>
          <w:tab w:val="num" w:pos="4320"/>
        </w:tabs>
        <w:ind w:left="4320" w:hanging="360"/>
      </w:pPr>
      <w:rPr>
        <w:rFonts w:ascii="Wingdings" w:hAnsi="Wingdings" w:hint="default"/>
      </w:rPr>
    </w:lvl>
    <w:lvl w:ilvl="6" w:tplc="B4B0731C" w:tentative="1">
      <w:start w:val="1"/>
      <w:numFmt w:val="bullet"/>
      <w:lvlText w:val=""/>
      <w:lvlJc w:val="left"/>
      <w:pPr>
        <w:tabs>
          <w:tab w:val="num" w:pos="5040"/>
        </w:tabs>
        <w:ind w:left="5040" w:hanging="360"/>
      </w:pPr>
      <w:rPr>
        <w:rFonts w:ascii="Wingdings" w:hAnsi="Wingdings" w:hint="default"/>
      </w:rPr>
    </w:lvl>
    <w:lvl w:ilvl="7" w:tplc="72024BBC" w:tentative="1">
      <w:start w:val="1"/>
      <w:numFmt w:val="bullet"/>
      <w:lvlText w:val=""/>
      <w:lvlJc w:val="left"/>
      <w:pPr>
        <w:tabs>
          <w:tab w:val="num" w:pos="5760"/>
        </w:tabs>
        <w:ind w:left="5760" w:hanging="360"/>
      </w:pPr>
      <w:rPr>
        <w:rFonts w:ascii="Wingdings" w:hAnsi="Wingdings" w:hint="default"/>
      </w:rPr>
    </w:lvl>
    <w:lvl w:ilvl="8" w:tplc="F01851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723356"/>
    <w:multiLevelType w:val="hybridMultilevel"/>
    <w:tmpl w:val="F6F4A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6C1D38"/>
    <w:multiLevelType w:val="hybridMultilevel"/>
    <w:tmpl w:val="929A8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AA17190"/>
    <w:multiLevelType w:val="hybridMultilevel"/>
    <w:tmpl w:val="3F7022F2"/>
    <w:lvl w:ilvl="0" w:tplc="F05CB98C">
      <w:start w:val="1"/>
      <w:numFmt w:val="lowerLetter"/>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8F0BCE"/>
    <w:multiLevelType w:val="hybridMultilevel"/>
    <w:tmpl w:val="761226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0057A5"/>
    <w:multiLevelType w:val="hybridMultilevel"/>
    <w:tmpl w:val="CB481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28580D"/>
    <w:multiLevelType w:val="hybridMultilevel"/>
    <w:tmpl w:val="4EE0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725705"/>
    <w:multiLevelType w:val="hybridMultilevel"/>
    <w:tmpl w:val="4810F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19F6AE5"/>
    <w:multiLevelType w:val="hybridMultilevel"/>
    <w:tmpl w:val="97BA4FC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4" w15:restartNumberingAfterBreak="0">
    <w:nsid w:val="6C067F9B"/>
    <w:multiLevelType w:val="hybridMultilevel"/>
    <w:tmpl w:val="D0F84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913199D"/>
    <w:multiLevelType w:val="hybridMultilevel"/>
    <w:tmpl w:val="9F923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B105E3F"/>
    <w:multiLevelType w:val="hybridMultilevel"/>
    <w:tmpl w:val="E940B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
  </w:num>
  <w:num w:numId="6">
    <w:abstractNumId w:val="15"/>
  </w:num>
  <w:num w:numId="7">
    <w:abstractNumId w:val="12"/>
  </w:num>
  <w:num w:numId="8">
    <w:abstractNumId w:val="5"/>
  </w:num>
  <w:num w:numId="9">
    <w:abstractNumId w:val="6"/>
  </w:num>
  <w:num w:numId="10">
    <w:abstractNumId w:val="11"/>
  </w:num>
  <w:num w:numId="11">
    <w:abstractNumId w:val="14"/>
  </w:num>
  <w:num w:numId="12">
    <w:abstractNumId w:val="7"/>
  </w:num>
  <w:num w:numId="13">
    <w:abstractNumId w:val="8"/>
  </w:num>
  <w:num w:numId="14">
    <w:abstractNumId w:val="2"/>
  </w:num>
  <w:num w:numId="15">
    <w:abstractNumId w:val="3"/>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77"/>
    <w:rsid w:val="00005BF3"/>
    <w:rsid w:val="0001054E"/>
    <w:rsid w:val="00012F37"/>
    <w:rsid w:val="00016EBD"/>
    <w:rsid w:val="00043DCD"/>
    <w:rsid w:val="00060999"/>
    <w:rsid w:val="00060A11"/>
    <w:rsid w:val="000673C7"/>
    <w:rsid w:val="00074C00"/>
    <w:rsid w:val="00082B90"/>
    <w:rsid w:val="00094B63"/>
    <w:rsid w:val="00097314"/>
    <w:rsid w:val="000A6B3B"/>
    <w:rsid w:val="000B320F"/>
    <w:rsid w:val="000C2C69"/>
    <w:rsid w:val="000C43C1"/>
    <w:rsid w:val="000E01C5"/>
    <w:rsid w:val="000E4CEB"/>
    <w:rsid w:val="000E60D0"/>
    <w:rsid w:val="000E6B34"/>
    <w:rsid w:val="000F189C"/>
    <w:rsid w:val="00124321"/>
    <w:rsid w:val="001346DF"/>
    <w:rsid w:val="00135B06"/>
    <w:rsid w:val="00136741"/>
    <w:rsid w:val="001519B6"/>
    <w:rsid w:val="00153CA9"/>
    <w:rsid w:val="00156111"/>
    <w:rsid w:val="001727D0"/>
    <w:rsid w:val="00173D85"/>
    <w:rsid w:val="00174F6C"/>
    <w:rsid w:val="00180C0D"/>
    <w:rsid w:val="001835C9"/>
    <w:rsid w:val="00186D3D"/>
    <w:rsid w:val="001929AE"/>
    <w:rsid w:val="001D681A"/>
    <w:rsid w:val="001F2818"/>
    <w:rsid w:val="00223F2E"/>
    <w:rsid w:val="0023236B"/>
    <w:rsid w:val="0023322F"/>
    <w:rsid w:val="00236B2A"/>
    <w:rsid w:val="00241DBF"/>
    <w:rsid w:val="00242C4F"/>
    <w:rsid w:val="00264797"/>
    <w:rsid w:val="00264B10"/>
    <w:rsid w:val="00265A13"/>
    <w:rsid w:val="00271C36"/>
    <w:rsid w:val="00277AD0"/>
    <w:rsid w:val="002A3495"/>
    <w:rsid w:val="002A3A78"/>
    <w:rsid w:val="002A5F0D"/>
    <w:rsid w:val="002B41A3"/>
    <w:rsid w:val="002C308D"/>
    <w:rsid w:val="002E0072"/>
    <w:rsid w:val="002F36D6"/>
    <w:rsid w:val="002F3D38"/>
    <w:rsid w:val="00317199"/>
    <w:rsid w:val="003171C5"/>
    <w:rsid w:val="0032205E"/>
    <w:rsid w:val="00345BDF"/>
    <w:rsid w:val="00353A78"/>
    <w:rsid w:val="00360ACC"/>
    <w:rsid w:val="0037026C"/>
    <w:rsid w:val="0037513E"/>
    <w:rsid w:val="00382C6B"/>
    <w:rsid w:val="00385E14"/>
    <w:rsid w:val="003916D6"/>
    <w:rsid w:val="0039245B"/>
    <w:rsid w:val="003A6AA7"/>
    <w:rsid w:val="003B0BFB"/>
    <w:rsid w:val="003B0C88"/>
    <w:rsid w:val="003B1097"/>
    <w:rsid w:val="003C10D1"/>
    <w:rsid w:val="003C3DB2"/>
    <w:rsid w:val="003C45B0"/>
    <w:rsid w:val="003D277B"/>
    <w:rsid w:val="003D425E"/>
    <w:rsid w:val="003D72CD"/>
    <w:rsid w:val="003E0419"/>
    <w:rsid w:val="003E2D77"/>
    <w:rsid w:val="003E35AB"/>
    <w:rsid w:val="003E3C5F"/>
    <w:rsid w:val="003F1467"/>
    <w:rsid w:val="003F2016"/>
    <w:rsid w:val="004136AB"/>
    <w:rsid w:val="00420D8F"/>
    <w:rsid w:val="00431AEE"/>
    <w:rsid w:val="00431F26"/>
    <w:rsid w:val="004320C1"/>
    <w:rsid w:val="00442905"/>
    <w:rsid w:val="00442AAE"/>
    <w:rsid w:val="004533C0"/>
    <w:rsid w:val="00455065"/>
    <w:rsid w:val="00471AE0"/>
    <w:rsid w:val="004766DC"/>
    <w:rsid w:val="00477589"/>
    <w:rsid w:val="00487A5C"/>
    <w:rsid w:val="004B1ACC"/>
    <w:rsid w:val="004B6377"/>
    <w:rsid w:val="004C611D"/>
    <w:rsid w:val="00515E11"/>
    <w:rsid w:val="00535B07"/>
    <w:rsid w:val="00540AFB"/>
    <w:rsid w:val="00544D58"/>
    <w:rsid w:val="00552201"/>
    <w:rsid w:val="00562F3D"/>
    <w:rsid w:val="0056716A"/>
    <w:rsid w:val="00567DFB"/>
    <w:rsid w:val="00576F24"/>
    <w:rsid w:val="005A6BB2"/>
    <w:rsid w:val="005B2A25"/>
    <w:rsid w:val="005B7083"/>
    <w:rsid w:val="005C2072"/>
    <w:rsid w:val="005C78F4"/>
    <w:rsid w:val="005E48C5"/>
    <w:rsid w:val="0060111D"/>
    <w:rsid w:val="006069B2"/>
    <w:rsid w:val="00610A7C"/>
    <w:rsid w:val="00625728"/>
    <w:rsid w:val="006419AF"/>
    <w:rsid w:val="00643797"/>
    <w:rsid w:val="006463FA"/>
    <w:rsid w:val="00646809"/>
    <w:rsid w:val="0064786B"/>
    <w:rsid w:val="00674437"/>
    <w:rsid w:val="00696032"/>
    <w:rsid w:val="00697786"/>
    <w:rsid w:val="006B3CA1"/>
    <w:rsid w:val="006E1344"/>
    <w:rsid w:val="006E34C9"/>
    <w:rsid w:val="006E67AB"/>
    <w:rsid w:val="006F0CB8"/>
    <w:rsid w:val="00703623"/>
    <w:rsid w:val="007063F7"/>
    <w:rsid w:val="007067E1"/>
    <w:rsid w:val="00714034"/>
    <w:rsid w:val="00720DFD"/>
    <w:rsid w:val="00737348"/>
    <w:rsid w:val="00741469"/>
    <w:rsid w:val="0076044E"/>
    <w:rsid w:val="007644D3"/>
    <w:rsid w:val="00773E10"/>
    <w:rsid w:val="00791C8F"/>
    <w:rsid w:val="007A06DA"/>
    <w:rsid w:val="007A3E66"/>
    <w:rsid w:val="007D0A56"/>
    <w:rsid w:val="007D5A7D"/>
    <w:rsid w:val="0080536C"/>
    <w:rsid w:val="00812F22"/>
    <w:rsid w:val="00822D81"/>
    <w:rsid w:val="0082335D"/>
    <w:rsid w:val="00836D31"/>
    <w:rsid w:val="00870C00"/>
    <w:rsid w:val="008842FB"/>
    <w:rsid w:val="00894A30"/>
    <w:rsid w:val="00896818"/>
    <w:rsid w:val="008A2197"/>
    <w:rsid w:val="008A57DA"/>
    <w:rsid w:val="008B4ABF"/>
    <w:rsid w:val="008C2EDF"/>
    <w:rsid w:val="008D202B"/>
    <w:rsid w:val="008D637E"/>
    <w:rsid w:val="008E4242"/>
    <w:rsid w:val="008F260E"/>
    <w:rsid w:val="008F65D7"/>
    <w:rsid w:val="00904200"/>
    <w:rsid w:val="00914DA3"/>
    <w:rsid w:val="0091517A"/>
    <w:rsid w:val="0093128A"/>
    <w:rsid w:val="00932588"/>
    <w:rsid w:val="00945557"/>
    <w:rsid w:val="00946573"/>
    <w:rsid w:val="0096216E"/>
    <w:rsid w:val="009827AD"/>
    <w:rsid w:val="0099179A"/>
    <w:rsid w:val="00995CE0"/>
    <w:rsid w:val="0099672D"/>
    <w:rsid w:val="00996FC4"/>
    <w:rsid w:val="009B0B8D"/>
    <w:rsid w:val="009B58DE"/>
    <w:rsid w:val="009E048B"/>
    <w:rsid w:val="009E142B"/>
    <w:rsid w:val="009E5417"/>
    <w:rsid w:val="009E5997"/>
    <w:rsid w:val="009E612E"/>
    <w:rsid w:val="009F27EC"/>
    <w:rsid w:val="00A133DA"/>
    <w:rsid w:val="00A21B75"/>
    <w:rsid w:val="00A26BE1"/>
    <w:rsid w:val="00A31012"/>
    <w:rsid w:val="00A52033"/>
    <w:rsid w:val="00A54C6D"/>
    <w:rsid w:val="00A635E0"/>
    <w:rsid w:val="00A71F17"/>
    <w:rsid w:val="00A93A45"/>
    <w:rsid w:val="00A95B63"/>
    <w:rsid w:val="00AA0430"/>
    <w:rsid w:val="00AA6C36"/>
    <w:rsid w:val="00AB4B04"/>
    <w:rsid w:val="00AB51A9"/>
    <w:rsid w:val="00AB6961"/>
    <w:rsid w:val="00AC4047"/>
    <w:rsid w:val="00AD0BE7"/>
    <w:rsid w:val="00AD7A5E"/>
    <w:rsid w:val="00AD7C82"/>
    <w:rsid w:val="00B03E7A"/>
    <w:rsid w:val="00B05EE8"/>
    <w:rsid w:val="00B21CBE"/>
    <w:rsid w:val="00B22CAF"/>
    <w:rsid w:val="00B30026"/>
    <w:rsid w:val="00B37020"/>
    <w:rsid w:val="00B460D6"/>
    <w:rsid w:val="00B74C60"/>
    <w:rsid w:val="00BA5D7C"/>
    <w:rsid w:val="00BB5475"/>
    <w:rsid w:val="00BC06B5"/>
    <w:rsid w:val="00BC31DA"/>
    <w:rsid w:val="00BC7384"/>
    <w:rsid w:val="00BE5BFA"/>
    <w:rsid w:val="00BE7BB5"/>
    <w:rsid w:val="00BF6064"/>
    <w:rsid w:val="00C035AC"/>
    <w:rsid w:val="00C07F23"/>
    <w:rsid w:val="00C21CEA"/>
    <w:rsid w:val="00C23B93"/>
    <w:rsid w:val="00C31F83"/>
    <w:rsid w:val="00C34742"/>
    <w:rsid w:val="00C423E6"/>
    <w:rsid w:val="00C44E12"/>
    <w:rsid w:val="00C53B26"/>
    <w:rsid w:val="00C66D94"/>
    <w:rsid w:val="00C67C2C"/>
    <w:rsid w:val="00C7691D"/>
    <w:rsid w:val="00C76D2B"/>
    <w:rsid w:val="00C80A26"/>
    <w:rsid w:val="00C84531"/>
    <w:rsid w:val="00CA1FDB"/>
    <w:rsid w:val="00CC0257"/>
    <w:rsid w:val="00CC1B13"/>
    <w:rsid w:val="00CE51C5"/>
    <w:rsid w:val="00CF09F8"/>
    <w:rsid w:val="00CF0FFE"/>
    <w:rsid w:val="00CF2DAB"/>
    <w:rsid w:val="00CF5089"/>
    <w:rsid w:val="00CF6BD9"/>
    <w:rsid w:val="00D12421"/>
    <w:rsid w:val="00D4352B"/>
    <w:rsid w:val="00D4537C"/>
    <w:rsid w:val="00D50E45"/>
    <w:rsid w:val="00D55F3D"/>
    <w:rsid w:val="00D57182"/>
    <w:rsid w:val="00D6305F"/>
    <w:rsid w:val="00D656FC"/>
    <w:rsid w:val="00D65F8A"/>
    <w:rsid w:val="00D829FE"/>
    <w:rsid w:val="00D8694E"/>
    <w:rsid w:val="00D9025E"/>
    <w:rsid w:val="00D97247"/>
    <w:rsid w:val="00DA62D1"/>
    <w:rsid w:val="00DB0B7C"/>
    <w:rsid w:val="00DB5437"/>
    <w:rsid w:val="00DD609E"/>
    <w:rsid w:val="00DE2F94"/>
    <w:rsid w:val="00E21AD7"/>
    <w:rsid w:val="00E24F47"/>
    <w:rsid w:val="00E401E2"/>
    <w:rsid w:val="00E42FEC"/>
    <w:rsid w:val="00E55031"/>
    <w:rsid w:val="00E60024"/>
    <w:rsid w:val="00E64B79"/>
    <w:rsid w:val="00E65690"/>
    <w:rsid w:val="00E812F2"/>
    <w:rsid w:val="00E846DA"/>
    <w:rsid w:val="00E8769D"/>
    <w:rsid w:val="00E9193E"/>
    <w:rsid w:val="00EA4D35"/>
    <w:rsid w:val="00EC0875"/>
    <w:rsid w:val="00ED672A"/>
    <w:rsid w:val="00F03BC5"/>
    <w:rsid w:val="00F0418D"/>
    <w:rsid w:val="00F2304F"/>
    <w:rsid w:val="00F26DD2"/>
    <w:rsid w:val="00F362EF"/>
    <w:rsid w:val="00F376DF"/>
    <w:rsid w:val="00F43847"/>
    <w:rsid w:val="00F47357"/>
    <w:rsid w:val="00F5688B"/>
    <w:rsid w:val="00F603D6"/>
    <w:rsid w:val="00F62E27"/>
    <w:rsid w:val="00F67749"/>
    <w:rsid w:val="00F72A55"/>
    <w:rsid w:val="00F7372A"/>
    <w:rsid w:val="00F77E5A"/>
    <w:rsid w:val="00F85F89"/>
    <w:rsid w:val="00F87983"/>
    <w:rsid w:val="00FA262C"/>
    <w:rsid w:val="00FA5FA8"/>
    <w:rsid w:val="00FB691E"/>
    <w:rsid w:val="00FE25E5"/>
    <w:rsid w:val="00FE3450"/>
    <w:rsid w:val="00FE79FB"/>
    <w:rsid w:val="00FF7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77C2"/>
  <w15:chartTrackingRefBased/>
  <w15:docId w15:val="{A7BFB030-74F4-4B1C-81CF-5F4476D5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E2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E2D77"/>
    <w:rPr>
      <w:rFonts w:ascii="Times New Roman" w:eastAsia="Times New Roman" w:hAnsi="Times New Roman" w:cs="Times New Roman"/>
      <w:b/>
      <w:bCs/>
      <w:kern w:val="36"/>
      <w:sz w:val="48"/>
      <w:szCs w:val="48"/>
      <w:lang w:eastAsia="da-DK"/>
    </w:rPr>
  </w:style>
  <w:style w:type="paragraph" w:customStyle="1" w:styleId="bodytext">
    <w:name w:val="bodytext"/>
    <w:basedOn w:val="Normal"/>
    <w:rsid w:val="003E2D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97247"/>
    <w:rPr>
      <w:color w:val="0000FF"/>
      <w:u w:val="single"/>
    </w:rPr>
  </w:style>
  <w:style w:type="character" w:styleId="BesgtLink">
    <w:name w:val="FollowedHyperlink"/>
    <w:basedOn w:val="Standardskrifttypeiafsnit"/>
    <w:uiPriority w:val="99"/>
    <w:semiHidden/>
    <w:unhideWhenUsed/>
    <w:rsid w:val="0076044E"/>
    <w:rPr>
      <w:color w:val="954F72" w:themeColor="followedHyperlink"/>
      <w:u w:val="single"/>
    </w:rPr>
  </w:style>
  <w:style w:type="character" w:customStyle="1" w:styleId="csskilde">
    <w:name w:val="css_kilde"/>
    <w:basedOn w:val="Standardskrifttypeiafsnit"/>
    <w:rsid w:val="00B05EE8"/>
  </w:style>
  <w:style w:type="paragraph" w:customStyle="1" w:styleId="Default">
    <w:name w:val="Default"/>
    <w:rsid w:val="00567DFB"/>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C66D94"/>
    <w:pPr>
      <w:ind w:left="720"/>
      <w:contextualSpacing/>
    </w:pPr>
  </w:style>
  <w:style w:type="paragraph" w:styleId="Bloktekst">
    <w:name w:val="Block Text"/>
    <w:basedOn w:val="Normal"/>
    <w:rsid w:val="00442905"/>
    <w:pPr>
      <w:autoSpaceDE w:val="0"/>
      <w:autoSpaceDN w:val="0"/>
      <w:adjustRightInd w:val="0"/>
      <w:spacing w:before="100" w:beforeAutospacing="1" w:after="100" w:afterAutospacing="1" w:line="360" w:lineRule="auto"/>
      <w:ind w:left="567" w:right="567"/>
    </w:pPr>
    <w:rPr>
      <w:rFonts w:ascii="Times New Roman" w:eastAsia="Times New Roman" w:hAnsi="Times New Roman" w:cs="Times New Roman"/>
      <w:color w:val="000000"/>
      <w:sz w:val="24"/>
      <w:lang w:eastAsia="da-DK"/>
    </w:rPr>
  </w:style>
  <w:style w:type="paragraph" w:styleId="Fodnotetekst">
    <w:name w:val="footnote text"/>
    <w:basedOn w:val="Normal"/>
    <w:link w:val="FodnotetekstTegn"/>
    <w:uiPriority w:val="99"/>
    <w:semiHidden/>
    <w:unhideWhenUsed/>
    <w:rsid w:val="00CF09F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F09F8"/>
    <w:rPr>
      <w:sz w:val="20"/>
      <w:szCs w:val="20"/>
    </w:rPr>
  </w:style>
  <w:style w:type="character" w:styleId="Fodnotehenvisning">
    <w:name w:val="footnote reference"/>
    <w:basedOn w:val="Standardskrifttypeiafsnit"/>
    <w:uiPriority w:val="99"/>
    <w:semiHidden/>
    <w:unhideWhenUsed/>
    <w:rsid w:val="00CF09F8"/>
    <w:rPr>
      <w:vertAlign w:val="superscript"/>
    </w:rPr>
  </w:style>
  <w:style w:type="character" w:styleId="Kommentarhenvisning">
    <w:name w:val="annotation reference"/>
    <w:basedOn w:val="Standardskrifttypeiafsnit"/>
    <w:uiPriority w:val="99"/>
    <w:semiHidden/>
    <w:unhideWhenUsed/>
    <w:rsid w:val="00BF6064"/>
    <w:rPr>
      <w:sz w:val="16"/>
      <w:szCs w:val="16"/>
    </w:rPr>
  </w:style>
  <w:style w:type="paragraph" w:styleId="Kommentartekst">
    <w:name w:val="annotation text"/>
    <w:basedOn w:val="Normal"/>
    <w:link w:val="KommentartekstTegn"/>
    <w:uiPriority w:val="99"/>
    <w:semiHidden/>
    <w:unhideWhenUsed/>
    <w:rsid w:val="00BF606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F6064"/>
    <w:rPr>
      <w:sz w:val="20"/>
      <w:szCs w:val="20"/>
    </w:rPr>
  </w:style>
  <w:style w:type="paragraph" w:styleId="Kommentaremne">
    <w:name w:val="annotation subject"/>
    <w:basedOn w:val="Kommentartekst"/>
    <w:next w:val="Kommentartekst"/>
    <w:link w:val="KommentaremneTegn"/>
    <w:uiPriority w:val="99"/>
    <w:semiHidden/>
    <w:unhideWhenUsed/>
    <w:rsid w:val="00BF6064"/>
    <w:rPr>
      <w:b/>
      <w:bCs/>
    </w:rPr>
  </w:style>
  <w:style w:type="character" w:customStyle="1" w:styleId="KommentaremneTegn">
    <w:name w:val="Kommentaremne Tegn"/>
    <w:basedOn w:val="KommentartekstTegn"/>
    <w:link w:val="Kommentaremne"/>
    <w:uiPriority w:val="99"/>
    <w:semiHidden/>
    <w:rsid w:val="00BF6064"/>
    <w:rPr>
      <w:b/>
      <w:bCs/>
      <w:sz w:val="20"/>
      <w:szCs w:val="20"/>
    </w:rPr>
  </w:style>
  <w:style w:type="paragraph" w:styleId="Markeringsbobletekst">
    <w:name w:val="Balloon Text"/>
    <w:basedOn w:val="Normal"/>
    <w:link w:val="MarkeringsbobletekstTegn"/>
    <w:uiPriority w:val="99"/>
    <w:semiHidden/>
    <w:unhideWhenUsed/>
    <w:rsid w:val="00BF60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6064"/>
    <w:rPr>
      <w:rFonts w:ascii="Segoe UI" w:hAnsi="Segoe UI" w:cs="Segoe UI"/>
      <w:sz w:val="18"/>
      <w:szCs w:val="18"/>
    </w:rPr>
  </w:style>
  <w:style w:type="paragraph" w:styleId="Sidehoved">
    <w:name w:val="header"/>
    <w:basedOn w:val="Normal"/>
    <w:link w:val="SidehovedTegn"/>
    <w:uiPriority w:val="99"/>
    <w:unhideWhenUsed/>
    <w:rsid w:val="005B2A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2A25"/>
  </w:style>
  <w:style w:type="paragraph" w:styleId="Sidefod">
    <w:name w:val="footer"/>
    <w:basedOn w:val="Normal"/>
    <w:link w:val="SidefodTegn"/>
    <w:uiPriority w:val="99"/>
    <w:unhideWhenUsed/>
    <w:rsid w:val="005B2A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2A25"/>
  </w:style>
  <w:style w:type="paragraph" w:styleId="Korrektur">
    <w:name w:val="Revision"/>
    <w:hidden/>
    <w:uiPriority w:val="99"/>
    <w:semiHidden/>
    <w:rsid w:val="00822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091">
      <w:bodyDiv w:val="1"/>
      <w:marLeft w:val="0"/>
      <w:marRight w:val="0"/>
      <w:marTop w:val="0"/>
      <w:marBottom w:val="0"/>
      <w:divBdr>
        <w:top w:val="none" w:sz="0" w:space="0" w:color="auto"/>
        <w:left w:val="none" w:sz="0" w:space="0" w:color="auto"/>
        <w:bottom w:val="none" w:sz="0" w:space="0" w:color="auto"/>
        <w:right w:val="none" w:sz="0" w:space="0" w:color="auto"/>
      </w:divBdr>
    </w:div>
    <w:div w:id="86200932">
      <w:bodyDiv w:val="1"/>
      <w:marLeft w:val="0"/>
      <w:marRight w:val="0"/>
      <w:marTop w:val="0"/>
      <w:marBottom w:val="0"/>
      <w:divBdr>
        <w:top w:val="none" w:sz="0" w:space="0" w:color="auto"/>
        <w:left w:val="none" w:sz="0" w:space="0" w:color="auto"/>
        <w:bottom w:val="none" w:sz="0" w:space="0" w:color="auto"/>
        <w:right w:val="none" w:sz="0" w:space="0" w:color="auto"/>
      </w:divBdr>
    </w:div>
    <w:div w:id="158080971">
      <w:bodyDiv w:val="1"/>
      <w:marLeft w:val="0"/>
      <w:marRight w:val="0"/>
      <w:marTop w:val="0"/>
      <w:marBottom w:val="0"/>
      <w:divBdr>
        <w:top w:val="none" w:sz="0" w:space="0" w:color="auto"/>
        <w:left w:val="none" w:sz="0" w:space="0" w:color="auto"/>
        <w:bottom w:val="none" w:sz="0" w:space="0" w:color="auto"/>
        <w:right w:val="none" w:sz="0" w:space="0" w:color="auto"/>
      </w:divBdr>
    </w:div>
    <w:div w:id="189029732">
      <w:bodyDiv w:val="1"/>
      <w:marLeft w:val="0"/>
      <w:marRight w:val="0"/>
      <w:marTop w:val="0"/>
      <w:marBottom w:val="0"/>
      <w:divBdr>
        <w:top w:val="none" w:sz="0" w:space="0" w:color="auto"/>
        <w:left w:val="none" w:sz="0" w:space="0" w:color="auto"/>
        <w:bottom w:val="none" w:sz="0" w:space="0" w:color="auto"/>
        <w:right w:val="none" w:sz="0" w:space="0" w:color="auto"/>
      </w:divBdr>
    </w:div>
    <w:div w:id="303631089">
      <w:bodyDiv w:val="1"/>
      <w:marLeft w:val="0"/>
      <w:marRight w:val="0"/>
      <w:marTop w:val="0"/>
      <w:marBottom w:val="0"/>
      <w:divBdr>
        <w:top w:val="none" w:sz="0" w:space="0" w:color="auto"/>
        <w:left w:val="none" w:sz="0" w:space="0" w:color="auto"/>
        <w:bottom w:val="none" w:sz="0" w:space="0" w:color="auto"/>
        <w:right w:val="none" w:sz="0" w:space="0" w:color="auto"/>
      </w:divBdr>
    </w:div>
    <w:div w:id="472261948">
      <w:bodyDiv w:val="1"/>
      <w:marLeft w:val="0"/>
      <w:marRight w:val="0"/>
      <w:marTop w:val="0"/>
      <w:marBottom w:val="0"/>
      <w:divBdr>
        <w:top w:val="none" w:sz="0" w:space="0" w:color="auto"/>
        <w:left w:val="none" w:sz="0" w:space="0" w:color="auto"/>
        <w:bottom w:val="none" w:sz="0" w:space="0" w:color="auto"/>
        <w:right w:val="none" w:sz="0" w:space="0" w:color="auto"/>
      </w:divBdr>
    </w:div>
    <w:div w:id="654460072">
      <w:bodyDiv w:val="1"/>
      <w:marLeft w:val="0"/>
      <w:marRight w:val="0"/>
      <w:marTop w:val="0"/>
      <w:marBottom w:val="0"/>
      <w:divBdr>
        <w:top w:val="none" w:sz="0" w:space="0" w:color="auto"/>
        <w:left w:val="none" w:sz="0" w:space="0" w:color="auto"/>
        <w:bottom w:val="none" w:sz="0" w:space="0" w:color="auto"/>
        <w:right w:val="none" w:sz="0" w:space="0" w:color="auto"/>
      </w:divBdr>
    </w:div>
    <w:div w:id="696471700">
      <w:bodyDiv w:val="1"/>
      <w:marLeft w:val="0"/>
      <w:marRight w:val="0"/>
      <w:marTop w:val="0"/>
      <w:marBottom w:val="0"/>
      <w:divBdr>
        <w:top w:val="none" w:sz="0" w:space="0" w:color="auto"/>
        <w:left w:val="none" w:sz="0" w:space="0" w:color="auto"/>
        <w:bottom w:val="none" w:sz="0" w:space="0" w:color="auto"/>
        <w:right w:val="none" w:sz="0" w:space="0" w:color="auto"/>
      </w:divBdr>
    </w:div>
    <w:div w:id="743988583">
      <w:bodyDiv w:val="1"/>
      <w:marLeft w:val="0"/>
      <w:marRight w:val="0"/>
      <w:marTop w:val="0"/>
      <w:marBottom w:val="0"/>
      <w:divBdr>
        <w:top w:val="none" w:sz="0" w:space="0" w:color="auto"/>
        <w:left w:val="none" w:sz="0" w:space="0" w:color="auto"/>
        <w:bottom w:val="none" w:sz="0" w:space="0" w:color="auto"/>
        <w:right w:val="none" w:sz="0" w:space="0" w:color="auto"/>
      </w:divBdr>
    </w:div>
    <w:div w:id="832838958">
      <w:bodyDiv w:val="1"/>
      <w:marLeft w:val="0"/>
      <w:marRight w:val="0"/>
      <w:marTop w:val="0"/>
      <w:marBottom w:val="0"/>
      <w:divBdr>
        <w:top w:val="none" w:sz="0" w:space="0" w:color="auto"/>
        <w:left w:val="none" w:sz="0" w:space="0" w:color="auto"/>
        <w:bottom w:val="none" w:sz="0" w:space="0" w:color="auto"/>
        <w:right w:val="none" w:sz="0" w:space="0" w:color="auto"/>
      </w:divBdr>
      <w:divsChild>
        <w:div w:id="1905411120">
          <w:marLeft w:val="547"/>
          <w:marRight w:val="0"/>
          <w:marTop w:val="0"/>
          <w:marBottom w:val="0"/>
          <w:divBdr>
            <w:top w:val="none" w:sz="0" w:space="0" w:color="auto"/>
            <w:left w:val="none" w:sz="0" w:space="0" w:color="auto"/>
            <w:bottom w:val="none" w:sz="0" w:space="0" w:color="auto"/>
            <w:right w:val="none" w:sz="0" w:space="0" w:color="auto"/>
          </w:divBdr>
        </w:div>
        <w:div w:id="1693845474">
          <w:marLeft w:val="547"/>
          <w:marRight w:val="0"/>
          <w:marTop w:val="0"/>
          <w:marBottom w:val="0"/>
          <w:divBdr>
            <w:top w:val="none" w:sz="0" w:space="0" w:color="auto"/>
            <w:left w:val="none" w:sz="0" w:space="0" w:color="auto"/>
            <w:bottom w:val="none" w:sz="0" w:space="0" w:color="auto"/>
            <w:right w:val="none" w:sz="0" w:space="0" w:color="auto"/>
          </w:divBdr>
        </w:div>
        <w:div w:id="1772163488">
          <w:marLeft w:val="547"/>
          <w:marRight w:val="0"/>
          <w:marTop w:val="0"/>
          <w:marBottom w:val="0"/>
          <w:divBdr>
            <w:top w:val="none" w:sz="0" w:space="0" w:color="auto"/>
            <w:left w:val="none" w:sz="0" w:space="0" w:color="auto"/>
            <w:bottom w:val="none" w:sz="0" w:space="0" w:color="auto"/>
            <w:right w:val="none" w:sz="0" w:space="0" w:color="auto"/>
          </w:divBdr>
        </w:div>
      </w:divsChild>
    </w:div>
    <w:div w:id="1074821290">
      <w:bodyDiv w:val="1"/>
      <w:marLeft w:val="0"/>
      <w:marRight w:val="0"/>
      <w:marTop w:val="0"/>
      <w:marBottom w:val="0"/>
      <w:divBdr>
        <w:top w:val="none" w:sz="0" w:space="0" w:color="auto"/>
        <w:left w:val="none" w:sz="0" w:space="0" w:color="auto"/>
        <w:bottom w:val="none" w:sz="0" w:space="0" w:color="auto"/>
        <w:right w:val="none" w:sz="0" w:space="0" w:color="auto"/>
      </w:divBdr>
    </w:div>
    <w:div w:id="1089306432">
      <w:bodyDiv w:val="1"/>
      <w:marLeft w:val="0"/>
      <w:marRight w:val="0"/>
      <w:marTop w:val="0"/>
      <w:marBottom w:val="0"/>
      <w:divBdr>
        <w:top w:val="none" w:sz="0" w:space="0" w:color="auto"/>
        <w:left w:val="none" w:sz="0" w:space="0" w:color="auto"/>
        <w:bottom w:val="none" w:sz="0" w:space="0" w:color="auto"/>
        <w:right w:val="none" w:sz="0" w:space="0" w:color="auto"/>
      </w:divBdr>
    </w:div>
    <w:div w:id="1208179689">
      <w:bodyDiv w:val="1"/>
      <w:marLeft w:val="0"/>
      <w:marRight w:val="0"/>
      <w:marTop w:val="0"/>
      <w:marBottom w:val="0"/>
      <w:divBdr>
        <w:top w:val="none" w:sz="0" w:space="0" w:color="auto"/>
        <w:left w:val="none" w:sz="0" w:space="0" w:color="auto"/>
        <w:bottom w:val="none" w:sz="0" w:space="0" w:color="auto"/>
        <w:right w:val="none" w:sz="0" w:space="0" w:color="auto"/>
      </w:divBdr>
    </w:div>
    <w:div w:id="1331327493">
      <w:bodyDiv w:val="1"/>
      <w:marLeft w:val="0"/>
      <w:marRight w:val="0"/>
      <w:marTop w:val="0"/>
      <w:marBottom w:val="0"/>
      <w:divBdr>
        <w:top w:val="none" w:sz="0" w:space="0" w:color="auto"/>
        <w:left w:val="none" w:sz="0" w:space="0" w:color="auto"/>
        <w:bottom w:val="none" w:sz="0" w:space="0" w:color="auto"/>
        <w:right w:val="none" w:sz="0" w:space="0" w:color="auto"/>
      </w:divBdr>
    </w:div>
    <w:div w:id="1572615237">
      <w:bodyDiv w:val="1"/>
      <w:marLeft w:val="0"/>
      <w:marRight w:val="0"/>
      <w:marTop w:val="0"/>
      <w:marBottom w:val="0"/>
      <w:divBdr>
        <w:top w:val="none" w:sz="0" w:space="0" w:color="auto"/>
        <w:left w:val="none" w:sz="0" w:space="0" w:color="auto"/>
        <w:bottom w:val="none" w:sz="0" w:space="0" w:color="auto"/>
        <w:right w:val="none" w:sz="0" w:space="0" w:color="auto"/>
      </w:divBdr>
    </w:div>
    <w:div w:id="1717773422">
      <w:bodyDiv w:val="1"/>
      <w:marLeft w:val="0"/>
      <w:marRight w:val="0"/>
      <w:marTop w:val="0"/>
      <w:marBottom w:val="0"/>
      <w:divBdr>
        <w:top w:val="none" w:sz="0" w:space="0" w:color="auto"/>
        <w:left w:val="none" w:sz="0" w:space="0" w:color="auto"/>
        <w:bottom w:val="none" w:sz="0" w:space="0" w:color="auto"/>
        <w:right w:val="none" w:sz="0" w:space="0" w:color="auto"/>
      </w:divBdr>
    </w:div>
    <w:div w:id="1745639371">
      <w:bodyDiv w:val="1"/>
      <w:marLeft w:val="0"/>
      <w:marRight w:val="0"/>
      <w:marTop w:val="0"/>
      <w:marBottom w:val="0"/>
      <w:divBdr>
        <w:top w:val="none" w:sz="0" w:space="0" w:color="auto"/>
        <w:left w:val="none" w:sz="0" w:space="0" w:color="auto"/>
        <w:bottom w:val="none" w:sz="0" w:space="0" w:color="auto"/>
        <w:right w:val="none" w:sz="0" w:space="0" w:color="auto"/>
      </w:divBdr>
    </w:div>
    <w:div w:id="1859807123">
      <w:bodyDiv w:val="1"/>
      <w:marLeft w:val="0"/>
      <w:marRight w:val="0"/>
      <w:marTop w:val="0"/>
      <w:marBottom w:val="0"/>
      <w:divBdr>
        <w:top w:val="none" w:sz="0" w:space="0" w:color="auto"/>
        <w:left w:val="none" w:sz="0" w:space="0" w:color="auto"/>
        <w:bottom w:val="none" w:sz="0" w:space="0" w:color="auto"/>
        <w:right w:val="none" w:sz="0" w:space="0" w:color="auto"/>
      </w:divBdr>
      <w:divsChild>
        <w:div w:id="745373181">
          <w:marLeft w:val="0"/>
          <w:marRight w:val="0"/>
          <w:marTop w:val="0"/>
          <w:marBottom w:val="0"/>
          <w:divBdr>
            <w:top w:val="none" w:sz="0" w:space="0" w:color="auto"/>
            <w:left w:val="none" w:sz="0" w:space="0" w:color="auto"/>
            <w:bottom w:val="none" w:sz="0" w:space="0" w:color="auto"/>
            <w:right w:val="none" w:sz="0" w:space="0" w:color="auto"/>
          </w:divBdr>
        </w:div>
      </w:divsChild>
    </w:div>
    <w:div w:id="1967347616">
      <w:bodyDiv w:val="1"/>
      <w:marLeft w:val="0"/>
      <w:marRight w:val="0"/>
      <w:marTop w:val="0"/>
      <w:marBottom w:val="0"/>
      <w:divBdr>
        <w:top w:val="none" w:sz="0" w:space="0" w:color="auto"/>
        <w:left w:val="none" w:sz="0" w:space="0" w:color="auto"/>
        <w:bottom w:val="none" w:sz="0" w:space="0" w:color="auto"/>
        <w:right w:val="none" w:sz="0" w:space="0" w:color="auto"/>
      </w:divBdr>
    </w:div>
    <w:div w:id="20308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Rejesektoren,%20tabeller%20og%20figurer%20til%20fiskerikommission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Tabeller%20og%20figurer%20til%20notat%20om%20rejefiskeriet,%2027-01-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'Biol. TAC fangst'!$C$6</c:f>
              <c:strCache>
                <c:ptCount val="1"/>
                <c:pt idx="0">
                  <c:v>Rådgivning</c:v>
                </c:pt>
              </c:strCache>
            </c:strRef>
          </c:tx>
          <c:spPr>
            <a:solidFill>
              <a:schemeClr val="accent1"/>
            </a:solidFill>
            <a:ln>
              <a:noFill/>
            </a:ln>
            <a:effectLst/>
          </c:spPr>
          <c:invertIfNegative val="0"/>
          <c:cat>
            <c:numRef>
              <c:f>'Biol. TAC fangst'!$B$10:$B$40</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'Biol. TAC fangst'!$C$10:$C$40</c:f>
              <c:numCache>
                <c:formatCode>#,##0</c:formatCode>
                <c:ptCount val="31"/>
                <c:pt idx="0">
                  <c:v>50000</c:v>
                </c:pt>
                <c:pt idx="1">
                  <c:v>50000</c:v>
                </c:pt>
                <c:pt idx="2">
                  <c:v>40000</c:v>
                </c:pt>
                <c:pt idx="3">
                  <c:v>50000</c:v>
                </c:pt>
                <c:pt idx="4">
                  <c:v>50000</c:v>
                </c:pt>
                <c:pt idx="5">
                  <c:v>60000</c:v>
                </c:pt>
                <c:pt idx="6">
                  <c:v>60000</c:v>
                </c:pt>
                <c:pt idx="7">
                  <c:v>60000</c:v>
                </c:pt>
                <c:pt idx="8">
                  <c:v>55000</c:v>
                </c:pt>
                <c:pt idx="9">
                  <c:v>65000</c:v>
                </c:pt>
                <c:pt idx="10">
                  <c:v>65000</c:v>
                </c:pt>
                <c:pt idx="11">
                  <c:v>85000</c:v>
                </c:pt>
                <c:pt idx="12">
                  <c:v>85000</c:v>
                </c:pt>
                <c:pt idx="13">
                  <c:v>100000</c:v>
                </c:pt>
                <c:pt idx="14">
                  <c:v>130000</c:v>
                </c:pt>
                <c:pt idx="15">
                  <c:v>130000</c:v>
                </c:pt>
                <c:pt idx="16">
                  <c:v>130000</c:v>
                </c:pt>
                <c:pt idx="17">
                  <c:v>130000</c:v>
                </c:pt>
                <c:pt idx="18">
                  <c:v>110000</c:v>
                </c:pt>
                <c:pt idx="19">
                  <c:v>110000</c:v>
                </c:pt>
                <c:pt idx="20">
                  <c:v>110000</c:v>
                </c:pt>
                <c:pt idx="21">
                  <c:v>120000</c:v>
                </c:pt>
                <c:pt idx="22">
                  <c:v>90000</c:v>
                </c:pt>
                <c:pt idx="23">
                  <c:v>80000</c:v>
                </c:pt>
                <c:pt idx="24">
                  <c:v>80000</c:v>
                </c:pt>
                <c:pt idx="25">
                  <c:v>60000</c:v>
                </c:pt>
                <c:pt idx="26">
                  <c:v>90000</c:v>
                </c:pt>
                <c:pt idx="27">
                  <c:v>90000</c:v>
                </c:pt>
                <c:pt idx="28">
                  <c:v>105000</c:v>
                </c:pt>
                <c:pt idx="29">
                  <c:v>105000</c:v>
                </c:pt>
                <c:pt idx="30">
                  <c:v>110000</c:v>
                </c:pt>
              </c:numCache>
            </c:numRef>
          </c:val>
          <c:extLst>
            <c:ext xmlns:c16="http://schemas.microsoft.com/office/drawing/2014/chart" uri="{C3380CC4-5D6E-409C-BE32-E72D297353CC}">
              <c16:uniqueId val="{00000000-E335-4037-89E8-D6D6E5B64978}"/>
            </c:ext>
          </c:extLst>
        </c:ser>
        <c:dLbls>
          <c:showLegendKey val="0"/>
          <c:showVal val="0"/>
          <c:showCatName val="0"/>
          <c:showSerName val="0"/>
          <c:showPercent val="0"/>
          <c:showBubbleSize val="0"/>
        </c:dLbls>
        <c:gapWidth val="150"/>
        <c:axId val="412226472"/>
        <c:axId val="412226800"/>
      </c:barChart>
      <c:lineChart>
        <c:grouping val="standard"/>
        <c:varyColors val="0"/>
        <c:ser>
          <c:idx val="1"/>
          <c:order val="1"/>
          <c:tx>
            <c:strRef>
              <c:f>'Biol. TAC fangst'!$D$6</c:f>
              <c:strCache>
                <c:ptCount val="1"/>
                <c:pt idx="0">
                  <c:v>TAC</c:v>
                </c:pt>
              </c:strCache>
            </c:strRef>
          </c:tx>
          <c:spPr>
            <a:ln w="28575" cap="rnd">
              <a:solidFill>
                <a:schemeClr val="accent2"/>
              </a:solidFill>
              <a:round/>
            </a:ln>
            <a:effectLst/>
          </c:spPr>
          <c:marker>
            <c:symbol val="none"/>
          </c:marker>
          <c:cat>
            <c:numRef>
              <c:f>'Biol. TAC fangst'!$B$10:$B$38</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'Biol. TAC fangst'!$D$10:$D$40</c:f>
              <c:numCache>
                <c:formatCode>#,##0</c:formatCode>
                <c:ptCount val="31"/>
                <c:pt idx="0">
                  <c:v>45245</c:v>
                </c:pt>
                <c:pt idx="1">
                  <c:v>46225</c:v>
                </c:pt>
                <c:pt idx="2">
                  <c:v>44200</c:v>
                </c:pt>
                <c:pt idx="3">
                  <c:v>40600</c:v>
                </c:pt>
                <c:pt idx="4">
                  <c:v>42300</c:v>
                </c:pt>
                <c:pt idx="5">
                  <c:v>39500</c:v>
                </c:pt>
                <c:pt idx="6">
                  <c:v>63922</c:v>
                </c:pt>
                <c:pt idx="7">
                  <c:v>64600</c:v>
                </c:pt>
                <c:pt idx="8">
                  <c:v>60729</c:v>
                </c:pt>
                <c:pt idx="9">
                  <c:v>71000</c:v>
                </c:pt>
                <c:pt idx="10">
                  <c:v>71000</c:v>
                </c:pt>
                <c:pt idx="11">
                  <c:v>82000</c:v>
                </c:pt>
                <c:pt idx="12">
                  <c:v>91150</c:v>
                </c:pt>
                <c:pt idx="13">
                  <c:v>101000</c:v>
                </c:pt>
                <c:pt idx="14">
                  <c:v>135352</c:v>
                </c:pt>
                <c:pt idx="15">
                  <c:v>134000</c:v>
                </c:pt>
                <c:pt idx="16">
                  <c:v>134000</c:v>
                </c:pt>
                <c:pt idx="17">
                  <c:v>134000</c:v>
                </c:pt>
                <c:pt idx="18">
                  <c:v>127300</c:v>
                </c:pt>
                <c:pt idx="19">
                  <c:v>114570</c:v>
                </c:pt>
                <c:pt idx="20">
                  <c:v>114570</c:v>
                </c:pt>
                <c:pt idx="21">
                  <c:v>124000</c:v>
                </c:pt>
                <c:pt idx="22">
                  <c:v>101675</c:v>
                </c:pt>
                <c:pt idx="23">
                  <c:v>87263</c:v>
                </c:pt>
                <c:pt idx="24">
                  <c:v>82807</c:v>
                </c:pt>
                <c:pt idx="25">
                  <c:v>71061</c:v>
                </c:pt>
                <c:pt idx="26">
                  <c:v>82801</c:v>
                </c:pt>
                <c:pt idx="27">
                  <c:v>88957</c:v>
                </c:pt>
                <c:pt idx="28">
                  <c:v>99998</c:v>
                </c:pt>
                <c:pt idx="29">
                  <c:v>103383</c:v>
                </c:pt>
                <c:pt idx="30">
                  <c:v>108383</c:v>
                </c:pt>
              </c:numCache>
            </c:numRef>
          </c:val>
          <c:smooth val="0"/>
          <c:extLst>
            <c:ext xmlns:c16="http://schemas.microsoft.com/office/drawing/2014/chart" uri="{C3380CC4-5D6E-409C-BE32-E72D297353CC}">
              <c16:uniqueId val="{00000001-E335-4037-89E8-D6D6E5B64978}"/>
            </c:ext>
          </c:extLst>
        </c:ser>
        <c:ser>
          <c:idx val="2"/>
          <c:order val="2"/>
          <c:tx>
            <c:strRef>
              <c:f>'Biol. TAC fangst'!$E$6</c:f>
              <c:strCache>
                <c:ptCount val="1"/>
                <c:pt idx="0">
                  <c:v>Fangst GRL farvand</c:v>
                </c:pt>
              </c:strCache>
            </c:strRef>
          </c:tx>
          <c:spPr>
            <a:ln w="28575" cap="rnd">
              <a:solidFill>
                <a:schemeClr val="accent3"/>
              </a:solidFill>
              <a:round/>
            </a:ln>
            <a:effectLst/>
          </c:spPr>
          <c:marker>
            <c:symbol val="none"/>
          </c:marker>
          <c:cat>
            <c:numRef>
              <c:f>'Biol. TAC fangst'!$B$10:$B$38</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'Biol. TAC fangst'!$E$10:$E$40</c:f>
              <c:numCache>
                <c:formatCode>_(* #,##0_);_(* \(#,##0\);_(* "-"??_);_(@_)</c:formatCode>
                <c:ptCount val="31"/>
                <c:pt idx="0">
                  <c:v>77793</c:v>
                </c:pt>
                <c:pt idx="1">
                  <c:v>84701</c:v>
                </c:pt>
                <c:pt idx="2">
                  <c:v>97994</c:v>
                </c:pt>
                <c:pt idx="3">
                  <c:v>85522</c:v>
                </c:pt>
                <c:pt idx="4">
                  <c:v>88039</c:v>
                </c:pt>
                <c:pt idx="5">
                  <c:v>85027</c:v>
                </c:pt>
                <c:pt idx="6">
                  <c:v>81463</c:v>
                </c:pt>
                <c:pt idx="7">
                  <c:v>77611</c:v>
                </c:pt>
                <c:pt idx="8">
                  <c:v>79562</c:v>
                </c:pt>
                <c:pt idx="9">
                  <c:v>90152</c:v>
                </c:pt>
                <c:pt idx="10">
                  <c:v>96378</c:v>
                </c:pt>
                <c:pt idx="11">
                  <c:v>99301</c:v>
                </c:pt>
                <c:pt idx="12">
                  <c:v>128925</c:v>
                </c:pt>
                <c:pt idx="13">
                  <c:v>123036</c:v>
                </c:pt>
                <c:pt idx="14">
                  <c:v>142311</c:v>
                </c:pt>
                <c:pt idx="15">
                  <c:v>149978</c:v>
                </c:pt>
                <c:pt idx="16">
                  <c:v>153188</c:v>
                </c:pt>
                <c:pt idx="17">
                  <c:v>142245</c:v>
                </c:pt>
                <c:pt idx="18">
                  <c:v>153889</c:v>
                </c:pt>
                <c:pt idx="19">
                  <c:v>135029</c:v>
                </c:pt>
                <c:pt idx="20">
                  <c:v>128109</c:v>
                </c:pt>
                <c:pt idx="21">
                  <c:v>122659</c:v>
                </c:pt>
                <c:pt idx="22">
                  <c:v>115965</c:v>
                </c:pt>
                <c:pt idx="23">
                  <c:v>95379</c:v>
                </c:pt>
                <c:pt idx="24">
                  <c:v>88765</c:v>
                </c:pt>
                <c:pt idx="25">
                  <c:v>72254</c:v>
                </c:pt>
                <c:pt idx="26">
                  <c:v>84356</c:v>
                </c:pt>
                <c:pt idx="27">
                  <c:v>89369</c:v>
                </c:pt>
                <c:pt idx="28">
                  <c:v>99998</c:v>
                </c:pt>
                <c:pt idx="29">
                  <c:v>101977</c:v>
                </c:pt>
                <c:pt idx="30">
                  <c:v>109426.323</c:v>
                </c:pt>
              </c:numCache>
            </c:numRef>
          </c:val>
          <c:smooth val="0"/>
          <c:extLst>
            <c:ext xmlns:c16="http://schemas.microsoft.com/office/drawing/2014/chart" uri="{C3380CC4-5D6E-409C-BE32-E72D297353CC}">
              <c16:uniqueId val="{00000002-E335-4037-89E8-D6D6E5B64978}"/>
            </c:ext>
          </c:extLst>
        </c:ser>
        <c:dLbls>
          <c:showLegendKey val="0"/>
          <c:showVal val="0"/>
          <c:showCatName val="0"/>
          <c:showSerName val="0"/>
          <c:showPercent val="0"/>
          <c:showBubbleSize val="0"/>
        </c:dLbls>
        <c:marker val="1"/>
        <c:smooth val="0"/>
        <c:axId val="412226472"/>
        <c:axId val="412226800"/>
      </c:lineChart>
      <c:catAx>
        <c:axId val="41222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800"/>
        <c:crosses val="autoZero"/>
        <c:auto val="1"/>
        <c:lblAlgn val="ctr"/>
        <c:lblOffset val="100"/>
        <c:noMultiLvlLbl val="0"/>
      </c:catAx>
      <c:valAx>
        <c:axId val="412226800"/>
        <c:scaling>
          <c:orientation val="minMax"/>
          <c:max val="17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'Biol. TAC fangst'!$C$48</c:f>
              <c:strCache>
                <c:ptCount val="1"/>
                <c:pt idx="0">
                  <c:v>Rådgivning</c:v>
                </c:pt>
              </c:strCache>
            </c:strRef>
          </c:tx>
          <c:spPr>
            <a:solidFill>
              <a:schemeClr val="accent1"/>
            </a:solidFill>
            <a:ln>
              <a:noFill/>
            </a:ln>
            <a:effectLst/>
          </c:spPr>
          <c:invertIfNegative val="0"/>
          <c:cat>
            <c:numRef>
              <c:f>'Biol. TAC fangst'!$B$52:$B$82</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'Biol. TAC fangst'!$C$52:$C$82</c:f>
              <c:numCache>
                <c:formatCode>#,##0</c:formatCode>
                <c:ptCount val="31"/>
                <c:pt idx="0">
                  <c:v>10000</c:v>
                </c:pt>
                <c:pt idx="1">
                  <c:v>10000</c:v>
                </c:pt>
                <c:pt idx="2">
                  <c:v>8000</c:v>
                </c:pt>
                <c:pt idx="3">
                  <c:v>5000</c:v>
                </c:pt>
                <c:pt idx="4">
                  <c:v>5000</c:v>
                </c:pt>
                <c:pt idx="5">
                  <c:v>5000</c:v>
                </c:pt>
                <c:pt idx="6">
                  <c:v>5000</c:v>
                </c:pt>
                <c:pt idx="7">
                  <c:v>5000</c:v>
                </c:pt>
                <c:pt idx="8">
                  <c:v>5000</c:v>
                </c:pt>
                <c:pt idx="9">
                  <c:v>9600</c:v>
                </c:pt>
                <c:pt idx="10">
                  <c:v>9600</c:v>
                </c:pt>
                <c:pt idx="11">
                  <c:v>9600</c:v>
                </c:pt>
                <c:pt idx="12">
                  <c:v>9600</c:v>
                </c:pt>
                <c:pt idx="13">
                  <c:v>9600</c:v>
                </c:pt>
                <c:pt idx="14">
                  <c:v>12400</c:v>
                </c:pt>
                <c:pt idx="15">
                  <c:v>12400</c:v>
                </c:pt>
                <c:pt idx="16">
                  <c:v>12400</c:v>
                </c:pt>
                <c:pt idx="17">
                  <c:v>12400</c:v>
                </c:pt>
                <c:pt idx="18">
                  <c:v>12400</c:v>
                </c:pt>
                <c:pt idx="19">
                  <c:v>12400</c:v>
                </c:pt>
                <c:pt idx="20">
                  <c:v>12400</c:v>
                </c:pt>
                <c:pt idx="21">
                  <c:v>12400</c:v>
                </c:pt>
                <c:pt idx="22">
                  <c:v>12400</c:v>
                </c:pt>
                <c:pt idx="23">
                  <c:v>12400</c:v>
                </c:pt>
                <c:pt idx="24">
                  <c:v>2000</c:v>
                </c:pt>
                <c:pt idx="25">
                  <c:v>2000</c:v>
                </c:pt>
                <c:pt idx="26">
                  <c:v>2000</c:v>
                </c:pt>
                <c:pt idx="27">
                  <c:v>2000</c:v>
                </c:pt>
                <c:pt idx="28">
                  <c:v>2000</c:v>
                </c:pt>
                <c:pt idx="29">
                  <c:v>2000</c:v>
                </c:pt>
                <c:pt idx="30">
                  <c:v>2000</c:v>
                </c:pt>
              </c:numCache>
            </c:numRef>
          </c:val>
          <c:extLst>
            <c:ext xmlns:c16="http://schemas.microsoft.com/office/drawing/2014/chart" uri="{C3380CC4-5D6E-409C-BE32-E72D297353CC}">
              <c16:uniqueId val="{00000000-B643-4C8D-9CD8-3EE734D6B81B}"/>
            </c:ext>
          </c:extLst>
        </c:ser>
        <c:dLbls>
          <c:showLegendKey val="0"/>
          <c:showVal val="0"/>
          <c:showCatName val="0"/>
          <c:showSerName val="0"/>
          <c:showPercent val="0"/>
          <c:showBubbleSize val="0"/>
        </c:dLbls>
        <c:gapWidth val="150"/>
        <c:axId val="412226472"/>
        <c:axId val="412226800"/>
      </c:barChart>
      <c:lineChart>
        <c:grouping val="standard"/>
        <c:varyColors val="0"/>
        <c:ser>
          <c:idx val="1"/>
          <c:order val="1"/>
          <c:tx>
            <c:strRef>
              <c:f>'Biol. TAC fangst'!$D$48</c:f>
              <c:strCache>
                <c:ptCount val="1"/>
                <c:pt idx="0">
                  <c:v>TAC</c:v>
                </c:pt>
              </c:strCache>
            </c:strRef>
          </c:tx>
          <c:spPr>
            <a:ln w="28575" cap="rnd">
              <a:solidFill>
                <a:schemeClr val="accent2"/>
              </a:solidFill>
              <a:round/>
            </a:ln>
            <a:effectLst/>
          </c:spPr>
          <c:marker>
            <c:symbol val="none"/>
          </c:marker>
          <c:cat>
            <c:numRef>
              <c:f>'Biol. TAC fangst'!$B$7:$B$38</c:f>
              <c:numCache>
                <c:formatCode>General</c:formatCode>
                <c:ptCount val="32"/>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numCache>
            </c:numRef>
          </c:cat>
          <c:val>
            <c:numRef>
              <c:f>'Biol. TAC fangst'!$D$52:$D$82</c:f>
              <c:numCache>
                <c:formatCode>#,##0</c:formatCode>
                <c:ptCount val="31"/>
                <c:pt idx="0">
                  <c:v>14100</c:v>
                </c:pt>
                <c:pt idx="1">
                  <c:v>14500</c:v>
                </c:pt>
                <c:pt idx="2">
                  <c:v>13000</c:v>
                </c:pt>
                <c:pt idx="3">
                  <c:v>9563</c:v>
                </c:pt>
                <c:pt idx="4">
                  <c:v>9563</c:v>
                </c:pt>
                <c:pt idx="5">
                  <c:v>9563</c:v>
                </c:pt>
                <c:pt idx="6">
                  <c:v>9563</c:v>
                </c:pt>
                <c:pt idx="7">
                  <c:v>9563</c:v>
                </c:pt>
                <c:pt idx="8">
                  <c:v>9563</c:v>
                </c:pt>
                <c:pt idx="9">
                  <c:v>10600</c:v>
                </c:pt>
                <c:pt idx="10">
                  <c:v>10600</c:v>
                </c:pt>
                <c:pt idx="11">
                  <c:v>10600</c:v>
                </c:pt>
                <c:pt idx="12">
                  <c:v>10600</c:v>
                </c:pt>
                <c:pt idx="13">
                  <c:v>10600</c:v>
                </c:pt>
                <c:pt idx="14">
                  <c:v>15600</c:v>
                </c:pt>
                <c:pt idx="15">
                  <c:v>12400</c:v>
                </c:pt>
                <c:pt idx="16">
                  <c:v>12400</c:v>
                </c:pt>
                <c:pt idx="17">
                  <c:v>12400</c:v>
                </c:pt>
                <c:pt idx="18">
                  <c:v>12400</c:v>
                </c:pt>
                <c:pt idx="19">
                  <c:v>12835</c:v>
                </c:pt>
                <c:pt idx="20">
                  <c:v>11835</c:v>
                </c:pt>
                <c:pt idx="21">
                  <c:v>12400</c:v>
                </c:pt>
                <c:pt idx="22">
                  <c:v>12400</c:v>
                </c:pt>
                <c:pt idx="23">
                  <c:v>12400</c:v>
                </c:pt>
                <c:pt idx="24">
                  <c:v>8300</c:v>
                </c:pt>
                <c:pt idx="25">
                  <c:v>7300</c:v>
                </c:pt>
                <c:pt idx="26">
                  <c:v>5300</c:v>
                </c:pt>
                <c:pt idx="27">
                  <c:v>5000</c:v>
                </c:pt>
                <c:pt idx="28">
                  <c:v>4300</c:v>
                </c:pt>
                <c:pt idx="29">
                  <c:v>4000</c:v>
                </c:pt>
                <c:pt idx="30">
                  <c:v>4750</c:v>
                </c:pt>
              </c:numCache>
            </c:numRef>
          </c:val>
          <c:smooth val="0"/>
          <c:extLst>
            <c:ext xmlns:c16="http://schemas.microsoft.com/office/drawing/2014/chart" uri="{C3380CC4-5D6E-409C-BE32-E72D297353CC}">
              <c16:uniqueId val="{00000001-B643-4C8D-9CD8-3EE734D6B81B}"/>
            </c:ext>
          </c:extLst>
        </c:ser>
        <c:ser>
          <c:idx val="2"/>
          <c:order val="2"/>
          <c:tx>
            <c:strRef>
              <c:f>'Biol. TAC fangst'!$E$48</c:f>
              <c:strCache>
                <c:ptCount val="1"/>
                <c:pt idx="0">
                  <c:v>Fangst GRL</c:v>
                </c:pt>
              </c:strCache>
            </c:strRef>
          </c:tx>
          <c:spPr>
            <a:ln w="28575" cap="rnd">
              <a:solidFill>
                <a:schemeClr val="accent3"/>
              </a:solidFill>
              <a:round/>
            </a:ln>
            <a:effectLst/>
          </c:spPr>
          <c:marker>
            <c:symbol val="none"/>
          </c:marker>
          <c:val>
            <c:numRef>
              <c:f>'Biol. TAC fangst'!$E$52:$E$82</c:f>
              <c:numCache>
                <c:formatCode>_(* #,##0_);_(* \(#,##0\);_(* "-"??_);_(@_)</c:formatCode>
                <c:ptCount val="31"/>
                <c:pt idx="0">
                  <c:v>12480</c:v>
                </c:pt>
                <c:pt idx="1">
                  <c:v>10757</c:v>
                </c:pt>
                <c:pt idx="2">
                  <c:v>8901</c:v>
                </c:pt>
                <c:pt idx="3">
                  <c:v>8886</c:v>
                </c:pt>
                <c:pt idx="4">
                  <c:v>11932</c:v>
                </c:pt>
                <c:pt idx="5">
                  <c:v>11588</c:v>
                </c:pt>
                <c:pt idx="6">
                  <c:v>11944</c:v>
                </c:pt>
                <c:pt idx="7">
                  <c:v>13754</c:v>
                </c:pt>
                <c:pt idx="8">
                  <c:v>11422</c:v>
                </c:pt>
                <c:pt idx="9">
                  <c:v>11719</c:v>
                </c:pt>
                <c:pt idx="10">
                  <c:v>12053</c:v>
                </c:pt>
                <c:pt idx="11">
                  <c:v>13911</c:v>
                </c:pt>
                <c:pt idx="12">
                  <c:v>11242</c:v>
                </c:pt>
                <c:pt idx="13">
                  <c:v>12637</c:v>
                </c:pt>
                <c:pt idx="14">
                  <c:v>9985</c:v>
                </c:pt>
                <c:pt idx="15">
                  <c:v>7753</c:v>
                </c:pt>
                <c:pt idx="16">
                  <c:v>5189</c:v>
                </c:pt>
                <c:pt idx="17">
                  <c:v>4600</c:v>
                </c:pt>
                <c:pt idx="18">
                  <c:v>2794</c:v>
                </c:pt>
                <c:pt idx="19">
                  <c:v>4555</c:v>
                </c:pt>
                <c:pt idx="20">
                  <c:v>3602</c:v>
                </c:pt>
                <c:pt idx="21">
                  <c:v>1199</c:v>
                </c:pt>
                <c:pt idx="22">
                  <c:v>2109</c:v>
                </c:pt>
                <c:pt idx="23">
                  <c:v>1717</c:v>
                </c:pt>
                <c:pt idx="24">
                  <c:v>622</c:v>
                </c:pt>
                <c:pt idx="25">
                  <c:v>576</c:v>
                </c:pt>
                <c:pt idx="26">
                  <c:v>49</c:v>
                </c:pt>
                <c:pt idx="27">
                  <c:v>561</c:v>
                </c:pt>
                <c:pt idx="28">
                  <c:v>545</c:v>
                </c:pt>
                <c:pt idx="29">
                  <c:v>1576</c:v>
                </c:pt>
                <c:pt idx="30">
                  <c:v>3172</c:v>
                </c:pt>
              </c:numCache>
            </c:numRef>
          </c:val>
          <c:smooth val="0"/>
          <c:extLst>
            <c:ext xmlns:c16="http://schemas.microsoft.com/office/drawing/2014/chart" uri="{C3380CC4-5D6E-409C-BE32-E72D297353CC}">
              <c16:uniqueId val="{00000002-B643-4C8D-9CD8-3EE734D6B81B}"/>
            </c:ext>
          </c:extLst>
        </c:ser>
        <c:dLbls>
          <c:showLegendKey val="0"/>
          <c:showVal val="0"/>
          <c:showCatName val="0"/>
          <c:showSerName val="0"/>
          <c:showPercent val="0"/>
          <c:showBubbleSize val="0"/>
        </c:dLbls>
        <c:marker val="1"/>
        <c:smooth val="0"/>
        <c:axId val="412226472"/>
        <c:axId val="412226800"/>
      </c:lineChart>
      <c:catAx>
        <c:axId val="41222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800"/>
        <c:crosses val="autoZero"/>
        <c:auto val="1"/>
        <c:lblAlgn val="ctr"/>
        <c:lblOffset val="100"/>
        <c:noMultiLvlLbl val="0"/>
      </c:catAx>
      <c:valAx>
        <c:axId val="41222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'Antal fartøjer'!$D$4</c:f>
              <c:strCache>
                <c:ptCount val="1"/>
                <c:pt idx="0">
                  <c:v>Havgående rejeflåde</c:v>
                </c:pt>
              </c:strCache>
            </c:strRef>
          </c:tx>
          <c:spPr>
            <a:solidFill>
              <a:schemeClr val="accent2"/>
            </a:solidFill>
            <a:ln>
              <a:noFill/>
            </a:ln>
            <a:effectLst/>
          </c:spPr>
          <c:invertIfNegative val="0"/>
          <c:val>
            <c:numRef>
              <c:f>'Antal fartøjer'!$D$9:$D$27</c:f>
              <c:numCache>
                <c:formatCode>General</c:formatCode>
                <c:ptCount val="19"/>
                <c:pt idx="0">
                  <c:v>20</c:v>
                </c:pt>
                <c:pt idx="1">
                  <c:v>17</c:v>
                </c:pt>
                <c:pt idx="2">
                  <c:v>11</c:v>
                </c:pt>
                <c:pt idx="3">
                  <c:v>15</c:v>
                </c:pt>
                <c:pt idx="4">
                  <c:v>10</c:v>
                </c:pt>
                <c:pt idx="5">
                  <c:v>9</c:v>
                </c:pt>
                <c:pt idx="6">
                  <c:v>10</c:v>
                </c:pt>
                <c:pt idx="7">
                  <c:v>9</c:v>
                </c:pt>
                <c:pt idx="8">
                  <c:v>8</c:v>
                </c:pt>
                <c:pt idx="9">
                  <c:v>7</c:v>
                </c:pt>
                <c:pt idx="10">
                  <c:v>8</c:v>
                </c:pt>
                <c:pt idx="11">
                  <c:v>7</c:v>
                </c:pt>
                <c:pt idx="12">
                  <c:v>6</c:v>
                </c:pt>
                <c:pt idx="13">
                  <c:v>6</c:v>
                </c:pt>
                <c:pt idx="14">
                  <c:v>6</c:v>
                </c:pt>
                <c:pt idx="15">
                  <c:v>6</c:v>
                </c:pt>
                <c:pt idx="16">
                  <c:v>7</c:v>
                </c:pt>
                <c:pt idx="17">
                  <c:v>7</c:v>
                </c:pt>
                <c:pt idx="18">
                  <c:v>7</c:v>
                </c:pt>
              </c:numCache>
            </c:numRef>
          </c:val>
          <c:extLst>
            <c:ext xmlns:c16="http://schemas.microsoft.com/office/drawing/2014/chart" uri="{C3380CC4-5D6E-409C-BE32-E72D297353CC}">
              <c16:uniqueId val="{00000000-EA26-4997-823A-612E8141E2C7}"/>
            </c:ext>
          </c:extLst>
        </c:ser>
        <c:ser>
          <c:idx val="2"/>
          <c:order val="2"/>
          <c:tx>
            <c:strRef>
              <c:f>'Antal fartøjer'!$E$4</c:f>
              <c:strCache>
                <c:ptCount val="1"/>
                <c:pt idx="0">
                  <c:v>Kystnær rejeflåde</c:v>
                </c:pt>
              </c:strCache>
            </c:strRef>
          </c:tx>
          <c:spPr>
            <a:solidFill>
              <a:schemeClr val="accent3"/>
            </a:solidFill>
            <a:ln>
              <a:noFill/>
            </a:ln>
            <a:effectLst/>
          </c:spPr>
          <c:invertIfNegative val="0"/>
          <c:val>
            <c:numRef>
              <c:f>'Antal fartøjer'!$E$9:$E$27</c:f>
              <c:numCache>
                <c:formatCode>General</c:formatCode>
                <c:ptCount val="19"/>
                <c:pt idx="0">
                  <c:v>62</c:v>
                </c:pt>
                <c:pt idx="1">
                  <c:v>53</c:v>
                </c:pt>
                <c:pt idx="2">
                  <c:v>44</c:v>
                </c:pt>
                <c:pt idx="3">
                  <c:v>45</c:v>
                </c:pt>
                <c:pt idx="4">
                  <c:v>43</c:v>
                </c:pt>
                <c:pt idx="5">
                  <c:v>40</c:v>
                </c:pt>
                <c:pt idx="6">
                  <c:v>37</c:v>
                </c:pt>
                <c:pt idx="7">
                  <c:v>34</c:v>
                </c:pt>
                <c:pt idx="8">
                  <c:v>33</c:v>
                </c:pt>
                <c:pt idx="9">
                  <c:v>29</c:v>
                </c:pt>
                <c:pt idx="10">
                  <c:v>25</c:v>
                </c:pt>
                <c:pt idx="11">
                  <c:v>21</c:v>
                </c:pt>
                <c:pt idx="12">
                  <c:v>19</c:v>
                </c:pt>
                <c:pt idx="13">
                  <c:v>20</c:v>
                </c:pt>
                <c:pt idx="14">
                  <c:v>20</c:v>
                </c:pt>
                <c:pt idx="15">
                  <c:v>20</c:v>
                </c:pt>
                <c:pt idx="16">
                  <c:v>19</c:v>
                </c:pt>
                <c:pt idx="17">
                  <c:v>20</c:v>
                </c:pt>
                <c:pt idx="18">
                  <c:v>21</c:v>
                </c:pt>
              </c:numCache>
            </c:numRef>
          </c:val>
          <c:extLst>
            <c:ext xmlns:c16="http://schemas.microsoft.com/office/drawing/2014/chart" uri="{C3380CC4-5D6E-409C-BE32-E72D297353CC}">
              <c16:uniqueId val="{00000001-EA26-4997-823A-612E8141E2C7}"/>
            </c:ext>
          </c:extLst>
        </c:ser>
        <c:dLbls>
          <c:showLegendKey val="0"/>
          <c:showVal val="0"/>
          <c:showCatName val="0"/>
          <c:showSerName val="0"/>
          <c:showPercent val="0"/>
          <c:showBubbleSize val="0"/>
        </c:dLbls>
        <c:gapWidth val="219"/>
        <c:axId val="484361312"/>
        <c:axId val="484360000"/>
      </c:barChart>
      <c:lineChart>
        <c:grouping val="standard"/>
        <c:varyColors val="0"/>
        <c:ser>
          <c:idx val="0"/>
          <c:order val="0"/>
          <c:tx>
            <c:strRef>
              <c:f>'Antal fartøjer'!$F$4</c:f>
              <c:strCache>
                <c:ptCount val="1"/>
                <c:pt idx="0">
                  <c:v>Samlet antal rejefartøjer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9255583126550868E-3"/>
                  <c:y val="-1.7400761283306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26-4997-823A-612E8141E2C7}"/>
                </c:ext>
              </c:extLst>
            </c:dLbl>
            <c:dLbl>
              <c:idx val="1"/>
              <c:layout>
                <c:manualLayout>
                  <c:x val="4.9627791563275131E-3"/>
                  <c:y val="-1.9575856443719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26-4997-823A-612E8141E2C7}"/>
                </c:ext>
              </c:extLst>
            </c:dLbl>
            <c:dLbl>
              <c:idx val="2"/>
              <c:layout>
                <c:manualLayout>
                  <c:x val="-1.488833746898263E-2"/>
                  <c:y val="-4.1326808047852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26-4997-823A-612E8141E2C7}"/>
                </c:ext>
              </c:extLst>
            </c:dLbl>
            <c:dLbl>
              <c:idx val="3"/>
              <c:layout>
                <c:manualLayout>
                  <c:x val="-1.4888337468982691E-2"/>
                  <c:y val="-3.9151712887438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26-4997-823A-612E8141E2C7}"/>
                </c:ext>
              </c:extLst>
            </c:dLbl>
            <c:dLbl>
              <c:idx val="4"/>
              <c:layout>
                <c:manualLayout>
                  <c:x val="-4.9627791563275434E-3"/>
                  <c:y val="-2.1750951604132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26-4997-823A-612E8141E2C7}"/>
                </c:ext>
              </c:extLst>
            </c:dLbl>
            <c:dLbl>
              <c:idx val="5"/>
              <c:layout>
                <c:manualLayout>
                  <c:x val="-1.6542597187758478E-3"/>
                  <c:y val="-2.6101141924959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26-4997-823A-612E8141E2C7}"/>
                </c:ext>
              </c:extLst>
            </c:dLbl>
            <c:dLbl>
              <c:idx val="6"/>
              <c:layout>
                <c:manualLayout>
                  <c:x val="-3.3085194375516956E-3"/>
                  <c:y val="-2.6101141924959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26-4997-823A-612E8141E2C7}"/>
                </c:ext>
              </c:extLst>
            </c:dLbl>
            <c:dLbl>
              <c:idx val="7"/>
              <c:layout>
                <c:manualLayout>
                  <c:x val="-3.3085194375516956E-3"/>
                  <c:y val="-2.6101141924959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26-4997-823A-612E8141E2C7}"/>
                </c:ext>
              </c:extLst>
            </c:dLbl>
            <c:dLbl>
              <c:idx val="8"/>
              <c:layout>
                <c:manualLayout>
                  <c:x val="-3.3085194375517563E-3"/>
                  <c:y val="-3.480152256661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26-4997-823A-612E8141E2C7}"/>
                </c:ext>
              </c:extLst>
            </c:dLbl>
            <c:dLbl>
              <c:idx val="9"/>
              <c:layout>
                <c:manualLayout>
                  <c:x val="-9.9255583126552083E-3"/>
                  <c:y val="-3.26264274061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26-4997-823A-612E8141E2C7}"/>
                </c:ext>
              </c:extLst>
            </c:dLbl>
            <c:dLbl>
              <c:idx val="10"/>
              <c:layout>
                <c:manualLayout>
                  <c:x val="-1.6542597187758478E-3"/>
                  <c:y val="-4.1326808047852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26-4997-823A-612E8141E2C7}"/>
                </c:ext>
              </c:extLst>
            </c:dLbl>
            <c:dLbl>
              <c:idx val="11"/>
              <c:layout>
                <c:manualLayout>
                  <c:x val="-4.9627791563275434E-3"/>
                  <c:y val="-3.6976617727025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26-4997-823A-612E8141E2C7}"/>
                </c:ext>
              </c:extLst>
            </c:dLbl>
            <c:dLbl>
              <c:idx val="12"/>
              <c:layout>
                <c:manualLayout>
                  <c:x val="-4.9627945991287175E-3"/>
                  <c:y val="-5.2535595542818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26-4997-823A-612E8141E2C7}"/>
                </c:ext>
              </c:extLst>
            </c:dLbl>
            <c:dLbl>
              <c:idx val="13"/>
              <c:layout>
                <c:manualLayout>
                  <c:x val="-1.4888337468982752E-2"/>
                  <c:y val="-3.9151712887438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26-4997-823A-612E8141E2C7}"/>
                </c:ext>
              </c:extLst>
            </c:dLbl>
            <c:dLbl>
              <c:idx val="14"/>
              <c:layout>
                <c:manualLayout>
                  <c:x val="-4.9627791563275434E-3"/>
                  <c:y val="-3.04513322457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26-4997-823A-612E8141E2C7}"/>
                </c:ext>
              </c:extLst>
            </c:dLbl>
            <c:dLbl>
              <c:idx val="15"/>
              <c:layout>
                <c:manualLayout>
                  <c:x val="-9.9255583126550868E-3"/>
                  <c:y val="-3.26264274061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A26-4997-823A-612E8141E2C7}"/>
                </c:ext>
              </c:extLst>
            </c:dLbl>
            <c:dLbl>
              <c:idx val="16"/>
              <c:layout>
                <c:manualLayout>
                  <c:x val="-1.4888337468982752E-2"/>
                  <c:y val="-3.26264274061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A26-4997-823A-612E8141E2C7}"/>
                </c:ext>
              </c:extLst>
            </c:dLbl>
            <c:dLbl>
              <c:idx val="17"/>
              <c:layout>
                <c:manualLayout>
                  <c:x val="0"/>
                  <c:y val="-3.0320699708454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A26-4997-823A-612E8141E2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'Antal fartøjer'!$C$9:$C$27</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'Antal fartøjer'!$F$9:$F$27</c:f>
              <c:numCache>
                <c:formatCode>General</c:formatCode>
                <c:ptCount val="19"/>
                <c:pt idx="0">
                  <c:v>82</c:v>
                </c:pt>
                <c:pt idx="1">
                  <c:v>70</c:v>
                </c:pt>
                <c:pt idx="2">
                  <c:v>55</c:v>
                </c:pt>
                <c:pt idx="3">
                  <c:v>60</c:v>
                </c:pt>
                <c:pt idx="4">
                  <c:v>53</c:v>
                </c:pt>
                <c:pt idx="5">
                  <c:v>49</c:v>
                </c:pt>
                <c:pt idx="6">
                  <c:v>47</c:v>
                </c:pt>
                <c:pt idx="7">
                  <c:v>43</c:v>
                </c:pt>
                <c:pt idx="8">
                  <c:v>41</c:v>
                </c:pt>
                <c:pt idx="9">
                  <c:v>36</c:v>
                </c:pt>
                <c:pt idx="10">
                  <c:v>33</c:v>
                </c:pt>
                <c:pt idx="11">
                  <c:v>28</c:v>
                </c:pt>
                <c:pt idx="12">
                  <c:v>25</c:v>
                </c:pt>
                <c:pt idx="13">
                  <c:v>26</c:v>
                </c:pt>
                <c:pt idx="14">
                  <c:v>26</c:v>
                </c:pt>
                <c:pt idx="15">
                  <c:v>26</c:v>
                </c:pt>
                <c:pt idx="16">
                  <c:v>26</c:v>
                </c:pt>
                <c:pt idx="17">
                  <c:v>27</c:v>
                </c:pt>
                <c:pt idx="18">
                  <c:v>28</c:v>
                </c:pt>
              </c:numCache>
            </c:numRef>
          </c:val>
          <c:smooth val="0"/>
          <c:extLst>
            <c:ext xmlns:c16="http://schemas.microsoft.com/office/drawing/2014/chart" uri="{C3380CC4-5D6E-409C-BE32-E72D297353CC}">
              <c16:uniqueId val="{00000014-EA26-4997-823A-612E8141E2C7}"/>
            </c:ext>
          </c:extLst>
        </c:ser>
        <c:dLbls>
          <c:showLegendKey val="0"/>
          <c:showVal val="0"/>
          <c:showCatName val="0"/>
          <c:showSerName val="0"/>
          <c:showPercent val="0"/>
          <c:showBubbleSize val="0"/>
        </c:dLbls>
        <c:marker val="1"/>
        <c:smooth val="0"/>
        <c:axId val="484361312"/>
        <c:axId val="484360000"/>
      </c:lineChart>
      <c:catAx>
        <c:axId val="4843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4360000"/>
        <c:crosses val="autoZero"/>
        <c:auto val="1"/>
        <c:lblAlgn val="ctr"/>
        <c:lblOffset val="100"/>
        <c:noMultiLvlLbl val="0"/>
      </c:catAx>
      <c:valAx>
        <c:axId val="484360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 rejefartøjer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8436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83661417322837E-2"/>
          <c:y val="2.7465673314984874E-2"/>
          <c:w val="0.91400724767358621"/>
          <c:h val="0.82160170291106649"/>
        </c:manualLayout>
      </c:layout>
      <c:barChart>
        <c:barDir val="col"/>
        <c:grouping val="clustered"/>
        <c:varyColors val="0"/>
        <c:ser>
          <c:idx val="0"/>
          <c:order val="0"/>
          <c:tx>
            <c:strRef>
              <c:f>'Fordeling af rejefangst'!$F$3</c:f>
              <c:strCache>
                <c:ptCount val="1"/>
                <c:pt idx="0">
                  <c:v>Havgående flåde, andel af samlet fangst</c:v>
                </c:pt>
              </c:strCache>
            </c:strRef>
          </c:tx>
          <c:spPr>
            <a:solidFill>
              <a:schemeClr val="accent1"/>
            </a:solidFill>
            <a:ln>
              <a:noFill/>
            </a:ln>
            <a:effectLst/>
          </c:spPr>
          <c:invertIfNegative val="0"/>
          <c:cat>
            <c:numRef>
              <c:f>'Fordeling af rejefangst'!$A$4:$A$24</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'Fordeling af rejefangst'!$F$4:$F$24</c:f>
              <c:numCache>
                <c:formatCode>0%</c:formatCode>
                <c:ptCount val="21"/>
                <c:pt idx="0">
                  <c:v>0.76606673631617639</c:v>
                </c:pt>
                <c:pt idx="1">
                  <c:v>0.70670429119301337</c:v>
                </c:pt>
                <c:pt idx="2">
                  <c:v>0.63250818445337154</c:v>
                </c:pt>
                <c:pt idx="3">
                  <c:v>0.59791734016314435</c:v>
                </c:pt>
                <c:pt idx="4">
                  <c:v>0.58972538204549751</c:v>
                </c:pt>
                <c:pt idx="5">
                  <c:v>0.58960090119156428</c:v>
                </c:pt>
                <c:pt idx="6">
                  <c:v>0.57341713052785681</c:v>
                </c:pt>
                <c:pt idx="7">
                  <c:v>0.56951758053638979</c:v>
                </c:pt>
                <c:pt idx="8">
                  <c:v>0.52752744448120403</c:v>
                </c:pt>
                <c:pt idx="9">
                  <c:v>0.49728820814482039</c:v>
                </c:pt>
                <c:pt idx="10">
                  <c:v>0.52324161650617607</c:v>
                </c:pt>
                <c:pt idx="11">
                  <c:v>0.48451471546951635</c:v>
                </c:pt>
                <c:pt idx="12">
                  <c:v>0.46424336904083302</c:v>
                </c:pt>
                <c:pt idx="13">
                  <c:v>0.50552132361549851</c:v>
                </c:pt>
                <c:pt idx="14">
                  <c:v>0.54084002531108011</c:v>
                </c:pt>
                <c:pt idx="15">
                  <c:v>0.49442975294832492</c:v>
                </c:pt>
                <c:pt idx="16">
                  <c:v>0.484418676241823</c:v>
                </c:pt>
                <c:pt idx="17">
                  <c:v>0.48169537066526702</c:v>
                </c:pt>
                <c:pt idx="18">
                  <c:v>0.54622709994456009</c:v>
                </c:pt>
                <c:pt idx="19">
                  <c:v>0.53358583908252433</c:v>
                </c:pt>
                <c:pt idx="20">
                  <c:v>0.53583862285883443</c:v>
                </c:pt>
              </c:numCache>
            </c:numRef>
          </c:val>
          <c:extLst>
            <c:ext xmlns:c16="http://schemas.microsoft.com/office/drawing/2014/chart" uri="{C3380CC4-5D6E-409C-BE32-E72D297353CC}">
              <c16:uniqueId val="{00000000-C2AB-4009-8E8D-B9C505A770F7}"/>
            </c:ext>
          </c:extLst>
        </c:ser>
        <c:ser>
          <c:idx val="1"/>
          <c:order val="1"/>
          <c:tx>
            <c:strRef>
              <c:f>'Fordeling af rejefangst'!$G$3</c:f>
              <c:strCache>
                <c:ptCount val="1"/>
                <c:pt idx="0">
                  <c:v>Kystnær flåde, andel af samlet fangst</c:v>
                </c:pt>
              </c:strCache>
            </c:strRef>
          </c:tx>
          <c:spPr>
            <a:solidFill>
              <a:schemeClr val="accent2"/>
            </a:solidFill>
            <a:ln>
              <a:noFill/>
            </a:ln>
            <a:effectLst/>
          </c:spPr>
          <c:invertIfNegative val="0"/>
          <c:cat>
            <c:numRef>
              <c:f>'Fordeling af rejefangst'!$A$4:$A$24</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'Fordeling af rejefangst'!$G$4:$G$24</c:f>
              <c:numCache>
                <c:formatCode>0%</c:formatCode>
                <c:ptCount val="21"/>
                <c:pt idx="0">
                  <c:v>0.23393326368382356</c:v>
                </c:pt>
                <c:pt idx="1">
                  <c:v>0.29329570880698669</c:v>
                </c:pt>
                <c:pt idx="2">
                  <c:v>0.36749181554662846</c:v>
                </c:pt>
                <c:pt idx="3">
                  <c:v>0.4020826598368557</c:v>
                </c:pt>
                <c:pt idx="4">
                  <c:v>0.41027461795450249</c:v>
                </c:pt>
                <c:pt idx="5">
                  <c:v>0.41039909880843572</c:v>
                </c:pt>
                <c:pt idx="6">
                  <c:v>0.42658286947214319</c:v>
                </c:pt>
                <c:pt idx="7">
                  <c:v>0.43048241946361027</c:v>
                </c:pt>
                <c:pt idx="8">
                  <c:v>0.47247255551879591</c:v>
                </c:pt>
                <c:pt idx="9">
                  <c:v>0.50271179185517956</c:v>
                </c:pt>
                <c:pt idx="10">
                  <c:v>0.47675838349382393</c:v>
                </c:pt>
                <c:pt idx="11">
                  <c:v>0.5154852845304837</c:v>
                </c:pt>
                <c:pt idx="12">
                  <c:v>0.53575663095916692</c:v>
                </c:pt>
                <c:pt idx="13">
                  <c:v>0.49447867638450155</c:v>
                </c:pt>
                <c:pt idx="14">
                  <c:v>0.45915997468891989</c:v>
                </c:pt>
                <c:pt idx="15">
                  <c:v>0.50557024705167497</c:v>
                </c:pt>
                <c:pt idx="16">
                  <c:v>0.515581323758177</c:v>
                </c:pt>
                <c:pt idx="17">
                  <c:v>0.51830462933473309</c:v>
                </c:pt>
                <c:pt idx="18">
                  <c:v>0.4537729000554398</c:v>
                </c:pt>
                <c:pt idx="19">
                  <c:v>0.46641416091747573</c:v>
                </c:pt>
                <c:pt idx="20">
                  <c:v>0.46416137714116568</c:v>
                </c:pt>
              </c:numCache>
            </c:numRef>
          </c:val>
          <c:extLst>
            <c:ext xmlns:c16="http://schemas.microsoft.com/office/drawing/2014/chart" uri="{C3380CC4-5D6E-409C-BE32-E72D297353CC}">
              <c16:uniqueId val="{00000001-C2AB-4009-8E8D-B9C505A770F7}"/>
            </c:ext>
          </c:extLst>
        </c:ser>
        <c:dLbls>
          <c:showLegendKey val="0"/>
          <c:showVal val="0"/>
          <c:showCatName val="0"/>
          <c:showSerName val="0"/>
          <c:showPercent val="0"/>
          <c:showBubbleSize val="0"/>
        </c:dLbls>
        <c:gapWidth val="219"/>
        <c:overlap val="-27"/>
        <c:axId val="389725168"/>
        <c:axId val="389720576"/>
      </c:barChart>
      <c:lineChart>
        <c:grouping val="standard"/>
        <c:varyColors val="0"/>
        <c:ser>
          <c:idx val="3"/>
          <c:order val="3"/>
          <c:tx>
            <c:strRef>
              <c:f>'Fordeling af rejefangst'!$J$3</c:f>
              <c:strCache>
                <c:ptCount val="1"/>
                <c:pt idx="0">
                  <c:v>Kystnær flåde, andel af TAC 43%</c:v>
                </c:pt>
              </c:strCache>
            </c:strRef>
          </c:tx>
          <c:spPr>
            <a:ln w="38100" cap="rnd">
              <a:solidFill>
                <a:srgbClr val="92D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C2AB-4009-8E8D-B9C505A770F7}"/>
                </c:ext>
              </c:extLst>
            </c:dLbl>
            <c:dLbl>
              <c:idx val="1"/>
              <c:delete val="1"/>
              <c:extLst>
                <c:ext xmlns:c15="http://schemas.microsoft.com/office/drawing/2012/chart" uri="{CE6537A1-D6FC-4f65-9D91-7224C49458BB}"/>
                <c:ext xmlns:c16="http://schemas.microsoft.com/office/drawing/2014/chart" uri="{C3380CC4-5D6E-409C-BE32-E72D297353CC}">
                  <c16:uniqueId val="{00000003-C2AB-4009-8E8D-B9C505A770F7}"/>
                </c:ext>
              </c:extLst>
            </c:dLbl>
            <c:dLbl>
              <c:idx val="2"/>
              <c:delete val="1"/>
              <c:extLst>
                <c:ext xmlns:c15="http://schemas.microsoft.com/office/drawing/2012/chart" uri="{CE6537A1-D6FC-4f65-9D91-7224C49458BB}"/>
                <c:ext xmlns:c16="http://schemas.microsoft.com/office/drawing/2014/chart" uri="{C3380CC4-5D6E-409C-BE32-E72D297353CC}">
                  <c16:uniqueId val="{00000004-C2AB-4009-8E8D-B9C505A770F7}"/>
                </c:ext>
              </c:extLst>
            </c:dLbl>
            <c:dLbl>
              <c:idx val="3"/>
              <c:delete val="1"/>
              <c:extLst>
                <c:ext xmlns:c15="http://schemas.microsoft.com/office/drawing/2012/chart" uri="{CE6537A1-D6FC-4f65-9D91-7224C49458BB}"/>
                <c:ext xmlns:c16="http://schemas.microsoft.com/office/drawing/2014/chart" uri="{C3380CC4-5D6E-409C-BE32-E72D297353CC}">
                  <c16:uniqueId val="{00000005-C2AB-4009-8E8D-B9C505A770F7}"/>
                </c:ext>
              </c:extLst>
            </c:dLbl>
            <c:dLbl>
              <c:idx val="4"/>
              <c:delete val="1"/>
              <c:extLst>
                <c:ext xmlns:c15="http://schemas.microsoft.com/office/drawing/2012/chart" uri="{CE6537A1-D6FC-4f65-9D91-7224C49458BB}"/>
                <c:ext xmlns:c16="http://schemas.microsoft.com/office/drawing/2014/chart" uri="{C3380CC4-5D6E-409C-BE32-E72D297353CC}">
                  <c16:uniqueId val="{00000006-C2AB-4009-8E8D-B9C505A770F7}"/>
                </c:ext>
              </c:extLst>
            </c:dLbl>
            <c:dLbl>
              <c:idx val="5"/>
              <c:delete val="1"/>
              <c:extLst>
                <c:ext xmlns:c15="http://schemas.microsoft.com/office/drawing/2012/chart" uri="{CE6537A1-D6FC-4f65-9D91-7224C49458BB}"/>
                <c:ext xmlns:c16="http://schemas.microsoft.com/office/drawing/2014/chart" uri="{C3380CC4-5D6E-409C-BE32-E72D297353CC}">
                  <c16:uniqueId val="{00000007-C2AB-4009-8E8D-B9C505A770F7}"/>
                </c:ext>
              </c:extLst>
            </c:dLbl>
            <c:dLbl>
              <c:idx val="6"/>
              <c:delete val="1"/>
              <c:extLst>
                <c:ext xmlns:c15="http://schemas.microsoft.com/office/drawing/2012/chart" uri="{CE6537A1-D6FC-4f65-9D91-7224C49458BB}"/>
                <c:ext xmlns:c16="http://schemas.microsoft.com/office/drawing/2014/chart" uri="{C3380CC4-5D6E-409C-BE32-E72D297353CC}">
                  <c16:uniqueId val="{00000008-C2AB-4009-8E8D-B9C505A770F7}"/>
                </c:ext>
              </c:extLst>
            </c:dLbl>
            <c:dLbl>
              <c:idx val="7"/>
              <c:delete val="1"/>
              <c:extLst>
                <c:ext xmlns:c15="http://schemas.microsoft.com/office/drawing/2012/chart" uri="{CE6537A1-D6FC-4f65-9D91-7224C49458BB}"/>
                <c:ext xmlns:c16="http://schemas.microsoft.com/office/drawing/2014/chart" uri="{C3380CC4-5D6E-409C-BE32-E72D297353CC}">
                  <c16:uniqueId val="{00000009-C2AB-4009-8E8D-B9C505A770F7}"/>
                </c:ext>
              </c:extLst>
            </c:dLbl>
            <c:dLbl>
              <c:idx val="8"/>
              <c:delete val="1"/>
              <c:extLst>
                <c:ext xmlns:c15="http://schemas.microsoft.com/office/drawing/2012/chart" uri="{CE6537A1-D6FC-4f65-9D91-7224C49458BB}"/>
                <c:ext xmlns:c16="http://schemas.microsoft.com/office/drawing/2014/chart" uri="{C3380CC4-5D6E-409C-BE32-E72D297353CC}">
                  <c16:uniqueId val="{0000000A-C2AB-4009-8E8D-B9C505A770F7}"/>
                </c:ext>
              </c:extLst>
            </c:dLbl>
            <c:dLbl>
              <c:idx val="9"/>
              <c:delete val="1"/>
              <c:extLst>
                <c:ext xmlns:c15="http://schemas.microsoft.com/office/drawing/2012/chart" uri="{CE6537A1-D6FC-4f65-9D91-7224C49458BB}"/>
                <c:ext xmlns:c16="http://schemas.microsoft.com/office/drawing/2014/chart" uri="{C3380CC4-5D6E-409C-BE32-E72D297353CC}">
                  <c16:uniqueId val="{0000000B-C2AB-4009-8E8D-B9C505A770F7}"/>
                </c:ext>
              </c:extLst>
            </c:dLbl>
            <c:dLbl>
              <c:idx val="10"/>
              <c:delete val="1"/>
              <c:extLst>
                <c:ext xmlns:c15="http://schemas.microsoft.com/office/drawing/2012/chart" uri="{CE6537A1-D6FC-4f65-9D91-7224C49458BB}"/>
                <c:ext xmlns:c16="http://schemas.microsoft.com/office/drawing/2014/chart" uri="{C3380CC4-5D6E-409C-BE32-E72D297353CC}">
                  <c16:uniqueId val="{0000000C-C2AB-4009-8E8D-B9C505A770F7}"/>
                </c:ext>
              </c:extLst>
            </c:dLbl>
            <c:dLbl>
              <c:idx val="11"/>
              <c:delete val="1"/>
              <c:extLst>
                <c:ext xmlns:c15="http://schemas.microsoft.com/office/drawing/2012/chart" uri="{CE6537A1-D6FC-4f65-9D91-7224C49458BB}"/>
                <c:ext xmlns:c16="http://schemas.microsoft.com/office/drawing/2014/chart" uri="{C3380CC4-5D6E-409C-BE32-E72D297353CC}">
                  <c16:uniqueId val="{0000000D-C2AB-4009-8E8D-B9C505A770F7}"/>
                </c:ext>
              </c:extLst>
            </c:dLbl>
            <c:dLbl>
              <c:idx val="12"/>
              <c:delete val="1"/>
              <c:extLst>
                <c:ext xmlns:c15="http://schemas.microsoft.com/office/drawing/2012/chart" uri="{CE6537A1-D6FC-4f65-9D91-7224C49458BB}"/>
                <c:ext xmlns:c16="http://schemas.microsoft.com/office/drawing/2014/chart" uri="{C3380CC4-5D6E-409C-BE32-E72D297353CC}">
                  <c16:uniqueId val="{0000000E-C2AB-4009-8E8D-B9C505A770F7}"/>
                </c:ext>
              </c:extLst>
            </c:dLbl>
            <c:dLbl>
              <c:idx val="13"/>
              <c:delete val="1"/>
              <c:extLst>
                <c:ext xmlns:c15="http://schemas.microsoft.com/office/drawing/2012/chart" uri="{CE6537A1-D6FC-4f65-9D91-7224C49458BB}"/>
                <c:ext xmlns:c16="http://schemas.microsoft.com/office/drawing/2014/chart" uri="{C3380CC4-5D6E-409C-BE32-E72D297353CC}">
                  <c16:uniqueId val="{0000000F-C2AB-4009-8E8D-B9C505A770F7}"/>
                </c:ext>
              </c:extLst>
            </c:dLbl>
            <c:dLbl>
              <c:idx val="14"/>
              <c:delete val="1"/>
              <c:extLst>
                <c:ext xmlns:c15="http://schemas.microsoft.com/office/drawing/2012/chart" uri="{CE6537A1-D6FC-4f65-9D91-7224C49458BB}"/>
                <c:ext xmlns:c16="http://schemas.microsoft.com/office/drawing/2014/chart" uri="{C3380CC4-5D6E-409C-BE32-E72D297353CC}">
                  <c16:uniqueId val="{00000010-C2AB-4009-8E8D-B9C505A770F7}"/>
                </c:ext>
              </c:extLst>
            </c:dLbl>
            <c:dLbl>
              <c:idx val="15"/>
              <c:delete val="1"/>
              <c:extLst>
                <c:ext xmlns:c15="http://schemas.microsoft.com/office/drawing/2012/chart" uri="{CE6537A1-D6FC-4f65-9D91-7224C49458BB}"/>
                <c:ext xmlns:c16="http://schemas.microsoft.com/office/drawing/2014/chart" uri="{C3380CC4-5D6E-409C-BE32-E72D297353CC}">
                  <c16:uniqueId val="{00000011-C2AB-4009-8E8D-B9C505A770F7}"/>
                </c:ext>
              </c:extLst>
            </c:dLbl>
            <c:dLbl>
              <c:idx val="16"/>
              <c:delete val="1"/>
              <c:extLst>
                <c:ext xmlns:c15="http://schemas.microsoft.com/office/drawing/2012/chart" uri="{CE6537A1-D6FC-4f65-9D91-7224C49458BB}"/>
                <c:ext xmlns:c16="http://schemas.microsoft.com/office/drawing/2014/chart" uri="{C3380CC4-5D6E-409C-BE32-E72D297353CC}">
                  <c16:uniqueId val="{00000012-C2AB-4009-8E8D-B9C505A770F7}"/>
                </c:ext>
              </c:extLst>
            </c:dLbl>
            <c:dLbl>
              <c:idx val="17"/>
              <c:delete val="1"/>
              <c:extLst>
                <c:ext xmlns:c15="http://schemas.microsoft.com/office/drawing/2012/chart" uri="{CE6537A1-D6FC-4f65-9D91-7224C49458BB}"/>
                <c:ext xmlns:c16="http://schemas.microsoft.com/office/drawing/2014/chart" uri="{C3380CC4-5D6E-409C-BE32-E72D297353CC}">
                  <c16:uniqueId val="{00000013-C2AB-4009-8E8D-B9C505A770F7}"/>
                </c:ext>
              </c:extLst>
            </c:dLbl>
            <c:dLbl>
              <c:idx val="18"/>
              <c:delete val="1"/>
              <c:extLst>
                <c:ext xmlns:c15="http://schemas.microsoft.com/office/drawing/2012/chart" uri="{CE6537A1-D6FC-4f65-9D91-7224C49458BB}"/>
                <c:ext xmlns:c16="http://schemas.microsoft.com/office/drawing/2014/chart" uri="{C3380CC4-5D6E-409C-BE32-E72D297353CC}">
                  <c16:uniqueId val="{00000014-C2AB-4009-8E8D-B9C505A770F7}"/>
                </c:ext>
              </c:extLst>
            </c:dLbl>
            <c:dLbl>
              <c:idx val="19"/>
              <c:delete val="1"/>
              <c:extLst>
                <c:ext xmlns:c15="http://schemas.microsoft.com/office/drawing/2012/chart" uri="{CE6537A1-D6FC-4f65-9D91-7224C49458BB}"/>
                <c:ext xmlns:c16="http://schemas.microsoft.com/office/drawing/2014/chart" uri="{C3380CC4-5D6E-409C-BE32-E72D297353CC}">
                  <c16:uniqueId val="{0000002B-C2AB-4009-8E8D-B9C505A770F7}"/>
                </c:ext>
              </c:extLst>
            </c:dLbl>
            <c:dLbl>
              <c:idx val="2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extLst>
                <c:ext xmlns:c16="http://schemas.microsoft.com/office/drawing/2014/chart" uri="{C3380CC4-5D6E-409C-BE32-E72D297353CC}">
                  <c16:uniqueId val="{0000002C-C2AB-4009-8E8D-B9C505A770F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'Fordeling af rejefangst'!$A$4:$A$23</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'Fordeling af rejefangst'!$J$4:$J$24</c:f>
              <c:numCache>
                <c:formatCode>0%</c:formatCode>
                <c:ptCount val="21"/>
                <c:pt idx="0">
                  <c:v>0.43</c:v>
                </c:pt>
                <c:pt idx="1">
                  <c:v>0.43</c:v>
                </c:pt>
                <c:pt idx="2">
                  <c:v>0.43</c:v>
                </c:pt>
                <c:pt idx="3">
                  <c:v>0.43</c:v>
                </c:pt>
                <c:pt idx="4">
                  <c:v>0.43</c:v>
                </c:pt>
                <c:pt idx="5">
                  <c:v>0.43</c:v>
                </c:pt>
                <c:pt idx="6">
                  <c:v>0.43</c:v>
                </c:pt>
                <c:pt idx="7">
                  <c:v>0.43</c:v>
                </c:pt>
                <c:pt idx="8">
                  <c:v>0.43</c:v>
                </c:pt>
                <c:pt idx="9">
                  <c:v>0.43</c:v>
                </c:pt>
                <c:pt idx="10">
                  <c:v>0.43</c:v>
                </c:pt>
                <c:pt idx="11">
                  <c:v>0.43</c:v>
                </c:pt>
                <c:pt idx="12">
                  <c:v>0.43</c:v>
                </c:pt>
                <c:pt idx="13">
                  <c:v>0.43</c:v>
                </c:pt>
                <c:pt idx="14">
                  <c:v>0.43</c:v>
                </c:pt>
                <c:pt idx="15">
                  <c:v>0.43</c:v>
                </c:pt>
                <c:pt idx="16">
                  <c:v>0.43</c:v>
                </c:pt>
                <c:pt idx="17">
                  <c:v>0.43</c:v>
                </c:pt>
                <c:pt idx="18">
                  <c:v>0.43</c:v>
                </c:pt>
                <c:pt idx="19">
                  <c:v>0.43</c:v>
                </c:pt>
                <c:pt idx="20">
                  <c:v>0.43</c:v>
                </c:pt>
              </c:numCache>
            </c:numRef>
          </c:val>
          <c:smooth val="0"/>
          <c:extLst>
            <c:ext xmlns:c16="http://schemas.microsoft.com/office/drawing/2014/chart" uri="{C3380CC4-5D6E-409C-BE32-E72D297353CC}">
              <c16:uniqueId val="{00000015-C2AB-4009-8E8D-B9C505A770F7}"/>
            </c:ext>
          </c:extLst>
        </c:ser>
        <c:dLbls>
          <c:showLegendKey val="0"/>
          <c:showVal val="0"/>
          <c:showCatName val="0"/>
          <c:showSerName val="0"/>
          <c:showPercent val="0"/>
          <c:showBubbleSize val="0"/>
        </c:dLbls>
        <c:marker val="1"/>
        <c:smooth val="0"/>
        <c:axId val="389725168"/>
        <c:axId val="389720576"/>
      </c:lineChart>
      <c:lineChart>
        <c:grouping val="standard"/>
        <c:varyColors val="0"/>
        <c:ser>
          <c:idx val="2"/>
          <c:order val="2"/>
          <c:tx>
            <c:strRef>
              <c:f>'Fordeling af rejefangst'!$I$3</c:f>
              <c:strCache>
                <c:ptCount val="1"/>
                <c:pt idx="0">
                  <c:v>Havgående flåde, andel af TAC 57%</c:v>
                </c:pt>
              </c:strCache>
            </c:strRef>
          </c:tx>
          <c:spPr>
            <a:ln w="38100" cap="rnd">
              <a:solidFill>
                <a:schemeClr val="accent6">
                  <a:lumMod val="5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6-C2AB-4009-8E8D-B9C505A770F7}"/>
                </c:ext>
              </c:extLst>
            </c:dLbl>
            <c:dLbl>
              <c:idx val="1"/>
              <c:delete val="1"/>
              <c:extLst>
                <c:ext xmlns:c15="http://schemas.microsoft.com/office/drawing/2012/chart" uri="{CE6537A1-D6FC-4f65-9D91-7224C49458BB}"/>
                <c:ext xmlns:c16="http://schemas.microsoft.com/office/drawing/2014/chart" uri="{C3380CC4-5D6E-409C-BE32-E72D297353CC}">
                  <c16:uniqueId val="{00000017-C2AB-4009-8E8D-B9C505A770F7}"/>
                </c:ext>
              </c:extLst>
            </c:dLbl>
            <c:dLbl>
              <c:idx val="2"/>
              <c:delete val="1"/>
              <c:extLst>
                <c:ext xmlns:c15="http://schemas.microsoft.com/office/drawing/2012/chart" uri="{CE6537A1-D6FC-4f65-9D91-7224C49458BB}"/>
                <c:ext xmlns:c16="http://schemas.microsoft.com/office/drawing/2014/chart" uri="{C3380CC4-5D6E-409C-BE32-E72D297353CC}">
                  <c16:uniqueId val="{00000018-C2AB-4009-8E8D-B9C505A770F7}"/>
                </c:ext>
              </c:extLst>
            </c:dLbl>
            <c:dLbl>
              <c:idx val="3"/>
              <c:delete val="1"/>
              <c:extLst>
                <c:ext xmlns:c15="http://schemas.microsoft.com/office/drawing/2012/chart" uri="{CE6537A1-D6FC-4f65-9D91-7224C49458BB}"/>
                <c:ext xmlns:c16="http://schemas.microsoft.com/office/drawing/2014/chart" uri="{C3380CC4-5D6E-409C-BE32-E72D297353CC}">
                  <c16:uniqueId val="{00000019-C2AB-4009-8E8D-B9C505A770F7}"/>
                </c:ext>
              </c:extLst>
            </c:dLbl>
            <c:dLbl>
              <c:idx val="4"/>
              <c:delete val="1"/>
              <c:extLst>
                <c:ext xmlns:c15="http://schemas.microsoft.com/office/drawing/2012/chart" uri="{CE6537A1-D6FC-4f65-9D91-7224C49458BB}"/>
                <c:ext xmlns:c16="http://schemas.microsoft.com/office/drawing/2014/chart" uri="{C3380CC4-5D6E-409C-BE32-E72D297353CC}">
                  <c16:uniqueId val="{0000001A-C2AB-4009-8E8D-B9C505A770F7}"/>
                </c:ext>
              </c:extLst>
            </c:dLbl>
            <c:dLbl>
              <c:idx val="5"/>
              <c:delete val="1"/>
              <c:extLst>
                <c:ext xmlns:c15="http://schemas.microsoft.com/office/drawing/2012/chart" uri="{CE6537A1-D6FC-4f65-9D91-7224C49458BB}"/>
                <c:ext xmlns:c16="http://schemas.microsoft.com/office/drawing/2014/chart" uri="{C3380CC4-5D6E-409C-BE32-E72D297353CC}">
                  <c16:uniqueId val="{0000001B-C2AB-4009-8E8D-B9C505A770F7}"/>
                </c:ext>
              </c:extLst>
            </c:dLbl>
            <c:dLbl>
              <c:idx val="6"/>
              <c:delete val="1"/>
              <c:extLst>
                <c:ext xmlns:c15="http://schemas.microsoft.com/office/drawing/2012/chart" uri="{CE6537A1-D6FC-4f65-9D91-7224C49458BB}"/>
                <c:ext xmlns:c16="http://schemas.microsoft.com/office/drawing/2014/chart" uri="{C3380CC4-5D6E-409C-BE32-E72D297353CC}">
                  <c16:uniqueId val="{0000001C-C2AB-4009-8E8D-B9C505A770F7}"/>
                </c:ext>
              </c:extLst>
            </c:dLbl>
            <c:dLbl>
              <c:idx val="7"/>
              <c:delete val="1"/>
              <c:extLst>
                <c:ext xmlns:c15="http://schemas.microsoft.com/office/drawing/2012/chart" uri="{CE6537A1-D6FC-4f65-9D91-7224C49458BB}"/>
                <c:ext xmlns:c16="http://schemas.microsoft.com/office/drawing/2014/chart" uri="{C3380CC4-5D6E-409C-BE32-E72D297353CC}">
                  <c16:uniqueId val="{0000001D-C2AB-4009-8E8D-B9C505A770F7}"/>
                </c:ext>
              </c:extLst>
            </c:dLbl>
            <c:dLbl>
              <c:idx val="8"/>
              <c:delete val="1"/>
              <c:extLst>
                <c:ext xmlns:c15="http://schemas.microsoft.com/office/drawing/2012/chart" uri="{CE6537A1-D6FC-4f65-9D91-7224C49458BB}"/>
                <c:ext xmlns:c16="http://schemas.microsoft.com/office/drawing/2014/chart" uri="{C3380CC4-5D6E-409C-BE32-E72D297353CC}">
                  <c16:uniqueId val="{0000001E-C2AB-4009-8E8D-B9C505A770F7}"/>
                </c:ext>
              </c:extLst>
            </c:dLbl>
            <c:dLbl>
              <c:idx val="9"/>
              <c:delete val="1"/>
              <c:extLst>
                <c:ext xmlns:c15="http://schemas.microsoft.com/office/drawing/2012/chart" uri="{CE6537A1-D6FC-4f65-9D91-7224C49458BB}"/>
                <c:ext xmlns:c16="http://schemas.microsoft.com/office/drawing/2014/chart" uri="{C3380CC4-5D6E-409C-BE32-E72D297353CC}">
                  <c16:uniqueId val="{0000001F-C2AB-4009-8E8D-B9C505A770F7}"/>
                </c:ext>
              </c:extLst>
            </c:dLbl>
            <c:dLbl>
              <c:idx val="10"/>
              <c:delete val="1"/>
              <c:extLst>
                <c:ext xmlns:c15="http://schemas.microsoft.com/office/drawing/2012/chart" uri="{CE6537A1-D6FC-4f65-9D91-7224C49458BB}"/>
                <c:ext xmlns:c16="http://schemas.microsoft.com/office/drawing/2014/chart" uri="{C3380CC4-5D6E-409C-BE32-E72D297353CC}">
                  <c16:uniqueId val="{00000020-C2AB-4009-8E8D-B9C505A770F7}"/>
                </c:ext>
              </c:extLst>
            </c:dLbl>
            <c:dLbl>
              <c:idx val="11"/>
              <c:delete val="1"/>
              <c:extLst>
                <c:ext xmlns:c15="http://schemas.microsoft.com/office/drawing/2012/chart" uri="{CE6537A1-D6FC-4f65-9D91-7224C49458BB}"/>
                <c:ext xmlns:c16="http://schemas.microsoft.com/office/drawing/2014/chart" uri="{C3380CC4-5D6E-409C-BE32-E72D297353CC}">
                  <c16:uniqueId val="{00000021-C2AB-4009-8E8D-B9C505A770F7}"/>
                </c:ext>
              </c:extLst>
            </c:dLbl>
            <c:dLbl>
              <c:idx val="12"/>
              <c:delete val="1"/>
              <c:extLst>
                <c:ext xmlns:c15="http://schemas.microsoft.com/office/drawing/2012/chart" uri="{CE6537A1-D6FC-4f65-9D91-7224C49458BB}"/>
                <c:ext xmlns:c16="http://schemas.microsoft.com/office/drawing/2014/chart" uri="{C3380CC4-5D6E-409C-BE32-E72D297353CC}">
                  <c16:uniqueId val="{00000022-C2AB-4009-8E8D-B9C505A770F7}"/>
                </c:ext>
              </c:extLst>
            </c:dLbl>
            <c:dLbl>
              <c:idx val="13"/>
              <c:delete val="1"/>
              <c:extLst>
                <c:ext xmlns:c15="http://schemas.microsoft.com/office/drawing/2012/chart" uri="{CE6537A1-D6FC-4f65-9D91-7224C49458BB}"/>
                <c:ext xmlns:c16="http://schemas.microsoft.com/office/drawing/2014/chart" uri="{C3380CC4-5D6E-409C-BE32-E72D297353CC}">
                  <c16:uniqueId val="{00000023-C2AB-4009-8E8D-B9C505A770F7}"/>
                </c:ext>
              </c:extLst>
            </c:dLbl>
            <c:dLbl>
              <c:idx val="14"/>
              <c:delete val="1"/>
              <c:extLst>
                <c:ext xmlns:c15="http://schemas.microsoft.com/office/drawing/2012/chart" uri="{CE6537A1-D6FC-4f65-9D91-7224C49458BB}"/>
                <c:ext xmlns:c16="http://schemas.microsoft.com/office/drawing/2014/chart" uri="{C3380CC4-5D6E-409C-BE32-E72D297353CC}">
                  <c16:uniqueId val="{00000024-C2AB-4009-8E8D-B9C505A770F7}"/>
                </c:ext>
              </c:extLst>
            </c:dLbl>
            <c:dLbl>
              <c:idx val="15"/>
              <c:delete val="1"/>
              <c:extLst>
                <c:ext xmlns:c15="http://schemas.microsoft.com/office/drawing/2012/chart" uri="{CE6537A1-D6FC-4f65-9D91-7224C49458BB}"/>
                <c:ext xmlns:c16="http://schemas.microsoft.com/office/drawing/2014/chart" uri="{C3380CC4-5D6E-409C-BE32-E72D297353CC}">
                  <c16:uniqueId val="{00000025-C2AB-4009-8E8D-B9C505A770F7}"/>
                </c:ext>
              </c:extLst>
            </c:dLbl>
            <c:dLbl>
              <c:idx val="16"/>
              <c:delete val="1"/>
              <c:extLst>
                <c:ext xmlns:c15="http://schemas.microsoft.com/office/drawing/2012/chart" uri="{CE6537A1-D6FC-4f65-9D91-7224C49458BB}"/>
                <c:ext xmlns:c16="http://schemas.microsoft.com/office/drawing/2014/chart" uri="{C3380CC4-5D6E-409C-BE32-E72D297353CC}">
                  <c16:uniqueId val="{00000026-C2AB-4009-8E8D-B9C505A770F7}"/>
                </c:ext>
              </c:extLst>
            </c:dLbl>
            <c:dLbl>
              <c:idx val="17"/>
              <c:delete val="1"/>
              <c:extLst>
                <c:ext xmlns:c15="http://schemas.microsoft.com/office/drawing/2012/chart" uri="{CE6537A1-D6FC-4f65-9D91-7224C49458BB}"/>
                <c:ext xmlns:c16="http://schemas.microsoft.com/office/drawing/2014/chart" uri="{C3380CC4-5D6E-409C-BE32-E72D297353CC}">
                  <c16:uniqueId val="{00000027-C2AB-4009-8E8D-B9C505A770F7}"/>
                </c:ext>
              </c:extLst>
            </c:dLbl>
            <c:dLbl>
              <c:idx val="18"/>
              <c:delete val="1"/>
              <c:extLst>
                <c:ext xmlns:c15="http://schemas.microsoft.com/office/drawing/2012/chart" uri="{CE6537A1-D6FC-4f65-9D91-7224C49458BB}"/>
                <c:ext xmlns:c16="http://schemas.microsoft.com/office/drawing/2014/chart" uri="{C3380CC4-5D6E-409C-BE32-E72D297353CC}">
                  <c16:uniqueId val="{00000028-C2AB-4009-8E8D-B9C505A770F7}"/>
                </c:ext>
              </c:extLst>
            </c:dLbl>
            <c:dLbl>
              <c:idx val="19"/>
              <c:delete val="1"/>
              <c:extLst>
                <c:ext xmlns:c15="http://schemas.microsoft.com/office/drawing/2012/chart" uri="{CE6537A1-D6FC-4f65-9D91-7224C49458BB}"/>
                <c:ext xmlns:c16="http://schemas.microsoft.com/office/drawing/2014/chart" uri="{C3380CC4-5D6E-409C-BE32-E72D297353CC}">
                  <c16:uniqueId val="{0000002A-C2AB-4009-8E8D-B9C505A770F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'Fordeling af rejefangst'!$I$4:$I$24</c:f>
              <c:numCache>
                <c:formatCode>0%</c:formatCode>
                <c:ptCount val="21"/>
                <c:pt idx="0">
                  <c:v>0.56999999999999995</c:v>
                </c:pt>
                <c:pt idx="1">
                  <c:v>0.56999999999999995</c:v>
                </c:pt>
                <c:pt idx="2">
                  <c:v>0.56999999999999995</c:v>
                </c:pt>
                <c:pt idx="3">
                  <c:v>0.56999999999999995</c:v>
                </c:pt>
                <c:pt idx="4">
                  <c:v>0.56999999999999995</c:v>
                </c:pt>
                <c:pt idx="5">
                  <c:v>0.56999999999999995</c:v>
                </c:pt>
                <c:pt idx="6">
                  <c:v>0.56999999999999995</c:v>
                </c:pt>
                <c:pt idx="7">
                  <c:v>0.56999999999999995</c:v>
                </c:pt>
                <c:pt idx="8">
                  <c:v>0.56999999999999995</c:v>
                </c:pt>
                <c:pt idx="9">
                  <c:v>0.56999999999999995</c:v>
                </c:pt>
                <c:pt idx="10">
                  <c:v>0.56999999999999995</c:v>
                </c:pt>
                <c:pt idx="11">
                  <c:v>0.56999999999999995</c:v>
                </c:pt>
                <c:pt idx="12">
                  <c:v>0.56999999999999995</c:v>
                </c:pt>
                <c:pt idx="13">
                  <c:v>0.56999999999999995</c:v>
                </c:pt>
                <c:pt idx="14">
                  <c:v>0.56999999999999995</c:v>
                </c:pt>
                <c:pt idx="15">
                  <c:v>0.56999999999999995</c:v>
                </c:pt>
                <c:pt idx="16">
                  <c:v>0.56999999999999995</c:v>
                </c:pt>
                <c:pt idx="17">
                  <c:v>0.56999999999999995</c:v>
                </c:pt>
                <c:pt idx="18">
                  <c:v>0.56999999999999995</c:v>
                </c:pt>
                <c:pt idx="19">
                  <c:v>0.56999999999999995</c:v>
                </c:pt>
                <c:pt idx="20">
                  <c:v>0.56999999999999995</c:v>
                </c:pt>
              </c:numCache>
            </c:numRef>
          </c:val>
          <c:smooth val="0"/>
          <c:extLst>
            <c:ext xmlns:c16="http://schemas.microsoft.com/office/drawing/2014/chart" uri="{C3380CC4-5D6E-409C-BE32-E72D297353CC}">
              <c16:uniqueId val="{00000029-C2AB-4009-8E8D-B9C505A770F7}"/>
            </c:ext>
          </c:extLst>
        </c:ser>
        <c:dLbls>
          <c:showLegendKey val="0"/>
          <c:showVal val="0"/>
          <c:showCatName val="0"/>
          <c:showSerName val="0"/>
          <c:showPercent val="0"/>
          <c:showBubbleSize val="0"/>
        </c:dLbls>
        <c:marker val="1"/>
        <c:smooth val="0"/>
        <c:axId val="382073096"/>
        <c:axId val="382072768"/>
      </c:lineChart>
      <c:catAx>
        <c:axId val="38972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9720576"/>
        <c:crosses val="autoZero"/>
        <c:auto val="1"/>
        <c:lblAlgn val="ctr"/>
        <c:lblOffset val="100"/>
        <c:noMultiLvlLbl val="0"/>
      </c:catAx>
      <c:valAx>
        <c:axId val="38972057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9725168"/>
        <c:crosses val="autoZero"/>
        <c:crossBetween val="between"/>
      </c:valAx>
      <c:valAx>
        <c:axId val="382072768"/>
        <c:scaling>
          <c:orientation val="minMax"/>
        </c:scaling>
        <c:delete val="1"/>
        <c:axPos val="r"/>
        <c:numFmt formatCode="0%" sourceLinked="1"/>
        <c:majorTickMark val="out"/>
        <c:minorTickMark val="none"/>
        <c:tickLblPos val="nextTo"/>
        <c:crossAx val="382073096"/>
        <c:crosses val="max"/>
        <c:crossBetween val="between"/>
        <c:majorUnit val="1.0000000000000002E-2"/>
      </c:valAx>
      <c:catAx>
        <c:axId val="382073096"/>
        <c:scaling>
          <c:orientation val="minMax"/>
        </c:scaling>
        <c:delete val="1"/>
        <c:axPos val="b"/>
        <c:majorTickMark val="out"/>
        <c:minorTickMark val="none"/>
        <c:tickLblPos val="nextTo"/>
        <c:crossAx val="382072768"/>
        <c:crosses val="autoZero"/>
        <c:auto val="1"/>
        <c:lblAlgn val="ctr"/>
        <c:lblOffset val="100"/>
        <c:noMultiLvlLbl val="0"/>
      </c:catAx>
      <c:spPr>
        <a:noFill/>
        <a:ln>
          <a:noFill/>
        </a:ln>
        <a:effectLst/>
      </c:spPr>
    </c:plotArea>
    <c:legend>
      <c:legendPos val="b"/>
      <c:layout>
        <c:manualLayout>
          <c:xMode val="edge"/>
          <c:yMode val="edge"/>
          <c:x val="9.0528960868527797E-2"/>
          <c:y val="0.9044937734315911"/>
          <c:w val="0.7962148055356717"/>
          <c:h val="8.05249502147807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'Salg af årskvoter'!$B$5:$B$17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'Salg af årskvoter'!$C$5:$C$17</c:f>
              <c:numCache>
                <c:formatCode>#,##0</c:formatCode>
                <c:ptCount val="13"/>
                <c:pt idx="0">
                  <c:v>6700</c:v>
                </c:pt>
                <c:pt idx="1">
                  <c:v>6050</c:v>
                </c:pt>
                <c:pt idx="2">
                  <c:v>6800</c:v>
                </c:pt>
                <c:pt idx="3">
                  <c:v>3300</c:v>
                </c:pt>
                <c:pt idx="4">
                  <c:v>13225</c:v>
                </c:pt>
                <c:pt idx="5">
                  <c:v>7100</c:v>
                </c:pt>
                <c:pt idx="6">
                  <c:v>7900</c:v>
                </c:pt>
                <c:pt idx="7">
                  <c:v>7492.56</c:v>
                </c:pt>
                <c:pt idx="8">
                  <c:v>5200</c:v>
                </c:pt>
                <c:pt idx="9">
                  <c:v>5152</c:v>
                </c:pt>
                <c:pt idx="10">
                  <c:v>2500</c:v>
                </c:pt>
                <c:pt idx="11">
                  <c:v>459</c:v>
                </c:pt>
                <c:pt idx="12">
                  <c:v>3300</c:v>
                </c:pt>
              </c:numCache>
            </c:numRef>
          </c:val>
          <c:extLst>
            <c:ext xmlns:c16="http://schemas.microsoft.com/office/drawing/2014/chart" uri="{C3380CC4-5D6E-409C-BE32-E72D297353CC}">
              <c16:uniqueId val="{00000000-2A6C-48B6-92B4-FD51CD6326C8}"/>
            </c:ext>
          </c:extLst>
        </c:ser>
        <c:dLbls>
          <c:showLegendKey val="0"/>
          <c:showVal val="0"/>
          <c:showCatName val="0"/>
          <c:showSerName val="0"/>
          <c:showPercent val="0"/>
          <c:showBubbleSize val="0"/>
        </c:dLbls>
        <c:gapWidth val="219"/>
        <c:overlap val="-27"/>
        <c:axId val="470844584"/>
        <c:axId val="470436776"/>
      </c:barChart>
      <c:catAx>
        <c:axId val="47084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0436776"/>
        <c:crosses val="autoZero"/>
        <c:auto val="1"/>
        <c:lblAlgn val="ctr"/>
        <c:lblOffset val="100"/>
        <c:noMultiLvlLbl val="0"/>
      </c:catAx>
      <c:valAx>
        <c:axId val="47043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0844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chemeClr val="accent1"/>
              </a:solidFill>
              <a:round/>
            </a:ln>
            <a:effectLst/>
          </c:spPr>
          <c:marker>
            <c:symbol val="circle"/>
            <c:size val="5"/>
            <c:spPr>
              <a:solidFill>
                <a:schemeClr val="accent1"/>
              </a:solidFill>
              <a:ln w="19050">
                <a:solidFill>
                  <a:schemeClr val="accent1"/>
                </a:solidFill>
              </a:ln>
              <a:effectLst/>
            </c:spPr>
          </c:marker>
          <c:dLbls>
            <c:dLbl>
              <c:idx val="0"/>
              <c:layout>
                <c:manualLayout>
                  <c:x val="-1.034434870718042E-2"/>
                  <c:y val="4.901771585163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64-46FA-8996-A11AE780B698}"/>
                </c:ext>
              </c:extLst>
            </c:dLbl>
            <c:dLbl>
              <c:idx val="1"/>
              <c:layout>
                <c:manualLayout>
                  <c:x val="1.7240581178634006E-3"/>
                  <c:y val="3.5401683670624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64-46FA-8996-A11AE780B698}"/>
                </c:ext>
              </c:extLst>
            </c:dLbl>
            <c:dLbl>
              <c:idx val="2"/>
              <c:layout>
                <c:manualLayout>
                  <c:x val="3.4481162357267695E-3"/>
                  <c:y val="-7.0803367341249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64-46FA-8996-A11AE780B698}"/>
                </c:ext>
              </c:extLst>
            </c:dLbl>
            <c:dLbl>
              <c:idx val="3"/>
              <c:layout>
                <c:manualLayout>
                  <c:x val="6.8962324714535389E-3"/>
                  <c:y val="-2.450885792581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64-46FA-8996-A11AE780B698}"/>
                </c:ext>
              </c:extLst>
            </c:dLbl>
            <c:dLbl>
              <c:idx val="4"/>
              <c:layout>
                <c:manualLayout>
                  <c:x val="-4.3101452946585017E-2"/>
                  <c:y val="4.901771585163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64-46FA-8996-A11AE780B698}"/>
                </c:ext>
              </c:extLst>
            </c:dLbl>
            <c:dLbl>
              <c:idx val="5"/>
              <c:layout>
                <c:manualLayout>
                  <c:x val="3.4481162357267378E-3"/>
                  <c:y val="3.8124890106826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64-46FA-8996-A11AE780B698}"/>
                </c:ext>
              </c:extLst>
            </c:dLbl>
            <c:dLbl>
              <c:idx val="6"/>
              <c:layout>
                <c:manualLayout>
                  <c:x val="-1.7240581178634639E-3"/>
                  <c:y val="-5.9910541596442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64-46FA-8996-A11AE780B698}"/>
                </c:ext>
              </c:extLst>
            </c:dLbl>
            <c:dLbl>
              <c:idx val="7"/>
              <c:layout>
                <c:manualLayout>
                  <c:x val="-3.792927859299481E-2"/>
                  <c:y val="4.0848096543028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64-46FA-8996-A11AE780B698}"/>
                </c:ext>
              </c:extLst>
            </c:dLbl>
            <c:dLbl>
              <c:idx val="8"/>
              <c:layout>
                <c:manualLayout>
                  <c:x val="3.4481162357268011E-3"/>
                  <c:y val="-4.3571302979230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64-46FA-8996-A11AE780B698}"/>
                </c:ext>
              </c:extLst>
            </c:dLbl>
            <c:dLbl>
              <c:idx val="9"/>
              <c:layout>
                <c:manualLayout>
                  <c:x val="0"/>
                  <c:y val="2.450885792581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64-46FA-8996-A11AE780B698}"/>
                </c:ext>
              </c:extLst>
            </c:dLbl>
            <c:dLbl>
              <c:idx val="10"/>
              <c:layout>
                <c:manualLayout>
                  <c:x val="-3.965333671085821E-2"/>
                  <c:y val="-4.62945094154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64-46FA-8996-A11AE780B698}"/>
                </c:ext>
              </c:extLst>
            </c:dLbl>
            <c:dLbl>
              <c:idx val="11"/>
              <c:layout>
                <c:manualLayout>
                  <c:x val="-3.4481162357268011E-3"/>
                  <c:y val="2.995527079822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64-46FA-8996-A11AE780B698}"/>
                </c:ext>
              </c:extLst>
            </c:dLbl>
            <c:dLbl>
              <c:idx val="12"/>
              <c:layout>
                <c:manualLayout>
                  <c:x val="-3.792927859299481E-2"/>
                  <c:y val="-5.9910541596442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64-46FA-8996-A11AE780B698}"/>
                </c:ext>
              </c:extLst>
            </c:dLbl>
            <c:dLbl>
              <c:idx val="13"/>
              <c:layout>
                <c:manualLayout>
                  <c:x val="0"/>
                  <c:y val="2.1785651489615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64-46FA-8996-A11AE780B698}"/>
                </c:ext>
              </c:extLst>
            </c:dLbl>
            <c:dLbl>
              <c:idx val="14"/>
              <c:layout>
                <c:manualLayout>
                  <c:x val="-2.2412755532224334E-2"/>
                  <c:y val="-5.7187335160240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64-46FA-8996-A11AE780B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Indh.rejer!$A$22:$A$36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Indh.rejer!$D$22:$D$36</c:f>
              <c:numCache>
                <c:formatCode>#,##0</c:formatCode>
                <c:ptCount val="15"/>
                <c:pt idx="0">
                  <c:v>60065.3</c:v>
                </c:pt>
                <c:pt idx="1">
                  <c:v>62591.560000000005</c:v>
                </c:pt>
                <c:pt idx="2">
                  <c:v>67157.119999999995</c:v>
                </c:pt>
                <c:pt idx="3">
                  <c:v>62565.53</c:v>
                </c:pt>
                <c:pt idx="4">
                  <c:v>54059.06</c:v>
                </c:pt>
                <c:pt idx="5">
                  <c:v>55187.55</c:v>
                </c:pt>
                <c:pt idx="6">
                  <c:v>61027.78</c:v>
                </c:pt>
                <c:pt idx="7">
                  <c:v>49571.630000000012</c:v>
                </c:pt>
                <c:pt idx="8">
                  <c:v>45187.430000000008</c:v>
                </c:pt>
                <c:pt idx="9">
                  <c:v>36894.75</c:v>
                </c:pt>
                <c:pt idx="10">
                  <c:v>45263.139999999985</c:v>
                </c:pt>
                <c:pt idx="11">
                  <c:v>45409.8</c:v>
                </c:pt>
                <c:pt idx="12">
                  <c:v>48495.35</c:v>
                </c:pt>
                <c:pt idx="13">
                  <c:v>51298.7</c:v>
                </c:pt>
                <c:pt idx="14">
                  <c:v>57090.349999999991</c:v>
                </c:pt>
              </c:numCache>
            </c:numRef>
          </c:val>
          <c:smooth val="0"/>
          <c:extLst>
            <c:ext xmlns:c16="http://schemas.microsoft.com/office/drawing/2014/chart" uri="{C3380CC4-5D6E-409C-BE32-E72D297353CC}">
              <c16:uniqueId val="{0000000F-D464-46FA-8996-A11AE780B698}"/>
            </c:ext>
          </c:extLst>
        </c:ser>
        <c:dLbls>
          <c:showLegendKey val="0"/>
          <c:showVal val="0"/>
          <c:showCatName val="0"/>
          <c:showSerName val="0"/>
          <c:showPercent val="0"/>
          <c:showBubbleSize val="0"/>
        </c:dLbls>
        <c:marker val="1"/>
        <c:smooth val="0"/>
        <c:axId val="478243120"/>
        <c:axId val="478244104"/>
      </c:lineChart>
      <c:catAx>
        <c:axId val="47824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8244104"/>
        <c:crosses val="autoZero"/>
        <c:auto val="1"/>
        <c:lblAlgn val="ctr"/>
        <c:lblOffset val="100"/>
        <c:noMultiLvlLbl val="0"/>
      </c:catAx>
      <c:valAx>
        <c:axId val="47824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7824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Skalrejer</c:v>
          </c:tx>
          <c:spPr>
            <a:ln w="28575" cap="rnd">
              <a:solidFill>
                <a:schemeClr val="accent1"/>
              </a:solidFill>
              <a:round/>
            </a:ln>
            <a:effectLst/>
          </c:spPr>
          <c:marker>
            <c:symbol val="none"/>
          </c:marker>
          <c:cat>
            <c:multiLvlStrRef>
              <c:f>Prisudvikling!$A$11:$B$53</c:f>
              <c:multiLvlStrCache>
                <c:ptCount val="43"/>
                <c:lvl>
                  <c:pt idx="0">
                    <c:v>1. kvartal</c:v>
                  </c:pt>
                  <c:pt idx="1">
                    <c:v>2. kvartal</c:v>
                  </c:pt>
                  <c:pt idx="2">
                    <c:v>3. kvartal</c:v>
                  </c:pt>
                  <c:pt idx="3">
                    <c:v>4. kvartal</c:v>
                  </c:pt>
                  <c:pt idx="4">
                    <c:v>1. kvartal</c:v>
                  </c:pt>
                  <c:pt idx="5">
                    <c:v>2. kvartal</c:v>
                  </c:pt>
                  <c:pt idx="6">
                    <c:v>3. kvartal</c:v>
                  </c:pt>
                  <c:pt idx="7">
                    <c:v>4. kvartal</c:v>
                  </c:pt>
                  <c:pt idx="8">
                    <c:v>1. kvartal</c:v>
                  </c:pt>
                  <c:pt idx="9">
                    <c:v>2. kvartal</c:v>
                  </c:pt>
                  <c:pt idx="10">
                    <c:v>3. kvartal</c:v>
                  </c:pt>
                  <c:pt idx="11">
                    <c:v>4. kvartal</c:v>
                  </c:pt>
                  <c:pt idx="12">
                    <c:v>1. kvartal</c:v>
                  </c:pt>
                  <c:pt idx="13">
                    <c:v>2. kvartal</c:v>
                  </c:pt>
                  <c:pt idx="14">
                    <c:v>3. kvartal</c:v>
                  </c:pt>
                  <c:pt idx="15">
                    <c:v>4. kvartal</c:v>
                  </c:pt>
                  <c:pt idx="16">
                    <c:v>1. kvartal</c:v>
                  </c:pt>
                  <c:pt idx="17">
                    <c:v>2. kvartal</c:v>
                  </c:pt>
                  <c:pt idx="18">
                    <c:v>3. kvartal</c:v>
                  </c:pt>
                  <c:pt idx="19">
                    <c:v>4. kvartal</c:v>
                  </c:pt>
                  <c:pt idx="20">
                    <c:v>1. kvartal</c:v>
                  </c:pt>
                  <c:pt idx="21">
                    <c:v>2. kvartal</c:v>
                  </c:pt>
                  <c:pt idx="22">
                    <c:v>3. kvartal</c:v>
                  </c:pt>
                  <c:pt idx="23">
                    <c:v>4. kvartal</c:v>
                  </c:pt>
                  <c:pt idx="24">
                    <c:v>1. kvartal</c:v>
                  </c:pt>
                  <c:pt idx="25">
                    <c:v>2. kvartal</c:v>
                  </c:pt>
                  <c:pt idx="26">
                    <c:v>3. kvartal</c:v>
                  </c:pt>
                  <c:pt idx="27">
                    <c:v>4. kvartal</c:v>
                  </c:pt>
                  <c:pt idx="28">
                    <c:v>1. kvartal</c:v>
                  </c:pt>
                  <c:pt idx="29">
                    <c:v>2. kvartal</c:v>
                  </c:pt>
                  <c:pt idx="30">
                    <c:v>3. kvartal</c:v>
                  </c:pt>
                  <c:pt idx="31">
                    <c:v>4. kvartal</c:v>
                  </c:pt>
                  <c:pt idx="32">
                    <c:v>1. kvartal</c:v>
                  </c:pt>
                  <c:pt idx="33">
                    <c:v>2. kvartal</c:v>
                  </c:pt>
                  <c:pt idx="34">
                    <c:v>3. kvartal</c:v>
                  </c:pt>
                  <c:pt idx="35">
                    <c:v>4. kvartal</c:v>
                  </c:pt>
                  <c:pt idx="36">
                    <c:v>1. kvartal</c:v>
                  </c:pt>
                  <c:pt idx="37">
                    <c:v>2. kvartal</c:v>
                  </c:pt>
                  <c:pt idx="38">
                    <c:v>3. kvartal</c:v>
                  </c:pt>
                  <c:pt idx="39">
                    <c:v>4. kvartal</c:v>
                  </c:pt>
                  <c:pt idx="40">
                    <c:v>1. kvartal</c:v>
                  </c:pt>
                  <c:pt idx="41">
                    <c:v>2. kvartal</c:v>
                  </c:pt>
                  <c:pt idx="42">
                    <c:v>3. kvartal</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Prisudvikling!$C$11:$C$53</c:f>
              <c:numCache>
                <c:formatCode>General</c:formatCode>
                <c:ptCount val="43"/>
                <c:pt idx="0">
                  <c:v>100</c:v>
                </c:pt>
                <c:pt idx="1">
                  <c:v>100</c:v>
                </c:pt>
                <c:pt idx="2">
                  <c:v>100</c:v>
                </c:pt>
                <c:pt idx="3">
                  <c:v>100</c:v>
                </c:pt>
                <c:pt idx="4" formatCode="0.0">
                  <c:v>111.6</c:v>
                </c:pt>
                <c:pt idx="5" formatCode="0.0">
                  <c:v>101.1</c:v>
                </c:pt>
                <c:pt idx="6" formatCode="0.0">
                  <c:v>109.2</c:v>
                </c:pt>
                <c:pt idx="7" formatCode="0.0">
                  <c:v>127.4</c:v>
                </c:pt>
                <c:pt idx="8" formatCode="0.0">
                  <c:v>132</c:v>
                </c:pt>
                <c:pt idx="9" formatCode="0.0">
                  <c:v>143.4</c:v>
                </c:pt>
                <c:pt idx="10" formatCode="0.0">
                  <c:v>155.9</c:v>
                </c:pt>
                <c:pt idx="11" formatCode="0.0">
                  <c:v>164.6</c:v>
                </c:pt>
                <c:pt idx="12" formatCode="0.0">
                  <c:v>166.4</c:v>
                </c:pt>
                <c:pt idx="13" formatCode="0.0">
                  <c:v>145.5</c:v>
                </c:pt>
                <c:pt idx="14" formatCode="0.0">
                  <c:v>146.80000000000001</c:v>
                </c:pt>
                <c:pt idx="15" formatCode="0.0">
                  <c:v>164.8</c:v>
                </c:pt>
                <c:pt idx="16" formatCode="0.0">
                  <c:v>161.1</c:v>
                </c:pt>
                <c:pt idx="17" formatCode="0.0">
                  <c:v>160.5</c:v>
                </c:pt>
                <c:pt idx="18" formatCode="0.0">
                  <c:v>172.3</c:v>
                </c:pt>
                <c:pt idx="19" formatCode="0.0">
                  <c:v>195.5</c:v>
                </c:pt>
                <c:pt idx="20" formatCode="0.0">
                  <c:v>173.7</c:v>
                </c:pt>
                <c:pt idx="21" formatCode="0.0">
                  <c:v>175.3</c:v>
                </c:pt>
                <c:pt idx="22" formatCode="0.0">
                  <c:v>204.2</c:v>
                </c:pt>
                <c:pt idx="23" formatCode="0.0">
                  <c:v>238.3</c:v>
                </c:pt>
                <c:pt idx="24" formatCode="0.0">
                  <c:v>207</c:v>
                </c:pt>
                <c:pt idx="25" formatCode="0.0">
                  <c:v>205.1</c:v>
                </c:pt>
                <c:pt idx="26" formatCode="0.0">
                  <c:v>220.3</c:v>
                </c:pt>
                <c:pt idx="27" formatCode="0.0">
                  <c:v>224.1</c:v>
                </c:pt>
                <c:pt idx="28" formatCode="0.0">
                  <c:v>212.9</c:v>
                </c:pt>
                <c:pt idx="29" formatCode="0.0">
                  <c:v>188.1</c:v>
                </c:pt>
                <c:pt idx="30" formatCode="0.0">
                  <c:v>217.3</c:v>
                </c:pt>
                <c:pt idx="31" formatCode="0.0">
                  <c:v>242.9</c:v>
                </c:pt>
                <c:pt idx="32" formatCode="0.0">
                  <c:v>207.8</c:v>
                </c:pt>
                <c:pt idx="33" formatCode="0.0">
                  <c:v>213.9</c:v>
                </c:pt>
                <c:pt idx="34" formatCode="0.0">
                  <c:v>218.6</c:v>
                </c:pt>
                <c:pt idx="35" formatCode="0.0">
                  <c:v>245.9</c:v>
                </c:pt>
                <c:pt idx="36" formatCode="0.0">
                  <c:v>214.2</c:v>
                </c:pt>
                <c:pt idx="37" formatCode="0.0">
                  <c:v>197.8</c:v>
                </c:pt>
                <c:pt idx="38" formatCode="0.0">
                  <c:v>189.7</c:v>
                </c:pt>
                <c:pt idx="39" formatCode="0.0">
                  <c:v>201.3</c:v>
                </c:pt>
                <c:pt idx="40" formatCode="0.0">
                  <c:v>183.6</c:v>
                </c:pt>
                <c:pt idx="41" formatCode="0.0">
                  <c:v>170.3</c:v>
                </c:pt>
                <c:pt idx="42" formatCode="0.0">
                  <c:v>169.1</c:v>
                </c:pt>
              </c:numCache>
            </c:numRef>
          </c:val>
          <c:smooth val="0"/>
          <c:extLst>
            <c:ext xmlns:c16="http://schemas.microsoft.com/office/drawing/2014/chart" uri="{C3380CC4-5D6E-409C-BE32-E72D297353CC}">
              <c16:uniqueId val="{00000000-30DF-4C6F-9C97-E83165B3EEBC}"/>
            </c:ext>
          </c:extLst>
        </c:ser>
        <c:ser>
          <c:idx val="1"/>
          <c:order val="1"/>
          <c:tx>
            <c:v>Kogte og pillede rejer</c:v>
          </c:tx>
          <c:spPr>
            <a:ln w="28575" cap="rnd">
              <a:solidFill>
                <a:schemeClr val="accent2"/>
              </a:solidFill>
              <a:round/>
            </a:ln>
            <a:effectLst/>
          </c:spPr>
          <c:marker>
            <c:symbol val="none"/>
          </c:marker>
          <c:cat>
            <c:multiLvlStrRef>
              <c:f>Prisudvikling!$A$11:$B$53</c:f>
              <c:multiLvlStrCache>
                <c:ptCount val="43"/>
                <c:lvl>
                  <c:pt idx="0">
                    <c:v>1. kvartal</c:v>
                  </c:pt>
                  <c:pt idx="1">
                    <c:v>2. kvartal</c:v>
                  </c:pt>
                  <c:pt idx="2">
                    <c:v>3. kvartal</c:v>
                  </c:pt>
                  <c:pt idx="3">
                    <c:v>4. kvartal</c:v>
                  </c:pt>
                  <c:pt idx="4">
                    <c:v>1. kvartal</c:v>
                  </c:pt>
                  <c:pt idx="5">
                    <c:v>2. kvartal</c:v>
                  </c:pt>
                  <c:pt idx="6">
                    <c:v>3. kvartal</c:v>
                  </c:pt>
                  <c:pt idx="7">
                    <c:v>4. kvartal</c:v>
                  </c:pt>
                  <c:pt idx="8">
                    <c:v>1. kvartal</c:v>
                  </c:pt>
                  <c:pt idx="9">
                    <c:v>2. kvartal</c:v>
                  </c:pt>
                  <c:pt idx="10">
                    <c:v>3. kvartal</c:v>
                  </c:pt>
                  <c:pt idx="11">
                    <c:v>4. kvartal</c:v>
                  </c:pt>
                  <c:pt idx="12">
                    <c:v>1. kvartal</c:v>
                  </c:pt>
                  <c:pt idx="13">
                    <c:v>2. kvartal</c:v>
                  </c:pt>
                  <c:pt idx="14">
                    <c:v>3. kvartal</c:v>
                  </c:pt>
                  <c:pt idx="15">
                    <c:v>4. kvartal</c:v>
                  </c:pt>
                  <c:pt idx="16">
                    <c:v>1. kvartal</c:v>
                  </c:pt>
                  <c:pt idx="17">
                    <c:v>2. kvartal</c:v>
                  </c:pt>
                  <c:pt idx="18">
                    <c:v>3. kvartal</c:v>
                  </c:pt>
                  <c:pt idx="19">
                    <c:v>4. kvartal</c:v>
                  </c:pt>
                  <c:pt idx="20">
                    <c:v>1. kvartal</c:v>
                  </c:pt>
                  <c:pt idx="21">
                    <c:v>2. kvartal</c:v>
                  </c:pt>
                  <c:pt idx="22">
                    <c:v>3. kvartal</c:v>
                  </c:pt>
                  <c:pt idx="23">
                    <c:v>4. kvartal</c:v>
                  </c:pt>
                  <c:pt idx="24">
                    <c:v>1. kvartal</c:v>
                  </c:pt>
                  <c:pt idx="25">
                    <c:v>2. kvartal</c:v>
                  </c:pt>
                  <c:pt idx="26">
                    <c:v>3. kvartal</c:v>
                  </c:pt>
                  <c:pt idx="27">
                    <c:v>4. kvartal</c:v>
                  </c:pt>
                  <c:pt idx="28">
                    <c:v>1. kvartal</c:v>
                  </c:pt>
                  <c:pt idx="29">
                    <c:v>2. kvartal</c:v>
                  </c:pt>
                  <c:pt idx="30">
                    <c:v>3. kvartal</c:v>
                  </c:pt>
                  <c:pt idx="31">
                    <c:v>4. kvartal</c:v>
                  </c:pt>
                  <c:pt idx="32">
                    <c:v>1. kvartal</c:v>
                  </c:pt>
                  <c:pt idx="33">
                    <c:v>2. kvartal</c:v>
                  </c:pt>
                  <c:pt idx="34">
                    <c:v>3. kvartal</c:v>
                  </c:pt>
                  <c:pt idx="35">
                    <c:v>4. kvartal</c:v>
                  </c:pt>
                  <c:pt idx="36">
                    <c:v>1. kvartal</c:v>
                  </c:pt>
                  <c:pt idx="37">
                    <c:v>2. kvartal</c:v>
                  </c:pt>
                  <c:pt idx="38">
                    <c:v>3. kvartal</c:v>
                  </c:pt>
                  <c:pt idx="39">
                    <c:v>4. kvartal</c:v>
                  </c:pt>
                  <c:pt idx="40">
                    <c:v>1. kvartal</c:v>
                  </c:pt>
                  <c:pt idx="41">
                    <c:v>2. kvartal</c:v>
                  </c:pt>
                  <c:pt idx="42">
                    <c:v>3. kvartal</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Prisudvikling!$D$11:$D$53</c:f>
              <c:numCache>
                <c:formatCode>General</c:formatCode>
                <c:ptCount val="43"/>
                <c:pt idx="0">
                  <c:v>100</c:v>
                </c:pt>
                <c:pt idx="1">
                  <c:v>100</c:v>
                </c:pt>
                <c:pt idx="2">
                  <c:v>100</c:v>
                </c:pt>
                <c:pt idx="3">
                  <c:v>100</c:v>
                </c:pt>
                <c:pt idx="4" formatCode="0.0">
                  <c:v>108.9</c:v>
                </c:pt>
                <c:pt idx="5" formatCode="0.0">
                  <c:v>116.1</c:v>
                </c:pt>
                <c:pt idx="6" formatCode="0.0">
                  <c:v>123.1</c:v>
                </c:pt>
                <c:pt idx="7" formatCode="0.0">
                  <c:v>126.7</c:v>
                </c:pt>
                <c:pt idx="8" formatCode="0.0">
                  <c:v>126.1</c:v>
                </c:pt>
                <c:pt idx="9" formatCode="0.0">
                  <c:v>135.9</c:v>
                </c:pt>
                <c:pt idx="10" formatCode="0.0">
                  <c:v>138.1</c:v>
                </c:pt>
                <c:pt idx="11" formatCode="0.0">
                  <c:v>135.19999999999999</c:v>
                </c:pt>
                <c:pt idx="12" formatCode="0.0">
                  <c:v>138</c:v>
                </c:pt>
                <c:pt idx="13" formatCode="0.0">
                  <c:v>131.9</c:v>
                </c:pt>
                <c:pt idx="14" formatCode="0.0">
                  <c:v>130.69999999999999</c:v>
                </c:pt>
                <c:pt idx="15" formatCode="0.0">
                  <c:v>132.4</c:v>
                </c:pt>
                <c:pt idx="16" formatCode="0.0">
                  <c:v>134.69999999999999</c:v>
                </c:pt>
                <c:pt idx="17" formatCode="0.0">
                  <c:v>140.30000000000001</c:v>
                </c:pt>
                <c:pt idx="18" formatCode="0.0">
                  <c:v>144.19999999999999</c:v>
                </c:pt>
                <c:pt idx="19" formatCode="0.0">
                  <c:v>175.3</c:v>
                </c:pt>
                <c:pt idx="20" formatCode="0.0">
                  <c:v>211.7</c:v>
                </c:pt>
                <c:pt idx="21" formatCode="0.0">
                  <c:v>225.8</c:v>
                </c:pt>
                <c:pt idx="22" formatCode="0.0">
                  <c:v>197.6</c:v>
                </c:pt>
                <c:pt idx="23" formatCode="0.0">
                  <c:v>236.1</c:v>
                </c:pt>
                <c:pt idx="24" formatCode="0.0">
                  <c:v>203.1</c:v>
                </c:pt>
                <c:pt idx="25" formatCode="0.0">
                  <c:v>196.5</c:v>
                </c:pt>
                <c:pt idx="26" formatCode="0.0">
                  <c:v>188.2</c:v>
                </c:pt>
                <c:pt idx="27" formatCode="0.0">
                  <c:v>155.9</c:v>
                </c:pt>
                <c:pt idx="28" formatCode="0.0">
                  <c:v>156.4</c:v>
                </c:pt>
                <c:pt idx="29" formatCode="0.0">
                  <c:v>126.6</c:v>
                </c:pt>
                <c:pt idx="30" formatCode="0.0">
                  <c:v>142.6</c:v>
                </c:pt>
                <c:pt idx="31" formatCode="0.0">
                  <c:v>159.69999999999999</c:v>
                </c:pt>
                <c:pt idx="32" formatCode="0.0">
                  <c:v>151.19999999999999</c:v>
                </c:pt>
                <c:pt idx="33" formatCode="0.0">
                  <c:v>174.5</c:v>
                </c:pt>
                <c:pt idx="34" formatCode="0.0">
                  <c:v>185.7</c:v>
                </c:pt>
                <c:pt idx="35" formatCode="0.0">
                  <c:v>189</c:v>
                </c:pt>
                <c:pt idx="36" formatCode="0.0">
                  <c:v>202.9</c:v>
                </c:pt>
                <c:pt idx="37" formatCode="0.0">
                  <c:v>197.4</c:v>
                </c:pt>
                <c:pt idx="38" formatCode="0.0">
                  <c:v>190.6</c:v>
                </c:pt>
                <c:pt idx="39" formatCode="0.0">
                  <c:v>170.5</c:v>
                </c:pt>
                <c:pt idx="40" formatCode="0.0">
                  <c:v>190.1</c:v>
                </c:pt>
                <c:pt idx="41" formatCode="0.0">
                  <c:v>158</c:v>
                </c:pt>
                <c:pt idx="42" formatCode="0.0">
                  <c:v>147.19999999999999</c:v>
                </c:pt>
              </c:numCache>
            </c:numRef>
          </c:val>
          <c:smooth val="0"/>
          <c:extLst>
            <c:ext xmlns:c16="http://schemas.microsoft.com/office/drawing/2014/chart" uri="{C3380CC4-5D6E-409C-BE32-E72D297353CC}">
              <c16:uniqueId val="{00000001-30DF-4C6F-9C97-E83165B3EEBC}"/>
            </c:ext>
          </c:extLst>
        </c:ser>
        <c:ser>
          <c:idx val="2"/>
          <c:order val="2"/>
          <c:tx>
            <c:v>Indhandlingspris, rejer</c:v>
          </c:tx>
          <c:spPr>
            <a:ln w="28575" cap="rnd">
              <a:solidFill>
                <a:schemeClr val="accent3"/>
              </a:solidFill>
              <a:round/>
            </a:ln>
            <a:effectLst/>
          </c:spPr>
          <c:marker>
            <c:symbol val="none"/>
          </c:marker>
          <c:cat>
            <c:multiLvlStrRef>
              <c:f>Prisudvikling!$A$11:$B$53</c:f>
              <c:multiLvlStrCache>
                <c:ptCount val="43"/>
                <c:lvl>
                  <c:pt idx="0">
                    <c:v>1. kvartal</c:v>
                  </c:pt>
                  <c:pt idx="1">
                    <c:v>2. kvartal</c:v>
                  </c:pt>
                  <c:pt idx="2">
                    <c:v>3. kvartal</c:v>
                  </c:pt>
                  <c:pt idx="3">
                    <c:v>4. kvartal</c:v>
                  </c:pt>
                  <c:pt idx="4">
                    <c:v>1. kvartal</c:v>
                  </c:pt>
                  <c:pt idx="5">
                    <c:v>2. kvartal</c:v>
                  </c:pt>
                  <c:pt idx="6">
                    <c:v>3. kvartal</c:v>
                  </c:pt>
                  <c:pt idx="7">
                    <c:v>4. kvartal</c:v>
                  </c:pt>
                  <c:pt idx="8">
                    <c:v>1. kvartal</c:v>
                  </c:pt>
                  <c:pt idx="9">
                    <c:v>2. kvartal</c:v>
                  </c:pt>
                  <c:pt idx="10">
                    <c:v>3. kvartal</c:v>
                  </c:pt>
                  <c:pt idx="11">
                    <c:v>4. kvartal</c:v>
                  </c:pt>
                  <c:pt idx="12">
                    <c:v>1. kvartal</c:v>
                  </c:pt>
                  <c:pt idx="13">
                    <c:v>2. kvartal</c:v>
                  </c:pt>
                  <c:pt idx="14">
                    <c:v>3. kvartal</c:v>
                  </c:pt>
                  <c:pt idx="15">
                    <c:v>4. kvartal</c:v>
                  </c:pt>
                  <c:pt idx="16">
                    <c:v>1. kvartal</c:v>
                  </c:pt>
                  <c:pt idx="17">
                    <c:v>2. kvartal</c:v>
                  </c:pt>
                  <c:pt idx="18">
                    <c:v>3. kvartal</c:v>
                  </c:pt>
                  <c:pt idx="19">
                    <c:v>4. kvartal</c:v>
                  </c:pt>
                  <c:pt idx="20">
                    <c:v>1. kvartal</c:v>
                  </c:pt>
                  <c:pt idx="21">
                    <c:v>2. kvartal</c:v>
                  </c:pt>
                  <c:pt idx="22">
                    <c:v>3. kvartal</c:v>
                  </c:pt>
                  <c:pt idx="23">
                    <c:v>4. kvartal</c:v>
                  </c:pt>
                  <c:pt idx="24">
                    <c:v>1. kvartal</c:v>
                  </c:pt>
                  <c:pt idx="25">
                    <c:v>2. kvartal</c:v>
                  </c:pt>
                  <c:pt idx="26">
                    <c:v>3. kvartal</c:v>
                  </c:pt>
                  <c:pt idx="27">
                    <c:v>4. kvartal</c:v>
                  </c:pt>
                  <c:pt idx="28">
                    <c:v>1. kvartal</c:v>
                  </c:pt>
                  <c:pt idx="29">
                    <c:v>2. kvartal</c:v>
                  </c:pt>
                  <c:pt idx="30">
                    <c:v>3. kvartal</c:v>
                  </c:pt>
                  <c:pt idx="31">
                    <c:v>4. kvartal</c:v>
                  </c:pt>
                  <c:pt idx="32">
                    <c:v>1. kvartal</c:v>
                  </c:pt>
                  <c:pt idx="33">
                    <c:v>2. kvartal</c:v>
                  </c:pt>
                  <c:pt idx="34">
                    <c:v>3. kvartal</c:v>
                  </c:pt>
                  <c:pt idx="35">
                    <c:v>4. kvartal</c:v>
                  </c:pt>
                  <c:pt idx="36">
                    <c:v>1. kvartal</c:v>
                  </c:pt>
                  <c:pt idx="37">
                    <c:v>2. kvartal</c:v>
                  </c:pt>
                  <c:pt idx="38">
                    <c:v>3. kvartal</c:v>
                  </c:pt>
                  <c:pt idx="39">
                    <c:v>4. kvartal</c:v>
                  </c:pt>
                  <c:pt idx="40">
                    <c:v>1. kvartal</c:v>
                  </c:pt>
                  <c:pt idx="41">
                    <c:v>2. kvartal</c:v>
                  </c:pt>
                  <c:pt idx="42">
                    <c:v>3. kvartal</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Prisudvikling!$E$11:$E$53</c:f>
              <c:numCache>
                <c:formatCode>0.00</c:formatCode>
                <c:ptCount val="43"/>
                <c:pt idx="0">
                  <c:v>100</c:v>
                </c:pt>
                <c:pt idx="1">
                  <c:v>100</c:v>
                </c:pt>
                <c:pt idx="2">
                  <c:v>100</c:v>
                </c:pt>
                <c:pt idx="3">
                  <c:v>100</c:v>
                </c:pt>
                <c:pt idx="4">
                  <c:v>109.11922967207826</c:v>
                </c:pt>
                <c:pt idx="5">
                  <c:v>102.36136986422085</c:v>
                </c:pt>
                <c:pt idx="6">
                  <c:v>103.1717202505496</c:v>
                </c:pt>
                <c:pt idx="7">
                  <c:v>99.018036123688361</c:v>
                </c:pt>
                <c:pt idx="8">
                  <c:v>101.23052506162374</c:v>
                </c:pt>
                <c:pt idx="9">
                  <c:v>95.874667949945334</c:v>
                </c:pt>
                <c:pt idx="10">
                  <c:v>96.217745348573359</c:v>
                </c:pt>
                <c:pt idx="11">
                  <c:v>96.689333899100177</c:v>
                </c:pt>
                <c:pt idx="12">
                  <c:v>107.03842785873783</c:v>
                </c:pt>
                <c:pt idx="13">
                  <c:v>103.70042607837591</c:v>
                </c:pt>
                <c:pt idx="14">
                  <c:v>141.00128255942332</c:v>
                </c:pt>
                <c:pt idx="15">
                  <c:v>100.41526193923687</c:v>
                </c:pt>
                <c:pt idx="16">
                  <c:v>108.17399908656391</c:v>
                </c:pt>
                <c:pt idx="17">
                  <c:v>109.48516477610531</c:v>
                </c:pt>
                <c:pt idx="18">
                  <c:v>108.83909522017336</c:v>
                </c:pt>
                <c:pt idx="19">
                  <c:v>101.57363044936906</c:v>
                </c:pt>
                <c:pt idx="20">
                  <c:v>130.98053442970206</c:v>
                </c:pt>
                <c:pt idx="21">
                  <c:v>143.5987885042496</c:v>
                </c:pt>
                <c:pt idx="22">
                  <c:v>142.14802331668432</c:v>
                </c:pt>
                <c:pt idx="23">
                  <c:v>144.82493604809741</c:v>
                </c:pt>
                <c:pt idx="24">
                  <c:v>150.23517344668596</c:v>
                </c:pt>
                <c:pt idx="25">
                  <c:v>139.96640326340503</c:v>
                </c:pt>
                <c:pt idx="26">
                  <c:v>132.2512345358891</c:v>
                </c:pt>
                <c:pt idx="27">
                  <c:v>131.31742306192015</c:v>
                </c:pt>
                <c:pt idx="28">
                  <c:v>146.04184562924237</c:v>
                </c:pt>
                <c:pt idx="29">
                  <c:v>141.05424619329705</c:v>
                </c:pt>
                <c:pt idx="30">
                  <c:v>135.0039803222117</c:v>
                </c:pt>
                <c:pt idx="31">
                  <c:v>125.94921401263744</c:v>
                </c:pt>
                <c:pt idx="32">
                  <c:v>134.06865057629804</c:v>
                </c:pt>
                <c:pt idx="33">
                  <c:v>145.98412595574075</c:v>
                </c:pt>
                <c:pt idx="34">
                  <c:v>152.18249780542484</c:v>
                </c:pt>
                <c:pt idx="35">
                  <c:v>150.98683394709192</c:v>
                </c:pt>
                <c:pt idx="36">
                  <c:v>155.37862446574658</c:v>
                </c:pt>
                <c:pt idx="37">
                  <c:v>160.11770596405142</c:v>
                </c:pt>
                <c:pt idx="38">
                  <c:v>161.21784069812293</c:v>
                </c:pt>
                <c:pt idx="39">
                  <c:v>155.42516528150398</c:v>
                </c:pt>
                <c:pt idx="40">
                  <c:v>162.90288568835032</c:v>
                </c:pt>
                <c:pt idx="41">
                  <c:v>143.81071650879872</c:v>
                </c:pt>
                <c:pt idx="42">
                  <c:v>140.34654485355929</c:v>
                </c:pt>
              </c:numCache>
            </c:numRef>
          </c:val>
          <c:smooth val="0"/>
          <c:extLst>
            <c:ext xmlns:c16="http://schemas.microsoft.com/office/drawing/2014/chart" uri="{C3380CC4-5D6E-409C-BE32-E72D297353CC}">
              <c16:uniqueId val="{00000002-30DF-4C6F-9C97-E83165B3EEBC}"/>
            </c:ext>
          </c:extLst>
        </c:ser>
        <c:dLbls>
          <c:showLegendKey val="0"/>
          <c:showVal val="0"/>
          <c:showCatName val="0"/>
          <c:showSerName val="0"/>
          <c:showPercent val="0"/>
          <c:showBubbleSize val="0"/>
        </c:dLbls>
        <c:smooth val="0"/>
        <c:axId val="507976888"/>
        <c:axId val="507980824"/>
      </c:lineChart>
      <c:catAx>
        <c:axId val="50797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07980824"/>
        <c:crosses val="autoZero"/>
        <c:auto val="1"/>
        <c:lblAlgn val="ctr"/>
        <c:lblOffset val="100"/>
        <c:noMultiLvlLbl val="0"/>
      </c:catAx>
      <c:valAx>
        <c:axId val="507980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Indeks (basisår 2010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0797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2"/>
              <c:layout>
                <c:manualLayout>
                  <c:x val="-6.97554604244879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BA-46B3-85F4-7FECE3813D31}"/>
                </c:ext>
              </c:extLst>
            </c:dLbl>
            <c:dLbl>
              <c:idx val="24"/>
              <c:layout>
                <c:manualLayout>
                  <c:x val="1.45258352355258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BA-46B3-85F4-7FECE3813D3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 8'!$A$4:$A$28</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'Figur 8'!$B$4:$B$28</c:f>
              <c:numCache>
                <c:formatCode>#,##0.0</c:formatCode>
                <c:ptCount val="25"/>
                <c:pt idx="0">
                  <c:v>7.231312</c:v>
                </c:pt>
                <c:pt idx="1">
                  <c:v>6.6801599999999999</c:v>
                </c:pt>
                <c:pt idx="2">
                  <c:v>5.8780000000000001</c:v>
                </c:pt>
                <c:pt idx="3">
                  <c:v>21.405169999999998</c:v>
                </c:pt>
                <c:pt idx="4">
                  <c:v>22.599291000000001</c:v>
                </c:pt>
                <c:pt idx="5">
                  <c:v>22.421287</c:v>
                </c:pt>
                <c:pt idx="6">
                  <c:v>12.878803</c:v>
                </c:pt>
                <c:pt idx="7">
                  <c:v>8.1945549999999994</c:v>
                </c:pt>
                <c:pt idx="8">
                  <c:v>3.2239439999999999</c:v>
                </c:pt>
                <c:pt idx="9">
                  <c:v>4.9000000000000002E-2</c:v>
                </c:pt>
                <c:pt idx="10">
                  <c:v>0.52600000000000002</c:v>
                </c:pt>
                <c:pt idx="11">
                  <c:v>0.40600000000000003</c:v>
                </c:pt>
                <c:pt idx="12">
                  <c:v>6.2132820000000004</c:v>
                </c:pt>
                <c:pt idx="13">
                  <c:v>15.362</c:v>
                </c:pt>
                <c:pt idx="14">
                  <c:v>21.707999999999998</c:v>
                </c:pt>
                <c:pt idx="15">
                  <c:v>27.882999999999999</c:v>
                </c:pt>
                <c:pt idx="16">
                  <c:v>60.27</c:v>
                </c:pt>
                <c:pt idx="17">
                  <c:v>103.67700000000001</c:v>
                </c:pt>
                <c:pt idx="18">
                  <c:v>145.304</c:v>
                </c:pt>
                <c:pt idx="19">
                  <c:v>152.56299999999999</c:v>
                </c:pt>
                <c:pt idx="20">
                  <c:v>167.661</c:v>
                </c:pt>
                <c:pt idx="21">
                  <c:v>175.43199999999999</c:v>
                </c:pt>
                <c:pt idx="22">
                  <c:v>263.34800000000001</c:v>
                </c:pt>
                <c:pt idx="23">
                  <c:v>263.84629961000002</c:v>
                </c:pt>
                <c:pt idx="24">
                  <c:v>261.65531771000002</c:v>
                </c:pt>
              </c:numCache>
            </c:numRef>
          </c:val>
          <c:extLst>
            <c:ext xmlns:c16="http://schemas.microsoft.com/office/drawing/2014/chart" uri="{C3380CC4-5D6E-409C-BE32-E72D297353CC}">
              <c16:uniqueId val="{00000001-6EBA-46B3-85F4-7FECE3813D31}"/>
            </c:ext>
          </c:extLst>
        </c:ser>
        <c:dLbls>
          <c:showLegendKey val="0"/>
          <c:showVal val="0"/>
          <c:showCatName val="0"/>
          <c:showSerName val="0"/>
          <c:showPercent val="0"/>
          <c:showBubbleSize val="0"/>
        </c:dLbls>
        <c:gapWidth val="150"/>
        <c:axId val="485205528"/>
        <c:axId val="485203888"/>
      </c:barChart>
      <c:catAx>
        <c:axId val="48520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6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5203888"/>
        <c:crosses val="autoZero"/>
        <c:auto val="1"/>
        <c:lblAlgn val="ctr"/>
        <c:lblOffset val="100"/>
        <c:noMultiLvlLbl val="0"/>
      </c:catAx>
      <c:valAx>
        <c:axId val="48520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5205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55BD-3ACC-431A-ABC3-42A0DD65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5946</Words>
  <Characters>36273</Characters>
  <Application>Microsoft Office Word</Application>
  <DocSecurity>0</DocSecurity>
  <Lines>302</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Ole Ulloriaq Lønberg-Jensen</cp:lastModifiedBy>
  <cp:revision>4</cp:revision>
  <cp:lastPrinted>2019-11-24T14:29:00Z</cp:lastPrinted>
  <dcterms:created xsi:type="dcterms:W3CDTF">2021-02-25T10:16:00Z</dcterms:created>
  <dcterms:modified xsi:type="dcterms:W3CDTF">2021-04-08T18:08:00Z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