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3DCA" w:rsidRPr="0075698C" w:rsidRDefault="002E4A2E" w:rsidP="00577477">
      <w:pPr>
        <w:spacing w:after="0"/>
        <w:rPr>
          <w:rFonts w:ascii="Times New Roman" w:hAnsi="Times New Roman"/>
          <w:b/>
          <w:sz w:val="32"/>
          <w:szCs w:val="32"/>
        </w:rPr>
      </w:pPr>
      <w:bookmarkStart w:id="0" w:name="_GoBack"/>
      <w:bookmarkEnd w:id="0"/>
      <w:r w:rsidRPr="0075698C">
        <w:rPr>
          <w:rFonts w:ascii="Times New Roman" w:hAnsi="Times New Roman"/>
          <w:b/>
          <w:sz w:val="32"/>
          <w:szCs w:val="32"/>
        </w:rPr>
        <w:t>Baggrundsnotat</w:t>
      </w:r>
    </w:p>
    <w:p w:rsidR="002E4A2E" w:rsidRPr="0075698C" w:rsidRDefault="002E4A2E" w:rsidP="009B335E">
      <w:pPr>
        <w:spacing w:after="0"/>
        <w:jc w:val="right"/>
        <w:rPr>
          <w:rFonts w:ascii="Times New Roman" w:hAnsi="Times New Roman"/>
          <w:noProof/>
          <w:sz w:val="24"/>
          <w:szCs w:val="24"/>
        </w:rPr>
      </w:pPr>
      <w:r w:rsidRPr="0075698C">
        <w:rPr>
          <w:rFonts w:ascii="Times New Roman" w:hAnsi="Times New Roman"/>
          <w:noProof/>
          <w:sz w:val="24"/>
          <w:szCs w:val="24"/>
        </w:rPr>
        <w:tab/>
      </w:r>
      <w:r w:rsidRPr="0075698C">
        <w:rPr>
          <w:rFonts w:ascii="Times New Roman" w:hAnsi="Times New Roman"/>
          <w:noProof/>
          <w:sz w:val="24"/>
          <w:szCs w:val="24"/>
        </w:rPr>
        <w:tab/>
      </w:r>
      <w:r w:rsidRPr="0075698C">
        <w:rPr>
          <w:rFonts w:ascii="Times New Roman" w:hAnsi="Times New Roman"/>
          <w:noProof/>
          <w:sz w:val="24"/>
          <w:szCs w:val="24"/>
        </w:rPr>
        <w:tab/>
      </w:r>
      <w:r w:rsidRPr="0075698C">
        <w:rPr>
          <w:rFonts w:ascii="Times New Roman" w:hAnsi="Times New Roman"/>
          <w:noProof/>
          <w:sz w:val="24"/>
          <w:szCs w:val="24"/>
        </w:rPr>
        <w:tab/>
        <w:t xml:space="preserve"> </w:t>
      </w:r>
    </w:p>
    <w:p w:rsidR="00B24CBC" w:rsidRPr="00687680" w:rsidRDefault="00552CD3" w:rsidP="00577477">
      <w:pPr>
        <w:spacing w:after="0"/>
        <w:rPr>
          <w:rFonts w:ascii="Times New Roman" w:hAnsi="Times New Roman"/>
          <w:b/>
          <w:color w:val="000000" w:themeColor="text1"/>
          <w:sz w:val="24"/>
          <w:szCs w:val="24"/>
        </w:rPr>
      </w:pPr>
      <w:r w:rsidRPr="0075698C">
        <w:rPr>
          <w:rFonts w:ascii="Times New Roman" w:hAnsi="Times New Roman"/>
          <w:b/>
          <w:sz w:val="28"/>
          <w:szCs w:val="28"/>
        </w:rPr>
        <w:t xml:space="preserve">Relevante </w:t>
      </w:r>
      <w:r w:rsidR="00653DCA" w:rsidRPr="0075698C">
        <w:rPr>
          <w:rFonts w:ascii="Times New Roman" w:hAnsi="Times New Roman"/>
          <w:b/>
          <w:sz w:val="28"/>
          <w:szCs w:val="28"/>
        </w:rPr>
        <w:t xml:space="preserve">data </w:t>
      </w:r>
      <w:r w:rsidRPr="0075698C">
        <w:rPr>
          <w:rFonts w:ascii="Times New Roman" w:hAnsi="Times New Roman"/>
          <w:b/>
          <w:sz w:val="28"/>
          <w:szCs w:val="28"/>
        </w:rPr>
        <w:t xml:space="preserve">om økonomi og beskæftigelse i fiskerierhvervet </w:t>
      </w:r>
      <w:r w:rsidR="00653DCA" w:rsidRPr="0075698C">
        <w:rPr>
          <w:rFonts w:ascii="Times New Roman" w:hAnsi="Times New Roman"/>
          <w:b/>
          <w:sz w:val="28"/>
          <w:szCs w:val="28"/>
        </w:rPr>
        <w:br/>
      </w:r>
      <w:r w:rsidR="00B24CBC" w:rsidRPr="00687680">
        <w:rPr>
          <w:rFonts w:ascii="Times New Roman" w:hAnsi="Times New Roman"/>
          <w:b/>
          <w:color w:val="000000" w:themeColor="text1"/>
          <w:sz w:val="24"/>
          <w:szCs w:val="24"/>
        </w:rPr>
        <w:t xml:space="preserve">Hilmar Ogmundsson </w:t>
      </w:r>
    </w:p>
    <w:p w:rsidR="00246E42" w:rsidRPr="00687680" w:rsidRDefault="00246E42" w:rsidP="009B335E">
      <w:pPr>
        <w:spacing w:after="0"/>
        <w:rPr>
          <w:rFonts w:ascii="Times New Roman" w:hAnsi="Times New Roman"/>
          <w:i/>
          <w:color w:val="000000" w:themeColor="text1"/>
          <w:highlight w:val="lightGray"/>
        </w:rPr>
      </w:pPr>
    </w:p>
    <w:p w:rsidR="00713BFE" w:rsidRPr="0075698C" w:rsidRDefault="00552CD3" w:rsidP="009B335E">
      <w:pPr>
        <w:rPr>
          <w:rFonts w:ascii="Times New Roman" w:hAnsi="Times New Roman"/>
          <w:b/>
          <w:color w:val="000000" w:themeColor="text1"/>
          <w:sz w:val="26"/>
          <w:szCs w:val="26"/>
        </w:rPr>
      </w:pPr>
      <w:r w:rsidRPr="0075698C">
        <w:rPr>
          <w:rFonts w:ascii="Times New Roman" w:hAnsi="Times New Roman"/>
          <w:b/>
          <w:color w:val="000000" w:themeColor="text1"/>
          <w:sz w:val="26"/>
          <w:szCs w:val="26"/>
        </w:rPr>
        <w:t>Notat med foreløbig beskrivelse af relevante data om fiskerierhvervet</w:t>
      </w:r>
      <w:r w:rsidR="00311F08" w:rsidRPr="0075698C">
        <w:rPr>
          <w:rFonts w:ascii="Times New Roman" w:hAnsi="Times New Roman"/>
          <w:b/>
          <w:color w:val="000000" w:themeColor="text1"/>
          <w:sz w:val="26"/>
          <w:szCs w:val="26"/>
        </w:rPr>
        <w:t xml:space="preserve"> </w:t>
      </w:r>
    </w:p>
    <w:p w:rsidR="00552CD3" w:rsidRPr="0075698C" w:rsidRDefault="00552CD3" w:rsidP="009B335E">
      <w:pPr>
        <w:numPr>
          <w:ilvl w:val="0"/>
          <w:numId w:val="37"/>
        </w:numPr>
        <w:spacing w:before="100" w:beforeAutospacing="1" w:after="100" w:afterAutospacing="1" w:line="240" w:lineRule="auto"/>
        <w:jc w:val="both"/>
        <w:outlineLvl w:val="1"/>
        <w:rPr>
          <w:rFonts w:ascii="Times New Roman" w:eastAsia="Times New Roman" w:hAnsi="Times New Roman"/>
          <w:b/>
          <w:bCs/>
          <w:sz w:val="24"/>
          <w:szCs w:val="24"/>
          <w:lang w:eastAsia="da-DK"/>
        </w:rPr>
      </w:pPr>
      <w:r w:rsidRPr="0075698C">
        <w:rPr>
          <w:rFonts w:ascii="Times New Roman" w:eastAsia="Times New Roman" w:hAnsi="Times New Roman"/>
          <w:b/>
          <w:bCs/>
          <w:sz w:val="24"/>
          <w:szCs w:val="24"/>
          <w:lang w:eastAsia="da-DK"/>
        </w:rPr>
        <w:t>Fiskeressourcen er samfundets ejendom og data om udnyttelsen af national interesse</w:t>
      </w:r>
    </w:p>
    <w:p w:rsidR="00552CD3" w:rsidRPr="0075698C" w:rsidRDefault="00552CD3" w:rsidP="009B335E">
      <w:pPr>
        <w:ind w:left="360"/>
        <w:jc w:val="both"/>
        <w:rPr>
          <w:rFonts w:ascii="Times New Roman" w:eastAsiaTheme="minorHAnsi" w:hAnsi="Times New Roman"/>
        </w:rPr>
      </w:pPr>
      <w:r w:rsidRPr="0075698C">
        <w:rPr>
          <w:rFonts w:ascii="Times New Roman" w:eastAsiaTheme="minorHAnsi" w:hAnsi="Times New Roman"/>
        </w:rPr>
        <w:t xml:space="preserve">Fiskeressourcen i de grønlandske farvande er samfundets ejendom. Ressourcen stilles til rådighed for fiskerierhvervet via forskellige forvaltningsmodeller med hjemmel i fiskeriloven og følgelovgivningen hertil. </w:t>
      </w:r>
    </w:p>
    <w:p w:rsidR="00552CD3" w:rsidRPr="0075698C" w:rsidRDefault="00552CD3" w:rsidP="009B335E">
      <w:pPr>
        <w:ind w:left="360"/>
        <w:jc w:val="both"/>
        <w:rPr>
          <w:rFonts w:ascii="Times New Roman" w:eastAsiaTheme="minorHAnsi" w:hAnsi="Times New Roman"/>
        </w:rPr>
      </w:pPr>
      <w:r w:rsidRPr="0075698C">
        <w:rPr>
          <w:rFonts w:ascii="Times New Roman" w:eastAsiaTheme="minorHAnsi" w:hAnsi="Times New Roman"/>
        </w:rPr>
        <w:t xml:space="preserve">Gevinster fra at udnytte denne fælles ressource bør derfor fordeles mellem på den ene side de fiskere og rederier, som fisker og tjener på ressourcen, og på den anden side samfundet via en passende beskatning. </w:t>
      </w:r>
    </w:p>
    <w:p w:rsidR="00552CD3" w:rsidRPr="0075698C" w:rsidRDefault="00552CD3" w:rsidP="009B335E">
      <w:pPr>
        <w:ind w:left="360"/>
        <w:jc w:val="both"/>
        <w:rPr>
          <w:rFonts w:ascii="Times New Roman" w:eastAsiaTheme="minorHAnsi" w:hAnsi="Times New Roman"/>
        </w:rPr>
      </w:pPr>
      <w:r w:rsidRPr="0075698C">
        <w:rPr>
          <w:rFonts w:ascii="Times New Roman" w:eastAsiaTheme="minorHAnsi" w:hAnsi="Times New Roman"/>
        </w:rPr>
        <w:t xml:space="preserve">Fiskeriet er landets absolut vigtigste erhverv. Derfor er kvaliteten af den måde, som vi forvalter den fælles ressource på, af meget stor betydning for velstand og velfærd i samfundet. De valg, der træffes politisk for den fremtidige forvaltning, vil følgeligt kunne få vidtrækkende konsekvenser. </w:t>
      </w:r>
    </w:p>
    <w:p w:rsidR="00736730" w:rsidRPr="0075698C" w:rsidRDefault="00736730" w:rsidP="00736730">
      <w:pPr>
        <w:ind w:left="360"/>
        <w:jc w:val="both"/>
        <w:rPr>
          <w:rFonts w:ascii="Times New Roman" w:eastAsiaTheme="minorHAnsi" w:hAnsi="Times New Roman"/>
        </w:rPr>
      </w:pPr>
      <w:r w:rsidRPr="0075698C">
        <w:rPr>
          <w:rFonts w:ascii="Times New Roman" w:eastAsiaTheme="minorHAnsi" w:hAnsi="Times New Roman"/>
        </w:rPr>
        <w:t xml:space="preserve">For at fiskerierhvervet forsat kan bidrage til det offentlige med højt provenu fra ressourcerenteafgifter og skatter, er det afgørende, at fiskeriforvaltningen skaber rammer for at drive et rentabelt fiskeri, der også på langt sigt er både biologisk og økonomisk bæredygtigt. </w:t>
      </w:r>
    </w:p>
    <w:p w:rsidR="00736730" w:rsidRPr="0075698C" w:rsidRDefault="00736730" w:rsidP="009B335E">
      <w:pPr>
        <w:ind w:left="360"/>
        <w:jc w:val="both"/>
        <w:rPr>
          <w:rFonts w:ascii="Times New Roman" w:eastAsiaTheme="minorHAnsi" w:hAnsi="Times New Roman"/>
        </w:rPr>
      </w:pPr>
      <w:r w:rsidRPr="0075698C">
        <w:rPr>
          <w:rFonts w:ascii="Times New Roman" w:eastAsiaTheme="minorHAnsi" w:hAnsi="Times New Roman"/>
        </w:rPr>
        <w:t>Det vil sikre en høj positiv ressourcerente til gavn for fiskere, rederier, ansatte i fiskerierhvervet og for hele samfundet. Fordelingen af ressourcerenten afgøres af beskatningsreglerne (ressourcerente-afgifter, virksomhedsbeskatning og indkomstbeskatning), men i den forbindelse er det vigtigt at være opmærksom på, at ressourcerenteafgifter aflaster andre, forvridende skatter.</w:t>
      </w:r>
    </w:p>
    <w:p w:rsidR="00736730" w:rsidRPr="00687680" w:rsidRDefault="00736730" w:rsidP="009B335E">
      <w:pPr>
        <w:ind w:left="360"/>
        <w:jc w:val="both"/>
        <w:rPr>
          <w:rFonts w:ascii="Times New Roman" w:eastAsiaTheme="minorHAnsi" w:hAnsi="Times New Roman"/>
        </w:rPr>
      </w:pPr>
      <w:r w:rsidRPr="00687680">
        <w:rPr>
          <w:rFonts w:ascii="Times New Roman" w:hAnsi="Times New Roman"/>
          <w:noProof/>
          <w:color w:val="000000" w:themeColor="text1"/>
          <w:lang w:eastAsia="da-DK"/>
        </w:rPr>
        <w:lastRenderedPageBreak/>
        <mc:AlternateContent>
          <mc:Choice Requires="wps">
            <w:drawing>
              <wp:anchor distT="45720" distB="45720" distL="114300" distR="114300" simplePos="0" relativeHeight="251659264" behindDoc="0" locked="0" layoutInCell="1" allowOverlap="1" wp14:anchorId="1CED07F6" wp14:editId="4C57200A">
                <wp:simplePos x="0" y="0"/>
                <wp:positionH relativeFrom="column">
                  <wp:posOffset>0</wp:posOffset>
                </wp:positionH>
                <wp:positionV relativeFrom="paragraph">
                  <wp:posOffset>364490</wp:posOffset>
                </wp:positionV>
                <wp:extent cx="5859780" cy="3611880"/>
                <wp:effectExtent l="0" t="0" r="26670" b="26670"/>
                <wp:wrapSquare wrapText="bothSides"/>
                <wp:docPr id="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3611880"/>
                        </a:xfrm>
                        <a:prstGeom prst="rect">
                          <a:avLst/>
                        </a:prstGeom>
                        <a:solidFill>
                          <a:srgbClr val="FFFFFF"/>
                        </a:solidFill>
                        <a:ln w="9525">
                          <a:solidFill>
                            <a:srgbClr val="000000"/>
                          </a:solidFill>
                          <a:miter lim="800000"/>
                          <a:headEnd/>
                          <a:tailEnd/>
                        </a:ln>
                      </wps:spPr>
                      <wps:txbx>
                        <w:txbxContent>
                          <w:p w:rsidR="00736730" w:rsidRPr="001D0F13" w:rsidRDefault="00736730" w:rsidP="00736730">
                            <w:pPr>
                              <w:pStyle w:val="Kommentartekst"/>
                              <w:rPr>
                                <w:b/>
                              </w:rPr>
                            </w:pPr>
                            <w:r w:rsidRPr="001D0F13">
                              <w:rPr>
                                <w:b/>
                              </w:rPr>
                              <w:t xml:space="preserve">Tekstboks 1. Om ressourcerente </w:t>
                            </w:r>
                          </w:p>
                          <w:p w:rsidR="00736730" w:rsidRPr="001D0F13" w:rsidRDefault="00736730" w:rsidP="00736730">
                            <w:pPr>
                              <w:pStyle w:val="Kommentartekst"/>
                              <w:rPr>
                                <w:sz w:val="22"/>
                                <w:szCs w:val="22"/>
                              </w:rPr>
                            </w:pPr>
                            <w:r w:rsidRPr="001D0F13">
                              <w:rPr>
                                <w:sz w:val="22"/>
                                <w:szCs w:val="22"/>
                              </w:rPr>
                              <w:t xml:space="preserve">Ressourcerente kan beskrives som et overnormalt afkast ved udnyttelsen af fiskeressourcen i forhold til, hvad andre erhverv kan opnå i afkast. Det vil sige, hvor stort overskud fiskeriet har efter at have dækket fangstomkostninger, investeringen og et normalt afkast til ejeren.  </w:t>
                            </w:r>
                          </w:p>
                          <w:p w:rsidR="00736730" w:rsidRPr="001D0F13" w:rsidRDefault="00736730" w:rsidP="00736730">
                            <w:pPr>
                              <w:pStyle w:val="Kommentartekst"/>
                              <w:rPr>
                                <w:sz w:val="22"/>
                                <w:szCs w:val="22"/>
                              </w:rPr>
                            </w:pPr>
                            <w:r w:rsidRPr="001D0F13">
                              <w:rPr>
                                <w:sz w:val="22"/>
                                <w:szCs w:val="22"/>
                              </w:rPr>
                              <w:t xml:space="preserve">Ved udarbejdelsen af samfundsøkonomiske analyser om fiskeriet er der ofte fokus på at opnå størst mulig ressourcerente. Disse analyser inddrager sjældent spørgsmålet om, hvordan ressourcerenten fordeles mellem virksomheder, individer og det offentlige. </w:t>
                            </w:r>
                          </w:p>
                          <w:p w:rsidR="00736730" w:rsidRPr="001D0F13" w:rsidRDefault="00736730" w:rsidP="00736730">
                            <w:pPr>
                              <w:pStyle w:val="Kommentartekst"/>
                              <w:rPr>
                                <w:sz w:val="22"/>
                                <w:szCs w:val="22"/>
                              </w:rPr>
                            </w:pPr>
                            <w:r w:rsidRPr="001D0F13">
                              <w:rPr>
                                <w:sz w:val="22"/>
                                <w:szCs w:val="22"/>
                              </w:rPr>
                              <w:t xml:space="preserve">Størrelsen på ressourcerenten afhænger i høj grad af de anvendte fiskerireguleringssystemer, fiskeriforvaltningen og selve strukturen i fiskeriet. </w:t>
                            </w:r>
                          </w:p>
                          <w:p w:rsidR="00736730" w:rsidRPr="001D0F13" w:rsidRDefault="00736730" w:rsidP="00736730">
                            <w:pPr>
                              <w:pStyle w:val="Kommentartekst"/>
                              <w:rPr>
                                <w:sz w:val="22"/>
                                <w:szCs w:val="22"/>
                              </w:rPr>
                            </w:pPr>
                            <w:r w:rsidRPr="001D0F13">
                              <w:rPr>
                                <w:sz w:val="22"/>
                                <w:szCs w:val="22"/>
                              </w:rPr>
                              <w:t xml:space="preserve">Det kræver kontakter og kendskab til markedsforhold at opnå de bedste priser samt erfaring med virksomhedsdrift og fiskeri for at generere den højest mulige ressourcerente. En dygtig ledelse kan således bidrage til at hæve ressourcerenten yderligere. Det er eksempelvis meget risikofyldt og kapitaltungt at investere i et større fiskefartøj. At sikre et effektivt fiskerierhverv kræver en professionel ledelse af driften og et veluddannet personale, herunder veluddannede skibsofficerer og besætningsmedlemmer. </w:t>
                            </w:r>
                          </w:p>
                          <w:p w:rsidR="00736730" w:rsidRPr="001D0F13" w:rsidRDefault="00736730" w:rsidP="00736730">
                            <w:pPr>
                              <w:pStyle w:val="Kommentartekst"/>
                              <w:rPr>
                                <w:sz w:val="22"/>
                                <w:szCs w:val="22"/>
                              </w:rPr>
                            </w:pPr>
                            <w:r w:rsidRPr="001D0F13">
                              <w:rPr>
                                <w:sz w:val="22"/>
                                <w:szCs w:val="22"/>
                              </w:rPr>
                              <w:t>I alle tilfælde afhænger muligheden for at opnå overskud og ressourcerente af reguleringssystemet og forvaltningen.</w:t>
                            </w:r>
                          </w:p>
                          <w:p w:rsidR="00736730" w:rsidRPr="001D0F13" w:rsidRDefault="00736730" w:rsidP="0073673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F26A706" id="_x0000_t202" coordsize="21600,21600" o:spt="202" path="m,l,21600r21600,l21600,xe">
                <v:stroke joinstyle="miter"/>
                <v:path gradientshapeok="t" o:connecttype="rect"/>
              </v:shapetype>
              <v:shape id="Tekstfelt 2" o:spid="_x0000_s1026" type="#_x0000_t202" style="position:absolute;left:0;text-align:left;margin-left:0;margin-top:28.7pt;width:461.4pt;height:284.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">
                <v:textbox>
                  <w:txbxContent>
                    <w:p w:rsidR="00736730" w:rsidRPr="001D0F13" w:rsidRDefault="00736730" w:rsidP="00736730">
                      <w:pPr>
                        <w:pStyle w:val="Kommentartekst"/>
                        <w:rPr>
                          <w:b/>
                        </w:rPr>
                      </w:pPr>
                      <w:r w:rsidRPr="001D0F13">
                        <w:rPr>
                          <w:b/>
                        </w:rPr>
                        <w:t xml:space="preserve">Tekstboks 1. Om ressourcerente </w:t>
                      </w:r>
                    </w:p>
                    <w:p w:rsidR="00736730" w:rsidRPr="001D0F13" w:rsidRDefault="00736730" w:rsidP="00736730">
                      <w:pPr>
                        <w:pStyle w:val="Kommentartekst"/>
                        <w:rPr>
                          <w:sz w:val="22"/>
                          <w:szCs w:val="22"/>
                        </w:rPr>
                      </w:pPr>
                      <w:r w:rsidRPr="001D0F13">
                        <w:rPr>
                          <w:sz w:val="22"/>
                          <w:szCs w:val="22"/>
                        </w:rPr>
                        <w:t xml:space="preserve">Ressourcerente kan beskrives som et overnormalt afkast ved udnyttelsen af fiskeressourcen i forhold til, hvad andre erhverv kan opnå i afkast. Det vil sige, hvor stort overskud fiskeriet har efter at have dækket fangstomkostninger, investeringen og et normalt afkast til ejeren.  </w:t>
                      </w:r>
                    </w:p>
                    <w:p w:rsidR="00736730" w:rsidRPr="001D0F13" w:rsidRDefault="00736730" w:rsidP="00736730">
                      <w:pPr>
                        <w:pStyle w:val="Kommentartekst"/>
                        <w:rPr>
                          <w:sz w:val="22"/>
                          <w:szCs w:val="22"/>
                        </w:rPr>
                      </w:pPr>
                      <w:r w:rsidRPr="001D0F13">
                        <w:rPr>
                          <w:sz w:val="22"/>
                          <w:szCs w:val="22"/>
                        </w:rPr>
                        <w:t xml:space="preserve">Ved udarbejdelsen af samfundsøkonomiske analyser om fiskeriet er der ofte fokus på at opnå størst mulig ressourcerente. Disse analyser inddrager sjældent spørgsmålet om, hvordan ressourcerenten fordeles mellem virksomheder, individer og det offentlige. </w:t>
                      </w:r>
                    </w:p>
                    <w:p w:rsidR="00736730" w:rsidRPr="001D0F13" w:rsidRDefault="00736730" w:rsidP="00736730">
                      <w:pPr>
                        <w:pStyle w:val="Kommentartekst"/>
                        <w:rPr>
                          <w:sz w:val="22"/>
                          <w:szCs w:val="22"/>
                        </w:rPr>
                      </w:pPr>
                      <w:r w:rsidRPr="001D0F13">
                        <w:rPr>
                          <w:sz w:val="22"/>
                          <w:szCs w:val="22"/>
                        </w:rPr>
                        <w:t xml:space="preserve">Størrelsen på ressourcerenten afhænger i høj grad af de anvendte fiskerireguleringssystemer, fiskeriforvaltningen og selve strukturen i fiskeriet. </w:t>
                      </w:r>
                    </w:p>
                    <w:p w:rsidR="00736730" w:rsidRPr="001D0F13" w:rsidRDefault="00736730" w:rsidP="00736730">
                      <w:pPr>
                        <w:pStyle w:val="Kommentartekst"/>
                        <w:rPr>
                          <w:sz w:val="22"/>
                          <w:szCs w:val="22"/>
                        </w:rPr>
                      </w:pPr>
                      <w:r w:rsidRPr="001D0F13">
                        <w:rPr>
                          <w:sz w:val="22"/>
                          <w:szCs w:val="22"/>
                        </w:rPr>
                        <w:t xml:space="preserve">Det kræver kontakter og kendskab til markedsforhold at opnå de bedste priser samt erfaring med virksomhedsdrift og fiskeri for at generere den højest mulige ressourcerente. En dygtig ledelse kan således bidrage til at hæve ressourcerenten yderligere. Det er eksempelvis meget risikofyldt og kapitaltungt at investere i et større fiskefartøj. At sikre et effektivt fiskerierhverv kræver en professionel ledelse af driften og et veluddannet personale, herunder veluddannede skibsofficerer og besætningsmedlemmer. </w:t>
                      </w:r>
                    </w:p>
                    <w:p w:rsidR="00736730" w:rsidRPr="001D0F13" w:rsidRDefault="00736730" w:rsidP="00736730">
                      <w:pPr>
                        <w:pStyle w:val="Kommentartekst"/>
                        <w:rPr>
                          <w:sz w:val="22"/>
                          <w:szCs w:val="22"/>
                        </w:rPr>
                      </w:pPr>
                      <w:r w:rsidRPr="001D0F13">
                        <w:rPr>
                          <w:sz w:val="22"/>
                          <w:szCs w:val="22"/>
                        </w:rPr>
                        <w:t>I alle tilfælde afhænger muligheden for at opnå overskud og ressourcerente af reguleringssystemet og forvaltningen.</w:t>
                      </w:r>
                    </w:p>
                    <w:p w:rsidR="00736730" w:rsidRPr="001D0F13" w:rsidRDefault="00736730" w:rsidP="00736730"/>
                  </w:txbxContent>
                </v:textbox>
                <w10:wrap type="square"/>
              </v:shape>
            </w:pict>
          </mc:Fallback>
        </mc:AlternateContent>
      </w:r>
    </w:p>
    <w:p w:rsidR="00736730" w:rsidRPr="00687680" w:rsidRDefault="00736730" w:rsidP="009B335E">
      <w:pPr>
        <w:ind w:left="360"/>
        <w:jc w:val="both"/>
        <w:rPr>
          <w:rFonts w:ascii="Times New Roman" w:eastAsiaTheme="minorHAnsi" w:hAnsi="Times New Roman"/>
        </w:rPr>
      </w:pPr>
    </w:p>
    <w:p w:rsidR="00552CD3" w:rsidRPr="00687680" w:rsidRDefault="00552CD3" w:rsidP="009B335E">
      <w:pPr>
        <w:ind w:left="360"/>
        <w:jc w:val="both"/>
        <w:rPr>
          <w:rFonts w:ascii="Times New Roman" w:eastAsiaTheme="minorHAnsi" w:hAnsi="Times New Roman"/>
          <w:b/>
        </w:rPr>
      </w:pPr>
      <w:r w:rsidRPr="00687680">
        <w:rPr>
          <w:rFonts w:ascii="Times New Roman" w:eastAsiaTheme="minorHAnsi" w:hAnsi="Times New Roman"/>
          <w:b/>
        </w:rPr>
        <w:t>Gode data om fiskeriet som fundament for forvaltning og indblik</w:t>
      </w:r>
    </w:p>
    <w:p w:rsidR="00552CD3" w:rsidRPr="00687680" w:rsidRDefault="00552CD3" w:rsidP="009B335E">
      <w:pPr>
        <w:ind w:left="360"/>
        <w:jc w:val="both"/>
        <w:rPr>
          <w:rFonts w:ascii="Times New Roman" w:eastAsiaTheme="minorHAnsi" w:hAnsi="Times New Roman"/>
        </w:rPr>
      </w:pPr>
      <w:r w:rsidRPr="00687680">
        <w:rPr>
          <w:rFonts w:ascii="Times New Roman" w:eastAsiaTheme="minorHAnsi" w:hAnsi="Times New Roman"/>
        </w:rPr>
        <w:t>Det er samtidig væsentligt, at der er gennemsigtighed i forhold til udnyttelsen af fiskeriressourcen</w:t>
      </w:r>
      <w:r w:rsidR="004A3D84" w:rsidRPr="00687680">
        <w:rPr>
          <w:rFonts w:ascii="Times New Roman" w:eastAsiaTheme="minorHAnsi" w:hAnsi="Times New Roman"/>
        </w:rPr>
        <w:t>,</w:t>
      </w:r>
      <w:r w:rsidRPr="00687680">
        <w:rPr>
          <w:rFonts w:ascii="Times New Roman" w:eastAsiaTheme="minorHAnsi" w:hAnsi="Times New Roman"/>
        </w:rPr>
        <w:t xml:space="preserve"> og at eventuelle ændringer sker på et velbelyst grundlag. Dette kræver, at der er adgang til relevante og pålidelige data, herunder for en dels vedkommende også tidstro data.</w:t>
      </w:r>
    </w:p>
    <w:p w:rsidR="00552CD3" w:rsidRPr="00687680" w:rsidRDefault="00552CD3" w:rsidP="009B335E">
      <w:pPr>
        <w:spacing w:after="120"/>
        <w:ind w:left="360"/>
        <w:jc w:val="both"/>
        <w:rPr>
          <w:rFonts w:ascii="Times New Roman" w:eastAsiaTheme="minorHAnsi" w:hAnsi="Times New Roman"/>
        </w:rPr>
      </w:pPr>
      <w:r w:rsidRPr="00687680">
        <w:rPr>
          <w:rFonts w:ascii="Times New Roman" w:eastAsiaTheme="minorHAnsi" w:hAnsi="Times New Roman"/>
        </w:rPr>
        <w:t>Grundlæggende kan der med fordel her skelnes mellem</w:t>
      </w:r>
      <w:r w:rsidR="007040F0" w:rsidRPr="00687680">
        <w:rPr>
          <w:rFonts w:ascii="Times New Roman" w:eastAsiaTheme="minorHAnsi" w:hAnsi="Times New Roman"/>
        </w:rPr>
        <w:t>:</w:t>
      </w:r>
      <w:r w:rsidRPr="00687680">
        <w:rPr>
          <w:rFonts w:ascii="Times New Roman" w:eastAsiaTheme="minorHAnsi" w:hAnsi="Times New Roman"/>
        </w:rPr>
        <w:t xml:space="preserve"> </w:t>
      </w:r>
    </w:p>
    <w:p w:rsidR="00552CD3" w:rsidRPr="00687680" w:rsidRDefault="00552CD3" w:rsidP="009B335E">
      <w:pPr>
        <w:numPr>
          <w:ilvl w:val="0"/>
          <w:numId w:val="38"/>
        </w:numPr>
        <w:spacing w:after="120"/>
        <w:contextualSpacing/>
        <w:jc w:val="both"/>
        <w:rPr>
          <w:rFonts w:ascii="Times New Roman" w:eastAsiaTheme="minorHAnsi" w:hAnsi="Times New Roman"/>
        </w:rPr>
      </w:pPr>
      <w:r w:rsidRPr="00687680">
        <w:rPr>
          <w:rFonts w:ascii="Times New Roman" w:eastAsiaTheme="minorHAnsi" w:hAnsi="Times New Roman"/>
        </w:rPr>
        <w:t xml:space="preserve">data til forvaltningsformål og </w:t>
      </w:r>
    </w:p>
    <w:p w:rsidR="009C03FA" w:rsidRPr="00687680" w:rsidRDefault="00552CD3" w:rsidP="00687680">
      <w:pPr>
        <w:numPr>
          <w:ilvl w:val="0"/>
          <w:numId w:val="38"/>
        </w:numPr>
        <w:spacing w:after="120"/>
        <w:contextualSpacing/>
        <w:jc w:val="both"/>
        <w:rPr>
          <w:rFonts w:ascii="Times New Roman" w:eastAsiaTheme="minorHAnsi" w:hAnsi="Times New Roman"/>
        </w:rPr>
      </w:pPr>
      <w:r w:rsidRPr="00687680">
        <w:rPr>
          <w:rFonts w:ascii="Times New Roman" w:eastAsiaTheme="minorHAnsi" w:hAnsi="Times New Roman"/>
        </w:rPr>
        <w:t>data, som offentligheden og dermed samfundet har adgang til.</w:t>
      </w:r>
    </w:p>
    <w:p w:rsidR="009C03FA" w:rsidRPr="00687680" w:rsidRDefault="009C03FA" w:rsidP="00687680">
      <w:pPr>
        <w:contextualSpacing/>
        <w:jc w:val="both"/>
        <w:rPr>
          <w:rFonts w:ascii="Times New Roman" w:eastAsiaTheme="minorHAnsi" w:hAnsi="Times New Roman"/>
        </w:rPr>
      </w:pPr>
    </w:p>
    <w:p w:rsidR="00552CD3" w:rsidRPr="00687680" w:rsidRDefault="00552CD3" w:rsidP="009B335E">
      <w:pPr>
        <w:numPr>
          <w:ilvl w:val="0"/>
          <w:numId w:val="37"/>
        </w:numPr>
        <w:spacing w:before="100" w:beforeAutospacing="1" w:after="100" w:afterAutospacing="1" w:line="240" w:lineRule="auto"/>
        <w:ind w:left="284"/>
        <w:jc w:val="both"/>
        <w:outlineLvl w:val="1"/>
        <w:rPr>
          <w:rFonts w:ascii="Times New Roman" w:eastAsia="Times New Roman" w:hAnsi="Times New Roman"/>
          <w:b/>
          <w:bCs/>
          <w:sz w:val="24"/>
          <w:szCs w:val="24"/>
          <w:lang w:eastAsia="da-DK"/>
        </w:rPr>
      </w:pPr>
      <w:r w:rsidRPr="00687680">
        <w:rPr>
          <w:rFonts w:ascii="Times New Roman" w:eastAsia="Times New Roman" w:hAnsi="Times New Roman"/>
          <w:b/>
          <w:bCs/>
          <w:sz w:val="24"/>
          <w:szCs w:val="24"/>
          <w:lang w:eastAsia="da-DK"/>
        </w:rPr>
        <w:t>Fiskeriets bidrag til den grønlandske økonomi</w:t>
      </w:r>
    </w:p>
    <w:p w:rsidR="00552CD3" w:rsidRPr="00687680" w:rsidRDefault="00552CD3" w:rsidP="009B335E">
      <w:pPr>
        <w:spacing w:before="100" w:beforeAutospacing="1" w:after="100" w:afterAutospacing="1"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Cs/>
          <w:lang w:eastAsia="da-DK"/>
        </w:rPr>
        <w:t>Eksporten af fisk og fiskeprodukter udgør hovedparten af indtjeningen fra udlandet igennem deres vareeksport. I 2017 eksporterede fiskererhvervet fiskeprodukter til en værdi 5,1 mia.kr.</w:t>
      </w:r>
      <w:r w:rsidR="004A3D84"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hvilket </w:t>
      </w:r>
      <w:r w:rsidR="004A3D84" w:rsidRPr="00687680">
        <w:rPr>
          <w:rFonts w:ascii="Times New Roman" w:eastAsia="Times New Roman" w:hAnsi="Times New Roman"/>
          <w:bCs/>
          <w:lang w:eastAsia="da-DK"/>
        </w:rPr>
        <w:t xml:space="preserve">svarer til </w:t>
      </w:r>
      <w:r w:rsidRPr="00687680">
        <w:rPr>
          <w:rFonts w:ascii="Times New Roman" w:eastAsia="Times New Roman" w:hAnsi="Times New Roman"/>
          <w:bCs/>
          <w:lang w:eastAsia="da-DK"/>
        </w:rPr>
        <w:t>ca. 91 pct. af den samlede vareeksport.</w:t>
      </w:r>
      <w:r w:rsidR="005B412F" w:rsidRPr="0075698C">
        <w:rPr>
          <w:rStyle w:val="Fodnotehenvisning"/>
          <w:rFonts w:ascii="Times New Roman" w:eastAsia="Times New Roman" w:hAnsi="Times New Roman"/>
          <w:bCs/>
          <w:lang w:eastAsia="da-DK"/>
        </w:rPr>
        <w:footnoteReference w:id="1"/>
      </w:r>
      <w:r w:rsidRPr="00687680">
        <w:rPr>
          <w:rFonts w:ascii="Times New Roman" w:eastAsia="Times New Roman" w:hAnsi="Times New Roman"/>
          <w:bCs/>
          <w:lang w:eastAsia="da-DK"/>
        </w:rPr>
        <w:t xml:space="preserve">  </w:t>
      </w:r>
      <w:r w:rsidR="004A3D84" w:rsidRPr="00687680">
        <w:rPr>
          <w:rFonts w:ascii="Times New Roman" w:eastAsia="Times New Roman" w:hAnsi="Times New Roman"/>
          <w:bCs/>
          <w:lang w:eastAsia="da-DK"/>
        </w:rPr>
        <w:t>D</w:t>
      </w:r>
      <w:r w:rsidRPr="00687680">
        <w:rPr>
          <w:rFonts w:ascii="Times New Roman" w:eastAsia="Times New Roman" w:hAnsi="Times New Roman"/>
          <w:bCs/>
          <w:lang w:eastAsia="da-DK"/>
        </w:rPr>
        <w:t xml:space="preserve">e vigtigste eksportprodukter er rejer, hellefisk og torsk. </w:t>
      </w:r>
    </w:p>
    <w:p w:rsidR="00552CD3" w:rsidRPr="00687680" w:rsidRDefault="00552CD3" w:rsidP="009B335E">
      <w:pPr>
        <w:spacing w:before="100" w:beforeAutospacing="1" w:after="100" w:afterAutospacing="1"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Cs/>
          <w:lang w:eastAsia="da-DK"/>
        </w:rPr>
        <w:lastRenderedPageBreak/>
        <w:t>Fiskerierhvervet har indvirkning en stor del af de lokale virksomheder gennem indkøb fra underleverandører, og når fiskerne og fabriksmedarbejderne bruger deres indtjening på forbrug. Det samlede fiskerierhverv estimeres at have stået for i omregnet af 23 pct. af bruttoværditilvæksten i Grønland i 2017.  Bruttoværditilvæksten kan for hele økonomien sammenlignes med BNP.  Det bemærkes dog</w:t>
      </w:r>
      <w:r w:rsidR="004A3D84"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at det er ikke muligt på grundlag af Grønlands Statistiks nationalregnskab at opgøre den præcise andel. Foruden denne direkte værdiskabelse giver fiskeriet anledning til flere typer afledte effekter i den øvrige økonomi. Det anslås</w:t>
      </w:r>
      <w:r w:rsidR="004A3D84"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at fiskerierhvervets samlede andel af BNP inkl. afledte effekter udgør mellem 23-30 pct.  </w:t>
      </w:r>
    </w:p>
    <w:p w:rsidR="00552CD3" w:rsidRPr="00687680" w:rsidRDefault="00552CD3" w:rsidP="009B335E">
      <w:pPr>
        <w:spacing w:before="100" w:beforeAutospacing="1" w:after="100" w:afterAutospacing="1"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Cs/>
          <w:lang w:eastAsia="da-DK"/>
        </w:rPr>
        <w:t xml:space="preserve">Den samlede økonomi i det grønlandske fiskerierhverv, eksklusiv økonomien hos selvstændig erhvervsdrivende fiskere, fremgår af figur </w:t>
      </w:r>
      <w:r w:rsidR="00274ACC" w:rsidRPr="00687680">
        <w:rPr>
          <w:rFonts w:ascii="Times New Roman" w:eastAsia="Times New Roman" w:hAnsi="Times New Roman"/>
          <w:bCs/>
          <w:lang w:eastAsia="da-DK"/>
        </w:rPr>
        <w:t>1</w:t>
      </w:r>
      <w:r w:rsidRPr="00687680">
        <w:rPr>
          <w:rFonts w:ascii="Times New Roman" w:eastAsia="Times New Roman" w:hAnsi="Times New Roman"/>
          <w:bCs/>
          <w:lang w:eastAsia="da-DK"/>
        </w:rPr>
        <w:t xml:space="preserve">. </w:t>
      </w:r>
    </w:p>
    <w:p w:rsidR="00552CD3" w:rsidRPr="00687680" w:rsidRDefault="00552CD3" w:rsidP="00687680">
      <w:pPr>
        <w:spacing w:after="0"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Cs/>
          <w:lang w:eastAsia="da-DK"/>
        </w:rPr>
        <w:t xml:space="preserve">Figur </w:t>
      </w:r>
      <w:r w:rsidR="00A90861" w:rsidRPr="00687680">
        <w:rPr>
          <w:rFonts w:ascii="Times New Roman" w:eastAsia="Times New Roman" w:hAnsi="Times New Roman"/>
          <w:bCs/>
          <w:lang w:eastAsia="da-DK"/>
        </w:rPr>
        <w:t>1</w:t>
      </w:r>
      <w:r w:rsidRPr="00687680">
        <w:rPr>
          <w:rFonts w:ascii="Times New Roman" w:eastAsia="Times New Roman" w:hAnsi="Times New Roman"/>
          <w:bCs/>
          <w:lang w:eastAsia="da-DK"/>
        </w:rPr>
        <w:t>: Den samlede økonomi i det grønlandske fiskerierhverv</w:t>
      </w:r>
      <w:r w:rsidR="00577477"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w:t>
      </w:r>
    </w:p>
    <w:p w:rsidR="00552CD3" w:rsidRPr="00687680" w:rsidRDefault="005B412F" w:rsidP="00687680">
      <w:pPr>
        <w:spacing w:after="0" w:line="240" w:lineRule="auto"/>
        <w:ind w:left="284"/>
        <w:jc w:val="both"/>
        <w:outlineLvl w:val="1"/>
        <w:rPr>
          <w:rFonts w:ascii="Times New Roman" w:eastAsia="Times New Roman" w:hAnsi="Times New Roman"/>
          <w:bCs/>
          <w:lang w:eastAsia="da-DK"/>
        </w:rPr>
      </w:pPr>
      <w:r w:rsidRPr="00687680">
        <w:rPr>
          <w:rFonts w:ascii="Times New Roman" w:hAnsi="Times New Roman"/>
          <w:noProof/>
          <w:lang w:eastAsia="da-DK"/>
        </w:rPr>
        <w:drawing>
          <wp:inline distT="0" distB="0" distL="0" distR="0" wp14:anchorId="0E1D8EAF" wp14:editId="1EF77E1B">
            <wp:extent cx="5400040" cy="3106420"/>
            <wp:effectExtent l="0" t="0" r="0" b="0"/>
            <wp:docPr id="10" name="Diagram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552CD3" w:rsidRPr="00687680" w:rsidRDefault="00552CD3" w:rsidP="00577477">
      <w:pPr>
        <w:spacing w:after="0" w:line="240" w:lineRule="auto"/>
        <w:ind w:left="284"/>
        <w:jc w:val="both"/>
        <w:outlineLvl w:val="1"/>
        <w:rPr>
          <w:rFonts w:ascii="Times New Roman" w:eastAsia="Times New Roman" w:hAnsi="Times New Roman"/>
          <w:bCs/>
          <w:i/>
          <w:sz w:val="20"/>
          <w:szCs w:val="20"/>
          <w:lang w:eastAsia="da-DK"/>
        </w:rPr>
      </w:pPr>
      <w:r w:rsidRPr="00687680">
        <w:rPr>
          <w:rFonts w:ascii="Times New Roman" w:eastAsia="Times New Roman" w:hAnsi="Times New Roman"/>
          <w:bCs/>
          <w:i/>
          <w:sz w:val="20"/>
          <w:szCs w:val="20"/>
          <w:lang w:eastAsia="da-DK"/>
        </w:rPr>
        <w:t>Kilde: Grønlands Statistik, regnskabsstatistik, årets priser. Året 2017 er det nyeste tilgængelige.</w:t>
      </w:r>
    </w:p>
    <w:p w:rsidR="00552CD3" w:rsidRPr="00687680" w:rsidRDefault="00552CD3" w:rsidP="00687680">
      <w:pPr>
        <w:spacing w:after="0" w:line="240" w:lineRule="auto"/>
        <w:ind w:left="284"/>
        <w:jc w:val="both"/>
        <w:outlineLvl w:val="1"/>
        <w:rPr>
          <w:rFonts w:ascii="Times New Roman" w:eastAsia="Times New Roman" w:hAnsi="Times New Roman"/>
          <w:bCs/>
          <w:i/>
          <w:sz w:val="20"/>
          <w:szCs w:val="20"/>
          <w:lang w:eastAsia="da-DK"/>
        </w:rPr>
      </w:pPr>
      <w:r w:rsidRPr="00687680">
        <w:rPr>
          <w:rFonts w:ascii="Times New Roman" w:eastAsia="Times New Roman" w:hAnsi="Times New Roman"/>
          <w:bCs/>
          <w:i/>
          <w:sz w:val="20"/>
          <w:szCs w:val="20"/>
          <w:lang w:eastAsia="da-DK"/>
        </w:rPr>
        <w:t xml:space="preserve">Note: Regnskabsstatistikken er kun for aktieselskaber, anpartsselskaber og udenlandske filialer. Omsætningen er bruttoomsætning hvor den er ikke konsolideret. Selvstændig erhvervsdrivende f.eks. jollefiskere er ikke omfattet af opgørelsen i figuren. </w:t>
      </w:r>
    </w:p>
    <w:p w:rsidR="00552CD3" w:rsidRPr="00687680" w:rsidRDefault="00552CD3" w:rsidP="00687680">
      <w:pPr>
        <w:spacing w:before="100" w:beforeAutospacing="1" w:after="100" w:afterAutospacing="1"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Cs/>
          <w:lang w:eastAsia="da-DK"/>
        </w:rPr>
        <w:t>Det er ikke muligt at opdele de regnskabsmæssige tal for erhvervet i økonomien fra henholdsvis fiskeriet og fiskeindustrien</w:t>
      </w:r>
      <w:r w:rsidR="004A3D84" w:rsidRPr="00687680">
        <w:rPr>
          <w:rFonts w:ascii="Times New Roman" w:eastAsia="Times New Roman" w:hAnsi="Times New Roman"/>
          <w:bCs/>
          <w:lang w:eastAsia="da-DK"/>
        </w:rPr>
        <w:t xml:space="preserve">, da </w:t>
      </w:r>
      <w:r w:rsidRPr="00687680">
        <w:rPr>
          <w:rFonts w:ascii="Times New Roman" w:eastAsia="Times New Roman" w:hAnsi="Times New Roman"/>
          <w:bCs/>
          <w:lang w:eastAsia="da-DK"/>
        </w:rPr>
        <w:t xml:space="preserve">nogle af virksomhederne har regnskaber med blandet drift. </w:t>
      </w:r>
    </w:p>
    <w:p w:rsidR="00552CD3" w:rsidRPr="00687680" w:rsidRDefault="00552CD3" w:rsidP="00687680">
      <w:pPr>
        <w:spacing w:before="100" w:beforeAutospacing="1" w:after="100" w:afterAutospacing="1"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Cs/>
          <w:lang w:eastAsia="da-DK"/>
        </w:rPr>
        <w:t xml:space="preserve">Det samlede driftsresultat (EBIT) i det grønlandske fiskerierhverv er steget meget i perioden 2009-2017. Året 2009 var en underskudsforretning </w:t>
      </w:r>
      <w:r w:rsidR="004A3D84" w:rsidRPr="00687680">
        <w:rPr>
          <w:rFonts w:ascii="Times New Roman" w:eastAsia="Times New Roman" w:hAnsi="Times New Roman"/>
          <w:bCs/>
          <w:lang w:eastAsia="da-DK"/>
        </w:rPr>
        <w:t xml:space="preserve">for </w:t>
      </w:r>
      <w:r w:rsidRPr="00687680">
        <w:rPr>
          <w:rFonts w:ascii="Times New Roman" w:eastAsia="Times New Roman" w:hAnsi="Times New Roman"/>
          <w:bCs/>
          <w:lang w:eastAsia="da-DK"/>
        </w:rPr>
        <w:t>fiskerierhvervet som helhed. I perioden 2010 til 2017 oplevede fiskerierhvervet en betydelig stigning i rentabiliteten</w:t>
      </w:r>
      <w:r w:rsidR="004A3D84"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hvor underskuddet i 2009 voksede til et overskud på ca. 800 mio.kr. i 2016. Trods et samlet fald i overskuddet til 600 mio.kr. i 2017</w:t>
      </w:r>
      <w:r w:rsidR="004A3D84"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er det stadig historisk højt. Årsagen til den markante forbedring i fiskerierhvervets samlede rentabilitet skyldes hovedsagligt god økonomi i det havgående fiskeri efter rejer og hellefisk</w:t>
      </w:r>
      <w:r w:rsidR="008F6E39" w:rsidRPr="00687680">
        <w:rPr>
          <w:rFonts w:ascii="Times New Roman" w:eastAsia="Times New Roman" w:hAnsi="Times New Roman"/>
          <w:bCs/>
          <w:lang w:eastAsia="da-DK"/>
        </w:rPr>
        <w:t>, bl</w:t>
      </w:r>
      <w:r w:rsidR="000E1FCF" w:rsidRPr="00687680">
        <w:rPr>
          <w:rFonts w:ascii="Times New Roman" w:eastAsia="Times New Roman" w:hAnsi="Times New Roman"/>
          <w:bCs/>
          <w:lang w:eastAsia="da-DK"/>
        </w:rPr>
        <w:t>a</w:t>
      </w:r>
      <w:r w:rsidR="008F6E39" w:rsidRPr="00687680">
        <w:rPr>
          <w:rFonts w:ascii="Times New Roman" w:eastAsia="Times New Roman" w:hAnsi="Times New Roman"/>
          <w:bCs/>
          <w:lang w:eastAsia="da-DK"/>
        </w:rPr>
        <w:t>ndt andet</w:t>
      </w:r>
      <w:r w:rsidR="000E1FCF" w:rsidRPr="00687680">
        <w:rPr>
          <w:rFonts w:ascii="Times New Roman" w:eastAsia="Times New Roman" w:hAnsi="Times New Roman"/>
          <w:bCs/>
          <w:lang w:eastAsia="da-DK"/>
        </w:rPr>
        <w:t xml:space="preserve"> p</w:t>
      </w:r>
      <w:r w:rsidR="008F6E39" w:rsidRPr="00687680">
        <w:rPr>
          <w:rFonts w:ascii="Times New Roman" w:eastAsia="Times New Roman" w:hAnsi="Times New Roman"/>
          <w:bCs/>
          <w:lang w:eastAsia="da-DK"/>
        </w:rPr>
        <w:t>å grund af</w:t>
      </w:r>
      <w:r w:rsidR="000E1FCF" w:rsidRPr="00687680">
        <w:rPr>
          <w:rFonts w:ascii="Times New Roman" w:eastAsia="Times New Roman" w:hAnsi="Times New Roman"/>
          <w:bCs/>
          <w:lang w:eastAsia="da-DK"/>
        </w:rPr>
        <w:t xml:space="preserve"> </w:t>
      </w:r>
      <w:r w:rsidRPr="00687680">
        <w:rPr>
          <w:rFonts w:ascii="Times New Roman" w:eastAsia="Times New Roman" w:hAnsi="Times New Roman"/>
          <w:bCs/>
          <w:lang w:eastAsia="da-DK"/>
        </w:rPr>
        <w:t xml:space="preserve">historiske høje eksportpriser på disse arter. </w:t>
      </w:r>
    </w:p>
    <w:p w:rsidR="00552CD3" w:rsidRPr="00687680" w:rsidRDefault="00552CD3" w:rsidP="00687680">
      <w:pPr>
        <w:spacing w:before="100" w:beforeAutospacing="1" w:after="100" w:afterAutospacing="1"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Cs/>
          <w:lang w:eastAsia="da-DK"/>
        </w:rPr>
        <w:t xml:space="preserve">Den samlede lønsum i fiskerierhvervet er steget markant i perioden 2009-2017. Den samlede lønsum i 2016 på ca. 1,7 mia.kr. er næsten fordobling af lønnen i forhold til 2009. </w:t>
      </w:r>
    </w:p>
    <w:p w:rsidR="00552CD3" w:rsidRPr="00687680" w:rsidRDefault="00552CD3" w:rsidP="00687680">
      <w:pPr>
        <w:spacing w:before="100" w:beforeAutospacing="1" w:after="100" w:afterAutospacing="1"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Cs/>
          <w:lang w:eastAsia="da-DK"/>
        </w:rPr>
        <w:lastRenderedPageBreak/>
        <w:t>Den samlede økonomi hos selvstændig erhvervsdrivende fiskere</w:t>
      </w:r>
      <w:r w:rsidR="000E1FCF"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som primært består af jollefiskere</w:t>
      </w:r>
      <w:r w:rsidR="000E1FCF"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er opgjort på grundlag af fiskerenes personlige årsopgørelser fra Skattestyrelsen, fremgår af figur </w:t>
      </w:r>
      <w:r w:rsidR="00A90861" w:rsidRPr="00687680">
        <w:rPr>
          <w:rFonts w:ascii="Times New Roman" w:eastAsia="Times New Roman" w:hAnsi="Times New Roman"/>
          <w:bCs/>
          <w:lang w:eastAsia="da-DK"/>
        </w:rPr>
        <w:t>2</w:t>
      </w:r>
      <w:r w:rsidRPr="00687680">
        <w:rPr>
          <w:rFonts w:ascii="Times New Roman" w:eastAsia="Times New Roman" w:hAnsi="Times New Roman"/>
          <w:bCs/>
          <w:lang w:eastAsia="da-DK"/>
        </w:rPr>
        <w:t xml:space="preserve">. </w:t>
      </w:r>
    </w:p>
    <w:p w:rsidR="00552CD3" w:rsidRPr="00687680" w:rsidRDefault="00552CD3" w:rsidP="00577477">
      <w:pPr>
        <w:spacing w:after="0"/>
        <w:ind w:firstLine="284"/>
        <w:jc w:val="both"/>
        <w:rPr>
          <w:rFonts w:ascii="Times New Roman" w:eastAsia="Times New Roman" w:hAnsi="Times New Roman"/>
          <w:bCs/>
          <w:lang w:eastAsia="da-DK"/>
        </w:rPr>
      </w:pPr>
      <w:r w:rsidRPr="00687680">
        <w:rPr>
          <w:rFonts w:ascii="Times New Roman" w:eastAsiaTheme="minorHAnsi" w:hAnsi="Times New Roman"/>
          <w:color w:val="000000" w:themeColor="text1"/>
        </w:rPr>
        <w:t xml:space="preserve">Figur </w:t>
      </w:r>
      <w:r w:rsidR="00A90861" w:rsidRPr="00687680">
        <w:rPr>
          <w:rFonts w:ascii="Times New Roman" w:eastAsiaTheme="minorHAnsi" w:hAnsi="Times New Roman"/>
          <w:color w:val="000000" w:themeColor="text1"/>
        </w:rPr>
        <w:t>2</w:t>
      </w:r>
      <w:r w:rsidRPr="00687680">
        <w:rPr>
          <w:rFonts w:ascii="Times New Roman" w:eastAsiaTheme="minorHAnsi" w:hAnsi="Times New Roman"/>
          <w:color w:val="000000" w:themeColor="text1"/>
        </w:rPr>
        <w:t>: Den samlede økonomi hos selvstændig erhvervsdrivende fiskere 2012-2017</w:t>
      </w:r>
      <w:r w:rsidR="00577477" w:rsidRPr="00687680">
        <w:rPr>
          <w:rFonts w:ascii="Times New Roman" w:eastAsiaTheme="minorHAnsi" w:hAnsi="Times New Roman"/>
          <w:color w:val="000000" w:themeColor="text1"/>
        </w:rPr>
        <w:t>.</w:t>
      </w:r>
    </w:p>
    <w:p w:rsidR="00552CD3" w:rsidRPr="00687680" w:rsidRDefault="00552CD3" w:rsidP="00687680">
      <w:pPr>
        <w:spacing w:before="100" w:beforeAutospacing="1" w:after="100" w:afterAutospacing="1"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
          <w:bCs/>
          <w:noProof/>
          <w:lang w:eastAsia="da-DK"/>
        </w:rPr>
        <w:drawing>
          <wp:inline distT="0" distB="0" distL="0" distR="0" wp14:anchorId="09ECDB76" wp14:editId="5EAC057F">
            <wp:extent cx="5094515" cy="2964180"/>
            <wp:effectExtent l="0" t="0" r="0" b="7620"/>
            <wp:docPr id="4" name="Diagram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52CD3" w:rsidRPr="00687680" w:rsidRDefault="00552CD3" w:rsidP="00577477">
      <w:pPr>
        <w:spacing w:after="0"/>
        <w:ind w:left="284"/>
        <w:jc w:val="both"/>
        <w:rPr>
          <w:rFonts w:ascii="Times New Roman" w:eastAsia="Times New Roman" w:hAnsi="Times New Roman"/>
          <w:bCs/>
          <w:i/>
          <w:sz w:val="20"/>
          <w:szCs w:val="20"/>
          <w:lang w:eastAsia="da-DK"/>
        </w:rPr>
      </w:pPr>
      <w:r w:rsidRPr="00687680">
        <w:rPr>
          <w:rFonts w:ascii="Times New Roman" w:eastAsia="Times New Roman" w:hAnsi="Times New Roman"/>
          <w:bCs/>
          <w:i/>
          <w:sz w:val="20"/>
          <w:szCs w:val="20"/>
          <w:lang w:eastAsia="da-DK"/>
        </w:rPr>
        <w:t xml:space="preserve">Kilde: Departementet for Finansers egne beregninger på grundlag af data fra Skattestyrelsen og GLFK. </w:t>
      </w:r>
    </w:p>
    <w:p w:rsidR="00552CD3" w:rsidRPr="00687680" w:rsidRDefault="00552CD3" w:rsidP="00687680">
      <w:pPr>
        <w:spacing w:before="100" w:beforeAutospacing="1" w:after="100" w:afterAutospacing="1"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Cs/>
          <w:lang w:eastAsia="da-DK"/>
        </w:rPr>
        <w:t>Den del af fiskeriet</w:t>
      </w:r>
      <w:r w:rsidR="000E1FCF"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som er selvstændigt erhvervsdr</w:t>
      </w:r>
      <w:r w:rsidR="000E1FCF" w:rsidRPr="00687680">
        <w:rPr>
          <w:rFonts w:ascii="Times New Roman" w:eastAsia="Times New Roman" w:hAnsi="Times New Roman"/>
          <w:bCs/>
          <w:lang w:eastAsia="da-DK"/>
        </w:rPr>
        <w:t>i</w:t>
      </w:r>
      <w:r w:rsidRPr="00687680">
        <w:rPr>
          <w:rFonts w:ascii="Times New Roman" w:eastAsia="Times New Roman" w:hAnsi="Times New Roman"/>
          <w:bCs/>
          <w:lang w:eastAsia="da-DK"/>
        </w:rPr>
        <w:t>vende</w:t>
      </w:r>
      <w:r w:rsidR="000E1FCF"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har tilsvarende oplevet en stigning i deres driftsresultat (EBIT). </w:t>
      </w:r>
      <w:r w:rsidR="000E1FCF" w:rsidRPr="00687680">
        <w:rPr>
          <w:rFonts w:ascii="Times New Roman" w:eastAsia="Times New Roman" w:hAnsi="Times New Roman"/>
          <w:bCs/>
          <w:lang w:eastAsia="da-DK"/>
        </w:rPr>
        <w:t>O</w:t>
      </w:r>
      <w:r w:rsidRPr="00687680">
        <w:rPr>
          <w:rFonts w:ascii="Times New Roman" w:eastAsia="Times New Roman" w:hAnsi="Times New Roman"/>
          <w:bCs/>
          <w:lang w:eastAsia="da-DK"/>
        </w:rPr>
        <w:t xml:space="preserve">verskuddet i den del af fiskeriet </w:t>
      </w:r>
      <w:r w:rsidR="000E1FCF" w:rsidRPr="00687680">
        <w:rPr>
          <w:rFonts w:ascii="Times New Roman" w:eastAsia="Times New Roman" w:hAnsi="Times New Roman"/>
          <w:bCs/>
          <w:lang w:eastAsia="da-DK"/>
        </w:rPr>
        <w:t xml:space="preserve">er i 2016 </w:t>
      </w:r>
      <w:r w:rsidRPr="00687680">
        <w:rPr>
          <w:rFonts w:ascii="Times New Roman" w:eastAsia="Times New Roman" w:hAnsi="Times New Roman"/>
          <w:bCs/>
          <w:lang w:eastAsia="da-DK"/>
        </w:rPr>
        <w:t>vokset til ca. 490 mio.kr. fra ca. 250 mio.kr. i 2012 svarende til 96 pct.  Overskuddet faldt dog med ca. 100 mio.kr. i 2017 i forhold til 2016. Årsagen til forbedringen i fiskeriet</w:t>
      </w:r>
      <w:r w:rsidR="000E1FCF" w:rsidRPr="00687680">
        <w:rPr>
          <w:rFonts w:ascii="Times New Roman" w:eastAsia="Times New Roman" w:hAnsi="Times New Roman"/>
          <w:bCs/>
          <w:lang w:eastAsia="da-DK"/>
        </w:rPr>
        <w:t>s</w:t>
      </w:r>
      <w:r w:rsidRPr="00687680">
        <w:rPr>
          <w:rFonts w:ascii="Times New Roman" w:eastAsia="Times New Roman" w:hAnsi="Times New Roman"/>
          <w:bCs/>
          <w:lang w:eastAsia="da-DK"/>
        </w:rPr>
        <w:t xml:space="preserve"> samle</w:t>
      </w:r>
      <w:r w:rsidR="000E1FCF" w:rsidRPr="00687680">
        <w:rPr>
          <w:rFonts w:ascii="Times New Roman" w:eastAsia="Times New Roman" w:hAnsi="Times New Roman"/>
          <w:bCs/>
          <w:lang w:eastAsia="da-DK"/>
        </w:rPr>
        <w:t>de</w:t>
      </w:r>
      <w:r w:rsidRPr="00687680">
        <w:rPr>
          <w:rFonts w:ascii="Times New Roman" w:eastAsia="Times New Roman" w:hAnsi="Times New Roman"/>
          <w:bCs/>
          <w:lang w:eastAsia="da-DK"/>
        </w:rPr>
        <w:t xml:space="preserve"> rentabilitet </w:t>
      </w:r>
      <w:r w:rsidR="000E1FCF" w:rsidRPr="00687680">
        <w:rPr>
          <w:rFonts w:ascii="Times New Roman" w:eastAsia="Times New Roman" w:hAnsi="Times New Roman"/>
          <w:bCs/>
          <w:lang w:eastAsia="da-DK"/>
        </w:rPr>
        <w:t>skyldes bla</w:t>
      </w:r>
      <w:r w:rsidR="008F6E39" w:rsidRPr="00687680">
        <w:rPr>
          <w:rFonts w:ascii="Times New Roman" w:eastAsia="Times New Roman" w:hAnsi="Times New Roman"/>
          <w:bCs/>
          <w:lang w:eastAsia="da-DK"/>
        </w:rPr>
        <w:t>ndet andet</w:t>
      </w:r>
      <w:r w:rsidR="000E1FCF" w:rsidRPr="00687680">
        <w:rPr>
          <w:rFonts w:ascii="Times New Roman" w:eastAsia="Times New Roman" w:hAnsi="Times New Roman"/>
          <w:bCs/>
          <w:lang w:eastAsia="da-DK"/>
        </w:rPr>
        <w:t xml:space="preserve">. </w:t>
      </w:r>
      <w:r w:rsidRPr="00687680">
        <w:rPr>
          <w:rFonts w:ascii="Times New Roman" w:eastAsia="Times New Roman" w:hAnsi="Times New Roman"/>
          <w:bCs/>
          <w:lang w:eastAsia="da-DK"/>
        </w:rPr>
        <w:t xml:space="preserve"> høje indhandlingspriser på hellefisk. Fordi hele driftsresultatet tilfalder fiskeren</w:t>
      </w:r>
      <w:r w:rsidR="000E1FCF"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kan det sidestilles med lønsummen i resten af fiskerierhvervet. </w:t>
      </w:r>
    </w:p>
    <w:p w:rsidR="00552CD3" w:rsidRPr="00687680" w:rsidRDefault="00552CD3" w:rsidP="00687680">
      <w:pPr>
        <w:spacing w:before="100" w:beforeAutospacing="1" w:after="100" w:afterAutospacing="1"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Cs/>
          <w:lang w:eastAsia="da-DK"/>
        </w:rPr>
        <w:t>Summeres økonomien i figur 4 og 5</w:t>
      </w:r>
      <w:r w:rsidR="003977C5"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har det samlede fiskerierhverv opnået et samlet overskud på ca. 1 mia.kr. i 2017 og aflønnet besætningsmedlemmer og fiskere med i alt ca. 2 mia.kr.</w:t>
      </w:r>
    </w:p>
    <w:p w:rsidR="00736730" w:rsidRPr="00687680" w:rsidRDefault="00736730" w:rsidP="00687680">
      <w:pPr>
        <w:spacing w:before="100" w:beforeAutospacing="1" w:after="100" w:afterAutospacing="1" w:line="240" w:lineRule="auto"/>
        <w:ind w:left="284"/>
        <w:jc w:val="both"/>
        <w:outlineLvl w:val="1"/>
        <w:rPr>
          <w:rFonts w:ascii="Times New Roman" w:eastAsia="Times New Roman" w:hAnsi="Times New Roman"/>
          <w:bCs/>
          <w:lang w:eastAsia="da-DK"/>
        </w:rPr>
      </w:pPr>
    </w:p>
    <w:p w:rsidR="00552CD3" w:rsidRPr="00687680" w:rsidRDefault="00552CD3" w:rsidP="00687680">
      <w:pPr>
        <w:spacing w:before="100" w:beforeAutospacing="1" w:after="100" w:afterAutospacing="1"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Cs/>
          <w:lang w:eastAsia="da-DK"/>
        </w:rPr>
        <w:t>Udviklingen i økonomien i fiskeriet har stor betydning for de offentlige indtægter både gennem person-, udbytte</w:t>
      </w:r>
      <w:r w:rsidR="003977C5"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og selskabsskatter</w:t>
      </w:r>
      <w:r w:rsidR="003977C5"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men også </w:t>
      </w:r>
      <w:r w:rsidR="003977C5" w:rsidRPr="00687680">
        <w:rPr>
          <w:rFonts w:ascii="Times New Roman" w:eastAsia="Times New Roman" w:hAnsi="Times New Roman"/>
          <w:bCs/>
          <w:lang w:eastAsia="da-DK"/>
        </w:rPr>
        <w:t>p</w:t>
      </w:r>
      <w:r w:rsidR="008F6E39" w:rsidRPr="00687680">
        <w:rPr>
          <w:rFonts w:ascii="Times New Roman" w:eastAsia="Times New Roman" w:hAnsi="Times New Roman"/>
          <w:bCs/>
          <w:lang w:eastAsia="da-DK"/>
        </w:rPr>
        <w:t>å grund af</w:t>
      </w:r>
      <w:r w:rsidR="003977C5" w:rsidRPr="00687680">
        <w:rPr>
          <w:rFonts w:ascii="Times New Roman" w:eastAsia="Times New Roman" w:hAnsi="Times New Roman"/>
          <w:bCs/>
          <w:lang w:eastAsia="da-DK"/>
        </w:rPr>
        <w:t xml:space="preserve"> </w:t>
      </w:r>
      <w:r w:rsidR="00FD6ED5" w:rsidRPr="00687680">
        <w:rPr>
          <w:rFonts w:ascii="Times New Roman" w:eastAsia="Times New Roman" w:hAnsi="Times New Roman"/>
          <w:bCs/>
          <w:lang w:eastAsia="da-DK"/>
        </w:rPr>
        <w:t>ressourcerenteafgifter</w:t>
      </w:r>
      <w:r w:rsidRPr="00687680">
        <w:rPr>
          <w:rFonts w:ascii="Times New Roman" w:eastAsia="Times New Roman" w:hAnsi="Times New Roman"/>
          <w:bCs/>
          <w:lang w:eastAsia="da-DK"/>
        </w:rPr>
        <w:t xml:space="preserve">ne. </w:t>
      </w:r>
      <w:r w:rsidR="00FD6ED5" w:rsidRPr="00687680">
        <w:rPr>
          <w:rFonts w:ascii="Times New Roman" w:eastAsia="Times New Roman" w:hAnsi="Times New Roman"/>
          <w:bCs/>
          <w:lang w:eastAsia="da-DK"/>
        </w:rPr>
        <w:t>Ressourcerenteafgifter</w:t>
      </w:r>
      <w:r w:rsidRPr="00687680">
        <w:rPr>
          <w:rFonts w:ascii="Times New Roman" w:eastAsia="Times New Roman" w:hAnsi="Times New Roman"/>
          <w:bCs/>
          <w:lang w:eastAsia="da-DK"/>
        </w:rPr>
        <w:t xml:space="preserve"> medvirker til at sikre samfundet et afkast af udnyttelsen af de fælles fiskeressourcer. Stigende rentabilitet i særligt det havgående fiskeri på grund af høje priser og højere fangstmængder har i de senere år betydet, at </w:t>
      </w:r>
      <w:r w:rsidR="00FD6ED5" w:rsidRPr="00687680">
        <w:rPr>
          <w:rFonts w:ascii="Times New Roman" w:eastAsia="Times New Roman" w:hAnsi="Times New Roman"/>
          <w:bCs/>
          <w:lang w:eastAsia="da-DK"/>
        </w:rPr>
        <w:t>ressourcerenteafgifter</w:t>
      </w:r>
      <w:r w:rsidRPr="00687680">
        <w:rPr>
          <w:rFonts w:ascii="Times New Roman" w:eastAsia="Times New Roman" w:hAnsi="Times New Roman"/>
          <w:bCs/>
          <w:lang w:eastAsia="da-DK"/>
        </w:rPr>
        <w:t xml:space="preserve">ne fylder stadigt mere som indtægtskilde for det offentlige. </w:t>
      </w:r>
    </w:p>
    <w:p w:rsidR="00552CD3" w:rsidRPr="00687680" w:rsidRDefault="00552CD3" w:rsidP="00687680">
      <w:pPr>
        <w:spacing w:before="100" w:beforeAutospacing="1" w:after="100" w:afterAutospacing="1" w:line="240" w:lineRule="auto"/>
        <w:ind w:left="284"/>
        <w:jc w:val="both"/>
        <w:outlineLvl w:val="1"/>
        <w:rPr>
          <w:rFonts w:ascii="Times New Roman" w:eastAsia="Times New Roman" w:hAnsi="Times New Roman"/>
          <w:bCs/>
          <w:lang w:eastAsia="da-DK"/>
        </w:rPr>
      </w:pPr>
      <w:r w:rsidRPr="00687680">
        <w:rPr>
          <w:rFonts w:ascii="Times New Roman" w:eastAsia="Times New Roman" w:hAnsi="Times New Roman"/>
          <w:bCs/>
          <w:lang w:eastAsia="da-DK"/>
        </w:rPr>
        <w:t xml:space="preserve">I 2018 var provenuet fra </w:t>
      </w:r>
      <w:r w:rsidR="00FD6ED5" w:rsidRPr="00687680">
        <w:rPr>
          <w:rFonts w:ascii="Times New Roman" w:eastAsia="Times New Roman" w:hAnsi="Times New Roman"/>
          <w:bCs/>
          <w:lang w:eastAsia="da-DK"/>
        </w:rPr>
        <w:t>ressourcerenteafgifter</w:t>
      </w:r>
      <w:r w:rsidRPr="00687680">
        <w:rPr>
          <w:rFonts w:ascii="Times New Roman" w:eastAsia="Times New Roman" w:hAnsi="Times New Roman"/>
          <w:bCs/>
          <w:lang w:eastAsia="da-DK"/>
        </w:rPr>
        <w:t xml:space="preserve">ne på 426 mio.kr. mod 49.000 kr. i 2005. I 2018 udgjorte afgiftsprovenuet fra rejer alene omkring 62 pct. I perioden 2014 til 2018 fremgår det af figur </w:t>
      </w:r>
      <w:r w:rsidR="00A90861" w:rsidRPr="00687680">
        <w:rPr>
          <w:rFonts w:ascii="Times New Roman" w:eastAsia="Times New Roman" w:hAnsi="Times New Roman"/>
          <w:bCs/>
          <w:lang w:eastAsia="da-DK"/>
        </w:rPr>
        <w:t>3</w:t>
      </w:r>
      <w:r w:rsidR="003977C5" w:rsidRPr="00687680">
        <w:rPr>
          <w:rFonts w:ascii="Times New Roman" w:eastAsia="Times New Roman" w:hAnsi="Times New Roman"/>
          <w:bCs/>
          <w:lang w:eastAsia="da-DK"/>
        </w:rPr>
        <w:t>,</w:t>
      </w:r>
      <w:r w:rsidRPr="00687680">
        <w:rPr>
          <w:rFonts w:ascii="Times New Roman" w:eastAsia="Times New Roman" w:hAnsi="Times New Roman"/>
          <w:bCs/>
          <w:lang w:eastAsia="da-DK"/>
        </w:rPr>
        <w:t xml:space="preserve"> at de offentlige indtægter fra skatter og </w:t>
      </w:r>
      <w:r w:rsidR="00FD6ED5" w:rsidRPr="00687680">
        <w:rPr>
          <w:rFonts w:ascii="Times New Roman" w:eastAsia="Times New Roman" w:hAnsi="Times New Roman"/>
          <w:bCs/>
          <w:lang w:eastAsia="da-DK"/>
        </w:rPr>
        <w:t>ressourcerenteafgifter</w:t>
      </w:r>
      <w:r w:rsidRPr="00687680">
        <w:rPr>
          <w:rFonts w:ascii="Times New Roman" w:eastAsia="Times New Roman" w:hAnsi="Times New Roman"/>
          <w:bCs/>
          <w:lang w:eastAsia="da-DK"/>
        </w:rPr>
        <w:t xml:space="preserve"> </w:t>
      </w:r>
      <w:r w:rsidR="003977C5" w:rsidRPr="00687680">
        <w:rPr>
          <w:rFonts w:ascii="Times New Roman" w:eastAsia="Times New Roman" w:hAnsi="Times New Roman"/>
          <w:bCs/>
          <w:lang w:eastAsia="da-DK"/>
        </w:rPr>
        <w:t>er</w:t>
      </w:r>
      <w:r w:rsidRPr="00687680">
        <w:rPr>
          <w:rFonts w:ascii="Times New Roman" w:eastAsia="Times New Roman" w:hAnsi="Times New Roman"/>
          <w:bCs/>
          <w:lang w:eastAsia="da-DK"/>
        </w:rPr>
        <w:t xml:space="preserve"> steget med over 400 mio.kr. svarende til en stigning på 45 pct.</w:t>
      </w:r>
    </w:p>
    <w:p w:rsidR="00552CD3" w:rsidRPr="00687680" w:rsidRDefault="00552CD3" w:rsidP="00687680">
      <w:pPr>
        <w:spacing w:before="100" w:beforeAutospacing="1" w:after="100" w:afterAutospacing="1" w:line="240" w:lineRule="auto"/>
        <w:ind w:left="284"/>
        <w:outlineLvl w:val="1"/>
        <w:rPr>
          <w:rFonts w:ascii="Times New Roman" w:eastAsia="Times New Roman" w:hAnsi="Times New Roman"/>
          <w:bCs/>
          <w:lang w:eastAsia="da-DK"/>
        </w:rPr>
      </w:pPr>
      <w:r w:rsidRPr="00687680">
        <w:rPr>
          <w:rFonts w:ascii="Times New Roman" w:eastAsia="Times New Roman" w:hAnsi="Times New Roman"/>
          <w:bCs/>
          <w:lang w:eastAsia="da-DK"/>
        </w:rPr>
        <w:lastRenderedPageBreak/>
        <w:t xml:space="preserve">Figur </w:t>
      </w:r>
      <w:r w:rsidR="00A90861" w:rsidRPr="00687680">
        <w:rPr>
          <w:rFonts w:ascii="Times New Roman" w:eastAsia="Times New Roman" w:hAnsi="Times New Roman"/>
          <w:bCs/>
          <w:lang w:eastAsia="da-DK"/>
        </w:rPr>
        <w:t>3</w:t>
      </w:r>
      <w:r w:rsidRPr="00687680">
        <w:rPr>
          <w:rFonts w:ascii="Times New Roman" w:eastAsia="Times New Roman" w:hAnsi="Times New Roman"/>
          <w:bCs/>
          <w:lang w:eastAsia="da-DK"/>
        </w:rPr>
        <w:t xml:space="preserve">: Offentlige indtægter fra skatter og </w:t>
      </w:r>
      <w:r w:rsidR="00FD6ED5" w:rsidRPr="00687680">
        <w:rPr>
          <w:rFonts w:ascii="Times New Roman" w:eastAsia="Times New Roman" w:hAnsi="Times New Roman"/>
          <w:bCs/>
          <w:lang w:eastAsia="da-DK"/>
        </w:rPr>
        <w:t>ressourcerenteafgifter</w:t>
      </w:r>
      <w:r w:rsidR="00687680">
        <w:rPr>
          <w:rFonts w:ascii="Times New Roman" w:eastAsia="Times New Roman" w:hAnsi="Times New Roman"/>
          <w:bCs/>
          <w:lang w:eastAsia="da-DK"/>
        </w:rPr>
        <w:t xml:space="preserve"> på fiskerierhvervet, </w:t>
      </w:r>
      <w:r w:rsidRPr="00687680">
        <w:rPr>
          <w:rFonts w:ascii="Times New Roman" w:eastAsia="Times New Roman" w:hAnsi="Times New Roman"/>
          <w:bCs/>
          <w:lang w:eastAsia="da-DK"/>
        </w:rPr>
        <w:t>2014-2018</w:t>
      </w:r>
      <w:r w:rsidR="00FD6ED5" w:rsidRPr="00687680">
        <w:rPr>
          <w:rFonts w:ascii="Times New Roman" w:hAnsi="Times New Roman"/>
          <w:noProof/>
          <w:lang w:eastAsia="da-DK"/>
        </w:rPr>
        <w:t xml:space="preserve"> </w:t>
      </w:r>
      <w:r w:rsidR="00FD6ED5" w:rsidRPr="00687680">
        <w:rPr>
          <w:rFonts w:ascii="Times New Roman" w:hAnsi="Times New Roman"/>
          <w:noProof/>
          <w:lang w:eastAsia="da-DK"/>
        </w:rPr>
        <w:drawing>
          <wp:inline distT="0" distB="0" distL="0" distR="0" wp14:anchorId="6AC0FC37" wp14:editId="0898C76A">
            <wp:extent cx="5400040" cy="3783330"/>
            <wp:effectExtent l="0" t="0" r="10160" b="7620"/>
            <wp:docPr id="6" name="Diagram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687680">
        <w:rPr>
          <w:rFonts w:ascii="Times New Roman" w:eastAsia="Times New Roman" w:hAnsi="Times New Roman"/>
          <w:bCs/>
          <w:lang w:eastAsia="da-DK"/>
        </w:rPr>
        <w:t>.</w:t>
      </w:r>
    </w:p>
    <w:p w:rsidR="00552CD3" w:rsidRPr="00687680" w:rsidRDefault="00552CD3" w:rsidP="00687680">
      <w:pPr>
        <w:spacing w:before="100" w:beforeAutospacing="1" w:after="100" w:afterAutospacing="1" w:line="240" w:lineRule="auto"/>
        <w:ind w:left="284"/>
        <w:jc w:val="both"/>
        <w:outlineLvl w:val="1"/>
        <w:rPr>
          <w:rFonts w:ascii="Times New Roman" w:eastAsia="Times New Roman" w:hAnsi="Times New Roman"/>
          <w:bCs/>
          <w:lang w:eastAsia="da-DK"/>
        </w:rPr>
      </w:pPr>
    </w:p>
    <w:p w:rsidR="009C03FA" w:rsidRPr="00687680" w:rsidRDefault="00552CD3" w:rsidP="00687680">
      <w:pPr>
        <w:spacing w:before="100" w:beforeAutospacing="1" w:after="100" w:afterAutospacing="1" w:line="240" w:lineRule="auto"/>
        <w:ind w:left="284"/>
        <w:jc w:val="both"/>
        <w:outlineLvl w:val="1"/>
        <w:rPr>
          <w:rFonts w:ascii="Times New Roman" w:eastAsia="Times New Roman" w:hAnsi="Times New Roman"/>
          <w:bCs/>
          <w:i/>
          <w:lang w:eastAsia="da-DK"/>
        </w:rPr>
      </w:pPr>
      <w:r w:rsidRPr="00687680">
        <w:rPr>
          <w:rFonts w:ascii="Times New Roman" w:eastAsia="Times New Roman" w:hAnsi="Times New Roman"/>
          <w:bCs/>
          <w:i/>
          <w:sz w:val="20"/>
          <w:szCs w:val="20"/>
          <w:lang w:eastAsia="da-DK"/>
        </w:rPr>
        <w:t>Kilde: Skattestyrelsen, Grønlands Statistik og Departementet for Finanser og Skatters egne beregninger. Beregnet provenu for A-skatter fra selvstændig erhvervsdrivende del af fiskeriet.</w:t>
      </w:r>
      <w:r w:rsidR="006F2B23" w:rsidRPr="00687680">
        <w:rPr>
          <w:rFonts w:ascii="Times New Roman" w:eastAsia="Times New Roman" w:hAnsi="Times New Roman"/>
          <w:bCs/>
          <w:i/>
          <w:sz w:val="20"/>
          <w:szCs w:val="20"/>
          <w:lang w:eastAsia="da-DK"/>
        </w:rPr>
        <w:t xml:space="preserve"> </w:t>
      </w:r>
      <w:r w:rsidR="006F2B23" w:rsidRPr="00687680">
        <w:rPr>
          <w:rFonts w:ascii="Times New Roman" w:hAnsi="Times New Roman"/>
          <w:i/>
          <w:sz w:val="20"/>
          <w:szCs w:val="20"/>
        </w:rPr>
        <w:t>Det samlede provenu fra personskatter består af beskatning af indkomster fra både fiskere og fabriksmedarbejdere.</w:t>
      </w:r>
    </w:p>
    <w:p w:rsidR="00552CD3" w:rsidRPr="00687680" w:rsidRDefault="00552CD3" w:rsidP="00687680">
      <w:pPr>
        <w:numPr>
          <w:ilvl w:val="0"/>
          <w:numId w:val="37"/>
        </w:numPr>
        <w:spacing w:before="100" w:beforeAutospacing="1" w:after="100" w:afterAutospacing="1" w:line="240" w:lineRule="auto"/>
        <w:ind w:left="284"/>
        <w:jc w:val="both"/>
        <w:outlineLvl w:val="1"/>
        <w:rPr>
          <w:rFonts w:ascii="Times New Roman" w:eastAsia="Times New Roman" w:hAnsi="Times New Roman"/>
          <w:b/>
          <w:bCs/>
          <w:sz w:val="24"/>
          <w:szCs w:val="24"/>
          <w:lang w:eastAsia="da-DK"/>
        </w:rPr>
      </w:pPr>
      <w:r w:rsidRPr="00687680">
        <w:rPr>
          <w:rFonts w:ascii="Times New Roman" w:eastAsia="Times New Roman" w:hAnsi="Times New Roman"/>
          <w:b/>
          <w:bCs/>
          <w:sz w:val="24"/>
          <w:szCs w:val="24"/>
          <w:lang w:eastAsia="da-DK"/>
        </w:rPr>
        <w:t xml:space="preserve">Udnyttelse af fiskeressourcen </w:t>
      </w:r>
    </w:p>
    <w:p w:rsidR="00552CD3" w:rsidRPr="00687680" w:rsidRDefault="00552CD3" w:rsidP="00577477">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 xml:space="preserve">Det grønlandske fiskeri er reguleret igennem kvoter og licenser. Ifølge lov bekendtgøres </w:t>
      </w:r>
      <w:r w:rsidR="00A07266" w:rsidRPr="00687680">
        <w:rPr>
          <w:rFonts w:ascii="Times New Roman" w:eastAsiaTheme="minorHAnsi" w:hAnsi="Times New Roman"/>
          <w:color w:val="000000" w:themeColor="text1"/>
        </w:rPr>
        <w:t xml:space="preserve">i </w:t>
      </w:r>
      <w:r w:rsidRPr="00687680">
        <w:rPr>
          <w:rFonts w:ascii="Times New Roman" w:eastAsiaTheme="minorHAnsi" w:hAnsi="Times New Roman"/>
          <w:color w:val="000000" w:themeColor="text1"/>
        </w:rPr>
        <w:t>licensen for hver enkelt ejer eller selskab, hvilke arter pågældende licensholder må fiske, med hvilke fartøjer</w:t>
      </w:r>
      <w:r w:rsidR="00A07266" w:rsidRPr="00687680">
        <w:rPr>
          <w:rFonts w:ascii="Times New Roman" w:eastAsiaTheme="minorHAnsi" w:hAnsi="Times New Roman"/>
          <w:color w:val="000000" w:themeColor="text1"/>
        </w:rPr>
        <w:t>,</w:t>
      </w:r>
      <w:r w:rsidRPr="00687680">
        <w:rPr>
          <w:rFonts w:ascii="Times New Roman" w:eastAsiaTheme="minorHAnsi" w:hAnsi="Times New Roman"/>
          <w:color w:val="000000" w:themeColor="text1"/>
        </w:rPr>
        <w:t xml:space="preserve"> og i hvilke territorium fiskeriet må finde sted samt nærmere betingelser for fiskeriet. </w:t>
      </w:r>
    </w:p>
    <w:p w:rsidR="00552CD3" w:rsidRPr="00687680" w:rsidRDefault="00552CD3">
      <w:pPr>
        <w:spacing w:after="0"/>
        <w:jc w:val="both"/>
        <w:rPr>
          <w:rFonts w:ascii="Times New Roman" w:eastAsiaTheme="minorHAnsi" w:hAnsi="Times New Roman"/>
          <w:color w:val="000000" w:themeColor="text1"/>
        </w:rPr>
      </w:pPr>
    </w:p>
    <w:p w:rsidR="00552CD3" w:rsidRPr="00687680" w:rsidRDefault="00552CD3">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Erhvervsfiskeriet ved Grønland deles op i det havgående fiskeri og det kystnære fiskeri, som betegnes henholdsvis som udenskærs- og indenskærsfiskeri. Skelnen er baseret på både afstand fra kysten-3 sømil uden for fiskeriterritoriets basislinje, og fartøjsstørrelse</w:t>
      </w:r>
      <w:r w:rsidR="00A07266" w:rsidRPr="00687680">
        <w:rPr>
          <w:rFonts w:ascii="Times New Roman" w:eastAsiaTheme="minorHAnsi" w:hAnsi="Times New Roman"/>
          <w:color w:val="000000" w:themeColor="text1"/>
        </w:rPr>
        <w:t xml:space="preserve"> </w:t>
      </w:r>
      <w:r w:rsidRPr="00687680">
        <w:rPr>
          <w:rFonts w:ascii="Times New Roman" w:eastAsiaTheme="minorHAnsi" w:hAnsi="Times New Roman"/>
          <w:color w:val="000000" w:themeColor="text1"/>
        </w:rPr>
        <w:t>-</w:t>
      </w:r>
      <w:r w:rsidR="00A07266" w:rsidRPr="00687680">
        <w:rPr>
          <w:rFonts w:ascii="Times New Roman" w:eastAsiaTheme="minorHAnsi" w:hAnsi="Times New Roman"/>
          <w:color w:val="000000" w:themeColor="text1"/>
        </w:rPr>
        <w:t xml:space="preserve"> </w:t>
      </w:r>
      <w:r w:rsidRPr="00687680">
        <w:rPr>
          <w:rFonts w:ascii="Times New Roman" w:eastAsiaTheme="minorHAnsi" w:hAnsi="Times New Roman"/>
          <w:color w:val="000000" w:themeColor="text1"/>
        </w:rPr>
        <w:t>over eller under 75 BRT/120 BT. Større fartøjer skal fiske uden for en zone, som er tre sømil fra kysten</w:t>
      </w:r>
      <w:r w:rsidR="00A07266" w:rsidRPr="00687680">
        <w:rPr>
          <w:rFonts w:ascii="Times New Roman" w:eastAsiaTheme="minorHAnsi" w:hAnsi="Times New Roman"/>
          <w:color w:val="000000" w:themeColor="text1"/>
        </w:rPr>
        <w:t>,</w:t>
      </w:r>
      <w:r w:rsidRPr="00687680">
        <w:rPr>
          <w:rFonts w:ascii="Times New Roman" w:eastAsiaTheme="minorHAnsi" w:hAnsi="Times New Roman"/>
          <w:color w:val="000000" w:themeColor="text1"/>
        </w:rPr>
        <w:t xml:space="preserve"> og mindre fartøjer kan fiske inden for tre sømilegrænsen.</w:t>
      </w:r>
    </w:p>
    <w:p w:rsidR="00552CD3" w:rsidRPr="00687680" w:rsidRDefault="00552CD3">
      <w:pPr>
        <w:spacing w:after="0"/>
        <w:jc w:val="both"/>
        <w:rPr>
          <w:rFonts w:ascii="Times New Roman" w:eastAsiaTheme="minorHAnsi" w:hAnsi="Times New Roman"/>
          <w:color w:val="000000" w:themeColor="text1"/>
        </w:rPr>
      </w:pPr>
    </w:p>
    <w:p w:rsidR="00552CD3" w:rsidRPr="00687680" w:rsidRDefault="00552CD3">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Alle arter, der fiskes på, er betinget af</w:t>
      </w:r>
      <w:r w:rsidR="00A07266" w:rsidRPr="00687680">
        <w:rPr>
          <w:rFonts w:ascii="Times New Roman" w:eastAsiaTheme="minorHAnsi" w:hAnsi="Times New Roman"/>
          <w:color w:val="000000" w:themeColor="text1"/>
        </w:rPr>
        <w:t>,</w:t>
      </w:r>
      <w:r w:rsidRPr="00687680">
        <w:rPr>
          <w:rFonts w:ascii="Times New Roman" w:eastAsiaTheme="minorHAnsi" w:hAnsi="Times New Roman"/>
          <w:color w:val="000000" w:themeColor="text1"/>
        </w:rPr>
        <w:t xml:space="preserve"> at man </w:t>
      </w:r>
      <w:r w:rsidR="00A07266" w:rsidRPr="00687680">
        <w:rPr>
          <w:rFonts w:ascii="Times New Roman" w:eastAsiaTheme="minorHAnsi" w:hAnsi="Times New Roman"/>
          <w:color w:val="000000" w:themeColor="text1"/>
        </w:rPr>
        <w:t>har</w:t>
      </w:r>
      <w:r w:rsidRPr="00687680">
        <w:rPr>
          <w:rFonts w:ascii="Times New Roman" w:eastAsiaTheme="minorHAnsi" w:hAnsi="Times New Roman"/>
          <w:color w:val="000000" w:themeColor="text1"/>
        </w:rPr>
        <w:t xml:space="preserve"> licens </w:t>
      </w:r>
      <w:r w:rsidR="00A07266" w:rsidRPr="00687680">
        <w:rPr>
          <w:rFonts w:ascii="Times New Roman" w:eastAsiaTheme="minorHAnsi" w:hAnsi="Times New Roman"/>
          <w:color w:val="000000" w:themeColor="text1"/>
        </w:rPr>
        <w:t xml:space="preserve">til at </w:t>
      </w:r>
      <w:r w:rsidRPr="00687680">
        <w:rPr>
          <w:rFonts w:ascii="Times New Roman" w:eastAsiaTheme="minorHAnsi" w:hAnsi="Times New Roman"/>
          <w:color w:val="000000" w:themeColor="text1"/>
        </w:rPr>
        <w:t>fiske erhvervsmæssigt. Alle licenser udstedes af Departement for Fiskeri, Fangst og Landbrug. De anvendte licenstyper fremgår af tabel 1.</w:t>
      </w:r>
    </w:p>
    <w:p w:rsidR="00552CD3" w:rsidRPr="00687680" w:rsidRDefault="00552CD3">
      <w:pPr>
        <w:spacing w:after="0"/>
        <w:jc w:val="both"/>
        <w:rPr>
          <w:rFonts w:ascii="Times New Roman" w:eastAsiaTheme="minorHAnsi" w:hAnsi="Times New Roman"/>
          <w:color w:val="000000" w:themeColor="text1"/>
        </w:rPr>
      </w:pPr>
    </w:p>
    <w:p w:rsidR="00552CD3" w:rsidRPr="00687680" w:rsidRDefault="00552CD3">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lastRenderedPageBreak/>
        <w:t>Der er primært 2 forskellige licenstyper:</w:t>
      </w:r>
    </w:p>
    <w:p w:rsidR="00552CD3" w:rsidRPr="00687680" w:rsidRDefault="00552CD3">
      <w:pPr>
        <w:numPr>
          <w:ilvl w:val="0"/>
          <w:numId w:val="40"/>
        </w:numPr>
        <w:spacing w:after="0"/>
        <w:contextualSpacing/>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De tidsbegrænsede licenser, der udstedes for højst ét år af gangen</w:t>
      </w:r>
      <w:r w:rsidR="00A07266" w:rsidRPr="00687680">
        <w:rPr>
          <w:rFonts w:ascii="Times New Roman" w:eastAsiaTheme="minorHAnsi" w:hAnsi="Times New Roman"/>
          <w:color w:val="000000" w:themeColor="text1"/>
        </w:rPr>
        <w:t>,</w:t>
      </w:r>
      <w:r w:rsidRPr="00687680">
        <w:rPr>
          <w:rFonts w:ascii="Times New Roman" w:eastAsiaTheme="minorHAnsi" w:hAnsi="Times New Roman"/>
          <w:color w:val="000000" w:themeColor="text1"/>
        </w:rPr>
        <w:t xml:space="preserve"> og de tidsubegrænsede licenser. Hvor den biologiske rådgivning gælder for flere år a</w:t>
      </w:r>
      <w:r w:rsidR="00A07266" w:rsidRPr="00687680">
        <w:rPr>
          <w:rFonts w:ascii="Times New Roman" w:eastAsiaTheme="minorHAnsi" w:hAnsi="Times New Roman"/>
          <w:color w:val="000000" w:themeColor="text1"/>
        </w:rPr>
        <w:t>d</w:t>
      </w:r>
      <w:r w:rsidRPr="00687680">
        <w:rPr>
          <w:rFonts w:ascii="Times New Roman" w:eastAsiaTheme="minorHAnsi" w:hAnsi="Times New Roman"/>
          <w:color w:val="000000" w:themeColor="text1"/>
        </w:rPr>
        <w:t xml:space="preserve"> gangen, kan der udstedes tidsbegrænsede licenser, der gælder i flere år. Til hver type kan der knyttes en højst tilladt fangstmængde eller ej. </w:t>
      </w:r>
    </w:p>
    <w:p w:rsidR="00552CD3" w:rsidRPr="00687680" w:rsidRDefault="00552CD3">
      <w:pPr>
        <w:numPr>
          <w:ilvl w:val="0"/>
          <w:numId w:val="40"/>
        </w:numPr>
        <w:spacing w:after="0"/>
        <w:contextualSpacing/>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Tidsubegrænset licens, hvortil der er knyttet højst tilladt fangstmængde</w:t>
      </w:r>
      <w:r w:rsidR="00A07266" w:rsidRPr="00687680">
        <w:rPr>
          <w:rFonts w:ascii="Times New Roman" w:eastAsiaTheme="minorHAnsi" w:hAnsi="Times New Roman"/>
          <w:color w:val="000000" w:themeColor="text1"/>
        </w:rPr>
        <w:t>,</w:t>
      </w:r>
      <w:r w:rsidRPr="00687680">
        <w:rPr>
          <w:rFonts w:ascii="Times New Roman" w:eastAsiaTheme="minorHAnsi" w:hAnsi="Times New Roman"/>
          <w:color w:val="000000" w:themeColor="text1"/>
        </w:rPr>
        <w:t xml:space="preserve"> er en forudsætning for alt fiskeri efter rejer. </w:t>
      </w:r>
    </w:p>
    <w:p w:rsidR="00552CD3" w:rsidRPr="00687680" w:rsidRDefault="00552CD3">
      <w:pPr>
        <w:spacing w:after="0"/>
        <w:jc w:val="both"/>
        <w:rPr>
          <w:rFonts w:ascii="Times New Roman" w:eastAsiaTheme="minorHAnsi" w:hAnsi="Times New Roman"/>
          <w:color w:val="000000" w:themeColor="text1"/>
        </w:rPr>
      </w:pPr>
    </w:p>
    <w:p w:rsidR="00552CD3" w:rsidRPr="00687680" w:rsidRDefault="00552CD3">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 xml:space="preserve">I det kystnære fiskeri efter hellefisk i Diskobugten, Uummannaq og Upernavik er licenser afhængig af fartøjs- længde (L.O.A.) på 6 meter. </w:t>
      </w:r>
    </w:p>
    <w:p w:rsidR="00552CD3" w:rsidRPr="00687680" w:rsidRDefault="00552CD3">
      <w:pPr>
        <w:numPr>
          <w:ilvl w:val="0"/>
          <w:numId w:val="39"/>
        </w:numPr>
        <w:spacing w:after="0"/>
        <w:contextualSpacing/>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For fartøjerne over 6 meter er licensen tidsubegrænset med en højst tilladt fangstmængde.</w:t>
      </w:r>
    </w:p>
    <w:p w:rsidR="00552CD3" w:rsidRPr="00687680" w:rsidRDefault="00552CD3">
      <w:pPr>
        <w:numPr>
          <w:ilvl w:val="0"/>
          <w:numId w:val="39"/>
        </w:numPr>
        <w:spacing w:after="0"/>
        <w:contextualSpacing/>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 xml:space="preserve">For fartøjer under 6 meter er licensen tidsbegrænset uden en individuel højst tilladt fangstmængde. </w:t>
      </w:r>
    </w:p>
    <w:p w:rsidR="00577477" w:rsidRPr="00687680" w:rsidRDefault="00577477">
      <w:pPr>
        <w:spacing w:after="0"/>
        <w:jc w:val="both"/>
        <w:rPr>
          <w:rFonts w:ascii="Times New Roman" w:eastAsiaTheme="minorHAnsi" w:hAnsi="Times New Roman"/>
          <w:color w:val="000000" w:themeColor="text1"/>
        </w:rPr>
      </w:pPr>
    </w:p>
    <w:p w:rsidR="00552CD3" w:rsidRPr="00687680" w:rsidRDefault="00552CD3">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Tabel 1: Licenstyper pr. art og fartøjs type.</w:t>
      </w:r>
    </w:p>
    <w:tbl>
      <w:tblPr>
        <w:tblW w:w="8443" w:type="dxa"/>
        <w:tblInd w:w="55" w:type="dxa"/>
        <w:tblCellMar>
          <w:left w:w="10" w:type="dxa"/>
          <w:right w:w="10" w:type="dxa"/>
        </w:tblCellMar>
        <w:tblLook w:val="0000" w:firstRow="0" w:lastRow="0" w:firstColumn="0" w:lastColumn="0" w:noHBand="0" w:noVBand="0"/>
      </w:tblPr>
      <w:tblGrid>
        <w:gridCol w:w="1775"/>
        <w:gridCol w:w="1415"/>
        <w:gridCol w:w="1984"/>
        <w:gridCol w:w="1700"/>
        <w:gridCol w:w="1569"/>
      </w:tblGrid>
      <w:tr w:rsidR="00552CD3" w:rsidRPr="00687680" w:rsidTr="0075698C">
        <w:trPr>
          <w:trHeight w:val="408"/>
        </w:trPr>
        <w:tc>
          <w:tcPr>
            <w:tcW w:w="1775" w:type="dxa"/>
            <w:tcBorders>
              <w:top w:val="single" w:sz="4" w:space="0" w:color="000000"/>
              <w:left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 </w:t>
            </w:r>
          </w:p>
        </w:tc>
        <w:tc>
          <w:tcPr>
            <w:tcW w:w="3399" w:type="dxa"/>
            <w:gridSpan w:val="2"/>
            <w:tcBorders>
              <w:top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Tidsbegrænsede licenser</w:t>
            </w:r>
          </w:p>
        </w:tc>
        <w:tc>
          <w:tcPr>
            <w:tcW w:w="3269" w:type="dxa"/>
            <w:gridSpan w:val="2"/>
            <w:tcBorders>
              <w:top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Tidsubegrænsede licenser</w:t>
            </w:r>
          </w:p>
        </w:tc>
      </w:tr>
      <w:tr w:rsidR="00552CD3" w:rsidRPr="00687680" w:rsidTr="0075698C">
        <w:trPr>
          <w:trHeight w:val="408"/>
        </w:trPr>
        <w:tc>
          <w:tcPr>
            <w:tcW w:w="1775"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 </w:t>
            </w:r>
          </w:p>
        </w:tc>
        <w:tc>
          <w:tcPr>
            <w:tcW w:w="1415" w:type="dxa"/>
            <w:tcBorders>
              <w:top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Højst tilladt mængde</w:t>
            </w:r>
          </w:p>
        </w:tc>
        <w:tc>
          <w:tcPr>
            <w:tcW w:w="1983" w:type="dxa"/>
            <w:tcBorders>
              <w:top w:val="single" w:sz="4" w:space="0" w:color="000000"/>
              <w:right w:val="single" w:sz="4" w:space="0" w:color="000000"/>
            </w:tcBorders>
            <w:shd w:val="clear" w:color="auto" w:fill="FFFFFF"/>
            <w:noWrap/>
            <w:tcMar>
              <w:top w:w="0" w:type="dxa"/>
              <w:left w:w="70" w:type="dxa"/>
              <w:bottom w:w="0" w:type="dxa"/>
              <w:right w:w="70" w:type="dxa"/>
            </w:tcMar>
            <w:vAlign w:val="bottom"/>
          </w:tcPr>
          <w:p w:rsidR="00ED5FBC"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 xml:space="preserve">Uden højst </w:t>
            </w:r>
          </w:p>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tilladt mængde</w:t>
            </w:r>
          </w:p>
        </w:tc>
        <w:tc>
          <w:tcPr>
            <w:tcW w:w="1700" w:type="dxa"/>
            <w:tcBorders>
              <w:top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Højst tilladt mængde</w:t>
            </w:r>
          </w:p>
        </w:tc>
        <w:tc>
          <w:tcPr>
            <w:tcW w:w="1569" w:type="dxa"/>
            <w:tcBorders>
              <w:top w:val="single" w:sz="4" w:space="0" w:color="000000"/>
              <w:right w:val="single" w:sz="4" w:space="0" w:color="000000"/>
            </w:tcBorders>
            <w:shd w:val="clear" w:color="auto" w:fill="FFFFFF"/>
            <w:noWrap/>
            <w:tcMar>
              <w:top w:w="0" w:type="dxa"/>
              <w:left w:w="70" w:type="dxa"/>
              <w:bottom w:w="0" w:type="dxa"/>
              <w:right w:w="70" w:type="dxa"/>
            </w:tcMar>
            <w:vAlign w:val="bottom"/>
          </w:tcPr>
          <w:p w:rsidR="00ED5FBC"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 xml:space="preserve">Uden højst </w:t>
            </w:r>
          </w:p>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tilladt mængde</w:t>
            </w:r>
          </w:p>
        </w:tc>
      </w:tr>
      <w:tr w:rsidR="00ED5FBC" w:rsidRPr="00687680" w:rsidTr="0075698C">
        <w:trPr>
          <w:trHeight w:val="408"/>
        </w:trPr>
        <w:tc>
          <w:tcPr>
            <w:tcW w:w="1775" w:type="dxa"/>
            <w:tcBorders>
              <w:left w:val="single" w:sz="4" w:space="0" w:color="000000"/>
            </w:tcBorders>
            <w:shd w:val="clear" w:color="auto" w:fill="FFFFFF"/>
            <w:noWrap/>
            <w:tcMar>
              <w:top w:w="0" w:type="dxa"/>
              <w:left w:w="70" w:type="dxa"/>
              <w:bottom w:w="0" w:type="dxa"/>
              <w:right w:w="70" w:type="dxa"/>
            </w:tcMar>
            <w:vAlign w:val="bottom"/>
          </w:tcPr>
          <w:p w:rsidR="00ED5FBC" w:rsidRPr="00687680" w:rsidRDefault="00ED5FBC"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Fartøjer på</w:t>
            </w:r>
          </w:p>
        </w:tc>
        <w:tc>
          <w:tcPr>
            <w:tcW w:w="1415" w:type="dxa"/>
            <w:vMerge w:val="restart"/>
            <w:tcBorders>
              <w:top w:val="single" w:sz="4" w:space="0" w:color="000000"/>
              <w:left w:val="single" w:sz="4" w:space="0" w:color="000000"/>
              <w:right w:val="single" w:sz="4" w:space="0" w:color="000000"/>
            </w:tcBorders>
            <w:shd w:val="clear" w:color="auto" w:fill="FFFFFF"/>
            <w:noWrap/>
            <w:tcMar>
              <w:top w:w="0" w:type="dxa"/>
              <w:left w:w="70" w:type="dxa"/>
              <w:bottom w:w="0" w:type="dxa"/>
              <w:right w:w="70" w:type="dxa"/>
            </w:tcMar>
            <w:vAlign w:val="bottom"/>
          </w:tcPr>
          <w:p w:rsidR="00ED5FBC" w:rsidRPr="00687680" w:rsidRDefault="00ED5FBC" w:rsidP="00577477">
            <w:pPr>
              <w:spacing w:after="0"/>
              <w:jc w:val="center"/>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Alle arter, bortset fra rejer</w:t>
            </w:r>
          </w:p>
        </w:tc>
        <w:tc>
          <w:tcPr>
            <w:tcW w:w="1983" w:type="dxa"/>
            <w:vMerge w:val="restart"/>
            <w:tcBorders>
              <w:top w:val="single" w:sz="4" w:space="0" w:color="000000"/>
              <w:right w:val="single" w:sz="4" w:space="0" w:color="000000"/>
            </w:tcBorders>
            <w:shd w:val="clear" w:color="auto" w:fill="FFFFFF"/>
            <w:noWrap/>
            <w:tcMar>
              <w:top w:w="0" w:type="dxa"/>
              <w:left w:w="70" w:type="dxa"/>
              <w:bottom w:w="0" w:type="dxa"/>
              <w:right w:w="70" w:type="dxa"/>
            </w:tcMar>
            <w:vAlign w:val="bottom"/>
          </w:tcPr>
          <w:p w:rsidR="00ED5FBC" w:rsidRPr="00687680" w:rsidRDefault="00ED5FBC">
            <w:pPr>
              <w:spacing w:after="0"/>
              <w:jc w:val="center"/>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Arter med fælles kvote</w:t>
            </w:r>
          </w:p>
        </w:tc>
        <w:tc>
          <w:tcPr>
            <w:tcW w:w="1700" w:type="dxa"/>
            <w:tcBorders>
              <w:top w:val="single" w:sz="4" w:space="0" w:color="000000"/>
              <w:right w:val="single" w:sz="4" w:space="0" w:color="000000"/>
            </w:tcBorders>
            <w:shd w:val="clear" w:color="auto" w:fill="FFFFFF"/>
            <w:noWrap/>
            <w:tcMar>
              <w:top w:w="0" w:type="dxa"/>
              <w:left w:w="70" w:type="dxa"/>
              <w:bottom w:w="0" w:type="dxa"/>
              <w:right w:w="70" w:type="dxa"/>
            </w:tcMar>
            <w:vAlign w:val="bottom"/>
          </w:tcPr>
          <w:p w:rsidR="00ED5FBC" w:rsidRPr="00687680" w:rsidRDefault="00ED5FBC">
            <w:pPr>
              <w:spacing w:after="0"/>
              <w:jc w:val="center"/>
              <w:rPr>
                <w:rFonts w:ascii="Times New Roman" w:eastAsia="Times New Roman" w:hAnsi="Times New Roman"/>
                <w:color w:val="000000" w:themeColor="text1"/>
                <w:sz w:val="20"/>
                <w:szCs w:val="20"/>
                <w:lang w:eastAsia="da-DK"/>
              </w:rPr>
            </w:pPr>
          </w:p>
        </w:tc>
        <w:tc>
          <w:tcPr>
            <w:tcW w:w="1569" w:type="dxa"/>
            <w:tcBorders>
              <w:top w:val="single" w:sz="4" w:space="0" w:color="000000"/>
              <w:right w:val="single" w:sz="4" w:space="0" w:color="000000"/>
            </w:tcBorders>
            <w:shd w:val="clear" w:color="auto" w:fill="FFFFFF"/>
            <w:noWrap/>
            <w:tcMar>
              <w:top w:w="0" w:type="dxa"/>
              <w:left w:w="70" w:type="dxa"/>
              <w:bottom w:w="0" w:type="dxa"/>
              <w:right w:w="70" w:type="dxa"/>
            </w:tcMar>
            <w:vAlign w:val="bottom"/>
          </w:tcPr>
          <w:p w:rsidR="00ED5FBC" w:rsidRPr="00687680" w:rsidRDefault="00ED5FBC">
            <w:pPr>
              <w:spacing w:after="0"/>
              <w:jc w:val="center"/>
              <w:rPr>
                <w:rFonts w:ascii="Times New Roman" w:eastAsia="Times New Roman" w:hAnsi="Times New Roman"/>
                <w:color w:val="000000" w:themeColor="text1"/>
                <w:sz w:val="20"/>
                <w:szCs w:val="20"/>
                <w:lang w:eastAsia="da-DK"/>
              </w:rPr>
            </w:pPr>
          </w:p>
        </w:tc>
      </w:tr>
      <w:tr w:rsidR="00ED5FBC" w:rsidRPr="00687680" w:rsidTr="0075698C">
        <w:trPr>
          <w:trHeight w:val="408"/>
        </w:trPr>
        <w:tc>
          <w:tcPr>
            <w:tcW w:w="1775" w:type="dxa"/>
            <w:tcBorders>
              <w:left w:val="single" w:sz="4" w:space="0" w:color="000000"/>
            </w:tcBorders>
            <w:shd w:val="clear" w:color="auto" w:fill="FFFFFF"/>
            <w:noWrap/>
            <w:tcMar>
              <w:top w:w="0" w:type="dxa"/>
              <w:left w:w="70" w:type="dxa"/>
              <w:bottom w:w="0" w:type="dxa"/>
              <w:right w:w="70" w:type="dxa"/>
            </w:tcMar>
            <w:vAlign w:val="bottom"/>
          </w:tcPr>
          <w:p w:rsidR="00ED5FBC" w:rsidRPr="00687680" w:rsidRDefault="00ED5FBC"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75 BRT / 120 BT og</w:t>
            </w:r>
          </w:p>
        </w:tc>
        <w:tc>
          <w:tcPr>
            <w:tcW w:w="1415" w:type="dxa"/>
            <w:vMerge/>
            <w:tcBorders>
              <w:left w:val="single" w:sz="4" w:space="0" w:color="000000"/>
              <w:right w:val="single" w:sz="4" w:space="0" w:color="000000"/>
            </w:tcBorders>
            <w:shd w:val="clear" w:color="auto" w:fill="FFFFFF"/>
            <w:noWrap/>
            <w:tcMar>
              <w:top w:w="0" w:type="dxa"/>
              <w:left w:w="70" w:type="dxa"/>
              <w:bottom w:w="0" w:type="dxa"/>
              <w:right w:w="70" w:type="dxa"/>
            </w:tcMar>
            <w:vAlign w:val="bottom"/>
          </w:tcPr>
          <w:p w:rsidR="00ED5FBC" w:rsidRPr="00687680" w:rsidRDefault="00ED5FBC">
            <w:pPr>
              <w:spacing w:after="0"/>
              <w:jc w:val="center"/>
              <w:rPr>
                <w:rFonts w:ascii="Times New Roman" w:eastAsia="Times New Roman" w:hAnsi="Times New Roman"/>
                <w:color w:val="000000" w:themeColor="text1"/>
                <w:sz w:val="20"/>
                <w:szCs w:val="20"/>
                <w:lang w:eastAsia="da-DK"/>
              </w:rPr>
            </w:pPr>
          </w:p>
        </w:tc>
        <w:tc>
          <w:tcPr>
            <w:tcW w:w="1983" w:type="dxa"/>
            <w:vMerge/>
            <w:tcBorders>
              <w:right w:val="single" w:sz="4" w:space="0" w:color="000000"/>
            </w:tcBorders>
            <w:shd w:val="clear" w:color="auto" w:fill="FFFFFF"/>
            <w:noWrap/>
            <w:tcMar>
              <w:top w:w="0" w:type="dxa"/>
              <w:left w:w="70" w:type="dxa"/>
              <w:bottom w:w="0" w:type="dxa"/>
              <w:right w:w="70" w:type="dxa"/>
            </w:tcMar>
            <w:vAlign w:val="bottom"/>
          </w:tcPr>
          <w:p w:rsidR="00ED5FBC" w:rsidRPr="00687680" w:rsidRDefault="00ED5FBC">
            <w:pPr>
              <w:spacing w:after="0"/>
              <w:jc w:val="center"/>
              <w:rPr>
                <w:rFonts w:ascii="Times New Roman" w:eastAsia="Times New Roman" w:hAnsi="Times New Roman"/>
                <w:color w:val="000000" w:themeColor="text1"/>
                <w:sz w:val="20"/>
                <w:szCs w:val="20"/>
                <w:lang w:eastAsia="da-DK"/>
              </w:rPr>
            </w:pPr>
          </w:p>
        </w:tc>
        <w:tc>
          <w:tcPr>
            <w:tcW w:w="1700" w:type="dxa"/>
            <w:tcBorders>
              <w:right w:val="single" w:sz="4" w:space="0" w:color="000000"/>
            </w:tcBorders>
            <w:shd w:val="clear" w:color="auto" w:fill="FFFFFF"/>
            <w:noWrap/>
            <w:tcMar>
              <w:top w:w="0" w:type="dxa"/>
              <w:left w:w="70" w:type="dxa"/>
              <w:bottom w:w="0" w:type="dxa"/>
              <w:right w:w="70" w:type="dxa"/>
            </w:tcMar>
            <w:vAlign w:val="bottom"/>
          </w:tcPr>
          <w:p w:rsidR="00ED5FBC" w:rsidRPr="00687680" w:rsidRDefault="00ED5FBC">
            <w:pPr>
              <w:spacing w:after="0"/>
              <w:jc w:val="center"/>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Rejer</w:t>
            </w:r>
          </w:p>
        </w:tc>
        <w:tc>
          <w:tcPr>
            <w:tcW w:w="1569" w:type="dxa"/>
            <w:tcBorders>
              <w:right w:val="single" w:sz="4" w:space="0" w:color="000000"/>
            </w:tcBorders>
            <w:shd w:val="clear" w:color="auto" w:fill="FFFFFF"/>
            <w:noWrap/>
            <w:tcMar>
              <w:top w:w="0" w:type="dxa"/>
              <w:left w:w="70" w:type="dxa"/>
              <w:bottom w:w="0" w:type="dxa"/>
              <w:right w:w="70" w:type="dxa"/>
            </w:tcMar>
            <w:vAlign w:val="bottom"/>
          </w:tcPr>
          <w:p w:rsidR="00ED5FBC" w:rsidRPr="00687680" w:rsidRDefault="00ED5FBC">
            <w:pPr>
              <w:spacing w:after="0"/>
              <w:jc w:val="center"/>
              <w:rPr>
                <w:rFonts w:ascii="Times New Roman" w:eastAsia="Times New Roman" w:hAnsi="Times New Roman"/>
                <w:color w:val="000000" w:themeColor="text1"/>
                <w:sz w:val="20"/>
                <w:szCs w:val="20"/>
                <w:lang w:eastAsia="da-DK"/>
              </w:rPr>
            </w:pPr>
          </w:p>
        </w:tc>
      </w:tr>
      <w:tr w:rsidR="00552CD3" w:rsidRPr="00687680" w:rsidTr="0075698C">
        <w:trPr>
          <w:trHeight w:val="408"/>
        </w:trPr>
        <w:tc>
          <w:tcPr>
            <w:tcW w:w="1775" w:type="dxa"/>
            <w:tcBorders>
              <w:left w:val="single" w:sz="4" w:space="0" w:color="000000"/>
              <w:bottom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derover</w:t>
            </w:r>
          </w:p>
        </w:tc>
        <w:tc>
          <w:tcPr>
            <w:tcW w:w="1415"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577477">
            <w:pPr>
              <w:spacing w:after="0"/>
              <w:jc w:val="center"/>
              <w:rPr>
                <w:rFonts w:ascii="Times New Roman" w:eastAsia="Times New Roman" w:hAnsi="Times New Roman"/>
                <w:color w:val="000000" w:themeColor="text1"/>
                <w:sz w:val="20"/>
                <w:szCs w:val="20"/>
                <w:lang w:eastAsia="da-DK"/>
              </w:rPr>
            </w:pPr>
          </w:p>
        </w:tc>
        <w:tc>
          <w:tcPr>
            <w:tcW w:w="1983" w:type="dxa"/>
            <w:tcBorders>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c>
          <w:tcPr>
            <w:tcW w:w="1700" w:type="dxa"/>
            <w:tcBorders>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c>
          <w:tcPr>
            <w:tcW w:w="1569" w:type="dxa"/>
            <w:tcBorders>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r>
      <w:tr w:rsidR="00552CD3" w:rsidRPr="00687680" w:rsidTr="0075698C">
        <w:trPr>
          <w:trHeight w:val="408"/>
        </w:trPr>
        <w:tc>
          <w:tcPr>
            <w:tcW w:w="1775" w:type="dxa"/>
            <w:tcBorders>
              <w:lef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Fartøjer mindre end</w:t>
            </w:r>
          </w:p>
        </w:tc>
        <w:tc>
          <w:tcPr>
            <w:tcW w:w="1415" w:type="dxa"/>
            <w:tcBorders>
              <w:left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577477">
            <w:pPr>
              <w:spacing w:after="0"/>
              <w:jc w:val="center"/>
              <w:rPr>
                <w:rFonts w:ascii="Times New Roman" w:eastAsia="Times New Roman" w:hAnsi="Times New Roman"/>
                <w:color w:val="000000" w:themeColor="text1"/>
                <w:sz w:val="20"/>
                <w:szCs w:val="20"/>
                <w:lang w:eastAsia="da-DK"/>
              </w:rPr>
            </w:pPr>
          </w:p>
        </w:tc>
        <w:tc>
          <w:tcPr>
            <w:tcW w:w="1983" w:type="dxa"/>
            <w:tcBorders>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c>
          <w:tcPr>
            <w:tcW w:w="1700" w:type="dxa"/>
            <w:tcBorders>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c>
          <w:tcPr>
            <w:tcW w:w="1569" w:type="dxa"/>
            <w:tcBorders>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r>
      <w:tr w:rsidR="00552CD3" w:rsidRPr="00687680" w:rsidTr="0075698C">
        <w:trPr>
          <w:trHeight w:val="408"/>
        </w:trPr>
        <w:tc>
          <w:tcPr>
            <w:tcW w:w="1775" w:type="dxa"/>
            <w:tcBorders>
              <w:lef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75 BRT / 120 BT og</w:t>
            </w:r>
          </w:p>
        </w:tc>
        <w:tc>
          <w:tcPr>
            <w:tcW w:w="1415" w:type="dxa"/>
            <w:tcBorders>
              <w:left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577477">
            <w:pPr>
              <w:spacing w:after="0"/>
              <w:jc w:val="center"/>
              <w:rPr>
                <w:rFonts w:ascii="Times New Roman" w:eastAsia="Times New Roman" w:hAnsi="Times New Roman"/>
                <w:color w:val="000000" w:themeColor="text1"/>
                <w:sz w:val="20"/>
                <w:szCs w:val="20"/>
                <w:lang w:eastAsia="da-DK"/>
              </w:rPr>
            </w:pPr>
          </w:p>
        </w:tc>
        <w:tc>
          <w:tcPr>
            <w:tcW w:w="1983" w:type="dxa"/>
            <w:tcBorders>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Krabber</w:t>
            </w:r>
          </w:p>
        </w:tc>
        <w:tc>
          <w:tcPr>
            <w:tcW w:w="1700" w:type="dxa"/>
            <w:tcBorders>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Rejer og hellefisk</w:t>
            </w:r>
          </w:p>
        </w:tc>
        <w:tc>
          <w:tcPr>
            <w:tcW w:w="1569" w:type="dxa"/>
            <w:tcBorders>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r>
      <w:tr w:rsidR="00552CD3" w:rsidRPr="00687680" w:rsidTr="0075698C">
        <w:trPr>
          <w:trHeight w:val="408"/>
        </w:trPr>
        <w:tc>
          <w:tcPr>
            <w:tcW w:w="1775" w:type="dxa"/>
            <w:tcBorders>
              <w:left w:val="single" w:sz="4" w:space="0" w:color="000000"/>
              <w:bottom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over 6 meter</w:t>
            </w:r>
          </w:p>
        </w:tc>
        <w:tc>
          <w:tcPr>
            <w:tcW w:w="1415"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577477">
            <w:pPr>
              <w:spacing w:after="0"/>
              <w:jc w:val="center"/>
              <w:rPr>
                <w:rFonts w:ascii="Times New Roman" w:eastAsia="Times New Roman" w:hAnsi="Times New Roman"/>
                <w:color w:val="000000" w:themeColor="text1"/>
                <w:sz w:val="20"/>
                <w:szCs w:val="20"/>
                <w:lang w:eastAsia="da-DK"/>
              </w:rPr>
            </w:pPr>
          </w:p>
        </w:tc>
        <w:tc>
          <w:tcPr>
            <w:tcW w:w="1983" w:type="dxa"/>
            <w:tcBorders>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c>
          <w:tcPr>
            <w:tcW w:w="1700" w:type="dxa"/>
            <w:tcBorders>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c>
          <w:tcPr>
            <w:tcW w:w="1569" w:type="dxa"/>
            <w:tcBorders>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r>
      <w:tr w:rsidR="00552CD3" w:rsidRPr="00687680" w:rsidTr="0075698C">
        <w:trPr>
          <w:trHeight w:val="408"/>
        </w:trPr>
        <w:tc>
          <w:tcPr>
            <w:tcW w:w="1775" w:type="dxa"/>
            <w:tcBorders>
              <w:lef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Fartøjer mindre end</w:t>
            </w:r>
          </w:p>
        </w:tc>
        <w:tc>
          <w:tcPr>
            <w:tcW w:w="1415" w:type="dxa"/>
            <w:tcBorders>
              <w:left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577477">
            <w:pPr>
              <w:spacing w:after="0"/>
              <w:jc w:val="center"/>
              <w:rPr>
                <w:rFonts w:ascii="Times New Roman" w:eastAsia="Times New Roman" w:hAnsi="Times New Roman"/>
                <w:color w:val="000000" w:themeColor="text1"/>
                <w:sz w:val="20"/>
                <w:szCs w:val="20"/>
                <w:lang w:eastAsia="da-DK"/>
              </w:rPr>
            </w:pPr>
          </w:p>
        </w:tc>
        <w:tc>
          <w:tcPr>
            <w:tcW w:w="1983" w:type="dxa"/>
            <w:tcBorders>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c>
          <w:tcPr>
            <w:tcW w:w="1700" w:type="dxa"/>
            <w:tcBorders>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c>
          <w:tcPr>
            <w:tcW w:w="1569" w:type="dxa"/>
            <w:tcBorders>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r>
      <w:tr w:rsidR="00552CD3" w:rsidRPr="00687680" w:rsidTr="0075698C">
        <w:trPr>
          <w:trHeight w:val="408"/>
        </w:trPr>
        <w:tc>
          <w:tcPr>
            <w:tcW w:w="1775" w:type="dxa"/>
            <w:tcBorders>
              <w:lef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75 BRT / 120 BT og</w:t>
            </w:r>
          </w:p>
        </w:tc>
        <w:tc>
          <w:tcPr>
            <w:tcW w:w="1415" w:type="dxa"/>
            <w:tcBorders>
              <w:left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577477">
            <w:pPr>
              <w:spacing w:after="0"/>
              <w:jc w:val="center"/>
              <w:rPr>
                <w:rFonts w:ascii="Times New Roman" w:eastAsia="Times New Roman" w:hAnsi="Times New Roman"/>
                <w:color w:val="000000" w:themeColor="text1"/>
                <w:sz w:val="20"/>
                <w:szCs w:val="20"/>
                <w:lang w:eastAsia="da-DK"/>
              </w:rPr>
            </w:pPr>
          </w:p>
        </w:tc>
        <w:tc>
          <w:tcPr>
            <w:tcW w:w="1983" w:type="dxa"/>
            <w:tcBorders>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Alle arter</w:t>
            </w:r>
          </w:p>
        </w:tc>
        <w:tc>
          <w:tcPr>
            <w:tcW w:w="1700" w:type="dxa"/>
            <w:tcBorders>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c>
          <w:tcPr>
            <w:tcW w:w="1569" w:type="dxa"/>
            <w:tcBorders>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r>
      <w:tr w:rsidR="00552CD3" w:rsidRPr="00687680" w:rsidTr="0075698C">
        <w:trPr>
          <w:trHeight w:val="408"/>
        </w:trPr>
        <w:tc>
          <w:tcPr>
            <w:tcW w:w="1775" w:type="dxa"/>
            <w:tcBorders>
              <w:left w:val="single" w:sz="4" w:space="0" w:color="000000"/>
              <w:bottom w:val="single" w:sz="4" w:space="0" w:color="000000"/>
            </w:tcBorders>
            <w:shd w:val="clear" w:color="auto" w:fill="FFFFFF"/>
            <w:noWrap/>
            <w:tcMar>
              <w:top w:w="0" w:type="dxa"/>
              <w:left w:w="70" w:type="dxa"/>
              <w:bottom w:w="0" w:type="dxa"/>
              <w:right w:w="70" w:type="dxa"/>
            </w:tcMar>
            <w:vAlign w:val="bottom"/>
          </w:tcPr>
          <w:p w:rsidR="00552CD3" w:rsidRPr="00687680" w:rsidRDefault="00552CD3" w:rsidP="0075698C">
            <w:pPr>
              <w:spacing w:after="0"/>
              <w:jc w:val="both"/>
              <w:rPr>
                <w:rFonts w:ascii="Times New Roman" w:eastAsia="Times New Roman" w:hAnsi="Times New Roman"/>
                <w:color w:val="000000" w:themeColor="text1"/>
                <w:sz w:val="20"/>
                <w:szCs w:val="20"/>
                <w:lang w:eastAsia="da-DK"/>
              </w:rPr>
            </w:pPr>
            <w:r w:rsidRPr="00687680">
              <w:rPr>
                <w:rFonts w:ascii="Times New Roman" w:eastAsia="Times New Roman" w:hAnsi="Times New Roman"/>
                <w:color w:val="000000" w:themeColor="text1"/>
                <w:sz w:val="20"/>
                <w:szCs w:val="20"/>
                <w:lang w:eastAsia="da-DK"/>
              </w:rPr>
              <w:t>under 6 meter</w:t>
            </w:r>
          </w:p>
        </w:tc>
        <w:tc>
          <w:tcPr>
            <w:tcW w:w="1415"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rsidP="00577477">
            <w:pPr>
              <w:spacing w:after="0"/>
              <w:jc w:val="center"/>
              <w:rPr>
                <w:rFonts w:ascii="Times New Roman" w:eastAsia="Times New Roman" w:hAnsi="Times New Roman"/>
                <w:color w:val="000000" w:themeColor="text1"/>
                <w:sz w:val="20"/>
                <w:szCs w:val="20"/>
                <w:lang w:eastAsia="da-DK"/>
              </w:rPr>
            </w:pPr>
          </w:p>
        </w:tc>
        <w:tc>
          <w:tcPr>
            <w:tcW w:w="1983" w:type="dxa"/>
            <w:tcBorders>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c>
          <w:tcPr>
            <w:tcW w:w="1700" w:type="dxa"/>
            <w:tcBorders>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c>
          <w:tcPr>
            <w:tcW w:w="1569" w:type="dxa"/>
            <w:tcBorders>
              <w:bottom w:val="single" w:sz="4" w:space="0" w:color="000000"/>
              <w:right w:val="single" w:sz="4" w:space="0" w:color="000000"/>
            </w:tcBorders>
            <w:shd w:val="clear" w:color="auto" w:fill="FFFFFF"/>
            <w:noWrap/>
            <w:tcMar>
              <w:top w:w="0" w:type="dxa"/>
              <w:left w:w="70" w:type="dxa"/>
              <w:bottom w:w="0" w:type="dxa"/>
              <w:right w:w="70" w:type="dxa"/>
            </w:tcMar>
            <w:vAlign w:val="bottom"/>
          </w:tcPr>
          <w:p w:rsidR="00552CD3" w:rsidRPr="00687680" w:rsidRDefault="00552CD3">
            <w:pPr>
              <w:spacing w:after="0"/>
              <w:jc w:val="center"/>
              <w:rPr>
                <w:rFonts w:ascii="Times New Roman" w:eastAsia="Times New Roman" w:hAnsi="Times New Roman"/>
                <w:color w:val="000000" w:themeColor="text1"/>
                <w:sz w:val="20"/>
                <w:szCs w:val="20"/>
                <w:lang w:eastAsia="da-DK"/>
              </w:rPr>
            </w:pPr>
          </w:p>
        </w:tc>
      </w:tr>
    </w:tbl>
    <w:p w:rsidR="00552CD3" w:rsidRPr="00687680" w:rsidRDefault="00552CD3" w:rsidP="00577477">
      <w:pPr>
        <w:spacing w:after="0"/>
        <w:jc w:val="both"/>
        <w:rPr>
          <w:rFonts w:ascii="Times New Roman" w:eastAsiaTheme="minorHAnsi" w:hAnsi="Times New Roman"/>
          <w:color w:val="000000" w:themeColor="text1"/>
        </w:rPr>
      </w:pPr>
    </w:p>
    <w:p w:rsidR="00552CD3" w:rsidRPr="00687680" w:rsidRDefault="00552CD3" w:rsidP="00577477">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 xml:space="preserve">TAC og kvoter fastsættes årligt, i både Vest- og Østgrønland af Naalakkersuisut for henholdsvis kystnært og havgående fiskeri, på baggrund af biologisk rådgivning for den enkelte art. </w:t>
      </w:r>
    </w:p>
    <w:p w:rsidR="00552CD3" w:rsidRPr="00687680" w:rsidRDefault="00552CD3" w:rsidP="00577477">
      <w:pPr>
        <w:spacing w:after="0"/>
        <w:jc w:val="both"/>
        <w:rPr>
          <w:rFonts w:ascii="Times New Roman" w:eastAsiaTheme="minorHAnsi" w:hAnsi="Times New Roman"/>
          <w:color w:val="000000" w:themeColor="text1"/>
        </w:rPr>
      </w:pPr>
    </w:p>
    <w:p w:rsidR="00552CD3" w:rsidRPr="00687680" w:rsidRDefault="00552CD3" w:rsidP="00577477">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Undtagelsen fra det kvoterede fiskeri i Grønland er det frit fiskeri af hellefisk i det kystnære hellefiskefiskeri i hele Grønland uden for forvaltningsområderne ved Diskobugten, Uumannaq og Upernavik i Vestgrønland. Ligeledes er frit fiskeri efter ky</w:t>
      </w:r>
      <w:r w:rsidR="008F6E39" w:rsidRPr="00687680">
        <w:rPr>
          <w:rFonts w:ascii="Times New Roman" w:eastAsiaTheme="minorHAnsi" w:hAnsi="Times New Roman"/>
          <w:color w:val="000000" w:themeColor="text1"/>
        </w:rPr>
        <w:t>s</w:t>
      </w:r>
      <w:r w:rsidRPr="00687680">
        <w:rPr>
          <w:rFonts w:ascii="Times New Roman" w:eastAsiaTheme="minorHAnsi" w:hAnsi="Times New Roman"/>
          <w:color w:val="000000" w:themeColor="text1"/>
        </w:rPr>
        <w:t>tnær hellefisk inden for kvotefrie områder, som er placeret i forvaltningsområderne.</w:t>
      </w:r>
    </w:p>
    <w:p w:rsidR="00552CD3" w:rsidRPr="00687680" w:rsidRDefault="00552CD3">
      <w:pPr>
        <w:spacing w:after="0"/>
        <w:jc w:val="both"/>
        <w:rPr>
          <w:rFonts w:ascii="Times New Roman" w:eastAsiaTheme="minorHAnsi" w:hAnsi="Times New Roman"/>
          <w:color w:val="000000" w:themeColor="text1"/>
        </w:rPr>
      </w:pPr>
    </w:p>
    <w:p w:rsidR="00552CD3" w:rsidRPr="00687680" w:rsidRDefault="00552CD3">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Kvotesystemet for rejer er baseret på individuelt omsættelige kvoter (ITQ) siden 1990 for den havgående flåde og fra 1996 for den kystnære flåde. Omsættelighed betyder</w:t>
      </w:r>
      <w:r w:rsidR="00BA1DCD" w:rsidRPr="00687680">
        <w:rPr>
          <w:rFonts w:ascii="Times New Roman" w:eastAsiaTheme="minorHAnsi" w:hAnsi="Times New Roman"/>
          <w:color w:val="000000" w:themeColor="text1"/>
        </w:rPr>
        <w:t>,</w:t>
      </w:r>
      <w:r w:rsidRPr="00687680">
        <w:rPr>
          <w:rFonts w:ascii="Times New Roman" w:eastAsiaTheme="minorHAnsi" w:hAnsi="Times New Roman"/>
          <w:color w:val="000000" w:themeColor="text1"/>
        </w:rPr>
        <w:t xml:space="preserve"> at både kvoteandele og årskvotemængder kan handles. Rejekvoterne tildeles virksomhederne og er ikke betinget af</w:t>
      </w:r>
      <w:r w:rsidR="00BA1DCD" w:rsidRPr="00687680">
        <w:rPr>
          <w:rFonts w:ascii="Times New Roman" w:eastAsiaTheme="minorHAnsi" w:hAnsi="Times New Roman"/>
          <w:color w:val="000000" w:themeColor="text1"/>
        </w:rPr>
        <w:t>,</w:t>
      </w:r>
      <w:r w:rsidRPr="00687680">
        <w:rPr>
          <w:rFonts w:ascii="Times New Roman" w:eastAsiaTheme="minorHAnsi" w:hAnsi="Times New Roman"/>
          <w:color w:val="000000" w:themeColor="text1"/>
        </w:rPr>
        <w:t xml:space="preserve"> om bestemt eller bestemte fartøjer fisker dem. En virksomhed kan eje op til 33,33 pct. af rejekvoten i det havgående fiskeri og op til 15 pct. i det kystnære fiskeri.  Der fordeles 43 </w:t>
      </w:r>
      <w:r w:rsidRPr="00687680">
        <w:rPr>
          <w:rFonts w:ascii="Times New Roman" w:eastAsiaTheme="minorHAnsi" w:hAnsi="Times New Roman"/>
          <w:color w:val="000000" w:themeColor="text1"/>
        </w:rPr>
        <w:lastRenderedPageBreak/>
        <w:t>pct. af den samlede TAC for rejer til den kystnære flåde og 5</w:t>
      </w:r>
      <w:r w:rsidR="006F2B23" w:rsidRPr="00687680">
        <w:rPr>
          <w:rFonts w:ascii="Times New Roman" w:eastAsiaTheme="minorHAnsi" w:hAnsi="Times New Roman"/>
          <w:color w:val="000000" w:themeColor="text1"/>
        </w:rPr>
        <w:t>7</w:t>
      </w:r>
      <w:r w:rsidRPr="00687680">
        <w:rPr>
          <w:rFonts w:ascii="Times New Roman" w:eastAsiaTheme="minorHAnsi" w:hAnsi="Times New Roman"/>
          <w:color w:val="000000" w:themeColor="text1"/>
        </w:rPr>
        <w:t xml:space="preserve"> pct. </w:t>
      </w:r>
      <w:r w:rsidR="00BA1DCD" w:rsidRPr="00687680">
        <w:rPr>
          <w:rFonts w:ascii="Times New Roman" w:eastAsiaTheme="minorHAnsi" w:hAnsi="Times New Roman"/>
          <w:color w:val="000000" w:themeColor="text1"/>
        </w:rPr>
        <w:t xml:space="preserve">til </w:t>
      </w:r>
      <w:r w:rsidRPr="00687680">
        <w:rPr>
          <w:rFonts w:ascii="Times New Roman" w:eastAsiaTheme="minorHAnsi" w:hAnsi="Times New Roman"/>
          <w:color w:val="000000" w:themeColor="text1"/>
        </w:rPr>
        <w:t xml:space="preserve">den havgående flåde i Vestgrønland. TAC´en for rejer ved Østgrønland tildeles udelukkende den havgående flådekomponent. </w:t>
      </w:r>
    </w:p>
    <w:p w:rsidR="00552CD3" w:rsidRPr="00687680" w:rsidRDefault="00552CD3">
      <w:pPr>
        <w:spacing w:after="0"/>
        <w:jc w:val="both"/>
        <w:rPr>
          <w:rFonts w:ascii="Times New Roman" w:eastAsiaTheme="minorHAnsi" w:hAnsi="Times New Roman"/>
          <w:color w:val="000000" w:themeColor="text1"/>
        </w:rPr>
      </w:pPr>
    </w:p>
    <w:p w:rsidR="00552CD3" w:rsidRPr="00687680" w:rsidRDefault="00552CD3">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I 2012 blev der indført individuelt omsættelige kvoter til fartøjer over 6 meter i det kystnære fiskeri efter hellefisk i forvaltningsområderne ved Diskobugten, Uumannaq og Upernavik i Vestgrønland. Den kystnære kvote efter hellefisk blev efterfølgende delt op på kvote til fartøjer 6 meter eller under, hvor der fiskes olympisk</w:t>
      </w:r>
      <w:r w:rsidR="00BA1DCD" w:rsidRPr="00687680">
        <w:rPr>
          <w:rFonts w:ascii="Times New Roman" w:eastAsiaTheme="minorHAnsi" w:hAnsi="Times New Roman"/>
          <w:color w:val="000000" w:themeColor="text1"/>
        </w:rPr>
        <w:t>,</w:t>
      </w:r>
      <w:r w:rsidRPr="00687680">
        <w:rPr>
          <w:rFonts w:ascii="Times New Roman" w:eastAsiaTheme="minorHAnsi" w:hAnsi="Times New Roman"/>
          <w:color w:val="000000" w:themeColor="text1"/>
        </w:rPr>
        <w:t xml:space="preserve"> og omsættelige kvote for fartøjer over 6 meter. En virksomhed kan højest eje op til 5 pct. af den samlede omsættelige kystnære hellefiskekvote.</w:t>
      </w:r>
    </w:p>
    <w:p w:rsidR="00552CD3" w:rsidRPr="00687680" w:rsidRDefault="00552CD3">
      <w:pPr>
        <w:spacing w:after="0"/>
        <w:jc w:val="both"/>
        <w:rPr>
          <w:rFonts w:ascii="Times New Roman" w:eastAsiaTheme="minorHAnsi" w:hAnsi="Times New Roman"/>
          <w:color w:val="000000" w:themeColor="text1"/>
        </w:rPr>
      </w:pPr>
    </w:p>
    <w:p w:rsidR="00552CD3" w:rsidRPr="00687680" w:rsidRDefault="00552CD3">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For at sikre en hensigtsmæssig udnyttelse af kapaciteten i flåden med omsættelige kvoter er indført et system kaldet ”Kvoteflex”. Systemet tillader, at et selskab fra 15. nov. kan få et kvoteforskud på næste års kvote. Ligeledes tillades kvoteoverførsel fra indeværende år til næste år. Dog skal den overførte kvote skal anvendes inden 30. april. Både rejefiskeriet og det kystnære hellefiskefiskeri med fartøjskvoter er omfattet af kvoteflex.</w:t>
      </w:r>
    </w:p>
    <w:p w:rsidR="00552CD3" w:rsidRPr="00687680" w:rsidRDefault="00552CD3">
      <w:pPr>
        <w:spacing w:after="0"/>
        <w:jc w:val="both"/>
        <w:rPr>
          <w:rFonts w:ascii="Times New Roman" w:eastAsiaTheme="minorHAnsi" w:hAnsi="Times New Roman"/>
          <w:b/>
          <w:color w:val="000000" w:themeColor="text1"/>
        </w:rPr>
      </w:pPr>
    </w:p>
    <w:p w:rsidR="00552CD3" w:rsidRPr="00687680" w:rsidRDefault="00552CD3">
      <w:pPr>
        <w:spacing w:after="0"/>
        <w:jc w:val="both"/>
        <w:rPr>
          <w:rFonts w:ascii="Times New Roman" w:eastAsiaTheme="minorHAnsi" w:hAnsi="Times New Roman"/>
          <w:b/>
          <w:color w:val="000000" w:themeColor="text1"/>
        </w:rPr>
      </w:pPr>
      <w:r w:rsidRPr="00687680">
        <w:rPr>
          <w:rFonts w:ascii="Times New Roman" w:eastAsiaTheme="minorHAnsi" w:hAnsi="Times New Roman"/>
          <w:b/>
          <w:color w:val="000000" w:themeColor="text1"/>
        </w:rPr>
        <w:t>Fiskeflåden</w:t>
      </w:r>
    </w:p>
    <w:p w:rsidR="00552CD3" w:rsidRPr="00687680" w:rsidRDefault="00552CD3">
      <w:pPr>
        <w:autoSpaceDE w:val="0"/>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Der er relativ</w:t>
      </w:r>
      <w:r w:rsidR="003F0EA0" w:rsidRPr="00687680">
        <w:rPr>
          <w:rFonts w:ascii="Times New Roman" w:eastAsiaTheme="minorHAnsi" w:hAnsi="Times New Roman"/>
          <w:color w:val="000000" w:themeColor="text1"/>
        </w:rPr>
        <w:t>t</w:t>
      </w:r>
      <w:r w:rsidRPr="00687680">
        <w:rPr>
          <w:rFonts w:ascii="Times New Roman" w:eastAsiaTheme="minorHAnsi" w:hAnsi="Times New Roman"/>
          <w:color w:val="000000" w:themeColor="text1"/>
        </w:rPr>
        <w:t xml:space="preserve"> stor variation i fartøjsstørrelserne inden for fiskeflåden. Flåden består både af hundeslæder og joller samt nogle af verdens største fabrikstrawlere. En oversigt over fartøjer</w:t>
      </w:r>
      <w:r w:rsidR="003A34EA" w:rsidRPr="00687680">
        <w:rPr>
          <w:rFonts w:ascii="Times New Roman" w:eastAsiaTheme="minorHAnsi" w:hAnsi="Times New Roman"/>
          <w:color w:val="000000" w:themeColor="text1"/>
        </w:rPr>
        <w:t xml:space="preserve"> i 2018</w:t>
      </w:r>
      <w:r w:rsidRPr="00687680">
        <w:rPr>
          <w:rFonts w:ascii="Times New Roman" w:eastAsiaTheme="minorHAnsi" w:hAnsi="Times New Roman"/>
          <w:color w:val="000000" w:themeColor="text1"/>
        </w:rPr>
        <w:t xml:space="preserve"> er gengivet i Bilag A, tabel </w:t>
      </w:r>
      <w:r w:rsidR="009F527A" w:rsidRPr="00687680">
        <w:rPr>
          <w:rFonts w:ascii="Times New Roman" w:eastAsiaTheme="minorHAnsi" w:hAnsi="Times New Roman"/>
          <w:color w:val="000000" w:themeColor="text1"/>
        </w:rPr>
        <w:t>A.6</w:t>
      </w:r>
      <w:r w:rsidRPr="00687680">
        <w:rPr>
          <w:rFonts w:ascii="Times New Roman" w:eastAsiaTheme="minorHAnsi" w:hAnsi="Times New Roman"/>
          <w:color w:val="000000" w:themeColor="text1"/>
        </w:rPr>
        <w:t>.</w:t>
      </w:r>
    </w:p>
    <w:p w:rsidR="00552CD3" w:rsidRPr="00687680" w:rsidRDefault="00552CD3">
      <w:pPr>
        <w:autoSpaceDE w:val="0"/>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 xml:space="preserve"> </w:t>
      </w:r>
    </w:p>
    <w:p w:rsidR="00552CD3" w:rsidRPr="00687680" w:rsidRDefault="00552CD3">
      <w:pPr>
        <w:autoSpaceDE w:val="0"/>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 xml:space="preserve">Ejerstrukturen i den havgående del af fiskeflåden samt den kystnære rejeflåde er domineret af få store virksomheder. </w:t>
      </w:r>
    </w:p>
    <w:p w:rsidR="00552CD3" w:rsidRPr="00687680" w:rsidRDefault="00552CD3">
      <w:pPr>
        <w:autoSpaceDE w:val="0"/>
        <w:spacing w:after="0"/>
        <w:jc w:val="both"/>
        <w:rPr>
          <w:rFonts w:ascii="Times New Roman" w:eastAsiaTheme="minorHAnsi" w:hAnsi="Times New Roman"/>
          <w:color w:val="000000" w:themeColor="text1"/>
        </w:rPr>
      </w:pPr>
    </w:p>
    <w:p w:rsidR="00552CD3" w:rsidRPr="00687680" w:rsidRDefault="00552CD3">
      <w:pPr>
        <w:autoSpaceDE w:val="0"/>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 xml:space="preserve">Hovedparten af jollerne og de mindre fartøjer i den kystnære flåde er enten enkeltmandsejet eller drives af erhvervsfiskere i fællesskab. </w:t>
      </w:r>
    </w:p>
    <w:p w:rsidR="00552CD3" w:rsidRPr="00687680" w:rsidRDefault="00552CD3">
      <w:pPr>
        <w:spacing w:after="0"/>
        <w:jc w:val="both"/>
        <w:rPr>
          <w:rFonts w:ascii="Times New Roman" w:eastAsiaTheme="minorHAnsi" w:hAnsi="Times New Roman"/>
          <w:b/>
          <w:color w:val="000000" w:themeColor="text1"/>
        </w:rPr>
      </w:pPr>
    </w:p>
    <w:p w:rsidR="00552CD3" w:rsidRPr="00687680" w:rsidRDefault="00552CD3">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Erhvervsfiskerflåden er domineret af et meget stort antal joller, der ikke er registreret i noget fartøjsregister. Jolleflåden repræsenterer en betydelig fiskerikapacitet i det kystnære fiskeri, men grundet den manglende registrering af disse erhvervsfartøjer findes der ikke nogen troværdig opgørelse af fiskerikapaciteten i dette fartøjssegment. I de senere år har der været stigende udstedelse af licenser i det kystnære fiskeri efter hellefisk og t</w:t>
      </w:r>
      <w:r w:rsidR="00A90861" w:rsidRPr="00687680">
        <w:rPr>
          <w:rFonts w:ascii="Times New Roman" w:eastAsiaTheme="minorHAnsi" w:hAnsi="Times New Roman"/>
          <w:color w:val="000000" w:themeColor="text1"/>
        </w:rPr>
        <w:t>orsk, som det fremgår af figur 4</w:t>
      </w:r>
      <w:r w:rsidRPr="00687680">
        <w:rPr>
          <w:rFonts w:ascii="Times New Roman" w:eastAsiaTheme="minorHAnsi" w:hAnsi="Times New Roman"/>
          <w:color w:val="000000" w:themeColor="text1"/>
        </w:rPr>
        <w:t>. Det har givet et øget antal joller og små fartøjer - og en betydelig overkapacitet i dele af fiskeflåden.</w:t>
      </w:r>
    </w:p>
    <w:p w:rsidR="007D3C9D" w:rsidRPr="00687680" w:rsidRDefault="007D3C9D">
      <w:pPr>
        <w:spacing w:after="0"/>
        <w:jc w:val="both"/>
        <w:rPr>
          <w:rFonts w:ascii="Times New Roman" w:eastAsiaTheme="minorHAnsi" w:hAnsi="Times New Roman"/>
          <w:color w:val="000000" w:themeColor="text1"/>
        </w:rPr>
      </w:pPr>
    </w:p>
    <w:p w:rsidR="00577477" w:rsidRPr="00687680" w:rsidRDefault="00577477">
      <w:pPr>
        <w:spacing w:after="0"/>
        <w:jc w:val="both"/>
        <w:rPr>
          <w:rFonts w:ascii="Times New Roman" w:eastAsiaTheme="minorHAnsi" w:hAnsi="Times New Roman"/>
          <w:color w:val="000000" w:themeColor="text1"/>
        </w:rPr>
      </w:pPr>
    </w:p>
    <w:p w:rsidR="00552CD3" w:rsidRPr="00687680" w:rsidRDefault="00552CD3">
      <w:pPr>
        <w:spacing w:after="0"/>
        <w:jc w:val="both"/>
        <w:rPr>
          <w:rFonts w:ascii="Times New Roman" w:eastAsiaTheme="minorHAnsi" w:hAnsi="Times New Roman"/>
          <w:color w:val="000000" w:themeColor="text1"/>
        </w:rPr>
      </w:pPr>
      <w:r w:rsidRPr="00687680">
        <w:rPr>
          <w:rFonts w:ascii="Times New Roman" w:eastAsiaTheme="minorHAnsi" w:hAnsi="Times New Roman"/>
          <w:color w:val="000000" w:themeColor="text1"/>
        </w:rPr>
        <w:t xml:space="preserve">Figur </w:t>
      </w:r>
      <w:r w:rsidR="00A90861" w:rsidRPr="00687680">
        <w:rPr>
          <w:rFonts w:ascii="Times New Roman" w:eastAsiaTheme="minorHAnsi" w:hAnsi="Times New Roman"/>
          <w:color w:val="000000" w:themeColor="text1"/>
        </w:rPr>
        <w:t>4</w:t>
      </w:r>
      <w:r w:rsidRPr="00687680">
        <w:rPr>
          <w:rFonts w:ascii="Times New Roman" w:eastAsiaTheme="minorHAnsi" w:hAnsi="Times New Roman"/>
          <w:color w:val="000000" w:themeColor="text1"/>
        </w:rPr>
        <w:t>: Udvikling i udstedte licenser i det kystnære torskefiskeri og jollefiskeri efter hellefisk, 2013-2019.</w:t>
      </w:r>
    </w:p>
    <w:p w:rsidR="00552CD3" w:rsidRPr="00687680" w:rsidRDefault="00552CD3">
      <w:pPr>
        <w:spacing w:after="0"/>
        <w:jc w:val="both"/>
        <w:rPr>
          <w:rFonts w:ascii="Times New Roman" w:hAnsi="Times New Roman"/>
          <w:color w:val="000000"/>
        </w:rPr>
      </w:pPr>
      <w:r w:rsidRPr="0075698C">
        <w:rPr>
          <w:rFonts w:ascii="Times New Roman" w:hAnsi="Times New Roman"/>
          <w:noProof/>
          <w:sz w:val="20"/>
          <w:szCs w:val="20"/>
          <w:lang w:eastAsia="da-DK"/>
        </w:rPr>
        <w:lastRenderedPageBreak/>
        <w:drawing>
          <wp:inline distT="0" distB="0" distL="0" distR="0" wp14:anchorId="79A11C76" wp14:editId="34CDD274">
            <wp:extent cx="5391397" cy="2873828"/>
            <wp:effectExtent l="0" t="0" r="0" b="3175"/>
            <wp:docPr id="9" name="Diagram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52CD3" w:rsidRPr="0075698C" w:rsidRDefault="00552CD3">
      <w:pPr>
        <w:spacing w:after="0"/>
        <w:jc w:val="both"/>
        <w:rPr>
          <w:rFonts w:ascii="Times New Roman" w:hAnsi="Times New Roman"/>
          <w:i/>
          <w:color w:val="000000"/>
          <w:sz w:val="20"/>
          <w:szCs w:val="20"/>
        </w:rPr>
      </w:pPr>
      <w:r w:rsidRPr="0075698C">
        <w:rPr>
          <w:rFonts w:ascii="Times New Roman" w:hAnsi="Times New Roman"/>
          <w:i/>
          <w:color w:val="000000"/>
          <w:sz w:val="20"/>
          <w:szCs w:val="20"/>
        </w:rPr>
        <w:t>Kilde: GFLK.</w:t>
      </w:r>
    </w:p>
    <w:p w:rsidR="00552CD3" w:rsidRPr="0075698C" w:rsidRDefault="00552CD3">
      <w:pPr>
        <w:spacing w:after="0"/>
        <w:jc w:val="both"/>
        <w:rPr>
          <w:rFonts w:ascii="Times New Roman" w:hAnsi="Times New Roman"/>
          <w:i/>
          <w:color w:val="000000"/>
          <w:sz w:val="20"/>
          <w:szCs w:val="20"/>
        </w:rPr>
      </w:pPr>
      <w:r w:rsidRPr="0075698C">
        <w:rPr>
          <w:rFonts w:ascii="Times New Roman" w:hAnsi="Times New Roman"/>
          <w:i/>
          <w:color w:val="000000"/>
          <w:sz w:val="20"/>
          <w:szCs w:val="20"/>
        </w:rPr>
        <w:t>Note: Antal udstedte licenser for jollefiskeriet efter hellefisk er det samlede antal licenser i hhv. forvaltningsområderne og resten af Grønland.</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En stor del af fiskeflåden består af ældre fartøjer so</w:t>
      </w:r>
      <w:r w:rsidR="00A90861" w:rsidRPr="0075698C">
        <w:rPr>
          <w:rFonts w:ascii="Times New Roman" w:eastAsiaTheme="minorHAnsi" w:hAnsi="Times New Roman"/>
          <w:color w:val="000000" w:themeColor="text1"/>
        </w:rPr>
        <w:t>m det fremgår af figur 5</w:t>
      </w:r>
      <w:r w:rsidRPr="0075698C">
        <w:rPr>
          <w:rFonts w:ascii="Times New Roman" w:eastAsiaTheme="minorHAnsi" w:hAnsi="Times New Roman"/>
          <w:color w:val="000000" w:themeColor="text1"/>
        </w:rPr>
        <w:t xml:space="preserve">. </w:t>
      </w:r>
    </w:p>
    <w:p w:rsidR="00552CD3" w:rsidRPr="0075698C" w:rsidRDefault="00552CD3">
      <w:pPr>
        <w:spacing w:after="0"/>
        <w:jc w:val="both"/>
        <w:rPr>
          <w:rFonts w:ascii="Times New Roman" w:eastAsiaTheme="minorHAnsi" w:hAnsi="Times New Roman"/>
          <w:color w:val="000000" w:themeColor="text1"/>
        </w:rPr>
      </w:pPr>
    </w:p>
    <w:p w:rsidR="007D3C9D" w:rsidRPr="0075698C" w:rsidRDefault="00552CD3">
      <w:pPr>
        <w:spacing w:after="0"/>
        <w:jc w:val="both"/>
        <w:rPr>
          <w:rFonts w:ascii="Times New Roman" w:hAnsi="Times New Roman"/>
          <w:color w:val="000000" w:themeColor="text1"/>
        </w:rPr>
      </w:pPr>
      <w:r w:rsidRPr="0075698C">
        <w:rPr>
          <w:rFonts w:ascii="Times New Roman" w:eastAsiaTheme="minorHAnsi" w:hAnsi="Times New Roman"/>
          <w:color w:val="000000" w:themeColor="text1"/>
        </w:rPr>
        <w:t xml:space="preserve">Figur </w:t>
      </w:r>
      <w:r w:rsidR="00A90861" w:rsidRPr="0075698C">
        <w:rPr>
          <w:rFonts w:ascii="Times New Roman" w:eastAsiaTheme="minorHAnsi" w:hAnsi="Times New Roman"/>
          <w:color w:val="000000" w:themeColor="text1"/>
        </w:rPr>
        <w:t>5</w:t>
      </w:r>
      <w:r w:rsidRPr="0075698C">
        <w:rPr>
          <w:rFonts w:ascii="Times New Roman" w:eastAsiaTheme="minorHAnsi" w:hAnsi="Times New Roman"/>
          <w:color w:val="000000" w:themeColor="text1"/>
        </w:rPr>
        <w:t xml:space="preserve">: </w:t>
      </w:r>
      <w:r w:rsidR="007D3C9D" w:rsidRPr="0075698C">
        <w:rPr>
          <w:rFonts w:ascii="Times New Roman" w:hAnsi="Times New Roman"/>
          <w:color w:val="000000" w:themeColor="text1"/>
        </w:rPr>
        <w:t xml:space="preserve"> Fiskeflådens aldersfordeling (registrerede fartøjer over 6 m), oktober 2019.</w:t>
      </w:r>
    </w:p>
    <w:p w:rsidR="007D3C9D" w:rsidRPr="0075698C" w:rsidRDefault="007D3C9D">
      <w:pPr>
        <w:spacing w:after="0"/>
        <w:jc w:val="both"/>
        <w:rPr>
          <w:rFonts w:ascii="Times New Roman" w:eastAsiaTheme="minorHAnsi" w:hAnsi="Times New Roman"/>
          <w:b/>
          <w:color w:val="000000" w:themeColor="text1"/>
        </w:rPr>
      </w:pPr>
      <w:r w:rsidRPr="0075698C">
        <w:rPr>
          <w:rFonts w:ascii="Times New Roman" w:hAnsi="Times New Roman"/>
          <w:noProof/>
          <w:lang w:eastAsia="da-DK"/>
        </w:rPr>
        <w:drawing>
          <wp:inline distT="0" distB="0" distL="0" distR="0" wp14:anchorId="73B773DE" wp14:editId="5FE50FE5">
            <wp:extent cx="5471292" cy="3301340"/>
            <wp:effectExtent l="0" t="0" r="0" b="0"/>
            <wp:docPr id="11" name="Diagram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D3C9D" w:rsidRPr="0075698C" w:rsidRDefault="007D3C9D">
      <w:pPr>
        <w:spacing w:after="0"/>
        <w:jc w:val="both"/>
        <w:rPr>
          <w:rFonts w:ascii="Times New Roman" w:eastAsiaTheme="minorHAnsi" w:hAnsi="Times New Roman"/>
          <w:b/>
          <w:color w:val="000000" w:themeColor="text1"/>
        </w:rPr>
      </w:pPr>
    </w:p>
    <w:p w:rsidR="007D3C9D" w:rsidRPr="0075698C" w:rsidRDefault="007D3C9D">
      <w:pPr>
        <w:spacing w:after="0"/>
        <w:jc w:val="both"/>
        <w:rPr>
          <w:rFonts w:ascii="Times New Roman" w:eastAsiaTheme="minorHAnsi" w:hAnsi="Times New Roman"/>
          <w:b/>
          <w:color w:val="000000" w:themeColor="text1"/>
        </w:rPr>
      </w:pPr>
    </w:p>
    <w:p w:rsidR="007D3C9D" w:rsidRPr="0075698C" w:rsidRDefault="007D3C9D">
      <w:pPr>
        <w:spacing w:after="0"/>
        <w:jc w:val="both"/>
        <w:rPr>
          <w:rFonts w:ascii="Times New Roman" w:eastAsiaTheme="minorHAnsi" w:hAnsi="Times New Roman"/>
          <w:b/>
          <w:color w:val="000000" w:themeColor="text1"/>
        </w:rPr>
      </w:pPr>
    </w:p>
    <w:p w:rsidR="007D3C9D" w:rsidRPr="0075698C" w:rsidRDefault="007D3C9D">
      <w:pPr>
        <w:spacing w:after="0"/>
        <w:jc w:val="both"/>
        <w:rPr>
          <w:rFonts w:ascii="Times New Roman" w:eastAsiaTheme="minorHAnsi" w:hAnsi="Times New Roman"/>
          <w:b/>
          <w:color w:val="000000" w:themeColor="text1"/>
        </w:rPr>
      </w:pPr>
    </w:p>
    <w:p w:rsidR="007D3C9D" w:rsidRPr="0075698C" w:rsidRDefault="007D3C9D">
      <w:pPr>
        <w:spacing w:after="0"/>
        <w:jc w:val="both"/>
        <w:rPr>
          <w:rFonts w:ascii="Times New Roman" w:eastAsiaTheme="minorHAnsi" w:hAnsi="Times New Roman"/>
          <w:b/>
          <w:color w:val="000000" w:themeColor="text1"/>
        </w:rPr>
      </w:pP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i/>
          <w:color w:val="000000" w:themeColor="text1"/>
          <w:sz w:val="20"/>
          <w:szCs w:val="20"/>
        </w:rPr>
      </w:pPr>
      <w:r w:rsidRPr="0075698C">
        <w:rPr>
          <w:rFonts w:ascii="Times New Roman" w:eastAsiaTheme="minorHAnsi" w:hAnsi="Times New Roman"/>
          <w:i/>
          <w:color w:val="000000" w:themeColor="text1"/>
          <w:sz w:val="20"/>
          <w:szCs w:val="20"/>
        </w:rPr>
        <w:t xml:space="preserve">Kilde: </w:t>
      </w:r>
      <w:r w:rsidR="007D3C9D" w:rsidRPr="0075698C">
        <w:rPr>
          <w:rFonts w:ascii="Times New Roman" w:eastAsiaTheme="minorHAnsi" w:hAnsi="Times New Roman"/>
          <w:i/>
          <w:color w:val="000000" w:themeColor="text1"/>
          <w:sz w:val="20"/>
          <w:szCs w:val="20"/>
        </w:rPr>
        <w:t xml:space="preserve">Særkørsel fra </w:t>
      </w:r>
      <w:r w:rsidRPr="0075698C">
        <w:rPr>
          <w:rFonts w:ascii="Times New Roman" w:eastAsiaTheme="minorHAnsi" w:hAnsi="Times New Roman"/>
          <w:i/>
          <w:color w:val="000000" w:themeColor="text1"/>
          <w:sz w:val="20"/>
          <w:szCs w:val="20"/>
        </w:rPr>
        <w:t>Grønlands Statistik.</w:t>
      </w:r>
    </w:p>
    <w:p w:rsidR="007D3C9D" w:rsidRPr="0075698C" w:rsidRDefault="007D3C9D">
      <w:pPr>
        <w:spacing w:after="0"/>
        <w:jc w:val="both"/>
        <w:rPr>
          <w:rFonts w:ascii="Times New Roman" w:hAnsi="Times New Roman"/>
          <w:i/>
          <w:color w:val="000000" w:themeColor="text1"/>
          <w:sz w:val="20"/>
          <w:szCs w:val="20"/>
        </w:rPr>
      </w:pPr>
      <w:r w:rsidRPr="0075698C">
        <w:rPr>
          <w:rFonts w:ascii="Times New Roman" w:hAnsi="Times New Roman"/>
          <w:i/>
          <w:color w:val="000000" w:themeColor="text1"/>
          <w:sz w:val="20"/>
          <w:szCs w:val="20"/>
        </w:rPr>
        <w:lastRenderedPageBreak/>
        <w:t>Note: To af trawlerne i den øvrige havgående flåde fiskede også efter rejer uden for Grønland i 2019.</w:t>
      </w:r>
    </w:p>
    <w:p w:rsidR="00552CD3" w:rsidRPr="0075698C" w:rsidRDefault="00552CD3">
      <w:pPr>
        <w:spacing w:after="0"/>
        <w:jc w:val="both"/>
        <w:rPr>
          <w:rFonts w:ascii="Times New Roman" w:eastAsiaTheme="minorHAnsi" w:hAnsi="Times New Roman"/>
          <w:color w:val="000000" w:themeColor="text1"/>
        </w:rPr>
      </w:pPr>
    </w:p>
    <w:p w:rsidR="000213F9" w:rsidRPr="0075698C" w:rsidRDefault="000213F9">
      <w:pPr>
        <w:jc w:val="both"/>
        <w:rPr>
          <w:rFonts w:ascii="Times New Roman" w:eastAsiaTheme="minorHAnsi" w:hAnsi="Times New Roman"/>
          <w:color w:val="000000"/>
          <w:shd w:val="clear" w:color="auto" w:fill="FFFFFF"/>
        </w:rPr>
      </w:pPr>
      <w:r w:rsidRPr="0075698C">
        <w:rPr>
          <w:rFonts w:ascii="Times New Roman" w:hAnsi="Times New Roman"/>
          <w:color w:val="000000"/>
        </w:rPr>
        <w:t xml:space="preserve">I 2019 var gennemsnitsalderen i flåden 24 år, og omkring halvdelen af fiskefartøjerne er 25 år gamle eller ældre. Det er derfor behov for </w:t>
      </w:r>
      <w:r w:rsidRPr="0075698C">
        <w:rPr>
          <w:rFonts w:ascii="Times New Roman" w:hAnsi="Times New Roman"/>
          <w:color w:val="000000"/>
          <w:shd w:val="clear" w:color="auto" w:fill="FFFFFF"/>
        </w:rPr>
        <w:t>fornyelse af dele af fiskeflåden. Der er i enkelte fiskerier er tale om en mere moderne flådestruktur. Dette gælder særligt for det havgående rejefiskeri, som består af dels helt nye fartøjer, dels af fartøjer mellem 17-19 år.</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b/>
          <w:color w:val="000000" w:themeColor="text1"/>
        </w:rPr>
      </w:pPr>
      <w:r w:rsidRPr="0075698C">
        <w:rPr>
          <w:rFonts w:ascii="Times New Roman" w:eastAsiaTheme="minorHAnsi" w:hAnsi="Times New Roman"/>
          <w:b/>
          <w:color w:val="000000" w:themeColor="text1"/>
        </w:rPr>
        <w:t>TAC, kvoter og fangster</w:t>
      </w: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 xml:space="preserve">Den samlede grønlandske TAC i det havgående fiskeri fordeles på kvoter tildelt det grønlandske fiskeri, kvoter tildelt EU i henhold til fiskeriaftale samt kvoter tildelt Rusland, Norge og Færøerne i henhold til bilaterale kvoteaftaler. I tabel </w:t>
      </w:r>
      <w:r w:rsidR="00A90861" w:rsidRPr="0075698C">
        <w:rPr>
          <w:rFonts w:ascii="Times New Roman" w:eastAsiaTheme="minorHAnsi" w:hAnsi="Times New Roman"/>
          <w:color w:val="000000" w:themeColor="text1"/>
        </w:rPr>
        <w:t>2</w:t>
      </w:r>
      <w:r w:rsidRPr="0075698C">
        <w:rPr>
          <w:rFonts w:ascii="Times New Roman" w:eastAsiaTheme="minorHAnsi" w:hAnsi="Times New Roman"/>
          <w:color w:val="000000" w:themeColor="text1"/>
        </w:rPr>
        <w:t xml:space="preserve"> fremstilles de vigtigste fiskekvoter i Grønland. Der henvises i øvrigt til bilag A. </w:t>
      </w:r>
    </w:p>
    <w:p w:rsidR="00552CD3" w:rsidRPr="0075698C" w:rsidRDefault="00552CD3">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 xml:space="preserve">Tabel </w:t>
      </w:r>
      <w:r w:rsidR="00A90861" w:rsidRPr="0075698C">
        <w:rPr>
          <w:rFonts w:ascii="Times New Roman" w:eastAsiaTheme="minorHAnsi" w:hAnsi="Times New Roman"/>
          <w:color w:val="000000" w:themeColor="text1"/>
        </w:rPr>
        <w:t>2</w:t>
      </w:r>
      <w:r w:rsidRPr="0075698C">
        <w:rPr>
          <w:rFonts w:ascii="Times New Roman" w:eastAsiaTheme="minorHAnsi" w:hAnsi="Times New Roman"/>
          <w:color w:val="000000" w:themeColor="text1"/>
        </w:rPr>
        <w:t>: De vigtigste fiskekvoter i Grønland, 2014-2019.</w:t>
      </w:r>
    </w:p>
    <w:tbl>
      <w:tblPr>
        <w:tblW w:w="8724" w:type="dxa"/>
        <w:tblCellMar>
          <w:left w:w="70" w:type="dxa"/>
          <w:right w:w="70" w:type="dxa"/>
        </w:tblCellMar>
        <w:tblLook w:val="04A0" w:firstRow="1" w:lastRow="0" w:firstColumn="1" w:lastColumn="0" w:noHBand="0" w:noVBand="1"/>
      </w:tblPr>
      <w:tblGrid>
        <w:gridCol w:w="2996"/>
        <w:gridCol w:w="1249"/>
        <w:gridCol w:w="915"/>
        <w:gridCol w:w="915"/>
        <w:gridCol w:w="915"/>
        <w:gridCol w:w="915"/>
        <w:gridCol w:w="819"/>
      </w:tblGrid>
      <w:tr w:rsidR="00552CD3" w:rsidRPr="00687680" w:rsidTr="0075698C">
        <w:trPr>
          <w:trHeight w:val="294"/>
        </w:trPr>
        <w:tc>
          <w:tcPr>
            <w:tcW w:w="2996"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Tons</w:t>
            </w:r>
          </w:p>
        </w:tc>
        <w:tc>
          <w:tcPr>
            <w:tcW w:w="1249"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2014</w:t>
            </w:r>
          </w:p>
        </w:tc>
        <w:tc>
          <w:tcPr>
            <w:tcW w:w="915"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2015</w:t>
            </w:r>
          </w:p>
        </w:tc>
        <w:tc>
          <w:tcPr>
            <w:tcW w:w="915"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2016</w:t>
            </w:r>
          </w:p>
        </w:tc>
        <w:tc>
          <w:tcPr>
            <w:tcW w:w="915"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2017</w:t>
            </w:r>
          </w:p>
        </w:tc>
        <w:tc>
          <w:tcPr>
            <w:tcW w:w="915"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2018</w:t>
            </w:r>
          </w:p>
        </w:tc>
        <w:tc>
          <w:tcPr>
            <w:tcW w:w="819"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2019</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Rejer</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80.207</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69.661</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80.826</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87.206</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97.948</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100.833</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 xml:space="preserve">  Havgående – Vest</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45.262</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39.365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45.715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49.223</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55.517</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57.332</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 xml:space="preserve">  Havgående – Øst</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800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600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625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850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550</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250</w:t>
            </w:r>
          </w:p>
        </w:tc>
      </w:tr>
      <w:tr w:rsidR="00552CD3" w:rsidRPr="00687680" w:rsidTr="0075698C">
        <w:trPr>
          <w:trHeight w:val="313"/>
        </w:trPr>
        <w:tc>
          <w:tcPr>
            <w:tcW w:w="2996"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 xml:space="preserve">  Kystnær – Vest</w:t>
            </w:r>
          </w:p>
        </w:tc>
        <w:tc>
          <w:tcPr>
            <w:tcW w:w="1249"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34.145</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29.696</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34.486</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37.133</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41.881</w:t>
            </w:r>
          </w:p>
        </w:tc>
        <w:tc>
          <w:tcPr>
            <w:tcW w:w="819"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43.251</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Hellefisk</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38.154</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41.728</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40.022</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41.575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41.875</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44.301</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 xml:space="preserve">  Havgående – Vest</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8.075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9.725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9.725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10.875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10.975</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13.009</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 xml:space="preserve">  Havgående – Øst</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3.685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3.803</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1.797</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2.500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2.700</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2.755</w:t>
            </w:r>
          </w:p>
        </w:tc>
      </w:tr>
      <w:tr w:rsidR="00552CD3" w:rsidRPr="00687680" w:rsidTr="0075698C">
        <w:trPr>
          <w:trHeight w:val="313"/>
        </w:trPr>
        <w:tc>
          <w:tcPr>
            <w:tcW w:w="2996"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 xml:space="preserve">  Kystnær – Vest</w:t>
            </w:r>
          </w:p>
        </w:tc>
        <w:tc>
          <w:tcPr>
            <w:tcW w:w="1249" w:type="dxa"/>
            <w:tcBorders>
              <w:top w:val="nil"/>
              <w:left w:val="nil"/>
              <w:bottom w:val="single" w:sz="4" w:space="0" w:color="000000"/>
              <w:right w:val="nil"/>
            </w:tcBorders>
            <w:shd w:val="clear" w:color="000000" w:fill="FFFFFF"/>
            <w:noWrap/>
            <w:vAlign w:val="center"/>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26.394</w:t>
            </w:r>
          </w:p>
        </w:tc>
        <w:tc>
          <w:tcPr>
            <w:tcW w:w="915" w:type="dxa"/>
            <w:tcBorders>
              <w:top w:val="nil"/>
              <w:left w:val="nil"/>
              <w:bottom w:val="single" w:sz="4" w:space="0" w:color="000000"/>
              <w:right w:val="nil"/>
            </w:tcBorders>
            <w:shd w:val="clear" w:color="000000" w:fill="FFFFFF"/>
            <w:noWrap/>
            <w:vAlign w:val="center"/>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28.200</w:t>
            </w:r>
          </w:p>
        </w:tc>
        <w:tc>
          <w:tcPr>
            <w:tcW w:w="915" w:type="dxa"/>
            <w:tcBorders>
              <w:top w:val="nil"/>
              <w:left w:val="nil"/>
              <w:bottom w:val="single" w:sz="4" w:space="0" w:color="000000"/>
              <w:right w:val="nil"/>
            </w:tcBorders>
            <w:shd w:val="clear" w:color="000000" w:fill="FFFFFF"/>
            <w:noWrap/>
            <w:vAlign w:val="center"/>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28.500</w:t>
            </w:r>
          </w:p>
        </w:tc>
        <w:tc>
          <w:tcPr>
            <w:tcW w:w="915" w:type="dxa"/>
            <w:tcBorders>
              <w:top w:val="nil"/>
              <w:left w:val="nil"/>
              <w:bottom w:val="single" w:sz="4" w:space="0" w:color="000000"/>
              <w:right w:val="nil"/>
            </w:tcBorders>
            <w:shd w:val="clear" w:color="000000" w:fill="FFFFFF"/>
            <w:noWrap/>
            <w:vAlign w:val="center"/>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28.200</w:t>
            </w:r>
          </w:p>
        </w:tc>
        <w:tc>
          <w:tcPr>
            <w:tcW w:w="915" w:type="dxa"/>
            <w:tcBorders>
              <w:top w:val="nil"/>
              <w:left w:val="nil"/>
              <w:bottom w:val="single" w:sz="4" w:space="0" w:color="000000"/>
              <w:right w:val="nil"/>
            </w:tcBorders>
            <w:shd w:val="clear" w:color="000000" w:fill="FFFFFF"/>
            <w:noWrap/>
            <w:vAlign w:val="center"/>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28.200</w:t>
            </w:r>
          </w:p>
        </w:tc>
        <w:tc>
          <w:tcPr>
            <w:tcW w:w="819" w:type="dxa"/>
            <w:tcBorders>
              <w:top w:val="nil"/>
              <w:left w:val="nil"/>
              <w:bottom w:val="single" w:sz="4" w:space="0" w:color="000000"/>
              <w:right w:val="nil"/>
            </w:tcBorders>
            <w:shd w:val="clear" w:color="000000" w:fill="FFFFFF"/>
            <w:noWrap/>
            <w:vAlign w:val="center"/>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28.537</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Torsk</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24.745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38.945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52.275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52.875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52.775</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43.275</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 xml:space="preserve">  Havgående – Vest</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5.000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5.000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5.000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5.000</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 xml:space="preserve">  Havgående - Sydvest og Øst</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6.245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6.445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11.875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11.375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11.275</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15.475</w:t>
            </w:r>
          </w:p>
        </w:tc>
      </w:tr>
      <w:tr w:rsidR="00552CD3" w:rsidRPr="00687680" w:rsidTr="0075698C">
        <w:trPr>
          <w:trHeight w:val="313"/>
        </w:trPr>
        <w:tc>
          <w:tcPr>
            <w:tcW w:w="2996"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 xml:space="preserve">  Kystnær</w:t>
            </w:r>
          </w:p>
        </w:tc>
        <w:tc>
          <w:tcPr>
            <w:tcW w:w="1249"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18.500</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27.500</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35.400</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36.500</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36.500</w:t>
            </w:r>
          </w:p>
        </w:tc>
        <w:tc>
          <w:tcPr>
            <w:tcW w:w="819"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27.800</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 xml:space="preserve">Rødfisk </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6.900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9.700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6.500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5.525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5.525</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2.974</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 xml:space="preserve">  Havgående – Vest</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1.000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1.000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1.000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1.000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1.000</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1.000</w:t>
            </w:r>
          </w:p>
        </w:tc>
      </w:tr>
      <w:tr w:rsidR="00552CD3" w:rsidRPr="00687680" w:rsidTr="0075698C">
        <w:trPr>
          <w:trHeight w:val="313"/>
        </w:trPr>
        <w:tc>
          <w:tcPr>
            <w:tcW w:w="2996"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 xml:space="preserve">  Havgående - Øst</w:t>
            </w:r>
            <w:r w:rsidRPr="0075698C">
              <w:rPr>
                <w:rFonts w:ascii="Times New Roman" w:eastAsia="Times New Roman" w:hAnsi="Times New Roman"/>
                <w:i/>
                <w:iCs/>
                <w:color w:val="000000"/>
                <w:sz w:val="20"/>
                <w:szCs w:val="20"/>
                <w:vertAlign w:val="superscript"/>
                <w:lang w:eastAsia="da-DK"/>
              </w:rPr>
              <w:t>a</w:t>
            </w:r>
          </w:p>
        </w:tc>
        <w:tc>
          <w:tcPr>
            <w:tcW w:w="1249"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5.900</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8.700</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5.500</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4.525</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4.525</w:t>
            </w:r>
          </w:p>
        </w:tc>
        <w:tc>
          <w:tcPr>
            <w:tcW w:w="819"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sz w:val="20"/>
                <w:szCs w:val="20"/>
                <w:lang w:eastAsia="da-DK"/>
              </w:rPr>
            </w:pPr>
            <w:r w:rsidRPr="0075698C">
              <w:rPr>
                <w:rFonts w:ascii="Times New Roman" w:eastAsia="Times New Roman" w:hAnsi="Times New Roman"/>
                <w:i/>
                <w:iCs/>
                <w:color w:val="000000"/>
                <w:sz w:val="20"/>
                <w:szCs w:val="20"/>
                <w:lang w:eastAsia="da-DK"/>
              </w:rPr>
              <w:t>1.974</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Makrel - havgående – Øst</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100.000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85.000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85.000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66.365</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66.365</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70.411</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Krabber - kystnær – Vest</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2.800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2.800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2.400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2.900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3.075</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3.075</w:t>
            </w:r>
          </w:p>
        </w:tc>
      </w:tr>
      <w:tr w:rsidR="00552CD3" w:rsidRPr="00687680" w:rsidTr="0075698C">
        <w:trPr>
          <w:trHeight w:val="313"/>
        </w:trPr>
        <w:tc>
          <w:tcPr>
            <w:tcW w:w="29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Kammuslinger - kystnær – Vest</w:t>
            </w:r>
          </w:p>
        </w:tc>
        <w:tc>
          <w:tcPr>
            <w:tcW w:w="124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2.520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2.520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2.520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2.520</w:t>
            </w:r>
          </w:p>
        </w:tc>
        <w:tc>
          <w:tcPr>
            <w:tcW w:w="91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2.520</w:t>
            </w:r>
          </w:p>
        </w:tc>
        <w:tc>
          <w:tcPr>
            <w:tcW w:w="81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2.520</w:t>
            </w:r>
          </w:p>
        </w:tc>
      </w:tr>
      <w:tr w:rsidR="00552CD3" w:rsidRPr="00687680" w:rsidTr="0075698C">
        <w:trPr>
          <w:trHeight w:val="313"/>
        </w:trPr>
        <w:tc>
          <w:tcPr>
            <w:tcW w:w="2996"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Stenbider (rogn) - kystnær - Vest</w:t>
            </w:r>
          </w:p>
        </w:tc>
        <w:tc>
          <w:tcPr>
            <w:tcW w:w="1249"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Frit fiskeri</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1.500</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1.500</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1.500</w:t>
            </w:r>
          </w:p>
        </w:tc>
        <w:tc>
          <w:tcPr>
            <w:tcW w:w="91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1.300</w:t>
            </w:r>
          </w:p>
        </w:tc>
        <w:tc>
          <w:tcPr>
            <w:tcW w:w="819"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sz w:val="20"/>
                <w:szCs w:val="20"/>
                <w:lang w:eastAsia="da-DK"/>
              </w:rPr>
            </w:pPr>
            <w:r w:rsidRPr="0075698C">
              <w:rPr>
                <w:rFonts w:ascii="Times New Roman" w:eastAsia="Times New Roman" w:hAnsi="Times New Roman"/>
                <w:color w:val="000000"/>
                <w:sz w:val="20"/>
                <w:szCs w:val="20"/>
                <w:lang w:eastAsia="da-DK"/>
              </w:rPr>
              <w:t>1.300</w:t>
            </w:r>
          </w:p>
        </w:tc>
      </w:tr>
    </w:tbl>
    <w:p w:rsidR="00552CD3" w:rsidRPr="0075698C" w:rsidRDefault="00552CD3" w:rsidP="00577477">
      <w:pPr>
        <w:spacing w:after="0"/>
        <w:jc w:val="both"/>
        <w:rPr>
          <w:rFonts w:ascii="Times New Roman" w:eastAsiaTheme="minorHAnsi" w:hAnsi="Times New Roman"/>
          <w:i/>
          <w:color w:val="000000" w:themeColor="text1"/>
        </w:rPr>
      </w:pPr>
      <w:r w:rsidRPr="0075698C">
        <w:rPr>
          <w:rFonts w:ascii="Times New Roman" w:eastAsiaTheme="minorHAnsi" w:hAnsi="Times New Roman"/>
          <w:i/>
          <w:color w:val="000000" w:themeColor="text1"/>
        </w:rPr>
        <w:t>a. I 2015 er rødfiskekvoten i Øst inkl. rødfiskekvote nord for 66o på 3.500 tons.</w:t>
      </w:r>
    </w:p>
    <w:p w:rsidR="00552CD3" w:rsidRPr="0075698C" w:rsidRDefault="00552CD3">
      <w:pPr>
        <w:spacing w:after="0"/>
        <w:jc w:val="both"/>
        <w:rPr>
          <w:rFonts w:ascii="Times New Roman" w:eastAsiaTheme="minorHAnsi" w:hAnsi="Times New Roman"/>
          <w:i/>
          <w:color w:val="000000" w:themeColor="text1"/>
        </w:rPr>
      </w:pPr>
      <w:r w:rsidRPr="0075698C">
        <w:rPr>
          <w:rFonts w:ascii="Times New Roman" w:eastAsiaTheme="minorHAnsi" w:hAnsi="Times New Roman"/>
          <w:i/>
          <w:color w:val="000000" w:themeColor="text1"/>
        </w:rPr>
        <w:t>Kilde: APNN.</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De samlede fangstmængder for de vigtigste fiskearter</w:t>
      </w:r>
      <w:r w:rsidR="00E15325" w:rsidRPr="0075698C">
        <w:rPr>
          <w:rFonts w:ascii="Times New Roman" w:eastAsiaTheme="minorHAnsi" w:hAnsi="Times New Roman"/>
          <w:color w:val="000000" w:themeColor="text1"/>
        </w:rPr>
        <w:t>,</w:t>
      </w:r>
      <w:r w:rsidRPr="0075698C">
        <w:rPr>
          <w:rFonts w:ascii="Times New Roman" w:eastAsiaTheme="minorHAnsi" w:hAnsi="Times New Roman"/>
          <w:color w:val="000000" w:themeColor="text1"/>
        </w:rPr>
        <w:t xml:space="preserve"> den samlede grønlandske flåde har fanget i perioden 2014-2018</w:t>
      </w:r>
      <w:r w:rsidR="00E15325" w:rsidRPr="0075698C">
        <w:rPr>
          <w:rFonts w:ascii="Times New Roman" w:eastAsiaTheme="minorHAnsi" w:hAnsi="Times New Roman"/>
          <w:color w:val="000000" w:themeColor="text1"/>
        </w:rPr>
        <w:t>, vises</w:t>
      </w:r>
      <w:r w:rsidRPr="0075698C">
        <w:rPr>
          <w:rFonts w:ascii="Times New Roman" w:eastAsiaTheme="minorHAnsi" w:hAnsi="Times New Roman"/>
          <w:color w:val="000000" w:themeColor="text1"/>
        </w:rPr>
        <w:t xml:space="preserve"> fordelt på arter i Bilag A tabel x-5. </w:t>
      </w:r>
    </w:p>
    <w:p w:rsidR="00552CD3" w:rsidRPr="0075698C" w:rsidRDefault="00552CD3">
      <w:pPr>
        <w:spacing w:after="0"/>
        <w:jc w:val="both"/>
        <w:rPr>
          <w:rFonts w:ascii="Times New Roman" w:eastAsiaTheme="minorHAnsi" w:hAnsi="Times New Roman"/>
          <w:b/>
          <w:color w:val="000000" w:themeColor="text1"/>
        </w:rPr>
      </w:pPr>
    </w:p>
    <w:p w:rsidR="00552CD3" w:rsidRPr="0075698C" w:rsidRDefault="00552CD3">
      <w:pPr>
        <w:spacing w:after="0" w:line="240" w:lineRule="auto"/>
        <w:jc w:val="both"/>
        <w:rPr>
          <w:rFonts w:ascii="Times New Roman" w:eastAsia="Times New Roman" w:hAnsi="Times New Roman"/>
          <w:color w:val="000000"/>
          <w:lang w:eastAsia="da-DK"/>
        </w:rPr>
      </w:pPr>
      <w:r w:rsidRPr="0075698C">
        <w:rPr>
          <w:rFonts w:ascii="Times New Roman" w:eastAsiaTheme="minorHAnsi" w:hAnsi="Times New Roman"/>
          <w:color w:val="000000" w:themeColor="text1"/>
        </w:rPr>
        <w:t xml:space="preserve">Der er desuden havgående kvoter i andre lande, primært af fiskerirettigheder i Norge, Rusland og på Færøerne, som tildeles det grønlandske fiskeri igennem bilaterale kvoteaftaler med de pågældende lande. </w:t>
      </w:r>
      <w:r w:rsidRPr="0075698C">
        <w:rPr>
          <w:rFonts w:ascii="Times New Roman" w:eastAsia="Times New Roman" w:hAnsi="Times New Roman"/>
          <w:color w:val="000000"/>
          <w:lang w:eastAsia="da-DK"/>
        </w:rPr>
        <w:t>I de bilaterale aftaler sikres Grønland rettigheder til fiskeri i andre landes farvande mod afgivelse af fiskerirettigheder i grønlandske farvande. I Bilag A (tabel x-4) er gengivet en oversigt over h</w:t>
      </w:r>
      <w:r w:rsidRPr="0075698C">
        <w:rPr>
          <w:rFonts w:ascii="Times New Roman" w:eastAsiaTheme="minorHAnsi" w:hAnsi="Times New Roman"/>
          <w:color w:val="000000" w:themeColor="text1"/>
        </w:rPr>
        <w:t>avgående kvoter i andre lande tildelt det grønlandske fiskeri, 2014-2019.</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autoSpaceDE w:val="0"/>
        <w:autoSpaceDN w:val="0"/>
        <w:adjustRightInd w:val="0"/>
        <w:spacing w:after="0"/>
        <w:jc w:val="both"/>
        <w:rPr>
          <w:rFonts w:ascii="Times New Roman" w:eastAsiaTheme="minorHAnsi" w:hAnsi="Times New Roman"/>
          <w:b/>
          <w:lang w:eastAsia="da-DK"/>
        </w:rPr>
      </w:pPr>
      <w:r w:rsidRPr="0075698C">
        <w:rPr>
          <w:rFonts w:ascii="Times New Roman" w:eastAsiaTheme="minorHAnsi" w:hAnsi="Times New Roman"/>
          <w:b/>
          <w:lang w:eastAsia="da-DK"/>
        </w:rPr>
        <w:t>Fiskeriaftale med EU</w:t>
      </w:r>
    </w:p>
    <w:p w:rsidR="00552CD3" w:rsidRPr="0075698C" w:rsidRDefault="00552CD3">
      <w:pPr>
        <w:autoSpaceDE w:val="0"/>
        <w:autoSpaceDN w:val="0"/>
        <w:adjustRightInd w:val="0"/>
        <w:spacing w:after="0"/>
        <w:jc w:val="both"/>
        <w:rPr>
          <w:rFonts w:ascii="Times New Roman" w:eastAsiaTheme="minorHAnsi" w:hAnsi="Times New Roman"/>
        </w:rPr>
      </w:pPr>
      <w:r w:rsidRPr="0075698C">
        <w:rPr>
          <w:rFonts w:ascii="Times New Roman" w:eastAsiaTheme="minorHAnsi" w:hAnsi="Times New Roman"/>
          <w:lang w:eastAsia="da-DK"/>
        </w:rPr>
        <w:t xml:space="preserve">Fiskeripartnerskabsaftalen med EU er Grønlands vigtigste fiskeriaftale. </w:t>
      </w:r>
      <w:r w:rsidRPr="0075698C">
        <w:rPr>
          <w:rFonts w:ascii="Times New Roman" w:eastAsiaTheme="minorHAnsi" w:hAnsi="Times New Roman"/>
        </w:rPr>
        <w:t>Grønland indgik fiskeriaftalen med Det Europæiske Fællesskab først</w:t>
      </w:r>
      <w:r w:rsidR="00E15325" w:rsidRPr="0075698C">
        <w:rPr>
          <w:rFonts w:ascii="Times New Roman" w:eastAsiaTheme="minorHAnsi" w:hAnsi="Times New Roman"/>
        </w:rPr>
        <w:t xml:space="preserve">e gang </w:t>
      </w:r>
      <w:r w:rsidRPr="0075698C">
        <w:rPr>
          <w:rFonts w:ascii="Times New Roman" w:eastAsiaTheme="minorHAnsi" w:hAnsi="Times New Roman"/>
        </w:rPr>
        <w:t xml:space="preserve">1. februar 1985. </w:t>
      </w:r>
      <w:r w:rsidRPr="0075698C">
        <w:rPr>
          <w:rFonts w:ascii="Times New Roman" w:eastAsiaTheme="minorHAnsi" w:hAnsi="Times New Roman"/>
          <w:lang w:eastAsia="da-DK"/>
        </w:rPr>
        <w:t>Aftalen forvaltes via protokoller</w:t>
      </w:r>
      <w:r w:rsidR="00E15325" w:rsidRPr="0075698C">
        <w:rPr>
          <w:rFonts w:ascii="Times New Roman" w:eastAsiaTheme="minorHAnsi" w:hAnsi="Times New Roman"/>
          <w:lang w:eastAsia="da-DK"/>
        </w:rPr>
        <w:t xml:space="preserve">, der </w:t>
      </w:r>
      <w:r w:rsidRPr="0075698C">
        <w:rPr>
          <w:rFonts w:ascii="Times New Roman" w:eastAsiaTheme="minorHAnsi" w:hAnsi="Times New Roman"/>
          <w:lang w:eastAsia="da-DK"/>
        </w:rPr>
        <w:t>forhandles løbende for flerårig periode ad gangen.</w:t>
      </w:r>
    </w:p>
    <w:p w:rsidR="00552CD3" w:rsidRPr="0075698C" w:rsidRDefault="00552CD3">
      <w:pPr>
        <w:autoSpaceDE w:val="0"/>
        <w:autoSpaceDN w:val="0"/>
        <w:adjustRightInd w:val="0"/>
        <w:spacing w:after="0"/>
        <w:jc w:val="both"/>
        <w:rPr>
          <w:rFonts w:ascii="Times New Roman" w:eastAsiaTheme="minorHAnsi" w:hAnsi="Times New Roman"/>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 xml:space="preserve">I aftalen sikres Grønland </w:t>
      </w:r>
      <w:r w:rsidR="00E15325" w:rsidRPr="0075698C">
        <w:rPr>
          <w:rFonts w:ascii="Times New Roman" w:eastAsiaTheme="minorHAnsi" w:hAnsi="Times New Roman"/>
          <w:color w:val="000000" w:themeColor="text1"/>
        </w:rPr>
        <w:t xml:space="preserve">et </w:t>
      </w:r>
      <w:r w:rsidRPr="0075698C">
        <w:rPr>
          <w:rFonts w:ascii="Times New Roman" w:eastAsiaTheme="minorHAnsi" w:hAnsi="Times New Roman"/>
          <w:color w:val="000000" w:themeColor="text1"/>
        </w:rPr>
        <w:t>finansielt vederlag for fiskerirettigheder</w:t>
      </w:r>
      <w:r w:rsidR="00E15325" w:rsidRPr="0075698C">
        <w:rPr>
          <w:rFonts w:ascii="Times New Roman" w:eastAsiaTheme="minorHAnsi" w:hAnsi="Times New Roman"/>
          <w:color w:val="000000" w:themeColor="text1"/>
        </w:rPr>
        <w:t>,</w:t>
      </w:r>
      <w:r w:rsidR="008F6E39" w:rsidRPr="0075698C">
        <w:rPr>
          <w:rFonts w:ascii="Times New Roman" w:eastAsiaTheme="minorHAnsi" w:hAnsi="Times New Roman"/>
          <w:color w:val="000000" w:themeColor="text1"/>
        </w:rPr>
        <w:t xml:space="preserve"> der tildeles EU i g</w:t>
      </w:r>
      <w:r w:rsidRPr="0075698C">
        <w:rPr>
          <w:rFonts w:ascii="Times New Roman" w:eastAsiaTheme="minorHAnsi" w:hAnsi="Times New Roman"/>
          <w:color w:val="000000" w:themeColor="text1"/>
        </w:rPr>
        <w:t>rønlandsk farvand. Ligeledes får Grønland toldfrihed på eksport af deres fiskeprodukter til EU´s indre marked. Aftalen danner rammen for den fælles indsats for at fremme et bæredygtigt og ansvarligt fiskeri. Fiskekvoterne</w:t>
      </w:r>
      <w:r w:rsidR="00E15325" w:rsidRPr="0075698C">
        <w:rPr>
          <w:rFonts w:ascii="Times New Roman" w:eastAsiaTheme="minorHAnsi" w:hAnsi="Times New Roman"/>
          <w:color w:val="000000" w:themeColor="text1"/>
        </w:rPr>
        <w:t>,</w:t>
      </w:r>
      <w:r w:rsidRPr="0075698C">
        <w:rPr>
          <w:rFonts w:ascii="Times New Roman" w:eastAsiaTheme="minorHAnsi" w:hAnsi="Times New Roman"/>
          <w:color w:val="000000" w:themeColor="text1"/>
        </w:rPr>
        <w:t xml:space="preserve"> der stilles til rådighed for EU i protokolperioden</w:t>
      </w:r>
      <w:r w:rsidR="00E15325" w:rsidRPr="0075698C">
        <w:rPr>
          <w:rFonts w:ascii="Times New Roman" w:eastAsiaTheme="minorHAnsi" w:hAnsi="Times New Roman"/>
          <w:color w:val="000000" w:themeColor="text1"/>
        </w:rPr>
        <w:t>,</w:t>
      </w:r>
      <w:r w:rsidRPr="0075698C">
        <w:rPr>
          <w:rFonts w:ascii="Times New Roman" w:eastAsiaTheme="minorHAnsi" w:hAnsi="Times New Roman"/>
          <w:color w:val="000000" w:themeColor="text1"/>
        </w:rPr>
        <w:t xml:space="preserve"> er angivet som vejledende og bliver fastsat for et år a</w:t>
      </w:r>
      <w:r w:rsidR="00E15325" w:rsidRPr="0075698C">
        <w:rPr>
          <w:rFonts w:ascii="Times New Roman" w:eastAsiaTheme="minorHAnsi" w:hAnsi="Times New Roman"/>
          <w:color w:val="000000" w:themeColor="text1"/>
        </w:rPr>
        <w:t>d</w:t>
      </w:r>
      <w:r w:rsidRPr="0075698C">
        <w:rPr>
          <w:rFonts w:ascii="Times New Roman" w:eastAsiaTheme="minorHAnsi" w:hAnsi="Times New Roman"/>
          <w:color w:val="000000" w:themeColor="text1"/>
        </w:rPr>
        <w:t xml:space="preserve"> gangen på baggrund af videnskabelige anbefalinger, som netop skal sikre, at fiskeriet er bæredygtigt. </w:t>
      </w:r>
    </w:p>
    <w:p w:rsidR="00552CD3" w:rsidRPr="0075698C" w:rsidRDefault="00552CD3">
      <w:pPr>
        <w:autoSpaceDE w:val="0"/>
        <w:autoSpaceDN w:val="0"/>
        <w:adjustRightInd w:val="0"/>
        <w:spacing w:after="0"/>
        <w:jc w:val="both"/>
        <w:rPr>
          <w:rFonts w:ascii="Times New Roman" w:eastAsiaTheme="minorHAnsi" w:hAnsi="Times New Roman"/>
        </w:rPr>
      </w:pPr>
    </w:p>
    <w:p w:rsidR="00552CD3" w:rsidRPr="0075698C" w:rsidRDefault="00552CD3">
      <w:pPr>
        <w:spacing w:after="0"/>
        <w:jc w:val="both"/>
        <w:rPr>
          <w:rFonts w:ascii="Times New Roman" w:eastAsiaTheme="minorHAnsi" w:hAnsi="Times New Roman"/>
        </w:rPr>
      </w:pPr>
      <w:r w:rsidRPr="0075698C">
        <w:rPr>
          <w:rFonts w:ascii="Times New Roman" w:eastAsiaTheme="minorHAnsi" w:hAnsi="Times New Roman"/>
        </w:rPr>
        <w:t>Den nye Fiskeriprotokol vil regulere EU’s fiskeri i grønlandsk farvand samt EU’s betaling herfor for perioden 2016 – 2020. Den tidligere protokol fra 2013-2015 havde kun en varighed på 3 år, på grund af revisionen af EU´s fælles fiskeripolitik. De aftalte kvotemængder i de to protokoller fremgår af Bilag A, tabel x-7.</w:t>
      </w:r>
    </w:p>
    <w:p w:rsidR="00552CD3" w:rsidRPr="0075698C" w:rsidRDefault="00552CD3">
      <w:pPr>
        <w:spacing w:after="0"/>
        <w:jc w:val="both"/>
        <w:rPr>
          <w:rFonts w:ascii="Times New Roman" w:eastAsiaTheme="minorHAnsi" w:hAnsi="Times New Roman"/>
        </w:rPr>
      </w:pPr>
    </w:p>
    <w:p w:rsidR="00552CD3" w:rsidRPr="0075698C" w:rsidRDefault="00552CD3">
      <w:pPr>
        <w:spacing w:after="0"/>
        <w:jc w:val="both"/>
        <w:rPr>
          <w:rFonts w:ascii="Times New Roman" w:eastAsiaTheme="minorHAnsi" w:hAnsi="Times New Roman"/>
        </w:rPr>
      </w:pPr>
      <w:r w:rsidRPr="0075698C">
        <w:rPr>
          <w:rFonts w:ascii="Times New Roman" w:eastAsiaTheme="minorHAnsi" w:hAnsi="Times New Roman"/>
        </w:rPr>
        <w:t>Den finansielle kompensation består af følgende; en betaling for de kvoter, der stilles til rådighed for EU, licensbetalinger fra rederierne samt en sektor budgetstøtte. Herudover er der etableret en ”reserve” til dækning af eventuelle supplerende kvoter. Man har i den nye Fiskeriprotokol fået forhandlet sig frem til en lidt større finansiel kompensation for meget mindre kvoter, hvilket er til fordel for Grønland.  Den samlede betaling</w:t>
      </w:r>
      <w:r w:rsidR="00E15325" w:rsidRPr="0075698C">
        <w:rPr>
          <w:rFonts w:ascii="Times New Roman" w:eastAsiaTheme="minorHAnsi" w:hAnsi="Times New Roman"/>
        </w:rPr>
        <w:t>,</w:t>
      </w:r>
      <w:r w:rsidRPr="0075698C">
        <w:rPr>
          <w:rFonts w:ascii="Times New Roman" w:eastAsiaTheme="minorHAnsi" w:hAnsi="Times New Roman"/>
        </w:rPr>
        <w:t xml:space="preserve"> der fremgår af bilag A tabel x8</w:t>
      </w:r>
      <w:r w:rsidR="00E15325" w:rsidRPr="0075698C">
        <w:rPr>
          <w:rFonts w:ascii="Times New Roman" w:eastAsiaTheme="minorHAnsi" w:hAnsi="Times New Roman"/>
        </w:rPr>
        <w:t>,</w:t>
      </w:r>
      <w:r w:rsidRPr="0075698C">
        <w:rPr>
          <w:rFonts w:ascii="Times New Roman" w:eastAsiaTheme="minorHAnsi" w:hAnsi="Times New Roman"/>
        </w:rPr>
        <w:t xml:space="preserve"> forudsætter</w:t>
      </w:r>
      <w:r w:rsidR="00E15325" w:rsidRPr="0075698C">
        <w:rPr>
          <w:rFonts w:ascii="Times New Roman" w:eastAsiaTheme="minorHAnsi" w:hAnsi="Times New Roman"/>
        </w:rPr>
        <w:t>,</w:t>
      </w:r>
      <w:r w:rsidRPr="0075698C">
        <w:rPr>
          <w:rFonts w:ascii="Times New Roman" w:eastAsiaTheme="minorHAnsi" w:hAnsi="Times New Roman"/>
        </w:rPr>
        <w:t xml:space="preserve"> at EU tildeles de fulde kvotemængder angivet i protokollen. Reduktion i kvotemængderne vil tilsvarende reducere betalingen.</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rPr>
      </w:pPr>
      <w:r w:rsidRPr="0075698C">
        <w:rPr>
          <w:rFonts w:ascii="Times New Roman" w:eastAsiaTheme="minorHAnsi" w:hAnsi="Times New Roman"/>
        </w:rPr>
        <w:t>Forhandlinger af ny protokol i fiskeripartnerskabsaftalen</w:t>
      </w:r>
      <w:r w:rsidR="00E15325" w:rsidRPr="0075698C">
        <w:rPr>
          <w:rFonts w:ascii="Times New Roman" w:eastAsiaTheme="minorHAnsi" w:hAnsi="Times New Roman"/>
        </w:rPr>
        <w:t>,</w:t>
      </w:r>
      <w:r w:rsidRPr="0075698C">
        <w:rPr>
          <w:rFonts w:ascii="Times New Roman" w:eastAsiaTheme="minorHAnsi" w:hAnsi="Times New Roman"/>
        </w:rPr>
        <w:t xml:space="preserve"> som skal gælde fra 1. januar 2021 forventes at</w:t>
      </w:r>
      <w:r w:rsidR="00E15325" w:rsidRPr="0075698C">
        <w:rPr>
          <w:rFonts w:ascii="Times New Roman" w:eastAsiaTheme="minorHAnsi" w:hAnsi="Times New Roman"/>
        </w:rPr>
        <w:t xml:space="preserve"> begynde</w:t>
      </w:r>
      <w:r w:rsidRPr="0075698C">
        <w:rPr>
          <w:rFonts w:ascii="Times New Roman" w:eastAsiaTheme="minorHAnsi" w:hAnsi="Times New Roman"/>
        </w:rPr>
        <w:t xml:space="preserve"> primo oktober 2019.</w:t>
      </w:r>
    </w:p>
    <w:p w:rsidR="008F6E39" w:rsidRPr="0075698C" w:rsidRDefault="008F6E39">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b/>
          <w:color w:val="000000" w:themeColor="text1"/>
        </w:rPr>
      </w:pPr>
      <w:r w:rsidRPr="0075698C">
        <w:rPr>
          <w:rFonts w:ascii="Times New Roman" w:eastAsiaTheme="minorHAnsi" w:hAnsi="Times New Roman"/>
          <w:b/>
          <w:color w:val="000000" w:themeColor="text1"/>
        </w:rPr>
        <w:t>Landbaseret produktion og indhandlingspligt</w:t>
      </w: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Ud over fiskeri og produktion til havs indhandler fiskefartøjerne en del af deres fangst til fiskefabrikkerne</w:t>
      </w:r>
      <w:r w:rsidR="00E15325" w:rsidRPr="0075698C">
        <w:rPr>
          <w:rFonts w:ascii="Times New Roman" w:eastAsiaTheme="minorHAnsi" w:hAnsi="Times New Roman"/>
          <w:color w:val="000000" w:themeColor="text1"/>
        </w:rPr>
        <w:t>,</w:t>
      </w:r>
      <w:r w:rsidRPr="0075698C">
        <w:rPr>
          <w:rFonts w:ascii="Times New Roman" w:eastAsiaTheme="minorHAnsi" w:hAnsi="Times New Roman"/>
          <w:color w:val="000000" w:themeColor="text1"/>
        </w:rPr>
        <w:t xml:space="preserve"> som videreforædler de indhandlede fisk til eksport. I 2018 blev der registreret indhandlinger til i alt 48 fabrikker og indhandlingsanlæg samt til 3 indhandlingsskibe.</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 xml:space="preserve">Formålet med indhandlingspligten er at sikre beskæftigelse på land. Der er i dag i det havgående fiskeri indhandlingspligt på hellefisk og rejer på 25 pct. af fangsten i Vestgrønland. Derudover har der i </w:t>
      </w:r>
      <w:r w:rsidR="00E15325" w:rsidRPr="0075698C">
        <w:rPr>
          <w:rFonts w:ascii="Times New Roman" w:eastAsiaTheme="minorHAnsi" w:hAnsi="Times New Roman"/>
          <w:color w:val="000000" w:themeColor="text1"/>
        </w:rPr>
        <w:t xml:space="preserve">en </w:t>
      </w:r>
      <w:r w:rsidRPr="0075698C">
        <w:rPr>
          <w:rFonts w:ascii="Times New Roman" w:eastAsiaTheme="minorHAnsi" w:hAnsi="Times New Roman"/>
          <w:color w:val="000000" w:themeColor="text1"/>
        </w:rPr>
        <w:t xml:space="preserve">årrække været en særlig 100 pct. indhandlingspligt </w:t>
      </w:r>
      <w:r w:rsidR="00E15325" w:rsidRPr="0075698C">
        <w:rPr>
          <w:rFonts w:ascii="Times New Roman" w:eastAsiaTheme="minorHAnsi" w:hAnsi="Times New Roman"/>
          <w:color w:val="000000" w:themeColor="text1"/>
        </w:rPr>
        <w:t>for</w:t>
      </w:r>
      <w:r w:rsidRPr="0075698C">
        <w:rPr>
          <w:rFonts w:ascii="Times New Roman" w:eastAsiaTheme="minorHAnsi" w:hAnsi="Times New Roman"/>
          <w:color w:val="000000" w:themeColor="text1"/>
        </w:rPr>
        <w:t xml:space="preserve"> den havgående </w:t>
      </w:r>
      <w:r w:rsidRPr="0075698C">
        <w:rPr>
          <w:rFonts w:ascii="Times New Roman" w:eastAsiaTheme="minorHAnsi" w:hAnsi="Times New Roman"/>
          <w:color w:val="000000" w:themeColor="text1"/>
        </w:rPr>
        <w:lastRenderedPageBreak/>
        <w:t>hellefiskekvote i Vestgrønland med tilhørende fileteringspligt. De</w:t>
      </w:r>
      <w:r w:rsidR="00E15325" w:rsidRPr="0075698C">
        <w:rPr>
          <w:rFonts w:ascii="Times New Roman" w:eastAsiaTheme="minorHAnsi" w:hAnsi="Times New Roman"/>
          <w:color w:val="000000" w:themeColor="text1"/>
        </w:rPr>
        <w:t>r</w:t>
      </w:r>
      <w:r w:rsidRPr="0075698C">
        <w:rPr>
          <w:rFonts w:ascii="Times New Roman" w:eastAsiaTheme="minorHAnsi" w:hAnsi="Times New Roman"/>
          <w:color w:val="000000" w:themeColor="text1"/>
        </w:rPr>
        <w:t xml:space="preserve"> er ikke nogen lovfast indhandlingspligt af den havgående torskekvote</w:t>
      </w:r>
      <w:r w:rsidR="00E15325" w:rsidRPr="0075698C">
        <w:rPr>
          <w:rFonts w:ascii="Times New Roman" w:eastAsiaTheme="minorHAnsi" w:hAnsi="Times New Roman"/>
          <w:color w:val="000000" w:themeColor="text1"/>
        </w:rPr>
        <w:t>,</w:t>
      </w:r>
      <w:r w:rsidRPr="0075698C">
        <w:rPr>
          <w:rFonts w:ascii="Times New Roman" w:eastAsiaTheme="minorHAnsi" w:hAnsi="Times New Roman"/>
          <w:color w:val="000000" w:themeColor="text1"/>
        </w:rPr>
        <w:t xml:space="preserve"> men besluttes årligt af Naalakkersuisut.</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Som udgangspunkt er hele fangsten i det kystnære fiskeri underlagt indhandlingspligt. Det er dog undtagelse for nogle fartøjer i det kystnære rejefiskeri</w:t>
      </w:r>
      <w:r w:rsidR="00E15325" w:rsidRPr="0075698C">
        <w:rPr>
          <w:rFonts w:ascii="Times New Roman" w:eastAsiaTheme="minorHAnsi" w:hAnsi="Times New Roman"/>
          <w:color w:val="000000" w:themeColor="text1"/>
        </w:rPr>
        <w:t>,</w:t>
      </w:r>
      <w:r w:rsidRPr="0075698C">
        <w:rPr>
          <w:rFonts w:ascii="Times New Roman" w:eastAsiaTheme="minorHAnsi" w:hAnsi="Times New Roman"/>
          <w:color w:val="000000" w:themeColor="text1"/>
        </w:rPr>
        <w:t xml:space="preserve"> som har fået</w:t>
      </w:r>
      <w:r w:rsidR="002169DD" w:rsidRPr="0075698C">
        <w:rPr>
          <w:rFonts w:ascii="Times New Roman" w:eastAsiaTheme="minorHAnsi" w:hAnsi="Times New Roman"/>
          <w:color w:val="000000" w:themeColor="text1"/>
        </w:rPr>
        <w:t xml:space="preserve"> en</w:t>
      </w:r>
      <w:r w:rsidRPr="0075698C">
        <w:rPr>
          <w:rFonts w:ascii="Times New Roman" w:eastAsiaTheme="minorHAnsi" w:hAnsi="Times New Roman"/>
          <w:color w:val="000000" w:themeColor="text1"/>
        </w:rPr>
        <w:t xml:space="preserve"> dispensation for egen produktion</w:t>
      </w:r>
      <w:r w:rsidR="00E15325" w:rsidRPr="0075698C">
        <w:rPr>
          <w:rFonts w:ascii="Times New Roman" w:eastAsiaTheme="minorHAnsi" w:hAnsi="Times New Roman"/>
          <w:color w:val="000000" w:themeColor="text1"/>
        </w:rPr>
        <w:t xml:space="preserve"> </w:t>
      </w:r>
      <w:r w:rsidR="002169DD" w:rsidRPr="0075698C">
        <w:rPr>
          <w:rFonts w:ascii="Times New Roman" w:eastAsiaTheme="minorHAnsi" w:hAnsi="Times New Roman"/>
          <w:color w:val="000000" w:themeColor="text1"/>
        </w:rPr>
        <w:t>på</w:t>
      </w:r>
      <w:r w:rsidRPr="0075698C">
        <w:rPr>
          <w:rFonts w:ascii="Times New Roman" w:eastAsiaTheme="minorHAnsi" w:hAnsi="Times New Roman"/>
          <w:color w:val="000000" w:themeColor="text1"/>
        </w:rPr>
        <w:t xml:space="preserve"> 75 pct. af fangsten til direkte eksport </w:t>
      </w:r>
      <w:r w:rsidR="002169DD" w:rsidRPr="0075698C">
        <w:rPr>
          <w:rFonts w:ascii="Times New Roman" w:eastAsiaTheme="minorHAnsi" w:hAnsi="Times New Roman"/>
          <w:color w:val="000000" w:themeColor="text1"/>
        </w:rPr>
        <w:t xml:space="preserve">og </w:t>
      </w:r>
      <w:r w:rsidRPr="0075698C">
        <w:rPr>
          <w:rFonts w:ascii="Times New Roman" w:eastAsiaTheme="minorHAnsi" w:hAnsi="Times New Roman"/>
          <w:color w:val="000000" w:themeColor="text1"/>
        </w:rPr>
        <w:t>med indhandlingspligt på 25 pct. Derudover har en enkelt fisker fået kystnær rejelicens og tilladelse til at producere 30 pct. af fangsten og har en landingspligt på 70 pct.</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En oversigt over indhandlingsmængder er gengivet i Bilag A tabel x6, der viser den samlede mængde fra det havgående og kystnære fiskeri</w:t>
      </w:r>
      <w:r w:rsidR="002169DD" w:rsidRPr="0075698C">
        <w:rPr>
          <w:rFonts w:ascii="Times New Roman" w:eastAsiaTheme="minorHAnsi" w:hAnsi="Times New Roman"/>
          <w:color w:val="000000" w:themeColor="text1"/>
        </w:rPr>
        <w:t>,</w:t>
      </w:r>
      <w:r w:rsidRPr="0075698C">
        <w:rPr>
          <w:rFonts w:ascii="Times New Roman" w:eastAsiaTheme="minorHAnsi" w:hAnsi="Times New Roman"/>
          <w:color w:val="000000" w:themeColor="text1"/>
        </w:rPr>
        <w:t xml:space="preserve"> som blev indhandlet til landproduktionen i perioden 2014-2018.</w:t>
      </w:r>
    </w:p>
    <w:p w:rsidR="007040F0" w:rsidRPr="0075698C" w:rsidRDefault="007040F0" w:rsidP="0075698C">
      <w:pPr>
        <w:jc w:val="both"/>
        <w:rPr>
          <w:rFonts w:ascii="Times New Roman" w:hAnsi="Times New Roman"/>
          <w:b/>
          <w:color w:val="000000" w:themeColor="text1"/>
        </w:rPr>
      </w:pPr>
    </w:p>
    <w:p w:rsidR="00552CD3" w:rsidRPr="0075698C" w:rsidRDefault="00552CD3" w:rsidP="0075698C">
      <w:pPr>
        <w:numPr>
          <w:ilvl w:val="0"/>
          <w:numId w:val="37"/>
        </w:numPr>
        <w:contextualSpacing/>
        <w:jc w:val="both"/>
        <w:rPr>
          <w:rFonts w:ascii="Times New Roman" w:eastAsia="Times New Roman" w:hAnsi="Times New Roman"/>
          <w:b/>
          <w:bCs/>
          <w:sz w:val="24"/>
          <w:szCs w:val="24"/>
          <w:lang w:eastAsia="da-DK"/>
        </w:rPr>
      </w:pPr>
      <w:r w:rsidRPr="0075698C">
        <w:rPr>
          <w:rFonts w:ascii="Times New Roman" w:eastAsia="Times New Roman" w:hAnsi="Times New Roman"/>
          <w:b/>
          <w:bCs/>
          <w:sz w:val="24"/>
          <w:szCs w:val="24"/>
          <w:lang w:eastAsia="da-DK"/>
        </w:rPr>
        <w:t>Beskæftigelse og arbejdsstyrke i fiskerisektoren og andre sektorer</w:t>
      </w:r>
    </w:p>
    <w:p w:rsidR="00552CD3" w:rsidRPr="0075698C" w:rsidRDefault="00552CD3" w:rsidP="00577477">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Grønlands Statstik udarbejder kun en samlet beskæftigelsesstatistik for ansatte i fiskerierhvervet</w:t>
      </w:r>
      <w:r w:rsidR="002169DD" w:rsidRPr="0075698C">
        <w:rPr>
          <w:rFonts w:ascii="Times New Roman" w:eastAsiaTheme="minorHAnsi" w:hAnsi="Times New Roman"/>
          <w:color w:val="000000" w:themeColor="text1"/>
        </w:rPr>
        <w:t>,</w:t>
      </w:r>
      <w:r w:rsidRPr="0075698C">
        <w:rPr>
          <w:rFonts w:ascii="Times New Roman" w:eastAsiaTheme="minorHAnsi" w:hAnsi="Times New Roman"/>
          <w:color w:val="000000" w:themeColor="text1"/>
        </w:rPr>
        <w:t xml:space="preserve"> som også inkluderer beskæftigelse i forbindelse med fangst og landbrug uden mulighed for at adskille den fra beskæftigelsen i fiskerierhvervet.</w:t>
      </w:r>
      <w:r w:rsidRPr="0075698C">
        <w:rPr>
          <w:rFonts w:ascii="Times New Roman" w:eastAsiaTheme="minorHAnsi" w:hAnsi="Times New Roman"/>
          <w:color w:val="000000" w:themeColor="text1"/>
          <w:vertAlign w:val="superscript"/>
        </w:rPr>
        <w:footnoteReference w:id="2"/>
      </w:r>
      <w:r w:rsidRPr="0075698C">
        <w:rPr>
          <w:rFonts w:ascii="Times New Roman" w:eastAsiaTheme="minorHAnsi" w:hAnsi="Times New Roman"/>
          <w:color w:val="000000" w:themeColor="text1"/>
        </w:rPr>
        <w:t xml:space="preserve"> Statistikken omfatter opgørelse af beskæftigelsen i fiskeriet og på fiskefabrikkerne. </w:t>
      </w:r>
    </w:p>
    <w:p w:rsidR="00552CD3" w:rsidRPr="0075698C" w:rsidRDefault="00552CD3" w:rsidP="00577477">
      <w:pPr>
        <w:spacing w:after="0"/>
        <w:jc w:val="both"/>
        <w:rPr>
          <w:rFonts w:ascii="Times New Roman" w:eastAsiaTheme="minorHAnsi" w:hAnsi="Times New Roman"/>
          <w:color w:val="000000" w:themeColor="text1"/>
        </w:rPr>
      </w:pPr>
    </w:p>
    <w:p w:rsidR="00552CD3" w:rsidRPr="0075698C" w:rsidRDefault="00552CD3" w:rsidP="00577477">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Beskæftigelsen i fiskerierhvervet udgjorte ca. 4.391 hovedbeskæftigede i 2017 og er steget med 751 svarende til ca.</w:t>
      </w:r>
      <w:r w:rsidR="00A90861" w:rsidRPr="0075698C">
        <w:rPr>
          <w:rFonts w:ascii="Times New Roman" w:eastAsiaTheme="minorHAnsi" w:hAnsi="Times New Roman"/>
          <w:color w:val="000000" w:themeColor="text1"/>
        </w:rPr>
        <w:t xml:space="preserve"> 21 pct. siden 2014, jf. figur 6</w:t>
      </w:r>
      <w:r w:rsidRPr="0075698C">
        <w:rPr>
          <w:rFonts w:ascii="Times New Roman" w:eastAsiaTheme="minorHAnsi" w:hAnsi="Times New Roman"/>
          <w:color w:val="000000" w:themeColor="text1"/>
        </w:rPr>
        <w:t xml:space="preserve">. </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 xml:space="preserve">Figur </w:t>
      </w:r>
      <w:r w:rsidR="00A90861" w:rsidRPr="0075698C">
        <w:rPr>
          <w:rFonts w:ascii="Times New Roman" w:eastAsiaTheme="minorHAnsi" w:hAnsi="Times New Roman"/>
          <w:color w:val="000000" w:themeColor="text1"/>
        </w:rPr>
        <w:t>6</w:t>
      </w:r>
      <w:r w:rsidRPr="0075698C">
        <w:rPr>
          <w:rFonts w:ascii="Times New Roman" w:eastAsiaTheme="minorHAnsi" w:hAnsi="Times New Roman"/>
          <w:color w:val="000000" w:themeColor="text1"/>
        </w:rPr>
        <w:t>: Beskæftigelse i det grønlandske fiskeri, 2018.</w:t>
      </w: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noProof/>
          <w:lang w:eastAsia="da-DK"/>
        </w:rPr>
        <w:drawing>
          <wp:inline distT="0" distB="0" distL="0" distR="0" wp14:anchorId="5F6E662A" wp14:editId="29524694">
            <wp:extent cx="5427023" cy="2826328"/>
            <wp:effectExtent l="0" t="0" r="2540" b="0"/>
            <wp:docPr id="2" name="Diagra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52CD3" w:rsidRPr="0075698C" w:rsidRDefault="00552CD3">
      <w:pPr>
        <w:spacing w:after="0"/>
        <w:jc w:val="both"/>
        <w:rPr>
          <w:rFonts w:ascii="Times New Roman" w:eastAsiaTheme="minorHAnsi" w:hAnsi="Times New Roman"/>
          <w:i/>
          <w:color w:val="000000" w:themeColor="text1"/>
        </w:rPr>
      </w:pPr>
      <w:r w:rsidRPr="0075698C">
        <w:rPr>
          <w:rFonts w:ascii="Times New Roman" w:eastAsiaTheme="minorHAnsi" w:hAnsi="Times New Roman"/>
          <w:i/>
          <w:color w:val="000000" w:themeColor="text1"/>
        </w:rPr>
        <w:t>Kilde: Grønlands Statistik. De nyeste tilgængelige tal er fra 2017.</w:t>
      </w:r>
    </w:p>
    <w:p w:rsidR="002E4A2E" w:rsidRPr="0075698C" w:rsidRDefault="00552CD3" w:rsidP="002E4A2E">
      <w:pPr>
        <w:rPr>
          <w:rFonts w:ascii="Times New Roman" w:eastAsiaTheme="minorHAnsi" w:hAnsi="Times New Roman"/>
          <w:color w:val="1F497D"/>
        </w:rPr>
      </w:pPr>
      <w:r w:rsidRPr="0075698C">
        <w:rPr>
          <w:rFonts w:ascii="Times New Roman" w:eastAsiaTheme="minorHAnsi" w:hAnsi="Times New Roman"/>
          <w:i/>
          <w:color w:val="000000" w:themeColor="text1"/>
        </w:rPr>
        <w:lastRenderedPageBreak/>
        <w:t>Note: Antal hovedbeskæftigede i gennemsnit pr. måned</w:t>
      </w:r>
      <w:r w:rsidRPr="0075698C">
        <w:rPr>
          <w:rFonts w:ascii="Times New Roman" w:eastAsiaTheme="minorHAnsi" w:hAnsi="Times New Roman"/>
          <w:color w:val="000000" w:themeColor="text1"/>
        </w:rPr>
        <w:t>.</w:t>
      </w:r>
      <w:r w:rsidR="002E4A2E" w:rsidRPr="0075698C">
        <w:rPr>
          <w:rFonts w:ascii="Times New Roman" w:eastAsiaTheme="minorHAnsi" w:hAnsi="Times New Roman"/>
          <w:color w:val="000000" w:themeColor="text1"/>
        </w:rPr>
        <w:t xml:space="preserve"> </w:t>
      </w:r>
      <w:r w:rsidR="002E4A2E" w:rsidRPr="0075698C">
        <w:rPr>
          <w:rFonts w:ascii="Times New Roman" w:hAnsi="Times New Roman"/>
          <w:color w:val="1F497D"/>
          <w:u w:val="single"/>
        </w:rPr>
        <w:t>Hovedbeskæftigelse</w:t>
      </w:r>
      <w:r w:rsidR="002E4A2E" w:rsidRPr="0075698C">
        <w:rPr>
          <w:rFonts w:ascii="Times New Roman" w:hAnsi="Times New Roman"/>
          <w:color w:val="1F497D"/>
        </w:rPr>
        <w:t xml:space="preserve"> defineres som den beskæftigelse, hvorfra en person i en given måned opnår den højeste registrerede løn. Alle øvrige ansættelser for denne pågældende person i den givne måned defineres som bibeskæftigelse. Den grønlandske beskæftigelsesstatistik opgøres ud fra </w:t>
      </w:r>
      <w:r w:rsidR="002E4A2E" w:rsidRPr="0075698C">
        <w:rPr>
          <w:rFonts w:ascii="Times New Roman" w:hAnsi="Times New Roman"/>
          <w:color w:val="1F497D"/>
          <w:u w:val="single"/>
        </w:rPr>
        <w:t>månedlige registreringer</w:t>
      </w:r>
      <w:r w:rsidR="002E4A2E" w:rsidRPr="0075698C">
        <w:rPr>
          <w:rFonts w:ascii="Times New Roman" w:hAnsi="Times New Roman"/>
          <w:color w:val="1F497D"/>
        </w:rPr>
        <w:t xml:space="preserve">. Grønlands Statistik definerer derfor beskæftigelse således: </w:t>
      </w:r>
      <w:r w:rsidR="002E4A2E" w:rsidRPr="0075698C">
        <w:rPr>
          <w:rFonts w:ascii="Times New Roman" w:hAnsi="Times New Roman"/>
          <w:color w:val="1F497D"/>
          <w:u w:val="single"/>
        </w:rPr>
        <w:t>En person er beskæftiget i en given måned, hvis personen har været i beskæftigelse mindst én dag i den givne måned</w:t>
      </w:r>
      <w:r w:rsidR="002E4A2E" w:rsidRPr="0075698C">
        <w:rPr>
          <w:rFonts w:ascii="Times New Roman" w:hAnsi="Times New Roman"/>
          <w:color w:val="1F497D"/>
        </w:rPr>
        <w:t>! Et yderligere krav er, at lønnen for dette arbejde som minimum skal svare til mindstelønnen for ikke-faglærte arbejdere ifølge den på tidspunktet gældende overenskomst mellem SIK og Naalakkersuitsut.</w:t>
      </w:r>
    </w:p>
    <w:p w:rsidR="00552CD3" w:rsidRPr="0075698C" w:rsidRDefault="00552CD3">
      <w:pPr>
        <w:spacing w:after="0"/>
        <w:jc w:val="both"/>
        <w:rPr>
          <w:rFonts w:ascii="Times New Roman" w:eastAsiaTheme="minorHAnsi" w:hAnsi="Times New Roman"/>
          <w:i/>
          <w:color w:val="000000" w:themeColor="text1"/>
        </w:rPr>
      </w:pPr>
    </w:p>
    <w:p w:rsidR="00552CD3" w:rsidRPr="0075698C" w:rsidRDefault="00552CD3">
      <w:pPr>
        <w:spacing w:after="0"/>
        <w:jc w:val="both"/>
        <w:rPr>
          <w:rFonts w:ascii="Times New Roman" w:eastAsiaTheme="minorHAnsi" w:hAnsi="Times New Roman"/>
          <w:b/>
          <w:color w:val="000000" w:themeColor="text1"/>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 xml:space="preserve">Figur </w:t>
      </w:r>
      <w:r w:rsidR="00A90861" w:rsidRPr="0075698C">
        <w:rPr>
          <w:rFonts w:ascii="Times New Roman" w:eastAsiaTheme="minorHAnsi" w:hAnsi="Times New Roman"/>
          <w:color w:val="000000" w:themeColor="text1"/>
        </w:rPr>
        <w:t>7</w:t>
      </w:r>
      <w:r w:rsidRPr="0075698C">
        <w:rPr>
          <w:rFonts w:ascii="Times New Roman" w:eastAsiaTheme="minorHAnsi" w:hAnsi="Times New Roman"/>
          <w:color w:val="000000" w:themeColor="text1"/>
        </w:rPr>
        <w:t xml:space="preserve"> viser aldersfordelingen for besætningsmedlemmer på fartøjer 24 meter og over i 2015. Tallene inkluderer det samlede antal besætningsmedlemmer, som har været ansat på de fartøjer</w:t>
      </w:r>
      <w:r w:rsidR="002169DD" w:rsidRPr="0075698C">
        <w:rPr>
          <w:rFonts w:ascii="Times New Roman" w:eastAsiaTheme="minorHAnsi" w:hAnsi="Times New Roman"/>
          <w:color w:val="000000" w:themeColor="text1"/>
        </w:rPr>
        <w:t>,</w:t>
      </w:r>
      <w:r w:rsidRPr="0075698C">
        <w:rPr>
          <w:rFonts w:ascii="Times New Roman" w:eastAsiaTheme="minorHAnsi" w:hAnsi="Times New Roman"/>
          <w:color w:val="000000" w:themeColor="text1"/>
        </w:rPr>
        <w:t xml:space="preserve"> uanset om de kun har været på en fisketur eller været ansat hele året. Det fremgår af figuren, at en stor del af besætningsmedlemmerne er relativt unge. Således er 57 pct. af det samlede antal på 16-45 år og 74 pct. på 16-50 år.</w:t>
      </w:r>
    </w:p>
    <w:p w:rsidR="00552CD3" w:rsidRPr="0075698C" w:rsidRDefault="00552CD3">
      <w:pPr>
        <w:spacing w:after="0"/>
        <w:jc w:val="both"/>
        <w:rPr>
          <w:rFonts w:ascii="Times New Roman" w:eastAsiaTheme="minorHAnsi" w:hAnsi="Times New Roman"/>
          <w:color w:val="000000" w:themeColor="text1"/>
        </w:rPr>
      </w:pPr>
    </w:p>
    <w:p w:rsidR="00577477" w:rsidRPr="0075698C" w:rsidRDefault="00577477">
      <w:pPr>
        <w:spacing w:after="0"/>
        <w:jc w:val="both"/>
        <w:rPr>
          <w:rFonts w:ascii="Times New Roman" w:eastAsiaTheme="minorHAnsi" w:hAnsi="Times New Roman"/>
          <w:color w:val="000000" w:themeColor="text1"/>
        </w:rPr>
      </w:pPr>
    </w:p>
    <w:p w:rsidR="00577477" w:rsidRPr="0075698C" w:rsidRDefault="00577477">
      <w:pPr>
        <w:spacing w:after="0"/>
        <w:jc w:val="both"/>
        <w:rPr>
          <w:rFonts w:ascii="Times New Roman" w:eastAsiaTheme="minorHAnsi" w:hAnsi="Times New Roman"/>
          <w:color w:val="000000" w:themeColor="text1"/>
        </w:rPr>
      </w:pPr>
    </w:p>
    <w:p w:rsidR="00577477" w:rsidRPr="0075698C" w:rsidRDefault="00577477">
      <w:pPr>
        <w:spacing w:after="0"/>
        <w:jc w:val="both"/>
        <w:rPr>
          <w:rFonts w:ascii="Times New Roman" w:eastAsiaTheme="minorHAnsi" w:hAnsi="Times New Roman"/>
          <w:color w:val="000000" w:themeColor="text1"/>
        </w:rPr>
      </w:pPr>
    </w:p>
    <w:p w:rsidR="00577477" w:rsidRPr="0075698C" w:rsidRDefault="00577477">
      <w:pPr>
        <w:spacing w:after="0"/>
        <w:jc w:val="both"/>
        <w:rPr>
          <w:rFonts w:ascii="Times New Roman" w:eastAsiaTheme="minorHAnsi" w:hAnsi="Times New Roman"/>
          <w:color w:val="000000" w:themeColor="text1"/>
        </w:rPr>
      </w:pPr>
    </w:p>
    <w:p w:rsidR="00577477" w:rsidRPr="0075698C" w:rsidRDefault="00577477">
      <w:pPr>
        <w:spacing w:after="0"/>
        <w:jc w:val="both"/>
        <w:rPr>
          <w:rFonts w:ascii="Times New Roman" w:eastAsiaTheme="minorHAnsi" w:hAnsi="Times New Roman"/>
          <w:color w:val="000000" w:themeColor="text1"/>
        </w:rPr>
      </w:pPr>
    </w:p>
    <w:p w:rsidR="00577477" w:rsidRPr="0075698C" w:rsidRDefault="00577477">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 xml:space="preserve">Figur </w:t>
      </w:r>
      <w:r w:rsidR="00A90861" w:rsidRPr="0075698C">
        <w:rPr>
          <w:rFonts w:ascii="Times New Roman" w:eastAsiaTheme="minorHAnsi" w:hAnsi="Times New Roman"/>
          <w:color w:val="000000" w:themeColor="text1"/>
        </w:rPr>
        <w:t>7</w:t>
      </w:r>
      <w:r w:rsidRPr="0075698C">
        <w:rPr>
          <w:rFonts w:ascii="Times New Roman" w:eastAsiaTheme="minorHAnsi" w:hAnsi="Times New Roman"/>
          <w:color w:val="000000" w:themeColor="text1"/>
        </w:rPr>
        <w:t>: Aldersfordeling på besætningsmedlemmer på fartøjer 24 meter og over, 201</w:t>
      </w:r>
      <w:r w:rsidR="00577477" w:rsidRPr="0075698C">
        <w:rPr>
          <w:rFonts w:ascii="Times New Roman" w:eastAsiaTheme="minorHAnsi" w:hAnsi="Times New Roman"/>
          <w:color w:val="000000" w:themeColor="text1"/>
        </w:rPr>
        <w:t>8.</w:t>
      </w:r>
    </w:p>
    <w:p w:rsidR="00552CD3" w:rsidRPr="0075698C" w:rsidRDefault="00171E26">
      <w:pPr>
        <w:spacing w:after="0"/>
        <w:jc w:val="both"/>
        <w:rPr>
          <w:rFonts w:ascii="Times New Roman" w:eastAsiaTheme="minorHAnsi" w:hAnsi="Times New Roman"/>
          <w:color w:val="000000" w:themeColor="text1"/>
        </w:rPr>
      </w:pPr>
      <w:r w:rsidRPr="0075698C">
        <w:rPr>
          <w:rFonts w:ascii="Times New Roman" w:hAnsi="Times New Roman"/>
          <w:noProof/>
          <w:lang w:eastAsia="da-DK"/>
        </w:rPr>
        <w:drawing>
          <wp:inline distT="0" distB="0" distL="0" distR="0" wp14:anchorId="66A35120" wp14:editId="226C2C8B">
            <wp:extent cx="5427023" cy="3016332"/>
            <wp:effectExtent l="0" t="0" r="2540" b="0"/>
            <wp:docPr id="8" name="Diagram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52CD3" w:rsidRPr="0075698C" w:rsidRDefault="00552CD3">
      <w:pPr>
        <w:spacing w:after="0"/>
        <w:jc w:val="both"/>
        <w:rPr>
          <w:rFonts w:ascii="Times New Roman" w:eastAsiaTheme="minorHAnsi" w:hAnsi="Times New Roman"/>
          <w:i/>
          <w:color w:val="000000" w:themeColor="text1"/>
          <w:sz w:val="20"/>
          <w:szCs w:val="20"/>
        </w:rPr>
      </w:pPr>
      <w:r w:rsidRPr="0075698C">
        <w:rPr>
          <w:rFonts w:ascii="Times New Roman" w:eastAsiaTheme="minorHAnsi" w:hAnsi="Times New Roman"/>
          <w:i/>
          <w:color w:val="000000" w:themeColor="text1"/>
          <w:sz w:val="20"/>
          <w:szCs w:val="20"/>
        </w:rPr>
        <w:t>Kilde: GFLK.</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På grund af manglende data er det ikke mulig</w:t>
      </w:r>
      <w:r w:rsidR="002169DD" w:rsidRPr="0075698C">
        <w:rPr>
          <w:rFonts w:ascii="Times New Roman" w:eastAsiaTheme="minorHAnsi" w:hAnsi="Times New Roman"/>
          <w:color w:val="000000" w:themeColor="text1"/>
        </w:rPr>
        <w:t>t</w:t>
      </w:r>
      <w:r w:rsidRPr="0075698C">
        <w:rPr>
          <w:rFonts w:ascii="Times New Roman" w:eastAsiaTheme="minorHAnsi" w:hAnsi="Times New Roman"/>
          <w:color w:val="000000" w:themeColor="text1"/>
        </w:rPr>
        <w:t xml:space="preserve"> at udarbejde aldersfordeling for besætningsmedlemmer på fartøjer mellem 6-24 meter. Årsagen til det er, at GFLK ikke </w:t>
      </w:r>
      <w:r w:rsidRPr="0075698C">
        <w:rPr>
          <w:rFonts w:ascii="Times New Roman" w:eastAsiaTheme="minorHAnsi" w:hAnsi="Times New Roman"/>
          <w:color w:val="000000" w:themeColor="text1"/>
        </w:rPr>
        <w:lastRenderedPageBreak/>
        <w:t>registrerer bemanding på fartøjer under 24 meter, som ikke er omfattet af bekendtgørelsen om bemanding af grønlandske fartøjer.</w:t>
      </w:r>
      <w:r w:rsidRPr="0075698C">
        <w:rPr>
          <w:rFonts w:ascii="Times New Roman" w:eastAsiaTheme="minorHAnsi" w:hAnsi="Times New Roman"/>
          <w:color w:val="000000" w:themeColor="text1"/>
          <w:vertAlign w:val="superscript"/>
        </w:rPr>
        <w:footnoteReference w:id="3"/>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 xml:space="preserve">Det har dog været muligt at udarbejde aldersfordeling for selvstændige erhvervsdrivende fiskere i 2018, jf. figur </w:t>
      </w:r>
      <w:r w:rsidR="00A90861" w:rsidRPr="0075698C">
        <w:rPr>
          <w:rFonts w:ascii="Times New Roman" w:eastAsiaTheme="minorHAnsi" w:hAnsi="Times New Roman"/>
          <w:color w:val="000000" w:themeColor="text1"/>
        </w:rPr>
        <w:t>8</w:t>
      </w:r>
      <w:r w:rsidRPr="0075698C">
        <w:rPr>
          <w:rFonts w:ascii="Times New Roman" w:eastAsiaTheme="minorHAnsi" w:hAnsi="Times New Roman"/>
          <w:color w:val="000000" w:themeColor="text1"/>
        </w:rPr>
        <w:t>, som har fisket hovedsagligt med joller. Tallene inkluderer det samlede antal fiskere</w:t>
      </w:r>
      <w:r w:rsidR="002169DD" w:rsidRPr="0075698C">
        <w:rPr>
          <w:rFonts w:ascii="Times New Roman" w:eastAsiaTheme="minorHAnsi" w:hAnsi="Times New Roman"/>
          <w:color w:val="000000" w:themeColor="text1"/>
        </w:rPr>
        <w:t>,</w:t>
      </w:r>
      <w:r w:rsidRPr="0075698C">
        <w:rPr>
          <w:rFonts w:ascii="Times New Roman" w:eastAsiaTheme="minorHAnsi" w:hAnsi="Times New Roman"/>
          <w:color w:val="000000" w:themeColor="text1"/>
        </w:rPr>
        <w:t xml:space="preserve"> uanset om de har fisket i begrænset periode eller hele året. Det fremgår af figuren, at en del jollefiskerene er oppe i alderen. Således er ca. 55 pct. fiskerene 46 år og over og ca. 15 pct. over 60 år.</w:t>
      </w:r>
    </w:p>
    <w:p w:rsidR="00552CD3" w:rsidRPr="0075698C" w:rsidRDefault="00552CD3">
      <w:pPr>
        <w:spacing w:after="0"/>
        <w:jc w:val="both"/>
        <w:rPr>
          <w:rFonts w:ascii="Times New Roman" w:eastAsiaTheme="minorHAnsi" w:hAnsi="Times New Roman"/>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77477" w:rsidRPr="0075698C" w:rsidRDefault="00577477">
      <w:pPr>
        <w:spacing w:after="0"/>
        <w:jc w:val="both"/>
        <w:rPr>
          <w:rFonts w:ascii="Times New Roman" w:eastAsiaTheme="minorHAnsi" w:hAnsi="Times New Roman"/>
          <w:b/>
          <w:color w:val="000000" w:themeColor="text1"/>
        </w:rPr>
      </w:pP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 xml:space="preserve">Figur </w:t>
      </w:r>
      <w:r w:rsidR="00A90861" w:rsidRPr="0075698C">
        <w:rPr>
          <w:rFonts w:ascii="Times New Roman" w:eastAsiaTheme="minorHAnsi" w:hAnsi="Times New Roman"/>
          <w:color w:val="000000" w:themeColor="text1"/>
        </w:rPr>
        <w:t>8</w:t>
      </w:r>
      <w:r w:rsidRPr="0075698C">
        <w:rPr>
          <w:rFonts w:ascii="Times New Roman" w:eastAsiaTheme="minorHAnsi" w:hAnsi="Times New Roman"/>
          <w:color w:val="000000" w:themeColor="text1"/>
        </w:rPr>
        <w:t>: Aldersfordeling for selvstændig erhvervsdrivende fiskere, 2018</w:t>
      </w:r>
      <w:r w:rsidR="00577477" w:rsidRPr="0075698C">
        <w:rPr>
          <w:rFonts w:ascii="Times New Roman" w:eastAsiaTheme="minorHAnsi" w:hAnsi="Times New Roman"/>
          <w:color w:val="000000" w:themeColor="text1"/>
        </w:rPr>
        <w:t>.</w:t>
      </w:r>
    </w:p>
    <w:p w:rsidR="00552CD3" w:rsidRPr="0075698C" w:rsidRDefault="00552CD3">
      <w:pPr>
        <w:spacing w:after="0"/>
        <w:jc w:val="both"/>
        <w:rPr>
          <w:rFonts w:ascii="Times New Roman" w:eastAsiaTheme="minorHAnsi" w:hAnsi="Times New Roman"/>
          <w:color w:val="000000" w:themeColor="text1"/>
        </w:rPr>
      </w:pPr>
      <w:r w:rsidRPr="0075698C">
        <w:rPr>
          <w:rFonts w:ascii="Times New Roman" w:eastAsiaTheme="minorHAnsi" w:hAnsi="Times New Roman"/>
          <w:noProof/>
          <w:lang w:eastAsia="da-DK"/>
        </w:rPr>
        <w:drawing>
          <wp:inline distT="0" distB="0" distL="0" distR="0" wp14:anchorId="7D45D1C9" wp14:editId="7A8DFC69">
            <wp:extent cx="5391150" cy="2933206"/>
            <wp:effectExtent l="0" t="0" r="0" b="635"/>
            <wp:docPr id="3" name="Diagram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52CD3" w:rsidRPr="0075698C" w:rsidRDefault="00552CD3">
      <w:pPr>
        <w:spacing w:after="0"/>
        <w:jc w:val="both"/>
        <w:rPr>
          <w:rFonts w:ascii="Times New Roman" w:eastAsiaTheme="minorHAnsi" w:hAnsi="Times New Roman"/>
          <w:i/>
          <w:color w:val="000000" w:themeColor="text1"/>
          <w:sz w:val="20"/>
          <w:szCs w:val="20"/>
        </w:rPr>
      </w:pPr>
      <w:r w:rsidRPr="0075698C">
        <w:rPr>
          <w:rFonts w:ascii="Times New Roman" w:eastAsiaTheme="minorHAnsi" w:hAnsi="Times New Roman"/>
          <w:i/>
          <w:color w:val="000000" w:themeColor="text1"/>
          <w:sz w:val="20"/>
          <w:szCs w:val="20"/>
        </w:rPr>
        <w:t>Kilde: GFLK.</w:t>
      </w:r>
    </w:p>
    <w:p w:rsidR="00552CD3" w:rsidRPr="0075698C" w:rsidRDefault="00552CD3">
      <w:pPr>
        <w:spacing w:after="0"/>
        <w:jc w:val="both"/>
        <w:rPr>
          <w:rFonts w:ascii="Times New Roman" w:eastAsiaTheme="minorHAnsi" w:hAnsi="Times New Roman"/>
          <w:i/>
          <w:color w:val="000000" w:themeColor="text1"/>
          <w:sz w:val="20"/>
          <w:szCs w:val="20"/>
        </w:rPr>
      </w:pPr>
      <w:r w:rsidRPr="0075698C">
        <w:rPr>
          <w:rFonts w:ascii="Times New Roman" w:eastAsiaTheme="minorHAnsi" w:hAnsi="Times New Roman"/>
          <w:i/>
          <w:color w:val="000000" w:themeColor="text1"/>
          <w:sz w:val="20"/>
          <w:szCs w:val="20"/>
        </w:rPr>
        <w:t>Note: Består hovedsagligt af jollefiskere.</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color w:val="000000"/>
          <w:shd w:val="clear" w:color="auto" w:fill="FFFFFF"/>
        </w:rPr>
      </w:pPr>
      <w:r w:rsidRPr="0075698C">
        <w:rPr>
          <w:rFonts w:ascii="Times New Roman" w:eastAsiaTheme="minorHAnsi" w:hAnsi="Times New Roman"/>
        </w:rPr>
        <w:t xml:space="preserve">Antallet af registrerede arbejdssøgende er faldet kraftigt siden 2014 og forventes yderligere </w:t>
      </w:r>
      <w:r w:rsidR="002169DD" w:rsidRPr="0075698C">
        <w:rPr>
          <w:rFonts w:ascii="Times New Roman" w:eastAsiaTheme="minorHAnsi" w:hAnsi="Times New Roman"/>
        </w:rPr>
        <w:t xml:space="preserve">at </w:t>
      </w:r>
      <w:r w:rsidRPr="0075698C">
        <w:rPr>
          <w:rFonts w:ascii="Times New Roman" w:eastAsiaTheme="minorHAnsi" w:hAnsi="Times New Roman"/>
        </w:rPr>
        <w:t>falde i 2019 og</w:t>
      </w:r>
      <w:r w:rsidR="002169DD" w:rsidRPr="0075698C">
        <w:rPr>
          <w:rFonts w:ascii="Times New Roman" w:eastAsiaTheme="minorHAnsi" w:hAnsi="Times New Roman"/>
        </w:rPr>
        <w:t xml:space="preserve"> i de</w:t>
      </w:r>
      <w:r w:rsidRPr="0075698C">
        <w:rPr>
          <w:rFonts w:ascii="Times New Roman" w:eastAsiaTheme="minorHAnsi" w:hAnsi="Times New Roman"/>
        </w:rPr>
        <w:t xml:space="preserve"> kommende år. </w:t>
      </w:r>
      <w:r w:rsidRPr="0075698C">
        <w:rPr>
          <w:rFonts w:ascii="Times New Roman" w:eastAsiaTheme="minorHAnsi" w:hAnsi="Times New Roman"/>
          <w:color w:val="000000"/>
          <w:shd w:val="clear" w:color="auto" w:fill="FFFFFF"/>
        </w:rPr>
        <w:t>Mangel på arbejdskraft står i dag i vejen for</w:t>
      </w:r>
      <w:r w:rsidR="002169DD" w:rsidRPr="0075698C">
        <w:rPr>
          <w:rFonts w:ascii="Times New Roman" w:eastAsiaTheme="minorHAnsi" w:hAnsi="Times New Roman"/>
          <w:color w:val="000000"/>
          <w:shd w:val="clear" w:color="auto" w:fill="FFFFFF"/>
        </w:rPr>
        <w:t>,</w:t>
      </w:r>
      <w:r w:rsidRPr="0075698C">
        <w:rPr>
          <w:rFonts w:ascii="Times New Roman" w:eastAsiaTheme="minorHAnsi" w:hAnsi="Times New Roman"/>
          <w:color w:val="000000"/>
          <w:shd w:val="clear" w:color="auto" w:fill="FFFFFF"/>
        </w:rPr>
        <w:t xml:space="preserve"> at virksomhederne kan drives og udvikles optimalt. Med de nye store anlægsopgaver</w:t>
      </w:r>
      <w:r w:rsidR="002169DD" w:rsidRPr="0075698C">
        <w:rPr>
          <w:rFonts w:ascii="Times New Roman" w:eastAsiaTheme="minorHAnsi" w:hAnsi="Times New Roman"/>
          <w:color w:val="000000"/>
          <w:shd w:val="clear" w:color="auto" w:fill="FFFFFF"/>
        </w:rPr>
        <w:t>,</w:t>
      </w:r>
      <w:r w:rsidRPr="0075698C">
        <w:rPr>
          <w:rFonts w:ascii="Times New Roman" w:eastAsiaTheme="minorHAnsi" w:hAnsi="Times New Roman"/>
          <w:color w:val="000000"/>
          <w:shd w:val="clear" w:color="auto" w:fill="FFFFFF"/>
        </w:rPr>
        <w:t xml:space="preserve"> der er på </w:t>
      </w:r>
      <w:r w:rsidRPr="0075698C">
        <w:rPr>
          <w:rFonts w:ascii="Times New Roman" w:eastAsiaTheme="minorHAnsi" w:hAnsi="Times New Roman"/>
          <w:color w:val="000000"/>
          <w:shd w:val="clear" w:color="auto" w:fill="FFFFFF"/>
        </w:rPr>
        <w:lastRenderedPageBreak/>
        <w:t>vej, vil behovet for arbejdskraft stige betydeligt de kommende år</w:t>
      </w:r>
      <w:r w:rsidR="002169DD" w:rsidRPr="0075698C">
        <w:rPr>
          <w:rFonts w:ascii="Times New Roman" w:eastAsiaTheme="minorHAnsi" w:hAnsi="Times New Roman"/>
          <w:color w:val="000000"/>
          <w:shd w:val="clear" w:color="auto" w:fill="FFFFFF"/>
        </w:rPr>
        <w:t>.</w:t>
      </w:r>
      <w:r w:rsidRPr="0075698C">
        <w:rPr>
          <w:rFonts w:ascii="Times New Roman" w:eastAsiaTheme="minorHAnsi" w:hAnsi="Times New Roman"/>
        </w:rPr>
        <w:t xml:space="preserve"> </w:t>
      </w:r>
      <w:r w:rsidRPr="0075698C">
        <w:rPr>
          <w:rFonts w:ascii="Times New Roman" w:eastAsiaTheme="minorHAnsi" w:hAnsi="Times New Roman"/>
          <w:color w:val="000000"/>
          <w:shd w:val="clear" w:color="auto" w:fill="FFFFFF"/>
        </w:rPr>
        <w:t xml:space="preserve">Manglen på arbejdskraft kan derfor risikere at bremse den fremtidige økonomisk vækst i Grønland. </w:t>
      </w:r>
    </w:p>
    <w:p w:rsidR="00552CD3" w:rsidRPr="0075698C" w:rsidRDefault="00552CD3">
      <w:pPr>
        <w:spacing w:after="0"/>
        <w:jc w:val="both"/>
        <w:rPr>
          <w:rFonts w:ascii="Times New Roman" w:eastAsiaTheme="minorHAnsi" w:hAnsi="Times New Roman"/>
        </w:rPr>
      </w:pPr>
    </w:p>
    <w:p w:rsidR="00552CD3" w:rsidRPr="0075698C" w:rsidRDefault="00552CD3">
      <w:pPr>
        <w:spacing w:after="0"/>
        <w:jc w:val="both"/>
        <w:rPr>
          <w:rFonts w:ascii="Times New Roman" w:eastAsiaTheme="minorHAnsi" w:hAnsi="Times New Roman"/>
          <w:color w:val="000000"/>
          <w:shd w:val="clear" w:color="auto" w:fill="FFFFFF"/>
        </w:rPr>
      </w:pPr>
      <w:r w:rsidRPr="0075698C">
        <w:rPr>
          <w:rFonts w:ascii="Times New Roman" w:eastAsiaTheme="minorHAnsi" w:hAnsi="Times New Roman"/>
          <w:color w:val="000000"/>
          <w:shd w:val="clear" w:color="auto" w:fill="FFFFFF"/>
        </w:rPr>
        <w:t>Et meget aktuelt eksempel er</w:t>
      </w:r>
      <w:r w:rsidR="002169DD" w:rsidRPr="0075698C">
        <w:rPr>
          <w:rFonts w:ascii="Times New Roman" w:eastAsiaTheme="minorHAnsi" w:hAnsi="Times New Roman"/>
          <w:color w:val="000000"/>
          <w:shd w:val="clear" w:color="auto" w:fill="FFFFFF"/>
        </w:rPr>
        <w:t>,</w:t>
      </w:r>
      <w:r w:rsidRPr="0075698C">
        <w:rPr>
          <w:rFonts w:ascii="Times New Roman" w:eastAsiaTheme="minorHAnsi" w:hAnsi="Times New Roman"/>
          <w:color w:val="000000"/>
          <w:shd w:val="clear" w:color="auto" w:fill="FFFFFF"/>
        </w:rPr>
        <w:t xml:space="preserve"> at fiskefabrikkerne i højere grad </w:t>
      </w:r>
      <w:r w:rsidR="002169DD" w:rsidRPr="0075698C">
        <w:rPr>
          <w:rFonts w:ascii="Times New Roman" w:eastAsiaTheme="minorHAnsi" w:hAnsi="Times New Roman"/>
          <w:color w:val="000000"/>
          <w:shd w:val="clear" w:color="auto" w:fill="FFFFFF"/>
        </w:rPr>
        <w:t xml:space="preserve">end </w:t>
      </w:r>
      <w:r w:rsidRPr="0075698C">
        <w:rPr>
          <w:rFonts w:ascii="Times New Roman" w:eastAsiaTheme="minorHAnsi" w:hAnsi="Times New Roman"/>
          <w:color w:val="000000"/>
          <w:shd w:val="clear" w:color="auto" w:fill="FFFFFF"/>
        </w:rPr>
        <w:t>nogensinde rekruttere</w:t>
      </w:r>
      <w:r w:rsidR="002169DD" w:rsidRPr="0075698C">
        <w:rPr>
          <w:rFonts w:ascii="Times New Roman" w:eastAsiaTheme="minorHAnsi" w:hAnsi="Times New Roman"/>
          <w:color w:val="000000"/>
          <w:shd w:val="clear" w:color="auto" w:fill="FFFFFF"/>
        </w:rPr>
        <w:t>r</w:t>
      </w:r>
      <w:r w:rsidRPr="0075698C">
        <w:rPr>
          <w:rFonts w:ascii="Times New Roman" w:eastAsiaTheme="minorHAnsi" w:hAnsi="Times New Roman"/>
          <w:color w:val="000000"/>
          <w:shd w:val="clear" w:color="auto" w:fill="FFFFFF"/>
        </w:rPr>
        <w:t xml:space="preserve"> udenlandsk arbejdskraft på grund af manglede grønlandsk arbejdskraft. </w:t>
      </w:r>
      <w:r w:rsidR="002169DD" w:rsidRPr="0075698C">
        <w:rPr>
          <w:rFonts w:ascii="Times New Roman" w:eastAsiaTheme="minorHAnsi" w:hAnsi="Times New Roman"/>
          <w:color w:val="000000"/>
          <w:shd w:val="clear" w:color="auto" w:fill="FFFFFF"/>
        </w:rPr>
        <w:t>Dette sker ofte</w:t>
      </w:r>
      <w:r w:rsidRPr="0075698C">
        <w:rPr>
          <w:rFonts w:ascii="Times New Roman" w:eastAsiaTheme="minorHAnsi" w:hAnsi="Times New Roman"/>
          <w:color w:val="000000"/>
          <w:shd w:val="clear" w:color="auto" w:fill="FFFFFF"/>
        </w:rPr>
        <w:t xml:space="preserve"> til at producere indhandling af fisk</w:t>
      </w:r>
      <w:r w:rsidR="002169DD" w:rsidRPr="0075698C">
        <w:rPr>
          <w:rFonts w:ascii="Times New Roman" w:eastAsiaTheme="minorHAnsi" w:hAnsi="Times New Roman"/>
          <w:color w:val="000000"/>
          <w:shd w:val="clear" w:color="auto" w:fill="FFFFFF"/>
        </w:rPr>
        <w:t>,</w:t>
      </w:r>
      <w:r w:rsidRPr="0075698C">
        <w:rPr>
          <w:rFonts w:ascii="Times New Roman" w:eastAsiaTheme="minorHAnsi" w:hAnsi="Times New Roman"/>
          <w:color w:val="000000"/>
          <w:shd w:val="clear" w:color="auto" w:fill="FFFFFF"/>
        </w:rPr>
        <w:t xml:space="preserve"> som fartøjerne er pålagt </w:t>
      </w:r>
      <w:r w:rsidR="002169DD" w:rsidRPr="0075698C">
        <w:rPr>
          <w:rFonts w:ascii="Times New Roman" w:eastAsiaTheme="minorHAnsi" w:hAnsi="Times New Roman"/>
          <w:color w:val="000000"/>
          <w:shd w:val="clear" w:color="auto" w:fill="FFFFFF"/>
        </w:rPr>
        <w:t xml:space="preserve">at lande </w:t>
      </w:r>
      <w:r w:rsidRPr="0075698C">
        <w:rPr>
          <w:rFonts w:ascii="Times New Roman" w:eastAsiaTheme="minorHAnsi" w:hAnsi="Times New Roman"/>
          <w:color w:val="000000"/>
          <w:shd w:val="clear" w:color="auto" w:fill="FFFFFF"/>
        </w:rPr>
        <w:t>for at skabe lokal beskæftigelse i landet.</w:t>
      </w:r>
    </w:p>
    <w:p w:rsidR="00552CD3" w:rsidRPr="0075698C" w:rsidRDefault="00552CD3">
      <w:pPr>
        <w:spacing w:after="0"/>
        <w:jc w:val="both"/>
        <w:rPr>
          <w:rFonts w:ascii="Times New Roman" w:eastAsiaTheme="minorHAnsi" w:hAnsi="Times New Roman"/>
          <w:color w:val="000000"/>
          <w:shd w:val="clear" w:color="auto" w:fill="FFFFFF"/>
        </w:rPr>
      </w:pPr>
    </w:p>
    <w:p w:rsidR="008D18C5" w:rsidRPr="0075698C" w:rsidRDefault="008D18C5">
      <w:pPr>
        <w:spacing w:after="0"/>
        <w:jc w:val="both"/>
        <w:rPr>
          <w:rFonts w:ascii="Times New Roman" w:eastAsiaTheme="minorHAnsi" w:hAnsi="Times New Roman"/>
          <w:color w:val="000000"/>
          <w:shd w:val="clear" w:color="auto" w:fill="FFFFFF"/>
        </w:rPr>
      </w:pPr>
    </w:p>
    <w:p w:rsidR="008D18C5" w:rsidRPr="0075698C" w:rsidRDefault="008D18C5">
      <w:pPr>
        <w:spacing w:after="0"/>
        <w:jc w:val="both"/>
        <w:rPr>
          <w:rFonts w:ascii="Times New Roman" w:hAnsi="Times New Roman"/>
          <w:color w:val="000000"/>
          <w:shd w:val="clear" w:color="auto" w:fill="FFFFFF"/>
        </w:rPr>
      </w:pPr>
      <w:r w:rsidRPr="0075698C">
        <w:rPr>
          <w:rFonts w:ascii="Times New Roman" w:hAnsi="Times New Roman"/>
          <w:color w:val="000000"/>
          <w:shd w:val="clear" w:color="auto" w:fill="FFFFFF"/>
        </w:rPr>
        <w:t>Der har været en kraftig stigning i tildeling af fiskelicenser i perioden siden 2013 (se også figur 4). Tallet toppede i 2017, men antallet af licenser i 2019 er fortsat på et langt højere niveau end i 2013.</w:t>
      </w:r>
    </w:p>
    <w:p w:rsidR="008D18C5" w:rsidRPr="0075698C" w:rsidRDefault="008D18C5">
      <w:pPr>
        <w:spacing w:after="0"/>
        <w:jc w:val="both"/>
        <w:rPr>
          <w:rFonts w:ascii="Times New Roman" w:eastAsiaTheme="minorHAnsi" w:hAnsi="Times New Roman"/>
          <w:color w:val="000000"/>
          <w:shd w:val="clear" w:color="auto" w:fill="FFFFFF"/>
        </w:rPr>
      </w:pPr>
    </w:p>
    <w:p w:rsidR="00552CD3" w:rsidRPr="0075698C" w:rsidRDefault="00552CD3">
      <w:pPr>
        <w:spacing w:after="0"/>
        <w:jc w:val="both"/>
        <w:rPr>
          <w:rFonts w:ascii="Times New Roman" w:eastAsiaTheme="minorHAnsi" w:hAnsi="Times New Roman"/>
          <w:color w:val="000000"/>
          <w:shd w:val="clear" w:color="auto" w:fill="FFFFFF"/>
        </w:rPr>
      </w:pPr>
      <w:r w:rsidRPr="0075698C">
        <w:rPr>
          <w:rFonts w:ascii="Times New Roman" w:eastAsiaTheme="minorHAnsi" w:hAnsi="Times New Roman"/>
        </w:rPr>
        <w:t xml:space="preserve">Den største stigning ligger i antallet af jollelicenser, mens antallet af fartøjslicenser er steget stødt over hele perioden. Det </w:t>
      </w:r>
      <w:r w:rsidRPr="0075698C">
        <w:rPr>
          <w:rFonts w:ascii="Times New Roman" w:eastAsiaTheme="minorHAnsi" w:hAnsi="Times New Roman"/>
          <w:color w:val="000000"/>
          <w:shd w:val="clear" w:color="auto" w:fill="FFFFFF"/>
        </w:rPr>
        <w:t xml:space="preserve">har ikke kun betydet </w:t>
      </w:r>
      <w:r w:rsidR="002169DD" w:rsidRPr="0075698C">
        <w:rPr>
          <w:rFonts w:ascii="Times New Roman" w:eastAsiaTheme="minorHAnsi" w:hAnsi="Times New Roman"/>
          <w:color w:val="000000"/>
          <w:shd w:val="clear" w:color="auto" w:fill="FFFFFF"/>
        </w:rPr>
        <w:t xml:space="preserve">et </w:t>
      </w:r>
      <w:r w:rsidRPr="0075698C">
        <w:rPr>
          <w:rFonts w:ascii="Times New Roman" w:eastAsiaTheme="minorHAnsi" w:hAnsi="Times New Roman"/>
          <w:color w:val="000000"/>
          <w:shd w:val="clear" w:color="auto" w:fill="FFFFFF"/>
        </w:rPr>
        <w:t>øget antal joller og små fartøjer med tilhørende overkapacitet</w:t>
      </w:r>
      <w:r w:rsidR="002169DD" w:rsidRPr="0075698C">
        <w:rPr>
          <w:rFonts w:ascii="Times New Roman" w:eastAsiaTheme="minorHAnsi" w:hAnsi="Times New Roman"/>
          <w:color w:val="000000"/>
          <w:shd w:val="clear" w:color="auto" w:fill="FFFFFF"/>
        </w:rPr>
        <w:t>,</w:t>
      </w:r>
      <w:r w:rsidRPr="0075698C">
        <w:rPr>
          <w:rFonts w:ascii="Times New Roman" w:eastAsiaTheme="minorHAnsi" w:hAnsi="Times New Roman"/>
          <w:color w:val="000000"/>
          <w:shd w:val="clear" w:color="auto" w:fill="FFFFFF"/>
        </w:rPr>
        <w:t xml:space="preserve"> men </w:t>
      </w:r>
      <w:r w:rsidR="002169DD" w:rsidRPr="0075698C">
        <w:rPr>
          <w:rFonts w:ascii="Times New Roman" w:eastAsiaTheme="minorHAnsi" w:hAnsi="Times New Roman"/>
          <w:color w:val="000000"/>
          <w:shd w:val="clear" w:color="auto" w:fill="FFFFFF"/>
        </w:rPr>
        <w:t xml:space="preserve">det </w:t>
      </w:r>
      <w:r w:rsidRPr="0075698C">
        <w:rPr>
          <w:rFonts w:ascii="Times New Roman" w:eastAsiaTheme="minorHAnsi" w:hAnsi="Times New Roman"/>
          <w:color w:val="000000"/>
          <w:shd w:val="clear" w:color="auto" w:fill="FFFFFF"/>
        </w:rPr>
        <w:t>har</w:t>
      </w:r>
      <w:r w:rsidR="002169DD" w:rsidRPr="0075698C">
        <w:rPr>
          <w:rFonts w:ascii="Times New Roman" w:eastAsiaTheme="minorHAnsi" w:hAnsi="Times New Roman"/>
          <w:color w:val="000000"/>
          <w:shd w:val="clear" w:color="auto" w:fill="FFFFFF"/>
        </w:rPr>
        <w:t xml:space="preserve"> også</w:t>
      </w:r>
      <w:r w:rsidRPr="0075698C">
        <w:rPr>
          <w:rFonts w:ascii="Times New Roman" w:eastAsiaTheme="minorHAnsi" w:hAnsi="Times New Roman"/>
          <w:color w:val="000000"/>
          <w:shd w:val="clear" w:color="auto" w:fill="FFFFFF"/>
        </w:rPr>
        <w:t xml:space="preserve"> bidraget til at beslaglægge </w:t>
      </w:r>
      <w:r w:rsidR="002169DD" w:rsidRPr="0075698C">
        <w:rPr>
          <w:rFonts w:ascii="Times New Roman" w:eastAsiaTheme="minorHAnsi" w:hAnsi="Times New Roman"/>
          <w:color w:val="000000"/>
          <w:shd w:val="clear" w:color="auto" w:fill="FFFFFF"/>
        </w:rPr>
        <w:t xml:space="preserve">en </w:t>
      </w:r>
      <w:r w:rsidR="008F6E39" w:rsidRPr="0075698C">
        <w:rPr>
          <w:rFonts w:ascii="Times New Roman" w:eastAsiaTheme="minorHAnsi" w:hAnsi="Times New Roman"/>
          <w:color w:val="000000"/>
          <w:shd w:val="clear" w:color="auto" w:fill="FFFFFF"/>
        </w:rPr>
        <w:t xml:space="preserve">betydelig </w:t>
      </w:r>
      <w:r w:rsidRPr="0075698C">
        <w:rPr>
          <w:rFonts w:ascii="Times New Roman" w:eastAsiaTheme="minorHAnsi" w:hAnsi="Times New Roman"/>
          <w:color w:val="000000"/>
          <w:shd w:val="clear" w:color="auto" w:fill="FFFFFF"/>
        </w:rPr>
        <w:t xml:space="preserve">del af arbejdskraften. </w:t>
      </w:r>
      <w:r w:rsidR="002169DD" w:rsidRPr="0075698C">
        <w:rPr>
          <w:rFonts w:ascii="Times New Roman" w:eastAsiaTheme="minorHAnsi" w:hAnsi="Times New Roman"/>
          <w:color w:val="000000"/>
          <w:shd w:val="clear" w:color="auto" w:fill="FFFFFF"/>
        </w:rPr>
        <w:t xml:space="preserve">Det har </w:t>
      </w:r>
      <w:r w:rsidRPr="0075698C">
        <w:rPr>
          <w:rFonts w:ascii="Times New Roman" w:eastAsiaTheme="minorHAnsi" w:hAnsi="Times New Roman"/>
          <w:color w:val="000000"/>
          <w:shd w:val="clear" w:color="auto" w:fill="FFFFFF"/>
        </w:rPr>
        <w:t>medført en højere beskæftigelse i det kystnære fiskeri</w:t>
      </w:r>
      <w:r w:rsidR="002169DD" w:rsidRPr="0075698C">
        <w:rPr>
          <w:rFonts w:ascii="Times New Roman" w:eastAsiaTheme="minorHAnsi" w:hAnsi="Times New Roman"/>
          <w:color w:val="000000"/>
          <w:shd w:val="clear" w:color="auto" w:fill="FFFFFF"/>
        </w:rPr>
        <w:t>,</w:t>
      </w:r>
      <w:r w:rsidRPr="0075698C">
        <w:rPr>
          <w:rFonts w:ascii="Times New Roman" w:eastAsiaTheme="minorHAnsi" w:hAnsi="Times New Roman"/>
          <w:color w:val="000000"/>
          <w:shd w:val="clear" w:color="auto" w:fill="FFFFFF"/>
        </w:rPr>
        <w:t xml:space="preserve"> end der er behov for at drive fiskeriet økonomisk rentabelt.  </w:t>
      </w:r>
    </w:p>
    <w:p w:rsidR="00577477" w:rsidRPr="0075698C" w:rsidRDefault="00577477">
      <w:pPr>
        <w:spacing w:after="0"/>
        <w:jc w:val="both"/>
        <w:rPr>
          <w:rFonts w:ascii="Times New Roman" w:eastAsiaTheme="minorHAnsi" w:hAnsi="Times New Roman"/>
          <w:color w:val="000000"/>
          <w:shd w:val="clear" w:color="auto" w:fill="FFFFFF"/>
        </w:rPr>
      </w:pPr>
    </w:p>
    <w:p w:rsidR="00577477" w:rsidRPr="0075698C" w:rsidRDefault="00577477">
      <w:pPr>
        <w:spacing w:after="0"/>
        <w:jc w:val="both"/>
        <w:rPr>
          <w:rFonts w:ascii="Times New Roman" w:hAnsi="Times New Roman"/>
          <w:color w:val="000000"/>
          <w:shd w:val="clear" w:color="auto" w:fill="FFFFFF"/>
        </w:rPr>
      </w:pPr>
      <w:r w:rsidRPr="0075698C">
        <w:rPr>
          <w:rFonts w:ascii="Times New Roman" w:hAnsi="Times New Roman"/>
          <w:color w:val="000000"/>
          <w:shd w:val="clear" w:color="auto" w:fill="FFFFFF"/>
        </w:rPr>
        <w:t xml:space="preserve">Denne problematik er illustreret i figur 9 med et eksempel fra indhandlingen af hellefisk i det kystnære fiskeri fra joller i forvaltningsområde 47 (Diskobugten, Uummannaq og Upernavik). </w:t>
      </w:r>
    </w:p>
    <w:p w:rsidR="00577477" w:rsidRPr="0075698C" w:rsidRDefault="00577477">
      <w:pPr>
        <w:spacing w:after="0"/>
        <w:jc w:val="both"/>
        <w:rPr>
          <w:rFonts w:ascii="Times New Roman" w:eastAsiaTheme="minorHAnsi" w:hAnsi="Times New Roman"/>
          <w:color w:val="000000"/>
          <w:shd w:val="clear" w:color="auto" w:fill="FFFFFF"/>
        </w:rPr>
      </w:pPr>
    </w:p>
    <w:p w:rsidR="00552CD3" w:rsidRPr="0075698C" w:rsidRDefault="00552CD3">
      <w:pPr>
        <w:spacing w:after="0"/>
        <w:jc w:val="both"/>
        <w:rPr>
          <w:rFonts w:ascii="Times New Roman" w:eastAsiaTheme="minorHAnsi" w:hAnsi="Times New Roman"/>
          <w:color w:val="000000"/>
          <w:shd w:val="clear" w:color="auto" w:fill="FFFFFF"/>
        </w:rPr>
      </w:pPr>
    </w:p>
    <w:p w:rsidR="00577477" w:rsidRPr="0075698C" w:rsidRDefault="00577477">
      <w:pPr>
        <w:spacing w:after="0"/>
        <w:jc w:val="both"/>
        <w:rPr>
          <w:rFonts w:ascii="Times New Roman" w:hAnsi="Times New Roman"/>
          <w:color w:val="000000"/>
          <w:shd w:val="clear" w:color="auto" w:fill="FFFFFF"/>
        </w:rPr>
      </w:pPr>
      <w:r w:rsidRPr="0075698C">
        <w:rPr>
          <w:rFonts w:ascii="Times New Roman" w:hAnsi="Times New Roman"/>
          <w:color w:val="000000"/>
          <w:shd w:val="clear" w:color="auto" w:fill="FFFFFF"/>
        </w:rPr>
        <w:t>Figur 9: Jollefiskeri efter hellefisk 2018 i forvaltningsområde 47 (Diskobugten, Uummannaq og Upernavik).   Andel af indhandlingsmængde pr. jolle fordelt på intervaller.</w:t>
      </w:r>
    </w:p>
    <w:p w:rsidR="00577477" w:rsidRPr="0075698C" w:rsidRDefault="00577477">
      <w:pPr>
        <w:spacing w:after="0"/>
        <w:jc w:val="both"/>
        <w:rPr>
          <w:rFonts w:ascii="Times New Roman" w:hAnsi="Times New Roman"/>
          <w:color w:val="000000"/>
          <w:shd w:val="clear" w:color="auto" w:fill="FFFFFF"/>
        </w:rPr>
      </w:pPr>
      <w:r w:rsidRPr="0075698C">
        <w:rPr>
          <w:rFonts w:ascii="Times New Roman" w:hAnsi="Times New Roman"/>
          <w:noProof/>
          <w:color w:val="000000"/>
          <w:shd w:val="clear" w:color="auto" w:fill="FFFFFF"/>
          <w:lang w:eastAsia="da-DK"/>
        </w:rPr>
        <w:drawing>
          <wp:inline distT="0" distB="0" distL="0" distR="0" wp14:anchorId="15D6C9A5" wp14:editId="6C026EBE">
            <wp:extent cx="6120130" cy="3234055"/>
            <wp:effectExtent l="0" t="0" r="0" b="4445"/>
            <wp:docPr id="33" name="Diagram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763A0" w:rsidRPr="0075698C" w:rsidRDefault="008763A0">
      <w:pPr>
        <w:spacing w:after="0"/>
        <w:jc w:val="both"/>
        <w:rPr>
          <w:rFonts w:ascii="Times New Roman" w:hAnsi="Times New Roman"/>
          <w:color w:val="000000"/>
          <w:sz w:val="20"/>
          <w:szCs w:val="20"/>
          <w:shd w:val="clear" w:color="auto" w:fill="FFFFFF"/>
        </w:rPr>
      </w:pPr>
      <w:r w:rsidRPr="0075698C">
        <w:rPr>
          <w:rFonts w:ascii="Times New Roman" w:hAnsi="Times New Roman"/>
          <w:color w:val="000000"/>
          <w:sz w:val="20"/>
          <w:szCs w:val="20"/>
          <w:shd w:val="clear" w:color="auto" w:fill="FFFFFF"/>
        </w:rPr>
        <w:t>Kilde: GFLK.</w:t>
      </w:r>
    </w:p>
    <w:p w:rsidR="008763A0" w:rsidRPr="0075698C" w:rsidRDefault="008763A0">
      <w:pPr>
        <w:spacing w:after="0"/>
        <w:jc w:val="both"/>
        <w:rPr>
          <w:rFonts w:ascii="Times New Roman" w:hAnsi="Times New Roman"/>
          <w:color w:val="000000"/>
          <w:shd w:val="clear" w:color="auto" w:fill="FFFFFF"/>
        </w:rPr>
      </w:pPr>
    </w:p>
    <w:p w:rsidR="00577477" w:rsidRPr="0075698C" w:rsidRDefault="00577477">
      <w:pPr>
        <w:spacing w:after="120"/>
        <w:jc w:val="both"/>
        <w:rPr>
          <w:rFonts w:ascii="Times New Roman" w:hAnsi="Times New Roman"/>
          <w:color w:val="000000"/>
          <w:shd w:val="clear" w:color="auto" w:fill="FFFFFF"/>
        </w:rPr>
      </w:pPr>
      <w:r w:rsidRPr="0075698C">
        <w:rPr>
          <w:rFonts w:ascii="Times New Roman" w:hAnsi="Times New Roman"/>
          <w:color w:val="000000"/>
          <w:shd w:val="clear" w:color="auto" w:fill="FFFFFF"/>
        </w:rPr>
        <w:t xml:space="preserve">Som et muligt udgangspunkt for i eksemplet at vurdere eventuelle strukturproblemer i dette fiskeri er anvendt en forudsætning om, at en jollefisker med fiskeri som hovederhverv bør have </w:t>
      </w:r>
      <w:r w:rsidRPr="0075698C">
        <w:rPr>
          <w:rFonts w:ascii="Times New Roman" w:hAnsi="Times New Roman"/>
          <w:color w:val="000000"/>
          <w:shd w:val="clear" w:color="auto" w:fill="FFFFFF"/>
        </w:rPr>
        <w:lastRenderedPageBreak/>
        <w:t>en indtjening på linje med den gennemsnitlige personindkomst i Grønland. Denne var i 2017 var på 245.000 kr.:</w:t>
      </w:r>
    </w:p>
    <w:p w:rsidR="00577477" w:rsidRPr="0075698C" w:rsidRDefault="00577477">
      <w:pPr>
        <w:pStyle w:val="Listeafsnit"/>
        <w:numPr>
          <w:ilvl w:val="0"/>
          <w:numId w:val="42"/>
        </w:numPr>
        <w:spacing w:line="276" w:lineRule="auto"/>
        <w:jc w:val="both"/>
        <w:rPr>
          <w:color w:val="000000"/>
          <w:sz w:val="22"/>
          <w:szCs w:val="22"/>
          <w:shd w:val="clear" w:color="auto" w:fill="FFFFFF"/>
        </w:rPr>
      </w:pPr>
      <w:r w:rsidRPr="0075698C">
        <w:rPr>
          <w:color w:val="000000"/>
          <w:sz w:val="22"/>
          <w:szCs w:val="22"/>
          <w:shd w:val="clear" w:color="auto" w:fill="FFFFFF"/>
        </w:rPr>
        <w:t>For at generere et sådant overskud i jollefiskeriet efter hellefisk skal der i udgangspunktet indhandles minimum 20 tons hellefisk, naturligvis afhængig af indhandlingsprisen og driftsomkostninger.</w:t>
      </w:r>
    </w:p>
    <w:p w:rsidR="00577477" w:rsidRPr="0075698C" w:rsidRDefault="00577477">
      <w:pPr>
        <w:pStyle w:val="Listeafsnit"/>
        <w:numPr>
          <w:ilvl w:val="0"/>
          <w:numId w:val="42"/>
        </w:numPr>
        <w:spacing w:line="276" w:lineRule="auto"/>
        <w:jc w:val="both"/>
        <w:rPr>
          <w:color w:val="000000"/>
          <w:sz w:val="22"/>
          <w:szCs w:val="22"/>
          <w:shd w:val="clear" w:color="auto" w:fill="FFFFFF"/>
        </w:rPr>
      </w:pPr>
      <w:r w:rsidRPr="0075698C">
        <w:rPr>
          <w:color w:val="000000"/>
          <w:sz w:val="22"/>
          <w:szCs w:val="22"/>
          <w:shd w:val="clear" w:color="auto" w:fill="FFFFFF"/>
        </w:rPr>
        <w:t>I 2018 var det kun ca. 23 pct. af jollerne, som indhandlede 20 tons hellefisk eller mere.</w:t>
      </w:r>
    </w:p>
    <w:p w:rsidR="00577477" w:rsidRPr="0075698C" w:rsidRDefault="00577477">
      <w:pPr>
        <w:pStyle w:val="Listeafsnit"/>
        <w:numPr>
          <w:ilvl w:val="0"/>
          <w:numId w:val="42"/>
        </w:numPr>
        <w:spacing w:line="276" w:lineRule="auto"/>
        <w:jc w:val="both"/>
        <w:rPr>
          <w:color w:val="000000"/>
          <w:sz w:val="22"/>
          <w:szCs w:val="22"/>
          <w:shd w:val="clear" w:color="auto" w:fill="FFFFFF"/>
        </w:rPr>
      </w:pPr>
      <w:r w:rsidRPr="0075698C">
        <w:rPr>
          <w:color w:val="000000"/>
          <w:sz w:val="22"/>
          <w:szCs w:val="22"/>
          <w:shd w:val="clear" w:color="auto" w:fill="FFFFFF"/>
        </w:rPr>
        <w:t>Der var i 2018 ca. 27 %, der indhandlede 5 tons hellefisk eller mindre.</w:t>
      </w:r>
    </w:p>
    <w:p w:rsidR="00577477" w:rsidRPr="0075698C" w:rsidRDefault="00577477">
      <w:pPr>
        <w:spacing w:after="0"/>
        <w:jc w:val="both"/>
        <w:rPr>
          <w:rFonts w:ascii="Times New Roman" w:hAnsi="Times New Roman"/>
          <w:color w:val="000000"/>
          <w:shd w:val="clear" w:color="auto" w:fill="FFFFFF"/>
        </w:rPr>
      </w:pPr>
    </w:p>
    <w:p w:rsidR="00577477" w:rsidRPr="0075698C" w:rsidRDefault="00577477">
      <w:pPr>
        <w:spacing w:after="0"/>
        <w:jc w:val="both"/>
        <w:rPr>
          <w:rFonts w:ascii="Times New Roman" w:hAnsi="Times New Roman"/>
          <w:color w:val="000000"/>
          <w:shd w:val="clear" w:color="auto" w:fill="FFFFFF"/>
        </w:rPr>
      </w:pPr>
      <w:r w:rsidRPr="0075698C">
        <w:rPr>
          <w:rFonts w:ascii="Times New Roman" w:hAnsi="Times New Roman"/>
          <w:color w:val="000000"/>
          <w:shd w:val="clear" w:color="auto" w:fill="FFFFFF"/>
        </w:rPr>
        <w:t xml:space="preserve">Det må derfor antages, at en meget stor del af licensindehaverne i fiskeriet efter hellefisk med joller i forvaltningsområde 47 er bierhvervs- eller fritidsfiskere med lav indtjening fra dette fiskeri. De mange bierhvervs- eller fritidsfiskere i dette fiskeri, der drives som et olympisk fiskeri og med en samlet kvote på et betydeligt højere niveau end den biologiske rådgivning, er med til at lægge et yderligere pres på ressourcen og reducere indtjeningsmulighederne for erhvervsfiskerne. </w:t>
      </w:r>
    </w:p>
    <w:p w:rsidR="00577477" w:rsidRPr="0075698C" w:rsidRDefault="00577477">
      <w:pPr>
        <w:spacing w:after="0"/>
        <w:jc w:val="both"/>
        <w:rPr>
          <w:rFonts w:ascii="Times New Roman" w:eastAsiaTheme="minorHAnsi" w:hAnsi="Times New Roman"/>
          <w:color w:val="000000"/>
          <w:shd w:val="clear" w:color="auto" w:fill="FFFFFF"/>
        </w:rPr>
      </w:pPr>
    </w:p>
    <w:p w:rsidR="00552CD3" w:rsidRPr="0075698C" w:rsidRDefault="00552CD3">
      <w:pPr>
        <w:spacing w:after="0"/>
        <w:jc w:val="both"/>
        <w:rPr>
          <w:rFonts w:ascii="Times New Roman" w:eastAsiaTheme="minorHAnsi" w:hAnsi="Times New Roman"/>
        </w:rPr>
      </w:pPr>
      <w:r w:rsidRPr="0075698C">
        <w:rPr>
          <w:rFonts w:ascii="Times New Roman" w:eastAsiaTheme="minorHAnsi" w:hAnsi="Times New Roman"/>
        </w:rPr>
        <w:t>Det fremgår af Økonomisk Råds rapport i 2019</w:t>
      </w:r>
      <w:r w:rsidR="002169DD" w:rsidRPr="0075698C">
        <w:rPr>
          <w:rFonts w:ascii="Times New Roman" w:eastAsiaTheme="minorHAnsi" w:hAnsi="Times New Roman"/>
        </w:rPr>
        <w:t>,</w:t>
      </w:r>
      <w:r w:rsidRPr="0075698C">
        <w:rPr>
          <w:rFonts w:ascii="Times New Roman" w:eastAsiaTheme="minorHAnsi" w:hAnsi="Times New Roman"/>
        </w:rPr>
        <w:t xml:space="preserve"> at givet presset på arbejdsmarkedet og behovet for at igangsætte andre erhvervsaktiviteter vil en effektivisering af fiskeriet via en aktiv reduktion i antallet af fiskere frigøre arbejdskraft og dermed bidrage til at nedbringe manglen på arbejdskraft i mange andre erhverv. Samtidigt vil det øge indtjeningsmulighederne for de tilbageværende aktører, hvis fiskerressourcerne forvaltes bæredygtigt.</w:t>
      </w:r>
    </w:p>
    <w:p w:rsidR="00552CD3" w:rsidRPr="0075698C" w:rsidRDefault="00552CD3">
      <w:pPr>
        <w:spacing w:after="0"/>
        <w:jc w:val="both"/>
        <w:rPr>
          <w:rFonts w:ascii="Times New Roman" w:eastAsiaTheme="minorHAnsi" w:hAnsi="Times New Roman"/>
        </w:rPr>
      </w:pPr>
    </w:p>
    <w:p w:rsidR="00577477" w:rsidRPr="0075698C" w:rsidRDefault="00577477">
      <w:pPr>
        <w:spacing w:after="0"/>
        <w:jc w:val="both"/>
        <w:rPr>
          <w:rFonts w:ascii="Times New Roman" w:hAnsi="Times New Roman"/>
        </w:rPr>
      </w:pPr>
      <w:r w:rsidRPr="0075698C">
        <w:rPr>
          <w:rFonts w:ascii="Times New Roman" w:eastAsiaTheme="minorHAnsi" w:hAnsi="Times New Roman"/>
        </w:rPr>
        <w:t xml:space="preserve"> </w:t>
      </w:r>
      <w:r w:rsidRPr="0075698C">
        <w:rPr>
          <w:rFonts w:ascii="Times New Roman" w:hAnsi="Times New Roman"/>
        </w:rPr>
        <w:t>Der er derfor behov for strukturændringer i det kystnære fiskeri, som kan frigøre arbejdskraft til andre erhvervsaktiviteter og bidrager til at øge økonomisk vækst i landet. Samtidig har dialog som led i kommissionsarbejdet med flere interessenter i fiskerierhvervet vist, at der ikke kan rekrutteres den fornødne uddannede arbejdskraft lokalt til mange af de mest højtlønnede jobs i det havgående fiskeri.</w:t>
      </w:r>
    </w:p>
    <w:p w:rsidR="00577477" w:rsidRPr="0075698C" w:rsidRDefault="00577477">
      <w:pPr>
        <w:spacing w:after="0"/>
        <w:jc w:val="both"/>
        <w:rPr>
          <w:rFonts w:ascii="Times New Roman" w:hAnsi="Times New Roman"/>
        </w:rPr>
      </w:pPr>
    </w:p>
    <w:p w:rsidR="00577477" w:rsidRPr="0075698C" w:rsidRDefault="00577477">
      <w:pPr>
        <w:spacing w:after="0"/>
        <w:jc w:val="both"/>
        <w:rPr>
          <w:rFonts w:ascii="Times New Roman" w:hAnsi="Times New Roman"/>
        </w:rPr>
      </w:pPr>
      <w:r w:rsidRPr="0075698C">
        <w:rPr>
          <w:rFonts w:ascii="Times New Roman" w:hAnsi="Times New Roman"/>
        </w:rPr>
        <w:t xml:space="preserve">Der må derfor importeres megen højtuddannet arbejdskraft udefra for at sikre især kaptajner, styrmænd og maskinmestre til den attraktive trawlerflåde. Sammenlignet med eksempelvis Færøerne har Grønland et betydeligt efterslæb med hensyn til at få uddannet denne type arbejdskraft. Fiskerikommissionen vil i sit videre arbejde derfor også komme med konkrete anbefalinger til et løft af dette vigtige område. </w:t>
      </w:r>
    </w:p>
    <w:p w:rsidR="00552CD3" w:rsidRPr="0075698C" w:rsidRDefault="00552CD3" w:rsidP="0075698C">
      <w:pPr>
        <w:jc w:val="both"/>
        <w:rPr>
          <w:rFonts w:ascii="Times New Roman" w:hAnsi="Times New Roman"/>
          <w:b/>
          <w:color w:val="000000" w:themeColor="text1"/>
        </w:rPr>
      </w:pPr>
      <w:r w:rsidRPr="0075698C">
        <w:rPr>
          <w:rFonts w:ascii="Times New Roman" w:hAnsi="Times New Roman"/>
          <w:b/>
          <w:color w:val="000000" w:themeColor="text1"/>
        </w:rPr>
        <w:br w:type="page"/>
      </w:r>
    </w:p>
    <w:p w:rsidR="00552CD3" w:rsidRPr="0075698C" w:rsidRDefault="00552CD3" w:rsidP="0075698C">
      <w:pPr>
        <w:jc w:val="both"/>
        <w:rPr>
          <w:rFonts w:ascii="Times New Roman" w:eastAsiaTheme="minorHAnsi" w:hAnsi="Times New Roman"/>
          <w:b/>
        </w:rPr>
      </w:pPr>
      <w:r w:rsidRPr="0075698C">
        <w:rPr>
          <w:rFonts w:ascii="Times New Roman" w:eastAsiaTheme="minorHAnsi" w:hAnsi="Times New Roman"/>
          <w:b/>
        </w:rPr>
        <w:lastRenderedPageBreak/>
        <w:t>Bilag A</w:t>
      </w:r>
    </w:p>
    <w:p w:rsidR="00552CD3" w:rsidRPr="0075698C" w:rsidRDefault="00552CD3" w:rsidP="00577477">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 xml:space="preserve">Tabel </w:t>
      </w:r>
      <w:r w:rsidR="009F527A" w:rsidRPr="0075698C">
        <w:rPr>
          <w:rFonts w:ascii="Times New Roman" w:eastAsiaTheme="minorHAnsi" w:hAnsi="Times New Roman"/>
          <w:color w:val="000000" w:themeColor="text1"/>
        </w:rPr>
        <w:t>A.</w:t>
      </w:r>
      <w:r w:rsidR="00A90861" w:rsidRPr="0075698C">
        <w:rPr>
          <w:rFonts w:ascii="Times New Roman" w:eastAsiaTheme="minorHAnsi" w:hAnsi="Times New Roman"/>
          <w:color w:val="000000" w:themeColor="text1"/>
        </w:rPr>
        <w:t>1</w:t>
      </w:r>
      <w:r w:rsidRPr="0075698C">
        <w:rPr>
          <w:rFonts w:ascii="Times New Roman" w:eastAsiaTheme="minorHAnsi" w:hAnsi="Times New Roman"/>
          <w:color w:val="000000" w:themeColor="text1"/>
        </w:rPr>
        <w:t>:</w:t>
      </w:r>
      <w:r w:rsidRPr="0075698C">
        <w:rPr>
          <w:rFonts w:ascii="Times New Roman" w:eastAsiaTheme="minorHAnsi" w:hAnsi="Times New Roman"/>
          <w:b/>
          <w:color w:val="000000" w:themeColor="text1"/>
        </w:rPr>
        <w:t xml:space="preserve"> </w:t>
      </w:r>
      <w:r w:rsidRPr="0075698C">
        <w:rPr>
          <w:rFonts w:ascii="Times New Roman" w:eastAsiaTheme="minorHAnsi" w:hAnsi="Times New Roman"/>
          <w:color w:val="000000" w:themeColor="text1"/>
        </w:rPr>
        <w:t>Havgående kvoter i andre lande tildelt det grønlandske fiskeri, 2014-2019.</w:t>
      </w:r>
    </w:p>
    <w:tbl>
      <w:tblPr>
        <w:tblW w:w="9105" w:type="dxa"/>
        <w:tblCellMar>
          <w:left w:w="70" w:type="dxa"/>
          <w:right w:w="70" w:type="dxa"/>
        </w:tblCellMar>
        <w:tblLook w:val="04A0" w:firstRow="1" w:lastRow="0" w:firstColumn="1" w:lastColumn="0" w:noHBand="0" w:noVBand="1"/>
      </w:tblPr>
      <w:tblGrid>
        <w:gridCol w:w="2694"/>
        <w:gridCol w:w="1043"/>
        <w:gridCol w:w="1043"/>
        <w:gridCol w:w="1043"/>
        <w:gridCol w:w="1043"/>
        <w:gridCol w:w="1043"/>
        <w:gridCol w:w="1196"/>
      </w:tblGrid>
      <w:tr w:rsidR="00552CD3" w:rsidRPr="00687680" w:rsidTr="008B3DC7">
        <w:trPr>
          <w:trHeight w:val="278"/>
        </w:trPr>
        <w:tc>
          <w:tcPr>
            <w:tcW w:w="2694"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196"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8B3DC7">
        <w:trPr>
          <w:trHeight w:val="278"/>
        </w:trPr>
        <w:tc>
          <w:tcPr>
            <w:tcW w:w="2694"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Tons</w:t>
            </w:r>
          </w:p>
        </w:tc>
        <w:tc>
          <w:tcPr>
            <w:tcW w:w="1043"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2014</w:t>
            </w:r>
          </w:p>
        </w:tc>
        <w:tc>
          <w:tcPr>
            <w:tcW w:w="1043"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2015</w:t>
            </w:r>
          </w:p>
        </w:tc>
        <w:tc>
          <w:tcPr>
            <w:tcW w:w="1043"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2016</w:t>
            </w:r>
          </w:p>
        </w:tc>
        <w:tc>
          <w:tcPr>
            <w:tcW w:w="1043"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2017</w:t>
            </w:r>
          </w:p>
        </w:tc>
        <w:tc>
          <w:tcPr>
            <w:tcW w:w="1043"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2018</w:t>
            </w:r>
          </w:p>
        </w:tc>
        <w:tc>
          <w:tcPr>
            <w:tcW w:w="1196"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2019</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Internationalt</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Blåhvilling</w:t>
            </w:r>
            <w:r w:rsidRPr="0075698C">
              <w:rPr>
                <w:rFonts w:ascii="Times New Roman" w:eastAsia="Times New Roman" w:hAnsi="Times New Roman"/>
                <w:color w:val="000000"/>
                <w:vertAlign w:val="superscript"/>
                <w:lang w:eastAsia="da-DK"/>
              </w:rPr>
              <w:t>a</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3.481</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6.822</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4.565</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7.268</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7.515</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6.192</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Rejer (Svalbard, fiskedage)</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450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450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450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450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450</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450</w:t>
            </w:r>
          </w:p>
        </w:tc>
      </w:tr>
      <w:tr w:rsidR="00552CD3" w:rsidRPr="00687680" w:rsidTr="008B3DC7">
        <w:trPr>
          <w:trHeight w:val="278"/>
        </w:trPr>
        <w:tc>
          <w:tcPr>
            <w:tcW w:w="2694"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Rejer (3L)</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76</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c>
          <w:tcPr>
            <w:tcW w:w="1196"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Norge</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Torsk</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3.700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4.000</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4.000</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Kuller</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900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900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900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900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900</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900</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Sej</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700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700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700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r>
      <w:tr w:rsidR="00552CD3" w:rsidRPr="00687680" w:rsidTr="008B3DC7">
        <w:trPr>
          <w:trHeight w:val="278"/>
        </w:trPr>
        <w:tc>
          <w:tcPr>
            <w:tcW w:w="2694"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Bifangst</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260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260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260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300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300</w:t>
            </w:r>
          </w:p>
        </w:tc>
        <w:tc>
          <w:tcPr>
            <w:tcW w:w="1196"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300</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Rusland</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Torsk</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5.325</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5.100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5.100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5.050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4.450</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4.166</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Kuller</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550</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603</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Rejer</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w:t>
            </w:r>
          </w:p>
        </w:tc>
      </w:tr>
      <w:tr w:rsidR="00552CD3" w:rsidRPr="00687680" w:rsidTr="008B3DC7">
        <w:trPr>
          <w:trHeight w:val="278"/>
        </w:trPr>
        <w:tc>
          <w:tcPr>
            <w:tcW w:w="2694"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Bifangst</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Max. 10%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Max. 10%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Max. 10%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Max. 10%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Max. 10%</w:t>
            </w:r>
          </w:p>
        </w:tc>
        <w:tc>
          <w:tcPr>
            <w:tcW w:w="1196"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Max. 10%</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Færøerne</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8B3DC7">
        <w:trPr>
          <w:trHeight w:val="27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Sild</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2.100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2.100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2.500</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3.200</w:t>
            </w:r>
          </w:p>
        </w:tc>
      </w:tr>
      <w:tr w:rsidR="00552CD3" w:rsidRPr="00687680" w:rsidTr="008B3DC7">
        <w:trPr>
          <w:trHeight w:val="255"/>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Blåhvilling</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5.500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8.000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13.000</w:t>
            </w:r>
          </w:p>
        </w:tc>
        <w:tc>
          <w:tcPr>
            <w:tcW w:w="1043"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16.000</w:t>
            </w:r>
          </w:p>
        </w:tc>
        <w:tc>
          <w:tcPr>
            <w:tcW w:w="1196"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13.500</w:t>
            </w:r>
          </w:p>
        </w:tc>
      </w:tr>
      <w:tr w:rsidR="00552CD3" w:rsidRPr="00687680" w:rsidTr="008B3DC7">
        <w:trPr>
          <w:trHeight w:val="255"/>
        </w:trPr>
        <w:tc>
          <w:tcPr>
            <w:tcW w:w="2694"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Bundfisk (fiskedage)</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60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c>
          <w:tcPr>
            <w:tcW w:w="1043"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c>
          <w:tcPr>
            <w:tcW w:w="1196"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r>
    </w:tbl>
    <w:p w:rsidR="00552CD3" w:rsidRPr="0075698C" w:rsidRDefault="00552CD3" w:rsidP="00577477">
      <w:pPr>
        <w:spacing w:after="0"/>
        <w:jc w:val="both"/>
        <w:rPr>
          <w:rFonts w:ascii="Times New Roman" w:eastAsiaTheme="minorHAnsi" w:hAnsi="Times New Roman"/>
          <w:color w:val="000000" w:themeColor="text1"/>
          <w:sz w:val="20"/>
          <w:szCs w:val="20"/>
        </w:rPr>
      </w:pPr>
      <w:r w:rsidRPr="0075698C">
        <w:rPr>
          <w:rFonts w:ascii="Times New Roman" w:eastAsiaTheme="minorHAnsi" w:hAnsi="Times New Roman"/>
          <w:color w:val="000000" w:themeColor="text1"/>
          <w:sz w:val="20"/>
          <w:szCs w:val="20"/>
        </w:rPr>
        <w:t>a. Hele blåhvillingkvoten kan fiskes i færøsk og international zone.</w:t>
      </w:r>
    </w:p>
    <w:p w:rsidR="00552CD3" w:rsidRPr="0075698C" w:rsidRDefault="00552CD3" w:rsidP="00577477">
      <w:pPr>
        <w:spacing w:after="0"/>
        <w:jc w:val="both"/>
        <w:rPr>
          <w:rFonts w:ascii="Times New Roman" w:eastAsiaTheme="minorHAnsi" w:hAnsi="Times New Roman"/>
          <w:color w:val="000000" w:themeColor="text1"/>
          <w:sz w:val="20"/>
          <w:szCs w:val="20"/>
        </w:rPr>
      </w:pPr>
      <w:r w:rsidRPr="0075698C">
        <w:rPr>
          <w:rFonts w:ascii="Times New Roman" w:eastAsiaTheme="minorHAnsi" w:hAnsi="Times New Roman"/>
          <w:color w:val="000000" w:themeColor="text1"/>
          <w:sz w:val="20"/>
          <w:szCs w:val="20"/>
        </w:rPr>
        <w:t>Kilde: APNN.</w:t>
      </w:r>
    </w:p>
    <w:p w:rsidR="00552CD3" w:rsidRPr="0075698C" w:rsidRDefault="00552CD3" w:rsidP="0075698C">
      <w:pPr>
        <w:jc w:val="both"/>
        <w:rPr>
          <w:rFonts w:ascii="Times New Roman" w:eastAsiaTheme="minorHAnsi" w:hAnsi="Times New Roman"/>
        </w:rPr>
      </w:pPr>
    </w:p>
    <w:p w:rsidR="00552CD3" w:rsidRPr="0075698C" w:rsidRDefault="00552CD3" w:rsidP="00577477">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t xml:space="preserve">Tabel </w:t>
      </w:r>
      <w:r w:rsidR="009F527A" w:rsidRPr="0075698C">
        <w:rPr>
          <w:rFonts w:ascii="Times New Roman" w:eastAsiaTheme="minorHAnsi" w:hAnsi="Times New Roman"/>
          <w:color w:val="000000" w:themeColor="text1"/>
        </w:rPr>
        <w:t>A.</w:t>
      </w:r>
      <w:r w:rsidR="00A90861" w:rsidRPr="0075698C">
        <w:rPr>
          <w:rFonts w:ascii="Times New Roman" w:eastAsiaTheme="minorHAnsi" w:hAnsi="Times New Roman"/>
          <w:color w:val="000000" w:themeColor="text1"/>
        </w:rPr>
        <w:t>2</w:t>
      </w:r>
      <w:r w:rsidRPr="0075698C">
        <w:rPr>
          <w:rFonts w:ascii="Times New Roman" w:eastAsiaTheme="minorHAnsi" w:hAnsi="Times New Roman"/>
          <w:color w:val="000000" w:themeColor="text1"/>
        </w:rPr>
        <w:t>:</w:t>
      </w:r>
      <w:r w:rsidRPr="0075698C">
        <w:rPr>
          <w:rFonts w:ascii="Times New Roman" w:eastAsiaTheme="minorHAnsi" w:hAnsi="Times New Roman"/>
          <w:b/>
          <w:color w:val="000000" w:themeColor="text1"/>
        </w:rPr>
        <w:t xml:space="preserve"> </w:t>
      </w:r>
      <w:r w:rsidRPr="0075698C">
        <w:rPr>
          <w:rFonts w:ascii="Times New Roman" w:eastAsiaTheme="minorHAnsi" w:hAnsi="Times New Roman"/>
          <w:color w:val="000000" w:themeColor="text1"/>
        </w:rPr>
        <w:t>Samlet fangstmængde af de vigtigste arter hos den grønlandske flåde, 2014-2018.</w:t>
      </w:r>
    </w:p>
    <w:tbl>
      <w:tblPr>
        <w:tblW w:w="9273" w:type="dxa"/>
        <w:tblCellMar>
          <w:left w:w="70" w:type="dxa"/>
          <w:right w:w="70" w:type="dxa"/>
        </w:tblCellMar>
        <w:tblLook w:val="04A0" w:firstRow="1" w:lastRow="0" w:firstColumn="1" w:lastColumn="0" w:noHBand="0" w:noVBand="1"/>
      </w:tblPr>
      <w:tblGrid>
        <w:gridCol w:w="2694"/>
        <w:gridCol w:w="2387"/>
        <w:gridCol w:w="1048"/>
        <w:gridCol w:w="1048"/>
        <w:gridCol w:w="1048"/>
        <w:gridCol w:w="1048"/>
      </w:tblGrid>
      <w:tr w:rsidR="00552CD3" w:rsidRPr="00687680" w:rsidTr="002F1476">
        <w:trPr>
          <w:trHeight w:val="299"/>
        </w:trPr>
        <w:tc>
          <w:tcPr>
            <w:tcW w:w="2694"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2387"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8"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8"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8"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48"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2F1476">
        <w:trPr>
          <w:trHeight w:val="299"/>
        </w:trPr>
        <w:tc>
          <w:tcPr>
            <w:tcW w:w="2694"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Tons</w:t>
            </w:r>
          </w:p>
        </w:tc>
        <w:tc>
          <w:tcPr>
            <w:tcW w:w="2387"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2014</w:t>
            </w:r>
          </w:p>
        </w:tc>
        <w:tc>
          <w:tcPr>
            <w:tcW w:w="1048"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2015</w:t>
            </w:r>
          </w:p>
        </w:tc>
        <w:tc>
          <w:tcPr>
            <w:tcW w:w="1048"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2016</w:t>
            </w:r>
          </w:p>
        </w:tc>
        <w:tc>
          <w:tcPr>
            <w:tcW w:w="1048"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2017</w:t>
            </w:r>
          </w:p>
        </w:tc>
        <w:tc>
          <w:tcPr>
            <w:tcW w:w="1048"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2018</w:t>
            </w:r>
          </w:p>
        </w:tc>
      </w:tr>
      <w:tr w:rsidR="00552CD3" w:rsidRPr="00687680" w:rsidTr="002F1476">
        <w:trPr>
          <w:trHeight w:val="31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Rejer</w:t>
            </w:r>
          </w:p>
        </w:tc>
        <w:tc>
          <w:tcPr>
            <w:tcW w:w="2387"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83.369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70.289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80.968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87.185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88.754 </w:t>
            </w:r>
          </w:p>
        </w:tc>
      </w:tr>
      <w:tr w:rsidR="00552CD3" w:rsidRPr="00687680" w:rsidTr="002F1476">
        <w:trPr>
          <w:trHeight w:val="31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Havgående</w:t>
            </w:r>
          </w:p>
        </w:tc>
        <w:tc>
          <w:tcPr>
            <w:tcW w:w="2387"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45.287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36.346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40.662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43.983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48.995 </w:t>
            </w:r>
          </w:p>
        </w:tc>
      </w:tr>
      <w:tr w:rsidR="00552CD3" w:rsidRPr="00687680" w:rsidTr="002F1476">
        <w:trPr>
          <w:trHeight w:val="318"/>
        </w:trPr>
        <w:tc>
          <w:tcPr>
            <w:tcW w:w="2694"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Kystnært</w:t>
            </w:r>
          </w:p>
        </w:tc>
        <w:tc>
          <w:tcPr>
            <w:tcW w:w="2387"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38.082 </w:t>
            </w:r>
          </w:p>
        </w:tc>
        <w:tc>
          <w:tcPr>
            <w:tcW w:w="104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33.944 </w:t>
            </w:r>
          </w:p>
        </w:tc>
        <w:tc>
          <w:tcPr>
            <w:tcW w:w="104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40.306 </w:t>
            </w:r>
          </w:p>
        </w:tc>
        <w:tc>
          <w:tcPr>
            <w:tcW w:w="104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43.202 </w:t>
            </w:r>
          </w:p>
        </w:tc>
        <w:tc>
          <w:tcPr>
            <w:tcW w:w="104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39.758 </w:t>
            </w:r>
          </w:p>
        </w:tc>
      </w:tr>
      <w:tr w:rsidR="00552CD3" w:rsidRPr="00687680" w:rsidTr="002F1476">
        <w:trPr>
          <w:trHeight w:val="318"/>
        </w:trPr>
        <w:tc>
          <w:tcPr>
            <w:tcW w:w="2694" w:type="dxa"/>
            <w:tcBorders>
              <w:top w:val="nil"/>
              <w:left w:val="nil"/>
              <w:bottom w:val="nil"/>
              <w:right w:val="nil"/>
            </w:tcBorders>
            <w:shd w:val="clear" w:color="000000" w:fill="FFFFFF"/>
            <w:noWrap/>
            <w:vAlign w:val="center"/>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Hellefisk</w:t>
            </w:r>
          </w:p>
        </w:tc>
        <w:tc>
          <w:tcPr>
            <w:tcW w:w="2387" w:type="dxa"/>
            <w:tcBorders>
              <w:top w:val="nil"/>
              <w:left w:val="nil"/>
              <w:bottom w:val="nil"/>
              <w:right w:val="nil"/>
            </w:tcBorders>
            <w:shd w:val="clear" w:color="000000" w:fill="FFFFFF"/>
            <w:noWrap/>
            <w:vAlign w:val="center"/>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38.209 </w:t>
            </w:r>
          </w:p>
        </w:tc>
        <w:tc>
          <w:tcPr>
            <w:tcW w:w="1048" w:type="dxa"/>
            <w:tcBorders>
              <w:top w:val="nil"/>
              <w:left w:val="nil"/>
              <w:bottom w:val="nil"/>
              <w:right w:val="nil"/>
            </w:tcBorders>
            <w:shd w:val="clear" w:color="000000" w:fill="FFFFFF"/>
            <w:noWrap/>
            <w:vAlign w:val="center"/>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38.191 </w:t>
            </w:r>
          </w:p>
        </w:tc>
        <w:tc>
          <w:tcPr>
            <w:tcW w:w="1048" w:type="dxa"/>
            <w:tcBorders>
              <w:top w:val="nil"/>
              <w:left w:val="nil"/>
              <w:bottom w:val="nil"/>
              <w:right w:val="nil"/>
            </w:tcBorders>
            <w:shd w:val="clear" w:color="000000" w:fill="FFFFFF"/>
            <w:noWrap/>
            <w:vAlign w:val="center"/>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42.230 </w:t>
            </w:r>
          </w:p>
        </w:tc>
        <w:tc>
          <w:tcPr>
            <w:tcW w:w="1048" w:type="dxa"/>
            <w:tcBorders>
              <w:top w:val="nil"/>
              <w:left w:val="nil"/>
              <w:bottom w:val="nil"/>
              <w:right w:val="nil"/>
            </w:tcBorders>
            <w:shd w:val="clear" w:color="000000" w:fill="FFFFFF"/>
            <w:noWrap/>
            <w:vAlign w:val="center"/>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38.144 </w:t>
            </w:r>
          </w:p>
        </w:tc>
        <w:tc>
          <w:tcPr>
            <w:tcW w:w="1048" w:type="dxa"/>
            <w:tcBorders>
              <w:top w:val="nil"/>
              <w:left w:val="nil"/>
              <w:bottom w:val="nil"/>
              <w:right w:val="nil"/>
            </w:tcBorders>
            <w:shd w:val="clear" w:color="000000" w:fill="FFFFFF"/>
            <w:noWrap/>
            <w:vAlign w:val="center"/>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41.051 </w:t>
            </w:r>
          </w:p>
        </w:tc>
      </w:tr>
      <w:tr w:rsidR="00552CD3" w:rsidRPr="00687680" w:rsidTr="002F1476">
        <w:trPr>
          <w:trHeight w:val="31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Havgående</w:t>
            </w:r>
          </w:p>
        </w:tc>
        <w:tc>
          <w:tcPr>
            <w:tcW w:w="2387"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11.464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13.318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11.564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13.402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13.724 </w:t>
            </w:r>
          </w:p>
        </w:tc>
      </w:tr>
      <w:tr w:rsidR="00552CD3" w:rsidRPr="00687680" w:rsidTr="002F1476">
        <w:trPr>
          <w:trHeight w:val="318"/>
        </w:trPr>
        <w:tc>
          <w:tcPr>
            <w:tcW w:w="2694"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Kystnært</w:t>
            </w:r>
          </w:p>
        </w:tc>
        <w:tc>
          <w:tcPr>
            <w:tcW w:w="2387"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26.745 </w:t>
            </w:r>
          </w:p>
        </w:tc>
        <w:tc>
          <w:tcPr>
            <w:tcW w:w="104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24.873 </w:t>
            </w:r>
          </w:p>
        </w:tc>
        <w:tc>
          <w:tcPr>
            <w:tcW w:w="104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30.666 </w:t>
            </w:r>
          </w:p>
        </w:tc>
        <w:tc>
          <w:tcPr>
            <w:tcW w:w="104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24.742 </w:t>
            </w:r>
          </w:p>
        </w:tc>
        <w:tc>
          <w:tcPr>
            <w:tcW w:w="104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27.327 </w:t>
            </w:r>
          </w:p>
        </w:tc>
      </w:tr>
      <w:tr w:rsidR="00552CD3" w:rsidRPr="00687680" w:rsidTr="002F1476">
        <w:trPr>
          <w:trHeight w:val="31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Torsk</w:t>
            </w:r>
          </w:p>
        </w:tc>
        <w:tc>
          <w:tcPr>
            <w:tcW w:w="2387"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31.117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49.035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56.370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54.303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44.853 </w:t>
            </w:r>
          </w:p>
        </w:tc>
      </w:tr>
      <w:tr w:rsidR="00552CD3" w:rsidRPr="00687680" w:rsidTr="002F1476">
        <w:trPr>
          <w:trHeight w:val="31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Havgående</w:t>
            </w:r>
          </w:p>
        </w:tc>
        <w:tc>
          <w:tcPr>
            <w:tcW w:w="2387"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12.619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23.668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21.747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22.329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21.874 </w:t>
            </w:r>
          </w:p>
        </w:tc>
      </w:tr>
      <w:tr w:rsidR="00552CD3" w:rsidRPr="00687680" w:rsidTr="002F1476">
        <w:trPr>
          <w:trHeight w:val="31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Kystnært</w:t>
            </w:r>
          </w:p>
        </w:tc>
        <w:tc>
          <w:tcPr>
            <w:tcW w:w="2387"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18.497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25.366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34.623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31.975 </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i/>
                <w:iCs/>
                <w:color w:val="000000"/>
                <w:lang w:eastAsia="da-DK"/>
              </w:rPr>
            </w:pPr>
            <w:r w:rsidRPr="0075698C">
              <w:rPr>
                <w:rFonts w:ascii="Times New Roman" w:eastAsia="Times New Roman" w:hAnsi="Times New Roman"/>
                <w:i/>
                <w:iCs/>
                <w:color w:val="000000"/>
                <w:lang w:eastAsia="da-DK"/>
              </w:rPr>
              <w:t xml:space="preserve"> 22.980 </w:t>
            </w:r>
          </w:p>
        </w:tc>
      </w:tr>
      <w:tr w:rsidR="00552CD3" w:rsidRPr="00687680" w:rsidTr="002F1476">
        <w:trPr>
          <w:trHeight w:val="318"/>
        </w:trPr>
        <w:tc>
          <w:tcPr>
            <w:tcW w:w="2694" w:type="dxa"/>
            <w:tcBorders>
              <w:top w:val="single" w:sz="4" w:space="0" w:color="000000"/>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Rødfisk - havgående</w:t>
            </w:r>
          </w:p>
        </w:tc>
        <w:tc>
          <w:tcPr>
            <w:tcW w:w="2387" w:type="dxa"/>
            <w:tcBorders>
              <w:top w:val="single" w:sz="4" w:space="0" w:color="000000"/>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4.644</w:t>
            </w:r>
          </w:p>
        </w:tc>
        <w:tc>
          <w:tcPr>
            <w:tcW w:w="1048" w:type="dxa"/>
            <w:tcBorders>
              <w:top w:val="single" w:sz="4" w:space="0" w:color="000000"/>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4.815</w:t>
            </w:r>
          </w:p>
        </w:tc>
        <w:tc>
          <w:tcPr>
            <w:tcW w:w="1048" w:type="dxa"/>
            <w:tcBorders>
              <w:top w:val="single" w:sz="4" w:space="0" w:color="000000"/>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5.371</w:t>
            </w:r>
          </w:p>
        </w:tc>
        <w:tc>
          <w:tcPr>
            <w:tcW w:w="1048" w:type="dxa"/>
            <w:tcBorders>
              <w:top w:val="single" w:sz="4" w:space="0" w:color="000000"/>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4.510</w:t>
            </w:r>
          </w:p>
        </w:tc>
        <w:tc>
          <w:tcPr>
            <w:tcW w:w="1048" w:type="dxa"/>
            <w:tcBorders>
              <w:top w:val="single" w:sz="4" w:space="0" w:color="000000"/>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3.129</w:t>
            </w:r>
          </w:p>
        </w:tc>
      </w:tr>
      <w:tr w:rsidR="00552CD3" w:rsidRPr="00687680" w:rsidTr="002F1476">
        <w:trPr>
          <w:trHeight w:val="31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Makrel - havgående </w:t>
            </w:r>
          </w:p>
        </w:tc>
        <w:tc>
          <w:tcPr>
            <w:tcW w:w="2387"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78.382</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30.390</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36.031</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46.568</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63.018</w:t>
            </w:r>
          </w:p>
        </w:tc>
      </w:tr>
      <w:tr w:rsidR="00552CD3" w:rsidRPr="00687680" w:rsidTr="002F1476">
        <w:trPr>
          <w:trHeight w:val="31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Krabber - kystnært</w:t>
            </w:r>
          </w:p>
        </w:tc>
        <w:tc>
          <w:tcPr>
            <w:tcW w:w="2387"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1.683</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1.857</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1.950</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2.210</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2.646</w:t>
            </w:r>
          </w:p>
        </w:tc>
      </w:tr>
      <w:tr w:rsidR="00552CD3" w:rsidRPr="00687680" w:rsidTr="002F1476">
        <w:trPr>
          <w:trHeight w:val="318"/>
        </w:trPr>
        <w:tc>
          <w:tcPr>
            <w:tcW w:w="2694"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Kammuslinger - kystnært</w:t>
            </w:r>
          </w:p>
        </w:tc>
        <w:tc>
          <w:tcPr>
            <w:tcW w:w="2387"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608</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627</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716</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507</w:t>
            </w:r>
          </w:p>
        </w:tc>
        <w:tc>
          <w:tcPr>
            <w:tcW w:w="104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699</w:t>
            </w:r>
          </w:p>
        </w:tc>
      </w:tr>
      <w:tr w:rsidR="00552CD3" w:rsidRPr="00687680" w:rsidTr="002F1476">
        <w:trPr>
          <w:trHeight w:val="318"/>
        </w:trPr>
        <w:tc>
          <w:tcPr>
            <w:tcW w:w="2694"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Stenbider - kystnært </w:t>
            </w:r>
          </w:p>
        </w:tc>
        <w:tc>
          <w:tcPr>
            <w:tcW w:w="2387"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8.106 </w:t>
            </w:r>
          </w:p>
        </w:tc>
        <w:tc>
          <w:tcPr>
            <w:tcW w:w="104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7.094 </w:t>
            </w:r>
          </w:p>
        </w:tc>
        <w:tc>
          <w:tcPr>
            <w:tcW w:w="104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4.985 </w:t>
            </w:r>
          </w:p>
        </w:tc>
        <w:tc>
          <w:tcPr>
            <w:tcW w:w="104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7.384 </w:t>
            </w:r>
          </w:p>
        </w:tc>
        <w:tc>
          <w:tcPr>
            <w:tcW w:w="104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6.726 </w:t>
            </w:r>
          </w:p>
        </w:tc>
      </w:tr>
    </w:tbl>
    <w:p w:rsidR="00552CD3" w:rsidRPr="0075698C" w:rsidRDefault="00552CD3" w:rsidP="00577477">
      <w:pPr>
        <w:spacing w:after="0"/>
        <w:jc w:val="both"/>
        <w:rPr>
          <w:rFonts w:ascii="Times New Roman" w:eastAsiaTheme="minorHAnsi" w:hAnsi="Times New Roman"/>
          <w:color w:val="000000" w:themeColor="text1"/>
          <w:sz w:val="20"/>
          <w:szCs w:val="20"/>
        </w:rPr>
      </w:pPr>
      <w:r w:rsidRPr="0075698C">
        <w:rPr>
          <w:rFonts w:ascii="Times New Roman" w:eastAsiaTheme="minorHAnsi" w:hAnsi="Times New Roman"/>
          <w:color w:val="000000" w:themeColor="text1"/>
          <w:sz w:val="20"/>
          <w:szCs w:val="20"/>
        </w:rPr>
        <w:t>Kilde: GFLK og Grønlands Statistik.</w:t>
      </w:r>
    </w:p>
    <w:p w:rsidR="00552CD3" w:rsidRPr="0075698C" w:rsidRDefault="00552CD3" w:rsidP="00577477">
      <w:pPr>
        <w:spacing w:after="0"/>
        <w:jc w:val="both"/>
        <w:rPr>
          <w:rFonts w:ascii="Times New Roman" w:eastAsiaTheme="minorHAnsi" w:hAnsi="Times New Roman"/>
          <w:color w:val="000000" w:themeColor="text1"/>
          <w:sz w:val="20"/>
          <w:szCs w:val="20"/>
        </w:rPr>
      </w:pPr>
      <w:r w:rsidRPr="0075698C">
        <w:rPr>
          <w:rFonts w:ascii="Times New Roman" w:eastAsiaTheme="minorHAnsi" w:hAnsi="Times New Roman"/>
          <w:color w:val="000000" w:themeColor="text1"/>
          <w:sz w:val="20"/>
          <w:szCs w:val="20"/>
        </w:rPr>
        <w:t>Note: Alle fangstmængderne er opgjort i levende vægt.</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b/>
          <w:color w:val="000000" w:themeColor="text1"/>
        </w:rPr>
      </w:pPr>
      <w:r w:rsidRPr="0075698C">
        <w:rPr>
          <w:rFonts w:ascii="Times New Roman" w:eastAsiaTheme="minorHAnsi" w:hAnsi="Times New Roman"/>
          <w:color w:val="000000" w:themeColor="text1"/>
        </w:rPr>
        <w:lastRenderedPageBreak/>
        <w:t xml:space="preserve">Tabel </w:t>
      </w:r>
      <w:r w:rsidR="009F527A" w:rsidRPr="0075698C">
        <w:rPr>
          <w:rFonts w:ascii="Times New Roman" w:eastAsiaTheme="minorHAnsi" w:hAnsi="Times New Roman"/>
          <w:color w:val="000000" w:themeColor="text1"/>
        </w:rPr>
        <w:t>A.</w:t>
      </w:r>
      <w:r w:rsidR="00A90861" w:rsidRPr="0075698C">
        <w:rPr>
          <w:rFonts w:ascii="Times New Roman" w:eastAsiaTheme="minorHAnsi" w:hAnsi="Times New Roman"/>
          <w:color w:val="000000" w:themeColor="text1"/>
        </w:rPr>
        <w:t>3</w:t>
      </w:r>
      <w:r w:rsidRPr="0075698C">
        <w:rPr>
          <w:rFonts w:ascii="Times New Roman" w:eastAsiaTheme="minorHAnsi" w:hAnsi="Times New Roman"/>
          <w:color w:val="000000" w:themeColor="text1"/>
        </w:rPr>
        <w:t>:</w:t>
      </w:r>
      <w:r w:rsidRPr="0075698C">
        <w:rPr>
          <w:rFonts w:ascii="Times New Roman" w:eastAsiaTheme="minorHAnsi" w:hAnsi="Times New Roman"/>
          <w:b/>
          <w:color w:val="000000" w:themeColor="text1"/>
        </w:rPr>
        <w:t xml:space="preserve"> </w:t>
      </w:r>
      <w:r w:rsidRPr="0075698C">
        <w:rPr>
          <w:rFonts w:ascii="Times New Roman" w:eastAsiaTheme="minorHAnsi" w:hAnsi="Times New Roman"/>
          <w:color w:val="000000" w:themeColor="text1"/>
        </w:rPr>
        <w:t>Indhandlingsmængder til fiskefabrikker i Grønland, 2014-2018.</w:t>
      </w:r>
    </w:p>
    <w:tbl>
      <w:tblPr>
        <w:tblW w:w="9008" w:type="dxa"/>
        <w:tblCellMar>
          <w:left w:w="70" w:type="dxa"/>
          <w:right w:w="70" w:type="dxa"/>
        </w:tblCellMar>
        <w:tblLook w:val="04A0" w:firstRow="1" w:lastRow="0" w:firstColumn="1" w:lastColumn="0" w:noHBand="0" w:noVBand="1"/>
      </w:tblPr>
      <w:tblGrid>
        <w:gridCol w:w="1555"/>
        <w:gridCol w:w="1280"/>
        <w:gridCol w:w="1628"/>
        <w:gridCol w:w="1628"/>
        <w:gridCol w:w="1628"/>
        <w:gridCol w:w="1289"/>
      </w:tblGrid>
      <w:tr w:rsidR="00552CD3" w:rsidRPr="00687680" w:rsidTr="002F1476">
        <w:trPr>
          <w:trHeight w:val="312"/>
        </w:trPr>
        <w:tc>
          <w:tcPr>
            <w:tcW w:w="1555"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280"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628"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628"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628"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289" w:type="dxa"/>
            <w:tcBorders>
              <w:top w:val="nil"/>
              <w:left w:val="nil"/>
              <w:bottom w:val="nil"/>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2F1476">
        <w:trPr>
          <w:trHeight w:val="312"/>
        </w:trPr>
        <w:tc>
          <w:tcPr>
            <w:tcW w:w="1555"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Tons</w:t>
            </w:r>
          </w:p>
        </w:tc>
        <w:tc>
          <w:tcPr>
            <w:tcW w:w="1280"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ind w:left="-60" w:firstLine="6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2014</w:t>
            </w:r>
          </w:p>
        </w:tc>
        <w:tc>
          <w:tcPr>
            <w:tcW w:w="1628"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2015</w:t>
            </w:r>
          </w:p>
        </w:tc>
        <w:tc>
          <w:tcPr>
            <w:tcW w:w="1628"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2016</w:t>
            </w:r>
          </w:p>
        </w:tc>
        <w:tc>
          <w:tcPr>
            <w:tcW w:w="1628"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2017</w:t>
            </w:r>
          </w:p>
        </w:tc>
        <w:tc>
          <w:tcPr>
            <w:tcW w:w="1289" w:type="dxa"/>
            <w:tcBorders>
              <w:top w:val="nil"/>
              <w:left w:val="nil"/>
              <w:bottom w:val="single" w:sz="4" w:space="0" w:color="000000"/>
              <w:right w:val="nil"/>
            </w:tcBorders>
            <w:shd w:val="clear" w:color="000000" w:fill="DDEBF7"/>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2018</w:t>
            </w:r>
          </w:p>
        </w:tc>
      </w:tr>
      <w:tr w:rsidR="00552CD3" w:rsidRPr="00687680" w:rsidTr="002F1476">
        <w:trPr>
          <w:trHeight w:val="332"/>
        </w:trPr>
        <w:tc>
          <w:tcPr>
            <w:tcW w:w="155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Rejer</w:t>
            </w:r>
          </w:p>
        </w:tc>
        <w:tc>
          <w:tcPr>
            <w:tcW w:w="1280"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42.590 </w:t>
            </w:r>
          </w:p>
        </w:tc>
        <w:tc>
          <w:tcPr>
            <w:tcW w:w="162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33.788 </w:t>
            </w:r>
          </w:p>
        </w:tc>
        <w:tc>
          <w:tcPr>
            <w:tcW w:w="162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42.604 </w:t>
            </w:r>
          </w:p>
        </w:tc>
        <w:tc>
          <w:tcPr>
            <w:tcW w:w="162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42.573 </w:t>
            </w:r>
          </w:p>
        </w:tc>
        <w:tc>
          <w:tcPr>
            <w:tcW w:w="128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46.648 </w:t>
            </w:r>
          </w:p>
        </w:tc>
      </w:tr>
      <w:tr w:rsidR="00552CD3" w:rsidRPr="00687680" w:rsidTr="002F1476">
        <w:trPr>
          <w:trHeight w:val="332"/>
        </w:trPr>
        <w:tc>
          <w:tcPr>
            <w:tcW w:w="155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Hellefisk</w:t>
            </w:r>
          </w:p>
        </w:tc>
        <w:tc>
          <w:tcPr>
            <w:tcW w:w="1280"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30.315 </w:t>
            </w:r>
          </w:p>
        </w:tc>
        <w:tc>
          <w:tcPr>
            <w:tcW w:w="162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28.191 </w:t>
            </w:r>
          </w:p>
        </w:tc>
        <w:tc>
          <w:tcPr>
            <w:tcW w:w="162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34.599 </w:t>
            </w:r>
          </w:p>
        </w:tc>
        <w:tc>
          <w:tcPr>
            <w:tcW w:w="162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28.073 </w:t>
            </w:r>
          </w:p>
        </w:tc>
        <w:tc>
          <w:tcPr>
            <w:tcW w:w="128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32.007 </w:t>
            </w:r>
          </w:p>
        </w:tc>
      </w:tr>
      <w:tr w:rsidR="00552CD3" w:rsidRPr="00687680" w:rsidTr="002F1476">
        <w:trPr>
          <w:trHeight w:val="332"/>
        </w:trPr>
        <w:tc>
          <w:tcPr>
            <w:tcW w:w="155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Torsk</w:t>
            </w:r>
          </w:p>
        </w:tc>
        <w:tc>
          <w:tcPr>
            <w:tcW w:w="1280"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21.035 </w:t>
            </w:r>
          </w:p>
        </w:tc>
        <w:tc>
          <w:tcPr>
            <w:tcW w:w="162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33.585 </w:t>
            </w:r>
          </w:p>
        </w:tc>
        <w:tc>
          <w:tcPr>
            <w:tcW w:w="162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40.258 </w:t>
            </w:r>
          </w:p>
        </w:tc>
        <w:tc>
          <w:tcPr>
            <w:tcW w:w="162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36.076 </w:t>
            </w:r>
          </w:p>
        </w:tc>
        <w:tc>
          <w:tcPr>
            <w:tcW w:w="128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27.397 </w:t>
            </w:r>
          </w:p>
        </w:tc>
      </w:tr>
      <w:tr w:rsidR="00552CD3" w:rsidRPr="00687680" w:rsidTr="002F1476">
        <w:trPr>
          <w:trHeight w:val="332"/>
        </w:trPr>
        <w:tc>
          <w:tcPr>
            <w:tcW w:w="1555"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Krabbe</w:t>
            </w:r>
          </w:p>
        </w:tc>
        <w:tc>
          <w:tcPr>
            <w:tcW w:w="1280"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1.683 </w:t>
            </w:r>
          </w:p>
        </w:tc>
        <w:tc>
          <w:tcPr>
            <w:tcW w:w="162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1.857 </w:t>
            </w:r>
          </w:p>
        </w:tc>
        <w:tc>
          <w:tcPr>
            <w:tcW w:w="162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1.950 </w:t>
            </w:r>
          </w:p>
        </w:tc>
        <w:tc>
          <w:tcPr>
            <w:tcW w:w="1628"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2.210 </w:t>
            </w:r>
          </w:p>
        </w:tc>
        <w:tc>
          <w:tcPr>
            <w:tcW w:w="1289" w:type="dxa"/>
            <w:tcBorders>
              <w:top w:val="nil"/>
              <w:left w:val="nil"/>
              <w:bottom w:val="nil"/>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2.646 </w:t>
            </w:r>
          </w:p>
        </w:tc>
      </w:tr>
      <w:tr w:rsidR="00552CD3" w:rsidRPr="00687680" w:rsidTr="002F1476">
        <w:trPr>
          <w:trHeight w:val="332"/>
        </w:trPr>
        <w:tc>
          <w:tcPr>
            <w:tcW w:w="1555"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Stenbider</w:t>
            </w:r>
          </w:p>
        </w:tc>
        <w:tc>
          <w:tcPr>
            <w:tcW w:w="1280"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8.106 </w:t>
            </w:r>
          </w:p>
        </w:tc>
        <w:tc>
          <w:tcPr>
            <w:tcW w:w="162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7.094 </w:t>
            </w:r>
          </w:p>
        </w:tc>
        <w:tc>
          <w:tcPr>
            <w:tcW w:w="162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4.985 </w:t>
            </w:r>
          </w:p>
        </w:tc>
        <w:tc>
          <w:tcPr>
            <w:tcW w:w="1628"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7.384 </w:t>
            </w:r>
          </w:p>
        </w:tc>
        <w:tc>
          <w:tcPr>
            <w:tcW w:w="1289" w:type="dxa"/>
            <w:tcBorders>
              <w:top w:val="nil"/>
              <w:left w:val="nil"/>
              <w:bottom w:val="single" w:sz="4" w:space="0" w:color="000000"/>
              <w:right w:val="nil"/>
            </w:tcBorders>
            <w:shd w:val="clear" w:color="000000" w:fill="FFFFFF"/>
            <w:noWrap/>
            <w:vAlign w:val="bottom"/>
            <w:hideMark/>
          </w:tcPr>
          <w:p w:rsidR="00552CD3" w:rsidRPr="0075698C" w:rsidRDefault="00552CD3" w:rsidP="0075698C">
            <w:pPr>
              <w:spacing w:after="0" w:line="240" w:lineRule="auto"/>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6.726 </w:t>
            </w:r>
          </w:p>
        </w:tc>
      </w:tr>
    </w:tbl>
    <w:p w:rsidR="00552CD3" w:rsidRPr="0075698C" w:rsidRDefault="00552CD3" w:rsidP="00577477">
      <w:pPr>
        <w:spacing w:after="0"/>
        <w:jc w:val="both"/>
        <w:rPr>
          <w:rFonts w:ascii="Times New Roman" w:eastAsiaTheme="minorHAnsi" w:hAnsi="Times New Roman"/>
          <w:color w:val="000000" w:themeColor="text1"/>
          <w:sz w:val="20"/>
          <w:szCs w:val="20"/>
        </w:rPr>
      </w:pPr>
      <w:r w:rsidRPr="0075698C">
        <w:rPr>
          <w:rFonts w:ascii="Times New Roman" w:eastAsiaTheme="minorHAnsi" w:hAnsi="Times New Roman"/>
          <w:color w:val="000000" w:themeColor="text1"/>
          <w:sz w:val="20"/>
          <w:szCs w:val="20"/>
        </w:rPr>
        <w:t>Kilde: Grønlands Statistik.</w:t>
      </w:r>
    </w:p>
    <w:p w:rsidR="00552CD3" w:rsidRPr="0075698C" w:rsidRDefault="00552CD3" w:rsidP="00577477">
      <w:pPr>
        <w:spacing w:after="0"/>
        <w:jc w:val="both"/>
        <w:rPr>
          <w:rFonts w:ascii="Times New Roman" w:eastAsiaTheme="minorHAnsi" w:hAnsi="Times New Roman"/>
          <w:color w:val="000000" w:themeColor="text1"/>
          <w:sz w:val="20"/>
          <w:szCs w:val="20"/>
        </w:rPr>
      </w:pPr>
      <w:r w:rsidRPr="0075698C">
        <w:rPr>
          <w:rFonts w:ascii="Times New Roman" w:eastAsiaTheme="minorHAnsi" w:hAnsi="Times New Roman"/>
          <w:color w:val="000000" w:themeColor="text1"/>
          <w:sz w:val="20"/>
          <w:szCs w:val="20"/>
        </w:rPr>
        <w:t>Note: Alle fangstmængderne er opgjort i levende vægt.</w:t>
      </w:r>
    </w:p>
    <w:p w:rsidR="00552CD3" w:rsidRPr="0075698C" w:rsidRDefault="00552CD3">
      <w:pPr>
        <w:spacing w:after="0"/>
        <w:jc w:val="both"/>
        <w:rPr>
          <w:rFonts w:ascii="Times New Roman" w:eastAsiaTheme="minorHAnsi" w:hAnsi="Times New Roman"/>
          <w:color w:val="000000" w:themeColor="text1"/>
        </w:rPr>
      </w:pPr>
    </w:p>
    <w:p w:rsidR="00552CD3" w:rsidRPr="0075698C" w:rsidRDefault="00552CD3">
      <w:pPr>
        <w:spacing w:after="0"/>
        <w:jc w:val="both"/>
        <w:rPr>
          <w:rFonts w:ascii="Times New Roman" w:eastAsiaTheme="minorHAnsi" w:hAnsi="Times New Roman"/>
        </w:rPr>
      </w:pPr>
      <w:r w:rsidRPr="0075698C">
        <w:rPr>
          <w:rFonts w:ascii="Times New Roman" w:eastAsiaTheme="minorHAnsi" w:hAnsi="Times New Roman"/>
        </w:rPr>
        <w:t xml:space="preserve">Tabel </w:t>
      </w:r>
      <w:r w:rsidR="009F527A" w:rsidRPr="0075698C">
        <w:rPr>
          <w:rFonts w:ascii="Times New Roman" w:eastAsiaTheme="minorHAnsi" w:hAnsi="Times New Roman"/>
        </w:rPr>
        <w:t>A.</w:t>
      </w:r>
      <w:r w:rsidR="00A90861" w:rsidRPr="0075698C">
        <w:rPr>
          <w:rFonts w:ascii="Times New Roman" w:eastAsiaTheme="minorHAnsi" w:hAnsi="Times New Roman"/>
        </w:rPr>
        <w:t>4</w:t>
      </w:r>
      <w:r w:rsidRPr="0075698C">
        <w:rPr>
          <w:rFonts w:ascii="Times New Roman" w:eastAsiaTheme="minorHAnsi" w:hAnsi="Times New Roman"/>
        </w:rPr>
        <w:t>: EU’s fiskerirettigheder i Grønland pr. år i perioden 2013-2020: </w:t>
      </w:r>
    </w:p>
    <w:tbl>
      <w:tblPr>
        <w:tblW w:w="9064" w:type="dxa"/>
        <w:tblCellMar>
          <w:left w:w="70" w:type="dxa"/>
          <w:right w:w="70" w:type="dxa"/>
        </w:tblCellMar>
        <w:tblLook w:val="04A0" w:firstRow="1" w:lastRow="0" w:firstColumn="1" w:lastColumn="0" w:noHBand="0" w:noVBand="1"/>
      </w:tblPr>
      <w:tblGrid>
        <w:gridCol w:w="2694"/>
        <w:gridCol w:w="3185"/>
        <w:gridCol w:w="3185"/>
      </w:tblGrid>
      <w:tr w:rsidR="00552CD3" w:rsidRPr="00687680" w:rsidTr="002F1476">
        <w:trPr>
          <w:trHeight w:val="302"/>
        </w:trPr>
        <w:tc>
          <w:tcPr>
            <w:tcW w:w="2694" w:type="dxa"/>
            <w:tcBorders>
              <w:top w:val="nil"/>
              <w:left w:val="nil"/>
              <w:bottom w:val="nil"/>
              <w:right w:val="nil"/>
            </w:tcBorders>
            <w:shd w:val="clear" w:color="000000" w:fill="DDEBF7"/>
            <w:vAlign w:val="center"/>
            <w:hideMark/>
          </w:tcPr>
          <w:p w:rsidR="00552CD3" w:rsidRPr="0075698C" w:rsidRDefault="00552CD3">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3185" w:type="dxa"/>
            <w:tcBorders>
              <w:top w:val="nil"/>
              <w:left w:val="nil"/>
              <w:bottom w:val="nil"/>
              <w:right w:val="nil"/>
            </w:tcBorders>
            <w:shd w:val="clear" w:color="000000" w:fill="DDEBF7"/>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3185" w:type="dxa"/>
            <w:tcBorders>
              <w:top w:val="nil"/>
              <w:left w:val="nil"/>
              <w:bottom w:val="nil"/>
              <w:right w:val="nil"/>
            </w:tcBorders>
            <w:shd w:val="clear" w:color="000000" w:fill="DDEBF7"/>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2F1476">
        <w:trPr>
          <w:trHeight w:val="302"/>
        </w:trPr>
        <w:tc>
          <w:tcPr>
            <w:tcW w:w="2694" w:type="dxa"/>
            <w:tcBorders>
              <w:top w:val="nil"/>
              <w:left w:val="nil"/>
              <w:bottom w:val="single" w:sz="4" w:space="0" w:color="000000"/>
              <w:right w:val="nil"/>
            </w:tcBorders>
            <w:shd w:val="clear" w:color="000000" w:fill="DDEBF7"/>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Art, tons</w:t>
            </w:r>
          </w:p>
        </w:tc>
        <w:tc>
          <w:tcPr>
            <w:tcW w:w="3185" w:type="dxa"/>
            <w:tcBorders>
              <w:top w:val="nil"/>
              <w:left w:val="nil"/>
              <w:bottom w:val="single" w:sz="4" w:space="0" w:color="000000"/>
              <w:right w:val="nil"/>
            </w:tcBorders>
            <w:shd w:val="clear" w:color="000000" w:fill="DDEBF7"/>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Protokol 2013-2015 </w:t>
            </w:r>
          </w:p>
        </w:tc>
        <w:tc>
          <w:tcPr>
            <w:tcW w:w="3185" w:type="dxa"/>
            <w:tcBorders>
              <w:top w:val="nil"/>
              <w:left w:val="nil"/>
              <w:bottom w:val="single" w:sz="4" w:space="0" w:color="000000"/>
              <w:right w:val="nil"/>
            </w:tcBorders>
            <w:shd w:val="clear" w:color="000000" w:fill="DDEBF7"/>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Protokol 2016-2020 </w:t>
            </w:r>
          </w:p>
        </w:tc>
      </w:tr>
      <w:tr w:rsidR="00552CD3" w:rsidRPr="00687680" w:rsidTr="002F1476">
        <w:trPr>
          <w:trHeight w:val="302"/>
        </w:trPr>
        <w:tc>
          <w:tcPr>
            <w:tcW w:w="2694" w:type="dxa"/>
            <w:tcBorders>
              <w:top w:val="nil"/>
              <w:left w:val="nil"/>
              <w:bottom w:val="nil"/>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Torsk</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2.200</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1.800</w:t>
            </w:r>
          </w:p>
        </w:tc>
      </w:tr>
      <w:tr w:rsidR="00552CD3" w:rsidRPr="00687680" w:rsidTr="002F1476">
        <w:trPr>
          <w:trHeight w:val="302"/>
        </w:trPr>
        <w:tc>
          <w:tcPr>
            <w:tcW w:w="2694" w:type="dxa"/>
            <w:tcBorders>
              <w:top w:val="nil"/>
              <w:left w:val="nil"/>
              <w:bottom w:val="nil"/>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Rødfisk(Pelagisk)</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3.000</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2.200</w:t>
            </w:r>
          </w:p>
        </w:tc>
      </w:tr>
      <w:tr w:rsidR="00552CD3" w:rsidRPr="00687680" w:rsidTr="002F1476">
        <w:trPr>
          <w:trHeight w:val="302"/>
        </w:trPr>
        <w:tc>
          <w:tcPr>
            <w:tcW w:w="2694" w:type="dxa"/>
            <w:tcBorders>
              <w:top w:val="nil"/>
              <w:left w:val="nil"/>
              <w:bottom w:val="nil"/>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Rødfisk(Demersal)</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2.000</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2.000</w:t>
            </w:r>
          </w:p>
        </w:tc>
      </w:tr>
      <w:tr w:rsidR="00552CD3" w:rsidRPr="00687680" w:rsidTr="002F1476">
        <w:trPr>
          <w:trHeight w:val="302"/>
        </w:trPr>
        <w:tc>
          <w:tcPr>
            <w:tcW w:w="2694" w:type="dxa"/>
            <w:tcBorders>
              <w:top w:val="nil"/>
              <w:left w:val="nil"/>
              <w:bottom w:val="nil"/>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Hellefisk, Vest</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2.500</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2.500</w:t>
            </w:r>
          </w:p>
        </w:tc>
      </w:tr>
      <w:tr w:rsidR="00552CD3" w:rsidRPr="00687680" w:rsidTr="002F1476">
        <w:trPr>
          <w:trHeight w:val="302"/>
        </w:trPr>
        <w:tc>
          <w:tcPr>
            <w:tcW w:w="2694" w:type="dxa"/>
            <w:tcBorders>
              <w:top w:val="nil"/>
              <w:left w:val="nil"/>
              <w:bottom w:val="nil"/>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Hellefisk, Øst</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4.315</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5.200</w:t>
            </w:r>
          </w:p>
        </w:tc>
      </w:tr>
      <w:tr w:rsidR="00552CD3" w:rsidRPr="00687680" w:rsidTr="002F1476">
        <w:trPr>
          <w:trHeight w:val="302"/>
        </w:trPr>
        <w:tc>
          <w:tcPr>
            <w:tcW w:w="2694" w:type="dxa"/>
            <w:tcBorders>
              <w:top w:val="nil"/>
              <w:left w:val="nil"/>
              <w:bottom w:val="nil"/>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Rejer, Øst</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7.500</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5.100</w:t>
            </w:r>
          </w:p>
        </w:tc>
      </w:tr>
      <w:tr w:rsidR="00552CD3" w:rsidRPr="00687680" w:rsidTr="002F1476">
        <w:trPr>
          <w:trHeight w:val="302"/>
        </w:trPr>
        <w:tc>
          <w:tcPr>
            <w:tcW w:w="2694" w:type="dxa"/>
            <w:tcBorders>
              <w:top w:val="nil"/>
              <w:left w:val="nil"/>
              <w:bottom w:val="nil"/>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Rejer, Vest</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3.400</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2.600</w:t>
            </w:r>
          </w:p>
        </w:tc>
      </w:tr>
      <w:tr w:rsidR="00552CD3" w:rsidRPr="00687680" w:rsidTr="002F1476">
        <w:trPr>
          <w:trHeight w:val="302"/>
        </w:trPr>
        <w:tc>
          <w:tcPr>
            <w:tcW w:w="2694" w:type="dxa"/>
            <w:tcBorders>
              <w:top w:val="nil"/>
              <w:left w:val="nil"/>
              <w:bottom w:val="nil"/>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Helleflynder, Øst</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200</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r>
      <w:tr w:rsidR="00552CD3" w:rsidRPr="00687680" w:rsidTr="002F1476">
        <w:trPr>
          <w:trHeight w:val="302"/>
        </w:trPr>
        <w:tc>
          <w:tcPr>
            <w:tcW w:w="2694" w:type="dxa"/>
            <w:tcBorders>
              <w:top w:val="nil"/>
              <w:left w:val="nil"/>
              <w:bottom w:val="nil"/>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Helleflynder, Vest</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200</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r>
      <w:tr w:rsidR="00552CD3" w:rsidRPr="00687680" w:rsidTr="002F1476">
        <w:trPr>
          <w:trHeight w:val="302"/>
        </w:trPr>
        <w:tc>
          <w:tcPr>
            <w:tcW w:w="2694" w:type="dxa"/>
            <w:tcBorders>
              <w:top w:val="nil"/>
              <w:left w:val="nil"/>
              <w:bottom w:val="nil"/>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Lodde</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60.000</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20.000</w:t>
            </w:r>
          </w:p>
        </w:tc>
      </w:tr>
      <w:tr w:rsidR="00552CD3" w:rsidRPr="00687680" w:rsidTr="002F1476">
        <w:trPr>
          <w:trHeight w:val="302"/>
        </w:trPr>
        <w:tc>
          <w:tcPr>
            <w:tcW w:w="2694" w:type="dxa"/>
            <w:tcBorders>
              <w:top w:val="nil"/>
              <w:left w:val="nil"/>
              <w:bottom w:val="nil"/>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Krabber</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250</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0</w:t>
            </w:r>
          </w:p>
        </w:tc>
      </w:tr>
      <w:tr w:rsidR="00552CD3" w:rsidRPr="00687680" w:rsidTr="002F1476">
        <w:trPr>
          <w:trHeight w:val="302"/>
        </w:trPr>
        <w:tc>
          <w:tcPr>
            <w:tcW w:w="2694" w:type="dxa"/>
            <w:tcBorders>
              <w:top w:val="nil"/>
              <w:left w:val="nil"/>
              <w:bottom w:val="nil"/>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Skolæst, Øst</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100</w:t>
            </w:r>
          </w:p>
        </w:tc>
        <w:tc>
          <w:tcPr>
            <w:tcW w:w="318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100</w:t>
            </w:r>
          </w:p>
        </w:tc>
      </w:tr>
      <w:tr w:rsidR="00552CD3" w:rsidRPr="00687680" w:rsidTr="002F1476">
        <w:trPr>
          <w:trHeight w:val="302"/>
        </w:trPr>
        <w:tc>
          <w:tcPr>
            <w:tcW w:w="2694" w:type="dxa"/>
            <w:tcBorders>
              <w:top w:val="nil"/>
              <w:left w:val="nil"/>
              <w:bottom w:val="single" w:sz="4" w:space="0" w:color="000000"/>
              <w:right w:val="nil"/>
            </w:tcBorders>
            <w:shd w:val="clear" w:color="000000" w:fill="FFFFFF"/>
            <w:vAlign w:val="center"/>
            <w:hideMark/>
          </w:tcPr>
          <w:p w:rsidR="00552CD3" w:rsidRPr="0075698C" w:rsidRDefault="00552CD3" w:rsidP="00577477">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Skolæst, Vest</w:t>
            </w:r>
          </w:p>
        </w:tc>
        <w:tc>
          <w:tcPr>
            <w:tcW w:w="3185" w:type="dxa"/>
            <w:tcBorders>
              <w:top w:val="nil"/>
              <w:left w:val="nil"/>
              <w:bottom w:val="single" w:sz="4" w:space="0" w:color="000000"/>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100</w:t>
            </w:r>
          </w:p>
        </w:tc>
        <w:tc>
          <w:tcPr>
            <w:tcW w:w="3185" w:type="dxa"/>
            <w:tcBorders>
              <w:top w:val="nil"/>
              <w:left w:val="nil"/>
              <w:bottom w:val="single" w:sz="4" w:space="0" w:color="000000"/>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100</w:t>
            </w:r>
          </w:p>
        </w:tc>
      </w:tr>
    </w:tbl>
    <w:p w:rsidR="00552CD3" w:rsidRPr="0075698C" w:rsidRDefault="00577477" w:rsidP="00577477">
      <w:pPr>
        <w:spacing w:after="0"/>
        <w:jc w:val="both"/>
        <w:rPr>
          <w:rFonts w:ascii="Times New Roman" w:eastAsiaTheme="minorHAnsi" w:hAnsi="Times New Roman"/>
          <w:sz w:val="20"/>
          <w:szCs w:val="20"/>
        </w:rPr>
      </w:pPr>
      <w:r w:rsidRPr="0075698C">
        <w:rPr>
          <w:rFonts w:ascii="Times New Roman" w:eastAsiaTheme="minorHAnsi" w:hAnsi="Times New Roman"/>
          <w:sz w:val="20"/>
          <w:szCs w:val="20"/>
        </w:rPr>
        <w:t>Kilde: APNN. Fiskeripartnerskabsaftalen mellem Grønland og EU. Protokol 2013-2015 og 2016-2020.</w:t>
      </w:r>
    </w:p>
    <w:p w:rsidR="00577477" w:rsidRPr="0075698C" w:rsidRDefault="00577477" w:rsidP="00577477">
      <w:pPr>
        <w:spacing w:after="0"/>
        <w:jc w:val="both"/>
        <w:rPr>
          <w:rFonts w:ascii="Times New Roman" w:eastAsiaTheme="minorHAnsi" w:hAnsi="Times New Roman"/>
          <w:sz w:val="20"/>
          <w:szCs w:val="20"/>
        </w:rPr>
      </w:pPr>
    </w:p>
    <w:p w:rsidR="00552CD3" w:rsidRPr="0075698C" w:rsidRDefault="00552CD3" w:rsidP="00577477">
      <w:pPr>
        <w:spacing w:after="0"/>
        <w:jc w:val="both"/>
        <w:rPr>
          <w:rFonts w:ascii="Times New Roman" w:eastAsiaTheme="minorHAnsi" w:hAnsi="Times New Roman"/>
        </w:rPr>
      </w:pPr>
      <w:r w:rsidRPr="0075698C">
        <w:rPr>
          <w:rFonts w:ascii="Times New Roman" w:eastAsiaTheme="minorHAnsi" w:hAnsi="Times New Roman"/>
        </w:rPr>
        <w:t xml:space="preserve">Tabel </w:t>
      </w:r>
      <w:r w:rsidR="009F527A" w:rsidRPr="0075698C">
        <w:rPr>
          <w:rFonts w:ascii="Times New Roman" w:eastAsiaTheme="minorHAnsi" w:hAnsi="Times New Roman"/>
        </w:rPr>
        <w:t>A.</w:t>
      </w:r>
      <w:r w:rsidR="00A90861" w:rsidRPr="0075698C">
        <w:rPr>
          <w:rFonts w:ascii="Times New Roman" w:eastAsiaTheme="minorHAnsi" w:hAnsi="Times New Roman"/>
        </w:rPr>
        <w:t>5</w:t>
      </w:r>
      <w:r w:rsidRPr="0075698C">
        <w:rPr>
          <w:rFonts w:ascii="Times New Roman" w:eastAsiaTheme="minorHAnsi" w:hAnsi="Times New Roman"/>
        </w:rPr>
        <w:t>: Betalingen fra EU fordeles på følgende måde: </w:t>
      </w:r>
    </w:p>
    <w:tbl>
      <w:tblPr>
        <w:tblW w:w="9020" w:type="dxa"/>
        <w:tblCellMar>
          <w:left w:w="70" w:type="dxa"/>
          <w:right w:w="70" w:type="dxa"/>
        </w:tblCellMar>
        <w:tblLook w:val="04A0" w:firstRow="1" w:lastRow="0" w:firstColumn="1" w:lastColumn="0" w:noHBand="0" w:noVBand="1"/>
      </w:tblPr>
      <w:tblGrid>
        <w:gridCol w:w="2977"/>
        <w:gridCol w:w="2835"/>
        <w:gridCol w:w="3208"/>
      </w:tblGrid>
      <w:tr w:rsidR="00552CD3" w:rsidRPr="00687680" w:rsidTr="002F1476">
        <w:trPr>
          <w:trHeight w:val="288"/>
        </w:trPr>
        <w:tc>
          <w:tcPr>
            <w:tcW w:w="2977" w:type="dxa"/>
            <w:tcBorders>
              <w:top w:val="nil"/>
              <w:left w:val="nil"/>
              <w:bottom w:val="nil"/>
              <w:right w:val="nil"/>
            </w:tcBorders>
            <w:shd w:val="clear" w:color="000000" w:fill="DDEBF7"/>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2835" w:type="dxa"/>
            <w:tcBorders>
              <w:top w:val="nil"/>
              <w:left w:val="nil"/>
              <w:bottom w:val="nil"/>
              <w:right w:val="nil"/>
            </w:tcBorders>
            <w:shd w:val="clear" w:color="000000" w:fill="DDEBF7"/>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3208" w:type="dxa"/>
            <w:tcBorders>
              <w:top w:val="nil"/>
              <w:left w:val="nil"/>
              <w:bottom w:val="nil"/>
              <w:right w:val="nil"/>
            </w:tcBorders>
            <w:shd w:val="clear" w:color="000000" w:fill="DDEBF7"/>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2F1476">
        <w:trPr>
          <w:trHeight w:val="288"/>
        </w:trPr>
        <w:tc>
          <w:tcPr>
            <w:tcW w:w="2977" w:type="dxa"/>
            <w:tcBorders>
              <w:top w:val="nil"/>
              <w:left w:val="nil"/>
              <w:bottom w:val="single" w:sz="4" w:space="0" w:color="000000"/>
              <w:right w:val="nil"/>
            </w:tcBorders>
            <w:shd w:val="clear" w:color="000000" w:fill="DDEBF7"/>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Mio.kr.</w:t>
            </w:r>
          </w:p>
        </w:tc>
        <w:tc>
          <w:tcPr>
            <w:tcW w:w="2835" w:type="dxa"/>
            <w:tcBorders>
              <w:top w:val="nil"/>
              <w:left w:val="nil"/>
              <w:bottom w:val="single" w:sz="4" w:space="0" w:color="000000"/>
              <w:right w:val="nil"/>
            </w:tcBorders>
            <w:shd w:val="clear" w:color="000000" w:fill="DDEBF7"/>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Protokol 2013-2015</w:t>
            </w:r>
          </w:p>
        </w:tc>
        <w:tc>
          <w:tcPr>
            <w:tcW w:w="3208" w:type="dxa"/>
            <w:tcBorders>
              <w:top w:val="nil"/>
              <w:left w:val="nil"/>
              <w:bottom w:val="single" w:sz="4" w:space="0" w:color="000000"/>
              <w:right w:val="nil"/>
            </w:tcBorders>
            <w:shd w:val="clear" w:color="000000" w:fill="DDEBF7"/>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Ny protokol 2016-2020</w:t>
            </w:r>
          </w:p>
        </w:tc>
      </w:tr>
      <w:tr w:rsidR="00552CD3" w:rsidRPr="00687680" w:rsidTr="002F1476">
        <w:trPr>
          <w:trHeight w:val="288"/>
        </w:trPr>
        <w:tc>
          <w:tcPr>
            <w:tcW w:w="2977"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Betaling for kvoter</w:t>
            </w:r>
          </w:p>
        </w:tc>
        <w:tc>
          <w:tcPr>
            <w:tcW w:w="283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101,5</w:t>
            </w:r>
          </w:p>
        </w:tc>
        <w:tc>
          <w:tcPr>
            <w:tcW w:w="3208"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97,8</w:t>
            </w:r>
          </w:p>
        </w:tc>
      </w:tr>
      <w:tr w:rsidR="00552CD3" w:rsidRPr="00687680" w:rsidTr="002F1476">
        <w:trPr>
          <w:trHeight w:val="288"/>
        </w:trPr>
        <w:tc>
          <w:tcPr>
            <w:tcW w:w="2977"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Licensbetaling fra EU redere</w:t>
            </w:r>
          </w:p>
        </w:tc>
        <w:tc>
          <w:tcPr>
            <w:tcW w:w="283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11,2</w:t>
            </w:r>
          </w:p>
        </w:tc>
        <w:tc>
          <w:tcPr>
            <w:tcW w:w="3208"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14,2</w:t>
            </w:r>
          </w:p>
        </w:tc>
      </w:tr>
      <w:tr w:rsidR="00552CD3" w:rsidRPr="00687680" w:rsidTr="002F1476">
        <w:trPr>
          <w:trHeight w:val="288"/>
        </w:trPr>
        <w:tc>
          <w:tcPr>
            <w:tcW w:w="2977"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Sektorstøtte til fiskerierhvervet</w:t>
            </w:r>
          </w:p>
        </w:tc>
        <w:tc>
          <w:tcPr>
            <w:tcW w:w="2835"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20,2</w:t>
            </w:r>
          </w:p>
        </w:tc>
        <w:tc>
          <w:tcPr>
            <w:tcW w:w="3208" w:type="dxa"/>
            <w:tcBorders>
              <w:top w:val="nil"/>
              <w:left w:val="nil"/>
              <w:bottom w:val="nil"/>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21,7</w:t>
            </w:r>
          </w:p>
        </w:tc>
      </w:tr>
      <w:tr w:rsidR="00552CD3" w:rsidRPr="00687680" w:rsidTr="002F1476">
        <w:trPr>
          <w:trHeight w:val="288"/>
        </w:trPr>
        <w:tc>
          <w:tcPr>
            <w:tcW w:w="2977" w:type="dxa"/>
            <w:tcBorders>
              <w:top w:val="single" w:sz="4" w:space="0" w:color="000000"/>
              <w:left w:val="nil"/>
              <w:bottom w:val="single" w:sz="4" w:space="0" w:color="000000"/>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I alt</w:t>
            </w:r>
          </w:p>
        </w:tc>
        <w:tc>
          <w:tcPr>
            <w:tcW w:w="2835" w:type="dxa"/>
            <w:tcBorders>
              <w:top w:val="single" w:sz="4" w:space="0" w:color="000000"/>
              <w:left w:val="nil"/>
              <w:bottom w:val="single" w:sz="4" w:space="0" w:color="000000"/>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132,9</w:t>
            </w:r>
          </w:p>
        </w:tc>
        <w:tc>
          <w:tcPr>
            <w:tcW w:w="3208" w:type="dxa"/>
            <w:tcBorders>
              <w:top w:val="single" w:sz="4" w:space="0" w:color="000000"/>
              <w:left w:val="nil"/>
              <w:bottom w:val="single" w:sz="4" w:space="0" w:color="000000"/>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133,6</w:t>
            </w:r>
          </w:p>
        </w:tc>
      </w:tr>
      <w:tr w:rsidR="00552CD3" w:rsidRPr="00687680" w:rsidTr="002F1476">
        <w:trPr>
          <w:trHeight w:val="345"/>
        </w:trPr>
        <w:tc>
          <w:tcPr>
            <w:tcW w:w="2977" w:type="dxa"/>
            <w:tcBorders>
              <w:top w:val="nil"/>
              <w:left w:val="nil"/>
              <w:bottom w:val="single" w:sz="4" w:space="0" w:color="000000"/>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Reserve til ekstra kvoter </w:t>
            </w:r>
            <w:r w:rsidRPr="0075698C">
              <w:rPr>
                <w:rFonts w:ascii="Times New Roman" w:eastAsia="Times New Roman" w:hAnsi="Times New Roman"/>
                <w:color w:val="000000"/>
                <w:vertAlign w:val="superscript"/>
                <w:lang w:eastAsia="da-DK"/>
              </w:rPr>
              <w:t>a</w:t>
            </w:r>
          </w:p>
        </w:tc>
        <w:tc>
          <w:tcPr>
            <w:tcW w:w="2835" w:type="dxa"/>
            <w:tcBorders>
              <w:top w:val="nil"/>
              <w:left w:val="nil"/>
              <w:bottom w:val="single" w:sz="4" w:space="0" w:color="000000"/>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11,2</w:t>
            </w:r>
          </w:p>
        </w:tc>
        <w:tc>
          <w:tcPr>
            <w:tcW w:w="3208" w:type="dxa"/>
            <w:tcBorders>
              <w:top w:val="nil"/>
              <w:left w:val="nil"/>
              <w:bottom w:val="single" w:sz="4" w:space="0" w:color="000000"/>
              <w:right w:val="nil"/>
            </w:tcBorders>
            <w:shd w:val="clear" w:color="000000" w:fill="FFFFFF"/>
            <w:vAlign w:val="center"/>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12,7</w:t>
            </w:r>
          </w:p>
        </w:tc>
      </w:tr>
    </w:tbl>
    <w:p w:rsidR="00577477" w:rsidRPr="0075698C" w:rsidRDefault="00577477" w:rsidP="00577477">
      <w:pPr>
        <w:spacing w:after="0"/>
        <w:jc w:val="both"/>
        <w:rPr>
          <w:rFonts w:ascii="Times New Roman" w:eastAsiaTheme="minorHAnsi" w:hAnsi="Times New Roman"/>
          <w:sz w:val="20"/>
          <w:szCs w:val="20"/>
        </w:rPr>
      </w:pPr>
      <w:r w:rsidRPr="0075698C">
        <w:rPr>
          <w:rFonts w:ascii="Times New Roman" w:eastAsiaTheme="minorHAnsi" w:hAnsi="Times New Roman"/>
          <w:sz w:val="20"/>
          <w:szCs w:val="20"/>
        </w:rPr>
        <w:t>Kilde: APNN. Fiskeripartnerskabsaftalen mellem Grønland og EU. Protokol 2013-2015 og 2016-2020.</w:t>
      </w:r>
    </w:p>
    <w:p w:rsidR="00552CD3" w:rsidRPr="0075698C" w:rsidRDefault="00552CD3" w:rsidP="00577477">
      <w:pPr>
        <w:spacing w:after="0"/>
        <w:jc w:val="both"/>
        <w:rPr>
          <w:rFonts w:ascii="Times New Roman" w:eastAsiaTheme="minorHAnsi" w:hAnsi="Times New Roman"/>
          <w:sz w:val="20"/>
          <w:szCs w:val="20"/>
        </w:rPr>
      </w:pPr>
      <w:r w:rsidRPr="0075698C">
        <w:rPr>
          <w:rFonts w:ascii="Times New Roman" w:eastAsiaTheme="minorHAnsi" w:hAnsi="Times New Roman"/>
          <w:sz w:val="20"/>
          <w:szCs w:val="20"/>
        </w:rPr>
        <w:t>a. Reserven kommer kun til udbetaling, såfremt EU får ekstra kvotemængder.</w:t>
      </w:r>
    </w:p>
    <w:p w:rsidR="00552CD3" w:rsidRPr="0075698C" w:rsidRDefault="00552CD3" w:rsidP="00577477">
      <w:pPr>
        <w:spacing w:after="0"/>
        <w:jc w:val="both"/>
        <w:rPr>
          <w:rFonts w:ascii="Times New Roman" w:eastAsiaTheme="minorHAnsi" w:hAnsi="Times New Roman"/>
          <w:sz w:val="20"/>
          <w:szCs w:val="20"/>
        </w:rPr>
      </w:pPr>
      <w:r w:rsidRPr="0075698C">
        <w:rPr>
          <w:rFonts w:ascii="Times New Roman" w:eastAsiaTheme="minorHAnsi" w:hAnsi="Times New Roman"/>
          <w:sz w:val="20"/>
          <w:szCs w:val="20"/>
        </w:rPr>
        <w:t>Note: Betalingen er omregnet fra euro til danske kroner ved brug af gennemsnits valutakurs fra 2015-2019.</w:t>
      </w:r>
    </w:p>
    <w:p w:rsidR="00552CD3" w:rsidRPr="0075698C" w:rsidRDefault="00552CD3" w:rsidP="0075698C">
      <w:pPr>
        <w:jc w:val="both"/>
        <w:rPr>
          <w:rFonts w:ascii="Times New Roman" w:eastAsiaTheme="minorHAnsi" w:hAnsi="Times New Roman"/>
        </w:rPr>
      </w:pPr>
    </w:p>
    <w:p w:rsidR="00A90861" w:rsidRPr="0075698C" w:rsidRDefault="00A90861" w:rsidP="0075698C">
      <w:pPr>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lastRenderedPageBreak/>
        <w:br w:type="page"/>
      </w:r>
    </w:p>
    <w:p w:rsidR="00552CD3" w:rsidRPr="0075698C" w:rsidRDefault="00552CD3" w:rsidP="00577477">
      <w:pPr>
        <w:spacing w:after="0"/>
        <w:jc w:val="both"/>
        <w:rPr>
          <w:rFonts w:ascii="Times New Roman" w:eastAsiaTheme="minorHAnsi" w:hAnsi="Times New Roman"/>
          <w:color w:val="000000" w:themeColor="text1"/>
        </w:rPr>
      </w:pPr>
      <w:r w:rsidRPr="0075698C">
        <w:rPr>
          <w:rFonts w:ascii="Times New Roman" w:eastAsiaTheme="minorHAnsi" w:hAnsi="Times New Roman"/>
          <w:color w:val="000000" w:themeColor="text1"/>
        </w:rPr>
        <w:lastRenderedPageBreak/>
        <w:t xml:space="preserve">Tabel </w:t>
      </w:r>
      <w:r w:rsidR="009F527A" w:rsidRPr="0075698C">
        <w:rPr>
          <w:rFonts w:ascii="Times New Roman" w:eastAsiaTheme="minorHAnsi" w:hAnsi="Times New Roman"/>
          <w:color w:val="000000" w:themeColor="text1"/>
        </w:rPr>
        <w:t>A.</w:t>
      </w:r>
      <w:r w:rsidR="00A90861" w:rsidRPr="0075698C">
        <w:rPr>
          <w:rFonts w:ascii="Times New Roman" w:eastAsiaTheme="minorHAnsi" w:hAnsi="Times New Roman"/>
          <w:color w:val="000000" w:themeColor="text1"/>
        </w:rPr>
        <w:t>6</w:t>
      </w:r>
      <w:r w:rsidRPr="0075698C">
        <w:rPr>
          <w:rFonts w:ascii="Times New Roman" w:eastAsiaTheme="minorHAnsi" w:hAnsi="Times New Roman"/>
          <w:color w:val="000000" w:themeColor="text1"/>
        </w:rPr>
        <w:t>: Antal fartøjer i fiskeflåden fordelt efter størrelser, typer og byggematerialer, 2018.</w:t>
      </w:r>
    </w:p>
    <w:tbl>
      <w:tblPr>
        <w:tblW w:w="8967" w:type="dxa"/>
        <w:tblCellMar>
          <w:left w:w="70" w:type="dxa"/>
          <w:right w:w="70" w:type="dxa"/>
        </w:tblCellMar>
        <w:tblLook w:val="04A0" w:firstRow="1" w:lastRow="0" w:firstColumn="1" w:lastColumn="0" w:noHBand="0" w:noVBand="1"/>
      </w:tblPr>
      <w:tblGrid>
        <w:gridCol w:w="1810"/>
        <w:gridCol w:w="955"/>
        <w:gridCol w:w="1268"/>
        <w:gridCol w:w="1065"/>
        <w:gridCol w:w="1139"/>
        <w:gridCol w:w="982"/>
        <w:gridCol w:w="1003"/>
        <w:gridCol w:w="745"/>
      </w:tblGrid>
      <w:tr w:rsidR="00552CD3" w:rsidRPr="00687680" w:rsidTr="002F1476">
        <w:trPr>
          <w:trHeight w:val="291"/>
        </w:trPr>
        <w:tc>
          <w:tcPr>
            <w:tcW w:w="1810" w:type="dxa"/>
            <w:tcBorders>
              <w:top w:val="nil"/>
              <w:left w:val="nil"/>
              <w:bottom w:val="nil"/>
              <w:right w:val="nil"/>
            </w:tcBorders>
            <w:shd w:val="clear" w:color="000000" w:fill="DDEBF7"/>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955" w:type="dxa"/>
            <w:tcBorders>
              <w:top w:val="nil"/>
              <w:left w:val="nil"/>
              <w:bottom w:val="nil"/>
              <w:right w:val="nil"/>
            </w:tcBorders>
            <w:shd w:val="clear" w:color="000000" w:fill="DDEBF7"/>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268" w:type="dxa"/>
            <w:tcBorders>
              <w:top w:val="nil"/>
              <w:left w:val="nil"/>
              <w:bottom w:val="nil"/>
              <w:right w:val="nil"/>
            </w:tcBorders>
            <w:shd w:val="clear" w:color="000000" w:fill="DDEBF7"/>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65" w:type="dxa"/>
            <w:tcBorders>
              <w:top w:val="nil"/>
              <w:left w:val="nil"/>
              <w:bottom w:val="nil"/>
              <w:right w:val="nil"/>
            </w:tcBorders>
            <w:shd w:val="clear" w:color="000000" w:fill="DDEBF7"/>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139" w:type="dxa"/>
            <w:tcBorders>
              <w:top w:val="nil"/>
              <w:left w:val="nil"/>
              <w:bottom w:val="nil"/>
              <w:right w:val="nil"/>
            </w:tcBorders>
            <w:shd w:val="clear" w:color="000000" w:fill="DDEBF7"/>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982" w:type="dxa"/>
            <w:tcBorders>
              <w:top w:val="nil"/>
              <w:left w:val="nil"/>
              <w:bottom w:val="nil"/>
              <w:right w:val="nil"/>
            </w:tcBorders>
            <w:shd w:val="clear" w:color="000000" w:fill="DDEBF7"/>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03" w:type="dxa"/>
            <w:tcBorders>
              <w:top w:val="nil"/>
              <w:left w:val="nil"/>
              <w:bottom w:val="nil"/>
              <w:right w:val="nil"/>
            </w:tcBorders>
            <w:shd w:val="clear" w:color="000000" w:fill="DDEBF7"/>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745" w:type="dxa"/>
            <w:tcBorders>
              <w:top w:val="nil"/>
              <w:left w:val="nil"/>
              <w:bottom w:val="nil"/>
              <w:right w:val="nil"/>
            </w:tcBorders>
            <w:shd w:val="clear" w:color="000000" w:fill="DDEBF7"/>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2F1476">
        <w:trPr>
          <w:trHeight w:val="305"/>
        </w:trPr>
        <w:tc>
          <w:tcPr>
            <w:tcW w:w="1810" w:type="dxa"/>
            <w:tcBorders>
              <w:top w:val="nil"/>
              <w:left w:val="nil"/>
              <w:bottom w:val="single" w:sz="8" w:space="0" w:color="44546A"/>
              <w:right w:val="nil"/>
            </w:tcBorders>
            <w:shd w:val="clear" w:color="000000" w:fill="DDEBF7"/>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955" w:type="dxa"/>
            <w:tcBorders>
              <w:top w:val="nil"/>
              <w:left w:val="nil"/>
              <w:bottom w:val="single" w:sz="8" w:space="0" w:color="44546A"/>
              <w:right w:val="nil"/>
            </w:tcBorders>
            <w:shd w:val="clear" w:color="000000" w:fill="DDEBF7"/>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Kujalleq</w:t>
            </w:r>
          </w:p>
        </w:tc>
        <w:tc>
          <w:tcPr>
            <w:tcW w:w="1268" w:type="dxa"/>
            <w:tcBorders>
              <w:top w:val="nil"/>
              <w:left w:val="nil"/>
              <w:bottom w:val="single" w:sz="8" w:space="0" w:color="44546A"/>
              <w:right w:val="nil"/>
            </w:tcBorders>
            <w:shd w:val="clear" w:color="000000" w:fill="DDEBF7"/>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Sermersooq</w:t>
            </w:r>
          </w:p>
        </w:tc>
        <w:tc>
          <w:tcPr>
            <w:tcW w:w="1065" w:type="dxa"/>
            <w:tcBorders>
              <w:top w:val="nil"/>
              <w:left w:val="nil"/>
              <w:bottom w:val="single" w:sz="8" w:space="0" w:color="44546A"/>
              <w:right w:val="nil"/>
            </w:tcBorders>
            <w:shd w:val="clear" w:color="000000" w:fill="DDEBF7"/>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Qeqqata</w:t>
            </w:r>
          </w:p>
        </w:tc>
        <w:tc>
          <w:tcPr>
            <w:tcW w:w="1139" w:type="dxa"/>
            <w:tcBorders>
              <w:top w:val="nil"/>
              <w:left w:val="nil"/>
              <w:bottom w:val="single" w:sz="8" w:space="0" w:color="44546A"/>
              <w:right w:val="nil"/>
            </w:tcBorders>
            <w:shd w:val="clear" w:color="000000" w:fill="DDEBF7"/>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Qeqertalik</w:t>
            </w:r>
          </w:p>
        </w:tc>
        <w:tc>
          <w:tcPr>
            <w:tcW w:w="982" w:type="dxa"/>
            <w:tcBorders>
              <w:top w:val="nil"/>
              <w:left w:val="nil"/>
              <w:bottom w:val="single" w:sz="8" w:space="0" w:color="44546A"/>
              <w:right w:val="nil"/>
            </w:tcBorders>
            <w:shd w:val="clear" w:color="000000" w:fill="DDEBF7"/>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Avannaa</w:t>
            </w:r>
          </w:p>
        </w:tc>
        <w:tc>
          <w:tcPr>
            <w:tcW w:w="1003" w:type="dxa"/>
            <w:tcBorders>
              <w:top w:val="nil"/>
              <w:left w:val="nil"/>
              <w:bottom w:val="single" w:sz="8" w:space="0" w:color="44546A"/>
              <w:right w:val="nil"/>
            </w:tcBorders>
            <w:shd w:val="clear" w:color="000000" w:fill="DDEBF7"/>
            <w:noWrap/>
            <w:vAlign w:val="bottom"/>
            <w:hideMark/>
          </w:tcPr>
          <w:p w:rsidR="002F1476"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Udenfor </w:t>
            </w:r>
          </w:p>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inddeling</w:t>
            </w:r>
          </w:p>
        </w:tc>
        <w:tc>
          <w:tcPr>
            <w:tcW w:w="745" w:type="dxa"/>
            <w:tcBorders>
              <w:top w:val="nil"/>
              <w:left w:val="nil"/>
              <w:bottom w:val="single" w:sz="8" w:space="0" w:color="44546A"/>
              <w:right w:val="nil"/>
            </w:tcBorders>
            <w:shd w:val="clear" w:color="000000" w:fill="DDEBF7"/>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I alt</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Fartøjsstørrelser</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&lt; 10 meter</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5</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22</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19</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5</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71</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122</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10-20 meter</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6</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27</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27</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13</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43</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116</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21-30 meter</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8</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3</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4</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17</w:t>
            </w:r>
          </w:p>
        </w:tc>
      </w:tr>
      <w:tr w:rsidR="00552CD3" w:rsidRPr="00687680" w:rsidTr="002F1476">
        <w:trPr>
          <w:trHeight w:val="305"/>
        </w:trPr>
        <w:tc>
          <w:tcPr>
            <w:tcW w:w="1810" w:type="dxa"/>
            <w:tcBorders>
              <w:top w:val="nil"/>
              <w:left w:val="nil"/>
              <w:bottom w:val="single" w:sz="8" w:space="0" w:color="44546A"/>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&gt; 30 meter</w:t>
            </w:r>
          </w:p>
        </w:tc>
        <w:tc>
          <w:tcPr>
            <w:tcW w:w="955" w:type="dxa"/>
            <w:tcBorders>
              <w:top w:val="nil"/>
              <w:left w:val="nil"/>
              <w:bottom w:val="single" w:sz="8" w:space="0" w:color="44546A"/>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4</w:t>
            </w:r>
          </w:p>
        </w:tc>
        <w:tc>
          <w:tcPr>
            <w:tcW w:w="1268"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14</w:t>
            </w:r>
          </w:p>
        </w:tc>
        <w:tc>
          <w:tcPr>
            <w:tcW w:w="1065"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4</w:t>
            </w:r>
          </w:p>
        </w:tc>
        <w:tc>
          <w:tcPr>
            <w:tcW w:w="1139"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w:t>
            </w:r>
          </w:p>
        </w:tc>
        <w:tc>
          <w:tcPr>
            <w:tcW w:w="982"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w:t>
            </w:r>
          </w:p>
        </w:tc>
        <w:tc>
          <w:tcPr>
            <w:tcW w:w="1003"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15</w:t>
            </w:r>
          </w:p>
        </w:tc>
        <w:tc>
          <w:tcPr>
            <w:tcW w:w="745"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41</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Fartøjstyper</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Line</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7</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23</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24</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12</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91</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158</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Garn/tejn mv.</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4</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17</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18</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17</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58</w:t>
            </w:r>
          </w:p>
        </w:tc>
      </w:tr>
      <w:tr w:rsidR="00552CD3" w:rsidRPr="00687680" w:rsidTr="002F1476">
        <w:trPr>
          <w:trHeight w:val="305"/>
        </w:trPr>
        <w:tc>
          <w:tcPr>
            <w:tcW w:w="1810" w:type="dxa"/>
            <w:tcBorders>
              <w:top w:val="nil"/>
              <w:left w:val="nil"/>
              <w:bottom w:val="single" w:sz="8" w:space="0" w:color="44546A"/>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Trawlere</w:t>
            </w:r>
          </w:p>
        </w:tc>
        <w:tc>
          <w:tcPr>
            <w:tcW w:w="955" w:type="dxa"/>
            <w:tcBorders>
              <w:top w:val="nil"/>
              <w:left w:val="nil"/>
              <w:bottom w:val="single" w:sz="8" w:space="0" w:color="44546A"/>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4</w:t>
            </w:r>
          </w:p>
        </w:tc>
        <w:tc>
          <w:tcPr>
            <w:tcW w:w="1268"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31</w:t>
            </w:r>
          </w:p>
        </w:tc>
        <w:tc>
          <w:tcPr>
            <w:tcW w:w="1065"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11</w:t>
            </w:r>
          </w:p>
        </w:tc>
        <w:tc>
          <w:tcPr>
            <w:tcW w:w="1139"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8</w:t>
            </w:r>
          </w:p>
        </w:tc>
        <w:tc>
          <w:tcPr>
            <w:tcW w:w="982"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12</w:t>
            </w:r>
          </w:p>
        </w:tc>
        <w:tc>
          <w:tcPr>
            <w:tcW w:w="1003"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14</w:t>
            </w:r>
          </w:p>
        </w:tc>
        <w:tc>
          <w:tcPr>
            <w:tcW w:w="745"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80</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Byggemateriale</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Træ</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3</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19</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10</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4</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10</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46</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Glasfiber</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6</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20</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32</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7</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85</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150</w:t>
            </w:r>
          </w:p>
        </w:tc>
      </w:tr>
      <w:tr w:rsidR="00552CD3" w:rsidRPr="00687680" w:rsidTr="002F1476">
        <w:trPr>
          <w:trHeight w:val="305"/>
        </w:trPr>
        <w:tc>
          <w:tcPr>
            <w:tcW w:w="1810" w:type="dxa"/>
            <w:tcBorders>
              <w:top w:val="nil"/>
              <w:left w:val="nil"/>
              <w:bottom w:val="single" w:sz="8" w:space="0" w:color="44546A"/>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Stål</w:t>
            </w:r>
          </w:p>
        </w:tc>
        <w:tc>
          <w:tcPr>
            <w:tcW w:w="955" w:type="dxa"/>
            <w:tcBorders>
              <w:top w:val="nil"/>
              <w:left w:val="nil"/>
              <w:bottom w:val="single" w:sz="8" w:space="0" w:color="44546A"/>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6</w:t>
            </w:r>
          </w:p>
        </w:tc>
        <w:tc>
          <w:tcPr>
            <w:tcW w:w="1268"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32</w:t>
            </w:r>
          </w:p>
        </w:tc>
        <w:tc>
          <w:tcPr>
            <w:tcW w:w="1065"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11</w:t>
            </w:r>
          </w:p>
        </w:tc>
        <w:tc>
          <w:tcPr>
            <w:tcW w:w="1139"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11</w:t>
            </w:r>
          </w:p>
        </w:tc>
        <w:tc>
          <w:tcPr>
            <w:tcW w:w="982"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25</w:t>
            </w:r>
          </w:p>
        </w:tc>
        <w:tc>
          <w:tcPr>
            <w:tcW w:w="1003"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15</w:t>
            </w:r>
          </w:p>
        </w:tc>
        <w:tc>
          <w:tcPr>
            <w:tcW w:w="745"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100</w:t>
            </w:r>
          </w:p>
        </w:tc>
      </w:tr>
      <w:tr w:rsidR="00552CD3" w:rsidRPr="00687680" w:rsidTr="002F1476">
        <w:trPr>
          <w:trHeight w:val="305"/>
        </w:trPr>
        <w:tc>
          <w:tcPr>
            <w:tcW w:w="1810" w:type="dxa"/>
            <w:tcBorders>
              <w:top w:val="nil"/>
              <w:left w:val="nil"/>
              <w:bottom w:val="single" w:sz="8" w:space="0" w:color="44546A"/>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Fartøjer i alt</w:t>
            </w:r>
          </w:p>
        </w:tc>
        <w:tc>
          <w:tcPr>
            <w:tcW w:w="955" w:type="dxa"/>
            <w:tcBorders>
              <w:top w:val="nil"/>
              <w:left w:val="nil"/>
              <w:bottom w:val="single" w:sz="8" w:space="0" w:color="44546A"/>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15</w:t>
            </w:r>
          </w:p>
        </w:tc>
        <w:tc>
          <w:tcPr>
            <w:tcW w:w="1268"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71</w:t>
            </w:r>
          </w:p>
        </w:tc>
        <w:tc>
          <w:tcPr>
            <w:tcW w:w="1065"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53</w:t>
            </w:r>
          </w:p>
        </w:tc>
        <w:tc>
          <w:tcPr>
            <w:tcW w:w="1139"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22</w:t>
            </w:r>
          </w:p>
        </w:tc>
        <w:tc>
          <w:tcPr>
            <w:tcW w:w="982"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120</w:t>
            </w:r>
          </w:p>
        </w:tc>
        <w:tc>
          <w:tcPr>
            <w:tcW w:w="1003"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15</w:t>
            </w:r>
          </w:p>
        </w:tc>
        <w:tc>
          <w:tcPr>
            <w:tcW w:w="745"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296</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Andre fartøjer</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Jolle</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103 </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205 </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227 </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278 </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875 </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 </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1.668 </w:t>
            </w:r>
          </w:p>
        </w:tc>
      </w:tr>
      <w:tr w:rsidR="00552CD3" w:rsidRPr="00687680" w:rsidTr="002F1476">
        <w:trPr>
          <w:trHeight w:val="291"/>
        </w:trPr>
        <w:tc>
          <w:tcPr>
            <w:tcW w:w="1810" w:type="dxa"/>
            <w:tcBorders>
              <w:top w:val="nil"/>
              <w:left w:val="nil"/>
              <w:bottom w:val="nil"/>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Hundeslæder</w:t>
            </w:r>
          </w:p>
        </w:tc>
        <w:tc>
          <w:tcPr>
            <w:tcW w:w="955" w:type="dxa"/>
            <w:tcBorders>
              <w:top w:val="nil"/>
              <w:left w:val="nil"/>
              <w:bottom w:val="nil"/>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 </w:t>
            </w:r>
          </w:p>
        </w:tc>
        <w:tc>
          <w:tcPr>
            <w:tcW w:w="1268"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 </w:t>
            </w:r>
          </w:p>
        </w:tc>
        <w:tc>
          <w:tcPr>
            <w:tcW w:w="106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3 </w:t>
            </w:r>
          </w:p>
        </w:tc>
        <w:tc>
          <w:tcPr>
            <w:tcW w:w="1139"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22 </w:t>
            </w:r>
          </w:p>
        </w:tc>
        <w:tc>
          <w:tcPr>
            <w:tcW w:w="982"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446 </w:t>
            </w:r>
          </w:p>
        </w:tc>
        <w:tc>
          <w:tcPr>
            <w:tcW w:w="1003"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 </w:t>
            </w:r>
          </w:p>
        </w:tc>
        <w:tc>
          <w:tcPr>
            <w:tcW w:w="745" w:type="dxa"/>
            <w:tcBorders>
              <w:top w:val="nil"/>
              <w:left w:val="nil"/>
              <w:bottom w:val="nil"/>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471 </w:t>
            </w:r>
          </w:p>
        </w:tc>
      </w:tr>
      <w:tr w:rsidR="00552CD3" w:rsidRPr="00687680" w:rsidTr="002F1476">
        <w:trPr>
          <w:trHeight w:val="305"/>
        </w:trPr>
        <w:tc>
          <w:tcPr>
            <w:tcW w:w="1810" w:type="dxa"/>
            <w:tcBorders>
              <w:top w:val="nil"/>
              <w:left w:val="nil"/>
              <w:bottom w:val="single" w:sz="8" w:space="0" w:color="44546A"/>
              <w:right w:val="nil"/>
            </w:tcBorders>
            <w:shd w:val="clear" w:color="000000" w:fill="FFFFFF"/>
            <w:noWrap/>
            <w:vAlign w:val="bottom"/>
            <w:hideMark/>
          </w:tcPr>
          <w:p w:rsidR="00552CD3" w:rsidRPr="0075698C" w:rsidRDefault="00552CD3" w:rsidP="0075698C">
            <w:pPr>
              <w:spacing w:after="0"/>
              <w:jc w:val="both"/>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Snescootere</w:t>
            </w:r>
          </w:p>
        </w:tc>
        <w:tc>
          <w:tcPr>
            <w:tcW w:w="955" w:type="dxa"/>
            <w:tcBorders>
              <w:top w:val="nil"/>
              <w:left w:val="nil"/>
              <w:bottom w:val="single" w:sz="8" w:space="0" w:color="44546A"/>
              <w:right w:val="nil"/>
            </w:tcBorders>
            <w:shd w:val="clear" w:color="000000" w:fill="FFFFFF"/>
            <w:noWrap/>
            <w:vAlign w:val="bottom"/>
            <w:hideMark/>
          </w:tcPr>
          <w:p w:rsidR="00552CD3" w:rsidRPr="0075698C" w:rsidRDefault="00552CD3" w:rsidP="00577477">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 </w:t>
            </w:r>
          </w:p>
        </w:tc>
        <w:tc>
          <w:tcPr>
            <w:tcW w:w="1268"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 </w:t>
            </w:r>
          </w:p>
        </w:tc>
        <w:tc>
          <w:tcPr>
            <w:tcW w:w="1065"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 </w:t>
            </w:r>
          </w:p>
        </w:tc>
        <w:tc>
          <w:tcPr>
            <w:tcW w:w="1139"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45 </w:t>
            </w:r>
          </w:p>
        </w:tc>
        <w:tc>
          <w:tcPr>
            <w:tcW w:w="982"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601 </w:t>
            </w:r>
          </w:p>
        </w:tc>
        <w:tc>
          <w:tcPr>
            <w:tcW w:w="1003"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 </w:t>
            </w:r>
          </w:p>
        </w:tc>
        <w:tc>
          <w:tcPr>
            <w:tcW w:w="745" w:type="dxa"/>
            <w:tcBorders>
              <w:top w:val="nil"/>
              <w:left w:val="nil"/>
              <w:bottom w:val="single" w:sz="8" w:space="0" w:color="44546A"/>
              <w:right w:val="nil"/>
            </w:tcBorders>
            <w:shd w:val="clear" w:color="000000" w:fill="FFFFFF"/>
            <w:noWrap/>
            <w:vAlign w:val="bottom"/>
            <w:hideMark/>
          </w:tcPr>
          <w:p w:rsidR="00552CD3" w:rsidRPr="0075698C" w:rsidRDefault="00552CD3">
            <w:pPr>
              <w:spacing w:after="0"/>
              <w:jc w:val="right"/>
              <w:rPr>
                <w:rFonts w:ascii="Times New Roman" w:eastAsia="Times New Roman" w:hAnsi="Times New Roman"/>
                <w:color w:val="000000"/>
                <w:lang w:eastAsia="da-DK"/>
              </w:rPr>
            </w:pPr>
            <w:r w:rsidRPr="0075698C">
              <w:rPr>
                <w:rFonts w:ascii="Times New Roman" w:eastAsia="Times New Roman" w:hAnsi="Times New Roman"/>
                <w:color w:val="000000"/>
                <w:lang w:eastAsia="da-DK"/>
              </w:rPr>
              <w:t xml:space="preserve">    646 </w:t>
            </w:r>
          </w:p>
        </w:tc>
      </w:tr>
    </w:tbl>
    <w:p w:rsidR="00552CD3" w:rsidRPr="0075698C" w:rsidRDefault="00552CD3" w:rsidP="00577477">
      <w:pPr>
        <w:spacing w:after="0"/>
        <w:jc w:val="both"/>
        <w:rPr>
          <w:rFonts w:ascii="Times New Roman" w:eastAsiaTheme="minorHAnsi" w:hAnsi="Times New Roman"/>
          <w:color w:val="000000" w:themeColor="text1"/>
          <w:sz w:val="20"/>
          <w:szCs w:val="20"/>
        </w:rPr>
      </w:pPr>
      <w:r w:rsidRPr="0075698C">
        <w:rPr>
          <w:rFonts w:ascii="Times New Roman" w:eastAsiaTheme="minorHAnsi" w:hAnsi="Times New Roman"/>
          <w:color w:val="000000" w:themeColor="text1"/>
          <w:sz w:val="20"/>
          <w:szCs w:val="20"/>
        </w:rPr>
        <w:t>Kilde: Grønlands Statistiks publikation, Fiskeri 2018.</w:t>
      </w:r>
    </w:p>
    <w:p w:rsidR="00552CD3" w:rsidRPr="0075698C" w:rsidRDefault="00552CD3" w:rsidP="00577477">
      <w:pPr>
        <w:spacing w:after="0"/>
        <w:jc w:val="both"/>
        <w:rPr>
          <w:rFonts w:ascii="Times New Roman" w:eastAsiaTheme="minorHAnsi" w:hAnsi="Times New Roman"/>
          <w:color w:val="000000" w:themeColor="text1"/>
          <w:sz w:val="20"/>
          <w:szCs w:val="20"/>
        </w:rPr>
      </w:pPr>
      <w:r w:rsidRPr="0075698C">
        <w:rPr>
          <w:rFonts w:ascii="Times New Roman" w:eastAsiaTheme="minorHAnsi" w:hAnsi="Times New Roman"/>
          <w:color w:val="000000" w:themeColor="text1"/>
          <w:sz w:val="20"/>
          <w:szCs w:val="20"/>
        </w:rPr>
        <w:t xml:space="preserve">Note: I søjlen uden for inddeling fremgår antallet af udenlandske fartøjer har fisket på grønlandske licenser. </w:t>
      </w:r>
    </w:p>
    <w:p w:rsidR="00552CD3" w:rsidRPr="0075698C" w:rsidRDefault="00552CD3">
      <w:pPr>
        <w:autoSpaceDE w:val="0"/>
        <w:spacing w:after="0"/>
        <w:jc w:val="both"/>
        <w:rPr>
          <w:rFonts w:ascii="Times New Roman" w:eastAsiaTheme="minorHAnsi" w:hAnsi="Times New Roman"/>
          <w:color w:val="000000" w:themeColor="text1"/>
        </w:rPr>
      </w:pPr>
    </w:p>
    <w:sectPr w:rsidR="00552CD3" w:rsidRPr="0075698C" w:rsidSect="0049462A">
      <w:footerReference w:type="default" r:id="rId18"/>
      <w:headerReference w:type="first" r:id="rId19"/>
      <w:footerReference w:type="first" r:id="rId20"/>
      <w:pgSz w:w="11906" w:h="16838"/>
      <w:pgMar w:top="1560" w:right="1701" w:bottom="1418" w:left="1701" w:header="709" w:footer="709"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9977F01" w16cid:durableId="20F42A94"/>
  <w16cid:commentId w16cid:paraId="6E1DBCF5" w16cid:durableId="20F42A95"/>
  <w16cid:commentId w16cid:paraId="5D71A844" w16cid:durableId="20F42A96"/>
  <w16cid:commentId w16cid:paraId="1D9A98A7" w16cid:durableId="20F42A97"/>
  <w16cid:commentId w16cid:paraId="2E8A756C" w16cid:durableId="20F42A98"/>
  <w16cid:commentId w16cid:paraId="0FE217E2" w16cid:durableId="20F42A99"/>
  <w16cid:commentId w16cid:paraId="5316C668" w16cid:durableId="20F42A9A"/>
  <w16cid:commentId w16cid:paraId="6046B96C" w16cid:durableId="20F42A9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065A" w:rsidRDefault="00B3065A" w:rsidP="008F3CFF">
      <w:pPr>
        <w:spacing w:after="0" w:line="240" w:lineRule="auto"/>
      </w:pPr>
      <w:r>
        <w:separator/>
      </w:r>
    </w:p>
  </w:endnote>
  <w:endnote w:type="continuationSeparator" w:id="0">
    <w:p w:rsidR="00B3065A" w:rsidRDefault="00B3065A" w:rsidP="008F3C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0994717"/>
      <w:docPartObj>
        <w:docPartGallery w:val="Page Numbers (Bottom of Page)"/>
        <w:docPartUnique/>
      </w:docPartObj>
    </w:sdtPr>
    <w:sdtEndPr>
      <w:rPr>
        <w:rFonts w:ascii="Times New Roman" w:hAnsi="Times New Roman"/>
      </w:rPr>
    </w:sdtEndPr>
    <w:sdtContent>
      <w:p w:rsidR="007D3C9D" w:rsidRPr="0045334F" w:rsidRDefault="007D3C9D">
        <w:pPr>
          <w:pStyle w:val="Sidefod"/>
          <w:jc w:val="center"/>
          <w:rPr>
            <w:rFonts w:ascii="Times New Roman" w:hAnsi="Times New Roman"/>
          </w:rPr>
        </w:pPr>
        <w:r w:rsidRPr="0045334F">
          <w:rPr>
            <w:rFonts w:ascii="Times New Roman" w:hAnsi="Times New Roman"/>
          </w:rPr>
          <w:fldChar w:fldCharType="begin"/>
        </w:r>
        <w:r w:rsidRPr="0045334F">
          <w:rPr>
            <w:rFonts w:ascii="Times New Roman" w:hAnsi="Times New Roman"/>
          </w:rPr>
          <w:instrText>PAGE   \* MERGEFORMAT</w:instrText>
        </w:r>
        <w:r w:rsidRPr="0045334F">
          <w:rPr>
            <w:rFonts w:ascii="Times New Roman" w:hAnsi="Times New Roman"/>
          </w:rPr>
          <w:fldChar w:fldCharType="separate"/>
        </w:r>
        <w:r w:rsidR="0075698C">
          <w:rPr>
            <w:rFonts w:ascii="Times New Roman" w:hAnsi="Times New Roman"/>
            <w:noProof/>
          </w:rPr>
          <w:t>14</w:t>
        </w:r>
        <w:r w:rsidRPr="0045334F">
          <w:rPr>
            <w:rFonts w:ascii="Times New Roman" w:hAnsi="Times New Roman"/>
          </w:rPr>
          <w:fldChar w:fldCharType="end"/>
        </w:r>
      </w:p>
    </w:sdtContent>
  </w:sdt>
  <w:p w:rsidR="007D3C9D" w:rsidRDefault="007D3C9D">
    <w:pPr>
      <w:pStyle w:val="Sidefo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4981375"/>
      <w:docPartObj>
        <w:docPartGallery w:val="Page Numbers (Bottom of Page)"/>
        <w:docPartUnique/>
      </w:docPartObj>
    </w:sdtPr>
    <w:sdtEndPr/>
    <w:sdtContent>
      <w:p w:rsidR="007D3C9D" w:rsidRDefault="007D3C9D">
        <w:pPr>
          <w:pStyle w:val="Sidefod"/>
          <w:jc w:val="center"/>
        </w:pPr>
        <w:r>
          <w:fldChar w:fldCharType="begin"/>
        </w:r>
        <w:r>
          <w:instrText>PAGE   \* MERGEFORMAT</w:instrText>
        </w:r>
        <w:r>
          <w:fldChar w:fldCharType="separate"/>
        </w:r>
        <w:r w:rsidR="0075698C">
          <w:rPr>
            <w:noProof/>
          </w:rPr>
          <w:t>1</w:t>
        </w:r>
        <w:r>
          <w:fldChar w:fldCharType="end"/>
        </w:r>
      </w:p>
    </w:sdtContent>
  </w:sdt>
  <w:p w:rsidR="007D3C9D" w:rsidRDefault="007D3C9D">
    <w:pPr>
      <w:pStyle w:val="Sidefo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065A" w:rsidRDefault="00B3065A" w:rsidP="008F3CFF">
      <w:pPr>
        <w:spacing w:after="0" w:line="240" w:lineRule="auto"/>
      </w:pPr>
      <w:r>
        <w:separator/>
      </w:r>
    </w:p>
  </w:footnote>
  <w:footnote w:type="continuationSeparator" w:id="0">
    <w:p w:rsidR="00B3065A" w:rsidRDefault="00B3065A" w:rsidP="008F3CFF">
      <w:pPr>
        <w:spacing w:after="0" w:line="240" w:lineRule="auto"/>
      </w:pPr>
      <w:r>
        <w:continuationSeparator/>
      </w:r>
    </w:p>
  </w:footnote>
  <w:footnote w:id="1">
    <w:p w:rsidR="007D3C9D" w:rsidRPr="00687680" w:rsidRDefault="007D3C9D">
      <w:pPr>
        <w:pStyle w:val="Fodnotetekst"/>
        <w:rPr>
          <w:sz w:val="18"/>
          <w:szCs w:val="18"/>
          <w:lang w:val="is-IS"/>
        </w:rPr>
      </w:pPr>
      <w:r w:rsidRPr="00687680">
        <w:rPr>
          <w:rStyle w:val="Fodnotehenvisning"/>
          <w:sz w:val="18"/>
          <w:szCs w:val="18"/>
        </w:rPr>
        <w:footnoteRef/>
      </w:r>
      <w:r w:rsidRPr="00687680">
        <w:rPr>
          <w:sz w:val="18"/>
          <w:szCs w:val="18"/>
        </w:rPr>
        <w:t xml:space="preserve"> De 5,1 mia.kr. i eksportværdi stammer fra Gr</w:t>
      </w:r>
      <w:r w:rsidRPr="005B412F">
        <w:rPr>
          <w:sz w:val="18"/>
          <w:szCs w:val="18"/>
        </w:rPr>
        <w:t xml:space="preserve">ønlands Statistiks </w:t>
      </w:r>
      <w:r>
        <w:rPr>
          <w:sz w:val="18"/>
          <w:szCs w:val="18"/>
        </w:rPr>
        <w:t xml:space="preserve">opgørelse af </w:t>
      </w:r>
      <w:r w:rsidRPr="005B412F">
        <w:rPr>
          <w:sz w:val="18"/>
          <w:szCs w:val="18"/>
        </w:rPr>
        <w:t>nationalregnskab</w:t>
      </w:r>
      <w:r>
        <w:rPr>
          <w:sz w:val="18"/>
          <w:szCs w:val="18"/>
        </w:rPr>
        <w:t>et</w:t>
      </w:r>
      <w:r w:rsidRPr="00687680">
        <w:rPr>
          <w:sz w:val="18"/>
          <w:szCs w:val="18"/>
        </w:rPr>
        <w:t xml:space="preserve"> hvilke</w:t>
      </w:r>
      <w:r w:rsidRPr="005B412F">
        <w:rPr>
          <w:sz w:val="18"/>
          <w:szCs w:val="18"/>
        </w:rPr>
        <w:t>t afviger fra eksportværdien i udenrigshandelsstatistikken. Fra 1. kvartal 2019 sker der i udenrigshandelsstatistikken et skift opad i niveauet for værdierne og priserne for fiskeriprodukter. Det skyldes, at fiskeeksportørerne har ændret princippet for angivelse af de priser, som indberettes til toldfunktionen. De ændrede principper betyder, at værdien af den samlede vareeksport i udenrigshandelen kommer tættere på den eksportværdi, der allerede offentliggøres i nationalregnskabet. I nationalregnskabet benyttes varens værdi ved ejerskifte, mens det i udenrigshandelsstatistikken er varens værdi ved landegrænsen.</w:t>
      </w:r>
    </w:p>
  </w:footnote>
  <w:footnote w:id="2">
    <w:p w:rsidR="007D3C9D" w:rsidRPr="0075698C" w:rsidRDefault="007D3C9D" w:rsidP="00552CD3">
      <w:pPr>
        <w:pStyle w:val="Fodnotetekst"/>
        <w:rPr>
          <w:rFonts w:asciiTheme="minorHAnsi" w:hAnsiTheme="minorHAnsi" w:cstheme="minorHAnsi"/>
          <w:sz w:val="18"/>
          <w:szCs w:val="18"/>
        </w:rPr>
      </w:pPr>
      <w:r w:rsidRPr="0075698C">
        <w:rPr>
          <w:rStyle w:val="Fodnotehenvisning"/>
          <w:rFonts w:asciiTheme="minorHAnsi" w:hAnsiTheme="minorHAnsi" w:cstheme="minorHAnsi"/>
          <w:sz w:val="18"/>
          <w:szCs w:val="18"/>
        </w:rPr>
        <w:footnoteRef/>
      </w:r>
      <w:r w:rsidRPr="0075698C">
        <w:rPr>
          <w:rFonts w:asciiTheme="minorHAnsi" w:hAnsiTheme="minorHAnsi" w:cstheme="minorHAnsi"/>
          <w:sz w:val="18"/>
          <w:szCs w:val="18"/>
        </w:rPr>
        <w:t xml:space="preserve"> </w:t>
      </w:r>
      <w:r w:rsidRPr="0075698C">
        <w:rPr>
          <w:rFonts w:asciiTheme="minorHAnsi" w:hAnsiTheme="minorHAnsi" w:cstheme="minorHAnsi"/>
          <w:color w:val="000000"/>
          <w:sz w:val="18"/>
          <w:szCs w:val="18"/>
          <w:shd w:val="clear" w:color="auto" w:fill="FFFFFF"/>
        </w:rPr>
        <w:t xml:space="preserve">Til at knytte brancheoplysninger på beskæftigelsen anvendes Grønlands Erhvervsregister (GER). I GER er hver registreret virksomhed tildelt en branche ud fra virksomhedens primære aktivitet. Denne brancheinddeling er dog modificeret en anelse i statistikkens branchekodning. Således flugter beskæftigelsesstatistikkens brancher ikke fuldstændig med brancheinddelingen i GER. Motivationen bag denne modifikation er, at flere større virksomheder – særligt med tilknytning til fiskeri, som direkte eller indirekte beskæftiger fiskere – er registreret under andre brancher i GER. Dette forhold ville – uden modifikation – betyde, at beskæftigelsen i enkelte brancher – særligt inden for fiskeriet – blev stærkt undervurderet, mens beskæftigelsen i andre brancher – primært inden for handel og industri – blev tilsvarende overvurderet. </w:t>
      </w:r>
    </w:p>
  </w:footnote>
  <w:footnote w:id="3">
    <w:p w:rsidR="007D3C9D" w:rsidRPr="00EC1E2E" w:rsidRDefault="007D3C9D" w:rsidP="00552CD3">
      <w:pPr>
        <w:pStyle w:val="Overskrift2"/>
        <w:spacing w:before="0" w:beforeAutospacing="0" w:after="0" w:afterAutospacing="0"/>
        <w:textAlignment w:val="baseline"/>
        <w:rPr>
          <w:rFonts w:ascii="Arial" w:hAnsi="Arial" w:cs="Arial"/>
          <w:b w:val="0"/>
          <w:bCs w:val="0"/>
          <w:color w:val="31495B"/>
          <w:sz w:val="18"/>
          <w:szCs w:val="18"/>
        </w:rPr>
      </w:pPr>
      <w:r w:rsidRPr="00EC1E2E">
        <w:rPr>
          <w:rStyle w:val="Fodnotehenvisning"/>
          <w:sz w:val="18"/>
          <w:szCs w:val="18"/>
        </w:rPr>
        <w:footnoteRef/>
      </w:r>
      <w:r w:rsidRPr="00EC1E2E">
        <w:rPr>
          <w:sz w:val="18"/>
          <w:szCs w:val="18"/>
        </w:rPr>
        <w:t xml:space="preserve"> </w:t>
      </w:r>
      <w:r w:rsidRPr="00EC1E2E">
        <w:rPr>
          <w:b w:val="0"/>
          <w:bCs w:val="0"/>
          <w:color w:val="000000" w:themeColor="text1"/>
          <w:sz w:val="18"/>
          <w:szCs w:val="18"/>
        </w:rPr>
        <w:t>Selvstyrets bekendtgørelse nr. 13 af 17. november 2011 om bemandingen af grønlandske fiskefartøjer.</w:t>
      </w:r>
    </w:p>
    <w:p w:rsidR="007D3C9D" w:rsidRPr="003D7A03" w:rsidRDefault="007D3C9D" w:rsidP="00552CD3">
      <w:pPr>
        <w:pStyle w:val="Fodnoteteks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730" w:rsidRDefault="00736730" w:rsidP="0075698C">
    <w:pPr>
      <w:pStyle w:val="Sidehoved"/>
      <w:jc w:val="right"/>
    </w:pPr>
    <w:r>
      <w:t>November 2019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C7550"/>
    <w:multiLevelType w:val="hybridMultilevel"/>
    <w:tmpl w:val="EEEA4F18"/>
    <w:lvl w:ilvl="0" w:tplc="BAB2BB4C">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nsid w:val="06790688"/>
    <w:multiLevelType w:val="hybridMultilevel"/>
    <w:tmpl w:val="70DC05A6"/>
    <w:lvl w:ilvl="0" w:tplc="26A85EB2">
      <w:numFmt w:val="bullet"/>
      <w:lvlText w:val="-"/>
      <w:lvlJc w:val="left"/>
      <w:pPr>
        <w:ind w:left="720" w:hanging="360"/>
      </w:pPr>
      <w:rPr>
        <w:rFonts w:ascii="Calibri" w:eastAsia="Calibri" w:hAnsi="Calibri" w:cs="Calibri"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nsid w:val="12156C4F"/>
    <w:multiLevelType w:val="hybridMultilevel"/>
    <w:tmpl w:val="D10AE5D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nsid w:val="13C055DB"/>
    <w:multiLevelType w:val="hybridMultilevel"/>
    <w:tmpl w:val="14A8B0B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nsid w:val="15CE23A9"/>
    <w:multiLevelType w:val="hybridMultilevel"/>
    <w:tmpl w:val="6364706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nsid w:val="18A658E5"/>
    <w:multiLevelType w:val="hybridMultilevel"/>
    <w:tmpl w:val="08CE217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nsid w:val="1ACC48B6"/>
    <w:multiLevelType w:val="hybridMultilevel"/>
    <w:tmpl w:val="7D7CA0B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nsid w:val="1C622119"/>
    <w:multiLevelType w:val="hybridMultilevel"/>
    <w:tmpl w:val="E77C05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nsid w:val="1D586ADD"/>
    <w:multiLevelType w:val="hybridMultilevel"/>
    <w:tmpl w:val="C24C50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nsid w:val="21AF69CB"/>
    <w:multiLevelType w:val="hybridMultilevel"/>
    <w:tmpl w:val="BC327C4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1">
      <w:start w:val="1"/>
      <w:numFmt w:val="bullet"/>
      <w:lvlText w:val=""/>
      <w:lvlJc w:val="left"/>
      <w:pPr>
        <w:ind w:left="3600" w:hanging="360"/>
      </w:pPr>
      <w:rPr>
        <w:rFonts w:ascii="Symbol" w:hAnsi="Symbol"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nsid w:val="266811FF"/>
    <w:multiLevelType w:val="hybridMultilevel"/>
    <w:tmpl w:val="3B00D48C"/>
    <w:lvl w:ilvl="0" w:tplc="04060001">
      <w:start w:val="1"/>
      <w:numFmt w:val="bullet"/>
      <w:lvlText w:val=""/>
      <w:lvlJc w:val="left"/>
      <w:pPr>
        <w:ind w:left="771" w:hanging="360"/>
      </w:pPr>
      <w:rPr>
        <w:rFonts w:ascii="Symbol" w:hAnsi="Symbol" w:hint="default"/>
      </w:rPr>
    </w:lvl>
    <w:lvl w:ilvl="1" w:tplc="04060003" w:tentative="1">
      <w:start w:val="1"/>
      <w:numFmt w:val="bullet"/>
      <w:lvlText w:val="o"/>
      <w:lvlJc w:val="left"/>
      <w:pPr>
        <w:ind w:left="1491" w:hanging="360"/>
      </w:pPr>
      <w:rPr>
        <w:rFonts w:ascii="Courier New" w:hAnsi="Courier New" w:cs="Courier New" w:hint="default"/>
      </w:rPr>
    </w:lvl>
    <w:lvl w:ilvl="2" w:tplc="04060005" w:tentative="1">
      <w:start w:val="1"/>
      <w:numFmt w:val="bullet"/>
      <w:lvlText w:val=""/>
      <w:lvlJc w:val="left"/>
      <w:pPr>
        <w:ind w:left="2211" w:hanging="360"/>
      </w:pPr>
      <w:rPr>
        <w:rFonts w:ascii="Wingdings" w:hAnsi="Wingdings" w:hint="default"/>
      </w:rPr>
    </w:lvl>
    <w:lvl w:ilvl="3" w:tplc="04060001" w:tentative="1">
      <w:start w:val="1"/>
      <w:numFmt w:val="bullet"/>
      <w:lvlText w:val=""/>
      <w:lvlJc w:val="left"/>
      <w:pPr>
        <w:ind w:left="2931" w:hanging="360"/>
      </w:pPr>
      <w:rPr>
        <w:rFonts w:ascii="Symbol" w:hAnsi="Symbol" w:hint="default"/>
      </w:rPr>
    </w:lvl>
    <w:lvl w:ilvl="4" w:tplc="04060003" w:tentative="1">
      <w:start w:val="1"/>
      <w:numFmt w:val="bullet"/>
      <w:lvlText w:val="o"/>
      <w:lvlJc w:val="left"/>
      <w:pPr>
        <w:ind w:left="3651" w:hanging="360"/>
      </w:pPr>
      <w:rPr>
        <w:rFonts w:ascii="Courier New" w:hAnsi="Courier New" w:cs="Courier New" w:hint="default"/>
      </w:rPr>
    </w:lvl>
    <w:lvl w:ilvl="5" w:tplc="04060005" w:tentative="1">
      <w:start w:val="1"/>
      <w:numFmt w:val="bullet"/>
      <w:lvlText w:val=""/>
      <w:lvlJc w:val="left"/>
      <w:pPr>
        <w:ind w:left="4371" w:hanging="360"/>
      </w:pPr>
      <w:rPr>
        <w:rFonts w:ascii="Wingdings" w:hAnsi="Wingdings" w:hint="default"/>
      </w:rPr>
    </w:lvl>
    <w:lvl w:ilvl="6" w:tplc="04060001" w:tentative="1">
      <w:start w:val="1"/>
      <w:numFmt w:val="bullet"/>
      <w:lvlText w:val=""/>
      <w:lvlJc w:val="left"/>
      <w:pPr>
        <w:ind w:left="5091" w:hanging="360"/>
      </w:pPr>
      <w:rPr>
        <w:rFonts w:ascii="Symbol" w:hAnsi="Symbol" w:hint="default"/>
      </w:rPr>
    </w:lvl>
    <w:lvl w:ilvl="7" w:tplc="04060003" w:tentative="1">
      <w:start w:val="1"/>
      <w:numFmt w:val="bullet"/>
      <w:lvlText w:val="o"/>
      <w:lvlJc w:val="left"/>
      <w:pPr>
        <w:ind w:left="5811" w:hanging="360"/>
      </w:pPr>
      <w:rPr>
        <w:rFonts w:ascii="Courier New" w:hAnsi="Courier New" w:cs="Courier New" w:hint="default"/>
      </w:rPr>
    </w:lvl>
    <w:lvl w:ilvl="8" w:tplc="04060005" w:tentative="1">
      <w:start w:val="1"/>
      <w:numFmt w:val="bullet"/>
      <w:lvlText w:val=""/>
      <w:lvlJc w:val="left"/>
      <w:pPr>
        <w:ind w:left="6531" w:hanging="360"/>
      </w:pPr>
      <w:rPr>
        <w:rFonts w:ascii="Wingdings" w:hAnsi="Wingdings" w:hint="default"/>
      </w:rPr>
    </w:lvl>
  </w:abstractNum>
  <w:abstractNum w:abstractNumId="11">
    <w:nsid w:val="2B48287E"/>
    <w:multiLevelType w:val="hybridMultilevel"/>
    <w:tmpl w:val="5A4EFA78"/>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nsid w:val="2C091C73"/>
    <w:multiLevelType w:val="hybridMultilevel"/>
    <w:tmpl w:val="3A124D58"/>
    <w:lvl w:ilvl="0" w:tplc="8BDAA10A">
      <w:start w:val="1"/>
      <w:numFmt w:val="decimal"/>
      <w:lvlText w:val="%1."/>
      <w:lvlJc w:val="left"/>
      <w:pPr>
        <w:ind w:left="720" w:hanging="360"/>
      </w:pPr>
      <w:rPr>
        <w:rFonts w:hint="default"/>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nsid w:val="2E5F2883"/>
    <w:multiLevelType w:val="hybridMultilevel"/>
    <w:tmpl w:val="C4FA25D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nsid w:val="2EA93FCE"/>
    <w:multiLevelType w:val="hybridMultilevel"/>
    <w:tmpl w:val="D40212BC"/>
    <w:lvl w:ilvl="0" w:tplc="27566D9A">
      <w:start w:val="1"/>
      <w:numFmt w:val="decimal"/>
      <w:lvlText w:val="%1."/>
      <w:lvlJc w:val="left"/>
      <w:pPr>
        <w:ind w:left="720" w:hanging="360"/>
      </w:pPr>
      <w:rPr>
        <w:rFonts w:hint="default"/>
        <w:i w:val="0"/>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nsid w:val="30FA1E98"/>
    <w:multiLevelType w:val="hybridMultilevel"/>
    <w:tmpl w:val="44F2746E"/>
    <w:lvl w:ilvl="0" w:tplc="91C6F3B6">
      <w:numFmt w:val="bullet"/>
      <w:lvlText w:val="-"/>
      <w:lvlJc w:val="left"/>
      <w:pPr>
        <w:ind w:left="720" w:hanging="360"/>
      </w:pPr>
      <w:rPr>
        <w:rFonts w:ascii="Calibri" w:eastAsiaTheme="minorHAnsi" w:hAnsi="Calibri" w:cs="Calibri"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nsid w:val="32145AD0"/>
    <w:multiLevelType w:val="multilevel"/>
    <w:tmpl w:val="448E676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2662518"/>
    <w:multiLevelType w:val="hybridMultilevel"/>
    <w:tmpl w:val="8F2C378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nsid w:val="32F92781"/>
    <w:multiLevelType w:val="hybridMultilevel"/>
    <w:tmpl w:val="96A0233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nsid w:val="38041DA6"/>
    <w:multiLevelType w:val="hybridMultilevel"/>
    <w:tmpl w:val="1E02A22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nsid w:val="41E07AC0"/>
    <w:multiLevelType w:val="hybridMultilevel"/>
    <w:tmpl w:val="F99C59AC"/>
    <w:lvl w:ilvl="0" w:tplc="04060001">
      <w:start w:val="1"/>
      <w:numFmt w:val="bullet"/>
      <w:lvlText w:val=""/>
      <w:lvlJc w:val="left"/>
      <w:pPr>
        <w:ind w:left="8593" w:hanging="360"/>
      </w:pPr>
      <w:rPr>
        <w:rFonts w:ascii="Symbol" w:hAnsi="Symbol" w:hint="default"/>
      </w:rPr>
    </w:lvl>
    <w:lvl w:ilvl="1" w:tplc="04060003" w:tentative="1">
      <w:start w:val="1"/>
      <w:numFmt w:val="bullet"/>
      <w:lvlText w:val="o"/>
      <w:lvlJc w:val="left"/>
      <w:pPr>
        <w:ind w:left="8009" w:hanging="360"/>
      </w:pPr>
      <w:rPr>
        <w:rFonts w:ascii="Courier New" w:hAnsi="Courier New" w:cs="Courier New" w:hint="default"/>
      </w:rPr>
    </w:lvl>
    <w:lvl w:ilvl="2" w:tplc="04060005">
      <w:start w:val="1"/>
      <w:numFmt w:val="bullet"/>
      <w:lvlText w:val=""/>
      <w:lvlJc w:val="left"/>
      <w:pPr>
        <w:ind w:left="8729" w:hanging="360"/>
      </w:pPr>
      <w:rPr>
        <w:rFonts w:ascii="Wingdings" w:hAnsi="Wingdings" w:hint="default"/>
      </w:rPr>
    </w:lvl>
    <w:lvl w:ilvl="3" w:tplc="04060003">
      <w:start w:val="1"/>
      <w:numFmt w:val="bullet"/>
      <w:lvlText w:val="o"/>
      <w:lvlJc w:val="left"/>
      <w:pPr>
        <w:ind w:left="9449" w:hanging="360"/>
      </w:pPr>
      <w:rPr>
        <w:rFonts w:ascii="Courier New" w:hAnsi="Courier New" w:cs="Courier New" w:hint="default"/>
      </w:rPr>
    </w:lvl>
    <w:lvl w:ilvl="4" w:tplc="04060003">
      <w:start w:val="1"/>
      <w:numFmt w:val="bullet"/>
      <w:lvlText w:val="o"/>
      <w:lvlJc w:val="left"/>
      <w:pPr>
        <w:ind w:left="10169" w:hanging="360"/>
      </w:pPr>
      <w:rPr>
        <w:rFonts w:ascii="Courier New" w:hAnsi="Courier New" w:cs="Courier New" w:hint="default"/>
      </w:rPr>
    </w:lvl>
    <w:lvl w:ilvl="5" w:tplc="04060005" w:tentative="1">
      <w:start w:val="1"/>
      <w:numFmt w:val="bullet"/>
      <w:lvlText w:val=""/>
      <w:lvlJc w:val="left"/>
      <w:pPr>
        <w:ind w:left="10889" w:hanging="360"/>
      </w:pPr>
      <w:rPr>
        <w:rFonts w:ascii="Wingdings" w:hAnsi="Wingdings" w:hint="default"/>
      </w:rPr>
    </w:lvl>
    <w:lvl w:ilvl="6" w:tplc="04060001" w:tentative="1">
      <w:start w:val="1"/>
      <w:numFmt w:val="bullet"/>
      <w:lvlText w:val=""/>
      <w:lvlJc w:val="left"/>
      <w:pPr>
        <w:ind w:left="11609" w:hanging="360"/>
      </w:pPr>
      <w:rPr>
        <w:rFonts w:ascii="Symbol" w:hAnsi="Symbol" w:hint="default"/>
      </w:rPr>
    </w:lvl>
    <w:lvl w:ilvl="7" w:tplc="04060003" w:tentative="1">
      <w:start w:val="1"/>
      <w:numFmt w:val="bullet"/>
      <w:lvlText w:val="o"/>
      <w:lvlJc w:val="left"/>
      <w:pPr>
        <w:ind w:left="12329" w:hanging="360"/>
      </w:pPr>
      <w:rPr>
        <w:rFonts w:ascii="Courier New" w:hAnsi="Courier New" w:cs="Courier New" w:hint="default"/>
      </w:rPr>
    </w:lvl>
    <w:lvl w:ilvl="8" w:tplc="04060005" w:tentative="1">
      <w:start w:val="1"/>
      <w:numFmt w:val="bullet"/>
      <w:lvlText w:val=""/>
      <w:lvlJc w:val="left"/>
      <w:pPr>
        <w:ind w:left="13049" w:hanging="360"/>
      </w:pPr>
      <w:rPr>
        <w:rFonts w:ascii="Wingdings" w:hAnsi="Wingdings" w:hint="default"/>
      </w:rPr>
    </w:lvl>
  </w:abstractNum>
  <w:abstractNum w:abstractNumId="21">
    <w:nsid w:val="42E1646A"/>
    <w:multiLevelType w:val="hybridMultilevel"/>
    <w:tmpl w:val="55B4349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nsid w:val="43FC6DF7"/>
    <w:multiLevelType w:val="hybridMultilevel"/>
    <w:tmpl w:val="63EE143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nsid w:val="4B500525"/>
    <w:multiLevelType w:val="hybridMultilevel"/>
    <w:tmpl w:val="948C241C"/>
    <w:lvl w:ilvl="0" w:tplc="2886F690">
      <w:start w:val="3"/>
      <w:numFmt w:val="lowerLetter"/>
      <w:lvlText w:val="%1."/>
      <w:lvlJc w:val="left"/>
      <w:pPr>
        <w:ind w:left="144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nsid w:val="4C1335A9"/>
    <w:multiLevelType w:val="hybridMultilevel"/>
    <w:tmpl w:val="A6742040"/>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nsid w:val="4E3636D4"/>
    <w:multiLevelType w:val="hybridMultilevel"/>
    <w:tmpl w:val="3880EFD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nsid w:val="517B29C9"/>
    <w:multiLevelType w:val="multilevel"/>
    <w:tmpl w:val="7FCAF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6C517D9"/>
    <w:multiLevelType w:val="hybridMultilevel"/>
    <w:tmpl w:val="F788E37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nsid w:val="5B75589D"/>
    <w:multiLevelType w:val="hybridMultilevel"/>
    <w:tmpl w:val="9A9E34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E1061AE"/>
    <w:multiLevelType w:val="hybridMultilevel"/>
    <w:tmpl w:val="20EC772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nsid w:val="608C309C"/>
    <w:multiLevelType w:val="hybridMultilevel"/>
    <w:tmpl w:val="1E18F752"/>
    <w:lvl w:ilvl="0" w:tplc="A2843B48">
      <w:start w:val="2"/>
      <w:numFmt w:val="lowerLetter"/>
      <w:lvlText w:val="%1."/>
      <w:lvlJc w:val="left"/>
      <w:pPr>
        <w:ind w:left="144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1">
    <w:nsid w:val="62C6019C"/>
    <w:multiLevelType w:val="hybridMultilevel"/>
    <w:tmpl w:val="9858EF8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nsid w:val="62EA6B5F"/>
    <w:multiLevelType w:val="hybridMultilevel"/>
    <w:tmpl w:val="7EF4F596"/>
    <w:lvl w:ilvl="0" w:tplc="04060001">
      <w:start w:val="1"/>
      <w:numFmt w:val="bullet"/>
      <w:lvlText w:val=""/>
      <w:lvlJc w:val="left"/>
      <w:pPr>
        <w:ind w:left="1083" w:hanging="360"/>
      </w:pPr>
      <w:rPr>
        <w:rFonts w:ascii="Symbol" w:hAnsi="Symbol" w:hint="default"/>
      </w:rPr>
    </w:lvl>
    <w:lvl w:ilvl="1" w:tplc="04060003">
      <w:start w:val="1"/>
      <w:numFmt w:val="bullet"/>
      <w:lvlText w:val="o"/>
      <w:lvlJc w:val="left"/>
      <w:pPr>
        <w:ind w:left="1803" w:hanging="360"/>
      </w:pPr>
      <w:rPr>
        <w:rFonts w:ascii="Courier New" w:hAnsi="Courier New" w:cs="Courier New" w:hint="default"/>
      </w:rPr>
    </w:lvl>
    <w:lvl w:ilvl="2" w:tplc="04060005">
      <w:start w:val="1"/>
      <w:numFmt w:val="bullet"/>
      <w:lvlText w:val=""/>
      <w:lvlJc w:val="left"/>
      <w:pPr>
        <w:ind w:left="2523" w:hanging="360"/>
      </w:pPr>
      <w:rPr>
        <w:rFonts w:ascii="Wingdings" w:hAnsi="Wingdings" w:hint="default"/>
      </w:rPr>
    </w:lvl>
    <w:lvl w:ilvl="3" w:tplc="04060001" w:tentative="1">
      <w:start w:val="1"/>
      <w:numFmt w:val="bullet"/>
      <w:lvlText w:val=""/>
      <w:lvlJc w:val="left"/>
      <w:pPr>
        <w:ind w:left="3243" w:hanging="360"/>
      </w:pPr>
      <w:rPr>
        <w:rFonts w:ascii="Symbol" w:hAnsi="Symbol" w:hint="default"/>
      </w:rPr>
    </w:lvl>
    <w:lvl w:ilvl="4" w:tplc="04060003" w:tentative="1">
      <w:start w:val="1"/>
      <w:numFmt w:val="bullet"/>
      <w:lvlText w:val="o"/>
      <w:lvlJc w:val="left"/>
      <w:pPr>
        <w:ind w:left="3963" w:hanging="360"/>
      </w:pPr>
      <w:rPr>
        <w:rFonts w:ascii="Courier New" w:hAnsi="Courier New" w:cs="Courier New" w:hint="default"/>
      </w:rPr>
    </w:lvl>
    <w:lvl w:ilvl="5" w:tplc="04060005" w:tentative="1">
      <w:start w:val="1"/>
      <w:numFmt w:val="bullet"/>
      <w:lvlText w:val=""/>
      <w:lvlJc w:val="left"/>
      <w:pPr>
        <w:ind w:left="4683" w:hanging="360"/>
      </w:pPr>
      <w:rPr>
        <w:rFonts w:ascii="Wingdings" w:hAnsi="Wingdings" w:hint="default"/>
      </w:rPr>
    </w:lvl>
    <w:lvl w:ilvl="6" w:tplc="04060001" w:tentative="1">
      <w:start w:val="1"/>
      <w:numFmt w:val="bullet"/>
      <w:lvlText w:val=""/>
      <w:lvlJc w:val="left"/>
      <w:pPr>
        <w:ind w:left="5403" w:hanging="360"/>
      </w:pPr>
      <w:rPr>
        <w:rFonts w:ascii="Symbol" w:hAnsi="Symbol" w:hint="default"/>
      </w:rPr>
    </w:lvl>
    <w:lvl w:ilvl="7" w:tplc="04060003" w:tentative="1">
      <w:start w:val="1"/>
      <w:numFmt w:val="bullet"/>
      <w:lvlText w:val="o"/>
      <w:lvlJc w:val="left"/>
      <w:pPr>
        <w:ind w:left="6123" w:hanging="360"/>
      </w:pPr>
      <w:rPr>
        <w:rFonts w:ascii="Courier New" w:hAnsi="Courier New" w:cs="Courier New" w:hint="default"/>
      </w:rPr>
    </w:lvl>
    <w:lvl w:ilvl="8" w:tplc="04060005" w:tentative="1">
      <w:start w:val="1"/>
      <w:numFmt w:val="bullet"/>
      <w:lvlText w:val=""/>
      <w:lvlJc w:val="left"/>
      <w:pPr>
        <w:ind w:left="6843" w:hanging="360"/>
      </w:pPr>
      <w:rPr>
        <w:rFonts w:ascii="Wingdings" w:hAnsi="Wingdings" w:hint="default"/>
      </w:rPr>
    </w:lvl>
  </w:abstractNum>
  <w:abstractNum w:abstractNumId="33">
    <w:nsid w:val="6C4A2699"/>
    <w:multiLevelType w:val="hybridMultilevel"/>
    <w:tmpl w:val="29864DF6"/>
    <w:lvl w:ilvl="0" w:tplc="04060001">
      <w:start w:val="1"/>
      <w:numFmt w:val="bullet"/>
      <w:lvlText w:val=""/>
      <w:lvlJc w:val="left"/>
      <w:pPr>
        <w:ind w:left="8593" w:hanging="360"/>
      </w:pPr>
      <w:rPr>
        <w:rFonts w:ascii="Symbol" w:hAnsi="Symbol" w:hint="default"/>
      </w:rPr>
    </w:lvl>
    <w:lvl w:ilvl="1" w:tplc="04060003">
      <w:start w:val="1"/>
      <w:numFmt w:val="bullet"/>
      <w:lvlText w:val="o"/>
      <w:lvlJc w:val="left"/>
      <w:pPr>
        <w:ind w:left="8009" w:hanging="360"/>
      </w:pPr>
      <w:rPr>
        <w:rFonts w:ascii="Courier New" w:hAnsi="Courier New" w:cs="Courier New" w:hint="default"/>
      </w:rPr>
    </w:lvl>
    <w:lvl w:ilvl="2" w:tplc="04060005">
      <w:start w:val="1"/>
      <w:numFmt w:val="bullet"/>
      <w:lvlText w:val=""/>
      <w:lvlJc w:val="left"/>
      <w:pPr>
        <w:ind w:left="8729" w:hanging="360"/>
      </w:pPr>
      <w:rPr>
        <w:rFonts w:ascii="Wingdings" w:hAnsi="Wingdings" w:hint="default"/>
      </w:rPr>
    </w:lvl>
    <w:lvl w:ilvl="3" w:tplc="04060001">
      <w:start w:val="1"/>
      <w:numFmt w:val="bullet"/>
      <w:lvlText w:val=""/>
      <w:lvlJc w:val="left"/>
      <w:pPr>
        <w:ind w:left="9449" w:hanging="360"/>
      </w:pPr>
      <w:rPr>
        <w:rFonts w:ascii="Symbol" w:hAnsi="Symbol" w:hint="default"/>
      </w:rPr>
    </w:lvl>
    <w:lvl w:ilvl="4" w:tplc="04060003">
      <w:start w:val="1"/>
      <w:numFmt w:val="bullet"/>
      <w:lvlText w:val="o"/>
      <w:lvlJc w:val="left"/>
      <w:pPr>
        <w:ind w:left="10169" w:hanging="360"/>
      </w:pPr>
      <w:rPr>
        <w:rFonts w:ascii="Courier New" w:hAnsi="Courier New" w:cs="Courier New" w:hint="default"/>
      </w:rPr>
    </w:lvl>
    <w:lvl w:ilvl="5" w:tplc="04060005" w:tentative="1">
      <w:start w:val="1"/>
      <w:numFmt w:val="bullet"/>
      <w:lvlText w:val=""/>
      <w:lvlJc w:val="left"/>
      <w:pPr>
        <w:ind w:left="10889" w:hanging="360"/>
      </w:pPr>
      <w:rPr>
        <w:rFonts w:ascii="Wingdings" w:hAnsi="Wingdings" w:hint="default"/>
      </w:rPr>
    </w:lvl>
    <w:lvl w:ilvl="6" w:tplc="04060001" w:tentative="1">
      <w:start w:val="1"/>
      <w:numFmt w:val="bullet"/>
      <w:lvlText w:val=""/>
      <w:lvlJc w:val="left"/>
      <w:pPr>
        <w:ind w:left="11609" w:hanging="360"/>
      </w:pPr>
      <w:rPr>
        <w:rFonts w:ascii="Symbol" w:hAnsi="Symbol" w:hint="default"/>
      </w:rPr>
    </w:lvl>
    <w:lvl w:ilvl="7" w:tplc="04060003" w:tentative="1">
      <w:start w:val="1"/>
      <w:numFmt w:val="bullet"/>
      <w:lvlText w:val="o"/>
      <w:lvlJc w:val="left"/>
      <w:pPr>
        <w:ind w:left="12329" w:hanging="360"/>
      </w:pPr>
      <w:rPr>
        <w:rFonts w:ascii="Courier New" w:hAnsi="Courier New" w:cs="Courier New" w:hint="default"/>
      </w:rPr>
    </w:lvl>
    <w:lvl w:ilvl="8" w:tplc="04060005" w:tentative="1">
      <w:start w:val="1"/>
      <w:numFmt w:val="bullet"/>
      <w:lvlText w:val=""/>
      <w:lvlJc w:val="left"/>
      <w:pPr>
        <w:ind w:left="13049" w:hanging="360"/>
      </w:pPr>
      <w:rPr>
        <w:rFonts w:ascii="Wingdings" w:hAnsi="Wingdings" w:hint="default"/>
      </w:rPr>
    </w:lvl>
  </w:abstractNum>
  <w:abstractNum w:abstractNumId="34">
    <w:nsid w:val="6E690AB1"/>
    <w:multiLevelType w:val="hybridMultilevel"/>
    <w:tmpl w:val="A8B48E14"/>
    <w:lvl w:ilvl="0" w:tplc="0F2421E8">
      <w:start w:val="1"/>
      <w:numFmt w:val="bullet"/>
      <w:lvlText w:val=""/>
      <w:lvlJc w:val="left"/>
      <w:pPr>
        <w:tabs>
          <w:tab w:val="num" w:pos="720"/>
        </w:tabs>
        <w:ind w:left="720" w:hanging="360"/>
      </w:pPr>
      <w:rPr>
        <w:rFonts w:ascii="Symbol" w:hAnsi="Symbol" w:hint="default"/>
      </w:rPr>
    </w:lvl>
    <w:lvl w:ilvl="1" w:tplc="29FE4EC0" w:tentative="1">
      <w:start w:val="1"/>
      <w:numFmt w:val="bullet"/>
      <w:lvlText w:val=""/>
      <w:lvlJc w:val="left"/>
      <w:pPr>
        <w:tabs>
          <w:tab w:val="num" w:pos="1440"/>
        </w:tabs>
        <w:ind w:left="1440" w:hanging="360"/>
      </w:pPr>
      <w:rPr>
        <w:rFonts w:ascii="Symbol" w:hAnsi="Symbol" w:hint="default"/>
      </w:rPr>
    </w:lvl>
    <w:lvl w:ilvl="2" w:tplc="A3E2B1AA" w:tentative="1">
      <w:start w:val="1"/>
      <w:numFmt w:val="bullet"/>
      <w:lvlText w:val=""/>
      <w:lvlJc w:val="left"/>
      <w:pPr>
        <w:tabs>
          <w:tab w:val="num" w:pos="2160"/>
        </w:tabs>
        <w:ind w:left="2160" w:hanging="360"/>
      </w:pPr>
      <w:rPr>
        <w:rFonts w:ascii="Symbol" w:hAnsi="Symbol" w:hint="default"/>
      </w:rPr>
    </w:lvl>
    <w:lvl w:ilvl="3" w:tplc="64F8D80A" w:tentative="1">
      <w:start w:val="1"/>
      <w:numFmt w:val="bullet"/>
      <w:lvlText w:val=""/>
      <w:lvlJc w:val="left"/>
      <w:pPr>
        <w:tabs>
          <w:tab w:val="num" w:pos="2880"/>
        </w:tabs>
        <w:ind w:left="2880" w:hanging="360"/>
      </w:pPr>
      <w:rPr>
        <w:rFonts w:ascii="Symbol" w:hAnsi="Symbol" w:hint="default"/>
      </w:rPr>
    </w:lvl>
    <w:lvl w:ilvl="4" w:tplc="7612EC8A" w:tentative="1">
      <w:start w:val="1"/>
      <w:numFmt w:val="bullet"/>
      <w:lvlText w:val=""/>
      <w:lvlJc w:val="left"/>
      <w:pPr>
        <w:tabs>
          <w:tab w:val="num" w:pos="3600"/>
        </w:tabs>
        <w:ind w:left="3600" w:hanging="360"/>
      </w:pPr>
      <w:rPr>
        <w:rFonts w:ascii="Symbol" w:hAnsi="Symbol" w:hint="default"/>
      </w:rPr>
    </w:lvl>
    <w:lvl w:ilvl="5" w:tplc="01A8EF8A" w:tentative="1">
      <w:start w:val="1"/>
      <w:numFmt w:val="bullet"/>
      <w:lvlText w:val=""/>
      <w:lvlJc w:val="left"/>
      <w:pPr>
        <w:tabs>
          <w:tab w:val="num" w:pos="4320"/>
        </w:tabs>
        <w:ind w:left="4320" w:hanging="360"/>
      </w:pPr>
      <w:rPr>
        <w:rFonts w:ascii="Symbol" w:hAnsi="Symbol" w:hint="default"/>
      </w:rPr>
    </w:lvl>
    <w:lvl w:ilvl="6" w:tplc="04B4B902" w:tentative="1">
      <w:start w:val="1"/>
      <w:numFmt w:val="bullet"/>
      <w:lvlText w:val=""/>
      <w:lvlJc w:val="left"/>
      <w:pPr>
        <w:tabs>
          <w:tab w:val="num" w:pos="5040"/>
        </w:tabs>
        <w:ind w:left="5040" w:hanging="360"/>
      </w:pPr>
      <w:rPr>
        <w:rFonts w:ascii="Symbol" w:hAnsi="Symbol" w:hint="default"/>
      </w:rPr>
    </w:lvl>
    <w:lvl w:ilvl="7" w:tplc="30FCA2E4" w:tentative="1">
      <w:start w:val="1"/>
      <w:numFmt w:val="bullet"/>
      <w:lvlText w:val=""/>
      <w:lvlJc w:val="left"/>
      <w:pPr>
        <w:tabs>
          <w:tab w:val="num" w:pos="5760"/>
        </w:tabs>
        <w:ind w:left="5760" w:hanging="360"/>
      </w:pPr>
      <w:rPr>
        <w:rFonts w:ascii="Symbol" w:hAnsi="Symbol" w:hint="default"/>
      </w:rPr>
    </w:lvl>
    <w:lvl w:ilvl="8" w:tplc="B2306CA0" w:tentative="1">
      <w:start w:val="1"/>
      <w:numFmt w:val="bullet"/>
      <w:lvlText w:val=""/>
      <w:lvlJc w:val="left"/>
      <w:pPr>
        <w:tabs>
          <w:tab w:val="num" w:pos="6480"/>
        </w:tabs>
        <w:ind w:left="6480" w:hanging="360"/>
      </w:pPr>
      <w:rPr>
        <w:rFonts w:ascii="Symbol" w:hAnsi="Symbol" w:hint="default"/>
      </w:rPr>
    </w:lvl>
  </w:abstractNum>
  <w:abstractNum w:abstractNumId="35">
    <w:nsid w:val="6E7312A0"/>
    <w:multiLevelType w:val="hybridMultilevel"/>
    <w:tmpl w:val="49B4DCA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nsid w:val="74CD37DB"/>
    <w:multiLevelType w:val="hybridMultilevel"/>
    <w:tmpl w:val="0448A62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nsid w:val="765F5D16"/>
    <w:multiLevelType w:val="hybridMultilevel"/>
    <w:tmpl w:val="BB6EF8FA"/>
    <w:lvl w:ilvl="0" w:tplc="0406000F">
      <w:start w:val="1"/>
      <w:numFmt w:val="decimal"/>
      <w:lvlText w:val="%1."/>
      <w:lvlJc w:val="left"/>
      <w:pPr>
        <w:ind w:left="720" w:hanging="360"/>
      </w:pPr>
      <w:rPr>
        <w:rFonts w:hint="default"/>
        <w:i w:val="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8">
    <w:nsid w:val="78FC2583"/>
    <w:multiLevelType w:val="hybridMultilevel"/>
    <w:tmpl w:val="824039C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nsid w:val="7BC33136"/>
    <w:multiLevelType w:val="hybridMultilevel"/>
    <w:tmpl w:val="598E1DF4"/>
    <w:lvl w:ilvl="0" w:tplc="04060001">
      <w:start w:val="1"/>
      <w:numFmt w:val="bullet"/>
      <w:lvlText w:val=""/>
      <w:lvlJc w:val="left"/>
      <w:pPr>
        <w:ind w:left="1800" w:hanging="360"/>
      </w:pPr>
      <w:rPr>
        <w:rFonts w:ascii="Symbol" w:hAnsi="Symbol" w:hint="default"/>
      </w:rPr>
    </w:lvl>
    <w:lvl w:ilvl="1" w:tplc="04060003" w:tentative="1">
      <w:start w:val="1"/>
      <w:numFmt w:val="bullet"/>
      <w:lvlText w:val="o"/>
      <w:lvlJc w:val="left"/>
      <w:pPr>
        <w:ind w:left="2520" w:hanging="360"/>
      </w:pPr>
      <w:rPr>
        <w:rFonts w:ascii="Courier New" w:hAnsi="Courier New" w:cs="Courier New" w:hint="default"/>
      </w:rPr>
    </w:lvl>
    <w:lvl w:ilvl="2" w:tplc="04060005" w:tentative="1">
      <w:start w:val="1"/>
      <w:numFmt w:val="bullet"/>
      <w:lvlText w:val=""/>
      <w:lvlJc w:val="left"/>
      <w:pPr>
        <w:ind w:left="3240" w:hanging="360"/>
      </w:pPr>
      <w:rPr>
        <w:rFonts w:ascii="Wingdings" w:hAnsi="Wingdings" w:hint="default"/>
      </w:rPr>
    </w:lvl>
    <w:lvl w:ilvl="3" w:tplc="04060001" w:tentative="1">
      <w:start w:val="1"/>
      <w:numFmt w:val="bullet"/>
      <w:lvlText w:val=""/>
      <w:lvlJc w:val="left"/>
      <w:pPr>
        <w:ind w:left="3960" w:hanging="360"/>
      </w:pPr>
      <w:rPr>
        <w:rFonts w:ascii="Symbol" w:hAnsi="Symbol" w:hint="default"/>
      </w:rPr>
    </w:lvl>
    <w:lvl w:ilvl="4" w:tplc="04060003" w:tentative="1">
      <w:start w:val="1"/>
      <w:numFmt w:val="bullet"/>
      <w:lvlText w:val="o"/>
      <w:lvlJc w:val="left"/>
      <w:pPr>
        <w:ind w:left="4680" w:hanging="360"/>
      </w:pPr>
      <w:rPr>
        <w:rFonts w:ascii="Courier New" w:hAnsi="Courier New" w:cs="Courier New" w:hint="default"/>
      </w:rPr>
    </w:lvl>
    <w:lvl w:ilvl="5" w:tplc="04060005" w:tentative="1">
      <w:start w:val="1"/>
      <w:numFmt w:val="bullet"/>
      <w:lvlText w:val=""/>
      <w:lvlJc w:val="left"/>
      <w:pPr>
        <w:ind w:left="5400" w:hanging="360"/>
      </w:pPr>
      <w:rPr>
        <w:rFonts w:ascii="Wingdings" w:hAnsi="Wingdings" w:hint="default"/>
      </w:rPr>
    </w:lvl>
    <w:lvl w:ilvl="6" w:tplc="04060001" w:tentative="1">
      <w:start w:val="1"/>
      <w:numFmt w:val="bullet"/>
      <w:lvlText w:val=""/>
      <w:lvlJc w:val="left"/>
      <w:pPr>
        <w:ind w:left="6120" w:hanging="360"/>
      </w:pPr>
      <w:rPr>
        <w:rFonts w:ascii="Symbol" w:hAnsi="Symbol" w:hint="default"/>
      </w:rPr>
    </w:lvl>
    <w:lvl w:ilvl="7" w:tplc="04060003" w:tentative="1">
      <w:start w:val="1"/>
      <w:numFmt w:val="bullet"/>
      <w:lvlText w:val="o"/>
      <w:lvlJc w:val="left"/>
      <w:pPr>
        <w:ind w:left="6840" w:hanging="360"/>
      </w:pPr>
      <w:rPr>
        <w:rFonts w:ascii="Courier New" w:hAnsi="Courier New" w:cs="Courier New" w:hint="default"/>
      </w:rPr>
    </w:lvl>
    <w:lvl w:ilvl="8" w:tplc="04060005" w:tentative="1">
      <w:start w:val="1"/>
      <w:numFmt w:val="bullet"/>
      <w:lvlText w:val=""/>
      <w:lvlJc w:val="left"/>
      <w:pPr>
        <w:ind w:left="7560" w:hanging="360"/>
      </w:pPr>
      <w:rPr>
        <w:rFonts w:ascii="Wingdings" w:hAnsi="Wingdings" w:hint="default"/>
      </w:rPr>
    </w:lvl>
  </w:abstractNum>
  <w:abstractNum w:abstractNumId="40">
    <w:nsid w:val="7C7742E7"/>
    <w:multiLevelType w:val="hybridMultilevel"/>
    <w:tmpl w:val="C4C412FE"/>
    <w:lvl w:ilvl="0" w:tplc="2886F690">
      <w:start w:val="3"/>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1">
    <w:nsid w:val="7CC85398"/>
    <w:multiLevelType w:val="hybridMultilevel"/>
    <w:tmpl w:val="73701EF4"/>
    <w:lvl w:ilvl="0" w:tplc="AE241F52">
      <w:start w:val="4"/>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37"/>
  </w:num>
  <w:num w:numId="2">
    <w:abstractNumId w:val="19"/>
  </w:num>
  <w:num w:numId="3">
    <w:abstractNumId w:val="32"/>
  </w:num>
  <w:num w:numId="4">
    <w:abstractNumId w:val="21"/>
  </w:num>
  <w:num w:numId="5">
    <w:abstractNumId w:val="9"/>
  </w:num>
  <w:num w:numId="6">
    <w:abstractNumId w:val="22"/>
  </w:num>
  <w:num w:numId="7">
    <w:abstractNumId w:val="7"/>
  </w:num>
  <w:num w:numId="8">
    <w:abstractNumId w:val="6"/>
  </w:num>
  <w:num w:numId="9">
    <w:abstractNumId w:val="34"/>
  </w:num>
  <w:num w:numId="10">
    <w:abstractNumId w:val="10"/>
  </w:num>
  <w:num w:numId="11">
    <w:abstractNumId w:val="35"/>
  </w:num>
  <w:num w:numId="12">
    <w:abstractNumId w:val="25"/>
  </w:num>
  <w:num w:numId="13">
    <w:abstractNumId w:val="28"/>
  </w:num>
  <w:num w:numId="14">
    <w:abstractNumId w:val="8"/>
  </w:num>
  <w:num w:numId="15">
    <w:abstractNumId w:val="5"/>
  </w:num>
  <w:num w:numId="16">
    <w:abstractNumId w:val="12"/>
  </w:num>
  <w:num w:numId="17">
    <w:abstractNumId w:val="33"/>
  </w:num>
  <w:num w:numId="18">
    <w:abstractNumId w:val="20"/>
  </w:num>
  <w:num w:numId="19">
    <w:abstractNumId w:val="1"/>
  </w:num>
  <w:num w:numId="20">
    <w:abstractNumId w:val="15"/>
  </w:num>
  <w:num w:numId="21">
    <w:abstractNumId w:val="17"/>
  </w:num>
  <w:num w:numId="22">
    <w:abstractNumId w:val="24"/>
  </w:num>
  <w:num w:numId="23">
    <w:abstractNumId w:val="29"/>
  </w:num>
  <w:num w:numId="24">
    <w:abstractNumId w:val="31"/>
  </w:num>
  <w:num w:numId="25">
    <w:abstractNumId w:val="26"/>
  </w:num>
  <w:num w:numId="26">
    <w:abstractNumId w:val="27"/>
  </w:num>
  <w:num w:numId="27">
    <w:abstractNumId w:val="14"/>
  </w:num>
  <w:num w:numId="28">
    <w:abstractNumId w:val="11"/>
  </w:num>
  <w:num w:numId="29">
    <w:abstractNumId w:val="23"/>
  </w:num>
  <w:num w:numId="30">
    <w:abstractNumId w:val="16"/>
  </w:num>
  <w:num w:numId="31">
    <w:abstractNumId w:val="40"/>
  </w:num>
  <w:num w:numId="32">
    <w:abstractNumId w:val="30"/>
  </w:num>
  <w:num w:numId="33">
    <w:abstractNumId w:val="3"/>
  </w:num>
  <w:num w:numId="34">
    <w:abstractNumId w:val="41"/>
  </w:num>
  <w:num w:numId="35">
    <w:abstractNumId w:val="18"/>
  </w:num>
  <w:num w:numId="36">
    <w:abstractNumId w:val="38"/>
  </w:num>
  <w:num w:numId="37">
    <w:abstractNumId w:val="0"/>
  </w:num>
  <w:num w:numId="38">
    <w:abstractNumId w:val="39"/>
  </w:num>
  <w:num w:numId="39">
    <w:abstractNumId w:val="13"/>
  </w:num>
  <w:num w:numId="40">
    <w:abstractNumId w:val="2"/>
  </w:num>
  <w:num w:numId="41">
    <w:abstractNumId w:val="4"/>
  </w:num>
  <w:num w:numId="42">
    <w:abstractNumId w:val="36"/>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ilmar Ogmundsson">
    <w15:presenceInfo w15:providerId="AD" w15:userId="S-1-5-21-704993628-2552359410-1315452390-3240"/>
  </w15:person>
  <w15:person w15:author="Thomas Rassing">
    <w15:presenceInfo w15:providerId="None" w15:userId="Thomas Rassing"/>
  </w15:person>
  <w15:person w15:author="Thomas Rassing [2]">
    <w15:presenceInfo w15:providerId="AD" w15:userId="S-1-5-21-704993628-2552359410-1315452390-188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58A8"/>
    <w:rsid w:val="00017ED7"/>
    <w:rsid w:val="000213F9"/>
    <w:rsid w:val="0002199E"/>
    <w:rsid w:val="00034232"/>
    <w:rsid w:val="0004046C"/>
    <w:rsid w:val="00044871"/>
    <w:rsid w:val="00052BF8"/>
    <w:rsid w:val="000557E1"/>
    <w:rsid w:val="000817C5"/>
    <w:rsid w:val="00086C8D"/>
    <w:rsid w:val="00090B91"/>
    <w:rsid w:val="000948DF"/>
    <w:rsid w:val="00094F4D"/>
    <w:rsid w:val="000954D1"/>
    <w:rsid w:val="000A073E"/>
    <w:rsid w:val="000A1479"/>
    <w:rsid w:val="000B2D2F"/>
    <w:rsid w:val="000B313B"/>
    <w:rsid w:val="000C13C8"/>
    <w:rsid w:val="000C5B7D"/>
    <w:rsid w:val="000D106C"/>
    <w:rsid w:val="000D66C3"/>
    <w:rsid w:val="000E1FCF"/>
    <w:rsid w:val="000E21F7"/>
    <w:rsid w:val="000E7129"/>
    <w:rsid w:val="000F33C2"/>
    <w:rsid w:val="000F567E"/>
    <w:rsid w:val="0011218F"/>
    <w:rsid w:val="00116B60"/>
    <w:rsid w:val="001241AC"/>
    <w:rsid w:val="00134EA5"/>
    <w:rsid w:val="00140430"/>
    <w:rsid w:val="00142C1C"/>
    <w:rsid w:val="00157010"/>
    <w:rsid w:val="00157A5F"/>
    <w:rsid w:val="0016019B"/>
    <w:rsid w:val="00171E26"/>
    <w:rsid w:val="001821A6"/>
    <w:rsid w:val="00182BD5"/>
    <w:rsid w:val="001837F4"/>
    <w:rsid w:val="00186A2B"/>
    <w:rsid w:val="001A5185"/>
    <w:rsid w:val="001A6893"/>
    <w:rsid w:val="001B19F0"/>
    <w:rsid w:val="001B36FA"/>
    <w:rsid w:val="001C553E"/>
    <w:rsid w:val="001D7691"/>
    <w:rsid w:val="002169DD"/>
    <w:rsid w:val="00244420"/>
    <w:rsid w:val="00246E42"/>
    <w:rsid w:val="002512C9"/>
    <w:rsid w:val="0025148F"/>
    <w:rsid w:val="00260E06"/>
    <w:rsid w:val="00265445"/>
    <w:rsid w:val="002654D2"/>
    <w:rsid w:val="00267DF5"/>
    <w:rsid w:val="002705D0"/>
    <w:rsid w:val="00274ACC"/>
    <w:rsid w:val="00276261"/>
    <w:rsid w:val="00286ABB"/>
    <w:rsid w:val="002920BD"/>
    <w:rsid w:val="00295A5F"/>
    <w:rsid w:val="00296D5B"/>
    <w:rsid w:val="002A143C"/>
    <w:rsid w:val="002A19F6"/>
    <w:rsid w:val="002A7D45"/>
    <w:rsid w:val="002C3D24"/>
    <w:rsid w:val="002C6BB7"/>
    <w:rsid w:val="002D73F4"/>
    <w:rsid w:val="002E4A2E"/>
    <w:rsid w:val="002E6AEA"/>
    <w:rsid w:val="002E7801"/>
    <w:rsid w:val="002F1476"/>
    <w:rsid w:val="002F2B0F"/>
    <w:rsid w:val="002F52B3"/>
    <w:rsid w:val="00311F08"/>
    <w:rsid w:val="00317070"/>
    <w:rsid w:val="00337116"/>
    <w:rsid w:val="00337A84"/>
    <w:rsid w:val="00347555"/>
    <w:rsid w:val="00350E76"/>
    <w:rsid w:val="00355FA7"/>
    <w:rsid w:val="00356119"/>
    <w:rsid w:val="0036638E"/>
    <w:rsid w:val="00372200"/>
    <w:rsid w:val="003824DB"/>
    <w:rsid w:val="00392B1B"/>
    <w:rsid w:val="003977C5"/>
    <w:rsid w:val="003A34EA"/>
    <w:rsid w:val="003A5749"/>
    <w:rsid w:val="003B42F4"/>
    <w:rsid w:val="003D18F3"/>
    <w:rsid w:val="003D6CFA"/>
    <w:rsid w:val="003E32EF"/>
    <w:rsid w:val="003F0EA0"/>
    <w:rsid w:val="00403514"/>
    <w:rsid w:val="00410DC7"/>
    <w:rsid w:val="004200B8"/>
    <w:rsid w:val="00420352"/>
    <w:rsid w:val="00426066"/>
    <w:rsid w:val="004355E6"/>
    <w:rsid w:val="00436554"/>
    <w:rsid w:val="00447696"/>
    <w:rsid w:val="00450A4D"/>
    <w:rsid w:val="0045334F"/>
    <w:rsid w:val="004567F5"/>
    <w:rsid w:val="004606ED"/>
    <w:rsid w:val="00464325"/>
    <w:rsid w:val="00470EA4"/>
    <w:rsid w:val="0049270A"/>
    <w:rsid w:val="00494073"/>
    <w:rsid w:val="0049462A"/>
    <w:rsid w:val="004A3D84"/>
    <w:rsid w:val="004B087D"/>
    <w:rsid w:val="004B4894"/>
    <w:rsid w:val="004C3252"/>
    <w:rsid w:val="004C3F2F"/>
    <w:rsid w:val="004E2407"/>
    <w:rsid w:val="004F3C24"/>
    <w:rsid w:val="00502D30"/>
    <w:rsid w:val="005045DF"/>
    <w:rsid w:val="005057C2"/>
    <w:rsid w:val="00505B1B"/>
    <w:rsid w:val="005419E9"/>
    <w:rsid w:val="00552CD3"/>
    <w:rsid w:val="00560DD0"/>
    <w:rsid w:val="0056588F"/>
    <w:rsid w:val="00577477"/>
    <w:rsid w:val="005820EA"/>
    <w:rsid w:val="0059126A"/>
    <w:rsid w:val="005B412F"/>
    <w:rsid w:val="005C0141"/>
    <w:rsid w:val="005C5EF1"/>
    <w:rsid w:val="005C6049"/>
    <w:rsid w:val="005D632C"/>
    <w:rsid w:val="005D6CA6"/>
    <w:rsid w:val="005D756E"/>
    <w:rsid w:val="005E521E"/>
    <w:rsid w:val="005E634D"/>
    <w:rsid w:val="005F521C"/>
    <w:rsid w:val="00600EF5"/>
    <w:rsid w:val="00601970"/>
    <w:rsid w:val="00614B49"/>
    <w:rsid w:val="006170BE"/>
    <w:rsid w:val="0062335E"/>
    <w:rsid w:val="006271E7"/>
    <w:rsid w:val="00632F35"/>
    <w:rsid w:val="00650CBA"/>
    <w:rsid w:val="00653DCA"/>
    <w:rsid w:val="00653E35"/>
    <w:rsid w:val="0066362B"/>
    <w:rsid w:val="00665149"/>
    <w:rsid w:val="006672DC"/>
    <w:rsid w:val="00672E5A"/>
    <w:rsid w:val="00687680"/>
    <w:rsid w:val="006A0019"/>
    <w:rsid w:val="006A1046"/>
    <w:rsid w:val="006E5468"/>
    <w:rsid w:val="006F2B23"/>
    <w:rsid w:val="0070046C"/>
    <w:rsid w:val="007040F0"/>
    <w:rsid w:val="0071380F"/>
    <w:rsid w:val="00713BFE"/>
    <w:rsid w:val="00717225"/>
    <w:rsid w:val="00736730"/>
    <w:rsid w:val="007479AF"/>
    <w:rsid w:val="0075698C"/>
    <w:rsid w:val="0076695F"/>
    <w:rsid w:val="007741F2"/>
    <w:rsid w:val="00776903"/>
    <w:rsid w:val="00780D89"/>
    <w:rsid w:val="00795E45"/>
    <w:rsid w:val="00796EC5"/>
    <w:rsid w:val="007A3050"/>
    <w:rsid w:val="007A7459"/>
    <w:rsid w:val="007B00F0"/>
    <w:rsid w:val="007B2C52"/>
    <w:rsid w:val="007D3413"/>
    <w:rsid w:val="007D3C9D"/>
    <w:rsid w:val="007D6F28"/>
    <w:rsid w:val="007E226E"/>
    <w:rsid w:val="007E4AD6"/>
    <w:rsid w:val="007E7FC0"/>
    <w:rsid w:val="007F6399"/>
    <w:rsid w:val="007F6B26"/>
    <w:rsid w:val="00805613"/>
    <w:rsid w:val="0082244B"/>
    <w:rsid w:val="00823B4D"/>
    <w:rsid w:val="008314F8"/>
    <w:rsid w:val="00834189"/>
    <w:rsid w:val="008354D4"/>
    <w:rsid w:val="00856CCE"/>
    <w:rsid w:val="00860F2B"/>
    <w:rsid w:val="0086391D"/>
    <w:rsid w:val="008763A0"/>
    <w:rsid w:val="008810C8"/>
    <w:rsid w:val="008838FD"/>
    <w:rsid w:val="00883B12"/>
    <w:rsid w:val="00895C8F"/>
    <w:rsid w:val="008A299A"/>
    <w:rsid w:val="008A5BEB"/>
    <w:rsid w:val="008A7287"/>
    <w:rsid w:val="008B3DC7"/>
    <w:rsid w:val="008C2085"/>
    <w:rsid w:val="008C604C"/>
    <w:rsid w:val="008C7A58"/>
    <w:rsid w:val="008D18C5"/>
    <w:rsid w:val="008E38C7"/>
    <w:rsid w:val="008F3CFF"/>
    <w:rsid w:val="008F6E39"/>
    <w:rsid w:val="0090276F"/>
    <w:rsid w:val="009075F6"/>
    <w:rsid w:val="00917286"/>
    <w:rsid w:val="009253C9"/>
    <w:rsid w:val="0093374A"/>
    <w:rsid w:val="009432F5"/>
    <w:rsid w:val="00944FDF"/>
    <w:rsid w:val="00954CCD"/>
    <w:rsid w:val="009562D2"/>
    <w:rsid w:val="009612C5"/>
    <w:rsid w:val="009635DA"/>
    <w:rsid w:val="00965CFE"/>
    <w:rsid w:val="009869D9"/>
    <w:rsid w:val="00996AD1"/>
    <w:rsid w:val="009A6CD7"/>
    <w:rsid w:val="009A7656"/>
    <w:rsid w:val="009A7895"/>
    <w:rsid w:val="009A795A"/>
    <w:rsid w:val="009B335E"/>
    <w:rsid w:val="009C03FA"/>
    <w:rsid w:val="009C61E6"/>
    <w:rsid w:val="009D4D33"/>
    <w:rsid w:val="009E32D5"/>
    <w:rsid w:val="009F527A"/>
    <w:rsid w:val="00A02292"/>
    <w:rsid w:val="00A067E2"/>
    <w:rsid w:val="00A07266"/>
    <w:rsid w:val="00A114E8"/>
    <w:rsid w:val="00A16343"/>
    <w:rsid w:val="00A17726"/>
    <w:rsid w:val="00A2080B"/>
    <w:rsid w:val="00A240B2"/>
    <w:rsid w:val="00A24670"/>
    <w:rsid w:val="00A46D70"/>
    <w:rsid w:val="00A5027D"/>
    <w:rsid w:val="00A612A8"/>
    <w:rsid w:val="00A6525D"/>
    <w:rsid w:val="00A66A01"/>
    <w:rsid w:val="00A724B7"/>
    <w:rsid w:val="00A83774"/>
    <w:rsid w:val="00A90861"/>
    <w:rsid w:val="00A96502"/>
    <w:rsid w:val="00A96A62"/>
    <w:rsid w:val="00A975E5"/>
    <w:rsid w:val="00AA0826"/>
    <w:rsid w:val="00AA4A90"/>
    <w:rsid w:val="00AB0572"/>
    <w:rsid w:val="00AB2953"/>
    <w:rsid w:val="00AB64E9"/>
    <w:rsid w:val="00AC15B2"/>
    <w:rsid w:val="00AC2809"/>
    <w:rsid w:val="00AC4CA4"/>
    <w:rsid w:val="00B15540"/>
    <w:rsid w:val="00B15D1E"/>
    <w:rsid w:val="00B2331E"/>
    <w:rsid w:val="00B2486F"/>
    <w:rsid w:val="00B24CBC"/>
    <w:rsid w:val="00B26396"/>
    <w:rsid w:val="00B27611"/>
    <w:rsid w:val="00B3065A"/>
    <w:rsid w:val="00B45BA0"/>
    <w:rsid w:val="00B6148F"/>
    <w:rsid w:val="00B66674"/>
    <w:rsid w:val="00B66733"/>
    <w:rsid w:val="00BA1DCD"/>
    <w:rsid w:val="00BA3A97"/>
    <w:rsid w:val="00BB18CC"/>
    <w:rsid w:val="00BB375D"/>
    <w:rsid w:val="00BC196B"/>
    <w:rsid w:val="00BC20BA"/>
    <w:rsid w:val="00BD13F3"/>
    <w:rsid w:val="00BD7DD0"/>
    <w:rsid w:val="00BF34FF"/>
    <w:rsid w:val="00C1014B"/>
    <w:rsid w:val="00C1040C"/>
    <w:rsid w:val="00C22AF1"/>
    <w:rsid w:val="00C25433"/>
    <w:rsid w:val="00C34E4D"/>
    <w:rsid w:val="00C35CDB"/>
    <w:rsid w:val="00C414C7"/>
    <w:rsid w:val="00C550F1"/>
    <w:rsid w:val="00C733D6"/>
    <w:rsid w:val="00C82119"/>
    <w:rsid w:val="00C95EC1"/>
    <w:rsid w:val="00CB4A14"/>
    <w:rsid w:val="00CC1CF8"/>
    <w:rsid w:val="00CD5F8E"/>
    <w:rsid w:val="00CD7A56"/>
    <w:rsid w:val="00CE2253"/>
    <w:rsid w:val="00CE452E"/>
    <w:rsid w:val="00CE4783"/>
    <w:rsid w:val="00CE52F7"/>
    <w:rsid w:val="00CF17A9"/>
    <w:rsid w:val="00D03A02"/>
    <w:rsid w:val="00D1211E"/>
    <w:rsid w:val="00D123B5"/>
    <w:rsid w:val="00D21F83"/>
    <w:rsid w:val="00D315A6"/>
    <w:rsid w:val="00D31781"/>
    <w:rsid w:val="00D357EE"/>
    <w:rsid w:val="00D50CE9"/>
    <w:rsid w:val="00D56BB7"/>
    <w:rsid w:val="00D6262D"/>
    <w:rsid w:val="00D645A5"/>
    <w:rsid w:val="00D71120"/>
    <w:rsid w:val="00DB05F5"/>
    <w:rsid w:val="00DB1104"/>
    <w:rsid w:val="00DE33B9"/>
    <w:rsid w:val="00DE58A8"/>
    <w:rsid w:val="00E0100D"/>
    <w:rsid w:val="00E0531E"/>
    <w:rsid w:val="00E05E1E"/>
    <w:rsid w:val="00E109A3"/>
    <w:rsid w:val="00E126F7"/>
    <w:rsid w:val="00E15325"/>
    <w:rsid w:val="00E359D8"/>
    <w:rsid w:val="00E37951"/>
    <w:rsid w:val="00E44F32"/>
    <w:rsid w:val="00E45C76"/>
    <w:rsid w:val="00E5184C"/>
    <w:rsid w:val="00E55118"/>
    <w:rsid w:val="00E565BD"/>
    <w:rsid w:val="00E657BA"/>
    <w:rsid w:val="00E751DF"/>
    <w:rsid w:val="00E960C0"/>
    <w:rsid w:val="00EB6D4C"/>
    <w:rsid w:val="00EC3996"/>
    <w:rsid w:val="00EC3C48"/>
    <w:rsid w:val="00ED2282"/>
    <w:rsid w:val="00ED356B"/>
    <w:rsid w:val="00ED5FBC"/>
    <w:rsid w:val="00EF19C5"/>
    <w:rsid w:val="00F06EB0"/>
    <w:rsid w:val="00F071B9"/>
    <w:rsid w:val="00F1376F"/>
    <w:rsid w:val="00F13D83"/>
    <w:rsid w:val="00F2031C"/>
    <w:rsid w:val="00F26557"/>
    <w:rsid w:val="00F26A33"/>
    <w:rsid w:val="00F344D0"/>
    <w:rsid w:val="00F4171D"/>
    <w:rsid w:val="00F6665B"/>
    <w:rsid w:val="00F67E74"/>
    <w:rsid w:val="00F70D91"/>
    <w:rsid w:val="00F80E76"/>
    <w:rsid w:val="00F810DF"/>
    <w:rsid w:val="00FD6ED5"/>
    <w:rsid w:val="00FE4319"/>
    <w:rsid w:val="00FE50B7"/>
    <w:rsid w:val="00FF18A1"/>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58A8"/>
    <w:rPr>
      <w:rFonts w:ascii="Calibri" w:eastAsia="Calibri" w:hAnsi="Calibri" w:cs="Times New Roman"/>
    </w:rPr>
  </w:style>
  <w:style w:type="paragraph" w:styleId="Overskrift2">
    <w:name w:val="heading 2"/>
    <w:basedOn w:val="Normal"/>
    <w:link w:val="Overskrift2Tegn"/>
    <w:qFormat/>
    <w:rsid w:val="007A7459"/>
    <w:pPr>
      <w:spacing w:before="100" w:beforeAutospacing="1" w:after="100" w:afterAutospacing="1" w:line="240" w:lineRule="auto"/>
      <w:outlineLvl w:val="1"/>
    </w:pPr>
    <w:rPr>
      <w:rFonts w:ascii="Times New Roman" w:eastAsia="Times New Roman" w:hAnsi="Times New Roman"/>
      <w:b/>
      <w:bCs/>
      <w:sz w:val="36"/>
      <w:szCs w:val="36"/>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Svagfremhvning">
    <w:name w:val="Subtle Emphasis"/>
    <w:basedOn w:val="Standardskrifttypeiafsnit"/>
    <w:uiPriority w:val="19"/>
    <w:qFormat/>
    <w:rsid w:val="00DE58A8"/>
    <w:rPr>
      <w:i/>
      <w:iCs/>
      <w:color w:val="808080" w:themeColor="text1" w:themeTint="7F"/>
    </w:rPr>
  </w:style>
  <w:style w:type="character" w:styleId="Kommentarhenvisning">
    <w:name w:val="annotation reference"/>
    <w:basedOn w:val="Standardskrifttypeiafsnit"/>
    <w:uiPriority w:val="99"/>
    <w:semiHidden/>
    <w:unhideWhenUsed/>
    <w:rsid w:val="00AB2953"/>
    <w:rPr>
      <w:sz w:val="16"/>
      <w:szCs w:val="16"/>
    </w:rPr>
  </w:style>
  <w:style w:type="paragraph" w:styleId="Kommentartekst">
    <w:name w:val="annotation text"/>
    <w:basedOn w:val="Normal"/>
    <w:link w:val="KommentartekstTegn"/>
    <w:uiPriority w:val="99"/>
    <w:unhideWhenUsed/>
    <w:rsid w:val="00AB2953"/>
    <w:pPr>
      <w:spacing w:line="240" w:lineRule="auto"/>
    </w:pPr>
    <w:rPr>
      <w:sz w:val="20"/>
      <w:szCs w:val="20"/>
    </w:rPr>
  </w:style>
  <w:style w:type="character" w:customStyle="1" w:styleId="KommentartekstTegn">
    <w:name w:val="Kommentartekst Tegn"/>
    <w:basedOn w:val="Standardskrifttypeiafsnit"/>
    <w:link w:val="Kommentartekst"/>
    <w:uiPriority w:val="99"/>
    <w:rsid w:val="00AB2953"/>
    <w:rPr>
      <w:rFonts w:ascii="Calibri" w:eastAsia="Calibri" w:hAnsi="Calibri" w:cs="Times New Roman"/>
      <w:sz w:val="20"/>
      <w:szCs w:val="20"/>
    </w:rPr>
  </w:style>
  <w:style w:type="paragraph" w:styleId="Kommentaremne">
    <w:name w:val="annotation subject"/>
    <w:basedOn w:val="Kommentartekst"/>
    <w:next w:val="Kommentartekst"/>
    <w:link w:val="KommentaremneTegn"/>
    <w:uiPriority w:val="99"/>
    <w:semiHidden/>
    <w:unhideWhenUsed/>
    <w:rsid w:val="00AB2953"/>
    <w:rPr>
      <w:b/>
      <w:bCs/>
    </w:rPr>
  </w:style>
  <w:style w:type="character" w:customStyle="1" w:styleId="KommentaremneTegn">
    <w:name w:val="Kommentaremne Tegn"/>
    <w:basedOn w:val="KommentartekstTegn"/>
    <w:link w:val="Kommentaremne"/>
    <w:uiPriority w:val="99"/>
    <w:semiHidden/>
    <w:rsid w:val="00AB2953"/>
    <w:rPr>
      <w:rFonts w:ascii="Calibri" w:eastAsia="Calibri" w:hAnsi="Calibri" w:cs="Times New Roman"/>
      <w:b/>
      <w:bCs/>
      <w:sz w:val="20"/>
      <w:szCs w:val="20"/>
    </w:rPr>
  </w:style>
  <w:style w:type="paragraph" w:styleId="Markeringsbobletekst">
    <w:name w:val="Balloon Text"/>
    <w:basedOn w:val="Normal"/>
    <w:link w:val="MarkeringsbobletekstTegn"/>
    <w:uiPriority w:val="99"/>
    <w:semiHidden/>
    <w:unhideWhenUsed/>
    <w:rsid w:val="00AB2953"/>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AB2953"/>
    <w:rPr>
      <w:rFonts w:ascii="Segoe UI" w:eastAsia="Calibri" w:hAnsi="Segoe UI" w:cs="Segoe UI"/>
      <w:sz w:val="18"/>
      <w:szCs w:val="18"/>
    </w:rPr>
  </w:style>
  <w:style w:type="paragraph" w:styleId="Sidehoved">
    <w:name w:val="header"/>
    <w:basedOn w:val="Normal"/>
    <w:link w:val="SidehovedTegn"/>
    <w:uiPriority w:val="99"/>
    <w:unhideWhenUsed/>
    <w:rsid w:val="008F3CFF"/>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8F3CFF"/>
    <w:rPr>
      <w:rFonts w:ascii="Calibri" w:eastAsia="Calibri" w:hAnsi="Calibri" w:cs="Times New Roman"/>
    </w:rPr>
  </w:style>
  <w:style w:type="paragraph" w:styleId="Sidefod">
    <w:name w:val="footer"/>
    <w:basedOn w:val="Normal"/>
    <w:link w:val="SidefodTegn"/>
    <w:uiPriority w:val="99"/>
    <w:unhideWhenUsed/>
    <w:rsid w:val="008F3CFF"/>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8F3CFF"/>
    <w:rPr>
      <w:rFonts w:ascii="Calibri" w:eastAsia="Calibri" w:hAnsi="Calibri" w:cs="Times New Roman"/>
    </w:rPr>
  </w:style>
  <w:style w:type="paragraph" w:styleId="Listeafsnit">
    <w:name w:val="List Paragraph"/>
    <w:basedOn w:val="Normal"/>
    <w:uiPriority w:val="34"/>
    <w:qFormat/>
    <w:rsid w:val="002705D0"/>
    <w:pPr>
      <w:spacing w:after="0" w:line="240" w:lineRule="auto"/>
      <w:ind w:left="720"/>
      <w:contextualSpacing/>
    </w:pPr>
    <w:rPr>
      <w:rFonts w:ascii="Times New Roman" w:eastAsia="Times New Roman" w:hAnsi="Times New Roman"/>
      <w:sz w:val="24"/>
      <w:szCs w:val="24"/>
      <w:lang w:eastAsia="da-DK"/>
    </w:rPr>
  </w:style>
  <w:style w:type="character" w:customStyle="1" w:styleId="Overskrift2Tegn">
    <w:name w:val="Overskrift 2 Tegn"/>
    <w:basedOn w:val="Standardskrifttypeiafsnit"/>
    <w:link w:val="Overskrift2"/>
    <w:rsid w:val="007A7459"/>
    <w:rPr>
      <w:rFonts w:ascii="Times New Roman" w:eastAsia="Times New Roman" w:hAnsi="Times New Roman" w:cs="Times New Roman"/>
      <w:b/>
      <w:bCs/>
      <w:sz w:val="36"/>
      <w:szCs w:val="36"/>
      <w:lang w:eastAsia="da-DK"/>
    </w:rPr>
  </w:style>
  <w:style w:type="character" w:styleId="Hyperlink">
    <w:name w:val="Hyperlink"/>
    <w:basedOn w:val="Standardskrifttypeiafsnit"/>
    <w:uiPriority w:val="99"/>
    <w:semiHidden/>
    <w:unhideWhenUsed/>
    <w:rsid w:val="007A7459"/>
    <w:rPr>
      <w:color w:val="0000FF"/>
      <w:u w:val="single"/>
    </w:rPr>
  </w:style>
  <w:style w:type="character" w:styleId="Fremhv">
    <w:name w:val="Emphasis"/>
    <w:basedOn w:val="Standardskrifttypeiafsnit"/>
    <w:uiPriority w:val="20"/>
    <w:qFormat/>
    <w:rsid w:val="00CB4A14"/>
    <w:rPr>
      <w:i/>
      <w:iCs/>
    </w:rPr>
  </w:style>
  <w:style w:type="paragraph" w:styleId="NormalWeb">
    <w:name w:val="Normal (Web)"/>
    <w:basedOn w:val="Normal"/>
    <w:uiPriority w:val="99"/>
    <w:semiHidden/>
    <w:unhideWhenUsed/>
    <w:rsid w:val="00505B1B"/>
    <w:pPr>
      <w:spacing w:before="100" w:beforeAutospacing="1" w:after="100" w:afterAutospacing="1" w:line="240" w:lineRule="auto"/>
    </w:pPr>
    <w:rPr>
      <w:rFonts w:ascii="Times New Roman" w:eastAsia="Times New Roman" w:hAnsi="Times New Roman"/>
      <w:sz w:val="24"/>
      <w:szCs w:val="24"/>
      <w:lang w:eastAsia="da-DK"/>
    </w:rPr>
  </w:style>
  <w:style w:type="paragraph" w:styleId="Fodnotetekst">
    <w:name w:val="footnote text"/>
    <w:basedOn w:val="Normal"/>
    <w:link w:val="FodnotetekstTegn"/>
    <w:uiPriority w:val="99"/>
    <w:semiHidden/>
    <w:unhideWhenUsed/>
    <w:rsid w:val="00CE452E"/>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CE452E"/>
    <w:rPr>
      <w:rFonts w:ascii="Calibri" w:eastAsia="Calibri" w:hAnsi="Calibri" w:cs="Times New Roman"/>
      <w:sz w:val="20"/>
      <w:szCs w:val="20"/>
    </w:rPr>
  </w:style>
  <w:style w:type="character" w:styleId="Fodnotehenvisning">
    <w:name w:val="footnote reference"/>
    <w:aliases w:val="16 Point,Superscript 6 Point,SUPERS,ftref,Знак сноски-FN,callout,Footnote symbol,vnv,number,Footnote Reference Superscript,EN Footnote Reference,FC,BVI fnr,referencia nota al pie,Char Char Char Char Car Char,Ref,de nota al pie,BVI fn"/>
    <w:basedOn w:val="Standardskrifttypeiafsnit"/>
    <w:uiPriority w:val="99"/>
    <w:unhideWhenUsed/>
    <w:rsid w:val="00CE452E"/>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58A8"/>
    <w:rPr>
      <w:rFonts w:ascii="Calibri" w:eastAsia="Calibri" w:hAnsi="Calibri" w:cs="Times New Roman"/>
    </w:rPr>
  </w:style>
  <w:style w:type="paragraph" w:styleId="Overskrift2">
    <w:name w:val="heading 2"/>
    <w:basedOn w:val="Normal"/>
    <w:link w:val="Overskrift2Tegn"/>
    <w:qFormat/>
    <w:rsid w:val="007A7459"/>
    <w:pPr>
      <w:spacing w:before="100" w:beforeAutospacing="1" w:after="100" w:afterAutospacing="1" w:line="240" w:lineRule="auto"/>
      <w:outlineLvl w:val="1"/>
    </w:pPr>
    <w:rPr>
      <w:rFonts w:ascii="Times New Roman" w:eastAsia="Times New Roman" w:hAnsi="Times New Roman"/>
      <w:b/>
      <w:bCs/>
      <w:sz w:val="36"/>
      <w:szCs w:val="36"/>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Svagfremhvning">
    <w:name w:val="Subtle Emphasis"/>
    <w:basedOn w:val="Standardskrifttypeiafsnit"/>
    <w:uiPriority w:val="19"/>
    <w:qFormat/>
    <w:rsid w:val="00DE58A8"/>
    <w:rPr>
      <w:i/>
      <w:iCs/>
      <w:color w:val="808080" w:themeColor="text1" w:themeTint="7F"/>
    </w:rPr>
  </w:style>
  <w:style w:type="character" w:styleId="Kommentarhenvisning">
    <w:name w:val="annotation reference"/>
    <w:basedOn w:val="Standardskrifttypeiafsnit"/>
    <w:uiPriority w:val="99"/>
    <w:semiHidden/>
    <w:unhideWhenUsed/>
    <w:rsid w:val="00AB2953"/>
    <w:rPr>
      <w:sz w:val="16"/>
      <w:szCs w:val="16"/>
    </w:rPr>
  </w:style>
  <w:style w:type="paragraph" w:styleId="Kommentartekst">
    <w:name w:val="annotation text"/>
    <w:basedOn w:val="Normal"/>
    <w:link w:val="KommentartekstTegn"/>
    <w:uiPriority w:val="99"/>
    <w:unhideWhenUsed/>
    <w:rsid w:val="00AB2953"/>
    <w:pPr>
      <w:spacing w:line="240" w:lineRule="auto"/>
    </w:pPr>
    <w:rPr>
      <w:sz w:val="20"/>
      <w:szCs w:val="20"/>
    </w:rPr>
  </w:style>
  <w:style w:type="character" w:customStyle="1" w:styleId="KommentartekstTegn">
    <w:name w:val="Kommentartekst Tegn"/>
    <w:basedOn w:val="Standardskrifttypeiafsnit"/>
    <w:link w:val="Kommentartekst"/>
    <w:uiPriority w:val="99"/>
    <w:rsid w:val="00AB2953"/>
    <w:rPr>
      <w:rFonts w:ascii="Calibri" w:eastAsia="Calibri" w:hAnsi="Calibri" w:cs="Times New Roman"/>
      <w:sz w:val="20"/>
      <w:szCs w:val="20"/>
    </w:rPr>
  </w:style>
  <w:style w:type="paragraph" w:styleId="Kommentaremne">
    <w:name w:val="annotation subject"/>
    <w:basedOn w:val="Kommentartekst"/>
    <w:next w:val="Kommentartekst"/>
    <w:link w:val="KommentaremneTegn"/>
    <w:uiPriority w:val="99"/>
    <w:semiHidden/>
    <w:unhideWhenUsed/>
    <w:rsid w:val="00AB2953"/>
    <w:rPr>
      <w:b/>
      <w:bCs/>
    </w:rPr>
  </w:style>
  <w:style w:type="character" w:customStyle="1" w:styleId="KommentaremneTegn">
    <w:name w:val="Kommentaremne Tegn"/>
    <w:basedOn w:val="KommentartekstTegn"/>
    <w:link w:val="Kommentaremne"/>
    <w:uiPriority w:val="99"/>
    <w:semiHidden/>
    <w:rsid w:val="00AB2953"/>
    <w:rPr>
      <w:rFonts w:ascii="Calibri" w:eastAsia="Calibri" w:hAnsi="Calibri" w:cs="Times New Roman"/>
      <w:b/>
      <w:bCs/>
      <w:sz w:val="20"/>
      <w:szCs w:val="20"/>
    </w:rPr>
  </w:style>
  <w:style w:type="paragraph" w:styleId="Markeringsbobletekst">
    <w:name w:val="Balloon Text"/>
    <w:basedOn w:val="Normal"/>
    <w:link w:val="MarkeringsbobletekstTegn"/>
    <w:uiPriority w:val="99"/>
    <w:semiHidden/>
    <w:unhideWhenUsed/>
    <w:rsid w:val="00AB2953"/>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AB2953"/>
    <w:rPr>
      <w:rFonts w:ascii="Segoe UI" w:eastAsia="Calibri" w:hAnsi="Segoe UI" w:cs="Segoe UI"/>
      <w:sz w:val="18"/>
      <w:szCs w:val="18"/>
    </w:rPr>
  </w:style>
  <w:style w:type="paragraph" w:styleId="Sidehoved">
    <w:name w:val="header"/>
    <w:basedOn w:val="Normal"/>
    <w:link w:val="SidehovedTegn"/>
    <w:uiPriority w:val="99"/>
    <w:unhideWhenUsed/>
    <w:rsid w:val="008F3CFF"/>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8F3CFF"/>
    <w:rPr>
      <w:rFonts w:ascii="Calibri" w:eastAsia="Calibri" w:hAnsi="Calibri" w:cs="Times New Roman"/>
    </w:rPr>
  </w:style>
  <w:style w:type="paragraph" w:styleId="Sidefod">
    <w:name w:val="footer"/>
    <w:basedOn w:val="Normal"/>
    <w:link w:val="SidefodTegn"/>
    <w:uiPriority w:val="99"/>
    <w:unhideWhenUsed/>
    <w:rsid w:val="008F3CFF"/>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8F3CFF"/>
    <w:rPr>
      <w:rFonts w:ascii="Calibri" w:eastAsia="Calibri" w:hAnsi="Calibri" w:cs="Times New Roman"/>
    </w:rPr>
  </w:style>
  <w:style w:type="paragraph" w:styleId="Listeafsnit">
    <w:name w:val="List Paragraph"/>
    <w:basedOn w:val="Normal"/>
    <w:uiPriority w:val="34"/>
    <w:qFormat/>
    <w:rsid w:val="002705D0"/>
    <w:pPr>
      <w:spacing w:after="0" w:line="240" w:lineRule="auto"/>
      <w:ind w:left="720"/>
      <w:contextualSpacing/>
    </w:pPr>
    <w:rPr>
      <w:rFonts w:ascii="Times New Roman" w:eastAsia="Times New Roman" w:hAnsi="Times New Roman"/>
      <w:sz w:val="24"/>
      <w:szCs w:val="24"/>
      <w:lang w:eastAsia="da-DK"/>
    </w:rPr>
  </w:style>
  <w:style w:type="character" w:customStyle="1" w:styleId="Overskrift2Tegn">
    <w:name w:val="Overskrift 2 Tegn"/>
    <w:basedOn w:val="Standardskrifttypeiafsnit"/>
    <w:link w:val="Overskrift2"/>
    <w:rsid w:val="007A7459"/>
    <w:rPr>
      <w:rFonts w:ascii="Times New Roman" w:eastAsia="Times New Roman" w:hAnsi="Times New Roman" w:cs="Times New Roman"/>
      <w:b/>
      <w:bCs/>
      <w:sz w:val="36"/>
      <w:szCs w:val="36"/>
      <w:lang w:eastAsia="da-DK"/>
    </w:rPr>
  </w:style>
  <w:style w:type="character" w:styleId="Hyperlink">
    <w:name w:val="Hyperlink"/>
    <w:basedOn w:val="Standardskrifttypeiafsnit"/>
    <w:uiPriority w:val="99"/>
    <w:semiHidden/>
    <w:unhideWhenUsed/>
    <w:rsid w:val="007A7459"/>
    <w:rPr>
      <w:color w:val="0000FF"/>
      <w:u w:val="single"/>
    </w:rPr>
  </w:style>
  <w:style w:type="character" w:styleId="Fremhv">
    <w:name w:val="Emphasis"/>
    <w:basedOn w:val="Standardskrifttypeiafsnit"/>
    <w:uiPriority w:val="20"/>
    <w:qFormat/>
    <w:rsid w:val="00CB4A14"/>
    <w:rPr>
      <w:i/>
      <w:iCs/>
    </w:rPr>
  </w:style>
  <w:style w:type="paragraph" w:styleId="NormalWeb">
    <w:name w:val="Normal (Web)"/>
    <w:basedOn w:val="Normal"/>
    <w:uiPriority w:val="99"/>
    <w:semiHidden/>
    <w:unhideWhenUsed/>
    <w:rsid w:val="00505B1B"/>
    <w:pPr>
      <w:spacing w:before="100" w:beforeAutospacing="1" w:after="100" w:afterAutospacing="1" w:line="240" w:lineRule="auto"/>
    </w:pPr>
    <w:rPr>
      <w:rFonts w:ascii="Times New Roman" w:eastAsia="Times New Roman" w:hAnsi="Times New Roman"/>
      <w:sz w:val="24"/>
      <w:szCs w:val="24"/>
      <w:lang w:eastAsia="da-DK"/>
    </w:rPr>
  </w:style>
  <w:style w:type="paragraph" w:styleId="Fodnotetekst">
    <w:name w:val="footnote text"/>
    <w:basedOn w:val="Normal"/>
    <w:link w:val="FodnotetekstTegn"/>
    <w:uiPriority w:val="99"/>
    <w:semiHidden/>
    <w:unhideWhenUsed/>
    <w:rsid w:val="00CE452E"/>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CE452E"/>
    <w:rPr>
      <w:rFonts w:ascii="Calibri" w:eastAsia="Calibri" w:hAnsi="Calibri" w:cs="Times New Roman"/>
      <w:sz w:val="20"/>
      <w:szCs w:val="20"/>
    </w:rPr>
  </w:style>
  <w:style w:type="character" w:styleId="Fodnotehenvisning">
    <w:name w:val="footnote reference"/>
    <w:aliases w:val="16 Point,Superscript 6 Point,SUPERS,ftref,Знак сноски-FN,callout,Footnote symbol,vnv,number,Footnote Reference Superscript,EN Footnote Reference,FC,BVI fnr,referencia nota al pie,Char Char Char Char Car Char,Ref,de nota al pie,BVI fn"/>
    <w:basedOn w:val="Standardskrifttypeiafsnit"/>
    <w:uiPriority w:val="99"/>
    <w:unhideWhenUsed/>
    <w:rsid w:val="00CE452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559980">
      <w:bodyDiv w:val="1"/>
      <w:marLeft w:val="0"/>
      <w:marRight w:val="0"/>
      <w:marTop w:val="0"/>
      <w:marBottom w:val="0"/>
      <w:divBdr>
        <w:top w:val="none" w:sz="0" w:space="0" w:color="auto"/>
        <w:left w:val="none" w:sz="0" w:space="0" w:color="auto"/>
        <w:bottom w:val="none" w:sz="0" w:space="0" w:color="auto"/>
        <w:right w:val="none" w:sz="0" w:space="0" w:color="auto"/>
      </w:divBdr>
    </w:div>
    <w:div w:id="386925889">
      <w:bodyDiv w:val="1"/>
      <w:marLeft w:val="0"/>
      <w:marRight w:val="0"/>
      <w:marTop w:val="0"/>
      <w:marBottom w:val="0"/>
      <w:divBdr>
        <w:top w:val="none" w:sz="0" w:space="0" w:color="auto"/>
        <w:left w:val="none" w:sz="0" w:space="0" w:color="auto"/>
        <w:bottom w:val="none" w:sz="0" w:space="0" w:color="auto"/>
        <w:right w:val="none" w:sz="0" w:space="0" w:color="auto"/>
      </w:divBdr>
    </w:div>
    <w:div w:id="1178085473">
      <w:bodyDiv w:val="1"/>
      <w:marLeft w:val="0"/>
      <w:marRight w:val="0"/>
      <w:marTop w:val="0"/>
      <w:marBottom w:val="0"/>
      <w:divBdr>
        <w:top w:val="none" w:sz="0" w:space="0" w:color="auto"/>
        <w:left w:val="none" w:sz="0" w:space="0" w:color="auto"/>
        <w:bottom w:val="none" w:sz="0" w:space="0" w:color="auto"/>
        <w:right w:val="none" w:sz="0" w:space="0" w:color="auto"/>
      </w:divBdr>
    </w:div>
    <w:div w:id="1307589921">
      <w:bodyDiv w:val="1"/>
      <w:marLeft w:val="0"/>
      <w:marRight w:val="0"/>
      <w:marTop w:val="0"/>
      <w:marBottom w:val="0"/>
      <w:divBdr>
        <w:top w:val="none" w:sz="0" w:space="0" w:color="auto"/>
        <w:left w:val="none" w:sz="0" w:space="0" w:color="auto"/>
        <w:bottom w:val="none" w:sz="0" w:space="0" w:color="auto"/>
        <w:right w:val="none" w:sz="0" w:space="0" w:color="auto"/>
      </w:divBdr>
    </w:div>
    <w:div w:id="1346244722">
      <w:bodyDiv w:val="1"/>
      <w:marLeft w:val="0"/>
      <w:marRight w:val="0"/>
      <w:marTop w:val="0"/>
      <w:marBottom w:val="0"/>
      <w:divBdr>
        <w:top w:val="none" w:sz="0" w:space="0" w:color="auto"/>
        <w:left w:val="none" w:sz="0" w:space="0" w:color="auto"/>
        <w:bottom w:val="none" w:sz="0" w:space="0" w:color="auto"/>
        <w:right w:val="none" w:sz="0" w:space="0" w:color="auto"/>
      </w:divBdr>
    </w:div>
    <w:div w:id="1537082369">
      <w:bodyDiv w:val="1"/>
      <w:marLeft w:val="0"/>
      <w:marRight w:val="0"/>
      <w:marTop w:val="0"/>
      <w:marBottom w:val="0"/>
      <w:divBdr>
        <w:top w:val="none" w:sz="0" w:space="0" w:color="auto"/>
        <w:left w:val="none" w:sz="0" w:space="0" w:color="auto"/>
        <w:bottom w:val="none" w:sz="0" w:space="0" w:color="auto"/>
        <w:right w:val="none" w:sz="0" w:space="0" w:color="auto"/>
      </w:divBdr>
    </w:div>
    <w:div w:id="1653675088">
      <w:bodyDiv w:val="1"/>
      <w:marLeft w:val="0"/>
      <w:marRight w:val="0"/>
      <w:marTop w:val="0"/>
      <w:marBottom w:val="0"/>
      <w:divBdr>
        <w:top w:val="none" w:sz="0" w:space="0" w:color="auto"/>
        <w:left w:val="none" w:sz="0" w:space="0" w:color="auto"/>
        <w:bottom w:val="none" w:sz="0" w:space="0" w:color="auto"/>
        <w:right w:val="none" w:sz="0" w:space="0" w:color="auto"/>
      </w:divBdr>
      <w:divsChild>
        <w:div w:id="1858619409">
          <w:marLeft w:val="432"/>
          <w:marRight w:val="0"/>
          <w:marTop w:val="115"/>
          <w:marBottom w:val="0"/>
          <w:divBdr>
            <w:top w:val="none" w:sz="0" w:space="0" w:color="auto"/>
            <w:left w:val="none" w:sz="0" w:space="0" w:color="auto"/>
            <w:bottom w:val="none" w:sz="0" w:space="0" w:color="auto"/>
            <w:right w:val="none" w:sz="0" w:space="0" w:color="auto"/>
          </w:divBdr>
        </w:div>
      </w:divsChild>
    </w:div>
    <w:div w:id="1712264457">
      <w:bodyDiv w:val="1"/>
      <w:marLeft w:val="0"/>
      <w:marRight w:val="0"/>
      <w:marTop w:val="0"/>
      <w:marBottom w:val="0"/>
      <w:divBdr>
        <w:top w:val="none" w:sz="0" w:space="0" w:color="auto"/>
        <w:left w:val="none" w:sz="0" w:space="0" w:color="auto"/>
        <w:bottom w:val="none" w:sz="0" w:space="0" w:color="auto"/>
        <w:right w:val="none" w:sz="0" w:space="0" w:color="auto"/>
      </w:divBdr>
    </w:div>
    <w:div w:id="1872378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5.xm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chart" Target="charts/chart4.xml"/><Relationship Id="rId17" Type="http://schemas.openxmlformats.org/officeDocument/2006/relationships/chart" Target="charts/chart9.xml"/><Relationship Id="rId25"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5" Type="http://schemas.openxmlformats.org/officeDocument/2006/relationships/settings" Target="settings.xml"/><Relationship Id="rId15" Type="http://schemas.openxmlformats.org/officeDocument/2006/relationships/chart" Target="charts/chart7.xml"/><Relationship Id="rId23" Type="http://schemas.microsoft.com/office/2011/relationships/people" Target="people.xml"/><Relationship Id="rId10" Type="http://schemas.openxmlformats.org/officeDocument/2006/relationships/chart" Target="charts/chart2.xml"/><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hiog\Desktop\Fiskerikommissionen%202019\Baggrundsrapport%20til%20debatopl&#230;g\Tabeller,%20debatopl&#230;g,%20baggrundsrapport.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hiog\Desktop\Fiskerikommissionen%202019\Baggrundsrapport%20til%20debatopl&#230;g\Tabeller,%20debatopl&#230;g,%20baggrundsrapport.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hiog\Desktop\Fiskerikommissionen%202019\Baggrundsrapport%20til%20debatopl&#230;g\Udvikling%20i%20antal%20licenser%20GHL_joller%20og%20kyst.torsk.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peter\AppData\Local\cBrain\F2\.tmp\46019342\Fiskefl&#229;dens%20aldersfordeling%20i%202018%20fordelt%20p&#229;%20fiskerier.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C:\Users\hiog\Desktop\Fiskerikommissionen%202019\Baggrundsrapport%20til%20debatopl&#230;g\Tabeller,%20debatopl&#230;g,%20baggrundsrapport.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Aksa\AppData\Local\cBrain\F2\.tmp\45090637\Tabeller,%20debatopl&#230;g,%20baggrundsrapport-1.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C:\Users\hiog\Desktop\Fiskerikommissionen%202019\Baggrundsrapport%20til%20debatopl&#230;g\Tabeller,%20debatopl&#230;g,%20baggrundsrapport.xlsx" TargetMode="External"/><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'C:\Users\hiog\Desktop\Fiskerikommissionen 2019\Økonomien i fiskeriet\[Økonomien i fiskerierhvervet, 2003_2017, Grl.stat.xlsx]ESXRESBAL'!$K$60</c:f>
              <c:strCache>
                <c:ptCount val="1"/>
                <c:pt idx="0">
                  <c:v>Lønsum</c:v>
                </c:pt>
              </c:strCache>
            </c:strRef>
          </c:tx>
          <c:spPr>
            <a:solidFill>
              <a:schemeClr val="accent6">
                <a:lumMod val="50000"/>
              </a:schemeClr>
            </a:solidFill>
            <a:ln>
              <a:noFill/>
            </a:ln>
            <a:effectLst/>
          </c:spPr>
          <c:invertIfNegative val="0"/>
          <c:cat>
            <c:strRef>
              <c:f>'Fiskerierhv økonomi'!$G$8:$G$17</c:f>
              <c:strCache>
                <c:ptCount val="10"/>
                <c:pt idx="0">
                  <c:v>2008</c:v>
                </c:pt>
                <c:pt idx="1">
                  <c:v>2009</c:v>
                </c:pt>
                <c:pt idx="2">
                  <c:v>2010</c:v>
                </c:pt>
                <c:pt idx="3">
                  <c:v>2011</c:v>
                </c:pt>
                <c:pt idx="4">
                  <c:v>2012</c:v>
                </c:pt>
                <c:pt idx="5">
                  <c:v>2013</c:v>
                </c:pt>
                <c:pt idx="6">
                  <c:v>2014</c:v>
                </c:pt>
                <c:pt idx="7">
                  <c:v>2015</c:v>
                </c:pt>
                <c:pt idx="8">
                  <c:v>2016</c:v>
                </c:pt>
                <c:pt idx="9">
                  <c:v>2017</c:v>
                </c:pt>
              </c:strCache>
            </c:strRef>
          </c:cat>
          <c:val>
            <c:numRef>
              <c:f>[1]ESXRESBAL!$K$61:$K$70</c:f>
              <c:numCache>
                <c:formatCode>General</c:formatCode>
                <c:ptCount val="10"/>
                <c:pt idx="0">
                  <c:v>960.11400000000003</c:v>
                </c:pt>
                <c:pt idx="1">
                  <c:v>867.73800000000006</c:v>
                </c:pt>
                <c:pt idx="2">
                  <c:v>904.66800000000001</c:v>
                </c:pt>
                <c:pt idx="3">
                  <c:v>969.24400000000003</c:v>
                </c:pt>
                <c:pt idx="4">
                  <c:v>1024.81</c:v>
                </c:pt>
                <c:pt idx="5">
                  <c:v>986.69299999999998</c:v>
                </c:pt>
                <c:pt idx="6">
                  <c:v>1118.7909999999999</c:v>
                </c:pt>
                <c:pt idx="7">
                  <c:v>1362.39</c:v>
                </c:pt>
                <c:pt idx="8">
                  <c:v>1714.085</c:v>
                </c:pt>
                <c:pt idx="9">
                  <c:v>1570.1120000000001</c:v>
                </c:pt>
              </c:numCache>
            </c:numRef>
          </c:val>
          <c:extLst xmlns:c16r2="http://schemas.microsoft.com/office/drawing/2015/06/chart">
            <c:ext xmlns:c16="http://schemas.microsoft.com/office/drawing/2014/chart" uri="{C3380CC4-5D6E-409C-BE32-E72D297353CC}">
              <c16:uniqueId val="{00000000-6478-4565-8D4B-0197784F474E}"/>
            </c:ext>
          </c:extLst>
        </c:ser>
        <c:ser>
          <c:idx val="2"/>
          <c:order val="2"/>
          <c:tx>
            <c:strRef>
              <c:f>'C:\Users\hiog\Desktop\Fiskerikommissionen 2019\Økonomien i fiskeriet\[Økonomien i fiskerierhvervet, 2003_2017, Grl.stat.xlsx]ESXRESBAL'!$L$60</c:f>
              <c:strCache>
                <c:ptCount val="1"/>
                <c:pt idx="0">
                  <c:v>Driftsresultat (EBIT)</c:v>
                </c:pt>
              </c:strCache>
            </c:strRef>
          </c:tx>
          <c:spPr>
            <a:solidFill>
              <a:schemeClr val="accent2">
                <a:lumMod val="75000"/>
              </a:schemeClr>
            </a:solidFill>
            <a:ln>
              <a:noFill/>
            </a:ln>
            <a:effectLst/>
          </c:spPr>
          <c:invertIfNegative val="0"/>
          <c:cat>
            <c:strRef>
              <c:f>'Fiskerierhv økonomi'!$G$8:$G$17</c:f>
              <c:strCache>
                <c:ptCount val="10"/>
                <c:pt idx="0">
                  <c:v>2008</c:v>
                </c:pt>
                <c:pt idx="1">
                  <c:v>2009</c:v>
                </c:pt>
                <c:pt idx="2">
                  <c:v>2010</c:v>
                </c:pt>
                <c:pt idx="3">
                  <c:v>2011</c:v>
                </c:pt>
                <c:pt idx="4">
                  <c:v>2012</c:v>
                </c:pt>
                <c:pt idx="5">
                  <c:v>2013</c:v>
                </c:pt>
                <c:pt idx="6">
                  <c:v>2014</c:v>
                </c:pt>
                <c:pt idx="7">
                  <c:v>2015</c:v>
                </c:pt>
                <c:pt idx="8">
                  <c:v>2016</c:v>
                </c:pt>
                <c:pt idx="9">
                  <c:v>2017</c:v>
                </c:pt>
              </c:strCache>
            </c:strRef>
          </c:cat>
          <c:val>
            <c:numRef>
              <c:f>[1]ESXRESBAL!$L$61:$L$70</c:f>
              <c:numCache>
                <c:formatCode>General</c:formatCode>
                <c:ptCount val="10"/>
                <c:pt idx="0">
                  <c:v>112.161</c:v>
                </c:pt>
                <c:pt idx="1">
                  <c:v>-6.9939999999999998</c:v>
                </c:pt>
                <c:pt idx="2">
                  <c:v>253.86500000000001</c:v>
                </c:pt>
                <c:pt idx="3">
                  <c:v>462.96100000000001</c:v>
                </c:pt>
                <c:pt idx="4">
                  <c:v>562.048</c:v>
                </c:pt>
                <c:pt idx="5">
                  <c:v>407.42399999999998</c:v>
                </c:pt>
                <c:pt idx="6">
                  <c:v>362.05599999999998</c:v>
                </c:pt>
                <c:pt idx="7">
                  <c:v>688.06700000000001</c:v>
                </c:pt>
                <c:pt idx="8">
                  <c:v>805.78499999999997</c:v>
                </c:pt>
                <c:pt idx="9">
                  <c:v>600.01700000000005</c:v>
                </c:pt>
              </c:numCache>
            </c:numRef>
          </c:val>
          <c:extLst xmlns:c16r2="http://schemas.microsoft.com/office/drawing/2015/06/chart">
            <c:ext xmlns:c16="http://schemas.microsoft.com/office/drawing/2014/chart" uri="{C3380CC4-5D6E-409C-BE32-E72D297353CC}">
              <c16:uniqueId val="{00000001-6478-4565-8D4B-0197784F474E}"/>
            </c:ext>
          </c:extLst>
        </c:ser>
        <c:dLbls>
          <c:showLegendKey val="0"/>
          <c:showVal val="0"/>
          <c:showCatName val="0"/>
          <c:showSerName val="0"/>
          <c:showPercent val="0"/>
          <c:showBubbleSize val="0"/>
        </c:dLbls>
        <c:gapWidth val="219"/>
        <c:axId val="382695296"/>
        <c:axId val="382705664"/>
      </c:barChart>
      <c:lineChart>
        <c:grouping val="standard"/>
        <c:varyColors val="0"/>
        <c:ser>
          <c:idx val="0"/>
          <c:order val="0"/>
          <c:tx>
            <c:v>Omsætning (højre akse)</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[1]ESXRESBAL!$I$61:$I$70</c:f>
              <c:strCache>
                <c:ptCount val="10"/>
                <c:pt idx="0">
                  <c:v>2008</c:v>
                </c:pt>
                <c:pt idx="1">
                  <c:v>2009</c:v>
                </c:pt>
                <c:pt idx="2">
                  <c:v>2010</c:v>
                </c:pt>
                <c:pt idx="3">
                  <c:v>2011</c:v>
                </c:pt>
                <c:pt idx="4">
                  <c:v>2012</c:v>
                </c:pt>
                <c:pt idx="5">
                  <c:v>2013</c:v>
                </c:pt>
                <c:pt idx="6">
                  <c:v>2014</c:v>
                </c:pt>
                <c:pt idx="7">
                  <c:v>2015</c:v>
                </c:pt>
                <c:pt idx="8">
                  <c:v>2016</c:v>
                </c:pt>
                <c:pt idx="9">
                  <c:v>2017</c:v>
                </c:pt>
              </c:strCache>
            </c:strRef>
          </c:cat>
          <c:val>
            <c:numRef>
              <c:f>[1]ESXRESBAL!$J$61:$J$70</c:f>
              <c:numCache>
                <c:formatCode>General</c:formatCode>
                <c:ptCount val="10"/>
                <c:pt idx="0">
                  <c:v>3611.047</c:v>
                </c:pt>
                <c:pt idx="1">
                  <c:v>3369.627</c:v>
                </c:pt>
                <c:pt idx="2">
                  <c:v>3605.3510000000001</c:v>
                </c:pt>
                <c:pt idx="3">
                  <c:v>4100.9399999999996</c:v>
                </c:pt>
                <c:pt idx="4">
                  <c:v>4275.4269999999997</c:v>
                </c:pt>
                <c:pt idx="5">
                  <c:v>4292.2089999999998</c:v>
                </c:pt>
                <c:pt idx="6">
                  <c:v>4685.6620000000003</c:v>
                </c:pt>
                <c:pt idx="7">
                  <c:v>5729.7359999999999</c:v>
                </c:pt>
                <c:pt idx="8">
                  <c:v>6977.1540000000005</c:v>
                </c:pt>
                <c:pt idx="9">
                  <c:v>6224.4690000000001</c:v>
                </c:pt>
              </c:numCache>
            </c:numRef>
          </c:val>
          <c:smooth val="0"/>
          <c:extLst xmlns:c16r2="http://schemas.microsoft.com/office/drawing/2015/06/chart">
            <c:ext xmlns:c16="http://schemas.microsoft.com/office/drawing/2014/chart" uri="{C3380CC4-5D6E-409C-BE32-E72D297353CC}">
              <c16:uniqueId val="{00000002-6478-4565-8D4B-0197784F474E}"/>
            </c:ext>
          </c:extLst>
        </c:ser>
        <c:dLbls>
          <c:showLegendKey val="0"/>
          <c:showVal val="0"/>
          <c:showCatName val="0"/>
          <c:showSerName val="0"/>
          <c:showPercent val="0"/>
          <c:showBubbleSize val="0"/>
        </c:dLbls>
        <c:marker val="1"/>
        <c:smooth val="0"/>
        <c:axId val="382717952"/>
        <c:axId val="382707584"/>
      </c:lineChart>
      <c:catAx>
        <c:axId val="382695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2705664"/>
        <c:crosses val="autoZero"/>
        <c:auto val="1"/>
        <c:lblAlgn val="ctr"/>
        <c:lblOffset val="100"/>
        <c:noMultiLvlLbl val="0"/>
      </c:catAx>
      <c:valAx>
        <c:axId val="382705664"/>
        <c:scaling>
          <c:orientation val="minMax"/>
          <c:max val="2000"/>
          <c:min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900">
                    <a:latin typeface="Times New Roman" panose="02020603050405020304" pitchFamily="18" charset="0"/>
                    <a:cs typeface="Times New Roman" panose="02020603050405020304" pitchFamily="18" charset="0"/>
                  </a:rPr>
                  <a:t>Mio.kr.</a:t>
                </a:r>
              </a:p>
            </c:rich>
          </c:tx>
          <c:layout>
            <c:manualLayout>
              <c:xMode val="edge"/>
              <c:yMode val="edge"/>
              <c:x val="9.5102999237042692E-3"/>
              <c:y val="0.34233844747329722"/>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2695296"/>
        <c:crosses val="autoZero"/>
        <c:crossBetween val="between"/>
        <c:majorUnit val="100"/>
      </c:valAx>
      <c:valAx>
        <c:axId val="382707584"/>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900">
                    <a:latin typeface="Times New Roman" panose="02020603050405020304" pitchFamily="18" charset="0"/>
                    <a:cs typeface="Times New Roman" panose="02020603050405020304" pitchFamily="18" charset="0"/>
                  </a:rPr>
                  <a:t>Mio.kr</a:t>
                </a:r>
              </a:p>
            </c:rich>
          </c:tx>
          <c:overlay val="0"/>
          <c:spPr>
            <a:noFill/>
            <a:ln>
              <a:noFill/>
            </a:ln>
            <a:effectLst/>
          </c:sp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2717952"/>
        <c:crosses val="max"/>
        <c:crossBetween val="between"/>
      </c:valAx>
      <c:catAx>
        <c:axId val="382717952"/>
        <c:scaling>
          <c:orientation val="minMax"/>
        </c:scaling>
        <c:delete val="1"/>
        <c:axPos val="b"/>
        <c:numFmt formatCode="General" sourceLinked="1"/>
        <c:majorTickMark val="out"/>
        <c:minorTickMark val="none"/>
        <c:tickLblPos val="nextTo"/>
        <c:crossAx val="3827075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legend>
    <c:plotVisOnly val="1"/>
    <c:dispBlanksAs val="gap"/>
    <c:showDLblsOverMax val="0"/>
  </c:chart>
  <c:spPr>
    <a:solidFill>
      <a:schemeClr val="bg1"/>
    </a:solidFill>
    <a:ln w="9525" cap="flat" cmpd="sng" algn="ctr">
      <a:noFill/>
      <a:round/>
    </a:ln>
    <a:effectLst/>
  </c:spPr>
  <c:txPr>
    <a:bodyPr/>
    <a:lstStyle/>
    <a:p>
      <a:pPr>
        <a:defRPr/>
      </a:pPr>
      <a:endParaRPr lang="da-DK"/>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'Jollefiskere økonomi'!$I$18</c:f>
              <c:strCache>
                <c:ptCount val="1"/>
                <c:pt idx="0">
                  <c:v>Driftsresultat (EBIT)</c:v>
                </c:pt>
              </c:strCache>
            </c:strRef>
          </c:tx>
          <c:spPr>
            <a:solidFill>
              <a:schemeClr val="accent2"/>
            </a:solidFill>
            <a:ln>
              <a:noFill/>
            </a:ln>
            <a:effectLst/>
          </c:spPr>
          <c:invertIfNegative val="0"/>
          <c:val>
            <c:numRef>
              <c:f>'Jollefiskere økonomi'!$I$19:$I$24</c:f>
              <c:numCache>
                <c:formatCode>_-* #,##0.0_-;\-* #,##0.0_-;_-* "-"??_-;_-@_-</c:formatCode>
                <c:ptCount val="6"/>
                <c:pt idx="0">
                  <c:v>248.96799999999999</c:v>
                </c:pt>
                <c:pt idx="1">
                  <c:v>274.50299999999999</c:v>
                </c:pt>
                <c:pt idx="2">
                  <c:v>284.666</c:v>
                </c:pt>
                <c:pt idx="3">
                  <c:v>369.79</c:v>
                </c:pt>
                <c:pt idx="4">
                  <c:v>484.80500000000001</c:v>
                </c:pt>
                <c:pt idx="5">
                  <c:v>389.95400000000001</c:v>
                </c:pt>
              </c:numCache>
            </c:numRef>
          </c:val>
          <c:extLst xmlns:c16r2="http://schemas.microsoft.com/office/drawing/2015/06/chart">
            <c:ext xmlns:c16="http://schemas.microsoft.com/office/drawing/2014/chart" uri="{C3380CC4-5D6E-409C-BE32-E72D297353CC}">
              <c16:uniqueId val="{00000000-D7F0-419F-AD3A-D79C98E061CD}"/>
            </c:ext>
          </c:extLst>
        </c:ser>
        <c:dLbls>
          <c:showLegendKey val="0"/>
          <c:showVal val="0"/>
          <c:showCatName val="0"/>
          <c:showSerName val="0"/>
          <c:showPercent val="0"/>
          <c:showBubbleSize val="0"/>
        </c:dLbls>
        <c:gapWidth val="219"/>
        <c:axId val="382944384"/>
        <c:axId val="382946304"/>
      </c:barChart>
      <c:lineChart>
        <c:grouping val="standard"/>
        <c:varyColors val="0"/>
        <c:ser>
          <c:idx val="0"/>
          <c:order val="0"/>
          <c:tx>
            <c:strRef>
              <c:f>'Jollefiskere økonomi'!$H$18</c:f>
              <c:strCache>
                <c:ptCount val="1"/>
                <c:pt idx="0">
                  <c:v>Omsætning</c:v>
                </c:pt>
              </c:strCache>
            </c:strRef>
          </c:tx>
          <c:spPr>
            <a:ln w="38100" cap="rnd">
              <a:solidFill>
                <a:schemeClr val="accent1"/>
              </a:solidFill>
              <a:round/>
            </a:ln>
            <a:effectLst/>
          </c:spPr>
          <c:marker>
            <c:symbol val="circle"/>
            <c:size val="5"/>
            <c:spPr>
              <a:solidFill>
                <a:schemeClr val="accent1"/>
              </a:solidFill>
              <a:ln w="9525">
                <a:solidFill>
                  <a:schemeClr val="accent1"/>
                </a:solidFill>
              </a:ln>
              <a:effectLst/>
            </c:spPr>
          </c:marker>
          <c:cat>
            <c:strRef>
              <c:f>'Jollefiskere økonomi'!$G$19:$G$24</c:f>
              <c:strCache>
                <c:ptCount val="6"/>
                <c:pt idx="0">
                  <c:v>2012</c:v>
                </c:pt>
                <c:pt idx="1">
                  <c:v>2013</c:v>
                </c:pt>
                <c:pt idx="2">
                  <c:v>2014</c:v>
                </c:pt>
                <c:pt idx="3">
                  <c:v>2015</c:v>
                </c:pt>
                <c:pt idx="4">
                  <c:v>2016</c:v>
                </c:pt>
                <c:pt idx="5">
                  <c:v>2017</c:v>
                </c:pt>
              </c:strCache>
            </c:strRef>
          </c:cat>
          <c:val>
            <c:numRef>
              <c:f>'Jollefiskere økonomi'!$H$19:$H$24</c:f>
              <c:numCache>
                <c:formatCode>_-* #,##0.0_-;\-* #,##0.0_-;_-* "-"??_-;_-@_-</c:formatCode>
                <c:ptCount val="6"/>
                <c:pt idx="0">
                  <c:v>476.99900000000002</c:v>
                </c:pt>
                <c:pt idx="1">
                  <c:v>478.77300000000002</c:v>
                </c:pt>
                <c:pt idx="2">
                  <c:v>510.58199999999999</c:v>
                </c:pt>
                <c:pt idx="3">
                  <c:v>633.95399999999995</c:v>
                </c:pt>
                <c:pt idx="4">
                  <c:v>819.55899999999997</c:v>
                </c:pt>
                <c:pt idx="5">
                  <c:v>729.91800000000001</c:v>
                </c:pt>
              </c:numCache>
            </c:numRef>
          </c:val>
          <c:smooth val="0"/>
          <c:extLst xmlns:c16r2="http://schemas.microsoft.com/office/drawing/2015/06/chart">
            <c:ext xmlns:c16="http://schemas.microsoft.com/office/drawing/2014/chart" uri="{C3380CC4-5D6E-409C-BE32-E72D297353CC}">
              <c16:uniqueId val="{00000001-D7F0-419F-AD3A-D79C98E061CD}"/>
            </c:ext>
          </c:extLst>
        </c:ser>
        <c:dLbls>
          <c:showLegendKey val="0"/>
          <c:showVal val="0"/>
          <c:showCatName val="0"/>
          <c:showSerName val="0"/>
          <c:showPercent val="0"/>
          <c:showBubbleSize val="0"/>
        </c:dLbls>
        <c:marker val="1"/>
        <c:smooth val="0"/>
        <c:axId val="382944384"/>
        <c:axId val="382946304"/>
      </c:lineChart>
      <c:catAx>
        <c:axId val="38294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2946304"/>
        <c:crosses val="autoZero"/>
        <c:auto val="1"/>
        <c:lblAlgn val="ctr"/>
        <c:lblOffset val="100"/>
        <c:noMultiLvlLbl val="0"/>
      </c:catAx>
      <c:valAx>
        <c:axId val="382946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Mio.kr.</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2944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legend>
    <c:plotVisOnly val="1"/>
    <c:dispBlanksAs val="gap"/>
    <c:showDLblsOverMax val="0"/>
  </c:chart>
  <c:spPr>
    <a:solidFill>
      <a:schemeClr val="bg1"/>
    </a:solidFill>
    <a:ln w="9525" cap="flat" cmpd="sng" algn="ctr">
      <a:noFill/>
      <a:round/>
    </a:ln>
    <a:effectLst/>
  </c:spPr>
  <c:txPr>
    <a:bodyPr/>
    <a:lstStyle/>
    <a:p>
      <a:pPr>
        <a:defRPr/>
      </a:pPr>
      <a:endParaRPr lang="da-DK"/>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Off.indtægter!$G$8</c:f>
              <c:strCache>
                <c:ptCount val="1"/>
                <c:pt idx="0">
                  <c:v>Ressourcerenteafgifter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da-DK"/>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Off.indtægter!$H$7:$L$7</c:f>
              <c:numCache>
                <c:formatCode>General</c:formatCode>
                <c:ptCount val="5"/>
                <c:pt idx="0">
                  <c:v>2014</c:v>
                </c:pt>
                <c:pt idx="1">
                  <c:v>2015</c:v>
                </c:pt>
                <c:pt idx="2">
                  <c:v>2016</c:v>
                </c:pt>
                <c:pt idx="3">
                  <c:v>2017</c:v>
                </c:pt>
                <c:pt idx="4">
                  <c:v>2018</c:v>
                </c:pt>
              </c:numCache>
            </c:numRef>
          </c:cat>
          <c:val>
            <c:numRef>
              <c:f>Off.indtægter!$H$8:$L$8</c:f>
              <c:numCache>
                <c:formatCode>_-* #,##0_-;\-* #,##0_-;_-* "-"??_-;_-@_-</c:formatCode>
                <c:ptCount val="5"/>
                <c:pt idx="0">
                  <c:v>238.46699999999996</c:v>
                </c:pt>
                <c:pt idx="1">
                  <c:v>187.249</c:v>
                </c:pt>
                <c:pt idx="2">
                  <c:v>270</c:v>
                </c:pt>
                <c:pt idx="3">
                  <c:v>273.14199999999994</c:v>
                </c:pt>
                <c:pt idx="4">
                  <c:v>425.65665799999999</c:v>
                </c:pt>
              </c:numCache>
            </c:numRef>
          </c:val>
          <c:extLst xmlns:c16r2="http://schemas.microsoft.com/office/drawing/2015/06/chart">
            <c:ext xmlns:c16="http://schemas.microsoft.com/office/drawing/2014/chart" uri="{C3380CC4-5D6E-409C-BE32-E72D297353CC}">
              <c16:uniqueId val="{00000000-6DD1-414E-BEC0-0650F44B5D33}"/>
            </c:ext>
          </c:extLst>
        </c:ser>
        <c:ser>
          <c:idx val="1"/>
          <c:order val="1"/>
          <c:tx>
            <c:strRef>
              <c:f>Off.indtægter!$G$9</c:f>
              <c:strCache>
                <c:ptCount val="1"/>
                <c:pt idx="0">
                  <c:v>Selskabs- og udbytteskatter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da-DK"/>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Off.indtægter!$H$7:$L$7</c:f>
              <c:numCache>
                <c:formatCode>General</c:formatCode>
                <c:ptCount val="5"/>
                <c:pt idx="0">
                  <c:v>2014</c:v>
                </c:pt>
                <c:pt idx="1">
                  <c:v>2015</c:v>
                </c:pt>
                <c:pt idx="2">
                  <c:v>2016</c:v>
                </c:pt>
                <c:pt idx="3">
                  <c:v>2017</c:v>
                </c:pt>
                <c:pt idx="4">
                  <c:v>2018</c:v>
                </c:pt>
              </c:numCache>
            </c:numRef>
          </c:cat>
          <c:val>
            <c:numRef>
              <c:f>Off.indtægter!$H$9:$L$9</c:f>
              <c:numCache>
                <c:formatCode>_-* #,##0_-;\-* #,##0_-;_-* "-"??_-;_-@_-</c:formatCode>
                <c:ptCount val="5"/>
                <c:pt idx="0">
                  <c:v>142.15844899999999</c:v>
                </c:pt>
                <c:pt idx="1">
                  <c:v>272.86593299999998</c:v>
                </c:pt>
                <c:pt idx="2">
                  <c:v>268.74317000000002</c:v>
                </c:pt>
                <c:pt idx="3">
                  <c:v>179.11405600000001</c:v>
                </c:pt>
                <c:pt idx="4">
                  <c:v>181.61896400000001</c:v>
                </c:pt>
              </c:numCache>
            </c:numRef>
          </c:val>
          <c:extLst xmlns:c16r2="http://schemas.microsoft.com/office/drawing/2015/06/chart">
            <c:ext xmlns:c16="http://schemas.microsoft.com/office/drawing/2014/chart" uri="{C3380CC4-5D6E-409C-BE32-E72D297353CC}">
              <c16:uniqueId val="{00000001-6DD1-414E-BEC0-0650F44B5D33}"/>
            </c:ext>
          </c:extLst>
        </c:ser>
        <c:ser>
          <c:idx val="2"/>
          <c:order val="2"/>
          <c:tx>
            <c:strRef>
              <c:f>Off.indtægter!$G$10</c:f>
              <c:strCache>
                <c:ptCount val="1"/>
                <c:pt idx="0">
                  <c:v>Personskatter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da-DK"/>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Off.indtægter!$H$7:$L$7</c:f>
              <c:numCache>
                <c:formatCode>General</c:formatCode>
                <c:ptCount val="5"/>
                <c:pt idx="0">
                  <c:v>2014</c:v>
                </c:pt>
                <c:pt idx="1">
                  <c:v>2015</c:v>
                </c:pt>
                <c:pt idx="2">
                  <c:v>2016</c:v>
                </c:pt>
                <c:pt idx="3">
                  <c:v>2017</c:v>
                </c:pt>
                <c:pt idx="4">
                  <c:v>2018</c:v>
                </c:pt>
              </c:numCache>
            </c:numRef>
          </c:cat>
          <c:val>
            <c:numRef>
              <c:f>Off.indtægter!$H$10:$L$10</c:f>
              <c:numCache>
                <c:formatCode>_-* #,##0_-;\-* #,##0_-;_-* "-"??_-;_-@_-</c:formatCode>
                <c:ptCount val="5"/>
                <c:pt idx="0">
                  <c:v>545.98467199999993</c:v>
                </c:pt>
                <c:pt idx="1">
                  <c:v>721.71846000000005</c:v>
                </c:pt>
                <c:pt idx="2">
                  <c:v>729.378648</c:v>
                </c:pt>
                <c:pt idx="3">
                  <c:v>683.39163599999995</c:v>
                </c:pt>
                <c:pt idx="4">
                  <c:v>737.55672399542289</c:v>
                </c:pt>
              </c:numCache>
            </c:numRef>
          </c:val>
          <c:extLst xmlns:c16r2="http://schemas.microsoft.com/office/drawing/2015/06/chart">
            <c:ext xmlns:c16="http://schemas.microsoft.com/office/drawing/2014/chart" uri="{C3380CC4-5D6E-409C-BE32-E72D297353CC}">
              <c16:uniqueId val="{00000002-6DD1-414E-BEC0-0650F44B5D33}"/>
            </c:ext>
          </c:extLst>
        </c:ser>
        <c:ser>
          <c:idx val="3"/>
          <c:order val="3"/>
          <c:tx>
            <c:strRef>
              <c:f>Off.indtægter!$G$11</c:f>
              <c:strCache>
                <c:ptCount val="1"/>
                <c:pt idx="0">
                  <c:v>I alt</c:v>
                </c:pt>
              </c:strCache>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da-DK"/>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Off.indtægter!$H$7:$L$7</c:f>
              <c:numCache>
                <c:formatCode>General</c:formatCode>
                <c:ptCount val="5"/>
                <c:pt idx="0">
                  <c:v>2014</c:v>
                </c:pt>
                <c:pt idx="1">
                  <c:v>2015</c:v>
                </c:pt>
                <c:pt idx="2">
                  <c:v>2016</c:v>
                </c:pt>
                <c:pt idx="3">
                  <c:v>2017</c:v>
                </c:pt>
                <c:pt idx="4">
                  <c:v>2018</c:v>
                </c:pt>
              </c:numCache>
            </c:numRef>
          </c:cat>
          <c:val>
            <c:numRef>
              <c:f>Off.indtægter!$H$11:$L$11</c:f>
              <c:numCache>
                <c:formatCode>_-* #,##0_-;\-* #,##0_-;_-* "-"??_-;_-@_-</c:formatCode>
                <c:ptCount val="5"/>
                <c:pt idx="0">
                  <c:v>926.61012099999994</c:v>
                </c:pt>
                <c:pt idx="1">
                  <c:v>1181.8333929999999</c:v>
                </c:pt>
                <c:pt idx="2">
                  <c:v>1268.1218180000001</c:v>
                </c:pt>
                <c:pt idx="3">
                  <c:v>1135.647692</c:v>
                </c:pt>
                <c:pt idx="4">
                  <c:v>1344.8323459954229</c:v>
                </c:pt>
              </c:numCache>
            </c:numRef>
          </c:val>
          <c:extLst xmlns:c16r2="http://schemas.microsoft.com/office/drawing/2015/06/chart">
            <c:ext xmlns:c16="http://schemas.microsoft.com/office/drawing/2014/chart" uri="{C3380CC4-5D6E-409C-BE32-E72D297353CC}">
              <c16:uniqueId val="{00000003-6DD1-414E-BEC0-0650F44B5D33}"/>
            </c:ext>
          </c:extLst>
        </c:ser>
        <c:dLbls>
          <c:showLegendKey val="0"/>
          <c:showVal val="0"/>
          <c:showCatName val="0"/>
          <c:showSerName val="0"/>
          <c:showPercent val="0"/>
          <c:showBubbleSize val="0"/>
        </c:dLbls>
        <c:gapWidth val="219"/>
        <c:overlap val="-27"/>
        <c:axId val="383173376"/>
        <c:axId val="383174912"/>
      </c:barChart>
      <c:catAx>
        <c:axId val="383173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3174912"/>
        <c:crosses val="autoZero"/>
        <c:auto val="1"/>
        <c:lblAlgn val="ctr"/>
        <c:lblOffset val="100"/>
        <c:noMultiLvlLbl val="0"/>
      </c:catAx>
      <c:valAx>
        <c:axId val="383174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a:latin typeface="Times New Roman" panose="02020603050405020304" pitchFamily="18" charset="0"/>
                    <a:cs typeface="Times New Roman" panose="02020603050405020304" pitchFamily="18" charset="0"/>
                  </a:rPr>
                  <a:t>Mio.kr.</a:t>
                </a:r>
              </a:p>
            </c:rich>
          </c:tx>
          <c:overlay val="0"/>
          <c:spPr>
            <a:noFill/>
            <a:ln>
              <a:noFill/>
            </a:ln>
            <a:effectLst/>
          </c:sp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317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Jollefiskeri, Hellefisk</c:v>
          </c:tx>
          <c:spPr>
            <a:solidFill>
              <a:schemeClr val="accent1"/>
            </a:solidFill>
            <a:ln>
              <a:noFill/>
            </a:ln>
            <a:effectLst/>
          </c:spPr>
          <c:invertIfNegative val="0"/>
          <c:dLbls>
            <c:dLbl>
              <c:idx val="4"/>
              <c:layout>
                <c:manualLayout>
                  <c:x val="-4.692082111437036E-3"/>
                  <c:y val="3.623188405797101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5E5-4319-8759-F9E90BDACCF2}"/>
                </c:ext>
              </c:extLst>
            </c:dLbl>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da-DK"/>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'Ark1'!$D$5:$J$5</c:f>
              <c:numCache>
                <c:formatCode>0</c:formatCode>
                <c:ptCount val="7"/>
                <c:pt idx="0">
                  <c:v>2013</c:v>
                </c:pt>
                <c:pt idx="1">
                  <c:v>2014</c:v>
                </c:pt>
                <c:pt idx="2">
                  <c:v>2015</c:v>
                </c:pt>
                <c:pt idx="3">
                  <c:v>2016</c:v>
                </c:pt>
                <c:pt idx="4">
                  <c:v>2017</c:v>
                </c:pt>
                <c:pt idx="5">
                  <c:v>2018</c:v>
                </c:pt>
                <c:pt idx="6">
                  <c:v>2019</c:v>
                </c:pt>
              </c:numCache>
            </c:numRef>
          </c:cat>
          <c:val>
            <c:numRef>
              <c:f>'Ark1'!$D$9:$J$9</c:f>
              <c:numCache>
                <c:formatCode>#,##0</c:formatCode>
                <c:ptCount val="7"/>
                <c:pt idx="0">
                  <c:v>1043</c:v>
                </c:pt>
                <c:pt idx="1">
                  <c:v>1258</c:v>
                </c:pt>
                <c:pt idx="2">
                  <c:v>1478</c:v>
                </c:pt>
                <c:pt idx="3">
                  <c:v>1785</c:v>
                </c:pt>
                <c:pt idx="4">
                  <c:v>1947</c:v>
                </c:pt>
                <c:pt idx="5">
                  <c:v>1817</c:v>
                </c:pt>
                <c:pt idx="6">
                  <c:v>1849</c:v>
                </c:pt>
              </c:numCache>
            </c:numRef>
          </c:val>
          <c:extLst xmlns:c16r2="http://schemas.microsoft.com/office/drawing/2015/06/chart">
            <c:ext xmlns:c16="http://schemas.microsoft.com/office/drawing/2014/chart" uri="{C3380CC4-5D6E-409C-BE32-E72D297353CC}">
              <c16:uniqueId val="{00000001-95E5-4319-8759-F9E90BDACCF2}"/>
            </c:ext>
          </c:extLst>
        </c:ser>
        <c:ser>
          <c:idx val="1"/>
          <c:order val="1"/>
          <c:tx>
            <c:v>Kystnært torskefiskeri</c:v>
          </c:tx>
          <c:spPr>
            <a:solidFill>
              <a:schemeClr val="accent2"/>
            </a:solidFill>
            <a:ln>
              <a:noFill/>
            </a:ln>
            <a:effectLst/>
          </c:spPr>
          <c:invertIfNegative val="0"/>
          <c:dLbls>
            <c:dLbl>
              <c:idx val="0"/>
              <c:layout>
                <c:manualLayout>
                  <c:x val="9.3841642228739003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5E5-4319-8759-F9E90BDACCF2}"/>
                </c:ext>
              </c:extLst>
            </c:dLbl>
            <c:dLbl>
              <c:idx val="1"/>
              <c:layout>
                <c:manualLayout>
                  <c:x val="1.1730205278592375E-2"/>
                  <c:y val="-3.3212176716573894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5E5-4319-8759-F9E90BDACCF2}"/>
                </c:ext>
              </c:extLst>
            </c:dLbl>
            <c:dLbl>
              <c:idx val="4"/>
              <c:spPr>
                <a:noFill/>
                <a:ln>
                  <a:noFill/>
                </a:ln>
                <a:effectLst/>
              </c:spPr>
              <c:txPr>
                <a:bodyPr rot="0" spcFirstLastPara="1" vertOverflow="ellipsis" vert="horz" wrap="square" lIns="38100" tIns="19050" rIns="38100" bIns="19050" anchor="ctr" anchorCtr="1">
                  <a:noAutofit/>
                </a:bodyPr>
                <a:lstStyle/>
                <a:p>
                  <a:pPr>
                    <a:defRPr sz="7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da-DK"/>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da-DK"/>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'Ark1'!$D$5:$J$5</c:f>
              <c:numCache>
                <c:formatCode>0</c:formatCode>
                <c:ptCount val="7"/>
                <c:pt idx="0">
                  <c:v>2013</c:v>
                </c:pt>
                <c:pt idx="1">
                  <c:v>2014</c:v>
                </c:pt>
                <c:pt idx="2">
                  <c:v>2015</c:v>
                </c:pt>
                <c:pt idx="3">
                  <c:v>2016</c:v>
                </c:pt>
                <c:pt idx="4">
                  <c:v>2017</c:v>
                </c:pt>
                <c:pt idx="5">
                  <c:v>2018</c:v>
                </c:pt>
                <c:pt idx="6">
                  <c:v>2019</c:v>
                </c:pt>
              </c:numCache>
            </c:numRef>
          </c:cat>
          <c:val>
            <c:numRef>
              <c:f>'Ark1'!$D$6:$J$6</c:f>
              <c:numCache>
                <c:formatCode>#,##0</c:formatCode>
                <c:ptCount val="7"/>
                <c:pt idx="0">
                  <c:v>1072</c:v>
                </c:pt>
                <c:pt idx="1">
                  <c:v>1302</c:v>
                </c:pt>
                <c:pt idx="2">
                  <c:v>1549</c:v>
                </c:pt>
                <c:pt idx="3">
                  <c:v>1743</c:v>
                </c:pt>
                <c:pt idx="4">
                  <c:v>1911</c:v>
                </c:pt>
                <c:pt idx="5">
                  <c:v>1674</c:v>
                </c:pt>
                <c:pt idx="6">
                  <c:v>1632</c:v>
                </c:pt>
              </c:numCache>
            </c:numRef>
          </c:val>
          <c:extLst xmlns:c16r2="http://schemas.microsoft.com/office/drawing/2015/06/chart">
            <c:ext xmlns:c16="http://schemas.microsoft.com/office/drawing/2014/chart" uri="{C3380CC4-5D6E-409C-BE32-E72D297353CC}">
              <c16:uniqueId val="{00000005-95E5-4319-8759-F9E90BDACCF2}"/>
            </c:ext>
          </c:extLst>
        </c:ser>
        <c:dLbls>
          <c:showLegendKey val="0"/>
          <c:showVal val="0"/>
          <c:showCatName val="0"/>
          <c:showSerName val="0"/>
          <c:showPercent val="0"/>
          <c:showBubbleSize val="0"/>
        </c:dLbls>
        <c:gapWidth val="234"/>
        <c:overlap val="-49"/>
        <c:axId val="383240832"/>
        <c:axId val="383312256"/>
      </c:barChart>
      <c:catAx>
        <c:axId val="38324083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3312256"/>
        <c:crosses val="autoZero"/>
        <c:auto val="1"/>
        <c:lblAlgn val="ctr"/>
        <c:lblOffset val="100"/>
        <c:noMultiLvlLbl val="0"/>
      </c:catAx>
      <c:valAx>
        <c:axId val="383312256"/>
        <c:scaling>
          <c:orientation val="minMax"/>
          <c:max val="2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3240832"/>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legend>
    <c:plotVisOnly val="1"/>
    <c:dispBlanksAs val="gap"/>
    <c:showDLblsOverMax val="0"/>
  </c:chart>
  <c:spPr>
    <a:solidFill>
      <a:schemeClr val="bg1"/>
    </a:solidFill>
    <a:ln w="9525" cap="flat" cmpd="sng" algn="ctr">
      <a:noFill/>
      <a:round/>
    </a:ln>
    <a:effectLst/>
  </c:spPr>
  <c:txPr>
    <a:bodyPr/>
    <a:lstStyle/>
    <a:p>
      <a:pPr>
        <a:defRPr/>
      </a:pPr>
      <a:endParaRPr lang="da-DK"/>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Havgående rejeflåde</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da-DK"/>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'Ark1'!$G$11:$L$11</c:f>
              <c:strCache>
                <c:ptCount val="6"/>
                <c:pt idx="0">
                  <c:v>0 - 9 år</c:v>
                </c:pt>
                <c:pt idx="1">
                  <c:v>10 - 14 år</c:v>
                </c:pt>
                <c:pt idx="2">
                  <c:v>15 - 19 år</c:v>
                </c:pt>
                <c:pt idx="3">
                  <c:v>20 - 24 år</c:v>
                </c:pt>
                <c:pt idx="4">
                  <c:v>25 - 30 år</c:v>
                </c:pt>
                <c:pt idx="5">
                  <c:v>31 år +</c:v>
                </c:pt>
              </c:strCache>
            </c:strRef>
          </c:cat>
          <c:val>
            <c:numRef>
              <c:f>'Ark1'!$S$12:$X$12</c:f>
              <c:numCache>
                <c:formatCode>General</c:formatCode>
                <c:ptCount val="6"/>
                <c:pt idx="0">
                  <c:v>2</c:v>
                </c:pt>
                <c:pt idx="2">
                  <c:v>4</c:v>
                </c:pt>
                <c:pt idx="4">
                  <c:v>1</c:v>
                </c:pt>
              </c:numCache>
            </c:numRef>
          </c:val>
          <c:extLst xmlns:c16r2="http://schemas.microsoft.com/office/drawing/2015/06/chart">
            <c:ext xmlns:c16="http://schemas.microsoft.com/office/drawing/2014/chart" uri="{C3380CC4-5D6E-409C-BE32-E72D297353CC}">
              <c16:uniqueId val="{00000000-1476-4A41-AD1D-E134D6582A7B}"/>
            </c:ext>
          </c:extLst>
        </c:ser>
        <c:ser>
          <c:idx val="1"/>
          <c:order val="1"/>
          <c:tx>
            <c:v>Øvrige havgående flåde</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da-DK"/>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'Ark1'!$S$13:$X$13</c:f>
              <c:numCache>
                <c:formatCode>General</c:formatCode>
                <c:ptCount val="6"/>
                <c:pt idx="0">
                  <c:v>1</c:v>
                </c:pt>
                <c:pt idx="2">
                  <c:v>6</c:v>
                </c:pt>
                <c:pt idx="3">
                  <c:v>1</c:v>
                </c:pt>
                <c:pt idx="4">
                  <c:v>1</c:v>
                </c:pt>
                <c:pt idx="5">
                  <c:v>4</c:v>
                </c:pt>
              </c:numCache>
            </c:numRef>
          </c:val>
          <c:extLst xmlns:c16r2="http://schemas.microsoft.com/office/drawing/2015/06/chart">
            <c:ext xmlns:c16="http://schemas.microsoft.com/office/drawing/2014/chart" uri="{C3380CC4-5D6E-409C-BE32-E72D297353CC}">
              <c16:uniqueId val="{00000001-1476-4A41-AD1D-E134D6582A7B}"/>
            </c:ext>
          </c:extLst>
        </c:ser>
        <c:ser>
          <c:idx val="2"/>
          <c:order val="2"/>
          <c:tx>
            <c:v>Kystnær rejeflåde</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da-DK"/>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'Ark1'!$S$14:$X$14</c:f>
              <c:numCache>
                <c:formatCode>General</c:formatCode>
                <c:ptCount val="6"/>
                <c:pt idx="0">
                  <c:v>1</c:v>
                </c:pt>
                <c:pt idx="2">
                  <c:v>1</c:v>
                </c:pt>
                <c:pt idx="3">
                  <c:v>1</c:v>
                </c:pt>
                <c:pt idx="4">
                  <c:v>3</c:v>
                </c:pt>
                <c:pt idx="5">
                  <c:v>14</c:v>
                </c:pt>
              </c:numCache>
            </c:numRef>
          </c:val>
          <c:extLst xmlns:c16r2="http://schemas.microsoft.com/office/drawing/2015/06/chart">
            <c:ext xmlns:c16="http://schemas.microsoft.com/office/drawing/2014/chart" uri="{C3380CC4-5D6E-409C-BE32-E72D297353CC}">
              <c16:uniqueId val="{00000002-1476-4A41-AD1D-E134D6582A7B}"/>
            </c:ext>
          </c:extLst>
        </c:ser>
        <c:ser>
          <c:idx val="3"/>
          <c:order val="3"/>
          <c:tx>
            <c:v>Øvrige kystnær flåde</c:v>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da-DK"/>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'Ark1'!$S$15:$X$15</c:f>
              <c:numCache>
                <c:formatCode>General</c:formatCode>
                <c:ptCount val="6"/>
                <c:pt idx="0">
                  <c:v>67</c:v>
                </c:pt>
                <c:pt idx="1">
                  <c:v>14</c:v>
                </c:pt>
                <c:pt idx="2">
                  <c:v>27</c:v>
                </c:pt>
                <c:pt idx="3">
                  <c:v>28</c:v>
                </c:pt>
                <c:pt idx="4">
                  <c:v>25</c:v>
                </c:pt>
                <c:pt idx="5">
                  <c:v>86</c:v>
                </c:pt>
              </c:numCache>
            </c:numRef>
          </c:val>
          <c:extLst xmlns:c16r2="http://schemas.microsoft.com/office/drawing/2015/06/chart">
            <c:ext xmlns:c16="http://schemas.microsoft.com/office/drawing/2014/chart" uri="{C3380CC4-5D6E-409C-BE32-E72D297353CC}">
              <c16:uniqueId val="{00000003-1476-4A41-AD1D-E134D6582A7B}"/>
            </c:ext>
          </c:extLst>
        </c:ser>
        <c:dLbls>
          <c:showLegendKey val="0"/>
          <c:showVal val="0"/>
          <c:showCatName val="0"/>
          <c:showSerName val="0"/>
          <c:showPercent val="0"/>
          <c:showBubbleSize val="0"/>
        </c:dLbls>
        <c:gapWidth val="219"/>
        <c:overlap val="-27"/>
        <c:axId val="383427712"/>
        <c:axId val="383429632"/>
      </c:barChart>
      <c:catAx>
        <c:axId val="38342771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da-DK" sz="900">
                    <a:latin typeface="Times New Roman" panose="02020603050405020304" pitchFamily="18" charset="0"/>
                    <a:cs typeface="Times New Roman" panose="02020603050405020304" pitchFamily="18" charset="0"/>
                  </a:rPr>
                  <a:t>Alderskategori</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3429632"/>
        <c:crosses val="autoZero"/>
        <c:auto val="1"/>
        <c:lblAlgn val="ctr"/>
        <c:lblOffset val="100"/>
        <c:noMultiLvlLbl val="0"/>
      </c:catAx>
      <c:valAx>
        <c:axId val="383429632"/>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900">
                    <a:latin typeface="Times New Roman" panose="02020603050405020304" pitchFamily="18" charset="0"/>
                    <a:cs typeface="Times New Roman" panose="02020603050405020304" pitchFamily="18" charset="0"/>
                  </a:rPr>
                  <a:t>Antal fartøjer</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3427712"/>
        <c:crosses val="autoZero"/>
        <c:crossBetween val="between"/>
        <c:maj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legend>
    <c:plotVisOnly val="1"/>
    <c:dispBlanksAs val="gap"/>
    <c:showDLblsOverMax val="0"/>
  </c:chart>
  <c:spPr>
    <a:solidFill>
      <a:schemeClr val="bg1"/>
    </a:solidFill>
    <a:ln w="9525" cap="flat" cmpd="sng" algn="ctr">
      <a:noFill/>
      <a:round/>
    </a:ln>
    <a:effectLst/>
  </c:spPr>
  <c:txPr>
    <a:bodyPr/>
    <a:lstStyle/>
    <a:p>
      <a:pPr>
        <a:defRPr/>
      </a:pPr>
      <a:endParaRPr lang="da-DK"/>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60000"/>
                  <a:lumOff val="40000"/>
                </a:schemeClr>
              </a:solidFill>
              <a:ln>
                <a:noFill/>
              </a:ln>
              <a:effectLst/>
            </c:spPr>
            <c:extLst xmlns:c16r2="http://schemas.microsoft.com/office/drawing/2015/06/chart">
              <c:ext xmlns:c16="http://schemas.microsoft.com/office/drawing/2014/chart" uri="{C3380CC4-5D6E-409C-BE32-E72D297353CC}">
                <c16:uniqueId val="{00000001-4BC7-4F38-A948-52E1A7CB1BD3}"/>
              </c:ext>
            </c:extLst>
          </c:dPt>
          <c:dPt>
            <c:idx val="1"/>
            <c:invertIfNegative val="0"/>
            <c:bubble3D val="0"/>
            <c:spPr>
              <a:solidFill>
                <a:schemeClr val="accent4">
                  <a:lumMod val="60000"/>
                  <a:lumOff val="40000"/>
                </a:schemeClr>
              </a:solidFill>
              <a:ln>
                <a:noFill/>
              </a:ln>
              <a:effectLst/>
            </c:spPr>
            <c:extLst xmlns:c16r2="http://schemas.microsoft.com/office/drawing/2015/06/chart">
              <c:ext xmlns:c16="http://schemas.microsoft.com/office/drawing/2014/chart" uri="{C3380CC4-5D6E-409C-BE32-E72D297353CC}">
                <c16:uniqueId val="{00000003-4BC7-4F38-A948-52E1A7CB1BD3}"/>
              </c:ext>
            </c:extLst>
          </c:dPt>
          <c:dPt>
            <c:idx val="2"/>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5-4BC7-4F38-A948-52E1A7CB1BD3}"/>
              </c:ext>
            </c:extLst>
          </c:dPt>
          <c:dPt>
            <c:idx val="3"/>
            <c:invertIfNegative val="0"/>
            <c:bubble3D val="0"/>
            <c:spPr>
              <a:solidFill>
                <a:schemeClr val="bg1">
                  <a:lumMod val="50000"/>
                </a:schemeClr>
              </a:solidFill>
              <a:ln>
                <a:noFill/>
              </a:ln>
              <a:effectLst/>
            </c:spPr>
            <c:extLst xmlns:c16r2="http://schemas.microsoft.com/office/drawing/2015/06/chart">
              <c:ext xmlns:c16="http://schemas.microsoft.com/office/drawing/2014/chart" uri="{C3380CC4-5D6E-409C-BE32-E72D297353CC}">
                <c16:uniqueId val="{00000007-4BC7-4F38-A948-52E1A7CB1BD3}"/>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da-DK"/>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Beskæftigelse!$J$3:$M$3</c:f>
              <c:numCache>
                <c:formatCode>General</c:formatCode>
                <c:ptCount val="4"/>
                <c:pt idx="0">
                  <c:v>2014</c:v>
                </c:pt>
                <c:pt idx="1">
                  <c:v>2015</c:v>
                </c:pt>
                <c:pt idx="2">
                  <c:v>2016</c:v>
                </c:pt>
                <c:pt idx="3">
                  <c:v>2017</c:v>
                </c:pt>
              </c:numCache>
            </c:numRef>
          </c:cat>
          <c:val>
            <c:numRef>
              <c:f>Beskæftigelse!$J$4:$M$4</c:f>
              <c:numCache>
                <c:formatCode>_ * #,##0_ ;_ * \-#,##0_ ;_ * "-"??_ ;_ @_ </c:formatCode>
                <c:ptCount val="4"/>
                <c:pt idx="0">
                  <c:v>3640</c:v>
                </c:pt>
                <c:pt idx="1">
                  <c:v>4085</c:v>
                </c:pt>
                <c:pt idx="2">
                  <c:v>4535</c:v>
                </c:pt>
                <c:pt idx="3">
                  <c:v>4391</c:v>
                </c:pt>
              </c:numCache>
            </c:numRef>
          </c:val>
          <c:extLst xmlns:c16r2="http://schemas.microsoft.com/office/drawing/2015/06/chart">
            <c:ext xmlns:c16="http://schemas.microsoft.com/office/drawing/2014/chart" uri="{C3380CC4-5D6E-409C-BE32-E72D297353CC}">
              <c16:uniqueId val="{00000008-4BC7-4F38-A948-52E1A7CB1BD3}"/>
            </c:ext>
          </c:extLst>
        </c:ser>
        <c:dLbls>
          <c:showLegendKey val="0"/>
          <c:showVal val="0"/>
          <c:showCatName val="0"/>
          <c:showSerName val="0"/>
          <c:showPercent val="0"/>
          <c:showBubbleSize val="0"/>
        </c:dLbls>
        <c:gapWidth val="219"/>
        <c:overlap val="-27"/>
        <c:axId val="383663488"/>
        <c:axId val="383685760"/>
      </c:barChart>
      <c:catAx>
        <c:axId val="383663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3685760"/>
        <c:crosses val="autoZero"/>
        <c:auto val="1"/>
        <c:lblAlgn val="ctr"/>
        <c:lblOffset val="100"/>
        <c:noMultiLvlLbl val="0"/>
      </c:catAx>
      <c:valAx>
        <c:axId val="383685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Antal hovedbeskæftigede i gennemsnit pr. måned</a:t>
                </a:r>
              </a:p>
            </c:rich>
          </c:tx>
          <c:overlay val="0"/>
          <c:spPr>
            <a:noFill/>
            <a:ln>
              <a:noFill/>
            </a:ln>
            <a:effectLst/>
          </c:spPr>
        </c:title>
        <c:numFmt formatCode="_ * #,##0_ ;_ * \-#,##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crossAx val="3836634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da-DK"/>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'Aldersfordeling havgående'!$B$4</c:f>
              <c:strCache>
                <c:ptCount val="1"/>
                <c:pt idx="0">
                  <c:v>Aldersgruppe</c:v>
                </c:pt>
              </c:strCache>
            </c:strRef>
          </c:tx>
          <c:invertIfNegative val="0"/>
          <c:cat>
            <c:strRef>
              <c:f>'Aldersfordeling havgående'!$B$5:$B$15</c:f>
              <c:strCache>
                <c:ptCount val="11"/>
                <c:pt idx="0">
                  <c:v>16-20</c:v>
                </c:pt>
                <c:pt idx="1">
                  <c:v>21-25</c:v>
                </c:pt>
                <c:pt idx="2">
                  <c:v>26-30</c:v>
                </c:pt>
                <c:pt idx="3">
                  <c:v>31-35</c:v>
                </c:pt>
                <c:pt idx="4">
                  <c:v>36-40</c:v>
                </c:pt>
                <c:pt idx="5">
                  <c:v>41-45</c:v>
                </c:pt>
                <c:pt idx="6">
                  <c:v>46-50</c:v>
                </c:pt>
                <c:pt idx="7">
                  <c:v>51-55</c:v>
                </c:pt>
                <c:pt idx="8">
                  <c:v>56-60</c:v>
                </c:pt>
                <c:pt idx="9">
                  <c:v>61-65</c:v>
                </c:pt>
                <c:pt idx="10">
                  <c:v>66+</c:v>
                </c:pt>
              </c:strCache>
            </c:strRef>
          </c:cat>
          <c:val>
            <c:numRef>
              <c:f>'Aldersfordeling havgående'!$J$5:$J$15</c:f>
              <c:numCache>
                <c:formatCode>0%</c:formatCode>
                <c:ptCount val="11"/>
                <c:pt idx="0">
                  <c:v>3.1318281136198105E-2</c:v>
                </c:pt>
                <c:pt idx="1">
                  <c:v>0.12381646030589949</c:v>
                </c:pt>
                <c:pt idx="2">
                  <c:v>0.11871813546977422</c:v>
                </c:pt>
                <c:pt idx="3">
                  <c:v>9.5411507647487251E-2</c:v>
                </c:pt>
                <c:pt idx="4">
                  <c:v>0.11289147851420248</c:v>
                </c:pt>
                <c:pt idx="5">
                  <c:v>9.0313182811361983E-2</c:v>
                </c:pt>
                <c:pt idx="6">
                  <c:v>0.11726147123088128</c:v>
                </c:pt>
                <c:pt idx="7">
                  <c:v>0.15950473415877639</c:v>
                </c:pt>
                <c:pt idx="8">
                  <c:v>9.6139839766933716E-2</c:v>
                </c:pt>
                <c:pt idx="9">
                  <c:v>4.5156591405680992E-2</c:v>
                </c:pt>
                <c:pt idx="10">
                  <c:v>9.468317552804079E-3</c:v>
                </c:pt>
              </c:numCache>
            </c:numRef>
          </c:val>
          <c:extLst xmlns:c16r2="http://schemas.microsoft.com/office/drawing/2015/06/chart">
            <c:ext xmlns:c16="http://schemas.microsoft.com/office/drawing/2014/chart" uri="{C3380CC4-5D6E-409C-BE32-E72D297353CC}">
              <c16:uniqueId val="{00000000-AEB7-477F-B33A-EAA9DA22CA0C}"/>
            </c:ext>
          </c:extLst>
        </c:ser>
        <c:dLbls>
          <c:showLegendKey val="0"/>
          <c:showVal val="0"/>
          <c:showCatName val="0"/>
          <c:showSerName val="0"/>
          <c:showPercent val="0"/>
          <c:showBubbleSize val="0"/>
        </c:dLbls>
        <c:gapWidth val="150"/>
        <c:axId val="383698048"/>
        <c:axId val="383699968"/>
      </c:barChart>
      <c:catAx>
        <c:axId val="383698048"/>
        <c:scaling>
          <c:orientation val="minMax"/>
        </c:scaling>
        <c:delete val="0"/>
        <c:axPos val="b"/>
        <c:title>
          <c:tx>
            <c:rich>
              <a:bodyPr/>
              <a:lstStyle/>
              <a:p>
                <a:pPr>
                  <a:defRPr b="0">
                    <a:latin typeface="Times New Roman" panose="02020603050405020304" pitchFamily="18" charset="0"/>
                    <a:cs typeface="Times New Roman" panose="02020603050405020304" pitchFamily="18" charset="0"/>
                  </a:defRPr>
                </a:pPr>
                <a:r>
                  <a:rPr lang="en-US" b="0">
                    <a:latin typeface="Times New Roman" panose="02020603050405020304" pitchFamily="18" charset="0"/>
                    <a:cs typeface="Times New Roman" panose="02020603050405020304" pitchFamily="18" charset="0"/>
                  </a:rPr>
                  <a:t>Aldersgruppe</a:t>
                </a: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da-DK"/>
          </a:p>
        </c:txPr>
        <c:crossAx val="383699968"/>
        <c:crosses val="autoZero"/>
        <c:auto val="1"/>
        <c:lblAlgn val="ctr"/>
        <c:lblOffset val="100"/>
        <c:noMultiLvlLbl val="0"/>
      </c:catAx>
      <c:valAx>
        <c:axId val="383699968"/>
        <c:scaling>
          <c:orientation val="minMax"/>
        </c:scaling>
        <c:delete val="0"/>
        <c:axPos val="l"/>
        <c:majorGridlines/>
        <c:title>
          <c:tx>
            <c:rich>
              <a:bodyPr rot="-5400000" vert="horz"/>
              <a:lstStyle/>
              <a:p>
                <a:pPr>
                  <a:defRPr/>
                </a:pPr>
                <a:r>
                  <a:rPr lang="en-US" sz="900" b="0">
                    <a:latin typeface="Times New Roman" panose="02020603050405020304" pitchFamily="18" charset="0"/>
                    <a:cs typeface="Times New Roman" panose="02020603050405020304" pitchFamily="18" charset="0"/>
                  </a:rPr>
                  <a:t>Andel af samlet antal besætningsmedlemmer</a:t>
                </a:r>
              </a:p>
            </c:rich>
          </c:tx>
          <c:layout>
            <c:manualLayout>
              <c:xMode val="edge"/>
              <c:yMode val="edge"/>
              <c:x val="1.7849174475680501E-2"/>
              <c:y val="0.21150226911291264"/>
            </c:manualLayout>
          </c:layout>
          <c:overlay val="0"/>
        </c:title>
        <c:numFmt formatCode="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da-DK"/>
          </a:p>
        </c:txPr>
        <c:crossAx val="383698048"/>
        <c:crosses val="autoZero"/>
        <c:crossBetween val="between"/>
      </c:valAx>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invertIfNegative val="0"/>
          <c:cat>
            <c:strRef>
              <c:f>Aldersfordeling_jollefiskere!$C$24:$C$34</c:f>
              <c:strCache>
                <c:ptCount val="11"/>
                <c:pt idx="0">
                  <c:v>16-20</c:v>
                </c:pt>
                <c:pt idx="1">
                  <c:v>21-25</c:v>
                </c:pt>
                <c:pt idx="2">
                  <c:v>26-30</c:v>
                </c:pt>
                <c:pt idx="3">
                  <c:v>31-35</c:v>
                </c:pt>
                <c:pt idx="4">
                  <c:v>36-40</c:v>
                </c:pt>
                <c:pt idx="5">
                  <c:v>41-45</c:v>
                </c:pt>
                <c:pt idx="6">
                  <c:v>46-50</c:v>
                </c:pt>
                <c:pt idx="7">
                  <c:v>51-55</c:v>
                </c:pt>
                <c:pt idx="8">
                  <c:v>56-60</c:v>
                </c:pt>
                <c:pt idx="9">
                  <c:v>61-65</c:v>
                </c:pt>
                <c:pt idx="10">
                  <c:v>66 +</c:v>
                </c:pt>
              </c:strCache>
            </c:strRef>
          </c:cat>
          <c:val>
            <c:numRef>
              <c:f>Aldersfordeling_jollefiskere!$D$24:$D$34</c:f>
              <c:numCache>
                <c:formatCode>0.0%</c:formatCode>
                <c:ptCount val="11"/>
                <c:pt idx="0">
                  <c:v>2.1296296296296296E-2</c:v>
                </c:pt>
                <c:pt idx="1">
                  <c:v>7.1296296296296302E-2</c:v>
                </c:pt>
                <c:pt idx="2">
                  <c:v>9.0277777777777776E-2</c:v>
                </c:pt>
                <c:pt idx="3">
                  <c:v>9.5370370370370369E-2</c:v>
                </c:pt>
                <c:pt idx="4">
                  <c:v>8.8425925925925922E-2</c:v>
                </c:pt>
                <c:pt idx="5">
                  <c:v>8.5185185185185183E-2</c:v>
                </c:pt>
                <c:pt idx="6">
                  <c:v>0.11435185185185186</c:v>
                </c:pt>
                <c:pt idx="7">
                  <c:v>0.15833333333333333</c:v>
                </c:pt>
                <c:pt idx="8">
                  <c:v>0.12638888888888888</c:v>
                </c:pt>
                <c:pt idx="9">
                  <c:v>7.0370370370370375E-2</c:v>
                </c:pt>
                <c:pt idx="10">
                  <c:v>7.8703703703703706E-2</c:v>
                </c:pt>
              </c:numCache>
            </c:numRef>
          </c:val>
          <c:extLst xmlns:c16r2="http://schemas.microsoft.com/office/drawing/2015/06/chart">
            <c:ext xmlns:c16="http://schemas.microsoft.com/office/drawing/2014/chart" uri="{C3380CC4-5D6E-409C-BE32-E72D297353CC}">
              <c16:uniqueId val="{00000000-2F69-4C0D-944B-A2184EF627F6}"/>
            </c:ext>
          </c:extLst>
        </c:ser>
        <c:dLbls>
          <c:showLegendKey val="0"/>
          <c:showVal val="0"/>
          <c:showCatName val="0"/>
          <c:showSerName val="0"/>
          <c:showPercent val="0"/>
          <c:showBubbleSize val="0"/>
        </c:dLbls>
        <c:gapWidth val="150"/>
        <c:axId val="384142336"/>
        <c:axId val="384156800"/>
      </c:barChart>
      <c:catAx>
        <c:axId val="384142336"/>
        <c:scaling>
          <c:orientation val="minMax"/>
        </c:scaling>
        <c:delete val="0"/>
        <c:axPos val="b"/>
        <c:title>
          <c:tx>
            <c:rich>
              <a:bodyPr/>
              <a:lstStyle/>
              <a:p>
                <a:pPr>
                  <a:defRPr b="0">
                    <a:latin typeface="Times New Roman" panose="02020603050405020304" pitchFamily="18" charset="0"/>
                    <a:cs typeface="Times New Roman" panose="02020603050405020304" pitchFamily="18" charset="0"/>
                  </a:defRPr>
                </a:pPr>
                <a:r>
                  <a:rPr lang="en-US" b="0">
                    <a:latin typeface="Times New Roman" panose="02020603050405020304" pitchFamily="18" charset="0"/>
                    <a:cs typeface="Times New Roman" panose="02020603050405020304" pitchFamily="18" charset="0"/>
                  </a:rPr>
                  <a:t>Aldersgrupper</a:t>
                </a: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da-DK"/>
          </a:p>
        </c:txPr>
        <c:crossAx val="384156800"/>
        <c:crosses val="autoZero"/>
        <c:auto val="1"/>
        <c:lblAlgn val="ctr"/>
        <c:lblOffset val="100"/>
        <c:noMultiLvlLbl val="0"/>
      </c:catAx>
      <c:valAx>
        <c:axId val="384156800"/>
        <c:scaling>
          <c:orientation val="minMax"/>
        </c:scaling>
        <c:delete val="0"/>
        <c:axPos val="l"/>
        <c:majorGridlines>
          <c:spPr>
            <a:ln>
              <a:solidFill>
                <a:schemeClr val="bg1">
                  <a:lumMod val="85000"/>
                </a:schemeClr>
              </a:solidFill>
            </a:ln>
          </c:spPr>
        </c:majorGridlines>
        <c:title>
          <c:tx>
            <c:rich>
              <a:bodyPr rot="-5400000" vert="horz"/>
              <a:lstStyle/>
              <a:p>
                <a:pPr>
                  <a:defRPr b="0">
                    <a:latin typeface="Times New Roman" panose="02020603050405020304" pitchFamily="18" charset="0"/>
                    <a:cs typeface="Times New Roman" panose="02020603050405020304" pitchFamily="18" charset="0"/>
                  </a:defRPr>
                </a:pPr>
                <a:r>
                  <a:rPr lang="en-US" sz="900" b="0">
                    <a:latin typeface="Times New Roman" panose="02020603050405020304" pitchFamily="18" charset="0"/>
                    <a:cs typeface="Times New Roman" panose="02020603050405020304" pitchFamily="18" charset="0"/>
                  </a:rPr>
                  <a:t>Andel af det samlede antal fiskere</a:t>
                </a:r>
              </a:p>
            </c:rich>
          </c:tx>
          <c:overlay val="0"/>
        </c:title>
        <c:numFmt formatCode="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da-DK"/>
          </a:p>
        </c:txPr>
        <c:crossAx val="384142336"/>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da-DK"/>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3"/>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E6C-478B-A7B1-1A032DCA6A1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E6C-478B-A7B1-1A032DCA6A1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E6C-478B-A7B1-1A032DCA6A1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E6C-478B-A7B1-1A032DCA6A1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E6C-478B-A7B1-1A032DCA6A1C}"/>
              </c:ext>
            </c:extLst>
          </c:dPt>
          <c:dLbls>
            <c:dLbl>
              <c:idx val="0"/>
              <c:layout>
                <c:manualLayout>
                  <c:x val="-7.9099682461943058E-2"/>
                  <c:y val="0.1289554484573929"/>
                </c:manualLayout>
              </c:layout>
              <c:spPr>
                <a:noFill/>
                <a:ln>
                  <a:noFill/>
                </a:ln>
                <a:effectLst/>
              </c:spPr>
              <c:txPr>
                <a:bodyPr rot="0" spcFirstLastPara="1" vertOverflow="ellipsis" vert="horz" wrap="square" lIns="38100" tIns="19050" rIns="38100" bIns="19050" anchor="ctr" anchorCtr="1">
                  <a:noAutofit/>
                </a:bodyPr>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da-DK"/>
                </a:p>
              </c:txPr>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manualLayout>
                      <c:w val="8.6334409516389071E-2"/>
                      <c:h val="0.10808740285292315"/>
                    </c:manualLayout>
                  </c15:layout>
                </c:ext>
                <c:ext xmlns:c16="http://schemas.microsoft.com/office/drawing/2014/chart" uri="{C3380CC4-5D6E-409C-BE32-E72D297353CC}">
                  <c16:uniqueId val="{00000001-2E6C-478B-A7B1-1A032DCA6A1C}"/>
                </c:ext>
              </c:extLst>
            </c:dLbl>
            <c:dLbl>
              <c:idx val="1"/>
              <c:layout>
                <c:manualLayout>
                  <c:x val="-9.0675245749056749E-2"/>
                  <c:y val="-0.1627423138852867"/>
                </c:manualLayout>
              </c:layout>
              <c:spPr>
                <a:noFill/>
                <a:ln>
                  <a:noFill/>
                </a:ln>
                <a:effectLst/>
              </c:spPr>
              <c:txPr>
                <a:bodyPr rot="0" spcFirstLastPara="1" vertOverflow="ellipsis" vert="horz" wrap="square" lIns="38100" tIns="19050" rIns="38100" bIns="19050" anchor="ctr" anchorCtr="1">
                  <a:noAutofit/>
                </a:bodyPr>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da-DK"/>
                </a:p>
              </c:txPr>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manualLayout>
                      <c:w val="8.4887464105499869E-2"/>
                      <c:h val="0.105021093552131"/>
                    </c:manualLayout>
                  </c15:layout>
                </c:ext>
                <c:ext xmlns:c16="http://schemas.microsoft.com/office/drawing/2014/chart" uri="{C3380CC4-5D6E-409C-BE32-E72D297353CC}">
                  <c16:uniqueId val="{00000003-2E6C-478B-A7B1-1A032DCA6A1C}"/>
                </c:ext>
              </c:extLst>
            </c:dLbl>
            <c:dLbl>
              <c:idx val="2"/>
              <c:layout>
                <c:manualLayout>
                  <c:x val="0.12831459696102718"/>
                  <c:y val="-0.15337442775872967"/>
                </c:manualLayout>
              </c:layout>
              <c:spPr>
                <a:noFill/>
                <a:ln>
                  <a:noFill/>
                </a:ln>
                <a:effectLst/>
              </c:spPr>
              <c:txPr>
                <a:bodyPr rot="0" spcFirstLastPara="1" vertOverflow="ellipsis" vert="horz" wrap="square" lIns="38100" tIns="19050" rIns="38100" bIns="19050" anchor="ctr" anchorCtr="1">
                  <a:noAutofit/>
                </a:bodyPr>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da-DK"/>
                </a:p>
              </c:txPr>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manualLayout>
                      <c:w val="0.10562701499491177"/>
                      <c:h val="0.10808740285292315"/>
                    </c:manualLayout>
                  </c15:layout>
                </c:ext>
                <c:ext xmlns:c16="http://schemas.microsoft.com/office/drawing/2014/chart" uri="{C3380CC4-5D6E-409C-BE32-E72D297353CC}">
                  <c16:uniqueId val="{00000005-2E6C-478B-A7B1-1A032DCA6A1C}"/>
                </c:ext>
              </c:extLst>
            </c:dLbl>
            <c:dLbl>
              <c:idx val="3"/>
              <c:layout>
                <c:manualLayout>
                  <c:x val="0.10516961686569595"/>
                  <c:y val="0.11998295247763704"/>
                </c:manualLayout>
              </c:layout>
              <c:spPr>
                <a:noFill/>
                <a:ln>
                  <a:noFill/>
                </a:ln>
                <a:effectLst/>
              </c:spPr>
              <c:txPr>
                <a:bodyPr rot="0" spcFirstLastPara="1" vertOverflow="ellipsis" vert="horz" wrap="square" lIns="38100" tIns="19050" rIns="38100" bIns="19050" anchor="ctr" anchorCtr="1">
                  <a:noAutofit/>
                </a:bodyPr>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da-DK"/>
                </a:p>
              </c:txPr>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manualLayout>
                      <c:w val="7.5241161366238513E-2"/>
                      <c:h val="9.5822165649754557E-2"/>
                    </c:manualLayout>
                  </c15:layout>
                </c:ext>
                <c:ext xmlns:c16="http://schemas.microsoft.com/office/drawing/2014/chart" uri="{C3380CC4-5D6E-409C-BE32-E72D297353CC}">
                  <c16:uniqueId val="{00000007-2E6C-478B-A7B1-1A032DCA6A1C}"/>
                </c:ext>
              </c:extLst>
            </c:dLbl>
            <c:dLbl>
              <c:idx val="4"/>
              <c:layout>
                <c:manualLayout>
                  <c:x val="5.0430092850531454E-2"/>
                  <c:y val="0.14711700538241998"/>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2E6C-478B-A7B1-1A032DCA6A1C}"/>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da-DK"/>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'Joller 47'!$H$21:$H$25</c:f>
              <c:strCache>
                <c:ptCount val="5"/>
                <c:pt idx="0">
                  <c:v>0-5 tons</c:v>
                </c:pt>
                <c:pt idx="1">
                  <c:v>5-10 tons</c:v>
                </c:pt>
                <c:pt idx="2">
                  <c:v>10-20 tons</c:v>
                </c:pt>
                <c:pt idx="3">
                  <c:v>20-30 tons</c:v>
                </c:pt>
                <c:pt idx="4">
                  <c:v>30 tons +</c:v>
                </c:pt>
              </c:strCache>
            </c:strRef>
          </c:cat>
          <c:val>
            <c:numRef>
              <c:f>'Joller 47'!$I$21:$I$25</c:f>
              <c:numCache>
                <c:formatCode>General</c:formatCode>
                <c:ptCount val="5"/>
                <c:pt idx="0">
                  <c:v>256</c:v>
                </c:pt>
                <c:pt idx="1">
                  <c:v>196</c:v>
                </c:pt>
                <c:pt idx="2">
                  <c:v>274</c:v>
                </c:pt>
                <c:pt idx="3">
                  <c:v>118</c:v>
                </c:pt>
                <c:pt idx="4">
                  <c:v>93</c:v>
                </c:pt>
              </c:numCache>
            </c:numRef>
          </c:val>
          <c:extLst xmlns:c16r2="http://schemas.microsoft.com/office/drawing/2015/06/chart">
            <c:ext xmlns:c16="http://schemas.microsoft.com/office/drawing/2014/chart" uri="{C3380CC4-5D6E-409C-BE32-E72D297353CC}">
              <c16:uniqueId val="{0000000A-2E6C-478B-A7B1-1A032DCA6A1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da-DK"/>
        </a:p>
      </c:txPr>
    </c:legend>
    <c:plotVisOnly val="1"/>
    <c:dispBlanksAs val="gap"/>
    <c:showDLblsOverMax val="0"/>
  </c:chart>
  <c:spPr>
    <a:solidFill>
      <a:schemeClr val="bg1"/>
    </a:solidFill>
    <a:ln w="9525" cap="flat" cmpd="sng" algn="ctr">
      <a:noFill/>
      <a:round/>
    </a:ln>
    <a:effectLst/>
  </c:spPr>
  <c:txPr>
    <a:bodyPr/>
    <a:lstStyle/>
    <a:p>
      <a:pPr>
        <a:defRPr/>
      </a:pPr>
      <a:endParaRPr lang="da-DK"/>
    </a:p>
  </c:txPr>
  <c:externalData r:id="rId2">
    <c:autoUpdate val="0"/>
  </c:externalData>
</c:chartSpace>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74ED74-8EB7-4BB7-A276-C25DF543C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19</Pages>
  <Words>4380</Words>
  <Characters>26722</Characters>
  <Application>Microsoft Office Word</Application>
  <DocSecurity>0</DocSecurity>
  <Lines>222</Lines>
  <Paragraphs>62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Kalaallit Nunaanni Namminersorlutik Oqartussat</Company>
  <LinksUpToDate>false</LinksUpToDate>
  <CharactersWithSpaces>31040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Marie Nydam Jensen</dc:creator>
  <cp:lastModifiedBy>Thomas Rassing</cp:lastModifiedBy>
  <cp:revision>9</cp:revision>
  <cp:lastPrinted>2019-09-26T10:51:00Z</cp:lastPrinted>
  <dcterms:created xsi:type="dcterms:W3CDTF">2019-12-16T18:06:00Z</dcterms:created>
  <dcterms:modified xsi:type="dcterms:W3CDTF">2019-12-20T15:00:00Z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Remapped">
    <vt:lpwstr>true</vt:lpwstr>
  </property>
</Properties>
</file>