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FC01E" w14:textId="091A46B6" w:rsidR="003B4403" w:rsidRPr="0090529F" w:rsidRDefault="003B4403" w:rsidP="00296167">
      <w:pPr>
        <w:spacing w:line="240" w:lineRule="auto"/>
        <w:jc w:val="both"/>
        <w:rPr>
          <w:rFonts w:cstheme="minorHAnsi"/>
          <w:b/>
          <w:sz w:val="28"/>
          <w:szCs w:val="28"/>
        </w:rPr>
      </w:pPr>
    </w:p>
    <w:p w14:paraId="541A21BA" w14:textId="77777777" w:rsidR="004B2FB0" w:rsidRPr="0090529F" w:rsidRDefault="004B2FB0" w:rsidP="00296167">
      <w:pPr>
        <w:spacing w:line="240" w:lineRule="auto"/>
        <w:jc w:val="both"/>
        <w:rPr>
          <w:rFonts w:cstheme="minorHAnsi"/>
          <w:b/>
        </w:rPr>
      </w:pPr>
    </w:p>
    <w:p w14:paraId="72B62985" w14:textId="014A82F5" w:rsidR="00F94136" w:rsidRDefault="007C727F" w:rsidP="00296167">
      <w:pPr>
        <w:spacing w:after="0" w:line="240" w:lineRule="auto"/>
        <w:jc w:val="both"/>
        <w:rPr>
          <w:rFonts w:cstheme="minorHAnsi"/>
          <w:b/>
          <w:sz w:val="32"/>
          <w:szCs w:val="32"/>
        </w:rPr>
      </w:pPr>
      <w:r>
        <w:rPr>
          <w:rFonts w:cstheme="minorHAnsi"/>
          <w:b/>
          <w:sz w:val="32"/>
          <w:szCs w:val="32"/>
        </w:rPr>
        <w:t>Baggrundsnotat</w:t>
      </w:r>
    </w:p>
    <w:p w14:paraId="228EA754" w14:textId="77777777" w:rsidR="007C727F" w:rsidRPr="00263C02" w:rsidRDefault="007C727F" w:rsidP="00263C02">
      <w:pPr>
        <w:spacing w:after="0" w:line="240" w:lineRule="auto"/>
        <w:rPr>
          <w:rFonts w:cstheme="minorHAnsi"/>
        </w:rPr>
      </w:pPr>
    </w:p>
    <w:p w14:paraId="560E05B5" w14:textId="501756F5" w:rsidR="007C727F" w:rsidRDefault="007C727F" w:rsidP="007E7793">
      <w:pPr>
        <w:spacing w:after="0" w:line="240" w:lineRule="auto"/>
        <w:jc w:val="both"/>
        <w:rPr>
          <w:rFonts w:cstheme="minorHAnsi"/>
          <w:b/>
          <w:sz w:val="28"/>
          <w:szCs w:val="28"/>
        </w:rPr>
      </w:pPr>
      <w:r>
        <w:rPr>
          <w:rFonts w:cstheme="minorHAnsi"/>
          <w:b/>
          <w:sz w:val="28"/>
          <w:szCs w:val="28"/>
        </w:rPr>
        <w:t>Ø</w:t>
      </w:r>
      <w:r w:rsidR="000779AB" w:rsidRPr="0090529F">
        <w:rPr>
          <w:rFonts w:cstheme="minorHAnsi"/>
          <w:b/>
          <w:sz w:val="28"/>
          <w:szCs w:val="28"/>
        </w:rPr>
        <w:t>konomiske forvaltningsprincipper</w:t>
      </w:r>
      <w:r>
        <w:rPr>
          <w:rFonts w:cstheme="minorHAnsi"/>
          <w:b/>
          <w:sz w:val="28"/>
          <w:szCs w:val="28"/>
        </w:rPr>
        <w:t>, ressourcerente og –beskatning</w:t>
      </w:r>
    </w:p>
    <w:p w14:paraId="3B838F40" w14:textId="77777777" w:rsidR="007C727F" w:rsidRDefault="007C727F" w:rsidP="00263C02">
      <w:pPr>
        <w:spacing w:after="0" w:line="240" w:lineRule="auto"/>
        <w:jc w:val="right"/>
        <w:rPr>
          <w:rFonts w:cstheme="minorHAnsi"/>
        </w:rPr>
      </w:pPr>
      <w:r w:rsidRPr="00263C02">
        <w:rPr>
          <w:rFonts w:cstheme="minorHAnsi"/>
        </w:rPr>
        <w:t>Maj, 2021</w:t>
      </w:r>
    </w:p>
    <w:p w14:paraId="10E3DF64" w14:textId="77777777" w:rsidR="007C727F" w:rsidRDefault="007C727F" w:rsidP="00263C02">
      <w:pPr>
        <w:spacing w:after="0" w:line="240" w:lineRule="auto"/>
        <w:jc w:val="right"/>
        <w:rPr>
          <w:rFonts w:cstheme="minorHAnsi"/>
        </w:rPr>
      </w:pPr>
    </w:p>
    <w:p w14:paraId="6CCE1CC9" w14:textId="7C3C690B" w:rsidR="004159A1" w:rsidRPr="00397069" w:rsidRDefault="004159A1" w:rsidP="00263C02">
      <w:pPr>
        <w:spacing w:after="0" w:line="240" w:lineRule="auto"/>
        <w:rPr>
          <w:rFonts w:cstheme="minorHAnsi"/>
          <w:b/>
          <w:sz w:val="28"/>
          <w:szCs w:val="28"/>
        </w:rPr>
      </w:pPr>
      <w:r w:rsidRPr="004159A1">
        <w:rPr>
          <w:rFonts w:cstheme="minorHAnsi"/>
          <w:b/>
          <w:sz w:val="28"/>
          <w:szCs w:val="28"/>
        </w:rPr>
        <w:t>Peder Andersen og Jens Paulsen</w:t>
      </w:r>
    </w:p>
    <w:p w14:paraId="3FA2C67E" w14:textId="793B3145" w:rsidR="003A2A81" w:rsidRPr="0090529F" w:rsidRDefault="00B763C1" w:rsidP="000F5E23">
      <w:pPr>
        <w:pStyle w:val="Overskrift1"/>
        <w:numPr>
          <w:ilvl w:val="0"/>
          <w:numId w:val="2"/>
        </w:numPr>
        <w:ind w:left="426"/>
        <w:rPr>
          <w:rFonts w:asciiTheme="minorHAnsi" w:hAnsiTheme="minorHAnsi" w:cstheme="minorHAnsi"/>
          <w:sz w:val="28"/>
          <w:szCs w:val="28"/>
        </w:rPr>
      </w:pPr>
      <w:bookmarkStart w:id="0" w:name="_Toc48145647"/>
      <w:r w:rsidRPr="0090529F">
        <w:rPr>
          <w:rFonts w:asciiTheme="minorHAnsi" w:hAnsiTheme="minorHAnsi" w:cstheme="minorHAnsi"/>
          <w:sz w:val="28"/>
          <w:szCs w:val="28"/>
        </w:rPr>
        <w:t>Indledning</w:t>
      </w:r>
      <w:bookmarkEnd w:id="0"/>
      <w:r w:rsidR="00B46011" w:rsidRPr="0090529F">
        <w:rPr>
          <w:rFonts w:asciiTheme="minorHAnsi" w:hAnsiTheme="minorHAnsi" w:cstheme="minorHAnsi"/>
          <w:sz w:val="28"/>
          <w:szCs w:val="28"/>
        </w:rPr>
        <w:t xml:space="preserve">  </w:t>
      </w:r>
    </w:p>
    <w:p w14:paraId="17C3C017" w14:textId="234B7D0F" w:rsidR="000779AB" w:rsidRPr="0090529F" w:rsidRDefault="003A2A81" w:rsidP="000779AB">
      <w:pPr>
        <w:spacing w:after="120" w:line="240" w:lineRule="auto"/>
        <w:jc w:val="both"/>
        <w:rPr>
          <w:rFonts w:cstheme="minorHAnsi"/>
        </w:rPr>
      </w:pPr>
      <w:r w:rsidRPr="0090529F">
        <w:rPr>
          <w:rFonts w:cstheme="minorHAnsi"/>
        </w:rPr>
        <w:t xml:space="preserve">Dette notat indeholder overvejelser og oplæg om </w:t>
      </w:r>
      <w:r w:rsidR="000779AB" w:rsidRPr="0090529F">
        <w:rPr>
          <w:rFonts w:cstheme="minorHAnsi"/>
        </w:rPr>
        <w:t>ressourcerenten i fiskeriet</w:t>
      </w:r>
      <w:r w:rsidR="00507EE8" w:rsidRPr="0090529F">
        <w:rPr>
          <w:rFonts w:cstheme="minorHAnsi"/>
        </w:rPr>
        <w:t xml:space="preserve"> med henblik på mulig formulering af forslag til supplerende økonomiske forvaltningsprincipper. </w:t>
      </w:r>
    </w:p>
    <w:p w14:paraId="3655A288" w14:textId="77777777" w:rsidR="00A04F46" w:rsidRPr="0090529F" w:rsidRDefault="00A04F46" w:rsidP="00A04F46">
      <w:pPr>
        <w:pStyle w:val="Listeafsnit"/>
        <w:spacing w:line="240" w:lineRule="auto"/>
        <w:jc w:val="both"/>
        <w:rPr>
          <w:rFonts w:cstheme="minorHAnsi"/>
        </w:rPr>
      </w:pPr>
    </w:p>
    <w:p w14:paraId="756E0F0A" w14:textId="099E2EE6" w:rsidR="008B3A44" w:rsidRPr="0090529F" w:rsidRDefault="008A4C75" w:rsidP="000F5E23">
      <w:pPr>
        <w:pStyle w:val="Overskrift1"/>
        <w:numPr>
          <w:ilvl w:val="0"/>
          <w:numId w:val="2"/>
        </w:numPr>
        <w:spacing w:before="0" w:after="120"/>
        <w:ind w:left="426"/>
        <w:rPr>
          <w:rFonts w:asciiTheme="minorHAnsi" w:hAnsiTheme="minorHAnsi" w:cstheme="minorHAnsi"/>
          <w:sz w:val="28"/>
          <w:szCs w:val="28"/>
        </w:rPr>
      </w:pPr>
      <w:bookmarkStart w:id="1" w:name="_Toc48145648"/>
      <w:r w:rsidRPr="0090529F">
        <w:rPr>
          <w:rFonts w:asciiTheme="minorHAnsi" w:hAnsiTheme="minorHAnsi" w:cstheme="minorHAnsi"/>
          <w:sz w:val="28"/>
          <w:szCs w:val="28"/>
        </w:rPr>
        <w:t>Baggrund</w:t>
      </w:r>
      <w:bookmarkEnd w:id="1"/>
    </w:p>
    <w:p w14:paraId="0D82053A" w14:textId="1C973106" w:rsidR="00516466" w:rsidRPr="0090529F" w:rsidRDefault="007C727F" w:rsidP="00DD5313">
      <w:pPr>
        <w:spacing w:after="240" w:line="240" w:lineRule="auto"/>
        <w:jc w:val="both"/>
        <w:rPr>
          <w:rFonts w:cstheme="minorHAnsi"/>
        </w:rPr>
      </w:pPr>
      <w:r>
        <w:rPr>
          <w:rFonts w:cstheme="minorHAnsi"/>
        </w:rPr>
        <w:t>Baggrundsn</w:t>
      </w:r>
      <w:r w:rsidR="00516466" w:rsidRPr="0090529F">
        <w:rPr>
          <w:rFonts w:cstheme="minorHAnsi"/>
        </w:rPr>
        <w:t xml:space="preserve">otatet bygger </w:t>
      </w:r>
      <w:r>
        <w:rPr>
          <w:rFonts w:cstheme="minorHAnsi"/>
        </w:rPr>
        <w:t xml:space="preserve">på </w:t>
      </w:r>
      <w:r w:rsidR="00516466" w:rsidRPr="0090529F">
        <w:rPr>
          <w:rFonts w:cstheme="minorHAnsi"/>
        </w:rPr>
        <w:t>de rammer, som er givet i Fiskerikommissionens kommissorium. Heri hedder det blandt andet:</w:t>
      </w:r>
    </w:p>
    <w:p w14:paraId="72B12B97" w14:textId="77777777" w:rsidR="00516466" w:rsidRPr="0090529F" w:rsidRDefault="00516466" w:rsidP="00DD5313">
      <w:pPr>
        <w:spacing w:after="120"/>
        <w:jc w:val="both"/>
        <w:rPr>
          <w:rFonts w:eastAsia="Calibri" w:cstheme="minorHAnsi"/>
          <w:i/>
          <w:color w:val="000000"/>
        </w:rPr>
      </w:pPr>
      <w:r w:rsidRPr="0090529F">
        <w:rPr>
          <w:rFonts w:eastAsia="Calibri" w:cstheme="minorHAnsi"/>
          <w:i/>
          <w:color w:val="000000"/>
        </w:rPr>
        <w:t>”Overordnede mål for fiskeripolitikken, som kommissionen skal arbejde inden for rammerne af:</w:t>
      </w:r>
    </w:p>
    <w:p w14:paraId="11E22829" w14:textId="44ABD506" w:rsidR="00516466" w:rsidRPr="0090529F" w:rsidRDefault="00516466" w:rsidP="00516466">
      <w:pPr>
        <w:jc w:val="both"/>
        <w:rPr>
          <w:rFonts w:eastAsia="Calibri" w:cstheme="minorHAnsi"/>
          <w:color w:val="000000"/>
        </w:rPr>
      </w:pPr>
      <w:r w:rsidRPr="0090529F">
        <w:rPr>
          <w:rFonts w:eastAsia="Calibri" w:cstheme="minorHAnsi"/>
          <w:color w:val="000000"/>
        </w:rPr>
        <w:t>Størst muligt langsigtede samfundsøkonomiske ud</w:t>
      </w:r>
      <w:r w:rsidR="00F061D0" w:rsidRPr="0090529F">
        <w:rPr>
          <w:rFonts w:eastAsia="Calibri" w:cstheme="minorHAnsi"/>
          <w:color w:val="000000"/>
        </w:rPr>
        <w:t xml:space="preserve"> </w:t>
      </w:r>
      <w:r w:rsidRPr="0090529F">
        <w:rPr>
          <w:rFonts w:eastAsia="Calibri" w:cstheme="minorHAnsi"/>
          <w:color w:val="000000"/>
        </w:rPr>
        <w:t>bytte af fiskeriet på et bæredygtigt grundlag.</w:t>
      </w:r>
    </w:p>
    <w:p w14:paraId="2C2B5A61" w14:textId="77777777" w:rsidR="00516466" w:rsidRPr="0090529F" w:rsidRDefault="00516466" w:rsidP="000F5E23">
      <w:pPr>
        <w:pStyle w:val="Listeafsnit"/>
        <w:numPr>
          <w:ilvl w:val="0"/>
          <w:numId w:val="1"/>
        </w:numPr>
        <w:spacing w:after="120" w:line="240" w:lineRule="auto"/>
        <w:ind w:right="567"/>
        <w:jc w:val="both"/>
        <w:rPr>
          <w:rFonts w:cstheme="minorHAnsi"/>
        </w:rPr>
      </w:pPr>
      <w:r w:rsidRPr="0090529F">
        <w:rPr>
          <w:rFonts w:cstheme="minorHAnsi"/>
        </w:rPr>
        <w:t>Den kommende fiskerilovgivning og andre relevante tiltag skal skabe sammenhængende, stabile rammebetingelser, der reducerer usikkerheden og dermed skaber et attraktivt investeringsklima til gavn for videreudvikling af erhvervet. Dette for at gøre det muligt at stille sikkerhed for investeringer og fremme et effektivt fiskeri, så erhvervet uden offentlig økonomisk støtte kan vedligeholde og forny en moderne fiskeflåde og tidssvarende landbaserede anlæg.”</w:t>
      </w:r>
    </w:p>
    <w:p w14:paraId="1636F888" w14:textId="77777777" w:rsidR="00516466" w:rsidRPr="0090529F" w:rsidRDefault="00516466" w:rsidP="00DD5313">
      <w:pPr>
        <w:spacing w:after="120" w:line="240" w:lineRule="auto"/>
        <w:ind w:left="567" w:right="567"/>
        <w:jc w:val="both"/>
        <w:rPr>
          <w:rFonts w:cstheme="minorHAnsi"/>
          <w:i/>
        </w:rPr>
      </w:pPr>
      <w:r w:rsidRPr="0090529F">
        <w:rPr>
          <w:rFonts w:cstheme="minorHAnsi"/>
          <w:i/>
        </w:rPr>
        <w:t>…</w:t>
      </w:r>
    </w:p>
    <w:p w14:paraId="55E94336" w14:textId="77777777" w:rsidR="00516466" w:rsidRPr="0090529F" w:rsidRDefault="00516466" w:rsidP="00516466">
      <w:pPr>
        <w:rPr>
          <w:rFonts w:eastAsia="Calibri" w:cstheme="minorHAnsi"/>
          <w:i/>
          <w:color w:val="000000"/>
        </w:rPr>
      </w:pPr>
      <w:r w:rsidRPr="0090529F">
        <w:rPr>
          <w:rFonts w:eastAsia="Calibri" w:cstheme="minorHAnsi"/>
          <w:i/>
          <w:color w:val="000000"/>
        </w:rPr>
        <w:t>”Økonomiske og administrative konsekvenser af forslag behandlet af kommissionen:</w:t>
      </w:r>
    </w:p>
    <w:p w14:paraId="70C4453B" w14:textId="77777777" w:rsidR="00516466" w:rsidRPr="0090529F" w:rsidRDefault="00516466" w:rsidP="00516466">
      <w:pPr>
        <w:rPr>
          <w:rFonts w:eastAsia="Calibri" w:cstheme="minorHAnsi"/>
          <w:color w:val="000000"/>
        </w:rPr>
      </w:pPr>
      <w:r w:rsidRPr="0090529F">
        <w:rPr>
          <w:rFonts w:eastAsia="Calibri" w:cstheme="minorHAnsi"/>
          <w:color w:val="000000"/>
        </w:rPr>
        <w:t xml:space="preserve">Kommissionens betænkning forudsættes at indeholde en beskrivelse af de økonomiske og administrative konsekvenser for det offentlige og for erhvervslivet. Dette skal indgå for at kunne begrænse usikkerhed om de forventede virkninger af forslaget for erhvervet og samfundet. </w:t>
      </w:r>
    </w:p>
    <w:p w14:paraId="34A0E7BD" w14:textId="77777777" w:rsidR="00516466" w:rsidRPr="0090529F" w:rsidRDefault="00516466" w:rsidP="00516466">
      <w:pPr>
        <w:spacing w:after="120" w:line="240" w:lineRule="auto"/>
        <w:ind w:right="566"/>
        <w:jc w:val="both"/>
        <w:rPr>
          <w:rFonts w:cstheme="minorHAnsi"/>
          <w:i/>
        </w:rPr>
      </w:pPr>
      <w:r w:rsidRPr="0090529F">
        <w:rPr>
          <w:rFonts w:eastAsia="Calibri" w:cstheme="minorHAnsi"/>
          <w:color w:val="000000"/>
        </w:rPr>
        <w:t>Kommission skal i sit arbejde med forslag til revision af fiskeriloven sikre, at dette sker under hensyntagen til lovgivning og forvaltningen af lovgivningen om ressourcerenteafgifter i fiskeriet for at sikre et forsat rentabelt fiskeri så fremtidigt provenu fra ressourceafgifterne ikke bliver udhulet.”</w:t>
      </w:r>
    </w:p>
    <w:p w14:paraId="1BE70884" w14:textId="603D959B" w:rsidR="00516466" w:rsidRPr="0090529F" w:rsidRDefault="00516466" w:rsidP="00516466">
      <w:pPr>
        <w:spacing w:after="120" w:line="240" w:lineRule="auto"/>
        <w:ind w:left="567" w:right="566"/>
        <w:jc w:val="both"/>
        <w:rPr>
          <w:rFonts w:cstheme="minorHAnsi"/>
          <w:i/>
        </w:rPr>
      </w:pPr>
      <w:r w:rsidRPr="0090529F">
        <w:rPr>
          <w:rFonts w:cstheme="minorHAnsi"/>
          <w:i/>
        </w:rPr>
        <w:t>…</w:t>
      </w:r>
    </w:p>
    <w:p w14:paraId="5E63E48D" w14:textId="19E7B426" w:rsidR="00005B75" w:rsidRPr="0090529F" w:rsidRDefault="00005B75" w:rsidP="00005B75">
      <w:pPr>
        <w:spacing w:after="120" w:line="240" w:lineRule="auto"/>
        <w:ind w:right="566"/>
        <w:jc w:val="both"/>
        <w:rPr>
          <w:rFonts w:cstheme="minorHAnsi"/>
        </w:rPr>
      </w:pPr>
      <w:r w:rsidRPr="0090529F">
        <w:rPr>
          <w:rFonts w:cstheme="minorHAnsi"/>
        </w:rPr>
        <w:t>I Fiskerikommissionens debatoplæg er ressourcerenten beskrevet som følger:</w:t>
      </w:r>
    </w:p>
    <w:p w14:paraId="39B17B75" w14:textId="08596ACB" w:rsidR="00005B75" w:rsidRPr="0090529F" w:rsidRDefault="00005B75" w:rsidP="00005B75">
      <w:pPr>
        <w:spacing w:after="120" w:line="240" w:lineRule="auto"/>
        <w:ind w:right="566"/>
        <w:jc w:val="both"/>
        <w:rPr>
          <w:rFonts w:cstheme="minorHAnsi"/>
          <w:i/>
        </w:rPr>
      </w:pPr>
      <w:r w:rsidRPr="0090529F">
        <w:rPr>
          <w:rFonts w:cstheme="minorHAnsi"/>
          <w:i/>
        </w:rPr>
        <w:t xml:space="preserve">”Ressourcerente kan beskrives som et overnormalt afkast ved udnyttelsen af fiskeressourcen i forhold til, hvad andre erhverv kan opnå i afkast. Det vil sige, hvor stort overskud fiskeriet har efter at have dækket fangstomkostninger, investeringen og et normalt afkast til ejeren.  </w:t>
      </w:r>
    </w:p>
    <w:p w14:paraId="68DA134A" w14:textId="77777777" w:rsidR="00005B75" w:rsidRPr="0090529F" w:rsidRDefault="00005B75" w:rsidP="00005B75">
      <w:pPr>
        <w:spacing w:after="120" w:line="240" w:lineRule="auto"/>
        <w:ind w:right="566"/>
        <w:jc w:val="both"/>
        <w:rPr>
          <w:rFonts w:cstheme="minorHAnsi"/>
          <w:i/>
        </w:rPr>
      </w:pPr>
      <w:r w:rsidRPr="0090529F">
        <w:rPr>
          <w:rFonts w:cstheme="minorHAnsi"/>
          <w:i/>
        </w:rPr>
        <w:t xml:space="preserve">Ved udarbejdelsen af samfundsøkonomiske analyser om fiskeriet er der ofte fokus på at opnå størst mulig ressourcerente. Disse analyser inddrager sjældent spørgsmålet om, hvordan ressourcerenten fordeles mellem virksomheder, individer og det offentlige. </w:t>
      </w:r>
    </w:p>
    <w:p w14:paraId="1122EB48" w14:textId="77777777" w:rsidR="00005B75" w:rsidRPr="0090529F" w:rsidRDefault="00005B75" w:rsidP="00005B75">
      <w:pPr>
        <w:spacing w:after="120" w:line="240" w:lineRule="auto"/>
        <w:ind w:right="566"/>
        <w:jc w:val="both"/>
        <w:rPr>
          <w:rFonts w:cstheme="minorHAnsi"/>
          <w:i/>
        </w:rPr>
      </w:pPr>
      <w:r w:rsidRPr="0090529F">
        <w:rPr>
          <w:rFonts w:cstheme="minorHAnsi"/>
          <w:i/>
        </w:rPr>
        <w:lastRenderedPageBreak/>
        <w:t xml:space="preserve">Størrelsen på ressourcerenten afhænger i høj grad af de anvendte fiskerireguleringssystemer, fiskeriforvaltningen og selve strukturen i fiskeriet. </w:t>
      </w:r>
    </w:p>
    <w:p w14:paraId="53BFDECF" w14:textId="77777777" w:rsidR="00005B75" w:rsidRPr="0090529F" w:rsidRDefault="00005B75" w:rsidP="00005B75">
      <w:pPr>
        <w:spacing w:after="120" w:line="240" w:lineRule="auto"/>
        <w:ind w:right="566"/>
        <w:jc w:val="both"/>
        <w:rPr>
          <w:rFonts w:cstheme="minorHAnsi"/>
          <w:i/>
        </w:rPr>
      </w:pPr>
      <w:r w:rsidRPr="0090529F">
        <w:rPr>
          <w:rFonts w:cstheme="minorHAnsi"/>
          <w:i/>
        </w:rPr>
        <w:t>Det kræver kontakter og kendskab til markedsforhold at opnå de bedste priser samt erfaring med virksomhedsdrift og fiskeri for at generere den højest mulige ressourcerente. En dygtig ledelse kan således bidrage til at hæve ressourcerenten yderligere. Det er eksempelvis meget risikofyldt og kapitaltungt at investere i et større fiskefartøj. At sikre et effektivt fiskerierhverv kræver en professionel ledelse af driften og et veluddannet personale, herunder veluddannede skibsofficerer og besætningsmedlemmer.</w:t>
      </w:r>
    </w:p>
    <w:p w14:paraId="4B9FF594" w14:textId="3717F59E" w:rsidR="00005B75" w:rsidRPr="0090529F" w:rsidRDefault="00005B75" w:rsidP="00005B75">
      <w:pPr>
        <w:spacing w:after="120" w:line="240" w:lineRule="auto"/>
        <w:ind w:right="566"/>
        <w:jc w:val="both"/>
        <w:rPr>
          <w:rFonts w:cstheme="minorHAnsi"/>
          <w:i/>
        </w:rPr>
      </w:pPr>
      <w:r w:rsidRPr="0090529F">
        <w:rPr>
          <w:rFonts w:cstheme="minorHAnsi"/>
          <w:i/>
        </w:rPr>
        <w:t>I alle tilfælde afhænger muligheden for at opnå overskud og ressourcerente af reguleringssystemet og forvaltningen”</w:t>
      </w:r>
    </w:p>
    <w:p w14:paraId="5EE6D2E9" w14:textId="21407A4D" w:rsidR="00005B75" w:rsidRPr="0090529F" w:rsidRDefault="00005B75" w:rsidP="00005B75">
      <w:pPr>
        <w:spacing w:after="120" w:line="240" w:lineRule="auto"/>
        <w:ind w:right="566"/>
        <w:jc w:val="both"/>
        <w:rPr>
          <w:rFonts w:cstheme="minorHAnsi"/>
        </w:rPr>
      </w:pPr>
      <w:r w:rsidRPr="0090529F">
        <w:rPr>
          <w:rFonts w:cstheme="minorHAnsi"/>
        </w:rPr>
        <w:t>I debatoplægget har kommissionen endvidere følgende overvejelser om ressourcerenten:</w:t>
      </w:r>
    </w:p>
    <w:p w14:paraId="3989970E" w14:textId="7A2B48AF" w:rsidR="00005B75" w:rsidRPr="0090529F" w:rsidRDefault="00005B75" w:rsidP="00005B75">
      <w:pPr>
        <w:spacing w:after="120" w:line="240" w:lineRule="auto"/>
        <w:ind w:right="566"/>
        <w:jc w:val="both"/>
        <w:rPr>
          <w:rFonts w:cstheme="minorHAnsi"/>
          <w:i/>
        </w:rPr>
      </w:pPr>
      <w:r w:rsidRPr="0090529F">
        <w:rPr>
          <w:rFonts w:cstheme="minorHAnsi"/>
          <w:i/>
        </w:rPr>
        <w:t xml:space="preserve">”For at fiskerierhvervet forsat kan bidrage til det offentlige med højt provenu fra ressourcerenteafgifter og skatter, er det afgørende, at fiskeriforvaltningen skaber rammer for at drive et rentabelt fiskeri, der også på langt sigt er både biologisk og økonomisk bæredygtigt. </w:t>
      </w:r>
    </w:p>
    <w:p w14:paraId="0F694D2A" w14:textId="77777777" w:rsidR="00005B75" w:rsidRPr="0090529F" w:rsidRDefault="00005B75" w:rsidP="00005B75">
      <w:pPr>
        <w:spacing w:after="120" w:line="240" w:lineRule="auto"/>
        <w:ind w:right="566"/>
        <w:jc w:val="both"/>
        <w:rPr>
          <w:rFonts w:cstheme="minorHAnsi"/>
          <w:i/>
        </w:rPr>
      </w:pPr>
      <w:r w:rsidRPr="0090529F">
        <w:rPr>
          <w:rFonts w:cstheme="minorHAnsi"/>
          <w:i/>
        </w:rPr>
        <w:t xml:space="preserve">Det vil sikre en høj positiv ressourcerente til gavn for fiskere, rederier, ansatte i fiskerierhvervet og for hele samfundet. </w:t>
      </w:r>
    </w:p>
    <w:p w14:paraId="69DDD8BE" w14:textId="77777777" w:rsidR="00005B75" w:rsidRPr="0090529F" w:rsidRDefault="00005B75" w:rsidP="00005B75">
      <w:pPr>
        <w:spacing w:after="120" w:line="240" w:lineRule="auto"/>
        <w:ind w:right="566"/>
        <w:jc w:val="both"/>
        <w:rPr>
          <w:rFonts w:cstheme="minorHAnsi"/>
          <w:i/>
        </w:rPr>
      </w:pPr>
      <w:r w:rsidRPr="0090529F">
        <w:rPr>
          <w:rFonts w:cstheme="minorHAnsi"/>
          <w:i/>
        </w:rPr>
        <w:t>Fordelingen af ressourcerenten afgøres af beskatningsreglerne (ressourcerente-afgifter, virksomhedsbeskatning og indkomstbeskatning), men i den forbindelse er det vigtigt at være opmærksom på, at ressourceafgifter aflaster andre, forvridende skatter.</w:t>
      </w:r>
    </w:p>
    <w:p w14:paraId="0C6F5A46" w14:textId="77777777" w:rsidR="00005B75" w:rsidRPr="0090529F" w:rsidRDefault="00005B75" w:rsidP="00005B75">
      <w:pPr>
        <w:spacing w:after="120" w:line="240" w:lineRule="auto"/>
        <w:ind w:right="566"/>
        <w:jc w:val="both"/>
        <w:rPr>
          <w:rFonts w:cstheme="minorHAnsi"/>
          <w:i/>
        </w:rPr>
      </w:pPr>
      <w:r w:rsidRPr="0090529F">
        <w:rPr>
          <w:rFonts w:cstheme="minorHAnsi"/>
          <w:i/>
        </w:rPr>
        <w:t xml:space="preserve">Ressourcerenteafgifter er afgifter på de fangede mængder og medvirker til at sikre samfundet et afkast af udnyttelsen af de fælles fiskeressourcer. </w:t>
      </w:r>
    </w:p>
    <w:p w14:paraId="60E43822" w14:textId="77777777" w:rsidR="00005B75" w:rsidRPr="0090529F" w:rsidRDefault="00005B75" w:rsidP="00005B75">
      <w:pPr>
        <w:spacing w:after="120" w:line="240" w:lineRule="auto"/>
        <w:ind w:right="566"/>
        <w:jc w:val="both"/>
        <w:rPr>
          <w:rFonts w:cstheme="minorHAnsi"/>
          <w:i/>
        </w:rPr>
      </w:pPr>
      <w:r w:rsidRPr="0090529F">
        <w:rPr>
          <w:rFonts w:cstheme="minorHAnsi"/>
          <w:i/>
        </w:rPr>
        <w:t>Stigende rentabilitet i særligt det havgående fiskeri på grund af høje fangstpriser og -mængder har i de senere år betydet, at ressourcerenteafgifterne fylder stadigt mere som indtægtskilde for det offentlige.</w:t>
      </w:r>
    </w:p>
    <w:p w14:paraId="29F660F5" w14:textId="77777777" w:rsidR="0010289F" w:rsidRPr="0090529F" w:rsidRDefault="0010289F" w:rsidP="0010289F">
      <w:pPr>
        <w:spacing w:after="120" w:line="240" w:lineRule="auto"/>
        <w:ind w:right="566"/>
        <w:jc w:val="both"/>
        <w:rPr>
          <w:rFonts w:cstheme="minorHAnsi"/>
        </w:rPr>
      </w:pPr>
    </w:p>
    <w:p w14:paraId="38767376" w14:textId="113079E5" w:rsidR="0010289F" w:rsidRPr="0090529F" w:rsidRDefault="0010289F" w:rsidP="0010289F">
      <w:pPr>
        <w:spacing w:after="120" w:line="240" w:lineRule="auto"/>
        <w:ind w:right="566"/>
        <w:jc w:val="both"/>
        <w:rPr>
          <w:rFonts w:cstheme="minorHAnsi"/>
        </w:rPr>
      </w:pPr>
      <w:r w:rsidRPr="0090529F">
        <w:rPr>
          <w:rFonts w:cstheme="minorHAnsi"/>
        </w:rPr>
        <w:t>I debatoplægget peger kommissionen endelig på følgende i forbindelse med de videre overvejelser om ressourcerenten:</w:t>
      </w:r>
    </w:p>
    <w:p w14:paraId="21E711C8" w14:textId="0571D6F9" w:rsidR="0010289F" w:rsidRPr="0090529F" w:rsidRDefault="0010289F" w:rsidP="0010289F">
      <w:pPr>
        <w:spacing w:after="120" w:line="240" w:lineRule="auto"/>
        <w:ind w:right="566"/>
        <w:jc w:val="both"/>
        <w:rPr>
          <w:rFonts w:cstheme="minorHAnsi"/>
          <w:i/>
        </w:rPr>
      </w:pPr>
      <w:r w:rsidRPr="0090529F">
        <w:rPr>
          <w:rFonts w:cstheme="minorHAnsi"/>
          <w:i/>
        </w:rPr>
        <w:t>”Det hidtidige arbejde i Fiskerikommissionen og de gennemførte dialogmøder viser, at der er behov for svar på en række vigtige spørgsmål, som kommissionens fortsat arbejder med:</w:t>
      </w:r>
    </w:p>
    <w:p w14:paraId="373E5A8E" w14:textId="77777777" w:rsidR="0010289F" w:rsidRPr="0090529F" w:rsidRDefault="0010289F" w:rsidP="0010289F">
      <w:pPr>
        <w:spacing w:after="120" w:line="240" w:lineRule="auto"/>
        <w:ind w:right="566"/>
        <w:jc w:val="both"/>
        <w:rPr>
          <w:rFonts w:cstheme="minorHAnsi"/>
          <w:i/>
        </w:rPr>
      </w:pPr>
      <w:r w:rsidRPr="0090529F">
        <w:rPr>
          <w:rFonts w:cstheme="minorHAnsi"/>
          <w:i/>
        </w:rPr>
        <w:t>Bæredygtig udnyttelse i praksis og dermed bedre balance mellem ressourcegrundlaget, kvotefastsættelsen og fangstkapaciteten inden for fiskerier, hvor der i dag er problemer i centrale dele af fiskeriet. Hovedfokus vil være på at komme med anbefalinger i forhold til de fiskerier, der er af størst betydning og med de største udfordringer.</w:t>
      </w:r>
    </w:p>
    <w:p w14:paraId="140F6273" w14:textId="77777777" w:rsidR="0010289F" w:rsidRPr="0090529F" w:rsidRDefault="0010289F" w:rsidP="0010289F">
      <w:pPr>
        <w:spacing w:after="120" w:line="240" w:lineRule="auto"/>
        <w:ind w:right="566"/>
        <w:jc w:val="both"/>
        <w:rPr>
          <w:rFonts w:cstheme="minorHAnsi"/>
          <w:i/>
        </w:rPr>
      </w:pPr>
      <w:r w:rsidRPr="0090529F">
        <w:rPr>
          <w:rFonts w:cstheme="minorHAnsi"/>
          <w:i/>
        </w:rPr>
        <w:t>Udformning af langsigtede lovfæstede rammer for kvotetildelingen på alle fiskearter, så kvoterne bliver flerårige og dermed skaber forudsætninger for langsigtede investeringer. Dette bør ske i respekt for armslængde-princippet. Dette bør samtidig ske uden at lede til en uhensigtsmæssig stor koncentration af licensrettighederne eller lukke af for adgang for nye aktører.</w:t>
      </w:r>
    </w:p>
    <w:p w14:paraId="1E6E64D7" w14:textId="335C7A16" w:rsidR="0010289F" w:rsidRPr="0090529F" w:rsidRDefault="0010289F" w:rsidP="0010289F">
      <w:pPr>
        <w:spacing w:after="120" w:line="240" w:lineRule="auto"/>
        <w:ind w:right="566"/>
        <w:jc w:val="both"/>
        <w:rPr>
          <w:rFonts w:cstheme="minorHAnsi"/>
          <w:i/>
        </w:rPr>
      </w:pPr>
      <w:r w:rsidRPr="0090529F">
        <w:rPr>
          <w:rFonts w:cstheme="minorHAnsi"/>
          <w:i/>
        </w:rPr>
        <w:t>Identifikation af de reelle dilemammer, man står over for i spørgsmålet om ejerskabs- og kvoteforhold og laver konsekvensanalyser i forhold til forskellige forslag fra kommissionen.</w:t>
      </w:r>
    </w:p>
    <w:p w14:paraId="2A1597EB" w14:textId="77777777" w:rsidR="0010289F" w:rsidRPr="0090529F" w:rsidRDefault="0010289F" w:rsidP="0010289F">
      <w:pPr>
        <w:spacing w:after="120" w:line="240" w:lineRule="auto"/>
        <w:ind w:right="566"/>
        <w:jc w:val="both"/>
        <w:rPr>
          <w:rFonts w:cstheme="minorHAnsi"/>
          <w:i/>
        </w:rPr>
      </w:pPr>
      <w:r w:rsidRPr="0090529F">
        <w:rPr>
          <w:rFonts w:cstheme="minorHAnsi"/>
          <w:i/>
        </w:rPr>
        <w:t>Der indgår i det videre analysearbejde og forberedelsen af kommende anbefalinger at identificere mulighederne for at øge ressourcerenten og dermed også provenuet fra ressourcerenteafgifter i forskellige dele af fiskeriet.”</w:t>
      </w:r>
    </w:p>
    <w:p w14:paraId="0511A550" w14:textId="6F406741" w:rsidR="00005B75" w:rsidRPr="0090529F" w:rsidRDefault="0010289F" w:rsidP="00005B75">
      <w:pPr>
        <w:spacing w:after="120" w:line="240" w:lineRule="auto"/>
        <w:ind w:right="566"/>
        <w:jc w:val="both"/>
        <w:rPr>
          <w:rFonts w:cstheme="minorHAnsi"/>
        </w:rPr>
      </w:pPr>
      <w:r w:rsidRPr="0090529F">
        <w:rPr>
          <w:rFonts w:cstheme="minorHAnsi"/>
        </w:rPr>
        <w:t xml:space="preserve">Siden debatoplægget er der på forskellig vis arbejdet videre med at </w:t>
      </w:r>
      <w:r w:rsidR="007C727F">
        <w:rPr>
          <w:rFonts w:cstheme="minorHAnsi"/>
        </w:rPr>
        <w:t>analysere</w:t>
      </w:r>
      <w:r w:rsidRPr="0090529F">
        <w:rPr>
          <w:rFonts w:cstheme="minorHAnsi"/>
        </w:rPr>
        <w:t xml:space="preserve"> ressourceforvaltningen i fiskeriet overordnet set. Det er også tilfældet i forhold til konkrete fiskerier med udfordringer med at sikre en biologisk bæredygtig udnyttelse og at få bedre balance mellem indsat fiskekapacitet og ressourcegrundlag. Dette gælder ikke mindst i det indenskærs fiskeri efter hellefisk og torsk.</w:t>
      </w:r>
    </w:p>
    <w:p w14:paraId="6878ED69" w14:textId="4FE04803" w:rsidR="00A31CE2" w:rsidRPr="0090529F" w:rsidRDefault="00A31CE2" w:rsidP="00005B75">
      <w:pPr>
        <w:spacing w:after="120" w:line="240" w:lineRule="auto"/>
        <w:ind w:right="566"/>
        <w:jc w:val="both"/>
        <w:rPr>
          <w:rFonts w:cstheme="minorHAnsi"/>
        </w:rPr>
      </w:pPr>
      <w:r w:rsidRPr="0090529F">
        <w:rPr>
          <w:rFonts w:cstheme="minorHAnsi"/>
        </w:rPr>
        <w:lastRenderedPageBreak/>
        <w:t xml:space="preserve">Herunder er der på, hvordan de enkelte fiskerier er placeret i fiskeriets diamant, spørgsmål om strukturtilpasningsbehov i disse, landingspligt, kvotekoncentration og finansieringsforhold. </w:t>
      </w:r>
    </w:p>
    <w:p w14:paraId="77CBA3DE" w14:textId="07187184" w:rsidR="00A31CE2" w:rsidRPr="0090529F" w:rsidRDefault="00A31CE2" w:rsidP="00005B75">
      <w:pPr>
        <w:spacing w:after="120" w:line="240" w:lineRule="auto"/>
        <w:ind w:right="566"/>
        <w:jc w:val="both"/>
        <w:rPr>
          <w:rFonts w:cstheme="minorHAnsi"/>
        </w:rPr>
      </w:pPr>
      <w:r w:rsidRPr="0090529F">
        <w:rPr>
          <w:rFonts w:cstheme="minorHAnsi"/>
        </w:rPr>
        <w:t>Alt sammen noget der kan spille ind på ressourcerentens størrelse og dermed muligheden for en passende, fair beskatning af retten til at udnytte den samfundsejede ressource. Dette til gavn for sikring og mulig udbygning af velfærden i samfundet.</w:t>
      </w:r>
    </w:p>
    <w:p w14:paraId="4FC78309" w14:textId="77777777" w:rsidR="00950E73" w:rsidRPr="0090529F" w:rsidRDefault="00950E73" w:rsidP="00005B75">
      <w:pPr>
        <w:spacing w:after="120" w:line="240" w:lineRule="auto"/>
        <w:ind w:right="566"/>
        <w:jc w:val="both"/>
        <w:rPr>
          <w:rFonts w:cstheme="minorHAnsi"/>
        </w:rPr>
      </w:pPr>
    </w:p>
    <w:p w14:paraId="09C7F2CB" w14:textId="7177B93E" w:rsidR="0010289F" w:rsidRPr="0090529F" w:rsidRDefault="00950E73" w:rsidP="00005B75">
      <w:pPr>
        <w:spacing w:after="120" w:line="240" w:lineRule="auto"/>
        <w:ind w:right="566"/>
        <w:jc w:val="both"/>
        <w:rPr>
          <w:rFonts w:cstheme="minorHAnsi"/>
          <w:b/>
          <w:sz w:val="28"/>
          <w:szCs w:val="28"/>
        </w:rPr>
      </w:pPr>
      <w:r w:rsidRPr="0090529F">
        <w:rPr>
          <w:rFonts w:cstheme="minorHAnsi"/>
          <w:b/>
          <w:sz w:val="28"/>
          <w:szCs w:val="28"/>
        </w:rPr>
        <w:t>Beskatning af fiskeriet i Grønland</w:t>
      </w:r>
    </w:p>
    <w:p w14:paraId="70E20D76" w14:textId="61982E85" w:rsidR="00950E73" w:rsidRPr="0090529F" w:rsidRDefault="00950E73" w:rsidP="00005B75">
      <w:pPr>
        <w:spacing w:after="120" w:line="240" w:lineRule="auto"/>
        <w:ind w:right="566"/>
        <w:jc w:val="both"/>
        <w:rPr>
          <w:rFonts w:cstheme="minorHAnsi"/>
          <w:b/>
        </w:rPr>
      </w:pPr>
      <w:r w:rsidRPr="0090529F">
        <w:rPr>
          <w:rFonts w:cstheme="minorHAnsi"/>
          <w:b/>
        </w:rPr>
        <w:t>Beskatning som er generel og ikke specifik for fiskeriet</w:t>
      </w:r>
    </w:p>
    <w:p w14:paraId="6EE09F11" w14:textId="71AC9D58" w:rsidR="00950E73" w:rsidRPr="0090529F" w:rsidRDefault="00950E73" w:rsidP="00005B75">
      <w:pPr>
        <w:spacing w:after="120" w:line="240" w:lineRule="auto"/>
        <w:ind w:right="566"/>
        <w:jc w:val="both"/>
        <w:rPr>
          <w:rFonts w:cstheme="minorHAnsi"/>
          <w:b/>
        </w:rPr>
      </w:pPr>
      <w:r w:rsidRPr="0090529F">
        <w:rPr>
          <w:rFonts w:cstheme="minorHAnsi"/>
          <w:b/>
        </w:rPr>
        <w:t>Personbeskatning</w:t>
      </w:r>
    </w:p>
    <w:p w14:paraId="061D3D12" w14:textId="2A7E3F9B" w:rsidR="00950E73" w:rsidRPr="0090529F" w:rsidRDefault="00950E73" w:rsidP="00005B75">
      <w:pPr>
        <w:spacing w:after="120" w:line="240" w:lineRule="auto"/>
        <w:ind w:right="566"/>
        <w:jc w:val="both"/>
        <w:rPr>
          <w:rFonts w:cstheme="minorHAnsi"/>
        </w:rPr>
      </w:pPr>
      <w:r w:rsidRPr="0090529F">
        <w:rPr>
          <w:rFonts w:cstheme="minorHAnsi"/>
        </w:rPr>
        <w:t>Beskatning af personlige indkomster består af kommuneskat, landsskat og fælles kommunal skat. Udskrivningsprocenten for landsskatten er på 10 pct. i hele landet og den fælles kommunal skat er på 6 pct. og tilsvarende ens i hele landet. Kommuneskatten er på 26 pct. i Kommuneqarfik Sermersooq og Qeqqata Kommunia</w:t>
      </w:r>
      <w:r w:rsidR="00711E15" w:rsidRPr="0090529F">
        <w:rPr>
          <w:rFonts w:cstheme="minorHAnsi"/>
        </w:rPr>
        <w:t>, hvorimod den er på 28 pct. i Kommune Kujalleq, Kommune Qeqertalik og Avannaata Kommunia. Den samlede A-skattesats ligger derfor afhængigt af kommune på 42-44 pct.</w:t>
      </w:r>
    </w:p>
    <w:p w14:paraId="485AE756" w14:textId="77777777" w:rsidR="00711E15" w:rsidRPr="0090529F" w:rsidRDefault="00711E15" w:rsidP="00005B75">
      <w:pPr>
        <w:spacing w:after="120" w:line="240" w:lineRule="auto"/>
        <w:ind w:right="566"/>
        <w:jc w:val="both"/>
        <w:rPr>
          <w:rFonts w:cstheme="minorHAnsi"/>
        </w:rPr>
      </w:pPr>
    </w:p>
    <w:p w14:paraId="263D8B58" w14:textId="37987581" w:rsidR="00950E73" w:rsidRPr="0090529F" w:rsidRDefault="00950E73" w:rsidP="00005B75">
      <w:pPr>
        <w:spacing w:after="120" w:line="240" w:lineRule="auto"/>
        <w:ind w:right="566"/>
        <w:jc w:val="both"/>
        <w:rPr>
          <w:rFonts w:cstheme="minorHAnsi"/>
          <w:b/>
        </w:rPr>
      </w:pPr>
      <w:r w:rsidRPr="0090529F">
        <w:rPr>
          <w:rFonts w:cstheme="minorHAnsi"/>
          <w:b/>
        </w:rPr>
        <w:t>Selskabs- og udbyttebeskatning</w:t>
      </w:r>
    </w:p>
    <w:p w14:paraId="65905601" w14:textId="77EBCA05" w:rsidR="00950E73" w:rsidRPr="0090529F" w:rsidRDefault="00950E73" w:rsidP="00005B75">
      <w:pPr>
        <w:spacing w:after="120" w:line="240" w:lineRule="auto"/>
        <w:ind w:right="566"/>
        <w:jc w:val="both"/>
        <w:rPr>
          <w:rFonts w:cstheme="minorHAnsi"/>
        </w:rPr>
      </w:pPr>
      <w:r w:rsidRPr="0090529F">
        <w:rPr>
          <w:rFonts w:cstheme="minorHAnsi"/>
        </w:rPr>
        <w:t>Selskabsskattesatsen var i 2020 sat ned fra 30 pct. til 25 pct. Dette for at øge Grønlands konkurrenceevne international.  Fordi selskabskatten ikke betales løbende over året</w:t>
      </w:r>
      <w:r w:rsidR="0013592F" w:rsidRPr="0090529F">
        <w:rPr>
          <w:rFonts w:cstheme="minorHAnsi"/>
        </w:rPr>
        <w:t>,</w:t>
      </w:r>
      <w:r w:rsidRPr="0090529F">
        <w:rPr>
          <w:rFonts w:cstheme="minorHAnsi"/>
        </w:rPr>
        <w:t xml:space="preserve"> men afregnes med Skattestyrelsen for hele året i efterfølgende år</w:t>
      </w:r>
      <w:r w:rsidR="0013592F" w:rsidRPr="0090529F">
        <w:rPr>
          <w:rFonts w:cstheme="minorHAnsi"/>
        </w:rPr>
        <w:t>,</w:t>
      </w:r>
      <w:r w:rsidRPr="0090529F">
        <w:rPr>
          <w:rFonts w:cstheme="minorHAnsi"/>
        </w:rPr>
        <w:t xml:space="preserve"> betales et tillæg på 1,5 pct. Den reale skattesats i 2021 er derfor på 26,5 pct.</w:t>
      </w:r>
    </w:p>
    <w:p w14:paraId="674414AA" w14:textId="645F19E7" w:rsidR="00711E15" w:rsidRPr="0090529F" w:rsidRDefault="00711E15" w:rsidP="00005B75">
      <w:pPr>
        <w:spacing w:after="120" w:line="240" w:lineRule="auto"/>
        <w:ind w:right="566"/>
        <w:jc w:val="both"/>
        <w:rPr>
          <w:rFonts w:cstheme="minorHAnsi"/>
        </w:rPr>
      </w:pPr>
      <w:r w:rsidRPr="0090529F">
        <w:rPr>
          <w:rFonts w:cstheme="minorHAnsi"/>
        </w:rPr>
        <w:t>Udbytter beskattes som almindelige personlige indkomster.</w:t>
      </w:r>
    </w:p>
    <w:p w14:paraId="699BD5D7" w14:textId="77777777" w:rsidR="00950E73" w:rsidRPr="0090529F" w:rsidRDefault="00950E73" w:rsidP="00005B75">
      <w:pPr>
        <w:spacing w:after="120" w:line="240" w:lineRule="auto"/>
        <w:ind w:right="566"/>
        <w:jc w:val="both"/>
        <w:rPr>
          <w:rFonts w:cstheme="minorHAnsi"/>
        </w:rPr>
      </w:pPr>
    </w:p>
    <w:p w14:paraId="2EDE6829" w14:textId="076C504D" w:rsidR="00950E73" w:rsidRPr="0090529F" w:rsidRDefault="00950E73" w:rsidP="00005B75">
      <w:pPr>
        <w:spacing w:after="120" w:line="240" w:lineRule="auto"/>
        <w:ind w:right="566"/>
        <w:jc w:val="both"/>
        <w:rPr>
          <w:rFonts w:cstheme="minorHAnsi"/>
          <w:b/>
          <w:i/>
        </w:rPr>
      </w:pPr>
      <w:r w:rsidRPr="0090529F">
        <w:rPr>
          <w:rFonts w:cstheme="minorHAnsi"/>
          <w:b/>
          <w:i/>
        </w:rPr>
        <w:t>Arbejdsmarkedsafgift (AMA)</w:t>
      </w:r>
    </w:p>
    <w:p w14:paraId="7AD1CE75" w14:textId="7CE382F5" w:rsidR="00950E73" w:rsidRPr="0090529F" w:rsidRDefault="00950E73" w:rsidP="00005B75">
      <w:pPr>
        <w:spacing w:after="120" w:line="240" w:lineRule="auto"/>
        <w:ind w:right="566"/>
        <w:jc w:val="both"/>
        <w:rPr>
          <w:rFonts w:cstheme="minorHAnsi"/>
        </w:rPr>
      </w:pPr>
      <w:r w:rsidRPr="0090529F">
        <w:rPr>
          <w:rFonts w:cstheme="minorHAnsi"/>
        </w:rPr>
        <w:t xml:space="preserve">Alle arbejdsgivere, som i forbindelse med udbetalinger af lønninger mv. har pligt til at indeholde A-skat til Grønland, skal indbetale en afgift på 0,9 % af lønsummerne. Pligten omfatter såvel private som offentlige, grønlandske som udenlandske arbejdsgivere. Arbejdsmarkedsbidraget opkræves på samme måde og på samme tid som arbejdsgivernes afregning af indeholdte A-skatter. For private arbejdsgivere beregnes arbejdsmarkedsafgiften af den samlede lønsum i den pågældende måned. </w:t>
      </w:r>
      <w:r w:rsidR="00B05DF4">
        <w:rPr>
          <w:rFonts w:cstheme="minorHAnsi"/>
        </w:rPr>
        <w:t xml:space="preserve"> Gældende fra 01.07.2021 ændres AMA fra 0,9% til 1,1% for private arbejdsgivere.</w:t>
      </w:r>
    </w:p>
    <w:p w14:paraId="0BA53990" w14:textId="77777777" w:rsidR="00711E15" w:rsidRPr="0090529F" w:rsidRDefault="00711E15" w:rsidP="00005B75">
      <w:pPr>
        <w:spacing w:after="120" w:line="240" w:lineRule="auto"/>
        <w:ind w:right="566"/>
        <w:jc w:val="both"/>
        <w:rPr>
          <w:rFonts w:cstheme="minorHAnsi"/>
          <w:b/>
        </w:rPr>
      </w:pPr>
    </w:p>
    <w:p w14:paraId="452FAF2B" w14:textId="034A1FC4" w:rsidR="00005B75" w:rsidRPr="0090529F" w:rsidRDefault="00711E15" w:rsidP="00005B75">
      <w:pPr>
        <w:spacing w:after="120" w:line="240" w:lineRule="auto"/>
        <w:ind w:right="566"/>
        <w:jc w:val="both"/>
        <w:rPr>
          <w:rFonts w:cstheme="minorHAnsi"/>
          <w:b/>
        </w:rPr>
      </w:pPr>
      <w:r w:rsidRPr="0090529F">
        <w:rPr>
          <w:rFonts w:cstheme="minorHAnsi"/>
          <w:b/>
        </w:rPr>
        <w:t>Specifik b</w:t>
      </w:r>
      <w:r w:rsidR="00005B75" w:rsidRPr="0090529F">
        <w:rPr>
          <w:rFonts w:cstheme="minorHAnsi"/>
          <w:b/>
        </w:rPr>
        <w:t xml:space="preserve">eskatning </w:t>
      </w:r>
      <w:r w:rsidRPr="0090529F">
        <w:rPr>
          <w:rFonts w:cstheme="minorHAnsi"/>
          <w:b/>
        </w:rPr>
        <w:t xml:space="preserve">fiskeriet – ressourcerenteafgifter </w:t>
      </w:r>
    </w:p>
    <w:p w14:paraId="7EC02DAB" w14:textId="5D85C662" w:rsidR="001F76BC" w:rsidRPr="0090529F" w:rsidRDefault="001F76BC" w:rsidP="001F76BC">
      <w:pPr>
        <w:spacing w:after="0"/>
        <w:jc w:val="both"/>
        <w:rPr>
          <w:rFonts w:cstheme="minorHAnsi"/>
          <w:color w:val="000000" w:themeColor="text1"/>
        </w:rPr>
      </w:pPr>
      <w:r w:rsidRPr="0090529F">
        <w:rPr>
          <w:rFonts w:cstheme="minorHAnsi"/>
          <w:color w:val="000000" w:themeColor="text1"/>
        </w:rPr>
        <w:t xml:space="preserve">Fra den 1. januar 2018 indførtes en ny ressourceafgiftsmodel for det hele det havgående fiskeri og dele af det kystnære fiskeri i Grønland. Afgiftsloven omfatter kystnært fiskeri efter hellefisk og rejer. Ligeledes omfatter den havgående fiskeri efter rejer, hellefisk, torsk, kuller, sej og rødfisk, samt pelagisk fiskeri efter makrel, sild, lodde, blåhvilling og guldlaks. Øvrige fiskearter er ikke omfattet af afgiften. </w:t>
      </w:r>
    </w:p>
    <w:p w14:paraId="70187DA8" w14:textId="45251CD2" w:rsidR="001F76BC" w:rsidRPr="0090529F" w:rsidRDefault="001F76BC" w:rsidP="001F76BC">
      <w:pPr>
        <w:spacing w:after="0"/>
        <w:jc w:val="both"/>
        <w:rPr>
          <w:rFonts w:cstheme="minorHAnsi"/>
          <w:color w:val="000000" w:themeColor="text1"/>
        </w:rPr>
      </w:pPr>
    </w:p>
    <w:p w14:paraId="56D7CC0E" w14:textId="61068D32" w:rsidR="001F76BC" w:rsidRPr="0090529F" w:rsidRDefault="001F76BC" w:rsidP="001F76BC">
      <w:pPr>
        <w:spacing w:after="0"/>
        <w:ind w:right="27"/>
        <w:jc w:val="both"/>
        <w:rPr>
          <w:rFonts w:cstheme="minorHAnsi"/>
          <w:color w:val="000000" w:themeColor="text1"/>
        </w:rPr>
      </w:pPr>
      <w:r w:rsidRPr="0090529F">
        <w:rPr>
          <w:rFonts w:cstheme="minorHAnsi"/>
          <w:color w:val="000000" w:themeColor="text1"/>
        </w:rPr>
        <w:t>Afgiftspligten omfatter som udgangspunkt alt havgående – og kystnært fiskeri, herunder også fiskeri som Naalakkersuisut i medfør af en fiskeriaftale med et andet land har ret til at udstede, ved uddeling af kvoter eller licenser, og fiskerirettigheder tildelt grønlandske fartøjer i internationale farvande.</w:t>
      </w:r>
    </w:p>
    <w:p w14:paraId="1C4B0BFB" w14:textId="05E0CD1D" w:rsidR="0090529F" w:rsidRDefault="0090529F">
      <w:pPr>
        <w:rPr>
          <w:rFonts w:cstheme="minorHAnsi"/>
          <w:b/>
          <w:color w:val="000000" w:themeColor="text1"/>
        </w:rPr>
      </w:pPr>
    </w:p>
    <w:p w14:paraId="4A3A7AC0" w14:textId="0ED1A8F2" w:rsidR="001F76BC" w:rsidRPr="0090529F" w:rsidRDefault="001F76BC" w:rsidP="001F76BC">
      <w:pPr>
        <w:spacing w:after="0"/>
        <w:ind w:right="27"/>
        <w:jc w:val="both"/>
        <w:rPr>
          <w:rFonts w:cstheme="minorHAnsi"/>
          <w:b/>
          <w:color w:val="000000" w:themeColor="text1"/>
        </w:rPr>
      </w:pPr>
      <w:r w:rsidRPr="0090529F">
        <w:rPr>
          <w:rFonts w:cstheme="minorHAnsi"/>
          <w:b/>
          <w:color w:val="000000" w:themeColor="text1"/>
        </w:rPr>
        <w:t>Nuværende ressourceafgiftsmodel – Arter afgiftsbelægges som andel af salgsværdi</w:t>
      </w:r>
    </w:p>
    <w:p w14:paraId="4083F82F" w14:textId="77777777" w:rsidR="001F76BC" w:rsidRPr="0090529F" w:rsidRDefault="001F76BC" w:rsidP="001F76BC">
      <w:pPr>
        <w:spacing w:after="0"/>
        <w:ind w:right="27"/>
        <w:jc w:val="both"/>
        <w:rPr>
          <w:rFonts w:cstheme="minorHAnsi"/>
          <w:color w:val="000000" w:themeColor="text1"/>
        </w:rPr>
      </w:pPr>
      <w:r w:rsidRPr="0090529F">
        <w:rPr>
          <w:rFonts w:cstheme="minorHAnsi"/>
          <w:color w:val="000000" w:themeColor="text1"/>
        </w:rPr>
        <w:t xml:space="preserve">Der skelnes mellem afgift på indhandling til landbaserede produktionsanlæg og afgift på fangst, der forædles til havs med henblik på direkte eksport. </w:t>
      </w:r>
    </w:p>
    <w:p w14:paraId="21D4F426" w14:textId="77777777" w:rsidR="001F76BC" w:rsidRPr="0090529F" w:rsidRDefault="001F76BC" w:rsidP="001F76BC">
      <w:pPr>
        <w:spacing w:after="0"/>
        <w:ind w:right="27"/>
        <w:jc w:val="both"/>
        <w:rPr>
          <w:rFonts w:cstheme="minorHAnsi"/>
          <w:color w:val="000000" w:themeColor="text1"/>
        </w:rPr>
      </w:pPr>
    </w:p>
    <w:p w14:paraId="01A71DD1" w14:textId="77777777" w:rsidR="001F76BC" w:rsidRPr="0090529F" w:rsidRDefault="001F76BC" w:rsidP="001F76BC">
      <w:pPr>
        <w:spacing w:after="0"/>
        <w:ind w:right="27"/>
        <w:jc w:val="both"/>
        <w:rPr>
          <w:rFonts w:cstheme="minorHAnsi"/>
          <w:i/>
          <w:color w:val="000000" w:themeColor="text1"/>
        </w:rPr>
      </w:pPr>
      <w:r w:rsidRPr="0090529F">
        <w:rPr>
          <w:rFonts w:cstheme="minorHAnsi"/>
          <w:i/>
          <w:color w:val="000000" w:themeColor="text1"/>
        </w:rPr>
        <w:t>Ressourceafgift på indhandling</w:t>
      </w:r>
    </w:p>
    <w:p w14:paraId="032F7D66" w14:textId="5EE7D5E8" w:rsidR="001F76BC" w:rsidRPr="0090529F" w:rsidRDefault="001F76BC" w:rsidP="001F76BC">
      <w:pPr>
        <w:spacing w:after="0"/>
        <w:ind w:right="27"/>
        <w:jc w:val="both"/>
        <w:rPr>
          <w:rFonts w:cstheme="minorHAnsi"/>
          <w:color w:val="000000" w:themeColor="text1"/>
        </w:rPr>
      </w:pPr>
      <w:r w:rsidRPr="0090529F">
        <w:rPr>
          <w:rFonts w:cstheme="minorHAnsi"/>
          <w:color w:val="000000" w:themeColor="text1"/>
        </w:rPr>
        <w:t>Indhandling af de afgiftspligtige arter fra den havgående og kystnære flåde er afgiftsbelagt med en ressourceafgift på 5 pct. af indhandlingsværdien, hvis den gennemsnitlige indhandlingspris, omregnet til levende vægt, er på 8 kr. pr. kg. eller over.</w:t>
      </w:r>
      <w:r w:rsidRPr="0090529F">
        <w:rPr>
          <w:rStyle w:val="Fodnotehenvisning"/>
          <w:rFonts w:cstheme="minorHAnsi"/>
          <w:color w:val="000000" w:themeColor="text1"/>
        </w:rPr>
        <w:footnoteReference w:id="1"/>
      </w:r>
      <w:r w:rsidRPr="0090529F">
        <w:rPr>
          <w:rFonts w:cstheme="minorHAnsi"/>
          <w:color w:val="000000" w:themeColor="text1"/>
        </w:rPr>
        <w:t xml:space="preserve">  Indhandling fra den kystnære hellefiskeflåde er dog afgiftsbelagt med en ressourceafgift på 4 pct.</w:t>
      </w:r>
      <w:r w:rsidRPr="0090529F">
        <w:rPr>
          <w:rStyle w:val="Fodnotehenvisning"/>
          <w:rFonts w:cstheme="minorHAnsi"/>
          <w:color w:val="000000" w:themeColor="text1"/>
        </w:rPr>
        <w:footnoteReference w:id="2"/>
      </w:r>
      <w:r w:rsidRPr="0090529F">
        <w:rPr>
          <w:rFonts w:cstheme="minorHAnsi"/>
          <w:color w:val="000000" w:themeColor="text1"/>
        </w:rPr>
        <w:t xml:space="preserve">  </w:t>
      </w:r>
    </w:p>
    <w:p w14:paraId="4FEA5473" w14:textId="77777777" w:rsidR="001F76BC" w:rsidRPr="0090529F" w:rsidRDefault="001F76BC" w:rsidP="001F76BC">
      <w:pPr>
        <w:spacing w:after="0"/>
        <w:ind w:right="27"/>
        <w:jc w:val="both"/>
        <w:rPr>
          <w:rFonts w:cstheme="minorHAnsi"/>
          <w:color w:val="000000" w:themeColor="text1"/>
        </w:rPr>
      </w:pPr>
    </w:p>
    <w:p w14:paraId="6BB68D10" w14:textId="59E7C53F" w:rsidR="001F76BC" w:rsidRPr="0090529F" w:rsidRDefault="001F76BC" w:rsidP="001F76BC">
      <w:pPr>
        <w:spacing w:after="0"/>
        <w:ind w:right="27"/>
        <w:jc w:val="both"/>
        <w:rPr>
          <w:rFonts w:cstheme="minorHAnsi"/>
          <w:color w:val="000000" w:themeColor="text1"/>
        </w:rPr>
      </w:pPr>
      <w:r w:rsidRPr="0090529F">
        <w:rPr>
          <w:rFonts w:cstheme="minorHAnsi"/>
          <w:color w:val="000000" w:themeColor="text1"/>
        </w:rPr>
        <w:t xml:space="preserve">Udgør den gennemsnitlige indhandlingspris mindre end 8 kr. pr., betales der i stedet en lav grundafgift på 5 øre pr. kg indhandlet mængde, uanset det vedrører den havgående eller kystnære flåde. </w:t>
      </w:r>
    </w:p>
    <w:p w14:paraId="554E82C4" w14:textId="77777777" w:rsidR="001F76BC" w:rsidRPr="0090529F" w:rsidRDefault="001F76BC" w:rsidP="001F76BC">
      <w:pPr>
        <w:spacing w:after="0"/>
        <w:ind w:right="27"/>
        <w:jc w:val="both"/>
        <w:rPr>
          <w:rFonts w:cstheme="minorHAnsi"/>
          <w:color w:val="000000" w:themeColor="text1"/>
        </w:rPr>
      </w:pPr>
    </w:p>
    <w:p w14:paraId="6DBA3341" w14:textId="77777777" w:rsidR="001F76BC" w:rsidRPr="0090529F" w:rsidRDefault="001F76BC" w:rsidP="001F76BC">
      <w:pPr>
        <w:spacing w:after="0"/>
        <w:ind w:right="27"/>
        <w:jc w:val="both"/>
        <w:rPr>
          <w:rFonts w:cstheme="minorHAnsi"/>
          <w:i/>
          <w:color w:val="000000" w:themeColor="text1"/>
        </w:rPr>
      </w:pPr>
      <w:r w:rsidRPr="0090529F">
        <w:rPr>
          <w:rFonts w:cstheme="minorHAnsi"/>
          <w:i/>
          <w:color w:val="000000" w:themeColor="text1"/>
        </w:rPr>
        <w:t>Ressourceafgift på eksport</w:t>
      </w:r>
    </w:p>
    <w:p w14:paraId="1B4D42B8" w14:textId="51A0AA12" w:rsidR="001F76BC" w:rsidRPr="0090529F" w:rsidRDefault="001F76BC" w:rsidP="001F76BC">
      <w:pPr>
        <w:spacing w:after="0"/>
        <w:ind w:right="27"/>
        <w:jc w:val="both"/>
        <w:rPr>
          <w:rFonts w:cstheme="minorHAnsi"/>
          <w:color w:val="000000" w:themeColor="text1"/>
        </w:rPr>
      </w:pPr>
      <w:r w:rsidRPr="0090529F">
        <w:rPr>
          <w:rFonts w:cstheme="minorHAnsi"/>
          <w:color w:val="000000" w:themeColor="text1"/>
        </w:rPr>
        <w:t xml:space="preserve">Ressourceafgiften udgør ved direkte eksport fra de producerende trawlere 5 pct. af eksportværdien, hvis den gennemsnitlige eksportpris, omregnet til levende vægt pr. kg, ligger imellem en pris på 12 kr. pr. kg og op til 17 kr. pr. kg. </w:t>
      </w:r>
      <w:r w:rsidRPr="0090529F">
        <w:rPr>
          <w:rStyle w:val="Fodnotehenvisning"/>
          <w:rFonts w:cstheme="minorHAnsi"/>
          <w:color w:val="000000" w:themeColor="text1"/>
        </w:rPr>
        <w:footnoteReference w:id="3"/>
      </w:r>
    </w:p>
    <w:p w14:paraId="7E055B4A" w14:textId="77777777" w:rsidR="001F76BC" w:rsidRPr="0090529F" w:rsidRDefault="001F76BC" w:rsidP="001F76BC">
      <w:pPr>
        <w:spacing w:after="0"/>
        <w:ind w:right="27"/>
        <w:jc w:val="both"/>
        <w:rPr>
          <w:rFonts w:cstheme="minorHAnsi"/>
          <w:color w:val="000000" w:themeColor="text1"/>
        </w:rPr>
      </w:pPr>
    </w:p>
    <w:p w14:paraId="2E8C2CE8" w14:textId="0B598860" w:rsidR="001F76BC" w:rsidRPr="0090529F" w:rsidRDefault="001F76BC" w:rsidP="001F76BC">
      <w:pPr>
        <w:spacing w:after="0"/>
        <w:ind w:right="27"/>
        <w:jc w:val="both"/>
        <w:rPr>
          <w:rFonts w:cstheme="minorHAnsi"/>
          <w:color w:val="000000" w:themeColor="text1"/>
        </w:rPr>
      </w:pPr>
      <w:r w:rsidRPr="0090529F">
        <w:rPr>
          <w:rFonts w:cstheme="minorHAnsi"/>
          <w:color w:val="000000" w:themeColor="text1"/>
        </w:rPr>
        <w:t>Afgiftsprocenten stiger med et procentpoint for hver påbegyndt krone gennemsnitsprisen overstiger 17 kr. pr. kg. indtil prisen, når en gennemsnitlig pris på 29,01 kr. pr. kg svarende til et afgiftsloft på 17,9 pct. af eksportværdien, jf. Figur 1.</w:t>
      </w:r>
      <w:r w:rsidRPr="0090529F">
        <w:rPr>
          <w:rStyle w:val="Fodnotehenvisning"/>
          <w:rFonts w:cstheme="minorHAnsi"/>
          <w:color w:val="000000" w:themeColor="text1"/>
        </w:rPr>
        <w:footnoteReference w:id="4"/>
      </w:r>
      <w:r w:rsidRPr="0090529F">
        <w:rPr>
          <w:rFonts w:cstheme="minorHAnsi"/>
          <w:color w:val="000000" w:themeColor="text1"/>
        </w:rPr>
        <w:t xml:space="preserve"> </w:t>
      </w:r>
    </w:p>
    <w:p w14:paraId="52A3800B" w14:textId="77777777" w:rsidR="001F76BC" w:rsidRPr="0090529F" w:rsidRDefault="001F76BC" w:rsidP="001F76BC">
      <w:pPr>
        <w:spacing w:after="0"/>
        <w:ind w:right="27"/>
        <w:jc w:val="both"/>
        <w:rPr>
          <w:rFonts w:cstheme="minorHAnsi"/>
          <w:color w:val="000000" w:themeColor="text1"/>
        </w:rPr>
      </w:pPr>
    </w:p>
    <w:p w14:paraId="657415F0" w14:textId="600EB977" w:rsidR="001F76BC" w:rsidRPr="0090529F" w:rsidRDefault="001F76BC" w:rsidP="001F76BC">
      <w:pPr>
        <w:spacing w:after="0"/>
        <w:ind w:right="27"/>
        <w:jc w:val="both"/>
        <w:rPr>
          <w:rFonts w:cstheme="minorHAnsi"/>
          <w:color w:val="000000" w:themeColor="text1"/>
        </w:rPr>
      </w:pPr>
      <w:r w:rsidRPr="0090529F">
        <w:rPr>
          <w:rFonts w:cstheme="minorHAnsi"/>
          <w:color w:val="000000" w:themeColor="text1"/>
        </w:rPr>
        <w:t>Ligger den gennemsnitlige eksportpris under 12 kr. pr. kg svares en grundafgift på 20 øre pr. kg eksporteret mængde.</w:t>
      </w:r>
    </w:p>
    <w:p w14:paraId="317A8044" w14:textId="77777777" w:rsidR="001F76BC" w:rsidRPr="0090529F" w:rsidRDefault="001F76BC" w:rsidP="001F76BC">
      <w:pPr>
        <w:spacing w:after="0"/>
        <w:ind w:right="27"/>
        <w:jc w:val="both"/>
        <w:rPr>
          <w:rFonts w:cstheme="minorHAnsi"/>
          <w:color w:val="000000" w:themeColor="text1"/>
        </w:rPr>
      </w:pPr>
    </w:p>
    <w:p w14:paraId="43976FA5" w14:textId="4D4CF3E7" w:rsidR="001F76BC" w:rsidRPr="0090529F" w:rsidRDefault="001F76BC" w:rsidP="001F76BC">
      <w:pPr>
        <w:spacing w:after="0"/>
        <w:ind w:right="27"/>
        <w:jc w:val="both"/>
        <w:rPr>
          <w:rFonts w:cstheme="minorHAnsi"/>
          <w:color w:val="000000" w:themeColor="text1"/>
        </w:rPr>
      </w:pPr>
      <w:r w:rsidRPr="0090529F">
        <w:rPr>
          <w:rFonts w:cstheme="minorHAnsi"/>
          <w:noProof/>
          <w:color w:val="000000" w:themeColor="text1"/>
          <w:lang w:eastAsia="da-DK"/>
        </w:rPr>
        <w:t xml:space="preserve">Figur 1: Udvikling i procentmæssig afgiftssats på eksport ved stigende gns.eksportpris. </w:t>
      </w:r>
    </w:p>
    <w:p w14:paraId="23A2D699" w14:textId="77777777" w:rsidR="001F76BC" w:rsidRPr="0090529F" w:rsidRDefault="001F76BC" w:rsidP="001F76BC">
      <w:pPr>
        <w:tabs>
          <w:tab w:val="right" w:pos="3960"/>
          <w:tab w:val="right" w:pos="5040"/>
          <w:tab w:val="right" w:pos="6300"/>
          <w:tab w:val="right" w:pos="7380"/>
          <w:tab w:val="right" w:pos="8460"/>
          <w:tab w:val="right" w:pos="9540"/>
        </w:tabs>
        <w:spacing w:after="0"/>
        <w:ind w:right="306"/>
        <w:jc w:val="both"/>
        <w:rPr>
          <w:rFonts w:cstheme="minorHAnsi"/>
          <w:color w:val="000000" w:themeColor="text1"/>
        </w:rPr>
      </w:pPr>
      <w:r w:rsidRPr="0090529F">
        <w:rPr>
          <w:rFonts w:cstheme="minorHAnsi"/>
          <w:noProof/>
          <w:color w:val="000000" w:themeColor="text1"/>
          <w:lang w:eastAsia="da-DK"/>
        </w:rPr>
        <w:drawing>
          <wp:inline distT="0" distB="0" distL="0" distR="0" wp14:anchorId="390F7443" wp14:editId="20EC0F86">
            <wp:extent cx="5017325" cy="3705102"/>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162F70" w14:textId="60CBE95D" w:rsidR="001F76BC" w:rsidRPr="0090529F" w:rsidRDefault="001F76BC" w:rsidP="001F76BC">
      <w:pPr>
        <w:spacing w:after="0"/>
        <w:ind w:right="27"/>
        <w:jc w:val="both"/>
        <w:rPr>
          <w:rFonts w:cstheme="minorHAnsi"/>
          <w:color w:val="000000" w:themeColor="text1"/>
        </w:rPr>
      </w:pPr>
    </w:p>
    <w:p w14:paraId="26AB7A58" w14:textId="143115D5" w:rsidR="001F76BC" w:rsidRPr="0090529F" w:rsidRDefault="001F76BC" w:rsidP="001F76BC">
      <w:pPr>
        <w:spacing w:after="0"/>
        <w:jc w:val="both"/>
        <w:rPr>
          <w:rFonts w:cstheme="minorHAnsi"/>
          <w:b/>
          <w:color w:val="000000" w:themeColor="text1"/>
        </w:rPr>
      </w:pPr>
      <w:r w:rsidRPr="0090529F">
        <w:rPr>
          <w:rFonts w:cstheme="minorHAnsi"/>
          <w:b/>
          <w:color w:val="000000" w:themeColor="text1"/>
        </w:rPr>
        <w:t>Nuværende ressourceafgiftsmodel – Arter som afgiftsbelægges med fast kroneafgift</w:t>
      </w:r>
    </w:p>
    <w:p w14:paraId="1B814914" w14:textId="77777777" w:rsidR="001F76BC" w:rsidRPr="0090529F" w:rsidRDefault="001F76BC" w:rsidP="001F76BC">
      <w:pPr>
        <w:spacing w:after="0"/>
        <w:rPr>
          <w:rFonts w:cstheme="minorHAnsi"/>
          <w:color w:val="000000" w:themeColor="text1"/>
        </w:rPr>
      </w:pPr>
      <w:r w:rsidRPr="0090529F">
        <w:rPr>
          <w:rFonts w:cstheme="minorHAnsi"/>
          <w:color w:val="000000" w:themeColor="text1"/>
        </w:rPr>
        <w:t xml:space="preserve">Det pelagiske fiskeri efter sild, lodde, makrel, blåhvilling og guldlaks afgiftsbelægges på nuværende tidspunkt med en fast ressourceafgift i kroner pr. kg fangst jf. tabel 2. </w:t>
      </w:r>
    </w:p>
    <w:p w14:paraId="155EA109" w14:textId="77777777" w:rsidR="001F76BC" w:rsidRPr="0090529F" w:rsidRDefault="001F76BC" w:rsidP="001F76BC">
      <w:pPr>
        <w:spacing w:after="0"/>
        <w:jc w:val="both"/>
        <w:rPr>
          <w:rFonts w:cstheme="minorHAnsi"/>
          <w:color w:val="000000" w:themeColor="text1"/>
        </w:rPr>
      </w:pPr>
    </w:p>
    <w:p w14:paraId="6A5488D8" w14:textId="246548E0" w:rsidR="001F76BC" w:rsidRPr="0090529F" w:rsidRDefault="001F76BC" w:rsidP="001F76BC">
      <w:pPr>
        <w:spacing w:after="0"/>
        <w:jc w:val="both"/>
        <w:rPr>
          <w:rFonts w:cstheme="minorHAnsi"/>
          <w:color w:val="000000" w:themeColor="text1"/>
        </w:rPr>
      </w:pPr>
      <w:r w:rsidRPr="0090529F">
        <w:rPr>
          <w:rFonts w:cstheme="minorHAnsi"/>
          <w:color w:val="000000" w:themeColor="text1"/>
        </w:rPr>
        <w:t xml:space="preserve">Afgiftssatser pr.kg. fangst i det pelagiske fiskeri i kroner og euro. </w:t>
      </w:r>
    </w:p>
    <w:tbl>
      <w:tblPr>
        <w:tblW w:w="5000" w:type="pct"/>
        <w:tblCellMar>
          <w:left w:w="70" w:type="dxa"/>
          <w:right w:w="70" w:type="dxa"/>
        </w:tblCellMar>
        <w:tblLook w:val="04A0" w:firstRow="1" w:lastRow="0" w:firstColumn="1" w:lastColumn="0" w:noHBand="0" w:noVBand="1"/>
      </w:tblPr>
      <w:tblGrid>
        <w:gridCol w:w="2046"/>
        <w:gridCol w:w="1091"/>
        <w:gridCol w:w="426"/>
        <w:gridCol w:w="1091"/>
        <w:gridCol w:w="427"/>
        <w:gridCol w:w="1092"/>
        <w:gridCol w:w="427"/>
        <w:gridCol w:w="1092"/>
        <w:gridCol w:w="427"/>
        <w:gridCol w:w="1092"/>
        <w:gridCol w:w="427"/>
      </w:tblGrid>
      <w:tr w:rsidR="001F76BC" w:rsidRPr="0090529F" w14:paraId="1B255000" w14:textId="77777777" w:rsidTr="00470B53">
        <w:trPr>
          <w:trHeight w:val="300"/>
        </w:trPr>
        <w:tc>
          <w:tcPr>
            <w:tcW w:w="894" w:type="pct"/>
            <w:tcBorders>
              <w:top w:val="nil"/>
              <w:left w:val="nil"/>
              <w:bottom w:val="nil"/>
              <w:right w:val="nil"/>
            </w:tcBorders>
            <w:shd w:val="clear" w:color="000000" w:fill="DDEBF7"/>
            <w:noWrap/>
            <w:vAlign w:val="center"/>
            <w:hideMark/>
          </w:tcPr>
          <w:p w14:paraId="4812B79C" w14:textId="77777777" w:rsidR="001F76BC" w:rsidRPr="0090529F" w:rsidRDefault="001F76BC" w:rsidP="00470B53">
            <w:pPr>
              <w:spacing w:after="0" w:line="240" w:lineRule="auto"/>
              <w:rPr>
                <w:rFonts w:eastAsia="Times New Roman" w:cstheme="minorHAnsi"/>
                <w:color w:val="000000"/>
                <w:lang w:eastAsia="da-DK"/>
              </w:rPr>
            </w:pPr>
            <w:r w:rsidRPr="0090529F">
              <w:rPr>
                <w:rFonts w:eastAsia="Times New Roman" w:cstheme="minorHAnsi"/>
                <w:color w:val="000000"/>
                <w:lang w:eastAsia="da-DK"/>
              </w:rPr>
              <w:t> </w:t>
            </w:r>
          </w:p>
        </w:tc>
        <w:tc>
          <w:tcPr>
            <w:tcW w:w="821" w:type="pct"/>
            <w:gridSpan w:val="2"/>
            <w:tcBorders>
              <w:top w:val="nil"/>
              <w:left w:val="nil"/>
              <w:bottom w:val="nil"/>
              <w:right w:val="nil"/>
            </w:tcBorders>
            <w:shd w:val="clear" w:color="000000" w:fill="DDEBF7"/>
            <w:noWrap/>
            <w:vAlign w:val="center"/>
            <w:hideMark/>
          </w:tcPr>
          <w:p w14:paraId="111AC027" w14:textId="77777777" w:rsidR="001F76BC" w:rsidRPr="0090529F" w:rsidRDefault="001F76BC" w:rsidP="00470B53">
            <w:pPr>
              <w:spacing w:after="0" w:line="240" w:lineRule="auto"/>
              <w:jc w:val="center"/>
              <w:rPr>
                <w:rFonts w:eastAsia="Times New Roman" w:cstheme="minorHAnsi"/>
                <w:color w:val="000000"/>
                <w:lang w:eastAsia="da-DK"/>
              </w:rPr>
            </w:pPr>
            <w:r w:rsidRPr="0090529F">
              <w:rPr>
                <w:rFonts w:eastAsia="Times New Roman" w:cstheme="minorHAnsi"/>
                <w:color w:val="000000"/>
                <w:lang w:eastAsia="da-DK"/>
              </w:rPr>
              <w:t>Sild</w:t>
            </w:r>
          </w:p>
        </w:tc>
        <w:tc>
          <w:tcPr>
            <w:tcW w:w="821" w:type="pct"/>
            <w:gridSpan w:val="2"/>
            <w:tcBorders>
              <w:top w:val="nil"/>
              <w:left w:val="nil"/>
              <w:bottom w:val="nil"/>
              <w:right w:val="nil"/>
            </w:tcBorders>
            <w:shd w:val="clear" w:color="000000" w:fill="DDEBF7"/>
            <w:noWrap/>
            <w:vAlign w:val="center"/>
            <w:hideMark/>
          </w:tcPr>
          <w:p w14:paraId="4A4A61E6" w14:textId="77777777" w:rsidR="001F76BC" w:rsidRPr="0090529F" w:rsidRDefault="001F76BC" w:rsidP="00470B53">
            <w:pPr>
              <w:spacing w:after="0" w:line="240" w:lineRule="auto"/>
              <w:jc w:val="center"/>
              <w:rPr>
                <w:rFonts w:eastAsia="Times New Roman" w:cstheme="minorHAnsi"/>
                <w:color w:val="000000"/>
                <w:lang w:eastAsia="da-DK"/>
              </w:rPr>
            </w:pPr>
            <w:r w:rsidRPr="0090529F">
              <w:rPr>
                <w:rFonts w:eastAsia="Times New Roman" w:cstheme="minorHAnsi"/>
                <w:color w:val="000000"/>
                <w:lang w:eastAsia="da-DK"/>
              </w:rPr>
              <w:t>Lodde</w:t>
            </w:r>
          </w:p>
        </w:tc>
        <w:tc>
          <w:tcPr>
            <w:tcW w:w="821" w:type="pct"/>
            <w:gridSpan w:val="2"/>
            <w:tcBorders>
              <w:top w:val="nil"/>
              <w:left w:val="nil"/>
              <w:bottom w:val="nil"/>
              <w:right w:val="nil"/>
            </w:tcBorders>
            <w:shd w:val="clear" w:color="000000" w:fill="DDEBF7"/>
            <w:noWrap/>
            <w:vAlign w:val="center"/>
            <w:hideMark/>
          </w:tcPr>
          <w:p w14:paraId="229A8435" w14:textId="77777777" w:rsidR="001F76BC" w:rsidRPr="0090529F" w:rsidRDefault="001F76BC" w:rsidP="00470B53">
            <w:pPr>
              <w:spacing w:after="0" w:line="240" w:lineRule="auto"/>
              <w:jc w:val="center"/>
              <w:rPr>
                <w:rFonts w:eastAsia="Times New Roman" w:cstheme="minorHAnsi"/>
                <w:color w:val="000000"/>
                <w:lang w:eastAsia="da-DK"/>
              </w:rPr>
            </w:pPr>
            <w:r w:rsidRPr="0090529F">
              <w:rPr>
                <w:rFonts w:eastAsia="Times New Roman" w:cstheme="minorHAnsi"/>
                <w:color w:val="000000"/>
                <w:lang w:eastAsia="da-DK"/>
              </w:rPr>
              <w:t>Makrel</w:t>
            </w:r>
          </w:p>
        </w:tc>
        <w:tc>
          <w:tcPr>
            <w:tcW w:w="821" w:type="pct"/>
            <w:gridSpan w:val="2"/>
            <w:tcBorders>
              <w:top w:val="nil"/>
              <w:left w:val="nil"/>
              <w:bottom w:val="nil"/>
              <w:right w:val="nil"/>
            </w:tcBorders>
            <w:shd w:val="clear" w:color="000000" w:fill="DDEBF7"/>
            <w:noWrap/>
            <w:vAlign w:val="center"/>
            <w:hideMark/>
          </w:tcPr>
          <w:p w14:paraId="1CCE9BF4" w14:textId="77777777" w:rsidR="001F76BC" w:rsidRPr="0090529F" w:rsidRDefault="001F76BC" w:rsidP="00470B53">
            <w:pPr>
              <w:spacing w:after="0" w:line="240" w:lineRule="auto"/>
              <w:jc w:val="center"/>
              <w:rPr>
                <w:rFonts w:eastAsia="Times New Roman" w:cstheme="minorHAnsi"/>
                <w:color w:val="000000"/>
                <w:lang w:eastAsia="da-DK"/>
              </w:rPr>
            </w:pPr>
            <w:r w:rsidRPr="0090529F">
              <w:rPr>
                <w:rFonts w:eastAsia="Times New Roman" w:cstheme="minorHAnsi"/>
                <w:color w:val="000000"/>
                <w:lang w:eastAsia="da-DK"/>
              </w:rPr>
              <w:t>Blåhvilling</w:t>
            </w:r>
          </w:p>
        </w:tc>
        <w:tc>
          <w:tcPr>
            <w:tcW w:w="821" w:type="pct"/>
            <w:gridSpan w:val="2"/>
            <w:tcBorders>
              <w:top w:val="nil"/>
              <w:left w:val="nil"/>
              <w:bottom w:val="nil"/>
              <w:right w:val="nil"/>
            </w:tcBorders>
            <w:shd w:val="clear" w:color="000000" w:fill="DDEBF7"/>
            <w:noWrap/>
            <w:vAlign w:val="center"/>
            <w:hideMark/>
          </w:tcPr>
          <w:p w14:paraId="3D41AA0B" w14:textId="77777777" w:rsidR="001F76BC" w:rsidRPr="0090529F" w:rsidRDefault="001F76BC" w:rsidP="00470B53">
            <w:pPr>
              <w:spacing w:after="0" w:line="240" w:lineRule="auto"/>
              <w:jc w:val="center"/>
              <w:rPr>
                <w:rFonts w:eastAsia="Times New Roman" w:cstheme="minorHAnsi"/>
                <w:color w:val="000000"/>
                <w:lang w:eastAsia="da-DK"/>
              </w:rPr>
            </w:pPr>
            <w:r w:rsidRPr="0090529F">
              <w:rPr>
                <w:rFonts w:eastAsia="Times New Roman" w:cstheme="minorHAnsi"/>
                <w:color w:val="000000"/>
                <w:lang w:eastAsia="da-DK"/>
              </w:rPr>
              <w:t>Guldlaks</w:t>
            </w:r>
          </w:p>
        </w:tc>
      </w:tr>
      <w:tr w:rsidR="001F76BC" w:rsidRPr="0090529F" w14:paraId="00CAE83E" w14:textId="77777777" w:rsidTr="00470B53">
        <w:trPr>
          <w:trHeight w:val="315"/>
        </w:trPr>
        <w:tc>
          <w:tcPr>
            <w:tcW w:w="894" w:type="pct"/>
            <w:tcBorders>
              <w:top w:val="nil"/>
              <w:left w:val="nil"/>
              <w:bottom w:val="single" w:sz="8" w:space="0" w:color="auto"/>
              <w:right w:val="nil"/>
            </w:tcBorders>
            <w:shd w:val="clear" w:color="000000" w:fill="DDEBF7"/>
            <w:noWrap/>
            <w:vAlign w:val="bottom"/>
            <w:hideMark/>
          </w:tcPr>
          <w:p w14:paraId="017AC7FA" w14:textId="77777777" w:rsidR="001F76BC" w:rsidRPr="0090529F" w:rsidRDefault="001F76BC" w:rsidP="00470B53">
            <w:pPr>
              <w:spacing w:after="0" w:line="240" w:lineRule="auto"/>
              <w:rPr>
                <w:rFonts w:eastAsia="Times New Roman" w:cstheme="minorHAnsi"/>
                <w:color w:val="000000"/>
                <w:lang w:eastAsia="da-DK"/>
              </w:rPr>
            </w:pPr>
            <w:r w:rsidRPr="0090529F">
              <w:rPr>
                <w:rFonts w:eastAsia="Times New Roman" w:cstheme="minorHAnsi"/>
                <w:color w:val="000000"/>
                <w:lang w:eastAsia="da-DK"/>
              </w:rPr>
              <w:t> </w:t>
            </w:r>
          </w:p>
        </w:tc>
        <w:tc>
          <w:tcPr>
            <w:tcW w:w="583" w:type="pct"/>
            <w:tcBorders>
              <w:top w:val="nil"/>
              <w:left w:val="nil"/>
              <w:bottom w:val="single" w:sz="8" w:space="0" w:color="auto"/>
              <w:right w:val="nil"/>
            </w:tcBorders>
            <w:shd w:val="clear" w:color="000000" w:fill="DDEBF7"/>
            <w:noWrap/>
            <w:vAlign w:val="bottom"/>
            <w:hideMark/>
          </w:tcPr>
          <w:p w14:paraId="5E56693B" w14:textId="77777777" w:rsidR="001F76BC" w:rsidRPr="0090529F" w:rsidRDefault="001F76BC" w:rsidP="00470B53">
            <w:pPr>
              <w:spacing w:after="0" w:line="240" w:lineRule="auto"/>
              <w:jc w:val="right"/>
              <w:rPr>
                <w:rFonts w:eastAsia="Times New Roman" w:cstheme="minorHAnsi"/>
                <w:color w:val="000000"/>
                <w:lang w:eastAsia="da-DK"/>
              </w:rPr>
            </w:pPr>
            <w:r w:rsidRPr="0090529F">
              <w:rPr>
                <w:rFonts w:eastAsia="Times New Roman" w:cstheme="minorHAnsi"/>
                <w:color w:val="000000"/>
                <w:lang w:eastAsia="da-DK"/>
              </w:rPr>
              <w:t>Kr.</w:t>
            </w:r>
          </w:p>
        </w:tc>
        <w:tc>
          <w:tcPr>
            <w:tcW w:w="238" w:type="pct"/>
            <w:tcBorders>
              <w:top w:val="nil"/>
              <w:left w:val="nil"/>
              <w:bottom w:val="single" w:sz="8" w:space="0" w:color="auto"/>
              <w:right w:val="nil"/>
            </w:tcBorders>
            <w:shd w:val="clear" w:color="000000" w:fill="DDEBF7"/>
            <w:noWrap/>
            <w:vAlign w:val="bottom"/>
            <w:hideMark/>
          </w:tcPr>
          <w:p w14:paraId="340FEB1B" w14:textId="0636C099" w:rsidR="001F76BC" w:rsidRPr="0090529F" w:rsidRDefault="001F76BC" w:rsidP="00470B53">
            <w:pPr>
              <w:spacing w:after="0" w:line="240" w:lineRule="auto"/>
              <w:jc w:val="right"/>
              <w:rPr>
                <w:rFonts w:eastAsia="Times New Roman" w:cstheme="minorHAnsi"/>
                <w:color w:val="000000"/>
                <w:lang w:eastAsia="da-DK"/>
              </w:rPr>
            </w:pPr>
          </w:p>
        </w:tc>
        <w:tc>
          <w:tcPr>
            <w:tcW w:w="583" w:type="pct"/>
            <w:tcBorders>
              <w:top w:val="nil"/>
              <w:left w:val="nil"/>
              <w:bottom w:val="single" w:sz="8" w:space="0" w:color="auto"/>
              <w:right w:val="nil"/>
            </w:tcBorders>
            <w:shd w:val="clear" w:color="000000" w:fill="DDEBF7"/>
            <w:noWrap/>
            <w:vAlign w:val="bottom"/>
            <w:hideMark/>
          </w:tcPr>
          <w:p w14:paraId="61BB349C" w14:textId="77777777" w:rsidR="001F76BC" w:rsidRPr="0090529F" w:rsidRDefault="001F76BC" w:rsidP="00470B53">
            <w:pPr>
              <w:spacing w:after="0" w:line="240" w:lineRule="auto"/>
              <w:jc w:val="right"/>
              <w:rPr>
                <w:rFonts w:eastAsia="Times New Roman" w:cstheme="minorHAnsi"/>
                <w:color w:val="000000"/>
                <w:lang w:eastAsia="da-DK"/>
              </w:rPr>
            </w:pPr>
            <w:r w:rsidRPr="0090529F">
              <w:rPr>
                <w:rFonts w:eastAsia="Times New Roman" w:cstheme="minorHAnsi"/>
                <w:color w:val="000000"/>
                <w:lang w:eastAsia="da-DK"/>
              </w:rPr>
              <w:t>Kr.</w:t>
            </w:r>
          </w:p>
        </w:tc>
        <w:tc>
          <w:tcPr>
            <w:tcW w:w="238" w:type="pct"/>
            <w:tcBorders>
              <w:top w:val="nil"/>
              <w:left w:val="nil"/>
              <w:bottom w:val="single" w:sz="8" w:space="0" w:color="auto"/>
              <w:right w:val="nil"/>
            </w:tcBorders>
            <w:shd w:val="clear" w:color="000000" w:fill="DDEBF7"/>
            <w:noWrap/>
            <w:vAlign w:val="bottom"/>
            <w:hideMark/>
          </w:tcPr>
          <w:p w14:paraId="65DE41A6" w14:textId="52B34443" w:rsidR="001F76BC" w:rsidRPr="0090529F" w:rsidRDefault="001F76BC" w:rsidP="00470B53">
            <w:pPr>
              <w:spacing w:after="0" w:line="240" w:lineRule="auto"/>
              <w:jc w:val="right"/>
              <w:rPr>
                <w:rFonts w:eastAsia="Times New Roman" w:cstheme="minorHAnsi"/>
                <w:color w:val="000000"/>
                <w:lang w:eastAsia="da-DK"/>
              </w:rPr>
            </w:pPr>
          </w:p>
        </w:tc>
        <w:tc>
          <w:tcPr>
            <w:tcW w:w="583" w:type="pct"/>
            <w:tcBorders>
              <w:top w:val="nil"/>
              <w:left w:val="nil"/>
              <w:bottom w:val="single" w:sz="8" w:space="0" w:color="auto"/>
              <w:right w:val="nil"/>
            </w:tcBorders>
            <w:shd w:val="clear" w:color="000000" w:fill="DDEBF7"/>
            <w:noWrap/>
            <w:vAlign w:val="bottom"/>
            <w:hideMark/>
          </w:tcPr>
          <w:p w14:paraId="1A897C9C" w14:textId="77777777" w:rsidR="001F76BC" w:rsidRPr="0090529F" w:rsidRDefault="001F76BC" w:rsidP="00470B53">
            <w:pPr>
              <w:spacing w:after="0" w:line="240" w:lineRule="auto"/>
              <w:jc w:val="right"/>
              <w:rPr>
                <w:rFonts w:eastAsia="Times New Roman" w:cstheme="minorHAnsi"/>
                <w:color w:val="000000"/>
                <w:lang w:eastAsia="da-DK"/>
              </w:rPr>
            </w:pPr>
            <w:r w:rsidRPr="0090529F">
              <w:rPr>
                <w:rFonts w:eastAsia="Times New Roman" w:cstheme="minorHAnsi"/>
                <w:color w:val="000000"/>
                <w:lang w:eastAsia="da-DK"/>
              </w:rPr>
              <w:t>Kr.</w:t>
            </w:r>
          </w:p>
        </w:tc>
        <w:tc>
          <w:tcPr>
            <w:tcW w:w="238" w:type="pct"/>
            <w:tcBorders>
              <w:top w:val="nil"/>
              <w:left w:val="nil"/>
              <w:bottom w:val="single" w:sz="8" w:space="0" w:color="auto"/>
              <w:right w:val="nil"/>
            </w:tcBorders>
            <w:shd w:val="clear" w:color="000000" w:fill="DDEBF7"/>
            <w:noWrap/>
            <w:vAlign w:val="bottom"/>
            <w:hideMark/>
          </w:tcPr>
          <w:p w14:paraId="277E3774" w14:textId="158C5786" w:rsidR="001F76BC" w:rsidRPr="0090529F" w:rsidRDefault="001F76BC" w:rsidP="00470B53">
            <w:pPr>
              <w:spacing w:after="0" w:line="240" w:lineRule="auto"/>
              <w:jc w:val="right"/>
              <w:rPr>
                <w:rFonts w:eastAsia="Times New Roman" w:cstheme="minorHAnsi"/>
                <w:color w:val="000000"/>
                <w:lang w:eastAsia="da-DK"/>
              </w:rPr>
            </w:pPr>
          </w:p>
        </w:tc>
        <w:tc>
          <w:tcPr>
            <w:tcW w:w="583" w:type="pct"/>
            <w:tcBorders>
              <w:top w:val="nil"/>
              <w:left w:val="nil"/>
              <w:bottom w:val="single" w:sz="8" w:space="0" w:color="auto"/>
              <w:right w:val="nil"/>
            </w:tcBorders>
            <w:shd w:val="clear" w:color="000000" w:fill="DDEBF7"/>
            <w:noWrap/>
            <w:vAlign w:val="bottom"/>
            <w:hideMark/>
          </w:tcPr>
          <w:p w14:paraId="30221B42" w14:textId="77777777" w:rsidR="001F76BC" w:rsidRPr="0090529F" w:rsidRDefault="001F76BC" w:rsidP="00470B53">
            <w:pPr>
              <w:spacing w:after="0" w:line="240" w:lineRule="auto"/>
              <w:jc w:val="right"/>
              <w:rPr>
                <w:rFonts w:eastAsia="Times New Roman" w:cstheme="minorHAnsi"/>
                <w:color w:val="000000"/>
                <w:lang w:eastAsia="da-DK"/>
              </w:rPr>
            </w:pPr>
            <w:r w:rsidRPr="0090529F">
              <w:rPr>
                <w:rFonts w:eastAsia="Times New Roman" w:cstheme="minorHAnsi"/>
                <w:color w:val="000000"/>
                <w:lang w:eastAsia="da-DK"/>
              </w:rPr>
              <w:t>Kr.</w:t>
            </w:r>
          </w:p>
        </w:tc>
        <w:tc>
          <w:tcPr>
            <w:tcW w:w="238" w:type="pct"/>
            <w:tcBorders>
              <w:top w:val="nil"/>
              <w:left w:val="nil"/>
              <w:bottom w:val="single" w:sz="8" w:space="0" w:color="auto"/>
              <w:right w:val="nil"/>
            </w:tcBorders>
            <w:shd w:val="clear" w:color="000000" w:fill="DDEBF7"/>
            <w:noWrap/>
            <w:vAlign w:val="bottom"/>
            <w:hideMark/>
          </w:tcPr>
          <w:p w14:paraId="277C7CB5" w14:textId="33D710AC" w:rsidR="001F76BC" w:rsidRPr="0090529F" w:rsidRDefault="001F76BC" w:rsidP="00470B53">
            <w:pPr>
              <w:spacing w:after="0" w:line="240" w:lineRule="auto"/>
              <w:jc w:val="right"/>
              <w:rPr>
                <w:rFonts w:eastAsia="Times New Roman" w:cstheme="minorHAnsi"/>
                <w:color w:val="000000"/>
                <w:lang w:eastAsia="da-DK"/>
              </w:rPr>
            </w:pPr>
          </w:p>
        </w:tc>
        <w:tc>
          <w:tcPr>
            <w:tcW w:w="583" w:type="pct"/>
            <w:tcBorders>
              <w:top w:val="nil"/>
              <w:left w:val="nil"/>
              <w:bottom w:val="single" w:sz="8" w:space="0" w:color="auto"/>
              <w:right w:val="nil"/>
            </w:tcBorders>
            <w:shd w:val="clear" w:color="000000" w:fill="DDEBF7"/>
            <w:noWrap/>
            <w:vAlign w:val="bottom"/>
            <w:hideMark/>
          </w:tcPr>
          <w:p w14:paraId="6DC8FB66" w14:textId="77777777" w:rsidR="001F76BC" w:rsidRPr="0090529F" w:rsidRDefault="001F76BC" w:rsidP="00470B53">
            <w:pPr>
              <w:spacing w:after="0" w:line="240" w:lineRule="auto"/>
              <w:jc w:val="right"/>
              <w:rPr>
                <w:rFonts w:eastAsia="Times New Roman" w:cstheme="minorHAnsi"/>
                <w:color w:val="000000"/>
                <w:lang w:eastAsia="da-DK"/>
              </w:rPr>
            </w:pPr>
            <w:r w:rsidRPr="0090529F">
              <w:rPr>
                <w:rFonts w:eastAsia="Times New Roman" w:cstheme="minorHAnsi"/>
                <w:color w:val="000000"/>
                <w:lang w:eastAsia="da-DK"/>
              </w:rPr>
              <w:t>Kr.</w:t>
            </w:r>
          </w:p>
        </w:tc>
        <w:tc>
          <w:tcPr>
            <w:tcW w:w="238" w:type="pct"/>
            <w:tcBorders>
              <w:top w:val="nil"/>
              <w:left w:val="nil"/>
              <w:bottom w:val="single" w:sz="8" w:space="0" w:color="auto"/>
              <w:right w:val="nil"/>
            </w:tcBorders>
            <w:shd w:val="clear" w:color="000000" w:fill="DDEBF7"/>
            <w:noWrap/>
            <w:vAlign w:val="bottom"/>
            <w:hideMark/>
          </w:tcPr>
          <w:p w14:paraId="52617B7A" w14:textId="41901477" w:rsidR="001F76BC" w:rsidRPr="0090529F" w:rsidRDefault="001F76BC" w:rsidP="00470B53">
            <w:pPr>
              <w:spacing w:after="0" w:line="240" w:lineRule="auto"/>
              <w:jc w:val="right"/>
              <w:rPr>
                <w:rFonts w:eastAsia="Times New Roman" w:cstheme="minorHAnsi"/>
                <w:color w:val="000000"/>
                <w:lang w:eastAsia="da-DK"/>
              </w:rPr>
            </w:pPr>
          </w:p>
        </w:tc>
      </w:tr>
      <w:tr w:rsidR="001F76BC" w:rsidRPr="0090529F" w14:paraId="3596E6FB" w14:textId="77777777" w:rsidTr="001F76BC">
        <w:trPr>
          <w:trHeight w:val="300"/>
        </w:trPr>
        <w:tc>
          <w:tcPr>
            <w:tcW w:w="894" w:type="pct"/>
            <w:tcBorders>
              <w:top w:val="nil"/>
              <w:left w:val="nil"/>
              <w:bottom w:val="nil"/>
              <w:right w:val="nil"/>
            </w:tcBorders>
            <w:shd w:val="clear" w:color="000000" w:fill="FFFFFF"/>
            <w:noWrap/>
            <w:vAlign w:val="bottom"/>
            <w:hideMark/>
          </w:tcPr>
          <w:p w14:paraId="033C3BBD" w14:textId="77777777" w:rsidR="001F76BC" w:rsidRPr="0090529F" w:rsidRDefault="001F76BC" w:rsidP="00470B53">
            <w:pPr>
              <w:spacing w:after="0" w:line="240" w:lineRule="auto"/>
              <w:rPr>
                <w:rFonts w:eastAsia="Times New Roman" w:cstheme="minorHAnsi"/>
                <w:color w:val="000000"/>
                <w:lang w:eastAsia="da-DK"/>
              </w:rPr>
            </w:pPr>
            <w:r w:rsidRPr="0090529F">
              <w:rPr>
                <w:rFonts w:eastAsia="Times New Roman" w:cstheme="minorHAnsi"/>
                <w:color w:val="000000"/>
                <w:lang w:eastAsia="da-DK"/>
              </w:rPr>
              <w:t>Fartøj reg. i Grønland</w:t>
            </w:r>
          </w:p>
        </w:tc>
        <w:tc>
          <w:tcPr>
            <w:tcW w:w="583" w:type="pct"/>
            <w:tcBorders>
              <w:top w:val="nil"/>
              <w:left w:val="nil"/>
              <w:bottom w:val="nil"/>
              <w:right w:val="nil"/>
            </w:tcBorders>
            <w:shd w:val="clear" w:color="000000" w:fill="FFFFFF"/>
            <w:noWrap/>
            <w:vAlign w:val="bottom"/>
            <w:hideMark/>
          </w:tcPr>
          <w:p w14:paraId="38CC7164" w14:textId="77777777" w:rsidR="001F76BC" w:rsidRPr="0090529F" w:rsidRDefault="001F76BC" w:rsidP="00470B53">
            <w:pPr>
              <w:spacing w:after="0" w:line="240" w:lineRule="auto"/>
              <w:jc w:val="right"/>
              <w:rPr>
                <w:rFonts w:eastAsia="Times New Roman" w:cstheme="minorHAnsi"/>
                <w:color w:val="000000"/>
                <w:lang w:eastAsia="da-DK"/>
              </w:rPr>
            </w:pPr>
            <w:r w:rsidRPr="0090529F">
              <w:rPr>
                <w:rFonts w:eastAsia="Times New Roman" w:cstheme="minorHAnsi"/>
                <w:color w:val="000000"/>
                <w:lang w:eastAsia="da-DK"/>
              </w:rPr>
              <w:t>0,25</w:t>
            </w:r>
          </w:p>
        </w:tc>
        <w:tc>
          <w:tcPr>
            <w:tcW w:w="238" w:type="pct"/>
            <w:tcBorders>
              <w:top w:val="nil"/>
              <w:left w:val="nil"/>
              <w:bottom w:val="nil"/>
              <w:right w:val="nil"/>
            </w:tcBorders>
            <w:shd w:val="clear" w:color="000000" w:fill="FFFFFF"/>
            <w:noWrap/>
            <w:vAlign w:val="bottom"/>
          </w:tcPr>
          <w:p w14:paraId="1626E35B" w14:textId="567AB325" w:rsidR="001F76BC" w:rsidRPr="0090529F" w:rsidRDefault="001F76BC" w:rsidP="00470B53">
            <w:pPr>
              <w:spacing w:after="0" w:line="240" w:lineRule="auto"/>
              <w:jc w:val="right"/>
              <w:rPr>
                <w:rFonts w:eastAsia="Times New Roman" w:cstheme="minorHAnsi"/>
                <w:color w:val="000000"/>
                <w:lang w:eastAsia="da-DK"/>
              </w:rPr>
            </w:pPr>
          </w:p>
        </w:tc>
        <w:tc>
          <w:tcPr>
            <w:tcW w:w="583" w:type="pct"/>
            <w:tcBorders>
              <w:top w:val="nil"/>
              <w:left w:val="nil"/>
              <w:bottom w:val="nil"/>
              <w:right w:val="nil"/>
            </w:tcBorders>
            <w:shd w:val="clear" w:color="000000" w:fill="FFFFFF"/>
            <w:noWrap/>
            <w:vAlign w:val="bottom"/>
            <w:hideMark/>
          </w:tcPr>
          <w:p w14:paraId="6CECD300" w14:textId="77777777" w:rsidR="001F76BC" w:rsidRPr="0090529F" w:rsidRDefault="001F76BC" w:rsidP="00470B53">
            <w:pPr>
              <w:spacing w:after="0" w:line="240" w:lineRule="auto"/>
              <w:jc w:val="right"/>
              <w:rPr>
                <w:rFonts w:eastAsia="Times New Roman" w:cstheme="minorHAnsi"/>
                <w:color w:val="000000"/>
                <w:lang w:eastAsia="da-DK"/>
              </w:rPr>
            </w:pPr>
            <w:r w:rsidRPr="0090529F">
              <w:rPr>
                <w:rFonts w:eastAsia="Times New Roman" w:cstheme="minorHAnsi"/>
                <w:color w:val="000000"/>
                <w:lang w:eastAsia="da-DK"/>
              </w:rPr>
              <w:t>0,15</w:t>
            </w:r>
          </w:p>
        </w:tc>
        <w:tc>
          <w:tcPr>
            <w:tcW w:w="238" w:type="pct"/>
            <w:tcBorders>
              <w:top w:val="nil"/>
              <w:left w:val="nil"/>
              <w:bottom w:val="nil"/>
              <w:right w:val="nil"/>
            </w:tcBorders>
            <w:shd w:val="clear" w:color="000000" w:fill="FFFFFF"/>
            <w:noWrap/>
            <w:vAlign w:val="bottom"/>
            <w:hideMark/>
          </w:tcPr>
          <w:p w14:paraId="5467A900" w14:textId="363DECEA" w:rsidR="001F76BC" w:rsidRPr="0090529F" w:rsidRDefault="001F76BC" w:rsidP="00470B53">
            <w:pPr>
              <w:spacing w:after="0" w:line="240" w:lineRule="auto"/>
              <w:jc w:val="right"/>
              <w:rPr>
                <w:rFonts w:eastAsia="Times New Roman" w:cstheme="minorHAnsi"/>
                <w:color w:val="000000"/>
                <w:lang w:eastAsia="da-DK"/>
              </w:rPr>
            </w:pPr>
          </w:p>
        </w:tc>
        <w:tc>
          <w:tcPr>
            <w:tcW w:w="583" w:type="pct"/>
            <w:tcBorders>
              <w:top w:val="nil"/>
              <w:left w:val="nil"/>
              <w:bottom w:val="nil"/>
              <w:right w:val="nil"/>
            </w:tcBorders>
            <w:shd w:val="clear" w:color="000000" w:fill="FFFFFF"/>
            <w:noWrap/>
            <w:vAlign w:val="bottom"/>
            <w:hideMark/>
          </w:tcPr>
          <w:p w14:paraId="27CB4489" w14:textId="77777777" w:rsidR="001F76BC" w:rsidRPr="0090529F" w:rsidRDefault="001F76BC" w:rsidP="00470B53">
            <w:pPr>
              <w:spacing w:after="0" w:line="240" w:lineRule="auto"/>
              <w:jc w:val="right"/>
              <w:rPr>
                <w:rFonts w:eastAsia="Times New Roman" w:cstheme="minorHAnsi"/>
                <w:color w:val="000000"/>
                <w:lang w:eastAsia="da-DK"/>
              </w:rPr>
            </w:pPr>
            <w:r w:rsidRPr="0090529F">
              <w:rPr>
                <w:rFonts w:eastAsia="Times New Roman" w:cstheme="minorHAnsi"/>
                <w:color w:val="000000"/>
                <w:lang w:eastAsia="da-DK"/>
              </w:rPr>
              <w:t>0,40</w:t>
            </w:r>
          </w:p>
        </w:tc>
        <w:tc>
          <w:tcPr>
            <w:tcW w:w="238" w:type="pct"/>
            <w:tcBorders>
              <w:top w:val="nil"/>
              <w:left w:val="nil"/>
              <w:bottom w:val="nil"/>
              <w:right w:val="nil"/>
            </w:tcBorders>
            <w:shd w:val="clear" w:color="000000" w:fill="FFFFFF"/>
            <w:noWrap/>
            <w:vAlign w:val="bottom"/>
            <w:hideMark/>
          </w:tcPr>
          <w:p w14:paraId="3C1105F3" w14:textId="7212AE98" w:rsidR="001F76BC" w:rsidRPr="0090529F" w:rsidRDefault="001F76BC" w:rsidP="00470B53">
            <w:pPr>
              <w:spacing w:after="0" w:line="240" w:lineRule="auto"/>
              <w:jc w:val="right"/>
              <w:rPr>
                <w:rFonts w:eastAsia="Times New Roman" w:cstheme="minorHAnsi"/>
                <w:color w:val="000000"/>
                <w:lang w:eastAsia="da-DK"/>
              </w:rPr>
            </w:pPr>
          </w:p>
        </w:tc>
        <w:tc>
          <w:tcPr>
            <w:tcW w:w="583" w:type="pct"/>
            <w:tcBorders>
              <w:top w:val="nil"/>
              <w:left w:val="nil"/>
              <w:bottom w:val="nil"/>
              <w:right w:val="nil"/>
            </w:tcBorders>
            <w:shd w:val="clear" w:color="000000" w:fill="FFFFFF"/>
            <w:noWrap/>
            <w:vAlign w:val="bottom"/>
            <w:hideMark/>
          </w:tcPr>
          <w:p w14:paraId="741E0E5F" w14:textId="77777777" w:rsidR="001F76BC" w:rsidRPr="0090529F" w:rsidRDefault="001F76BC" w:rsidP="00470B53">
            <w:pPr>
              <w:spacing w:after="0" w:line="240" w:lineRule="auto"/>
              <w:jc w:val="right"/>
              <w:rPr>
                <w:rFonts w:eastAsia="Times New Roman" w:cstheme="minorHAnsi"/>
                <w:color w:val="000000"/>
                <w:lang w:eastAsia="da-DK"/>
              </w:rPr>
            </w:pPr>
            <w:r w:rsidRPr="0090529F">
              <w:rPr>
                <w:rFonts w:eastAsia="Times New Roman" w:cstheme="minorHAnsi"/>
                <w:color w:val="000000"/>
                <w:lang w:eastAsia="da-DK"/>
              </w:rPr>
              <w:t>0,15</w:t>
            </w:r>
          </w:p>
        </w:tc>
        <w:tc>
          <w:tcPr>
            <w:tcW w:w="238" w:type="pct"/>
            <w:tcBorders>
              <w:top w:val="nil"/>
              <w:left w:val="nil"/>
              <w:bottom w:val="nil"/>
              <w:right w:val="nil"/>
            </w:tcBorders>
            <w:shd w:val="clear" w:color="000000" w:fill="FFFFFF"/>
            <w:noWrap/>
            <w:vAlign w:val="bottom"/>
            <w:hideMark/>
          </w:tcPr>
          <w:p w14:paraId="401A3D36" w14:textId="0433DAC0" w:rsidR="001F76BC" w:rsidRPr="0090529F" w:rsidRDefault="001F76BC" w:rsidP="00470B53">
            <w:pPr>
              <w:spacing w:after="0" w:line="240" w:lineRule="auto"/>
              <w:jc w:val="right"/>
              <w:rPr>
                <w:rFonts w:eastAsia="Times New Roman" w:cstheme="minorHAnsi"/>
                <w:color w:val="000000"/>
                <w:lang w:eastAsia="da-DK"/>
              </w:rPr>
            </w:pPr>
          </w:p>
        </w:tc>
        <w:tc>
          <w:tcPr>
            <w:tcW w:w="583" w:type="pct"/>
            <w:tcBorders>
              <w:top w:val="nil"/>
              <w:left w:val="nil"/>
              <w:bottom w:val="nil"/>
              <w:right w:val="nil"/>
            </w:tcBorders>
            <w:shd w:val="clear" w:color="000000" w:fill="FFFFFF"/>
            <w:noWrap/>
            <w:vAlign w:val="bottom"/>
            <w:hideMark/>
          </w:tcPr>
          <w:p w14:paraId="49AB0D45" w14:textId="77777777" w:rsidR="001F76BC" w:rsidRPr="0090529F" w:rsidRDefault="001F76BC" w:rsidP="00470B53">
            <w:pPr>
              <w:spacing w:after="0" w:line="240" w:lineRule="auto"/>
              <w:jc w:val="right"/>
              <w:rPr>
                <w:rFonts w:eastAsia="Times New Roman" w:cstheme="minorHAnsi"/>
                <w:color w:val="000000"/>
                <w:lang w:eastAsia="da-DK"/>
              </w:rPr>
            </w:pPr>
            <w:r w:rsidRPr="0090529F">
              <w:rPr>
                <w:rFonts w:eastAsia="Times New Roman" w:cstheme="minorHAnsi"/>
                <w:color w:val="000000"/>
                <w:lang w:eastAsia="da-DK"/>
              </w:rPr>
              <w:t>0,15</w:t>
            </w:r>
          </w:p>
        </w:tc>
        <w:tc>
          <w:tcPr>
            <w:tcW w:w="238" w:type="pct"/>
            <w:tcBorders>
              <w:top w:val="nil"/>
              <w:left w:val="nil"/>
              <w:bottom w:val="nil"/>
              <w:right w:val="nil"/>
            </w:tcBorders>
            <w:shd w:val="clear" w:color="000000" w:fill="FFFFFF"/>
            <w:noWrap/>
            <w:vAlign w:val="bottom"/>
            <w:hideMark/>
          </w:tcPr>
          <w:p w14:paraId="4228E2F0" w14:textId="097D62D4" w:rsidR="001F76BC" w:rsidRPr="0090529F" w:rsidRDefault="001F76BC" w:rsidP="00470B53">
            <w:pPr>
              <w:spacing w:after="0" w:line="240" w:lineRule="auto"/>
              <w:jc w:val="right"/>
              <w:rPr>
                <w:rFonts w:eastAsia="Times New Roman" w:cstheme="minorHAnsi"/>
                <w:color w:val="000000"/>
                <w:lang w:eastAsia="da-DK"/>
              </w:rPr>
            </w:pPr>
          </w:p>
        </w:tc>
      </w:tr>
      <w:tr w:rsidR="001F76BC" w:rsidRPr="0090529F" w14:paraId="02D52D35" w14:textId="77777777" w:rsidTr="001F76BC">
        <w:trPr>
          <w:trHeight w:val="315"/>
        </w:trPr>
        <w:tc>
          <w:tcPr>
            <w:tcW w:w="894" w:type="pct"/>
            <w:tcBorders>
              <w:top w:val="nil"/>
              <w:left w:val="nil"/>
              <w:bottom w:val="single" w:sz="8" w:space="0" w:color="auto"/>
              <w:right w:val="nil"/>
            </w:tcBorders>
            <w:shd w:val="clear" w:color="000000" w:fill="FFFFFF"/>
            <w:noWrap/>
            <w:vAlign w:val="bottom"/>
            <w:hideMark/>
          </w:tcPr>
          <w:p w14:paraId="79280432" w14:textId="77777777" w:rsidR="001F76BC" w:rsidRPr="0090529F" w:rsidRDefault="001F76BC" w:rsidP="00470B53">
            <w:pPr>
              <w:spacing w:after="0" w:line="240" w:lineRule="auto"/>
              <w:rPr>
                <w:rFonts w:eastAsia="Times New Roman" w:cstheme="minorHAnsi"/>
                <w:color w:val="000000"/>
                <w:lang w:eastAsia="da-DK"/>
              </w:rPr>
            </w:pPr>
            <w:r w:rsidRPr="0090529F">
              <w:rPr>
                <w:rFonts w:eastAsia="Times New Roman" w:cstheme="minorHAnsi"/>
                <w:color w:val="000000"/>
                <w:lang w:eastAsia="da-DK"/>
              </w:rPr>
              <w:t>Fartøj reg. i udlandet</w:t>
            </w:r>
          </w:p>
        </w:tc>
        <w:tc>
          <w:tcPr>
            <w:tcW w:w="583" w:type="pct"/>
            <w:tcBorders>
              <w:top w:val="nil"/>
              <w:left w:val="nil"/>
              <w:bottom w:val="single" w:sz="8" w:space="0" w:color="auto"/>
              <w:right w:val="nil"/>
            </w:tcBorders>
            <w:shd w:val="clear" w:color="000000" w:fill="FFFFFF"/>
            <w:noWrap/>
            <w:vAlign w:val="bottom"/>
            <w:hideMark/>
          </w:tcPr>
          <w:p w14:paraId="0F35EA47" w14:textId="77777777" w:rsidR="001F76BC" w:rsidRPr="0090529F" w:rsidRDefault="001F76BC" w:rsidP="00470B53">
            <w:pPr>
              <w:spacing w:after="0" w:line="240" w:lineRule="auto"/>
              <w:jc w:val="right"/>
              <w:rPr>
                <w:rFonts w:eastAsia="Times New Roman" w:cstheme="minorHAnsi"/>
                <w:color w:val="000000"/>
                <w:lang w:eastAsia="da-DK"/>
              </w:rPr>
            </w:pPr>
            <w:r w:rsidRPr="0090529F">
              <w:rPr>
                <w:rFonts w:eastAsia="Times New Roman" w:cstheme="minorHAnsi"/>
                <w:color w:val="000000"/>
                <w:lang w:eastAsia="da-DK"/>
              </w:rPr>
              <w:t>0,80</w:t>
            </w:r>
          </w:p>
        </w:tc>
        <w:tc>
          <w:tcPr>
            <w:tcW w:w="238" w:type="pct"/>
            <w:tcBorders>
              <w:top w:val="nil"/>
              <w:left w:val="nil"/>
              <w:bottom w:val="single" w:sz="8" w:space="0" w:color="auto"/>
              <w:right w:val="nil"/>
            </w:tcBorders>
            <w:shd w:val="clear" w:color="000000" w:fill="FFFFFF"/>
            <w:noWrap/>
            <w:vAlign w:val="bottom"/>
          </w:tcPr>
          <w:p w14:paraId="22695FDD" w14:textId="0A03E639" w:rsidR="001F76BC" w:rsidRPr="0090529F" w:rsidRDefault="001F76BC" w:rsidP="00470B53">
            <w:pPr>
              <w:spacing w:after="0" w:line="240" w:lineRule="auto"/>
              <w:jc w:val="right"/>
              <w:rPr>
                <w:rFonts w:eastAsia="Times New Roman" w:cstheme="minorHAnsi"/>
                <w:color w:val="000000"/>
                <w:lang w:eastAsia="da-DK"/>
              </w:rPr>
            </w:pPr>
          </w:p>
        </w:tc>
        <w:tc>
          <w:tcPr>
            <w:tcW w:w="583" w:type="pct"/>
            <w:tcBorders>
              <w:top w:val="nil"/>
              <w:left w:val="nil"/>
              <w:bottom w:val="single" w:sz="8" w:space="0" w:color="auto"/>
              <w:right w:val="nil"/>
            </w:tcBorders>
            <w:shd w:val="clear" w:color="000000" w:fill="FFFFFF"/>
            <w:noWrap/>
            <w:vAlign w:val="bottom"/>
            <w:hideMark/>
          </w:tcPr>
          <w:p w14:paraId="3F8F725C" w14:textId="77777777" w:rsidR="001F76BC" w:rsidRPr="0090529F" w:rsidRDefault="001F76BC" w:rsidP="00470B53">
            <w:pPr>
              <w:spacing w:after="0" w:line="240" w:lineRule="auto"/>
              <w:jc w:val="right"/>
              <w:rPr>
                <w:rFonts w:eastAsia="Times New Roman" w:cstheme="minorHAnsi"/>
                <w:color w:val="000000"/>
                <w:lang w:eastAsia="da-DK"/>
              </w:rPr>
            </w:pPr>
            <w:r w:rsidRPr="0090529F">
              <w:rPr>
                <w:rFonts w:eastAsia="Times New Roman" w:cstheme="minorHAnsi"/>
                <w:color w:val="000000"/>
                <w:lang w:eastAsia="da-DK"/>
              </w:rPr>
              <w:t>0,70</w:t>
            </w:r>
          </w:p>
        </w:tc>
        <w:tc>
          <w:tcPr>
            <w:tcW w:w="238" w:type="pct"/>
            <w:tcBorders>
              <w:top w:val="nil"/>
              <w:left w:val="nil"/>
              <w:bottom w:val="single" w:sz="8" w:space="0" w:color="auto"/>
              <w:right w:val="nil"/>
            </w:tcBorders>
            <w:shd w:val="clear" w:color="000000" w:fill="FFFFFF"/>
            <w:noWrap/>
            <w:vAlign w:val="bottom"/>
          </w:tcPr>
          <w:p w14:paraId="7D22FB6D" w14:textId="4F904FFB" w:rsidR="001F76BC" w:rsidRPr="0090529F" w:rsidRDefault="001F76BC" w:rsidP="00470B53">
            <w:pPr>
              <w:spacing w:after="0" w:line="240" w:lineRule="auto"/>
              <w:jc w:val="right"/>
              <w:rPr>
                <w:rFonts w:eastAsia="Times New Roman" w:cstheme="minorHAnsi"/>
                <w:color w:val="000000"/>
                <w:lang w:eastAsia="da-DK"/>
              </w:rPr>
            </w:pPr>
          </w:p>
        </w:tc>
        <w:tc>
          <w:tcPr>
            <w:tcW w:w="583" w:type="pct"/>
            <w:tcBorders>
              <w:top w:val="nil"/>
              <w:left w:val="nil"/>
              <w:bottom w:val="single" w:sz="8" w:space="0" w:color="auto"/>
              <w:right w:val="nil"/>
            </w:tcBorders>
            <w:shd w:val="clear" w:color="000000" w:fill="FFFFFF"/>
            <w:noWrap/>
            <w:vAlign w:val="bottom"/>
            <w:hideMark/>
          </w:tcPr>
          <w:p w14:paraId="421473CB" w14:textId="77777777" w:rsidR="001F76BC" w:rsidRPr="0090529F" w:rsidRDefault="001F76BC" w:rsidP="00470B53">
            <w:pPr>
              <w:spacing w:after="0" w:line="240" w:lineRule="auto"/>
              <w:jc w:val="right"/>
              <w:rPr>
                <w:rFonts w:eastAsia="Times New Roman" w:cstheme="minorHAnsi"/>
                <w:color w:val="000000"/>
                <w:lang w:eastAsia="da-DK"/>
              </w:rPr>
            </w:pPr>
            <w:r w:rsidRPr="0090529F">
              <w:rPr>
                <w:rFonts w:eastAsia="Times New Roman" w:cstheme="minorHAnsi"/>
                <w:color w:val="000000"/>
                <w:lang w:eastAsia="da-DK"/>
              </w:rPr>
              <w:t>1,00</w:t>
            </w:r>
          </w:p>
        </w:tc>
        <w:tc>
          <w:tcPr>
            <w:tcW w:w="238" w:type="pct"/>
            <w:tcBorders>
              <w:top w:val="nil"/>
              <w:left w:val="nil"/>
              <w:bottom w:val="single" w:sz="8" w:space="0" w:color="auto"/>
              <w:right w:val="nil"/>
            </w:tcBorders>
            <w:shd w:val="clear" w:color="000000" w:fill="FFFFFF"/>
            <w:noWrap/>
            <w:vAlign w:val="bottom"/>
            <w:hideMark/>
          </w:tcPr>
          <w:p w14:paraId="25AAFB81" w14:textId="6B14AA91" w:rsidR="001F76BC" w:rsidRPr="0090529F" w:rsidRDefault="001F76BC" w:rsidP="00470B53">
            <w:pPr>
              <w:spacing w:after="0" w:line="240" w:lineRule="auto"/>
              <w:jc w:val="right"/>
              <w:rPr>
                <w:rFonts w:eastAsia="Times New Roman" w:cstheme="minorHAnsi"/>
                <w:color w:val="000000"/>
                <w:lang w:eastAsia="da-DK"/>
              </w:rPr>
            </w:pPr>
          </w:p>
        </w:tc>
        <w:tc>
          <w:tcPr>
            <w:tcW w:w="583" w:type="pct"/>
            <w:tcBorders>
              <w:top w:val="nil"/>
              <w:left w:val="nil"/>
              <w:bottom w:val="single" w:sz="8" w:space="0" w:color="auto"/>
              <w:right w:val="nil"/>
            </w:tcBorders>
            <w:shd w:val="clear" w:color="000000" w:fill="FFFFFF"/>
            <w:noWrap/>
            <w:vAlign w:val="bottom"/>
            <w:hideMark/>
          </w:tcPr>
          <w:p w14:paraId="2B7F45A7" w14:textId="77777777" w:rsidR="001F76BC" w:rsidRPr="0090529F" w:rsidRDefault="001F76BC" w:rsidP="00470B53">
            <w:pPr>
              <w:spacing w:after="0" w:line="240" w:lineRule="auto"/>
              <w:jc w:val="right"/>
              <w:rPr>
                <w:rFonts w:eastAsia="Times New Roman" w:cstheme="minorHAnsi"/>
                <w:color w:val="000000"/>
                <w:lang w:eastAsia="da-DK"/>
              </w:rPr>
            </w:pPr>
            <w:r w:rsidRPr="0090529F">
              <w:rPr>
                <w:rFonts w:eastAsia="Times New Roman" w:cstheme="minorHAnsi"/>
                <w:color w:val="000000"/>
                <w:lang w:eastAsia="da-DK"/>
              </w:rPr>
              <w:t>0,70</w:t>
            </w:r>
          </w:p>
        </w:tc>
        <w:tc>
          <w:tcPr>
            <w:tcW w:w="238" w:type="pct"/>
            <w:tcBorders>
              <w:top w:val="nil"/>
              <w:left w:val="nil"/>
              <w:bottom w:val="single" w:sz="8" w:space="0" w:color="auto"/>
              <w:right w:val="nil"/>
            </w:tcBorders>
            <w:shd w:val="clear" w:color="000000" w:fill="FFFFFF"/>
            <w:noWrap/>
            <w:vAlign w:val="bottom"/>
            <w:hideMark/>
          </w:tcPr>
          <w:p w14:paraId="4C9FDD93" w14:textId="27D885AB" w:rsidR="001F76BC" w:rsidRPr="0090529F" w:rsidRDefault="001F76BC" w:rsidP="00470B53">
            <w:pPr>
              <w:spacing w:after="0" w:line="240" w:lineRule="auto"/>
              <w:jc w:val="right"/>
              <w:rPr>
                <w:rFonts w:eastAsia="Times New Roman" w:cstheme="minorHAnsi"/>
                <w:color w:val="000000"/>
                <w:lang w:eastAsia="da-DK"/>
              </w:rPr>
            </w:pPr>
          </w:p>
        </w:tc>
        <w:tc>
          <w:tcPr>
            <w:tcW w:w="583" w:type="pct"/>
            <w:tcBorders>
              <w:top w:val="nil"/>
              <w:left w:val="nil"/>
              <w:bottom w:val="single" w:sz="8" w:space="0" w:color="auto"/>
              <w:right w:val="nil"/>
            </w:tcBorders>
            <w:shd w:val="clear" w:color="000000" w:fill="FFFFFF"/>
            <w:noWrap/>
            <w:vAlign w:val="bottom"/>
            <w:hideMark/>
          </w:tcPr>
          <w:p w14:paraId="2C043C4D" w14:textId="77777777" w:rsidR="001F76BC" w:rsidRPr="0090529F" w:rsidRDefault="001F76BC" w:rsidP="00470B53">
            <w:pPr>
              <w:spacing w:after="0" w:line="240" w:lineRule="auto"/>
              <w:jc w:val="right"/>
              <w:rPr>
                <w:rFonts w:eastAsia="Times New Roman" w:cstheme="minorHAnsi"/>
                <w:color w:val="000000"/>
                <w:lang w:eastAsia="da-DK"/>
              </w:rPr>
            </w:pPr>
            <w:r w:rsidRPr="0090529F">
              <w:rPr>
                <w:rFonts w:eastAsia="Times New Roman" w:cstheme="minorHAnsi"/>
                <w:color w:val="000000"/>
                <w:lang w:eastAsia="da-DK"/>
              </w:rPr>
              <w:t>0,70</w:t>
            </w:r>
          </w:p>
        </w:tc>
        <w:tc>
          <w:tcPr>
            <w:tcW w:w="238" w:type="pct"/>
            <w:tcBorders>
              <w:top w:val="nil"/>
              <w:left w:val="nil"/>
              <w:bottom w:val="single" w:sz="8" w:space="0" w:color="auto"/>
              <w:right w:val="nil"/>
            </w:tcBorders>
            <w:shd w:val="clear" w:color="000000" w:fill="FFFFFF"/>
            <w:noWrap/>
            <w:vAlign w:val="bottom"/>
            <w:hideMark/>
          </w:tcPr>
          <w:p w14:paraId="398A1F07" w14:textId="6DA10B9A" w:rsidR="001F76BC" w:rsidRPr="0090529F" w:rsidRDefault="001F76BC" w:rsidP="00470B53">
            <w:pPr>
              <w:spacing w:after="0" w:line="240" w:lineRule="auto"/>
              <w:jc w:val="right"/>
              <w:rPr>
                <w:rFonts w:eastAsia="Times New Roman" w:cstheme="minorHAnsi"/>
                <w:color w:val="000000"/>
                <w:lang w:eastAsia="da-DK"/>
              </w:rPr>
            </w:pPr>
          </w:p>
        </w:tc>
      </w:tr>
    </w:tbl>
    <w:p w14:paraId="4733FFAD" w14:textId="77777777" w:rsidR="001F76BC" w:rsidRPr="0090529F" w:rsidRDefault="001F76BC" w:rsidP="001F76BC">
      <w:pPr>
        <w:spacing w:after="0"/>
        <w:jc w:val="both"/>
        <w:rPr>
          <w:rFonts w:cstheme="minorHAnsi"/>
          <w:color w:val="000000" w:themeColor="text1"/>
        </w:rPr>
      </w:pPr>
      <w:r w:rsidRPr="0090529F">
        <w:rPr>
          <w:rFonts w:cstheme="minorHAnsi"/>
          <w:color w:val="000000" w:themeColor="text1"/>
        </w:rPr>
        <w:t>Kilde: Skattestyrelsen.</w:t>
      </w:r>
    </w:p>
    <w:p w14:paraId="30E47D3F" w14:textId="77777777" w:rsidR="001F76BC" w:rsidRPr="0090529F" w:rsidRDefault="001F76BC" w:rsidP="001F76BC">
      <w:pPr>
        <w:spacing w:after="0"/>
        <w:rPr>
          <w:rFonts w:cstheme="minorHAnsi"/>
          <w:color w:val="000000" w:themeColor="text1"/>
        </w:rPr>
      </w:pPr>
    </w:p>
    <w:p w14:paraId="48A5ABDC" w14:textId="695755CB" w:rsidR="001F76BC" w:rsidRPr="0090529F" w:rsidRDefault="001F76BC" w:rsidP="001F76BC">
      <w:pPr>
        <w:spacing w:after="0"/>
        <w:jc w:val="both"/>
        <w:rPr>
          <w:rFonts w:cstheme="minorHAnsi"/>
          <w:color w:val="000000" w:themeColor="text1"/>
        </w:rPr>
      </w:pPr>
      <w:r w:rsidRPr="0090529F">
        <w:rPr>
          <w:rFonts w:cstheme="minorHAnsi"/>
          <w:color w:val="000000" w:themeColor="text1"/>
        </w:rPr>
        <w:t>Afgiftssatserne i kroner pr. kg. fangst skal gælde</w:t>
      </w:r>
      <w:r w:rsidR="0013592F" w:rsidRPr="0090529F">
        <w:rPr>
          <w:rFonts w:cstheme="minorHAnsi"/>
          <w:color w:val="000000" w:themeColor="text1"/>
        </w:rPr>
        <w:t xml:space="preserve">, </w:t>
      </w:r>
      <w:r w:rsidRPr="0090529F">
        <w:rPr>
          <w:rFonts w:cstheme="minorHAnsi"/>
          <w:color w:val="000000" w:themeColor="text1"/>
        </w:rPr>
        <w:t xml:space="preserve">indtil der eksisterer nok økonomiske data til at analysere det pelagiske fiskeri, således at det kan afgiftsbelægges efter samme model som de øvrige arter. </w:t>
      </w:r>
    </w:p>
    <w:p w14:paraId="16BEE5D3" w14:textId="77777777" w:rsidR="001F76BC" w:rsidRPr="0090529F" w:rsidRDefault="001F76BC" w:rsidP="001F76BC">
      <w:pPr>
        <w:spacing w:after="0"/>
        <w:rPr>
          <w:rFonts w:cstheme="minorHAnsi"/>
          <w:color w:val="000000" w:themeColor="text1"/>
        </w:rPr>
      </w:pPr>
    </w:p>
    <w:p w14:paraId="656A98A1" w14:textId="11F77538" w:rsidR="00005B75" w:rsidRPr="0090529F" w:rsidRDefault="00005B75" w:rsidP="00005B75">
      <w:pPr>
        <w:spacing w:after="120" w:line="240" w:lineRule="auto"/>
        <w:ind w:right="566"/>
        <w:jc w:val="both"/>
        <w:rPr>
          <w:rFonts w:cstheme="minorHAnsi"/>
        </w:rPr>
      </w:pPr>
      <w:r w:rsidRPr="0090529F">
        <w:rPr>
          <w:rFonts w:cstheme="minorHAnsi"/>
        </w:rPr>
        <w:t>Nedenstående figur viser udviklingen i provenuet i ressourcerenteafgifter</w:t>
      </w:r>
    </w:p>
    <w:p w14:paraId="263A3BCE" w14:textId="63855D6A" w:rsidR="00005B75" w:rsidRPr="0090529F" w:rsidRDefault="00005B75" w:rsidP="00005B75">
      <w:pPr>
        <w:spacing w:after="120" w:line="240" w:lineRule="auto"/>
        <w:ind w:right="566"/>
        <w:jc w:val="both"/>
        <w:rPr>
          <w:rFonts w:cstheme="minorHAnsi"/>
          <w:i/>
        </w:rPr>
      </w:pPr>
      <w:r w:rsidRPr="0090529F">
        <w:rPr>
          <w:rFonts w:cstheme="minorHAnsi"/>
          <w:i/>
          <w:noProof/>
          <w:lang w:eastAsia="da-DK"/>
        </w:rPr>
        <w:drawing>
          <wp:inline distT="0" distB="0" distL="0" distR="0" wp14:anchorId="0E5D9D07" wp14:editId="51A88BB1">
            <wp:extent cx="6120130" cy="3878580"/>
            <wp:effectExtent l="0" t="0" r="0" b="762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FC3DB9" w14:textId="6F257832" w:rsidR="00005B75" w:rsidRPr="0090529F" w:rsidRDefault="00005B75" w:rsidP="00005B75">
      <w:pPr>
        <w:spacing w:after="120" w:line="240" w:lineRule="auto"/>
        <w:ind w:right="566"/>
        <w:jc w:val="both"/>
        <w:rPr>
          <w:rFonts w:cstheme="minorHAnsi"/>
        </w:rPr>
      </w:pPr>
      <w:r w:rsidRPr="0090529F">
        <w:rPr>
          <w:rFonts w:cstheme="minorHAnsi"/>
        </w:rPr>
        <w:t xml:space="preserve">Der er i dag </w:t>
      </w:r>
      <w:r w:rsidR="0010289F" w:rsidRPr="0090529F">
        <w:rPr>
          <w:rFonts w:cstheme="minorHAnsi"/>
        </w:rPr>
        <w:t xml:space="preserve">således </w:t>
      </w:r>
      <w:r w:rsidRPr="0090529F">
        <w:rPr>
          <w:rFonts w:cstheme="minorHAnsi"/>
        </w:rPr>
        <w:t>følgende ressourcerenteafgifter:</w:t>
      </w:r>
    </w:p>
    <w:p w14:paraId="50D8DED0" w14:textId="77777777" w:rsidR="00005B75" w:rsidRPr="0090529F" w:rsidRDefault="00005B75" w:rsidP="000F5E23">
      <w:pPr>
        <w:pStyle w:val="Listeafsnit"/>
        <w:numPr>
          <w:ilvl w:val="0"/>
          <w:numId w:val="1"/>
        </w:numPr>
        <w:spacing w:after="120" w:line="240" w:lineRule="auto"/>
        <w:ind w:right="566"/>
        <w:jc w:val="both"/>
        <w:rPr>
          <w:rFonts w:cstheme="minorHAnsi"/>
        </w:rPr>
      </w:pPr>
      <w:r w:rsidRPr="0090529F">
        <w:rPr>
          <w:rFonts w:cstheme="minorHAnsi"/>
        </w:rPr>
        <w:t>Rejer på både uden- og indenskærs fiskeri (konjunkturbetinget - to forskellige modeller)</w:t>
      </w:r>
    </w:p>
    <w:p w14:paraId="2AE8AE1A" w14:textId="77777777" w:rsidR="00005B75" w:rsidRPr="0090529F" w:rsidRDefault="00005B75" w:rsidP="000F5E23">
      <w:pPr>
        <w:pStyle w:val="Listeafsnit"/>
        <w:numPr>
          <w:ilvl w:val="0"/>
          <w:numId w:val="1"/>
        </w:numPr>
        <w:spacing w:after="120" w:line="240" w:lineRule="auto"/>
        <w:ind w:right="566"/>
        <w:jc w:val="both"/>
        <w:rPr>
          <w:rFonts w:cstheme="minorHAnsi"/>
        </w:rPr>
      </w:pPr>
      <w:r w:rsidRPr="0090529F">
        <w:rPr>
          <w:rFonts w:cstheme="minorHAnsi"/>
        </w:rPr>
        <w:t>Hellefisk på både uden- og indenskærs fiskeri (konjunkturbetinget - to forskellige modeller)</w:t>
      </w:r>
    </w:p>
    <w:p w14:paraId="3B6BDB6F" w14:textId="4C4FA281" w:rsidR="00005B75" w:rsidRPr="0090529F" w:rsidRDefault="00005B75" w:rsidP="000F5E23">
      <w:pPr>
        <w:pStyle w:val="Listeafsnit"/>
        <w:numPr>
          <w:ilvl w:val="0"/>
          <w:numId w:val="1"/>
        </w:numPr>
        <w:spacing w:after="120" w:line="240" w:lineRule="auto"/>
        <w:ind w:right="566"/>
        <w:jc w:val="both"/>
        <w:rPr>
          <w:rFonts w:cstheme="minorHAnsi"/>
        </w:rPr>
      </w:pPr>
      <w:r w:rsidRPr="0090529F">
        <w:rPr>
          <w:rFonts w:cstheme="minorHAnsi"/>
        </w:rPr>
        <w:t>Torsk, rødfisk, kuller, sej. – kun i det udenskærs fiskeri (konjunkturbetinget)</w:t>
      </w:r>
    </w:p>
    <w:p w14:paraId="33CE0FCF" w14:textId="525C1593" w:rsidR="00005B75" w:rsidRPr="0090529F" w:rsidRDefault="00005B75" w:rsidP="000F5E23">
      <w:pPr>
        <w:pStyle w:val="Listeafsnit"/>
        <w:numPr>
          <w:ilvl w:val="0"/>
          <w:numId w:val="1"/>
        </w:numPr>
        <w:spacing w:after="120" w:line="240" w:lineRule="auto"/>
        <w:ind w:right="566"/>
        <w:jc w:val="both"/>
        <w:rPr>
          <w:rFonts w:cstheme="minorHAnsi"/>
        </w:rPr>
      </w:pPr>
      <w:r w:rsidRPr="0090529F">
        <w:rPr>
          <w:rFonts w:cstheme="minorHAnsi"/>
        </w:rPr>
        <w:t xml:space="preserve">Pelagiske arter – udenskærs fiskeri (kg-afgift med forskel på </w:t>
      </w:r>
      <w:r w:rsidR="00967B53">
        <w:rPr>
          <w:rFonts w:cstheme="minorHAnsi"/>
        </w:rPr>
        <w:t xml:space="preserve">GRL </w:t>
      </w:r>
      <w:r w:rsidRPr="0090529F">
        <w:rPr>
          <w:rFonts w:cstheme="minorHAnsi"/>
        </w:rPr>
        <w:t>hhv. udenlandske fartøjer)</w:t>
      </w:r>
      <w:r w:rsidR="00184C03" w:rsidRPr="0090529F">
        <w:rPr>
          <w:rFonts w:cstheme="minorHAnsi"/>
        </w:rPr>
        <w:t>,</w:t>
      </w:r>
    </w:p>
    <w:p w14:paraId="034153EA" w14:textId="31B49546" w:rsidR="00005B75" w:rsidRPr="0090529F" w:rsidRDefault="00005B75" w:rsidP="00005B75">
      <w:pPr>
        <w:spacing w:after="120" w:line="240" w:lineRule="auto"/>
        <w:ind w:right="566"/>
        <w:jc w:val="both"/>
        <w:rPr>
          <w:rFonts w:cstheme="minorHAnsi"/>
        </w:rPr>
      </w:pPr>
      <w:r w:rsidRPr="0090529F">
        <w:rPr>
          <w:rFonts w:cstheme="minorHAnsi"/>
        </w:rPr>
        <w:t xml:space="preserve">Krabber, stenbider og kammuslinger er </w:t>
      </w:r>
      <w:r w:rsidR="000A58D7" w:rsidRPr="0090529F">
        <w:rPr>
          <w:rFonts w:cstheme="minorHAnsi"/>
        </w:rPr>
        <w:t xml:space="preserve">fortsat </w:t>
      </w:r>
      <w:r w:rsidRPr="0090529F">
        <w:rPr>
          <w:rFonts w:cstheme="minorHAnsi"/>
        </w:rPr>
        <w:t>friholdt for ressourcerenteafgifter.</w:t>
      </w:r>
      <w:r w:rsidR="000A58D7" w:rsidRPr="0090529F">
        <w:rPr>
          <w:rFonts w:cstheme="minorHAnsi"/>
        </w:rPr>
        <w:t xml:space="preserve"> Som det ses af ovenstående figur er ressourcerenteafgifterne indført gradvist. Dette er blandt andet sket </w:t>
      </w:r>
      <w:r w:rsidR="00BE6889">
        <w:rPr>
          <w:rFonts w:cstheme="minorHAnsi"/>
        </w:rPr>
        <w:t xml:space="preserve"> ud</w:t>
      </w:r>
      <w:r w:rsidR="000A58D7" w:rsidRPr="0090529F">
        <w:rPr>
          <w:rFonts w:cstheme="minorHAnsi"/>
        </w:rPr>
        <w:t xml:space="preserve"> fra en vurdering af potentialet derfor samt muligheden for at skabe politisk opbakning dertil.</w:t>
      </w:r>
    </w:p>
    <w:p w14:paraId="18572479" w14:textId="6C077653" w:rsidR="00083AE9" w:rsidRPr="00083AE9" w:rsidRDefault="00005B75" w:rsidP="00083AE9">
      <w:pPr>
        <w:spacing w:after="120" w:line="240" w:lineRule="auto"/>
        <w:ind w:right="566"/>
        <w:jc w:val="both"/>
        <w:rPr>
          <w:rFonts w:cstheme="minorHAnsi"/>
        </w:rPr>
      </w:pPr>
      <w:r w:rsidRPr="0090529F">
        <w:rPr>
          <w:rFonts w:cstheme="minorHAnsi"/>
        </w:rPr>
        <w:lastRenderedPageBreak/>
        <w:t xml:space="preserve">Langt hovedparten af afgiftsprovenuet stammer fra det </w:t>
      </w:r>
      <w:r w:rsidRPr="00083AE9">
        <w:rPr>
          <w:rFonts w:cstheme="minorHAnsi"/>
          <w:color w:val="000000" w:themeColor="text1"/>
        </w:rPr>
        <w:t>havgående fiskeri.</w:t>
      </w:r>
      <w:r w:rsidR="000A58D7" w:rsidRPr="00083AE9">
        <w:rPr>
          <w:rFonts w:cstheme="minorHAnsi"/>
          <w:color w:val="000000" w:themeColor="text1"/>
        </w:rPr>
        <w:t xml:space="preserve"> Der arbejdes aktuelt på at illustrere dette forhold.</w:t>
      </w:r>
      <w:r w:rsidR="00083AE9" w:rsidRPr="00083AE9">
        <w:rPr>
          <w:rFonts w:cstheme="minorHAnsi"/>
          <w:color w:val="000000" w:themeColor="text1"/>
        </w:rPr>
        <w:t xml:space="preserve"> Dette er i praksis ikke nogen triviel opgave og må for rejefiskeriets vedkommende tage udgangspunkt i en opdeling på henholdsvis eksport og indhandling.</w:t>
      </w:r>
    </w:p>
    <w:p w14:paraId="621EFBDD" w14:textId="77777777" w:rsidR="00083AE9" w:rsidRPr="00083AE9" w:rsidRDefault="00083AE9" w:rsidP="00083AE9">
      <w:pPr>
        <w:spacing w:after="120" w:line="240" w:lineRule="auto"/>
        <w:ind w:right="566"/>
        <w:jc w:val="both"/>
        <w:rPr>
          <w:rFonts w:cstheme="minorHAnsi"/>
        </w:rPr>
      </w:pPr>
    </w:p>
    <w:p w14:paraId="59B1392E" w14:textId="77777777" w:rsidR="00083AE9" w:rsidRPr="00083AE9" w:rsidRDefault="00083AE9" w:rsidP="00083AE9">
      <w:pPr>
        <w:spacing w:after="120" w:line="240" w:lineRule="auto"/>
        <w:ind w:right="566"/>
        <w:jc w:val="both"/>
        <w:rPr>
          <w:rFonts w:cstheme="minorHAnsi"/>
        </w:rPr>
      </w:pPr>
      <w:r w:rsidRPr="00083AE9">
        <w:rPr>
          <w:rFonts w:cstheme="minorHAnsi"/>
        </w:rPr>
        <w:t xml:space="preserve"> </w:t>
      </w:r>
    </w:p>
    <w:p w14:paraId="139CA3D5" w14:textId="03156306" w:rsidR="001F76BC" w:rsidRPr="0090529F" w:rsidRDefault="001F76BC" w:rsidP="001F76BC">
      <w:pPr>
        <w:spacing w:after="0"/>
        <w:jc w:val="both"/>
        <w:rPr>
          <w:rFonts w:cstheme="minorHAnsi"/>
          <w:color w:val="000000" w:themeColor="text1"/>
        </w:rPr>
      </w:pPr>
      <w:r w:rsidRPr="0090529F">
        <w:rPr>
          <w:rFonts w:cstheme="minorHAnsi"/>
          <w:iCs/>
          <w:color w:val="000000" w:themeColor="text1"/>
          <w:lang w:val="is-IS"/>
        </w:rPr>
        <w:t>I 2016 blev der nedsat arbejdsgruppe som skulle kigge forskellige muligheder for ressourceafgiftsmodeller til beskatning af fiskeriet. Arbejdsgruppens primære opgave har været at sammenligne afgiftssystemerne i de forskellige lande, beregne ressourcerenten i det grønlandske fiskeri (om muligt) samt at</w:t>
      </w:r>
      <w:r w:rsidRPr="0090529F">
        <w:rPr>
          <w:rFonts w:cstheme="minorHAnsi"/>
          <w:iCs/>
          <w:color w:val="000000" w:themeColor="text1"/>
        </w:rPr>
        <w:t xml:space="preserve"> udarbejde konkrete forslag til ensartede, gennemsigtige og simple modeller til brug for opkrævning af en ressourcerenteafgift fra fiskerierhvervet. Arbejdet blev afsluttet med redegørelsen ”</w:t>
      </w:r>
      <w:r w:rsidRPr="0090529F">
        <w:rPr>
          <w:rFonts w:cstheme="minorHAnsi"/>
          <w:color w:val="000000" w:themeColor="text1"/>
        </w:rPr>
        <w:t>Redegørelse om ressourcerenten i det grønlandske fiskeri og forslag til nye ressourcerenteafgiftsmodeller, marts 2017”.</w:t>
      </w:r>
    </w:p>
    <w:p w14:paraId="66849DEA" w14:textId="18ED62BE" w:rsidR="000A58D7" w:rsidRPr="0090529F" w:rsidRDefault="000A58D7" w:rsidP="001F76BC">
      <w:pPr>
        <w:spacing w:after="0"/>
        <w:jc w:val="both"/>
        <w:rPr>
          <w:rFonts w:cstheme="minorHAnsi"/>
          <w:color w:val="000000" w:themeColor="text1"/>
        </w:rPr>
      </w:pPr>
    </w:p>
    <w:p w14:paraId="48B91C1F" w14:textId="6674A069" w:rsidR="001F76BC" w:rsidRPr="0090529F" w:rsidRDefault="001F76BC" w:rsidP="001F76BC">
      <w:pPr>
        <w:spacing w:after="0"/>
        <w:jc w:val="both"/>
        <w:rPr>
          <w:rFonts w:cstheme="minorHAnsi"/>
          <w:i/>
          <w:color w:val="000000" w:themeColor="text1"/>
        </w:rPr>
      </w:pPr>
      <w:r w:rsidRPr="0090529F">
        <w:rPr>
          <w:rFonts w:cstheme="minorHAnsi"/>
          <w:i/>
          <w:color w:val="000000" w:themeColor="text1"/>
        </w:rPr>
        <w:t>Forslag fra arbejdsgruppen til nye ressourcerenteafgiftsmodeller</w:t>
      </w:r>
    </w:p>
    <w:p w14:paraId="0078AC3B" w14:textId="514E118D" w:rsidR="001F76BC" w:rsidRDefault="001F76BC" w:rsidP="001F76BC">
      <w:pPr>
        <w:spacing w:after="0"/>
        <w:jc w:val="both"/>
        <w:rPr>
          <w:rFonts w:cstheme="minorHAnsi"/>
          <w:color w:val="000000" w:themeColor="text1"/>
        </w:rPr>
      </w:pPr>
      <w:r w:rsidRPr="0090529F">
        <w:rPr>
          <w:rFonts w:cstheme="minorHAnsi"/>
          <w:color w:val="000000" w:themeColor="text1"/>
        </w:rPr>
        <w:t>Det var enighed i arbejdsgruppen om at anbefale, at der opkræves en lav generel fiskeriafgift per kg kvote eller fangst hvert år fra hele fiskeriet. Dette skal gælde uanset valg af model. Afgiften skal sikre, at landskassen får et stabilt afgiftsprovenu fra fiskeriet for adgang og udnyttelse af fiskeriressourcen, hvor den som minimum skal dække udgifterne hos det offentlige i forbindelse med fiskeriet.</w:t>
      </w:r>
    </w:p>
    <w:p w14:paraId="3B043121" w14:textId="77777777" w:rsidR="0090529F" w:rsidRPr="0090529F" w:rsidRDefault="0090529F" w:rsidP="001F76BC">
      <w:pPr>
        <w:spacing w:after="0"/>
        <w:jc w:val="both"/>
        <w:rPr>
          <w:rFonts w:cstheme="minorHAnsi"/>
          <w:color w:val="000000" w:themeColor="text1"/>
        </w:rPr>
      </w:pPr>
    </w:p>
    <w:p w14:paraId="123B90C6" w14:textId="5032D302" w:rsidR="00083AE9" w:rsidRPr="00083AE9" w:rsidRDefault="00B8694F" w:rsidP="00083AE9">
      <w:pPr>
        <w:spacing w:after="0"/>
        <w:jc w:val="both"/>
        <w:rPr>
          <w:rFonts w:cstheme="minorHAnsi"/>
          <w:color w:val="000000" w:themeColor="text1"/>
        </w:rPr>
      </w:pPr>
      <w:r w:rsidRPr="0090529F">
        <w:rPr>
          <w:rFonts w:cstheme="minorHAnsi"/>
          <w:color w:val="000000" w:themeColor="text1"/>
        </w:rPr>
        <w:t xml:space="preserve">Den lave fiskeriafgift (eller ikke-eksisterende afgift) på visse arter i det kystnære fiskeri giver ikke nødvendigvis et provenu, der dækker de offentlige udgifter til fiskeriregulering, administration, tilskud og videnskabelige undersøgelser, der direkte </w:t>
      </w:r>
      <w:r w:rsidRPr="00083AE9">
        <w:rPr>
          <w:rFonts w:cstheme="minorHAnsi"/>
          <w:color w:val="000000" w:themeColor="text1"/>
        </w:rPr>
        <w:t>er led i fiskerireguleringen. Dette forhold er relevant at få belyst og illustreret nærmere i det videre arbejde i Fiskerikommissionen</w:t>
      </w:r>
      <w:r w:rsidR="00083AE9" w:rsidRPr="00083AE9">
        <w:rPr>
          <w:rFonts w:cstheme="minorHAnsi"/>
          <w:color w:val="000000" w:themeColor="text1"/>
        </w:rPr>
        <w:t xml:space="preserve"> med afsæt i blandt andet afgiftsarbejdsgruppens tidligere arbejde</w:t>
      </w:r>
      <w:r w:rsidR="00083AE9">
        <w:rPr>
          <w:rFonts w:cstheme="minorHAnsi"/>
          <w:color w:val="000000" w:themeColor="text1"/>
        </w:rPr>
        <w:t xml:space="preserve"> dermed</w:t>
      </w:r>
      <w:r w:rsidR="00083AE9" w:rsidRPr="00083AE9">
        <w:rPr>
          <w:rFonts w:cstheme="minorHAnsi"/>
          <w:color w:val="000000" w:themeColor="text1"/>
        </w:rPr>
        <w:t xml:space="preserve">. </w:t>
      </w:r>
    </w:p>
    <w:p w14:paraId="0710119B" w14:textId="77777777" w:rsidR="001F76BC" w:rsidRPr="0090529F" w:rsidRDefault="001F76BC" w:rsidP="001F76BC">
      <w:pPr>
        <w:spacing w:after="0"/>
        <w:jc w:val="both"/>
        <w:rPr>
          <w:rFonts w:cstheme="minorHAnsi"/>
          <w:color w:val="000000" w:themeColor="text1"/>
        </w:rPr>
      </w:pPr>
    </w:p>
    <w:p w14:paraId="6B6B4AA6" w14:textId="6F0AB49D" w:rsidR="001F76BC" w:rsidRPr="0090529F" w:rsidRDefault="001F76BC" w:rsidP="001F76BC">
      <w:pPr>
        <w:spacing w:after="0"/>
        <w:jc w:val="both"/>
        <w:rPr>
          <w:rFonts w:cstheme="minorHAnsi"/>
          <w:i/>
          <w:color w:val="000000" w:themeColor="text1"/>
        </w:rPr>
      </w:pPr>
      <w:r w:rsidRPr="0090529F">
        <w:rPr>
          <w:rFonts w:cstheme="minorHAnsi"/>
          <w:i/>
          <w:color w:val="000000" w:themeColor="text1"/>
        </w:rPr>
        <w:t>De</w:t>
      </w:r>
      <w:r w:rsidR="00083AE9">
        <w:rPr>
          <w:rFonts w:cstheme="minorHAnsi"/>
          <w:i/>
          <w:color w:val="000000" w:themeColor="text1"/>
        </w:rPr>
        <w:t>r</w:t>
      </w:r>
      <w:r w:rsidRPr="0090529F">
        <w:rPr>
          <w:rFonts w:cstheme="minorHAnsi"/>
          <w:i/>
          <w:color w:val="000000" w:themeColor="text1"/>
        </w:rPr>
        <w:t xml:space="preserve"> er beskrevet forslag til 6 ressourcerenteafgiftsmodeller for fiskeriet i redegørelsen: </w:t>
      </w:r>
    </w:p>
    <w:p w14:paraId="0E1BA1A8" w14:textId="77777777" w:rsidR="001F76BC" w:rsidRPr="0090529F" w:rsidRDefault="001F76BC" w:rsidP="001F76BC">
      <w:pPr>
        <w:tabs>
          <w:tab w:val="left" w:pos="709"/>
        </w:tabs>
        <w:spacing w:after="0"/>
        <w:jc w:val="both"/>
        <w:rPr>
          <w:rFonts w:cstheme="minorHAnsi"/>
          <w:color w:val="000000" w:themeColor="text1"/>
        </w:rPr>
      </w:pPr>
    </w:p>
    <w:p w14:paraId="55154FB8" w14:textId="77777777" w:rsidR="001F76BC" w:rsidRPr="0090529F" w:rsidRDefault="001F76BC" w:rsidP="001F76BC">
      <w:pPr>
        <w:tabs>
          <w:tab w:val="left" w:pos="709"/>
        </w:tabs>
        <w:spacing w:after="0"/>
        <w:jc w:val="both"/>
        <w:rPr>
          <w:rFonts w:cstheme="minorHAnsi"/>
          <w:color w:val="000000" w:themeColor="text1"/>
        </w:rPr>
      </w:pPr>
      <w:r w:rsidRPr="0090529F">
        <w:rPr>
          <w:rFonts w:cstheme="minorHAnsi"/>
          <w:color w:val="000000" w:themeColor="text1"/>
        </w:rPr>
        <w:t>Model 1: Uændret afgiftssystem</w:t>
      </w:r>
    </w:p>
    <w:p w14:paraId="2DA02DB2" w14:textId="77777777" w:rsidR="001F76BC" w:rsidRPr="0090529F" w:rsidRDefault="001F76BC" w:rsidP="000F5E23">
      <w:pPr>
        <w:pStyle w:val="Listeafsnit"/>
        <w:numPr>
          <w:ilvl w:val="0"/>
          <w:numId w:val="4"/>
        </w:numPr>
        <w:suppressAutoHyphens/>
        <w:autoSpaceDN w:val="0"/>
        <w:spacing w:after="0" w:line="276" w:lineRule="auto"/>
        <w:ind w:left="714" w:hanging="357"/>
        <w:contextualSpacing w:val="0"/>
        <w:jc w:val="both"/>
        <w:textAlignment w:val="baseline"/>
        <w:rPr>
          <w:rFonts w:cstheme="minorHAnsi"/>
          <w:color w:val="000000" w:themeColor="text1"/>
        </w:rPr>
      </w:pPr>
      <w:r w:rsidRPr="0090529F">
        <w:rPr>
          <w:rFonts w:cstheme="minorHAnsi"/>
          <w:color w:val="000000" w:themeColor="text1"/>
        </w:rPr>
        <w:t>Fastholde afgiftsstrukturen, som den er i dag, og indføre afgifter på de resterende arter.</w:t>
      </w:r>
    </w:p>
    <w:p w14:paraId="7505D60F" w14:textId="77777777" w:rsidR="001F76BC" w:rsidRPr="0090529F" w:rsidRDefault="001F76BC" w:rsidP="001F76BC">
      <w:pPr>
        <w:spacing w:after="0"/>
        <w:jc w:val="both"/>
        <w:rPr>
          <w:rFonts w:cstheme="minorHAnsi"/>
          <w:color w:val="000000" w:themeColor="text1"/>
        </w:rPr>
      </w:pPr>
    </w:p>
    <w:p w14:paraId="7BF1F9D4" w14:textId="77777777" w:rsidR="001F76BC" w:rsidRPr="0090529F" w:rsidRDefault="001F76BC" w:rsidP="001F76BC">
      <w:pPr>
        <w:spacing w:after="0"/>
        <w:jc w:val="both"/>
        <w:rPr>
          <w:rFonts w:cstheme="minorHAnsi"/>
          <w:color w:val="000000" w:themeColor="text1"/>
        </w:rPr>
      </w:pPr>
      <w:r w:rsidRPr="0090529F">
        <w:rPr>
          <w:rFonts w:cstheme="minorHAnsi"/>
          <w:color w:val="000000" w:themeColor="text1"/>
        </w:rPr>
        <w:t>Model 2: Auktionsmodel</w:t>
      </w:r>
    </w:p>
    <w:p w14:paraId="0D0A27F0" w14:textId="77777777" w:rsidR="001F76BC" w:rsidRPr="0090529F" w:rsidRDefault="001F76BC" w:rsidP="000F5E23">
      <w:pPr>
        <w:pStyle w:val="Listeafsnit"/>
        <w:numPr>
          <w:ilvl w:val="0"/>
          <w:numId w:val="4"/>
        </w:numPr>
        <w:suppressAutoHyphens/>
        <w:autoSpaceDN w:val="0"/>
        <w:spacing w:after="0" w:line="276" w:lineRule="auto"/>
        <w:ind w:left="714" w:hanging="357"/>
        <w:contextualSpacing w:val="0"/>
        <w:jc w:val="both"/>
        <w:textAlignment w:val="baseline"/>
        <w:rPr>
          <w:rFonts w:cstheme="minorHAnsi"/>
          <w:color w:val="000000" w:themeColor="text1"/>
        </w:rPr>
      </w:pPr>
      <w:r w:rsidRPr="0090529F">
        <w:rPr>
          <w:rFonts w:cstheme="minorHAnsi"/>
          <w:color w:val="000000" w:themeColor="text1"/>
        </w:rPr>
        <w:t>Salg af kvoter eller fiskerirettigheder på auktion</w:t>
      </w:r>
    </w:p>
    <w:p w14:paraId="59AAE7A5" w14:textId="77777777" w:rsidR="001F76BC" w:rsidRPr="0090529F" w:rsidRDefault="001F76BC" w:rsidP="001F76BC">
      <w:pPr>
        <w:pStyle w:val="Listeafsnit"/>
        <w:spacing w:line="276" w:lineRule="auto"/>
        <w:ind w:left="714"/>
        <w:jc w:val="both"/>
        <w:rPr>
          <w:rFonts w:cstheme="minorHAnsi"/>
          <w:color w:val="000000" w:themeColor="text1"/>
        </w:rPr>
      </w:pPr>
    </w:p>
    <w:p w14:paraId="0C858D65" w14:textId="77777777" w:rsidR="001F76BC" w:rsidRPr="0090529F" w:rsidRDefault="001F76BC" w:rsidP="001F76BC">
      <w:pPr>
        <w:spacing w:after="0"/>
        <w:jc w:val="both"/>
        <w:rPr>
          <w:rFonts w:cstheme="minorHAnsi"/>
          <w:color w:val="000000" w:themeColor="text1"/>
        </w:rPr>
      </w:pPr>
      <w:r w:rsidRPr="0090529F">
        <w:rPr>
          <w:rFonts w:cstheme="minorHAnsi"/>
          <w:color w:val="000000" w:themeColor="text1"/>
        </w:rPr>
        <w:t>Model 3: Afgift som pct. tillæg til selskabsskat</w:t>
      </w:r>
    </w:p>
    <w:p w14:paraId="7A8E171B" w14:textId="77777777" w:rsidR="001F76BC" w:rsidRPr="0090529F" w:rsidRDefault="001F76BC" w:rsidP="000F5E23">
      <w:pPr>
        <w:pStyle w:val="Listeafsnit"/>
        <w:numPr>
          <w:ilvl w:val="0"/>
          <w:numId w:val="4"/>
        </w:numPr>
        <w:shd w:val="clear" w:color="auto" w:fill="FFFFFF"/>
        <w:suppressAutoHyphens/>
        <w:autoSpaceDN w:val="0"/>
        <w:spacing w:after="0" w:line="276" w:lineRule="auto"/>
        <w:ind w:left="714" w:hanging="357"/>
        <w:contextualSpacing w:val="0"/>
        <w:jc w:val="both"/>
        <w:textAlignment w:val="baseline"/>
        <w:rPr>
          <w:rFonts w:cstheme="minorHAnsi"/>
          <w:color w:val="000000" w:themeColor="text1"/>
        </w:rPr>
      </w:pPr>
      <w:r w:rsidRPr="0090529F">
        <w:rPr>
          <w:rFonts w:cstheme="minorHAnsi"/>
          <w:color w:val="000000" w:themeColor="text1"/>
          <w:shd w:val="clear" w:color="auto" w:fill="FFFFFF"/>
          <w:lang w:eastAsia="da-DK"/>
        </w:rPr>
        <w:t xml:space="preserve">Ressourcerenteafgifter opkræves som tillæg til selskabsskat. </w:t>
      </w:r>
    </w:p>
    <w:p w14:paraId="38196896" w14:textId="77777777" w:rsidR="001F76BC" w:rsidRPr="0090529F" w:rsidRDefault="001F76BC" w:rsidP="001F76BC">
      <w:pPr>
        <w:spacing w:after="0"/>
        <w:jc w:val="both"/>
        <w:rPr>
          <w:rFonts w:cstheme="minorHAnsi"/>
          <w:color w:val="000000" w:themeColor="text1"/>
        </w:rPr>
      </w:pPr>
    </w:p>
    <w:p w14:paraId="41CE0D0C" w14:textId="77777777" w:rsidR="001F76BC" w:rsidRPr="0090529F" w:rsidRDefault="001F76BC" w:rsidP="001F76BC">
      <w:pPr>
        <w:spacing w:after="0"/>
        <w:jc w:val="both"/>
        <w:rPr>
          <w:rFonts w:cstheme="minorHAnsi"/>
          <w:color w:val="000000" w:themeColor="text1"/>
        </w:rPr>
      </w:pPr>
      <w:r w:rsidRPr="0090529F">
        <w:rPr>
          <w:rFonts w:cstheme="minorHAnsi"/>
          <w:color w:val="000000" w:themeColor="text1"/>
        </w:rPr>
        <w:t>Model 4: Overskudsbaseret model</w:t>
      </w:r>
    </w:p>
    <w:p w14:paraId="18D754F0" w14:textId="77777777" w:rsidR="001F76BC" w:rsidRPr="0090529F" w:rsidRDefault="001F76BC" w:rsidP="000F5E23">
      <w:pPr>
        <w:pStyle w:val="Listeafsnit"/>
        <w:numPr>
          <w:ilvl w:val="0"/>
          <w:numId w:val="4"/>
        </w:numPr>
        <w:suppressAutoHyphens/>
        <w:autoSpaceDN w:val="0"/>
        <w:spacing w:after="0" w:line="276" w:lineRule="auto"/>
        <w:ind w:left="714" w:hanging="357"/>
        <w:contextualSpacing w:val="0"/>
        <w:jc w:val="both"/>
        <w:textAlignment w:val="baseline"/>
        <w:rPr>
          <w:rFonts w:cstheme="minorHAnsi"/>
          <w:color w:val="000000" w:themeColor="text1"/>
        </w:rPr>
      </w:pPr>
      <w:r w:rsidRPr="0090529F">
        <w:rPr>
          <w:rFonts w:cstheme="minorHAnsi"/>
          <w:color w:val="000000" w:themeColor="text1"/>
        </w:rPr>
        <w:t xml:space="preserve">En overskudsbaseret model, hvor afgiften fastsættes som en andel af den beregnede gennemsnitlige ressourcerente de sidste tre kendte regnskabsår og opkræves som kronesats per kg fangst. </w:t>
      </w:r>
    </w:p>
    <w:p w14:paraId="17E22AEB" w14:textId="77777777" w:rsidR="001F76BC" w:rsidRPr="0090529F" w:rsidRDefault="001F76BC" w:rsidP="001F76BC">
      <w:pPr>
        <w:spacing w:after="0"/>
        <w:jc w:val="both"/>
        <w:rPr>
          <w:rFonts w:cstheme="minorHAnsi"/>
          <w:color w:val="000000" w:themeColor="text1"/>
        </w:rPr>
      </w:pPr>
    </w:p>
    <w:p w14:paraId="5A9547E5" w14:textId="77777777" w:rsidR="001F76BC" w:rsidRPr="0090529F" w:rsidRDefault="001F76BC" w:rsidP="001F76BC">
      <w:pPr>
        <w:spacing w:after="0"/>
        <w:jc w:val="both"/>
        <w:rPr>
          <w:rFonts w:cstheme="minorHAnsi"/>
          <w:color w:val="000000" w:themeColor="text1"/>
        </w:rPr>
      </w:pPr>
      <w:r w:rsidRPr="0090529F">
        <w:rPr>
          <w:rFonts w:cstheme="minorHAnsi"/>
          <w:color w:val="000000" w:themeColor="text1"/>
        </w:rPr>
        <w:t>Model 5: Afgift som andel af forskel mellem pris og bundfradrag</w:t>
      </w:r>
    </w:p>
    <w:p w14:paraId="2BF403D2" w14:textId="77777777" w:rsidR="001F76BC" w:rsidRPr="0090529F" w:rsidRDefault="001F76BC" w:rsidP="000F5E23">
      <w:pPr>
        <w:pStyle w:val="Listeafsnit"/>
        <w:numPr>
          <w:ilvl w:val="0"/>
          <w:numId w:val="4"/>
        </w:numPr>
        <w:suppressAutoHyphens/>
        <w:autoSpaceDN w:val="0"/>
        <w:spacing w:after="0" w:line="276" w:lineRule="auto"/>
        <w:ind w:left="709" w:hanging="357"/>
        <w:contextualSpacing w:val="0"/>
        <w:jc w:val="both"/>
        <w:textAlignment w:val="baseline"/>
        <w:rPr>
          <w:rFonts w:cstheme="minorHAnsi"/>
          <w:color w:val="000000" w:themeColor="text1"/>
        </w:rPr>
      </w:pPr>
      <w:r w:rsidRPr="0090529F">
        <w:rPr>
          <w:rFonts w:cstheme="minorHAnsi"/>
          <w:color w:val="000000" w:themeColor="text1"/>
        </w:rPr>
        <w:t xml:space="preserve">Afgiften beregnes til kiloafgift på grundlag af en andel af forskellen mellem pris på en bestemt art og et bundfradrag. </w:t>
      </w:r>
    </w:p>
    <w:p w14:paraId="4B434AC8" w14:textId="77777777" w:rsidR="001F76BC" w:rsidRPr="0090529F" w:rsidRDefault="001F76BC" w:rsidP="001F76BC">
      <w:pPr>
        <w:spacing w:after="0"/>
        <w:jc w:val="both"/>
        <w:rPr>
          <w:rFonts w:cstheme="minorHAnsi"/>
          <w:color w:val="000000" w:themeColor="text1"/>
        </w:rPr>
      </w:pPr>
    </w:p>
    <w:p w14:paraId="6F98BD09" w14:textId="77777777" w:rsidR="001F76BC" w:rsidRPr="0090529F" w:rsidRDefault="001F76BC" w:rsidP="001F76BC">
      <w:pPr>
        <w:spacing w:after="0"/>
        <w:jc w:val="both"/>
        <w:rPr>
          <w:rFonts w:cstheme="minorHAnsi"/>
          <w:color w:val="000000" w:themeColor="text1"/>
        </w:rPr>
      </w:pPr>
      <w:r w:rsidRPr="0090529F">
        <w:rPr>
          <w:rFonts w:cstheme="minorHAnsi"/>
          <w:color w:val="000000" w:themeColor="text1"/>
        </w:rPr>
        <w:t>Model 6: Omsætningsbaseret model</w:t>
      </w:r>
    </w:p>
    <w:p w14:paraId="5198EF11" w14:textId="77777777" w:rsidR="001F76BC" w:rsidRPr="0090529F" w:rsidRDefault="001F76BC" w:rsidP="000F5E23">
      <w:pPr>
        <w:pStyle w:val="Listeafsnit"/>
        <w:numPr>
          <w:ilvl w:val="0"/>
          <w:numId w:val="4"/>
        </w:numPr>
        <w:suppressAutoHyphens/>
        <w:autoSpaceDN w:val="0"/>
        <w:spacing w:after="0" w:line="276" w:lineRule="auto"/>
        <w:contextualSpacing w:val="0"/>
        <w:jc w:val="both"/>
        <w:textAlignment w:val="baseline"/>
        <w:rPr>
          <w:rFonts w:cstheme="minorHAnsi"/>
          <w:color w:val="000000" w:themeColor="text1"/>
        </w:rPr>
      </w:pPr>
      <w:r w:rsidRPr="0090529F">
        <w:rPr>
          <w:rFonts w:cstheme="minorHAnsi"/>
          <w:color w:val="000000" w:themeColor="text1"/>
        </w:rPr>
        <w:t>I denne model beregnes afgiften som en fast andel af omsætningen hos det enkelte fartøj uden noget fradrag for udgifter. Størrelsen af afgiften kan således variere fra fartøj til fartøj.</w:t>
      </w:r>
    </w:p>
    <w:p w14:paraId="73182F1F" w14:textId="77777777" w:rsidR="001F76BC" w:rsidRPr="0090529F" w:rsidRDefault="001F76BC" w:rsidP="001F76BC">
      <w:pPr>
        <w:pStyle w:val="Listeafsnit"/>
        <w:suppressAutoHyphens/>
        <w:autoSpaceDN w:val="0"/>
        <w:spacing w:after="0" w:line="276" w:lineRule="auto"/>
        <w:contextualSpacing w:val="0"/>
        <w:jc w:val="both"/>
        <w:textAlignment w:val="baseline"/>
        <w:rPr>
          <w:rFonts w:cstheme="minorHAnsi"/>
          <w:color w:val="000000" w:themeColor="text1"/>
        </w:rPr>
      </w:pPr>
    </w:p>
    <w:p w14:paraId="01D4B133" w14:textId="77777777" w:rsidR="001F76BC" w:rsidRPr="0090529F" w:rsidRDefault="001F76BC" w:rsidP="001F76BC">
      <w:pPr>
        <w:spacing w:after="0"/>
        <w:jc w:val="both"/>
        <w:rPr>
          <w:rFonts w:cstheme="minorHAnsi"/>
          <w:i/>
          <w:color w:val="000000" w:themeColor="text1"/>
        </w:rPr>
      </w:pPr>
      <w:r w:rsidRPr="0090529F">
        <w:rPr>
          <w:rFonts w:cstheme="minorHAnsi"/>
          <w:i/>
          <w:color w:val="000000" w:themeColor="text1"/>
        </w:rPr>
        <w:t>Indstilling til Naalakkersuisut fra arbejdsgruppen:</w:t>
      </w:r>
    </w:p>
    <w:p w14:paraId="579EAB98" w14:textId="77777777" w:rsidR="001F76BC" w:rsidRPr="0090529F" w:rsidRDefault="001F76BC" w:rsidP="000F5E23">
      <w:pPr>
        <w:pStyle w:val="Listeafsnit"/>
        <w:numPr>
          <w:ilvl w:val="0"/>
          <w:numId w:val="6"/>
        </w:numPr>
        <w:suppressAutoHyphens/>
        <w:autoSpaceDN w:val="0"/>
        <w:spacing w:after="0" w:line="276" w:lineRule="auto"/>
        <w:ind w:hanging="357"/>
        <w:jc w:val="both"/>
        <w:textAlignment w:val="baseline"/>
        <w:rPr>
          <w:rFonts w:cstheme="minorHAnsi"/>
          <w:color w:val="000000" w:themeColor="text1"/>
        </w:rPr>
      </w:pPr>
      <w:r w:rsidRPr="0090529F">
        <w:rPr>
          <w:rFonts w:cstheme="minorHAnsi"/>
          <w:color w:val="000000" w:themeColor="text1"/>
        </w:rPr>
        <w:t>Alle fiskere bør bidrage til samfundet for at udnytte den fælles fiskeressource. Alle arter bør derfor kunne afgiftsbelægges, uanset de er fisket med kystnært eller havgående fartøj. Afgiftsniveauet bør dog holdes på et niveau, så fiskeriet forsat kan drives rentabelt og har mulighed for at reinvestere i nye fartøjer.</w:t>
      </w:r>
    </w:p>
    <w:p w14:paraId="7D29DDA7" w14:textId="77777777" w:rsidR="001F76BC" w:rsidRPr="0090529F" w:rsidRDefault="001F76BC" w:rsidP="000F5E23">
      <w:pPr>
        <w:pStyle w:val="Listeafsnit"/>
        <w:numPr>
          <w:ilvl w:val="0"/>
          <w:numId w:val="5"/>
        </w:numPr>
        <w:suppressAutoHyphens/>
        <w:autoSpaceDN w:val="0"/>
        <w:spacing w:after="0" w:line="276" w:lineRule="auto"/>
        <w:ind w:hanging="357"/>
        <w:contextualSpacing w:val="0"/>
        <w:jc w:val="both"/>
        <w:textAlignment w:val="baseline"/>
        <w:rPr>
          <w:rFonts w:cstheme="minorHAnsi"/>
          <w:color w:val="000000" w:themeColor="text1"/>
        </w:rPr>
      </w:pPr>
      <w:r w:rsidRPr="0090529F">
        <w:rPr>
          <w:rFonts w:cstheme="minorHAnsi"/>
          <w:color w:val="000000" w:themeColor="text1"/>
        </w:rPr>
        <w:t>Det bliver overordentligt kompliceret, hvis en ny ressourcerenteafgiftsmodel skal tage hensyn til en øget forædling af fisken og en højere udnyttelsesgrad, øget uddannelse, mere lige indkomstfordeling osv. En ny afgiftsmodel bør derfor kun være en ren afgiftsmodel, mens de andre hensyn bør forfølges via anden lovgivning.</w:t>
      </w:r>
    </w:p>
    <w:p w14:paraId="4A29550A" w14:textId="77777777" w:rsidR="001F76BC" w:rsidRPr="0090529F" w:rsidRDefault="001F76BC" w:rsidP="000F5E23">
      <w:pPr>
        <w:pStyle w:val="Listeafsnit"/>
        <w:numPr>
          <w:ilvl w:val="0"/>
          <w:numId w:val="5"/>
        </w:numPr>
        <w:suppressAutoHyphens/>
        <w:autoSpaceDN w:val="0"/>
        <w:spacing w:after="0" w:line="276" w:lineRule="auto"/>
        <w:ind w:hanging="357"/>
        <w:contextualSpacing w:val="0"/>
        <w:jc w:val="both"/>
        <w:textAlignment w:val="baseline"/>
        <w:rPr>
          <w:rFonts w:cstheme="minorHAnsi"/>
          <w:color w:val="000000" w:themeColor="text1"/>
        </w:rPr>
      </w:pPr>
      <w:r w:rsidRPr="0090529F">
        <w:rPr>
          <w:rFonts w:cstheme="minorHAnsi"/>
          <w:color w:val="000000" w:themeColor="text1"/>
        </w:rPr>
        <w:t xml:space="preserve">Hvis et nyt system indføres bør den nuværende brugerbetaling i fiskeriet samtidig afskaffes. </w:t>
      </w:r>
    </w:p>
    <w:p w14:paraId="2EB046C3" w14:textId="77777777" w:rsidR="001F76BC" w:rsidRPr="0090529F" w:rsidRDefault="001F76BC" w:rsidP="000F5E23">
      <w:pPr>
        <w:pStyle w:val="Listeafsnit"/>
        <w:numPr>
          <w:ilvl w:val="0"/>
          <w:numId w:val="5"/>
        </w:numPr>
        <w:suppressAutoHyphens/>
        <w:autoSpaceDN w:val="0"/>
        <w:spacing w:after="0" w:line="276" w:lineRule="auto"/>
        <w:ind w:hanging="357"/>
        <w:contextualSpacing w:val="0"/>
        <w:jc w:val="both"/>
        <w:textAlignment w:val="baseline"/>
        <w:rPr>
          <w:rFonts w:cstheme="minorHAnsi"/>
          <w:color w:val="000000" w:themeColor="text1"/>
        </w:rPr>
      </w:pPr>
      <w:r w:rsidRPr="0090529F">
        <w:rPr>
          <w:rFonts w:cstheme="minorHAnsi"/>
          <w:color w:val="000000" w:themeColor="text1"/>
        </w:rPr>
        <w:t>Der bør indføres et nyt to trins ressourcerenteafgiftsmodel for det samlede fiskeri i Grønland, hvor:</w:t>
      </w:r>
    </w:p>
    <w:p w14:paraId="3B97706C" w14:textId="77777777" w:rsidR="001F76BC" w:rsidRPr="0090529F" w:rsidRDefault="001F76BC" w:rsidP="000F5E23">
      <w:pPr>
        <w:pStyle w:val="Listeafsnit"/>
        <w:numPr>
          <w:ilvl w:val="1"/>
          <w:numId w:val="5"/>
        </w:numPr>
        <w:suppressAutoHyphens/>
        <w:autoSpaceDN w:val="0"/>
        <w:spacing w:after="0" w:line="276" w:lineRule="auto"/>
        <w:ind w:hanging="357"/>
        <w:contextualSpacing w:val="0"/>
        <w:jc w:val="both"/>
        <w:textAlignment w:val="baseline"/>
        <w:rPr>
          <w:rFonts w:cstheme="minorHAnsi"/>
          <w:color w:val="000000" w:themeColor="text1"/>
        </w:rPr>
      </w:pPr>
      <w:r w:rsidRPr="0090529F">
        <w:rPr>
          <w:rFonts w:cstheme="minorHAnsi"/>
          <w:color w:val="000000" w:themeColor="text1"/>
        </w:rPr>
        <w:t>Trin 1 omfatter en generel fiskeriafgift, som skal dække de udgifter det offentlige har i forbindelse med fiskeriet. Beskrevet i afsnit 7.1, s.108.</w:t>
      </w:r>
    </w:p>
    <w:p w14:paraId="3BC0A0F2" w14:textId="77777777" w:rsidR="001F76BC" w:rsidRPr="0090529F" w:rsidRDefault="001F76BC" w:rsidP="000F5E23">
      <w:pPr>
        <w:pStyle w:val="Listeafsnit"/>
        <w:numPr>
          <w:ilvl w:val="1"/>
          <w:numId w:val="5"/>
        </w:numPr>
        <w:suppressAutoHyphens/>
        <w:autoSpaceDN w:val="0"/>
        <w:spacing w:after="0" w:line="276" w:lineRule="auto"/>
        <w:ind w:hanging="357"/>
        <w:contextualSpacing w:val="0"/>
        <w:jc w:val="both"/>
        <w:textAlignment w:val="baseline"/>
        <w:rPr>
          <w:rFonts w:cstheme="minorHAnsi"/>
          <w:color w:val="000000" w:themeColor="text1"/>
        </w:rPr>
      </w:pPr>
      <w:r w:rsidRPr="0090529F">
        <w:rPr>
          <w:rFonts w:cstheme="minorHAnsi"/>
          <w:color w:val="000000" w:themeColor="text1"/>
        </w:rPr>
        <w:t xml:space="preserve">Trin 2 omfatter en ressourcerenteafgiftsmodel, som beskrevet i afsnit 7.6, s.117, hvor afgiften beregnes som andel af forskel mellem pris og bundfradrag. Denne model er analyseret i afsnit 8.1 hvor data er tilgængelige. </w:t>
      </w:r>
    </w:p>
    <w:p w14:paraId="67EB4937" w14:textId="77777777" w:rsidR="001F76BC" w:rsidRPr="0090529F" w:rsidRDefault="001F76BC" w:rsidP="000F5E23">
      <w:pPr>
        <w:pStyle w:val="Listeafsnit"/>
        <w:numPr>
          <w:ilvl w:val="1"/>
          <w:numId w:val="5"/>
        </w:numPr>
        <w:suppressAutoHyphens/>
        <w:autoSpaceDN w:val="0"/>
        <w:spacing w:after="0" w:line="276" w:lineRule="auto"/>
        <w:ind w:hanging="357"/>
        <w:contextualSpacing w:val="0"/>
        <w:jc w:val="both"/>
        <w:textAlignment w:val="baseline"/>
        <w:rPr>
          <w:rFonts w:cstheme="minorHAnsi"/>
          <w:color w:val="000000" w:themeColor="text1"/>
        </w:rPr>
      </w:pPr>
      <w:r w:rsidRPr="0090529F">
        <w:rPr>
          <w:rFonts w:cstheme="minorHAnsi"/>
          <w:color w:val="000000" w:themeColor="text1"/>
        </w:rPr>
        <w:t xml:space="preserve">Afgiften i trin 1 skal betales hvert år uafhængigt af økonomien i flåden. Den kan således betragtes som en ren adgangsbetaling. Hvis afgiften i trin 2 er højere end i trin 1, er det udelukkende denne afgift, som skal betales. Afgiften i trin 1 er således til at sikre landskassen et minimum provenu fra fiskeriet over tid. </w:t>
      </w:r>
    </w:p>
    <w:p w14:paraId="4864B300" w14:textId="77777777" w:rsidR="001F76BC" w:rsidRPr="0090529F" w:rsidRDefault="001F76BC" w:rsidP="000F5E23">
      <w:pPr>
        <w:pStyle w:val="Listeafsnit"/>
        <w:numPr>
          <w:ilvl w:val="0"/>
          <w:numId w:val="6"/>
        </w:numPr>
        <w:suppressAutoHyphens/>
        <w:autoSpaceDN w:val="0"/>
        <w:spacing w:after="0" w:line="276" w:lineRule="auto"/>
        <w:ind w:hanging="357"/>
        <w:jc w:val="both"/>
        <w:textAlignment w:val="baseline"/>
        <w:rPr>
          <w:rFonts w:cstheme="minorHAnsi"/>
          <w:color w:val="000000" w:themeColor="text1"/>
        </w:rPr>
      </w:pPr>
      <w:r w:rsidRPr="0090529F">
        <w:rPr>
          <w:rFonts w:cstheme="minorHAnsi"/>
          <w:color w:val="000000" w:themeColor="text1"/>
        </w:rPr>
        <w:t>For det pelagiske fiskeri anbefales at fastholde en fast kiloafgift som i dag på makrel, sild og lodde. Afgiftssatserne bør revideres i samarbejde med fiskerierhvervet hvert år, indtil der eksisterer nok økonomiske data til at analysere fiskeriet og efterfølgende lave en afgiftsmodel med et bundfradrag, tilsvarende som der foreslås nu for resten af fiskeriet.</w:t>
      </w:r>
    </w:p>
    <w:p w14:paraId="5A33CFAE" w14:textId="77777777" w:rsidR="001F76BC" w:rsidRPr="0090529F" w:rsidRDefault="001F76BC" w:rsidP="000F5E23">
      <w:pPr>
        <w:pStyle w:val="Listeafsnit"/>
        <w:numPr>
          <w:ilvl w:val="0"/>
          <w:numId w:val="5"/>
        </w:numPr>
        <w:suppressAutoHyphens/>
        <w:autoSpaceDN w:val="0"/>
        <w:spacing w:after="0" w:line="276" w:lineRule="auto"/>
        <w:ind w:hanging="357"/>
        <w:contextualSpacing w:val="0"/>
        <w:jc w:val="both"/>
        <w:textAlignment w:val="baseline"/>
        <w:rPr>
          <w:rFonts w:cstheme="minorHAnsi"/>
          <w:color w:val="000000" w:themeColor="text1"/>
        </w:rPr>
      </w:pPr>
      <w:r w:rsidRPr="0090529F">
        <w:rPr>
          <w:rFonts w:cstheme="minorHAnsi"/>
          <w:color w:val="000000" w:themeColor="text1"/>
        </w:rPr>
        <w:t>Analyserne af økonomien og ressourcerenten i det grønlandske fiskeri i kapital 5 bør opdateres årligt, så det løbende vurderes, hvordan afgifterne påvirker erhvervets økonomi og investeringsadfærd.</w:t>
      </w:r>
    </w:p>
    <w:p w14:paraId="10B32765" w14:textId="77777777" w:rsidR="001F76BC" w:rsidRPr="0090529F" w:rsidRDefault="001F76BC" w:rsidP="000F5E23">
      <w:pPr>
        <w:pStyle w:val="Listeafsnit"/>
        <w:numPr>
          <w:ilvl w:val="0"/>
          <w:numId w:val="5"/>
        </w:numPr>
        <w:suppressAutoHyphens/>
        <w:autoSpaceDN w:val="0"/>
        <w:spacing w:after="0" w:line="276" w:lineRule="auto"/>
        <w:ind w:hanging="357"/>
        <w:contextualSpacing w:val="0"/>
        <w:jc w:val="both"/>
        <w:textAlignment w:val="baseline"/>
        <w:rPr>
          <w:rFonts w:cstheme="minorHAnsi"/>
          <w:color w:val="000000" w:themeColor="text1"/>
        </w:rPr>
      </w:pPr>
      <w:r w:rsidRPr="0090529F">
        <w:rPr>
          <w:rFonts w:cstheme="minorHAnsi"/>
          <w:color w:val="000000" w:themeColor="text1"/>
        </w:rPr>
        <w:t>Der bør fortsat være et samarbejde om at udvikle og udvide indberetningsskemaer, i Selvstyrets bekendtgørelse nr. 11 af 29. juni 2015 om indberetning af produktionsmæssige og økonomiske oplysninger vedrørende erhvervsmæssigt fiskeri, til at forbedre indsamling af de nødvendige økonomiske og produktionsmæssige data fra fiskeriet, herunder også landproduktionen. Dette for at kunne opbygge tidsserier, som giver muligheder for på sigt at udarbejde økonomiske analyser af både dele af og det samlede fiskeri.</w:t>
      </w:r>
    </w:p>
    <w:p w14:paraId="374BB26C" w14:textId="10A3664E" w:rsidR="001F76BC" w:rsidRPr="0090529F" w:rsidRDefault="001F76BC" w:rsidP="001F76BC">
      <w:pPr>
        <w:spacing w:after="0"/>
        <w:jc w:val="both"/>
        <w:rPr>
          <w:rFonts w:cstheme="minorHAnsi"/>
        </w:rPr>
      </w:pPr>
    </w:p>
    <w:p w14:paraId="2B0FA254" w14:textId="2A7C2653" w:rsidR="00184C03" w:rsidRPr="0090529F" w:rsidRDefault="007C727F" w:rsidP="000F5E23">
      <w:pPr>
        <w:pStyle w:val="Overskrift1"/>
        <w:numPr>
          <w:ilvl w:val="0"/>
          <w:numId w:val="2"/>
        </w:numPr>
        <w:spacing w:after="120"/>
        <w:ind w:left="1134" w:hanging="708"/>
        <w:rPr>
          <w:rFonts w:asciiTheme="minorHAnsi" w:hAnsiTheme="minorHAnsi" w:cstheme="minorHAnsi"/>
          <w:sz w:val="22"/>
          <w:szCs w:val="22"/>
        </w:rPr>
      </w:pPr>
      <w:bookmarkStart w:id="2" w:name="_Toc48145665"/>
      <w:r>
        <w:rPr>
          <w:rFonts w:asciiTheme="minorHAnsi" w:hAnsiTheme="minorHAnsi" w:cstheme="minorHAnsi"/>
          <w:sz w:val="22"/>
          <w:szCs w:val="22"/>
        </w:rPr>
        <w:t>S</w:t>
      </w:r>
      <w:r w:rsidR="00184C03" w:rsidRPr="0090529F">
        <w:rPr>
          <w:rFonts w:asciiTheme="minorHAnsi" w:hAnsiTheme="minorHAnsi" w:cstheme="minorHAnsi"/>
          <w:sz w:val="22"/>
          <w:szCs w:val="22"/>
        </w:rPr>
        <w:t>pørgsmål omkring ressourcerenten</w:t>
      </w:r>
      <w:bookmarkEnd w:id="2"/>
    </w:p>
    <w:p w14:paraId="15C324C6" w14:textId="66155498" w:rsidR="00184C03" w:rsidRPr="0090529F" w:rsidRDefault="00184C03" w:rsidP="00184C03">
      <w:pPr>
        <w:rPr>
          <w:rFonts w:cstheme="minorHAnsi"/>
        </w:rPr>
      </w:pPr>
      <w:r w:rsidRPr="0090529F">
        <w:rPr>
          <w:rFonts w:cstheme="minorHAnsi"/>
        </w:rPr>
        <w:t xml:space="preserve">Spørgsmålet om forholdet mellem fiskeriloven, ressourcerentebeskatningen og ressourcerentens faktiske størrelse indeholder mange aspekter, herunder også i forhold til løsningen af nogle af opgaverne i kommissoriet. I den forbindelse søges flere forhold beskrevet. </w:t>
      </w:r>
    </w:p>
    <w:p w14:paraId="7A666E02" w14:textId="77777777" w:rsidR="00184C03" w:rsidRPr="0090529F" w:rsidRDefault="00184C03" w:rsidP="00184C03">
      <w:pPr>
        <w:rPr>
          <w:rFonts w:cstheme="minorHAnsi"/>
        </w:rPr>
      </w:pPr>
      <w:r w:rsidRPr="0090529F">
        <w:rPr>
          <w:rFonts w:cstheme="minorHAnsi"/>
        </w:rPr>
        <w:t>Opsamling med beskrivelse af oplagte tiltag for at øge ressourcerenten i dele af fiskeriet via optimering af forvaltningsregimer i enkelte fiskerier, herunder bør:</w:t>
      </w:r>
    </w:p>
    <w:p w14:paraId="469737C4" w14:textId="12F342A7" w:rsidR="00184C03" w:rsidRPr="0090529F" w:rsidRDefault="00184C03" w:rsidP="000F5E23">
      <w:pPr>
        <w:pStyle w:val="Listeafsnit"/>
        <w:numPr>
          <w:ilvl w:val="0"/>
          <w:numId w:val="3"/>
        </w:numPr>
        <w:rPr>
          <w:rFonts w:cstheme="minorHAnsi"/>
        </w:rPr>
      </w:pPr>
      <w:r w:rsidRPr="0090529F">
        <w:rPr>
          <w:rFonts w:cstheme="minorHAnsi"/>
        </w:rPr>
        <w:t xml:space="preserve">betydningen for ressourcerentens størrelse af relevante tiltag for at fremme en strukturtilpasning i det kystnære fiskeri </w:t>
      </w:r>
      <w:r w:rsidR="00B8694F" w:rsidRPr="0090529F">
        <w:rPr>
          <w:rFonts w:cstheme="minorHAnsi"/>
        </w:rPr>
        <w:t xml:space="preserve">indgå i beskrivelser og overvejelser </w:t>
      </w:r>
      <w:r w:rsidRPr="0090529F">
        <w:rPr>
          <w:rFonts w:cstheme="minorHAnsi"/>
        </w:rPr>
        <w:t>med fokus på de vigtigste arter.</w:t>
      </w:r>
    </w:p>
    <w:p w14:paraId="3243298E" w14:textId="444DBF45" w:rsidR="00184C03" w:rsidRPr="0090529F" w:rsidRDefault="00184C03" w:rsidP="000F5E23">
      <w:pPr>
        <w:pStyle w:val="Listeafsnit"/>
        <w:numPr>
          <w:ilvl w:val="0"/>
          <w:numId w:val="3"/>
        </w:numPr>
        <w:rPr>
          <w:rFonts w:cstheme="minorHAnsi"/>
        </w:rPr>
      </w:pPr>
      <w:r w:rsidRPr="0090529F">
        <w:rPr>
          <w:rFonts w:cstheme="minorHAnsi"/>
        </w:rPr>
        <w:lastRenderedPageBreak/>
        <w:t xml:space="preserve">den aktuelle evaluering af tilskudsordningerne målrettet fiskeriet redegøre for, hvordan de nuværende tilskud påvirker ressourcerenten på sigt i fiskerier under disse tilskudsordninger, jf. vedlagte underbilag. </w:t>
      </w:r>
    </w:p>
    <w:p w14:paraId="559DEDC6" w14:textId="77777777" w:rsidR="00184C03" w:rsidRPr="0090529F" w:rsidRDefault="00184C03" w:rsidP="000F5E23">
      <w:pPr>
        <w:pStyle w:val="Listeafsnit"/>
        <w:numPr>
          <w:ilvl w:val="0"/>
          <w:numId w:val="3"/>
        </w:numPr>
        <w:rPr>
          <w:rFonts w:cstheme="minorHAnsi"/>
        </w:rPr>
      </w:pPr>
      <w:r w:rsidRPr="0090529F">
        <w:rPr>
          <w:rFonts w:cstheme="minorHAnsi"/>
        </w:rPr>
        <w:t xml:space="preserve">spørgsmålet om ressourcerenten og beskatningen deraf indgå i videre overvejelser om spredning af ejerskab og sikring af adgang for unge fiskere, en kvotebank og hjemfaldspligt, mv. </w:t>
      </w:r>
    </w:p>
    <w:p w14:paraId="1F7A409D" w14:textId="125937D4" w:rsidR="00184C03" w:rsidRPr="0090529F" w:rsidRDefault="00B8694F" w:rsidP="000F5E23">
      <w:pPr>
        <w:pStyle w:val="Listeafsnit"/>
        <w:numPr>
          <w:ilvl w:val="0"/>
          <w:numId w:val="3"/>
        </w:numPr>
        <w:rPr>
          <w:rFonts w:cstheme="minorHAnsi"/>
        </w:rPr>
      </w:pPr>
      <w:r w:rsidRPr="0090529F">
        <w:rPr>
          <w:rFonts w:cstheme="minorHAnsi"/>
        </w:rPr>
        <w:t>s</w:t>
      </w:r>
      <w:r w:rsidR="00184C03" w:rsidRPr="0090529F">
        <w:rPr>
          <w:rFonts w:cstheme="minorHAnsi"/>
        </w:rPr>
        <w:t>ammenhængen mellem afgiftsniveau (og andre forhold herunder pris/omkostningsstruktur) og strukturudvikling.</w:t>
      </w:r>
    </w:p>
    <w:p w14:paraId="0A51F23D" w14:textId="3D5B150C" w:rsidR="00184C03" w:rsidRPr="0090529F" w:rsidRDefault="00184C03" w:rsidP="000F5E23">
      <w:pPr>
        <w:pStyle w:val="Listeafsnit"/>
        <w:numPr>
          <w:ilvl w:val="0"/>
          <w:numId w:val="3"/>
        </w:numPr>
        <w:rPr>
          <w:rFonts w:cstheme="minorHAnsi"/>
        </w:rPr>
      </w:pPr>
      <w:r w:rsidRPr="0090529F">
        <w:rPr>
          <w:rFonts w:cstheme="minorHAnsi"/>
        </w:rPr>
        <w:t xml:space="preserve">Spørgsmålet om sammenhængen </w:t>
      </w:r>
      <w:r w:rsidR="00B8694F" w:rsidRPr="0090529F">
        <w:rPr>
          <w:rFonts w:cstheme="minorHAnsi"/>
        </w:rPr>
        <w:t xml:space="preserve">mellem ressourcerenten og omfanget af </w:t>
      </w:r>
      <w:r w:rsidRPr="0090529F">
        <w:rPr>
          <w:rFonts w:cstheme="minorHAnsi"/>
        </w:rPr>
        <w:t>landingspligt</w:t>
      </w:r>
      <w:r w:rsidR="00B8694F" w:rsidRPr="0090529F">
        <w:rPr>
          <w:rFonts w:cstheme="minorHAnsi"/>
        </w:rPr>
        <w:t xml:space="preserve"> indgå i overvejelserne om sidstnævnte</w:t>
      </w:r>
      <w:r w:rsidRPr="0090529F">
        <w:rPr>
          <w:rFonts w:cstheme="minorHAnsi"/>
        </w:rPr>
        <w:t xml:space="preserve">, jf. </w:t>
      </w:r>
      <w:r w:rsidR="00B8694F" w:rsidRPr="0090529F">
        <w:rPr>
          <w:rFonts w:cstheme="minorHAnsi"/>
        </w:rPr>
        <w:t xml:space="preserve">også </w:t>
      </w:r>
      <w:r w:rsidRPr="0090529F">
        <w:rPr>
          <w:rFonts w:cstheme="minorHAnsi"/>
        </w:rPr>
        <w:t>tidligere baggrundsnotater om emnet.</w:t>
      </w:r>
    </w:p>
    <w:p w14:paraId="0162F48A" w14:textId="4FFED631" w:rsidR="00184C03" w:rsidRDefault="00184C03" w:rsidP="000F5E23">
      <w:pPr>
        <w:pStyle w:val="Listeafsnit"/>
        <w:numPr>
          <w:ilvl w:val="0"/>
          <w:numId w:val="3"/>
        </w:numPr>
        <w:rPr>
          <w:rFonts w:cstheme="minorHAnsi"/>
        </w:rPr>
      </w:pPr>
      <w:r w:rsidRPr="0090529F">
        <w:rPr>
          <w:rFonts w:cstheme="minorHAnsi"/>
        </w:rPr>
        <w:t xml:space="preserve">Spørgsmålet om betydningen for indretningen af skattestrukturen, skatteforvridning </w:t>
      </w:r>
      <w:r w:rsidR="00B8694F" w:rsidRPr="0090529F">
        <w:rPr>
          <w:rFonts w:cstheme="minorHAnsi"/>
        </w:rPr>
        <w:t>indgå i kommissionens samlede overvejelser omkring dens kommende forslag og de økonomiske konsekvenser deraf.</w:t>
      </w:r>
    </w:p>
    <w:p w14:paraId="7E6C08BD" w14:textId="1BDE0B71" w:rsidR="00747AA1" w:rsidRDefault="00747AA1" w:rsidP="00747AA1">
      <w:pPr>
        <w:ind w:left="360"/>
        <w:rPr>
          <w:rFonts w:cstheme="minorHAnsi"/>
        </w:rPr>
      </w:pPr>
      <w:r>
        <w:rPr>
          <w:rFonts w:cstheme="minorHAnsi"/>
        </w:rPr>
        <w:t xml:space="preserve">Økonomisk Råd skriver i sin årsrapport </w:t>
      </w:r>
      <w:r w:rsidR="002B7F5B">
        <w:rPr>
          <w:rFonts w:cstheme="minorHAnsi"/>
        </w:rPr>
        <w:t xml:space="preserve">for 2018 </w:t>
      </w:r>
      <w:r>
        <w:rPr>
          <w:rFonts w:cstheme="minorHAnsi"/>
        </w:rPr>
        <w:t>om ressourcerenten og ressoucerentebeskatning i fiskeriet følgende afsnit, som synes relevant i forhold til perspektivering af ovennævnte spørgsmål:</w:t>
      </w:r>
    </w:p>
    <w:p w14:paraId="75878E07" w14:textId="77777777" w:rsidR="00747AA1" w:rsidRDefault="00747AA1" w:rsidP="00747AA1">
      <w:pPr>
        <w:ind w:left="1134" w:right="707"/>
        <w:rPr>
          <w:rFonts w:cstheme="minorHAnsi"/>
          <w:i/>
        </w:rPr>
      </w:pPr>
      <w:r w:rsidRPr="00747AA1">
        <w:rPr>
          <w:rFonts w:cstheme="minorHAnsi"/>
          <w:i/>
        </w:rPr>
        <w:t>”Et aspekt, som adskiller Grønland fra de fleste andre fiskerinationer er, at landet allerede har et godt udbygget system for ressourcerentebeskatningen, som sikrer, at værdien af at kunne udnytte havets ressourcer kommer hele samfundet til gode, se figur 2.9</w:t>
      </w:r>
      <w:r>
        <w:rPr>
          <w:rFonts w:cstheme="minorHAnsi"/>
          <w:i/>
        </w:rPr>
        <w:t xml:space="preserve"> (samme figur som på dette notats side 5)</w:t>
      </w:r>
      <w:r w:rsidRPr="00747AA1">
        <w:rPr>
          <w:rFonts w:cstheme="minorHAnsi"/>
          <w:i/>
        </w:rPr>
        <w:t xml:space="preserve">. </w:t>
      </w:r>
    </w:p>
    <w:p w14:paraId="5F894006" w14:textId="624623B8" w:rsidR="00747AA1" w:rsidRPr="00747AA1" w:rsidRDefault="00747AA1" w:rsidP="00747AA1">
      <w:pPr>
        <w:ind w:left="1134" w:right="707"/>
        <w:rPr>
          <w:rFonts w:cstheme="minorHAnsi"/>
          <w:i/>
        </w:rPr>
      </w:pPr>
      <w:r w:rsidRPr="00747AA1">
        <w:rPr>
          <w:rFonts w:cstheme="minorHAnsi"/>
          <w:i/>
        </w:rPr>
        <w:t>Grønland er et foregangsland på dette område. Fordelingshensyn kan mere hensigtsmæssigt varetages via strukturen og niveauet for ressourcerentebeskatningen end via omfordeling af kvoter. Afhængigt af tildelingskriteriernes udformning vil en omfordeling af</w:t>
      </w:r>
      <w:r>
        <w:rPr>
          <w:rFonts w:cstheme="minorHAnsi"/>
          <w:i/>
        </w:rPr>
        <w:t xml:space="preserve"> </w:t>
      </w:r>
      <w:r w:rsidRPr="00747AA1">
        <w:rPr>
          <w:rFonts w:cstheme="minorHAnsi"/>
          <w:i/>
        </w:rPr>
        <w:t>licenser kunne give specifikke personer, der modtager nytildelte licenser en indkomstfremgang, men det vil</w:t>
      </w:r>
      <w:r>
        <w:rPr>
          <w:rFonts w:cstheme="minorHAnsi"/>
          <w:i/>
        </w:rPr>
        <w:t xml:space="preserve"> </w:t>
      </w:r>
      <w:r w:rsidRPr="00747AA1">
        <w:rPr>
          <w:rFonts w:cstheme="minorHAnsi"/>
          <w:i/>
        </w:rPr>
        <w:t>være en meget upræcis omfordelingspolitik og indeholde et lotterielement i forhold til hvem, der bliver</w:t>
      </w:r>
      <w:r>
        <w:rPr>
          <w:rFonts w:cstheme="minorHAnsi"/>
          <w:i/>
        </w:rPr>
        <w:t xml:space="preserve"> </w:t>
      </w:r>
      <w:r w:rsidRPr="00747AA1">
        <w:rPr>
          <w:rFonts w:cstheme="minorHAnsi"/>
          <w:i/>
        </w:rPr>
        <w:t>tildelt disse kvoteandele. Samtidig vil skatte- og afgiftsprovenuet kunne falde som følge af lavere effektivitet med deraf følgende negative konsekvenser for det øvrige samfund enten i form af stigninger i andre</w:t>
      </w:r>
      <w:r>
        <w:rPr>
          <w:rFonts w:cstheme="minorHAnsi"/>
          <w:i/>
        </w:rPr>
        <w:t xml:space="preserve"> </w:t>
      </w:r>
      <w:r w:rsidRPr="00747AA1">
        <w:rPr>
          <w:rFonts w:cstheme="minorHAnsi"/>
          <w:i/>
        </w:rPr>
        <w:t>skatter/afgifter eller besparelser.</w:t>
      </w:r>
      <w:r>
        <w:rPr>
          <w:rFonts w:cstheme="minorHAnsi"/>
          <w:i/>
        </w:rPr>
        <w:t>”</w:t>
      </w:r>
    </w:p>
    <w:p w14:paraId="67197FDE" w14:textId="4A3FEB23" w:rsidR="006720BD" w:rsidRPr="0090529F" w:rsidRDefault="00B8694F" w:rsidP="000F5E23">
      <w:pPr>
        <w:pStyle w:val="Overskrift1"/>
        <w:numPr>
          <w:ilvl w:val="0"/>
          <w:numId w:val="2"/>
        </w:numPr>
        <w:spacing w:after="120"/>
        <w:ind w:left="1134" w:hanging="708"/>
        <w:rPr>
          <w:rFonts w:asciiTheme="minorHAnsi" w:eastAsiaTheme="minorHAnsi" w:hAnsiTheme="minorHAnsi" w:cstheme="minorHAnsi"/>
          <w:sz w:val="22"/>
          <w:szCs w:val="22"/>
        </w:rPr>
      </w:pPr>
      <w:r w:rsidRPr="0090529F">
        <w:rPr>
          <w:rFonts w:asciiTheme="minorHAnsi" w:eastAsiaTheme="minorHAnsi" w:hAnsiTheme="minorHAnsi" w:cstheme="minorHAnsi"/>
          <w:sz w:val="22"/>
          <w:szCs w:val="22"/>
        </w:rPr>
        <w:t xml:space="preserve">Mulige forslag </w:t>
      </w:r>
      <w:r w:rsidR="006720BD" w:rsidRPr="0090529F">
        <w:rPr>
          <w:rFonts w:asciiTheme="minorHAnsi" w:eastAsiaTheme="minorHAnsi" w:hAnsiTheme="minorHAnsi" w:cstheme="minorHAnsi"/>
          <w:sz w:val="22"/>
          <w:szCs w:val="22"/>
        </w:rPr>
        <w:t xml:space="preserve">til </w:t>
      </w:r>
      <w:r w:rsidRPr="0090529F">
        <w:rPr>
          <w:rFonts w:asciiTheme="minorHAnsi" w:eastAsiaTheme="minorHAnsi" w:hAnsiTheme="minorHAnsi" w:cstheme="minorHAnsi"/>
          <w:sz w:val="22"/>
          <w:szCs w:val="22"/>
        </w:rPr>
        <w:t>supplerende økonomiske forvaltningsprincipper med fokus på at optimer</w:t>
      </w:r>
      <w:r w:rsidR="006720BD" w:rsidRPr="0090529F">
        <w:rPr>
          <w:rFonts w:asciiTheme="minorHAnsi" w:eastAsiaTheme="minorHAnsi" w:hAnsiTheme="minorHAnsi" w:cstheme="minorHAnsi"/>
          <w:sz w:val="22"/>
          <w:szCs w:val="22"/>
        </w:rPr>
        <w:t xml:space="preserve">e </w:t>
      </w:r>
      <w:r w:rsidR="006D4118" w:rsidRPr="0090529F">
        <w:rPr>
          <w:rFonts w:asciiTheme="minorHAnsi" w:eastAsiaTheme="minorHAnsi" w:hAnsiTheme="minorHAnsi" w:cstheme="minorHAnsi"/>
          <w:sz w:val="22"/>
          <w:szCs w:val="22"/>
        </w:rPr>
        <w:t xml:space="preserve">den </w:t>
      </w:r>
      <w:r w:rsidRPr="0090529F">
        <w:rPr>
          <w:rFonts w:asciiTheme="minorHAnsi" w:eastAsiaTheme="minorHAnsi" w:hAnsiTheme="minorHAnsi" w:cstheme="minorHAnsi"/>
          <w:sz w:val="22"/>
          <w:szCs w:val="22"/>
        </w:rPr>
        <w:t>fremtidig</w:t>
      </w:r>
      <w:r w:rsidR="006D4118" w:rsidRPr="0090529F">
        <w:rPr>
          <w:rFonts w:asciiTheme="minorHAnsi" w:eastAsiaTheme="minorHAnsi" w:hAnsiTheme="minorHAnsi" w:cstheme="minorHAnsi"/>
          <w:sz w:val="22"/>
          <w:szCs w:val="22"/>
        </w:rPr>
        <w:t>e</w:t>
      </w:r>
      <w:r w:rsidR="006720BD" w:rsidRPr="0090529F">
        <w:rPr>
          <w:rFonts w:asciiTheme="minorHAnsi" w:eastAsiaTheme="minorHAnsi" w:hAnsiTheme="minorHAnsi" w:cstheme="minorHAnsi"/>
          <w:sz w:val="22"/>
          <w:szCs w:val="22"/>
        </w:rPr>
        <w:t xml:space="preserve"> </w:t>
      </w:r>
      <w:r w:rsidR="0010289F" w:rsidRPr="0090529F">
        <w:rPr>
          <w:rFonts w:asciiTheme="minorHAnsi" w:eastAsiaTheme="minorHAnsi" w:hAnsiTheme="minorHAnsi" w:cstheme="minorHAnsi"/>
          <w:sz w:val="22"/>
          <w:szCs w:val="22"/>
        </w:rPr>
        <w:t xml:space="preserve">beskatning af ressourcerenten </w:t>
      </w:r>
      <w:r w:rsidRPr="0090529F">
        <w:rPr>
          <w:rFonts w:asciiTheme="minorHAnsi" w:eastAsiaTheme="minorHAnsi" w:hAnsiTheme="minorHAnsi" w:cstheme="minorHAnsi"/>
          <w:sz w:val="22"/>
          <w:szCs w:val="22"/>
        </w:rPr>
        <w:t>i fiskeriet som led i en sammenhængende overordnet politik</w:t>
      </w:r>
    </w:p>
    <w:p w14:paraId="538A891F" w14:textId="77777777" w:rsidR="004F7E23" w:rsidRDefault="003C32A1" w:rsidP="00263C02">
      <w:pPr>
        <w:spacing w:after="120" w:line="240" w:lineRule="auto"/>
        <w:rPr>
          <w:rFonts w:cstheme="minorHAnsi"/>
        </w:rPr>
      </w:pPr>
      <w:r w:rsidRPr="0090529F">
        <w:rPr>
          <w:rFonts w:cstheme="minorHAnsi"/>
        </w:rPr>
        <w:t xml:space="preserve">Følgende </w:t>
      </w:r>
      <w:r w:rsidR="006D4118" w:rsidRPr="0090529F">
        <w:rPr>
          <w:rFonts w:cstheme="minorHAnsi"/>
        </w:rPr>
        <w:t xml:space="preserve">principper </w:t>
      </w:r>
      <w:r w:rsidRPr="0090529F">
        <w:rPr>
          <w:rFonts w:cstheme="minorHAnsi"/>
        </w:rPr>
        <w:t xml:space="preserve">for den fremtidige </w:t>
      </w:r>
      <w:r w:rsidR="006D4118" w:rsidRPr="0090529F">
        <w:rPr>
          <w:rFonts w:cstheme="minorHAnsi"/>
        </w:rPr>
        <w:t>ressource</w:t>
      </w:r>
      <w:r w:rsidRPr="0090529F">
        <w:rPr>
          <w:rFonts w:cstheme="minorHAnsi"/>
        </w:rPr>
        <w:t>forvaltning</w:t>
      </w:r>
      <w:r w:rsidR="006D4118" w:rsidRPr="0090529F">
        <w:rPr>
          <w:rFonts w:cstheme="minorHAnsi"/>
        </w:rPr>
        <w:t xml:space="preserve"> med afsæt i </w:t>
      </w:r>
      <w:r w:rsidR="004F7E23">
        <w:rPr>
          <w:rFonts w:cstheme="minorHAnsi"/>
        </w:rPr>
        <w:t xml:space="preserve">ovenstående </w:t>
      </w:r>
      <w:r w:rsidR="00C57302">
        <w:rPr>
          <w:rFonts w:cstheme="minorHAnsi"/>
        </w:rPr>
        <w:t xml:space="preserve">giver et </w:t>
      </w:r>
      <w:r w:rsidR="00884787" w:rsidRPr="0090529F">
        <w:rPr>
          <w:rFonts w:cstheme="minorHAnsi"/>
        </w:rPr>
        <w:t xml:space="preserve">udgangspunkt for </w:t>
      </w:r>
      <w:r w:rsidR="00C57302">
        <w:rPr>
          <w:rFonts w:cstheme="minorHAnsi"/>
        </w:rPr>
        <w:t>vurderingerne:</w:t>
      </w:r>
      <w:bookmarkStart w:id="3" w:name="_Toc48145657"/>
      <w:r w:rsidR="00263C02">
        <w:rPr>
          <w:rFonts w:cstheme="minorHAnsi"/>
        </w:rPr>
        <w:t xml:space="preserve"> </w:t>
      </w:r>
    </w:p>
    <w:p w14:paraId="25DD7F1A" w14:textId="2FB17CFF" w:rsidR="0043412C" w:rsidRPr="001145C6" w:rsidRDefault="003D5194" w:rsidP="001145C6">
      <w:pPr>
        <w:pStyle w:val="Listeafsnit"/>
        <w:numPr>
          <w:ilvl w:val="0"/>
          <w:numId w:val="7"/>
        </w:numPr>
        <w:spacing w:after="120" w:line="240" w:lineRule="auto"/>
        <w:rPr>
          <w:rFonts w:cstheme="minorHAnsi"/>
        </w:rPr>
      </w:pPr>
      <w:r w:rsidRPr="001145C6">
        <w:rPr>
          <w:rFonts w:cstheme="minorHAnsi"/>
        </w:rPr>
        <w:t>Ressourceafgifter bør fastsættes med det formål at aflaste andre skatter og afgifter, men således at det fortsat er driftsøkonomisk attraktivt at udnytte kvoterne og at investere i fiskeriet, så de forskellige fiskerier er effektive</w:t>
      </w:r>
      <w:r w:rsidR="0090529F" w:rsidRPr="001145C6">
        <w:rPr>
          <w:rFonts w:cstheme="minorHAnsi"/>
        </w:rPr>
        <w:t>.</w:t>
      </w:r>
    </w:p>
    <w:p w14:paraId="377D8E08" w14:textId="13EFA0D9" w:rsidR="003D5194" w:rsidRPr="0090529F" w:rsidRDefault="00CD4E74" w:rsidP="000F5E23">
      <w:pPr>
        <w:pStyle w:val="Listeafsnit"/>
        <w:numPr>
          <w:ilvl w:val="0"/>
          <w:numId w:val="7"/>
        </w:numPr>
        <w:spacing w:line="240" w:lineRule="auto"/>
        <w:rPr>
          <w:rFonts w:cstheme="minorHAnsi"/>
        </w:rPr>
      </w:pPr>
      <w:r w:rsidRPr="0090529F">
        <w:rPr>
          <w:rFonts w:cstheme="minorHAnsi"/>
        </w:rPr>
        <w:t>Ressourceafgifterne inden for</w:t>
      </w:r>
      <w:r w:rsidR="003D5194" w:rsidRPr="0090529F">
        <w:rPr>
          <w:rFonts w:cstheme="minorHAnsi"/>
        </w:rPr>
        <w:t xml:space="preserve"> de forskellige fiskerier skal</w:t>
      </w:r>
      <w:r w:rsidRPr="0090529F">
        <w:rPr>
          <w:rFonts w:cstheme="minorHAnsi"/>
        </w:rPr>
        <w:t xml:space="preserve"> </w:t>
      </w:r>
      <w:r w:rsidR="003D5194" w:rsidRPr="0090529F">
        <w:rPr>
          <w:rFonts w:cstheme="minorHAnsi"/>
        </w:rPr>
        <w:t xml:space="preserve">fastsættes, således at de afspejler ressourcerenten inden for de </w:t>
      </w:r>
      <w:r w:rsidRPr="0090529F">
        <w:rPr>
          <w:rFonts w:cstheme="minorHAnsi"/>
        </w:rPr>
        <w:t>enkelte fiskerier</w:t>
      </w:r>
      <w:r w:rsidR="0090529F">
        <w:rPr>
          <w:rFonts w:cstheme="minorHAnsi"/>
        </w:rPr>
        <w:t>.</w:t>
      </w:r>
    </w:p>
    <w:p w14:paraId="603D8899" w14:textId="52CBFCFD" w:rsidR="00CD4E74" w:rsidRPr="0090529F" w:rsidRDefault="00CD4E74" w:rsidP="000F5E23">
      <w:pPr>
        <w:pStyle w:val="Listeafsnit"/>
        <w:numPr>
          <w:ilvl w:val="0"/>
          <w:numId w:val="7"/>
        </w:numPr>
        <w:spacing w:line="240" w:lineRule="auto"/>
        <w:rPr>
          <w:rFonts w:cstheme="minorHAnsi"/>
        </w:rPr>
      </w:pPr>
      <w:r w:rsidRPr="0090529F">
        <w:rPr>
          <w:rFonts w:cstheme="minorHAnsi"/>
        </w:rPr>
        <w:t>Over tid skal ressourceafgifterne justeres i forhold til ressourcerenten</w:t>
      </w:r>
      <w:r w:rsidR="0090529F">
        <w:rPr>
          <w:rFonts w:cstheme="minorHAnsi"/>
        </w:rPr>
        <w:t>.</w:t>
      </w:r>
    </w:p>
    <w:p w14:paraId="75678A09" w14:textId="029D17D7" w:rsidR="00CD4E74" w:rsidRDefault="00CD4E74" w:rsidP="000F5E23">
      <w:pPr>
        <w:pStyle w:val="Listeafsnit"/>
        <w:numPr>
          <w:ilvl w:val="0"/>
          <w:numId w:val="7"/>
        </w:numPr>
        <w:spacing w:line="240" w:lineRule="auto"/>
        <w:rPr>
          <w:rFonts w:cstheme="minorHAnsi"/>
        </w:rPr>
      </w:pPr>
      <w:r w:rsidRPr="0090529F">
        <w:rPr>
          <w:rFonts w:cstheme="minorHAnsi"/>
        </w:rPr>
        <w:t>Ressourceafgifterne skal være med til at fremme en samfundsmæssig ønskelig strukturti</w:t>
      </w:r>
      <w:r w:rsidR="0090529F">
        <w:rPr>
          <w:rFonts w:cstheme="minorHAnsi"/>
        </w:rPr>
        <w:t>l</w:t>
      </w:r>
      <w:r w:rsidRPr="0090529F">
        <w:rPr>
          <w:rFonts w:cstheme="minorHAnsi"/>
        </w:rPr>
        <w:t>pasning</w:t>
      </w:r>
      <w:r w:rsidR="0090529F">
        <w:rPr>
          <w:rFonts w:cstheme="minorHAnsi"/>
        </w:rPr>
        <w:t>.</w:t>
      </w:r>
    </w:p>
    <w:p w14:paraId="46911A0E" w14:textId="40C3F114" w:rsidR="000F5E23" w:rsidRDefault="00C57302" w:rsidP="00EA4466">
      <w:pPr>
        <w:spacing w:line="240" w:lineRule="auto"/>
        <w:rPr>
          <w:rFonts w:cstheme="minorHAnsi"/>
        </w:rPr>
      </w:pPr>
      <w:r>
        <w:rPr>
          <w:rFonts w:cstheme="minorHAnsi"/>
        </w:rPr>
        <w:t>I det følgende uddybes disse.</w:t>
      </w:r>
      <w:bookmarkEnd w:id="3"/>
    </w:p>
    <w:p w14:paraId="5193909E" w14:textId="29FCE071" w:rsidR="000F5E23" w:rsidRPr="008454B1" w:rsidRDefault="000F5E23" w:rsidP="000F5E23">
      <w:pPr>
        <w:spacing w:after="120"/>
        <w:contextualSpacing/>
        <w:rPr>
          <w:b/>
          <w:sz w:val="24"/>
          <w:szCs w:val="24"/>
        </w:rPr>
      </w:pPr>
      <w:r w:rsidRPr="008454B1">
        <w:rPr>
          <w:b/>
          <w:sz w:val="24"/>
          <w:szCs w:val="24"/>
        </w:rPr>
        <w:t>Forvaltningsprincipper</w:t>
      </w:r>
      <w:r>
        <w:rPr>
          <w:b/>
          <w:sz w:val="24"/>
          <w:szCs w:val="24"/>
        </w:rPr>
        <w:t xml:space="preserve"> I</w:t>
      </w:r>
    </w:p>
    <w:p w14:paraId="251FD07F" w14:textId="77777777" w:rsidR="000F5E23" w:rsidRPr="008454B1" w:rsidRDefault="000F5E23" w:rsidP="000F5E23">
      <w:pPr>
        <w:spacing w:after="120"/>
        <w:contextualSpacing/>
        <w:rPr>
          <w:sz w:val="24"/>
          <w:szCs w:val="24"/>
        </w:rPr>
      </w:pPr>
      <w:r w:rsidRPr="008454B1">
        <w:rPr>
          <w:b/>
          <w:bCs/>
          <w:i/>
          <w:iCs/>
          <w:sz w:val="24"/>
          <w:szCs w:val="24"/>
        </w:rPr>
        <w:t>Fokus på at optimere den fremtidige beskatning af ressourcerenten i fiskeriet som led i en sammenhængende overordnet politik</w:t>
      </w:r>
    </w:p>
    <w:p w14:paraId="508E5C78" w14:textId="77777777" w:rsidR="000F5E23" w:rsidRPr="008454B1" w:rsidRDefault="000F5E23" w:rsidP="000F5E23">
      <w:pPr>
        <w:numPr>
          <w:ilvl w:val="0"/>
          <w:numId w:val="10"/>
        </w:numPr>
        <w:spacing w:after="120"/>
        <w:contextualSpacing/>
        <w:rPr>
          <w:sz w:val="24"/>
          <w:szCs w:val="24"/>
        </w:rPr>
      </w:pPr>
      <w:r w:rsidRPr="008454B1">
        <w:rPr>
          <w:sz w:val="24"/>
          <w:szCs w:val="24"/>
        </w:rPr>
        <w:lastRenderedPageBreak/>
        <w:t>Ressourceafgifter bør fastsættes med det formål at aflaste andre skatter og afgifter, men således</w:t>
      </w:r>
      <w:r>
        <w:rPr>
          <w:sz w:val="24"/>
          <w:szCs w:val="24"/>
        </w:rPr>
        <w:t>,</w:t>
      </w:r>
      <w:r w:rsidRPr="008454B1">
        <w:rPr>
          <w:sz w:val="24"/>
          <w:szCs w:val="24"/>
        </w:rPr>
        <w:t xml:space="preserve"> at det fortsat er driftsøkonomisk attraktivt at udnytte kvoterne og at investere i fiskeriet, så de forskellige fiskerier er effektive.</w:t>
      </w:r>
    </w:p>
    <w:p w14:paraId="007E5A9D" w14:textId="77777777" w:rsidR="000F5E23" w:rsidRPr="008454B1" w:rsidRDefault="000F5E23" w:rsidP="000F5E23">
      <w:pPr>
        <w:numPr>
          <w:ilvl w:val="0"/>
          <w:numId w:val="10"/>
        </w:numPr>
        <w:spacing w:after="120"/>
        <w:contextualSpacing/>
        <w:rPr>
          <w:sz w:val="24"/>
          <w:szCs w:val="24"/>
        </w:rPr>
      </w:pPr>
      <w:r w:rsidRPr="008454B1">
        <w:rPr>
          <w:sz w:val="24"/>
          <w:szCs w:val="24"/>
        </w:rPr>
        <w:t>Ressourceafgifterne inden for de forskellige fiskerier skal fastsættes, således at de afspejler ressourcerenten inden for de enkelte fiskerier.</w:t>
      </w:r>
    </w:p>
    <w:p w14:paraId="0A66E58C" w14:textId="77777777" w:rsidR="000F5E23" w:rsidRPr="008454B1" w:rsidRDefault="000F5E23" w:rsidP="000F5E23">
      <w:pPr>
        <w:numPr>
          <w:ilvl w:val="0"/>
          <w:numId w:val="10"/>
        </w:numPr>
        <w:spacing w:after="120"/>
        <w:contextualSpacing/>
        <w:rPr>
          <w:sz w:val="24"/>
          <w:szCs w:val="24"/>
        </w:rPr>
      </w:pPr>
      <w:r w:rsidRPr="008454B1">
        <w:rPr>
          <w:sz w:val="24"/>
          <w:szCs w:val="24"/>
        </w:rPr>
        <w:t>Over tid skal ressourceafgifterne justeres i forhold til ressourcerenten.</w:t>
      </w:r>
    </w:p>
    <w:p w14:paraId="2880DB4B" w14:textId="77777777" w:rsidR="000F5E23" w:rsidRDefault="000F5E23" w:rsidP="000F5E23">
      <w:pPr>
        <w:numPr>
          <w:ilvl w:val="0"/>
          <w:numId w:val="10"/>
        </w:numPr>
        <w:spacing w:after="120"/>
        <w:contextualSpacing/>
        <w:rPr>
          <w:sz w:val="24"/>
          <w:szCs w:val="24"/>
        </w:rPr>
      </w:pPr>
      <w:r w:rsidRPr="008454B1">
        <w:rPr>
          <w:sz w:val="24"/>
          <w:szCs w:val="24"/>
        </w:rPr>
        <w:t>Ressourceafgifterne skal være med til at fremme en samfundsmæssig ønskelig strukturtilpasning.</w:t>
      </w:r>
    </w:p>
    <w:p w14:paraId="72698A65" w14:textId="77777777" w:rsidR="000F5E23" w:rsidRDefault="000F5E23" w:rsidP="000F5E23">
      <w:pPr>
        <w:spacing w:after="120"/>
        <w:contextualSpacing/>
        <w:rPr>
          <w:sz w:val="24"/>
          <w:szCs w:val="24"/>
        </w:rPr>
      </w:pPr>
    </w:p>
    <w:p w14:paraId="55EF4B73" w14:textId="653B0AD7" w:rsidR="000F5E23" w:rsidRDefault="000F5E23" w:rsidP="000F5E23">
      <w:pPr>
        <w:spacing w:after="120"/>
        <w:contextualSpacing/>
        <w:rPr>
          <w:b/>
          <w:sz w:val="24"/>
          <w:szCs w:val="24"/>
        </w:rPr>
      </w:pPr>
      <w:r>
        <w:rPr>
          <w:b/>
          <w:sz w:val="24"/>
          <w:szCs w:val="24"/>
        </w:rPr>
        <w:t>Forvaltningsprincipper II</w:t>
      </w:r>
    </w:p>
    <w:p w14:paraId="582E5BA9" w14:textId="77777777" w:rsidR="000F5E23" w:rsidRPr="008454B1" w:rsidRDefault="000F5E23" w:rsidP="000F5E23">
      <w:pPr>
        <w:spacing w:after="120"/>
        <w:contextualSpacing/>
        <w:rPr>
          <w:sz w:val="24"/>
          <w:szCs w:val="24"/>
        </w:rPr>
      </w:pPr>
      <w:r w:rsidRPr="008454B1">
        <w:rPr>
          <w:sz w:val="24"/>
          <w:szCs w:val="24"/>
        </w:rPr>
        <w:t>Forslagene til de fire foreslåede principper for den fremtidige ressourceforvaltning leder naturligt frem til følgende spørgsmål:</w:t>
      </w:r>
    </w:p>
    <w:p w14:paraId="057F36EB" w14:textId="77777777" w:rsidR="000F5E23" w:rsidRPr="008454B1" w:rsidRDefault="000F5E23" w:rsidP="000F5E23">
      <w:pPr>
        <w:numPr>
          <w:ilvl w:val="0"/>
          <w:numId w:val="11"/>
        </w:numPr>
        <w:spacing w:after="120"/>
        <w:contextualSpacing/>
        <w:rPr>
          <w:sz w:val="24"/>
          <w:szCs w:val="24"/>
        </w:rPr>
      </w:pPr>
      <w:r w:rsidRPr="008454B1">
        <w:rPr>
          <w:sz w:val="24"/>
          <w:szCs w:val="24"/>
        </w:rPr>
        <w:t xml:space="preserve">Lever det nuværende afgiftssystem op til principperne? </w:t>
      </w:r>
    </w:p>
    <w:p w14:paraId="7C6A84A6" w14:textId="77777777" w:rsidR="000F5E23" w:rsidRPr="008454B1" w:rsidRDefault="000F5E23" w:rsidP="000F5E23">
      <w:pPr>
        <w:numPr>
          <w:ilvl w:val="0"/>
          <w:numId w:val="11"/>
        </w:numPr>
        <w:spacing w:after="120"/>
        <w:contextualSpacing/>
        <w:rPr>
          <w:sz w:val="24"/>
          <w:szCs w:val="24"/>
        </w:rPr>
      </w:pPr>
      <w:r w:rsidRPr="008454B1">
        <w:rPr>
          <w:sz w:val="24"/>
          <w:szCs w:val="24"/>
        </w:rPr>
        <w:t>Hvis det ikke er tilfældet, hvad der bør/kan gøres for at ændre dette?</w:t>
      </w:r>
    </w:p>
    <w:p w14:paraId="1D6FC5C0" w14:textId="77777777" w:rsidR="000F5E23" w:rsidRPr="008454B1" w:rsidRDefault="000F5E23" w:rsidP="000F5E23">
      <w:pPr>
        <w:numPr>
          <w:ilvl w:val="0"/>
          <w:numId w:val="11"/>
        </w:numPr>
        <w:spacing w:after="120"/>
        <w:contextualSpacing/>
        <w:rPr>
          <w:sz w:val="24"/>
          <w:szCs w:val="24"/>
        </w:rPr>
      </w:pPr>
      <w:r w:rsidRPr="008454B1">
        <w:rPr>
          <w:sz w:val="24"/>
          <w:szCs w:val="24"/>
        </w:rPr>
        <w:t>Kan kommissionen i givet fald byde ind med anbefalinger til konkrete afgiftstilpasninger?</w:t>
      </w:r>
    </w:p>
    <w:p w14:paraId="64020A86" w14:textId="77777777" w:rsidR="000F5E23" w:rsidRDefault="000F5E23" w:rsidP="000F5E23">
      <w:pPr>
        <w:spacing w:after="120"/>
        <w:contextualSpacing/>
        <w:rPr>
          <w:sz w:val="24"/>
          <w:szCs w:val="24"/>
        </w:rPr>
      </w:pPr>
    </w:p>
    <w:p w14:paraId="3D5AA43A" w14:textId="77777777" w:rsidR="000F5E23" w:rsidRDefault="000F5E23" w:rsidP="000F5E23">
      <w:pPr>
        <w:spacing w:after="120"/>
        <w:contextualSpacing/>
        <w:rPr>
          <w:sz w:val="24"/>
          <w:szCs w:val="24"/>
        </w:rPr>
      </w:pPr>
    </w:p>
    <w:p w14:paraId="595B0DF9" w14:textId="77777777" w:rsidR="000F5E23" w:rsidRDefault="000F5E23" w:rsidP="000F5E23">
      <w:pPr>
        <w:spacing w:after="120"/>
        <w:contextualSpacing/>
        <w:rPr>
          <w:sz w:val="24"/>
          <w:szCs w:val="24"/>
        </w:rPr>
      </w:pPr>
      <w:r>
        <w:rPr>
          <w:sz w:val="24"/>
          <w:szCs w:val="24"/>
        </w:rPr>
        <w:t>I det følgende kommenteres der på de enkelte punkter, herunder gives foreløbige svar og forslag.</w:t>
      </w:r>
    </w:p>
    <w:p w14:paraId="1533FF8C" w14:textId="77777777" w:rsidR="000F5E23" w:rsidRDefault="000F5E23" w:rsidP="000F5E23">
      <w:pPr>
        <w:spacing w:after="120"/>
        <w:contextualSpacing/>
        <w:rPr>
          <w:sz w:val="24"/>
          <w:szCs w:val="24"/>
        </w:rPr>
      </w:pPr>
    </w:p>
    <w:p w14:paraId="06DF5B87" w14:textId="77777777" w:rsidR="000F5E23" w:rsidRPr="00EB02D2" w:rsidRDefault="000F5E23" w:rsidP="000F5E23">
      <w:pPr>
        <w:numPr>
          <w:ilvl w:val="0"/>
          <w:numId w:val="12"/>
        </w:numPr>
        <w:spacing w:after="120"/>
        <w:contextualSpacing/>
        <w:rPr>
          <w:i/>
          <w:sz w:val="24"/>
          <w:szCs w:val="24"/>
        </w:rPr>
      </w:pPr>
      <w:r w:rsidRPr="00EB02D2">
        <w:rPr>
          <w:i/>
          <w:sz w:val="24"/>
          <w:szCs w:val="24"/>
        </w:rPr>
        <w:t>Ressourceafgifter bør fastsættes med det formål at aflaste andre skatter og afgifter, men således, at det fortsat er driftsøkonomisk attraktivt at udnytte kvoterne</w:t>
      </w:r>
    </w:p>
    <w:p w14:paraId="41C71053" w14:textId="77777777" w:rsidR="000F5E23" w:rsidRPr="00EB02D2" w:rsidRDefault="000F5E23" w:rsidP="000F5E23">
      <w:pPr>
        <w:spacing w:after="120"/>
        <w:ind w:left="720"/>
        <w:contextualSpacing/>
        <w:rPr>
          <w:i/>
          <w:sz w:val="24"/>
          <w:szCs w:val="24"/>
        </w:rPr>
      </w:pPr>
      <w:r w:rsidRPr="00EB02D2">
        <w:rPr>
          <w:i/>
          <w:sz w:val="24"/>
          <w:szCs w:val="24"/>
        </w:rPr>
        <w:t>og at investere i fiskeriet, så de forskellige fiskerier er effektive.</w:t>
      </w:r>
    </w:p>
    <w:p w14:paraId="0CCA2888" w14:textId="77777777" w:rsidR="000F5E23" w:rsidRDefault="000F5E23" w:rsidP="000F5E23">
      <w:pPr>
        <w:spacing w:after="120"/>
        <w:contextualSpacing/>
        <w:rPr>
          <w:sz w:val="24"/>
          <w:szCs w:val="24"/>
        </w:rPr>
      </w:pPr>
    </w:p>
    <w:p w14:paraId="42819DDB" w14:textId="251BD85D" w:rsidR="000F5E23" w:rsidRDefault="00C57302" w:rsidP="000F5E23">
      <w:pPr>
        <w:spacing w:after="120"/>
        <w:contextualSpacing/>
        <w:rPr>
          <w:sz w:val="24"/>
          <w:szCs w:val="24"/>
        </w:rPr>
      </w:pPr>
      <w:r>
        <w:rPr>
          <w:sz w:val="24"/>
          <w:szCs w:val="24"/>
        </w:rPr>
        <w:t>D</w:t>
      </w:r>
      <w:r w:rsidR="000F5E23">
        <w:rPr>
          <w:sz w:val="24"/>
          <w:szCs w:val="24"/>
        </w:rPr>
        <w:t xml:space="preserve">et </w:t>
      </w:r>
      <w:r>
        <w:rPr>
          <w:sz w:val="24"/>
          <w:szCs w:val="24"/>
        </w:rPr>
        <w:t xml:space="preserve">er </w:t>
      </w:r>
      <w:r w:rsidR="000F5E23">
        <w:rPr>
          <w:sz w:val="24"/>
          <w:szCs w:val="24"/>
        </w:rPr>
        <w:t>af stor betydning at bruge ressourceafgifter til at aflaste andre skatter, være med til at bidrage til udviklingen af velfærden, og samtidigt på den måde være med til at fordele afkastet til en bred kreds i samfundet.</w:t>
      </w:r>
    </w:p>
    <w:p w14:paraId="0191BA19" w14:textId="77777777" w:rsidR="000F5E23" w:rsidRDefault="000F5E23" w:rsidP="000F5E23">
      <w:pPr>
        <w:spacing w:after="120"/>
        <w:contextualSpacing/>
        <w:rPr>
          <w:sz w:val="24"/>
          <w:szCs w:val="24"/>
        </w:rPr>
      </w:pPr>
    </w:p>
    <w:p w14:paraId="4E9CF4E6" w14:textId="4171056F" w:rsidR="000F5E23" w:rsidRDefault="00C57302" w:rsidP="000F5E23">
      <w:pPr>
        <w:spacing w:after="120"/>
        <w:contextualSpacing/>
        <w:rPr>
          <w:sz w:val="24"/>
          <w:szCs w:val="24"/>
        </w:rPr>
      </w:pPr>
      <w:r>
        <w:rPr>
          <w:sz w:val="24"/>
          <w:szCs w:val="24"/>
        </w:rPr>
        <w:t xml:space="preserve">Samtidigt er det vigtigt at </w:t>
      </w:r>
      <w:r w:rsidR="000F5E23">
        <w:rPr>
          <w:sz w:val="24"/>
          <w:szCs w:val="24"/>
        </w:rPr>
        <w:t>være opmærksom på stabiliteten i skatteprovenuet fra ressourceafgifter, og at meget svingende ressourceafgifter kan være vanskeligt at håndtere i de årlige offentlige indtægter og i fastlæggelsen af offentlige udgifter. Disse forhold er vigtige, og det kan derfor overvejes, at et års ekstraordinære store ressourceafgifter optræder som en reserve i den offentlige budgetlægning.</w:t>
      </w:r>
    </w:p>
    <w:p w14:paraId="766BEEA6" w14:textId="77777777" w:rsidR="000F5E23" w:rsidRDefault="000F5E23" w:rsidP="000F5E23">
      <w:pPr>
        <w:spacing w:after="120"/>
        <w:contextualSpacing/>
        <w:rPr>
          <w:sz w:val="24"/>
          <w:szCs w:val="24"/>
        </w:rPr>
      </w:pPr>
    </w:p>
    <w:p w14:paraId="25AF4C78" w14:textId="4DF17299" w:rsidR="000F5E23" w:rsidRDefault="000F5E23" w:rsidP="000F5E23">
      <w:pPr>
        <w:spacing w:after="120"/>
        <w:contextualSpacing/>
        <w:rPr>
          <w:sz w:val="24"/>
          <w:szCs w:val="24"/>
        </w:rPr>
      </w:pPr>
      <w:r w:rsidRPr="006A73C6">
        <w:rPr>
          <w:b/>
          <w:sz w:val="24"/>
          <w:szCs w:val="24"/>
        </w:rPr>
        <w:t>Formandskabet anbefal</w:t>
      </w:r>
      <w:r w:rsidRPr="00B51144">
        <w:rPr>
          <w:b/>
          <w:sz w:val="24"/>
          <w:szCs w:val="24"/>
        </w:rPr>
        <w:t>er</w:t>
      </w:r>
      <w:r w:rsidR="00C57302">
        <w:rPr>
          <w:sz w:val="24"/>
          <w:szCs w:val="24"/>
        </w:rPr>
        <w:t>,</w:t>
      </w:r>
      <w:r>
        <w:rPr>
          <w:sz w:val="24"/>
          <w:szCs w:val="24"/>
        </w:rPr>
        <w:t xml:space="preserve"> at der fastsættes ressourceafgifter med satser, der sikrer langsigtet stabilitet og en fair fordeling af ressourcerenten. </w:t>
      </w:r>
    </w:p>
    <w:p w14:paraId="51155C4D" w14:textId="77777777" w:rsidR="000F5E23" w:rsidRPr="008454B1" w:rsidRDefault="000F5E23" w:rsidP="000F5E23">
      <w:pPr>
        <w:spacing w:after="120"/>
        <w:contextualSpacing/>
        <w:rPr>
          <w:sz w:val="24"/>
          <w:szCs w:val="24"/>
        </w:rPr>
      </w:pPr>
    </w:p>
    <w:p w14:paraId="3B82E577" w14:textId="77777777" w:rsidR="000F5E23" w:rsidRPr="00EB02D2" w:rsidRDefault="000F5E23" w:rsidP="000F5E23">
      <w:pPr>
        <w:numPr>
          <w:ilvl w:val="0"/>
          <w:numId w:val="12"/>
        </w:numPr>
        <w:spacing w:after="120"/>
        <w:contextualSpacing/>
        <w:rPr>
          <w:i/>
          <w:sz w:val="24"/>
          <w:szCs w:val="24"/>
        </w:rPr>
      </w:pPr>
      <w:r w:rsidRPr="00EB02D2">
        <w:rPr>
          <w:i/>
          <w:sz w:val="24"/>
          <w:szCs w:val="24"/>
        </w:rPr>
        <w:t>Ressourceafgifterne inden for de forskellige fiskerier skal fastsættes, således at de afspejler ressourcerenten inden for de enkelte fiskerier.</w:t>
      </w:r>
    </w:p>
    <w:p w14:paraId="27A9EADC" w14:textId="77777777" w:rsidR="000F5E23" w:rsidRDefault="000F5E23" w:rsidP="000F5E23">
      <w:pPr>
        <w:spacing w:after="120"/>
        <w:contextualSpacing/>
        <w:rPr>
          <w:b/>
          <w:sz w:val="24"/>
          <w:szCs w:val="24"/>
        </w:rPr>
      </w:pPr>
    </w:p>
    <w:p w14:paraId="3CA3D197" w14:textId="77777777" w:rsidR="000F5E23" w:rsidRDefault="000F5E23" w:rsidP="000F5E23">
      <w:pPr>
        <w:spacing w:after="120"/>
        <w:contextualSpacing/>
        <w:rPr>
          <w:sz w:val="24"/>
          <w:szCs w:val="24"/>
        </w:rPr>
      </w:pPr>
      <w:r w:rsidRPr="006A73C6">
        <w:rPr>
          <w:b/>
          <w:sz w:val="24"/>
          <w:szCs w:val="24"/>
        </w:rPr>
        <w:t>Formandskabet anbefaler</w:t>
      </w:r>
      <w:r>
        <w:rPr>
          <w:sz w:val="24"/>
          <w:szCs w:val="24"/>
        </w:rPr>
        <w:t xml:space="preserve">, at for at sikre, at dette princip overholdes: </w:t>
      </w:r>
    </w:p>
    <w:p w14:paraId="73AC5542" w14:textId="77777777" w:rsidR="000F5E23" w:rsidRDefault="000F5E23" w:rsidP="000F5E23">
      <w:pPr>
        <w:pStyle w:val="Listeafsnit"/>
        <w:numPr>
          <w:ilvl w:val="0"/>
          <w:numId w:val="13"/>
        </w:numPr>
        <w:spacing w:after="120"/>
        <w:rPr>
          <w:sz w:val="24"/>
          <w:szCs w:val="24"/>
        </w:rPr>
      </w:pPr>
      <w:r>
        <w:rPr>
          <w:sz w:val="24"/>
          <w:szCs w:val="24"/>
        </w:rPr>
        <w:t xml:space="preserve">At </w:t>
      </w:r>
      <w:r w:rsidRPr="00824774">
        <w:rPr>
          <w:sz w:val="24"/>
          <w:szCs w:val="24"/>
        </w:rPr>
        <w:t>der med faste mellemrum gennemføres økonomiske analyser for at opnå et gennemsigtigt billede af niveauet for ressourcerenten i de forskellige fiskerier</w:t>
      </w:r>
      <w:r>
        <w:rPr>
          <w:sz w:val="24"/>
          <w:szCs w:val="24"/>
        </w:rPr>
        <w:t>.</w:t>
      </w:r>
      <w:r w:rsidRPr="00824774">
        <w:rPr>
          <w:sz w:val="24"/>
          <w:szCs w:val="24"/>
        </w:rPr>
        <w:t xml:space="preserve"> </w:t>
      </w:r>
    </w:p>
    <w:p w14:paraId="354FC927" w14:textId="77777777" w:rsidR="000F5E23" w:rsidRDefault="000F5E23" w:rsidP="000F5E23">
      <w:pPr>
        <w:pStyle w:val="Listeafsnit"/>
        <w:numPr>
          <w:ilvl w:val="0"/>
          <w:numId w:val="13"/>
        </w:numPr>
        <w:spacing w:after="120"/>
        <w:rPr>
          <w:sz w:val="24"/>
          <w:szCs w:val="24"/>
        </w:rPr>
      </w:pPr>
      <w:r>
        <w:rPr>
          <w:sz w:val="24"/>
          <w:szCs w:val="24"/>
        </w:rPr>
        <w:t xml:space="preserve">At </w:t>
      </w:r>
      <w:r w:rsidRPr="00824774">
        <w:rPr>
          <w:sz w:val="24"/>
          <w:szCs w:val="24"/>
        </w:rPr>
        <w:t>årsagerne til større forskelle mellem ressourcerenten i forskellige fiskeriet vurderes</w:t>
      </w:r>
      <w:r>
        <w:rPr>
          <w:sz w:val="24"/>
          <w:szCs w:val="24"/>
        </w:rPr>
        <w:t>.</w:t>
      </w:r>
      <w:r w:rsidRPr="00824774">
        <w:rPr>
          <w:sz w:val="24"/>
          <w:szCs w:val="24"/>
        </w:rPr>
        <w:t xml:space="preserve"> </w:t>
      </w:r>
    </w:p>
    <w:p w14:paraId="50E4A087" w14:textId="77777777" w:rsidR="000F5E23" w:rsidRPr="00824774" w:rsidRDefault="000F5E23" w:rsidP="000F5E23">
      <w:pPr>
        <w:pStyle w:val="Listeafsnit"/>
        <w:numPr>
          <w:ilvl w:val="0"/>
          <w:numId w:val="13"/>
        </w:numPr>
        <w:spacing w:after="120"/>
        <w:rPr>
          <w:sz w:val="24"/>
          <w:szCs w:val="24"/>
        </w:rPr>
      </w:pPr>
      <w:r>
        <w:rPr>
          <w:sz w:val="24"/>
          <w:szCs w:val="24"/>
        </w:rPr>
        <w:t>At</w:t>
      </w:r>
      <w:r w:rsidRPr="00824774">
        <w:rPr>
          <w:sz w:val="24"/>
          <w:szCs w:val="24"/>
        </w:rPr>
        <w:t xml:space="preserve"> vurdere, om afgifterne giver de rette fremadrettede incitamenter, så forskelle i ressourcerenten i de forskellige fiskerier primært skyldes ressourcens størrelse og afsætningsmuligheder samt særlige omkostningsforhold inden for de specifikke fiskerier.</w:t>
      </w:r>
    </w:p>
    <w:p w14:paraId="6DEF4032" w14:textId="77777777" w:rsidR="000F5E23" w:rsidRDefault="000F5E23" w:rsidP="000F5E23">
      <w:pPr>
        <w:spacing w:after="120"/>
        <w:contextualSpacing/>
        <w:rPr>
          <w:sz w:val="24"/>
          <w:szCs w:val="24"/>
        </w:rPr>
      </w:pPr>
    </w:p>
    <w:p w14:paraId="0E7EA040" w14:textId="77777777" w:rsidR="000F5E23" w:rsidRDefault="000F5E23" w:rsidP="000F5E23">
      <w:pPr>
        <w:spacing w:after="120"/>
        <w:contextualSpacing/>
        <w:rPr>
          <w:sz w:val="24"/>
          <w:szCs w:val="24"/>
        </w:rPr>
      </w:pPr>
      <w:r>
        <w:rPr>
          <w:b/>
          <w:sz w:val="24"/>
          <w:szCs w:val="24"/>
        </w:rPr>
        <w:t xml:space="preserve">Formandskabet anbefaler </w:t>
      </w:r>
      <w:r>
        <w:rPr>
          <w:sz w:val="24"/>
          <w:szCs w:val="24"/>
        </w:rPr>
        <w:t>desuden</w:t>
      </w:r>
      <w:r w:rsidRPr="00E12EC3">
        <w:rPr>
          <w:sz w:val="24"/>
          <w:szCs w:val="24"/>
        </w:rPr>
        <w:t>,</w:t>
      </w:r>
      <w:r>
        <w:rPr>
          <w:sz w:val="24"/>
          <w:szCs w:val="24"/>
        </w:rPr>
        <w:t xml:space="preserve"> at varige større forskelle mellem ressourcerenten i de forskellige fiskeriet, der ikke kan henføres til specifikke biologiske og tekniske forhold, ikke kun giver anledning til at ændre ressourceafgifterne, men også at vurdere, om der kan være behov for at ændre på reguleringerne. </w:t>
      </w:r>
    </w:p>
    <w:p w14:paraId="2AD661E3" w14:textId="77777777" w:rsidR="000F5E23" w:rsidRPr="008454B1" w:rsidRDefault="000F5E23" w:rsidP="000F5E23">
      <w:pPr>
        <w:spacing w:after="120"/>
        <w:contextualSpacing/>
        <w:rPr>
          <w:sz w:val="24"/>
          <w:szCs w:val="24"/>
        </w:rPr>
      </w:pPr>
    </w:p>
    <w:p w14:paraId="7D760280" w14:textId="77777777" w:rsidR="000F5E23" w:rsidRPr="00EB02D2" w:rsidRDefault="000F5E23" w:rsidP="000F5E23">
      <w:pPr>
        <w:numPr>
          <w:ilvl w:val="0"/>
          <w:numId w:val="12"/>
        </w:numPr>
        <w:spacing w:after="120"/>
        <w:contextualSpacing/>
        <w:rPr>
          <w:i/>
          <w:sz w:val="24"/>
          <w:szCs w:val="24"/>
        </w:rPr>
      </w:pPr>
      <w:r w:rsidRPr="00EB02D2">
        <w:rPr>
          <w:i/>
          <w:sz w:val="24"/>
          <w:szCs w:val="24"/>
        </w:rPr>
        <w:t>Over tid skal ressourceafgifterne justeres i forhold til ressourcerenten.</w:t>
      </w:r>
    </w:p>
    <w:p w14:paraId="334ADBD1" w14:textId="77777777" w:rsidR="000F5E23" w:rsidRDefault="000F5E23" w:rsidP="000F5E23">
      <w:pPr>
        <w:spacing w:after="120"/>
        <w:contextualSpacing/>
        <w:rPr>
          <w:sz w:val="24"/>
          <w:szCs w:val="24"/>
        </w:rPr>
      </w:pPr>
    </w:p>
    <w:p w14:paraId="59DFA961" w14:textId="77777777" w:rsidR="000F5E23" w:rsidRDefault="000F5E23" w:rsidP="000F5E23">
      <w:pPr>
        <w:spacing w:after="120"/>
        <w:contextualSpacing/>
        <w:rPr>
          <w:sz w:val="24"/>
          <w:szCs w:val="24"/>
        </w:rPr>
      </w:pPr>
      <w:r>
        <w:rPr>
          <w:sz w:val="24"/>
          <w:szCs w:val="24"/>
        </w:rPr>
        <w:t>Det er vigtigt løbende at følge udviklingen i ressourcerenten og årsagerne til forskelle inden for forskellige fiskerier for at kunne justere ressource afgifterne i takt med at biologiske, tekniske og økonomiske forhold ændres.</w:t>
      </w:r>
    </w:p>
    <w:p w14:paraId="7471E0E0" w14:textId="77777777" w:rsidR="000F5E23" w:rsidRDefault="000F5E23" w:rsidP="000F5E23">
      <w:pPr>
        <w:spacing w:after="120"/>
        <w:contextualSpacing/>
        <w:rPr>
          <w:sz w:val="24"/>
          <w:szCs w:val="24"/>
        </w:rPr>
      </w:pPr>
    </w:p>
    <w:p w14:paraId="4FCCEE21" w14:textId="77777777" w:rsidR="000F5E23" w:rsidRDefault="000F5E23" w:rsidP="000F5E23">
      <w:pPr>
        <w:spacing w:after="120"/>
        <w:contextualSpacing/>
        <w:rPr>
          <w:sz w:val="24"/>
          <w:szCs w:val="24"/>
        </w:rPr>
      </w:pPr>
      <w:r>
        <w:rPr>
          <w:b/>
          <w:sz w:val="24"/>
          <w:szCs w:val="24"/>
        </w:rPr>
        <w:t xml:space="preserve">Formandskabet </w:t>
      </w:r>
      <w:r w:rsidRPr="006A73C6">
        <w:rPr>
          <w:b/>
          <w:sz w:val="24"/>
          <w:szCs w:val="24"/>
        </w:rPr>
        <w:t>anbefale</w:t>
      </w:r>
      <w:r>
        <w:rPr>
          <w:b/>
          <w:sz w:val="24"/>
          <w:szCs w:val="24"/>
        </w:rPr>
        <w:t>r</w:t>
      </w:r>
      <w:r>
        <w:rPr>
          <w:sz w:val="24"/>
          <w:szCs w:val="24"/>
        </w:rPr>
        <w:t>, at lovgivningen indrettes, så ændringer i ressourceafgifterne kan tilpasses rammevilkårene.</w:t>
      </w:r>
    </w:p>
    <w:p w14:paraId="03D85277" w14:textId="77777777" w:rsidR="000F5E23" w:rsidRDefault="000F5E23" w:rsidP="000F5E23">
      <w:pPr>
        <w:spacing w:after="120"/>
        <w:contextualSpacing/>
        <w:rPr>
          <w:sz w:val="24"/>
          <w:szCs w:val="24"/>
        </w:rPr>
      </w:pPr>
    </w:p>
    <w:p w14:paraId="1CE056FB" w14:textId="77777777" w:rsidR="000F5E23" w:rsidRDefault="000F5E23" w:rsidP="000F5E23">
      <w:pPr>
        <w:spacing w:after="120"/>
        <w:contextualSpacing/>
        <w:rPr>
          <w:sz w:val="24"/>
          <w:szCs w:val="24"/>
        </w:rPr>
      </w:pPr>
      <w:r w:rsidRPr="006A73C6">
        <w:rPr>
          <w:b/>
          <w:sz w:val="24"/>
          <w:szCs w:val="24"/>
        </w:rPr>
        <w:t>Formandskabet anbefale</w:t>
      </w:r>
      <w:r>
        <w:rPr>
          <w:b/>
          <w:sz w:val="24"/>
          <w:szCs w:val="24"/>
        </w:rPr>
        <w:t xml:space="preserve">r </w:t>
      </w:r>
      <w:r>
        <w:rPr>
          <w:sz w:val="24"/>
          <w:szCs w:val="24"/>
        </w:rPr>
        <w:t>samtidigt, at principperne for at opgøre ressourceafgifterne følger internationale økonomiske principper for beregning af ressourcerenten og med det grundlag at vurdere ressourceafgifterne i de forskellige fiskerier. Med stadig bedre datagrundlag vil det være muligt at tilvejebringe gennemsigtige og troværdige analyser ved brug af internationale principper til beregning af ressourcerenten</w:t>
      </w:r>
    </w:p>
    <w:p w14:paraId="6575940D" w14:textId="77777777" w:rsidR="000F5E23" w:rsidRPr="008454B1" w:rsidRDefault="000F5E23" w:rsidP="000F5E23">
      <w:pPr>
        <w:spacing w:after="120"/>
        <w:contextualSpacing/>
        <w:rPr>
          <w:sz w:val="24"/>
          <w:szCs w:val="24"/>
        </w:rPr>
      </w:pPr>
    </w:p>
    <w:p w14:paraId="6ABDB1C1" w14:textId="77777777" w:rsidR="000F5E23" w:rsidRPr="00EB02D2" w:rsidRDefault="000F5E23" w:rsidP="000F5E23">
      <w:pPr>
        <w:numPr>
          <w:ilvl w:val="0"/>
          <w:numId w:val="12"/>
        </w:numPr>
        <w:spacing w:after="120"/>
        <w:contextualSpacing/>
        <w:rPr>
          <w:i/>
          <w:sz w:val="24"/>
          <w:szCs w:val="24"/>
        </w:rPr>
      </w:pPr>
      <w:r w:rsidRPr="00EB02D2">
        <w:rPr>
          <w:i/>
          <w:sz w:val="24"/>
          <w:szCs w:val="24"/>
        </w:rPr>
        <w:t>Ressourceafgifterne skal være med til at fremme en samfundsmæssig ønskelig strukturtilpasning.</w:t>
      </w:r>
    </w:p>
    <w:p w14:paraId="0A591CB2" w14:textId="77777777" w:rsidR="000F5E23" w:rsidRDefault="000F5E23" w:rsidP="000F5E23">
      <w:pPr>
        <w:spacing w:after="120"/>
        <w:contextualSpacing/>
        <w:rPr>
          <w:sz w:val="24"/>
          <w:szCs w:val="24"/>
        </w:rPr>
      </w:pPr>
    </w:p>
    <w:p w14:paraId="17AE9B81" w14:textId="77777777" w:rsidR="000F5E23" w:rsidRDefault="000F5E23" w:rsidP="000F5E23">
      <w:pPr>
        <w:spacing w:after="120"/>
        <w:contextualSpacing/>
        <w:rPr>
          <w:sz w:val="24"/>
          <w:szCs w:val="24"/>
        </w:rPr>
      </w:pPr>
      <w:r>
        <w:rPr>
          <w:sz w:val="24"/>
          <w:szCs w:val="24"/>
        </w:rPr>
        <w:t>Det gælder for tiden, at ressourceafgifterne er meget forskellige inden for forskellige dele af fiskeriet. Det kan være velbegrundet, f.eks. pga.  biologiske forhold og restriktionerne i en given licens, f.eks. indhandlingspligt. Det er imidlertid vigtigt for den langsigtede strukturudvikling, at afgifterne giver incitamenter til, under de givne betingelser, at der gennemføres tilpasninger, så de langsigtede mål med fiskeripolitikken er i fokus.</w:t>
      </w:r>
    </w:p>
    <w:p w14:paraId="2090583E" w14:textId="77777777" w:rsidR="000F5E23" w:rsidRDefault="000F5E23" w:rsidP="000F5E23">
      <w:pPr>
        <w:spacing w:after="120"/>
        <w:contextualSpacing/>
        <w:rPr>
          <w:b/>
          <w:sz w:val="24"/>
          <w:szCs w:val="24"/>
        </w:rPr>
      </w:pPr>
    </w:p>
    <w:p w14:paraId="5C95F4B9" w14:textId="77777777" w:rsidR="000F5E23" w:rsidRPr="00DA13E1" w:rsidRDefault="000F5E23" w:rsidP="000F5E23">
      <w:pPr>
        <w:spacing w:after="120"/>
        <w:contextualSpacing/>
        <w:rPr>
          <w:sz w:val="24"/>
          <w:szCs w:val="24"/>
        </w:rPr>
      </w:pPr>
      <w:r>
        <w:rPr>
          <w:b/>
          <w:sz w:val="24"/>
          <w:szCs w:val="24"/>
        </w:rPr>
        <w:t xml:space="preserve">Formanskabet anbefaler </w:t>
      </w:r>
      <w:r>
        <w:rPr>
          <w:sz w:val="24"/>
          <w:szCs w:val="24"/>
        </w:rPr>
        <w:t xml:space="preserve">i forlængelse af anbefalingerne under punkt 1-3, at ressourceafgifter bliver et instrument i fiskeripolitikken med hensyn til strukturtilpasningerne. </w:t>
      </w:r>
    </w:p>
    <w:p w14:paraId="7FDA51DE" w14:textId="77777777" w:rsidR="000F5E23" w:rsidRDefault="000F5E23" w:rsidP="000F5E23">
      <w:pPr>
        <w:spacing w:after="120"/>
        <w:contextualSpacing/>
        <w:rPr>
          <w:sz w:val="24"/>
          <w:szCs w:val="24"/>
        </w:rPr>
      </w:pPr>
    </w:p>
    <w:p w14:paraId="7583AABB" w14:textId="41C9615D" w:rsidR="000F5E23" w:rsidRDefault="00C57302" w:rsidP="000F5E23">
      <w:pPr>
        <w:spacing w:after="120"/>
        <w:contextualSpacing/>
        <w:rPr>
          <w:sz w:val="24"/>
          <w:szCs w:val="24"/>
        </w:rPr>
      </w:pPr>
      <w:r>
        <w:rPr>
          <w:sz w:val="24"/>
          <w:szCs w:val="24"/>
        </w:rPr>
        <w:t xml:space="preserve">Det er relevant at se nærmere på tre </w:t>
      </w:r>
      <w:r w:rsidR="000F5E23">
        <w:rPr>
          <w:sz w:val="24"/>
          <w:szCs w:val="24"/>
        </w:rPr>
        <w:t>spørgsmål</w:t>
      </w:r>
      <w:r>
        <w:rPr>
          <w:sz w:val="24"/>
          <w:szCs w:val="24"/>
        </w:rPr>
        <w:t>:</w:t>
      </w:r>
    </w:p>
    <w:p w14:paraId="5739B627" w14:textId="77777777" w:rsidR="000F5E23" w:rsidRDefault="000F5E23" w:rsidP="000F5E23">
      <w:pPr>
        <w:spacing w:after="120"/>
        <w:contextualSpacing/>
        <w:rPr>
          <w:sz w:val="24"/>
          <w:szCs w:val="24"/>
        </w:rPr>
      </w:pPr>
    </w:p>
    <w:p w14:paraId="5C0DD780" w14:textId="77777777" w:rsidR="000F5E23" w:rsidRPr="00EB02D2" w:rsidRDefault="000F5E23" w:rsidP="000F5E23">
      <w:pPr>
        <w:numPr>
          <w:ilvl w:val="0"/>
          <w:numId w:val="11"/>
        </w:numPr>
        <w:spacing w:after="120"/>
        <w:contextualSpacing/>
        <w:rPr>
          <w:i/>
          <w:sz w:val="24"/>
          <w:szCs w:val="24"/>
        </w:rPr>
      </w:pPr>
      <w:r w:rsidRPr="00EB02D2">
        <w:rPr>
          <w:i/>
          <w:sz w:val="24"/>
          <w:szCs w:val="24"/>
        </w:rPr>
        <w:t>Lever det nuværende afgiftssystem op til principperne?</w:t>
      </w:r>
    </w:p>
    <w:p w14:paraId="1A112178" w14:textId="77777777" w:rsidR="000F5E23" w:rsidRDefault="000F5E23" w:rsidP="000F5E23">
      <w:pPr>
        <w:spacing w:after="120"/>
        <w:contextualSpacing/>
        <w:rPr>
          <w:sz w:val="24"/>
          <w:szCs w:val="24"/>
        </w:rPr>
      </w:pPr>
    </w:p>
    <w:p w14:paraId="1E3DB583" w14:textId="65A910E3" w:rsidR="000F5E23" w:rsidRDefault="000F5E23" w:rsidP="000F5E23">
      <w:pPr>
        <w:spacing w:after="120"/>
        <w:contextualSpacing/>
        <w:rPr>
          <w:sz w:val="24"/>
          <w:szCs w:val="24"/>
        </w:rPr>
      </w:pPr>
      <w:r>
        <w:rPr>
          <w:sz w:val="24"/>
          <w:szCs w:val="24"/>
        </w:rPr>
        <w:t>Overordnet viser analyser, at der ikke er et samlet billede af, om det nuværende afgiftssystem lever op til principperne.</w:t>
      </w:r>
    </w:p>
    <w:p w14:paraId="40692FEB" w14:textId="21F9C815" w:rsidR="000F5E23" w:rsidRDefault="000F5E23" w:rsidP="000F5E23">
      <w:pPr>
        <w:spacing w:after="120"/>
        <w:contextualSpacing/>
        <w:rPr>
          <w:sz w:val="24"/>
          <w:szCs w:val="24"/>
        </w:rPr>
      </w:pPr>
      <w:r>
        <w:rPr>
          <w:sz w:val="24"/>
          <w:szCs w:val="24"/>
        </w:rPr>
        <w:t xml:space="preserve">I det udenskærs rejefiskeri er der en meget stor ressourcerente. Hvor stor, vides ikke med sikkerhed, men det kan konstateres, at afkastet til rederier og besætning er høj, og at også afgiftsprovenuet er højt. </w:t>
      </w:r>
      <w:r w:rsidR="00C57302">
        <w:rPr>
          <w:sz w:val="24"/>
          <w:szCs w:val="24"/>
        </w:rPr>
        <w:t>A</w:t>
      </w:r>
      <w:r>
        <w:rPr>
          <w:sz w:val="24"/>
          <w:szCs w:val="24"/>
        </w:rPr>
        <w:t xml:space="preserve">nalyserne viser, er der ikke overkapacitet, så en rimelig konklusion er, jf. også den fiskeripolitiske diamant, at det inden for det udenskærs rejefiskeri mere er spørgsmålet, om der er en ”fair” fordeling mellem dem, der er i fiskeriet og det øvrige samfund. Dette er ud </w:t>
      </w:r>
      <w:r>
        <w:rPr>
          <w:sz w:val="24"/>
          <w:szCs w:val="24"/>
        </w:rPr>
        <w:lastRenderedPageBreak/>
        <w:t>over at være et fordelingspolitisk spørgsmål også et spørgsmål om, hvor meget ressourceafgifterne skal aflaste andre skatter. Baseret på det foreliggende materiale er det vurderingen, at effektiviteten i fiskeriet ikke vil blive forringet med en højere ressourcebeskatning i rejefiskeriet.</w:t>
      </w:r>
    </w:p>
    <w:p w14:paraId="1E600F3C" w14:textId="77777777" w:rsidR="000F5E23" w:rsidRDefault="000F5E23" w:rsidP="000F5E23">
      <w:pPr>
        <w:spacing w:after="120"/>
        <w:contextualSpacing/>
        <w:rPr>
          <w:sz w:val="24"/>
          <w:szCs w:val="24"/>
        </w:rPr>
      </w:pPr>
    </w:p>
    <w:p w14:paraId="66352180" w14:textId="77777777" w:rsidR="000F5E23" w:rsidRDefault="000F5E23" w:rsidP="000F5E23">
      <w:pPr>
        <w:tabs>
          <w:tab w:val="num" w:pos="720"/>
        </w:tabs>
        <w:spacing w:after="120"/>
        <w:contextualSpacing/>
        <w:rPr>
          <w:sz w:val="24"/>
          <w:szCs w:val="24"/>
        </w:rPr>
      </w:pPr>
      <w:r>
        <w:rPr>
          <w:sz w:val="24"/>
          <w:szCs w:val="24"/>
        </w:rPr>
        <w:t>Der kan således både blive tale om rejeafgiftens niveau og trappestigens udformning. Desuden kan anvendelse af en ”basis-betaling” for at have en licens en mulighed, som ikke vil påvirke det marginale incitament til at udnytte kvoten, men være en grundbetaling for retten til at udnytte en samfundsejet ressource.</w:t>
      </w:r>
      <w:r w:rsidRPr="008454B1">
        <w:rPr>
          <w:sz w:val="24"/>
          <w:szCs w:val="24"/>
        </w:rPr>
        <w:t xml:space="preserve"> </w:t>
      </w:r>
    </w:p>
    <w:p w14:paraId="1F5307E4" w14:textId="77777777" w:rsidR="000F5E23" w:rsidRDefault="000F5E23" w:rsidP="000F5E23">
      <w:pPr>
        <w:tabs>
          <w:tab w:val="num" w:pos="720"/>
        </w:tabs>
        <w:spacing w:after="120"/>
        <w:contextualSpacing/>
        <w:rPr>
          <w:sz w:val="24"/>
          <w:szCs w:val="24"/>
        </w:rPr>
      </w:pPr>
    </w:p>
    <w:p w14:paraId="4F6267E1" w14:textId="77777777" w:rsidR="000F5E23" w:rsidRDefault="000F5E23" w:rsidP="000F5E23">
      <w:pPr>
        <w:tabs>
          <w:tab w:val="num" w:pos="720"/>
        </w:tabs>
        <w:spacing w:after="120"/>
        <w:contextualSpacing/>
        <w:rPr>
          <w:sz w:val="24"/>
          <w:szCs w:val="24"/>
        </w:rPr>
      </w:pPr>
      <w:r>
        <w:rPr>
          <w:sz w:val="24"/>
          <w:szCs w:val="24"/>
        </w:rPr>
        <w:t>I andre fiskerier er der typisk overkapacitet og en ikke tilpasset struktur.</w:t>
      </w:r>
    </w:p>
    <w:p w14:paraId="0D380978" w14:textId="77777777" w:rsidR="000F5E23" w:rsidRDefault="000F5E23" w:rsidP="000F5E23">
      <w:pPr>
        <w:tabs>
          <w:tab w:val="num" w:pos="720"/>
        </w:tabs>
        <w:spacing w:after="120"/>
        <w:contextualSpacing/>
        <w:rPr>
          <w:sz w:val="24"/>
          <w:szCs w:val="24"/>
        </w:rPr>
      </w:pPr>
    </w:p>
    <w:p w14:paraId="39CFF532" w14:textId="77777777" w:rsidR="000F5E23" w:rsidRDefault="000F5E23" w:rsidP="000F5E23">
      <w:pPr>
        <w:tabs>
          <w:tab w:val="num" w:pos="720"/>
        </w:tabs>
        <w:spacing w:after="120"/>
        <w:contextualSpacing/>
        <w:rPr>
          <w:sz w:val="24"/>
          <w:szCs w:val="24"/>
        </w:rPr>
      </w:pPr>
      <w:r>
        <w:rPr>
          <w:sz w:val="24"/>
          <w:szCs w:val="24"/>
        </w:rPr>
        <w:t>I disse fiskerier vil overgangen til et IOK eller IK system give grundlag for ændringer, der følger de sammen principper og overvejelser som inden for udenskærs rejefiskeri. Men det er vigtigt at huske, at niveauet for afgifterne og en basis-betaling altid skal ses i lyset af det specifikke fiskeris biologiske, tekniske og økonomiske vilkår.</w:t>
      </w:r>
    </w:p>
    <w:p w14:paraId="79FE4645" w14:textId="77777777" w:rsidR="000F5E23" w:rsidRDefault="000F5E23" w:rsidP="000F5E23">
      <w:pPr>
        <w:tabs>
          <w:tab w:val="num" w:pos="720"/>
        </w:tabs>
        <w:spacing w:after="120"/>
        <w:contextualSpacing/>
        <w:rPr>
          <w:sz w:val="24"/>
          <w:szCs w:val="24"/>
        </w:rPr>
      </w:pPr>
    </w:p>
    <w:p w14:paraId="2ADAAD5E" w14:textId="77777777" w:rsidR="000F5E23" w:rsidRDefault="000F5E23" w:rsidP="000F5E23">
      <w:pPr>
        <w:tabs>
          <w:tab w:val="num" w:pos="720"/>
        </w:tabs>
        <w:spacing w:after="120"/>
        <w:contextualSpacing/>
        <w:rPr>
          <w:sz w:val="24"/>
          <w:szCs w:val="24"/>
        </w:rPr>
      </w:pPr>
      <w:r>
        <w:rPr>
          <w:sz w:val="24"/>
          <w:szCs w:val="24"/>
        </w:rPr>
        <w:t xml:space="preserve">Ved gennemførelse af en fiskeripolitik, der over tid vil sikre en større ressourcerente, f.eks. ved et IOK eller et IK system, bør der samtidigt foreligge en plan for ændringer af ressourcebeskatningens størrelse og struktur i de enkelte fiskerier for at forbedre rammerne for at planlægge langsigtet og for at forhindre eller begrænse kapitaliseringen af fiskerirettighederne </w:t>
      </w:r>
    </w:p>
    <w:p w14:paraId="2239C2FF" w14:textId="77777777" w:rsidR="000F5E23" w:rsidRDefault="000F5E23" w:rsidP="000F5E23">
      <w:pPr>
        <w:tabs>
          <w:tab w:val="num" w:pos="720"/>
        </w:tabs>
        <w:spacing w:after="120"/>
        <w:contextualSpacing/>
        <w:rPr>
          <w:sz w:val="24"/>
          <w:szCs w:val="24"/>
        </w:rPr>
      </w:pPr>
    </w:p>
    <w:p w14:paraId="1CFA6DEE" w14:textId="77777777" w:rsidR="000F5E23" w:rsidRPr="00EB02D2" w:rsidRDefault="000F5E23" w:rsidP="000F5E23">
      <w:pPr>
        <w:numPr>
          <w:ilvl w:val="0"/>
          <w:numId w:val="11"/>
        </w:numPr>
        <w:spacing w:after="120"/>
        <w:contextualSpacing/>
        <w:rPr>
          <w:i/>
          <w:sz w:val="24"/>
          <w:szCs w:val="24"/>
        </w:rPr>
      </w:pPr>
      <w:r w:rsidRPr="00EB02D2">
        <w:rPr>
          <w:i/>
          <w:sz w:val="24"/>
          <w:szCs w:val="24"/>
        </w:rPr>
        <w:t>Hvis det ikke er tilfældet, hvad der bør/kan gøres for at ændre dette?</w:t>
      </w:r>
    </w:p>
    <w:p w14:paraId="4E580D44" w14:textId="77777777" w:rsidR="000F5E23" w:rsidRDefault="000F5E23" w:rsidP="000F5E23">
      <w:pPr>
        <w:spacing w:after="120"/>
        <w:contextualSpacing/>
        <w:rPr>
          <w:sz w:val="24"/>
          <w:szCs w:val="24"/>
        </w:rPr>
      </w:pPr>
    </w:p>
    <w:p w14:paraId="2301C053" w14:textId="77777777" w:rsidR="000F5E23" w:rsidRDefault="000F5E23" w:rsidP="000F5E23">
      <w:pPr>
        <w:spacing w:after="120"/>
        <w:contextualSpacing/>
        <w:rPr>
          <w:sz w:val="24"/>
          <w:szCs w:val="24"/>
        </w:rPr>
      </w:pPr>
      <w:r>
        <w:rPr>
          <w:sz w:val="24"/>
          <w:szCs w:val="24"/>
        </w:rPr>
        <w:t>Se forslaget ovenfor med det nuværende afgiftssystem inden for udenskærs rejefiskeri kombineret med en grundbetaling.</w:t>
      </w:r>
    </w:p>
    <w:p w14:paraId="153BE2BB" w14:textId="77777777" w:rsidR="000F5E23" w:rsidRDefault="000F5E23" w:rsidP="000F5E23">
      <w:pPr>
        <w:spacing w:after="120"/>
        <w:ind w:left="360"/>
        <w:contextualSpacing/>
        <w:rPr>
          <w:sz w:val="24"/>
          <w:szCs w:val="24"/>
        </w:rPr>
      </w:pPr>
    </w:p>
    <w:p w14:paraId="3575EAB7" w14:textId="77777777" w:rsidR="000F5E23" w:rsidRPr="008454B1" w:rsidRDefault="000F5E23" w:rsidP="000F5E23">
      <w:pPr>
        <w:spacing w:after="120"/>
        <w:contextualSpacing/>
        <w:rPr>
          <w:sz w:val="24"/>
          <w:szCs w:val="24"/>
        </w:rPr>
      </w:pPr>
      <w:r>
        <w:rPr>
          <w:sz w:val="24"/>
          <w:szCs w:val="24"/>
        </w:rPr>
        <w:t>Desuden vil økonomiske analyser, der på gennemsigtig vis afdækker niveauet og udviklingen i ressourcerente, opgjort efter internationale principper for opgørelse af ressourcerente være et solidt grundlag for fastsættelse af de specifikke satser og basis-betaling.</w:t>
      </w:r>
    </w:p>
    <w:p w14:paraId="07BA2C9A" w14:textId="77777777" w:rsidR="000F5E23" w:rsidRDefault="000F5E23" w:rsidP="000F5E23">
      <w:pPr>
        <w:tabs>
          <w:tab w:val="num" w:pos="720"/>
        </w:tabs>
        <w:spacing w:after="120"/>
        <w:contextualSpacing/>
        <w:rPr>
          <w:sz w:val="24"/>
          <w:szCs w:val="24"/>
        </w:rPr>
      </w:pPr>
    </w:p>
    <w:p w14:paraId="0C4DB351" w14:textId="77777777" w:rsidR="000F5E23" w:rsidRPr="00EB02D2" w:rsidRDefault="000F5E23" w:rsidP="000F5E23">
      <w:pPr>
        <w:numPr>
          <w:ilvl w:val="0"/>
          <w:numId w:val="11"/>
        </w:numPr>
        <w:spacing w:after="120"/>
        <w:contextualSpacing/>
        <w:rPr>
          <w:i/>
          <w:sz w:val="24"/>
          <w:szCs w:val="24"/>
        </w:rPr>
      </w:pPr>
      <w:r w:rsidRPr="00EB02D2">
        <w:rPr>
          <w:i/>
          <w:sz w:val="24"/>
          <w:szCs w:val="24"/>
        </w:rPr>
        <w:t>Kan kommissionen i givet fald byde ind med anbefalinger til konkrete afgiftstilpasninger?</w:t>
      </w:r>
    </w:p>
    <w:p w14:paraId="1BE4D3B7" w14:textId="77777777" w:rsidR="000F5E23" w:rsidRDefault="000F5E23" w:rsidP="000F5E23">
      <w:pPr>
        <w:spacing w:after="120"/>
        <w:contextualSpacing/>
        <w:rPr>
          <w:sz w:val="24"/>
          <w:szCs w:val="24"/>
        </w:rPr>
      </w:pPr>
    </w:p>
    <w:p w14:paraId="349ACA2E" w14:textId="77777777" w:rsidR="000F5E23" w:rsidRPr="008454B1" w:rsidRDefault="000F5E23" w:rsidP="000F5E23">
      <w:pPr>
        <w:spacing w:after="120"/>
        <w:contextualSpacing/>
        <w:rPr>
          <w:sz w:val="24"/>
          <w:szCs w:val="24"/>
        </w:rPr>
      </w:pPr>
      <w:r>
        <w:rPr>
          <w:sz w:val="24"/>
          <w:szCs w:val="24"/>
        </w:rPr>
        <w:t xml:space="preserve">Formandskabet har ikke haft mulighed for </w:t>
      </w:r>
      <w:r w:rsidRPr="0085716B">
        <w:rPr>
          <w:sz w:val="24"/>
          <w:szCs w:val="24"/>
        </w:rPr>
        <w:t xml:space="preserve">at </w:t>
      </w:r>
      <w:r>
        <w:rPr>
          <w:sz w:val="24"/>
          <w:szCs w:val="24"/>
        </w:rPr>
        <w:t xml:space="preserve">gennemføre </w:t>
      </w:r>
      <w:r w:rsidRPr="0085716B">
        <w:rPr>
          <w:sz w:val="24"/>
          <w:szCs w:val="24"/>
        </w:rPr>
        <w:t>de nødvendige analyser</w:t>
      </w:r>
      <w:r>
        <w:rPr>
          <w:sz w:val="24"/>
          <w:szCs w:val="24"/>
        </w:rPr>
        <w:t xml:space="preserve">, der eventuelt kunne lede til </w:t>
      </w:r>
      <w:r w:rsidRPr="0085716B">
        <w:rPr>
          <w:sz w:val="24"/>
          <w:szCs w:val="24"/>
        </w:rPr>
        <w:t xml:space="preserve">forslag </w:t>
      </w:r>
      <w:r>
        <w:rPr>
          <w:sz w:val="24"/>
          <w:szCs w:val="24"/>
        </w:rPr>
        <w:t>om</w:t>
      </w:r>
      <w:r w:rsidRPr="0085716B">
        <w:rPr>
          <w:sz w:val="24"/>
          <w:szCs w:val="24"/>
        </w:rPr>
        <w:t xml:space="preserve"> konkrete ændringer af de nuværende afgifter. </w:t>
      </w:r>
      <w:r>
        <w:rPr>
          <w:sz w:val="24"/>
          <w:szCs w:val="24"/>
        </w:rPr>
        <w:t xml:space="preserve">Kommissionen kan eventuelt komme med forslag til relevante analyser, der vil være mest nærliggende at gennemføre. Dette kunne så fremgå af kommissionens betænkning som en mulig anbefaling. </w:t>
      </w:r>
    </w:p>
    <w:p w14:paraId="314B111E" w14:textId="77777777" w:rsidR="000F5E23" w:rsidRDefault="000F5E23" w:rsidP="000F5E23">
      <w:pPr>
        <w:tabs>
          <w:tab w:val="num" w:pos="720"/>
        </w:tabs>
        <w:spacing w:after="120"/>
        <w:contextualSpacing/>
        <w:rPr>
          <w:sz w:val="24"/>
          <w:szCs w:val="24"/>
        </w:rPr>
      </w:pPr>
    </w:p>
    <w:p w14:paraId="27DC6D8A" w14:textId="77777777" w:rsidR="000F5E23" w:rsidRPr="008454B1" w:rsidRDefault="000F5E23" w:rsidP="000F5E23">
      <w:pPr>
        <w:spacing w:after="120"/>
        <w:contextualSpacing/>
        <w:rPr>
          <w:b/>
          <w:sz w:val="24"/>
          <w:szCs w:val="24"/>
        </w:rPr>
      </w:pPr>
    </w:p>
    <w:p w14:paraId="4E62FF1B" w14:textId="77777777" w:rsidR="000F5E23" w:rsidRDefault="000F5E23" w:rsidP="000F5E23">
      <w:pPr>
        <w:spacing w:after="120"/>
        <w:contextualSpacing/>
        <w:rPr>
          <w:sz w:val="24"/>
          <w:szCs w:val="24"/>
        </w:rPr>
      </w:pPr>
    </w:p>
    <w:p w14:paraId="46E17C96" w14:textId="77777777" w:rsidR="000F5E23" w:rsidRPr="008454B1" w:rsidRDefault="000F5E23" w:rsidP="000F5E23">
      <w:pPr>
        <w:spacing w:after="120"/>
        <w:contextualSpacing/>
        <w:rPr>
          <w:sz w:val="24"/>
          <w:szCs w:val="24"/>
        </w:rPr>
      </w:pPr>
    </w:p>
    <w:p w14:paraId="737897BD" w14:textId="77777777" w:rsidR="000F5E23" w:rsidRPr="00EA4466" w:rsidRDefault="000F5E23" w:rsidP="00EA4466">
      <w:pPr>
        <w:spacing w:line="240" w:lineRule="auto"/>
        <w:rPr>
          <w:rFonts w:cstheme="minorHAnsi"/>
        </w:rPr>
      </w:pPr>
    </w:p>
    <w:sectPr w:rsidR="000F5E23" w:rsidRPr="00EA4466" w:rsidSect="0090529F">
      <w:headerReference w:type="default" r:id="rId10"/>
      <w:footerReference w:type="default" r:id="rId11"/>
      <w:pgSz w:w="11906" w:h="16838"/>
      <w:pgMar w:top="1418"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B200B" w14:textId="77777777" w:rsidR="002E0A1E" w:rsidRDefault="002E0A1E" w:rsidP="004E3234">
      <w:pPr>
        <w:spacing w:after="0" w:line="240" w:lineRule="auto"/>
      </w:pPr>
      <w:r>
        <w:separator/>
      </w:r>
    </w:p>
  </w:endnote>
  <w:endnote w:type="continuationSeparator" w:id="0">
    <w:p w14:paraId="78B9F17A" w14:textId="77777777" w:rsidR="002E0A1E" w:rsidRDefault="002E0A1E" w:rsidP="004E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043326"/>
      <w:docPartObj>
        <w:docPartGallery w:val="Page Numbers (Bottom of Page)"/>
        <w:docPartUnique/>
      </w:docPartObj>
    </w:sdtPr>
    <w:sdtEndPr/>
    <w:sdtContent>
      <w:p w14:paraId="741C2FDD" w14:textId="7E74918E" w:rsidR="00B46011" w:rsidRDefault="00B46011">
        <w:pPr>
          <w:pStyle w:val="Sidefod"/>
          <w:jc w:val="right"/>
        </w:pPr>
        <w:r>
          <w:fldChar w:fldCharType="begin"/>
        </w:r>
        <w:r>
          <w:instrText>PAGE   \* MERGEFORMAT</w:instrText>
        </w:r>
        <w:r>
          <w:fldChar w:fldCharType="separate"/>
        </w:r>
        <w:r w:rsidR="00BE6889">
          <w:rPr>
            <w:noProof/>
          </w:rPr>
          <w:t>8</w:t>
        </w:r>
        <w:r>
          <w:fldChar w:fldCharType="end"/>
        </w:r>
      </w:p>
    </w:sdtContent>
  </w:sdt>
  <w:p w14:paraId="257BA06B" w14:textId="77777777" w:rsidR="00B46011" w:rsidRDefault="00B4601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7F45F" w14:textId="77777777" w:rsidR="002E0A1E" w:rsidRDefault="002E0A1E" w:rsidP="004E3234">
      <w:pPr>
        <w:spacing w:after="0" w:line="240" w:lineRule="auto"/>
      </w:pPr>
      <w:r>
        <w:separator/>
      </w:r>
    </w:p>
  </w:footnote>
  <w:footnote w:type="continuationSeparator" w:id="0">
    <w:p w14:paraId="0B6CD71E" w14:textId="77777777" w:rsidR="002E0A1E" w:rsidRDefault="002E0A1E" w:rsidP="004E3234">
      <w:pPr>
        <w:spacing w:after="0" w:line="240" w:lineRule="auto"/>
      </w:pPr>
      <w:r>
        <w:continuationSeparator/>
      </w:r>
    </w:p>
  </w:footnote>
  <w:footnote w:id="1">
    <w:p w14:paraId="1B1C51B6" w14:textId="77777777" w:rsidR="001F76BC" w:rsidRPr="00615117" w:rsidRDefault="001F76BC" w:rsidP="001F76BC">
      <w:pPr>
        <w:pStyle w:val="Fodnotetekst"/>
        <w:rPr>
          <w:sz w:val="18"/>
          <w:szCs w:val="18"/>
        </w:rPr>
      </w:pPr>
      <w:r w:rsidRPr="00615117">
        <w:rPr>
          <w:rStyle w:val="Fodnotehenvisning"/>
          <w:sz w:val="18"/>
          <w:szCs w:val="18"/>
        </w:rPr>
        <w:footnoteRef/>
      </w:r>
      <w:r w:rsidRPr="00615117">
        <w:rPr>
          <w:sz w:val="18"/>
          <w:szCs w:val="18"/>
        </w:rPr>
        <w:t xml:space="preserve"> </w:t>
      </w:r>
      <w:r w:rsidRPr="00615117">
        <w:rPr>
          <w:rFonts w:ascii="Times New Roman" w:hAnsi="Times New Roman" w:cs="Times New Roman"/>
          <w:sz w:val="18"/>
          <w:szCs w:val="18"/>
        </w:rPr>
        <w:t>Omregning af</w:t>
      </w:r>
      <w:r>
        <w:rPr>
          <w:rFonts w:ascii="Times New Roman" w:hAnsi="Times New Roman" w:cs="Times New Roman"/>
          <w:sz w:val="18"/>
          <w:szCs w:val="18"/>
        </w:rPr>
        <w:t xml:space="preserve"> gennemsnits</w:t>
      </w:r>
      <w:r w:rsidRPr="00615117">
        <w:rPr>
          <w:rFonts w:ascii="Times New Roman" w:hAnsi="Times New Roman" w:cs="Times New Roman"/>
          <w:sz w:val="18"/>
          <w:szCs w:val="18"/>
        </w:rPr>
        <w:t xml:space="preserve"> indhandlingspris til levende vægt er gældende fra 1. januar 2019.</w:t>
      </w:r>
    </w:p>
  </w:footnote>
  <w:footnote w:id="2">
    <w:p w14:paraId="28777847" w14:textId="77777777" w:rsidR="001F76BC" w:rsidRPr="00396E92" w:rsidRDefault="001F76BC" w:rsidP="001F76BC">
      <w:pPr>
        <w:pStyle w:val="Fodnotetekst"/>
        <w:rPr>
          <w:rFonts w:ascii="Times New Roman" w:hAnsi="Times New Roman" w:cs="Times New Roman"/>
          <w:sz w:val="18"/>
          <w:szCs w:val="18"/>
          <w:lang w:val="kl-GL"/>
        </w:rPr>
      </w:pPr>
      <w:r w:rsidRPr="00396E92">
        <w:rPr>
          <w:rStyle w:val="Fodnotehenvisning"/>
          <w:rFonts w:ascii="Times New Roman" w:hAnsi="Times New Roman" w:cs="Times New Roman"/>
          <w:sz w:val="18"/>
          <w:szCs w:val="18"/>
        </w:rPr>
        <w:footnoteRef/>
      </w:r>
      <w:r w:rsidRPr="00396E92">
        <w:rPr>
          <w:rFonts w:ascii="Times New Roman" w:hAnsi="Times New Roman" w:cs="Times New Roman"/>
          <w:sz w:val="18"/>
          <w:szCs w:val="18"/>
        </w:rPr>
        <w:t xml:space="preserve"> Fra 1. januar 2019 blev afgiftssatsen på indhandling fra kystnært hellefiskefiskeri</w:t>
      </w:r>
      <w:r w:rsidRPr="0007535D">
        <w:rPr>
          <w:rFonts w:ascii="Times New Roman" w:hAnsi="Times New Roman" w:cs="Times New Roman"/>
          <w:color w:val="000000" w:themeColor="text1"/>
          <w:sz w:val="18"/>
          <w:szCs w:val="18"/>
        </w:rPr>
        <w:t xml:space="preserve"> nedsat</w:t>
      </w:r>
      <w:r w:rsidRPr="00396E92">
        <w:rPr>
          <w:rFonts w:ascii="Times New Roman" w:hAnsi="Times New Roman" w:cs="Times New Roman"/>
          <w:sz w:val="18"/>
          <w:szCs w:val="18"/>
        </w:rPr>
        <w:t xml:space="preserve"> fra 5 pct. til 4 pct.</w:t>
      </w:r>
    </w:p>
  </w:footnote>
  <w:footnote w:id="3">
    <w:p w14:paraId="0A4E0860" w14:textId="77777777" w:rsidR="001F76BC" w:rsidRPr="00D94F91" w:rsidRDefault="001F76BC" w:rsidP="001F76BC">
      <w:pPr>
        <w:pStyle w:val="Fodnotetekst"/>
        <w:rPr>
          <w:sz w:val="18"/>
          <w:szCs w:val="18"/>
          <w:lang w:val="kl-GL"/>
        </w:rPr>
      </w:pPr>
      <w:r w:rsidRPr="00D94F91">
        <w:rPr>
          <w:rStyle w:val="Fodnotehenvisning"/>
          <w:sz w:val="18"/>
          <w:szCs w:val="18"/>
        </w:rPr>
        <w:footnoteRef/>
      </w:r>
      <w:r w:rsidRPr="00D94F91">
        <w:rPr>
          <w:sz w:val="18"/>
          <w:szCs w:val="18"/>
        </w:rPr>
        <w:t xml:space="preserve"> </w:t>
      </w:r>
      <w:r w:rsidRPr="00D94F91">
        <w:rPr>
          <w:rFonts w:ascii="Times New Roman" w:hAnsi="Times New Roman" w:cs="Times New Roman"/>
          <w:sz w:val="18"/>
          <w:szCs w:val="18"/>
        </w:rPr>
        <w:t>Omregning af gennemsnits eksportpris til levende vægt er gældende fra 1. januar 2019.</w:t>
      </w:r>
    </w:p>
  </w:footnote>
  <w:footnote w:id="4">
    <w:p w14:paraId="6EA3F069" w14:textId="77777777" w:rsidR="001F76BC" w:rsidRPr="00D94F91" w:rsidRDefault="001F76BC" w:rsidP="001F76BC">
      <w:pPr>
        <w:tabs>
          <w:tab w:val="right" w:pos="3960"/>
          <w:tab w:val="right" w:pos="5040"/>
          <w:tab w:val="right" w:pos="6300"/>
          <w:tab w:val="right" w:pos="7380"/>
          <w:tab w:val="right" w:pos="8460"/>
          <w:tab w:val="right" w:pos="9540"/>
        </w:tabs>
        <w:spacing w:after="0"/>
        <w:ind w:right="306"/>
        <w:jc w:val="both"/>
        <w:rPr>
          <w:rFonts w:ascii="Times New Roman" w:hAnsi="Times New Roman" w:cs="Times New Roman"/>
          <w:sz w:val="18"/>
          <w:szCs w:val="18"/>
        </w:rPr>
      </w:pPr>
      <w:r w:rsidRPr="00D94F91">
        <w:rPr>
          <w:rStyle w:val="Fodnotehenvisning"/>
          <w:sz w:val="18"/>
          <w:szCs w:val="18"/>
        </w:rPr>
        <w:footnoteRef/>
      </w:r>
      <w:r w:rsidRPr="00D94F91">
        <w:rPr>
          <w:sz w:val="18"/>
          <w:szCs w:val="18"/>
        </w:rPr>
        <w:t xml:space="preserve"> </w:t>
      </w:r>
      <w:r>
        <w:rPr>
          <w:rFonts w:ascii="Times New Roman" w:hAnsi="Times New Roman" w:cs="Times New Roman"/>
          <w:sz w:val="18"/>
          <w:szCs w:val="18"/>
        </w:rPr>
        <w:t>F</w:t>
      </w:r>
      <w:r w:rsidRPr="00D94F91">
        <w:rPr>
          <w:rFonts w:ascii="Times New Roman" w:hAnsi="Times New Roman" w:cs="Times New Roman"/>
          <w:sz w:val="18"/>
          <w:szCs w:val="18"/>
        </w:rPr>
        <w:t>ra 1. januar 2019 blev afgiftsloftet hæ</w:t>
      </w:r>
      <w:r>
        <w:rPr>
          <w:rFonts w:ascii="Times New Roman" w:hAnsi="Times New Roman" w:cs="Times New Roman"/>
          <w:sz w:val="18"/>
          <w:szCs w:val="18"/>
        </w:rPr>
        <w:t>vet fra 17,5 pct. til 17,9 pct.</w:t>
      </w:r>
    </w:p>
    <w:p w14:paraId="224AEC6D" w14:textId="77777777" w:rsidR="001F76BC" w:rsidRPr="00D94F91" w:rsidRDefault="001F76BC" w:rsidP="001F76BC">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EC0E" w14:textId="1AA026AF" w:rsidR="00B46011" w:rsidRDefault="004F7E23">
    <w:pPr>
      <w:pStyle w:val="Sidehoved"/>
    </w:pPr>
    <w:r>
      <w:t>Fiskerikommissionen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34BD"/>
    <w:multiLevelType w:val="hybridMultilevel"/>
    <w:tmpl w:val="5BBEE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B18DA"/>
    <w:multiLevelType w:val="hybridMultilevel"/>
    <w:tmpl w:val="3EFC978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4D0B4A"/>
    <w:multiLevelType w:val="hybridMultilevel"/>
    <w:tmpl w:val="B394CA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235E2B"/>
    <w:multiLevelType w:val="multilevel"/>
    <w:tmpl w:val="ABAA261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667097"/>
    <w:multiLevelType w:val="hybridMultilevel"/>
    <w:tmpl w:val="2710F73A"/>
    <w:lvl w:ilvl="0" w:tplc="FAC8526A">
      <w:start w:val="1"/>
      <w:numFmt w:val="decimal"/>
      <w:lvlText w:val="%1."/>
      <w:lvlJc w:val="left"/>
      <w:pPr>
        <w:tabs>
          <w:tab w:val="num" w:pos="720"/>
        </w:tabs>
        <w:ind w:left="720" w:hanging="360"/>
      </w:pPr>
    </w:lvl>
    <w:lvl w:ilvl="1" w:tplc="3BCC8436" w:tentative="1">
      <w:start w:val="1"/>
      <w:numFmt w:val="decimal"/>
      <w:lvlText w:val="%2."/>
      <w:lvlJc w:val="left"/>
      <w:pPr>
        <w:tabs>
          <w:tab w:val="num" w:pos="1440"/>
        </w:tabs>
        <w:ind w:left="1440" w:hanging="360"/>
      </w:pPr>
    </w:lvl>
    <w:lvl w:ilvl="2" w:tplc="8826AF4E" w:tentative="1">
      <w:start w:val="1"/>
      <w:numFmt w:val="decimal"/>
      <w:lvlText w:val="%3."/>
      <w:lvlJc w:val="left"/>
      <w:pPr>
        <w:tabs>
          <w:tab w:val="num" w:pos="2160"/>
        </w:tabs>
        <w:ind w:left="2160" w:hanging="360"/>
      </w:pPr>
    </w:lvl>
    <w:lvl w:ilvl="3" w:tplc="E274250E" w:tentative="1">
      <w:start w:val="1"/>
      <w:numFmt w:val="decimal"/>
      <w:lvlText w:val="%4."/>
      <w:lvlJc w:val="left"/>
      <w:pPr>
        <w:tabs>
          <w:tab w:val="num" w:pos="2880"/>
        </w:tabs>
        <w:ind w:left="2880" w:hanging="360"/>
      </w:pPr>
    </w:lvl>
    <w:lvl w:ilvl="4" w:tplc="F5F67850" w:tentative="1">
      <w:start w:val="1"/>
      <w:numFmt w:val="decimal"/>
      <w:lvlText w:val="%5."/>
      <w:lvlJc w:val="left"/>
      <w:pPr>
        <w:tabs>
          <w:tab w:val="num" w:pos="3600"/>
        </w:tabs>
        <w:ind w:left="3600" w:hanging="360"/>
      </w:pPr>
    </w:lvl>
    <w:lvl w:ilvl="5" w:tplc="320A15BE" w:tentative="1">
      <w:start w:val="1"/>
      <w:numFmt w:val="decimal"/>
      <w:lvlText w:val="%6."/>
      <w:lvlJc w:val="left"/>
      <w:pPr>
        <w:tabs>
          <w:tab w:val="num" w:pos="4320"/>
        </w:tabs>
        <w:ind w:left="4320" w:hanging="360"/>
      </w:pPr>
    </w:lvl>
    <w:lvl w:ilvl="6" w:tplc="9C307138" w:tentative="1">
      <w:start w:val="1"/>
      <w:numFmt w:val="decimal"/>
      <w:lvlText w:val="%7."/>
      <w:lvlJc w:val="left"/>
      <w:pPr>
        <w:tabs>
          <w:tab w:val="num" w:pos="5040"/>
        </w:tabs>
        <w:ind w:left="5040" w:hanging="360"/>
      </w:pPr>
    </w:lvl>
    <w:lvl w:ilvl="7" w:tplc="CB1ED5D8" w:tentative="1">
      <w:start w:val="1"/>
      <w:numFmt w:val="decimal"/>
      <w:lvlText w:val="%8."/>
      <w:lvlJc w:val="left"/>
      <w:pPr>
        <w:tabs>
          <w:tab w:val="num" w:pos="5760"/>
        </w:tabs>
        <w:ind w:left="5760" w:hanging="360"/>
      </w:pPr>
    </w:lvl>
    <w:lvl w:ilvl="8" w:tplc="69F44BF8" w:tentative="1">
      <w:start w:val="1"/>
      <w:numFmt w:val="decimal"/>
      <w:lvlText w:val="%9."/>
      <w:lvlJc w:val="left"/>
      <w:pPr>
        <w:tabs>
          <w:tab w:val="num" w:pos="6480"/>
        </w:tabs>
        <w:ind w:left="6480" w:hanging="360"/>
      </w:pPr>
    </w:lvl>
  </w:abstractNum>
  <w:abstractNum w:abstractNumId="5" w15:restartNumberingAfterBreak="0">
    <w:nsid w:val="37684E12"/>
    <w:multiLevelType w:val="hybridMultilevel"/>
    <w:tmpl w:val="EA52D0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3777C06"/>
    <w:multiLevelType w:val="hybridMultilevel"/>
    <w:tmpl w:val="E7FA2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11A21"/>
    <w:multiLevelType w:val="hybridMultilevel"/>
    <w:tmpl w:val="2710F73A"/>
    <w:lvl w:ilvl="0" w:tplc="FAC8526A">
      <w:start w:val="1"/>
      <w:numFmt w:val="decimal"/>
      <w:lvlText w:val="%1."/>
      <w:lvlJc w:val="left"/>
      <w:pPr>
        <w:tabs>
          <w:tab w:val="num" w:pos="720"/>
        </w:tabs>
        <w:ind w:left="720" w:hanging="360"/>
      </w:pPr>
    </w:lvl>
    <w:lvl w:ilvl="1" w:tplc="3BCC8436" w:tentative="1">
      <w:start w:val="1"/>
      <w:numFmt w:val="decimal"/>
      <w:lvlText w:val="%2."/>
      <w:lvlJc w:val="left"/>
      <w:pPr>
        <w:tabs>
          <w:tab w:val="num" w:pos="1440"/>
        </w:tabs>
        <w:ind w:left="1440" w:hanging="360"/>
      </w:pPr>
    </w:lvl>
    <w:lvl w:ilvl="2" w:tplc="8826AF4E" w:tentative="1">
      <w:start w:val="1"/>
      <w:numFmt w:val="decimal"/>
      <w:lvlText w:val="%3."/>
      <w:lvlJc w:val="left"/>
      <w:pPr>
        <w:tabs>
          <w:tab w:val="num" w:pos="2160"/>
        </w:tabs>
        <w:ind w:left="2160" w:hanging="360"/>
      </w:pPr>
    </w:lvl>
    <w:lvl w:ilvl="3" w:tplc="E274250E" w:tentative="1">
      <w:start w:val="1"/>
      <w:numFmt w:val="decimal"/>
      <w:lvlText w:val="%4."/>
      <w:lvlJc w:val="left"/>
      <w:pPr>
        <w:tabs>
          <w:tab w:val="num" w:pos="2880"/>
        </w:tabs>
        <w:ind w:left="2880" w:hanging="360"/>
      </w:pPr>
    </w:lvl>
    <w:lvl w:ilvl="4" w:tplc="F5F67850" w:tentative="1">
      <w:start w:val="1"/>
      <w:numFmt w:val="decimal"/>
      <w:lvlText w:val="%5."/>
      <w:lvlJc w:val="left"/>
      <w:pPr>
        <w:tabs>
          <w:tab w:val="num" w:pos="3600"/>
        </w:tabs>
        <w:ind w:left="3600" w:hanging="360"/>
      </w:pPr>
    </w:lvl>
    <w:lvl w:ilvl="5" w:tplc="320A15BE" w:tentative="1">
      <w:start w:val="1"/>
      <w:numFmt w:val="decimal"/>
      <w:lvlText w:val="%6."/>
      <w:lvlJc w:val="left"/>
      <w:pPr>
        <w:tabs>
          <w:tab w:val="num" w:pos="4320"/>
        </w:tabs>
        <w:ind w:left="4320" w:hanging="360"/>
      </w:pPr>
    </w:lvl>
    <w:lvl w:ilvl="6" w:tplc="9C307138" w:tentative="1">
      <w:start w:val="1"/>
      <w:numFmt w:val="decimal"/>
      <w:lvlText w:val="%7."/>
      <w:lvlJc w:val="left"/>
      <w:pPr>
        <w:tabs>
          <w:tab w:val="num" w:pos="5040"/>
        </w:tabs>
        <w:ind w:left="5040" w:hanging="360"/>
      </w:pPr>
    </w:lvl>
    <w:lvl w:ilvl="7" w:tplc="CB1ED5D8" w:tentative="1">
      <w:start w:val="1"/>
      <w:numFmt w:val="decimal"/>
      <w:lvlText w:val="%8."/>
      <w:lvlJc w:val="left"/>
      <w:pPr>
        <w:tabs>
          <w:tab w:val="num" w:pos="5760"/>
        </w:tabs>
        <w:ind w:left="5760" w:hanging="360"/>
      </w:pPr>
    </w:lvl>
    <w:lvl w:ilvl="8" w:tplc="69F44BF8" w:tentative="1">
      <w:start w:val="1"/>
      <w:numFmt w:val="decimal"/>
      <w:lvlText w:val="%9."/>
      <w:lvlJc w:val="left"/>
      <w:pPr>
        <w:tabs>
          <w:tab w:val="num" w:pos="6480"/>
        </w:tabs>
        <w:ind w:left="6480" w:hanging="360"/>
      </w:pPr>
    </w:lvl>
  </w:abstractNum>
  <w:abstractNum w:abstractNumId="8" w15:restartNumberingAfterBreak="0">
    <w:nsid w:val="4CAD535C"/>
    <w:multiLevelType w:val="hybridMultilevel"/>
    <w:tmpl w:val="7E40DB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F606189"/>
    <w:multiLevelType w:val="multilevel"/>
    <w:tmpl w:val="1FF432D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08A78EE"/>
    <w:multiLevelType w:val="hybridMultilevel"/>
    <w:tmpl w:val="17E4FDE2"/>
    <w:lvl w:ilvl="0" w:tplc="64A68BA6">
      <w:start w:val="1"/>
      <w:numFmt w:val="bullet"/>
      <w:lvlText w:val=""/>
      <w:lvlJc w:val="left"/>
      <w:pPr>
        <w:tabs>
          <w:tab w:val="num" w:pos="720"/>
        </w:tabs>
        <w:ind w:left="720" w:hanging="360"/>
      </w:pPr>
      <w:rPr>
        <w:rFonts w:ascii="Symbol" w:hAnsi="Symbol" w:hint="default"/>
      </w:rPr>
    </w:lvl>
    <w:lvl w:ilvl="1" w:tplc="C26891DC" w:tentative="1">
      <w:start w:val="1"/>
      <w:numFmt w:val="bullet"/>
      <w:lvlText w:val=""/>
      <w:lvlJc w:val="left"/>
      <w:pPr>
        <w:tabs>
          <w:tab w:val="num" w:pos="1440"/>
        </w:tabs>
        <w:ind w:left="1440" w:hanging="360"/>
      </w:pPr>
      <w:rPr>
        <w:rFonts w:ascii="Symbol" w:hAnsi="Symbol" w:hint="default"/>
      </w:rPr>
    </w:lvl>
    <w:lvl w:ilvl="2" w:tplc="3E6C0412" w:tentative="1">
      <w:start w:val="1"/>
      <w:numFmt w:val="bullet"/>
      <w:lvlText w:val=""/>
      <w:lvlJc w:val="left"/>
      <w:pPr>
        <w:tabs>
          <w:tab w:val="num" w:pos="2160"/>
        </w:tabs>
        <w:ind w:left="2160" w:hanging="360"/>
      </w:pPr>
      <w:rPr>
        <w:rFonts w:ascii="Symbol" w:hAnsi="Symbol" w:hint="default"/>
      </w:rPr>
    </w:lvl>
    <w:lvl w:ilvl="3" w:tplc="63C62200" w:tentative="1">
      <w:start w:val="1"/>
      <w:numFmt w:val="bullet"/>
      <w:lvlText w:val=""/>
      <w:lvlJc w:val="left"/>
      <w:pPr>
        <w:tabs>
          <w:tab w:val="num" w:pos="2880"/>
        </w:tabs>
        <w:ind w:left="2880" w:hanging="360"/>
      </w:pPr>
      <w:rPr>
        <w:rFonts w:ascii="Symbol" w:hAnsi="Symbol" w:hint="default"/>
      </w:rPr>
    </w:lvl>
    <w:lvl w:ilvl="4" w:tplc="CA9A12E0" w:tentative="1">
      <w:start w:val="1"/>
      <w:numFmt w:val="bullet"/>
      <w:lvlText w:val=""/>
      <w:lvlJc w:val="left"/>
      <w:pPr>
        <w:tabs>
          <w:tab w:val="num" w:pos="3600"/>
        </w:tabs>
        <w:ind w:left="3600" w:hanging="360"/>
      </w:pPr>
      <w:rPr>
        <w:rFonts w:ascii="Symbol" w:hAnsi="Symbol" w:hint="default"/>
      </w:rPr>
    </w:lvl>
    <w:lvl w:ilvl="5" w:tplc="A1C6A2A0" w:tentative="1">
      <w:start w:val="1"/>
      <w:numFmt w:val="bullet"/>
      <w:lvlText w:val=""/>
      <w:lvlJc w:val="left"/>
      <w:pPr>
        <w:tabs>
          <w:tab w:val="num" w:pos="4320"/>
        </w:tabs>
        <w:ind w:left="4320" w:hanging="360"/>
      </w:pPr>
      <w:rPr>
        <w:rFonts w:ascii="Symbol" w:hAnsi="Symbol" w:hint="default"/>
      </w:rPr>
    </w:lvl>
    <w:lvl w:ilvl="6" w:tplc="5BBA6556" w:tentative="1">
      <w:start w:val="1"/>
      <w:numFmt w:val="bullet"/>
      <w:lvlText w:val=""/>
      <w:lvlJc w:val="left"/>
      <w:pPr>
        <w:tabs>
          <w:tab w:val="num" w:pos="5040"/>
        </w:tabs>
        <w:ind w:left="5040" w:hanging="360"/>
      </w:pPr>
      <w:rPr>
        <w:rFonts w:ascii="Symbol" w:hAnsi="Symbol" w:hint="default"/>
      </w:rPr>
    </w:lvl>
    <w:lvl w:ilvl="7" w:tplc="1CD0CC86" w:tentative="1">
      <w:start w:val="1"/>
      <w:numFmt w:val="bullet"/>
      <w:lvlText w:val=""/>
      <w:lvlJc w:val="left"/>
      <w:pPr>
        <w:tabs>
          <w:tab w:val="num" w:pos="5760"/>
        </w:tabs>
        <w:ind w:left="5760" w:hanging="360"/>
      </w:pPr>
      <w:rPr>
        <w:rFonts w:ascii="Symbol" w:hAnsi="Symbol" w:hint="default"/>
      </w:rPr>
    </w:lvl>
    <w:lvl w:ilvl="8" w:tplc="A764114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F7A1D09"/>
    <w:multiLevelType w:val="hybridMultilevel"/>
    <w:tmpl w:val="35DCCB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41B10E2"/>
    <w:multiLevelType w:val="hybridMultilevel"/>
    <w:tmpl w:val="0406C7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3"/>
  </w:num>
  <w:num w:numId="5">
    <w:abstractNumId w:val="9"/>
  </w:num>
  <w:num w:numId="6">
    <w:abstractNumId w:val="1"/>
  </w:num>
  <w:num w:numId="7">
    <w:abstractNumId w:val="6"/>
  </w:num>
  <w:num w:numId="8">
    <w:abstractNumId w:val="8"/>
  </w:num>
  <w:num w:numId="9">
    <w:abstractNumId w:val="0"/>
  </w:num>
  <w:num w:numId="10">
    <w:abstractNumId w:val="4"/>
  </w:num>
  <w:num w:numId="11">
    <w:abstractNumId w:val="10"/>
  </w:num>
  <w:num w:numId="12">
    <w:abstractNumId w:val="7"/>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BDA"/>
    <w:rsid w:val="00005B75"/>
    <w:rsid w:val="00013D4E"/>
    <w:rsid w:val="0001419E"/>
    <w:rsid w:val="000204BD"/>
    <w:rsid w:val="00074F9A"/>
    <w:rsid w:val="00077975"/>
    <w:rsid w:val="000779AB"/>
    <w:rsid w:val="00083AE9"/>
    <w:rsid w:val="00095BCC"/>
    <w:rsid w:val="0009768F"/>
    <w:rsid w:val="000A21B4"/>
    <w:rsid w:val="000A58D7"/>
    <w:rsid w:val="000C3470"/>
    <w:rsid w:val="000D279D"/>
    <w:rsid w:val="000E507C"/>
    <w:rsid w:val="000F355E"/>
    <w:rsid w:val="000F5E23"/>
    <w:rsid w:val="0010289F"/>
    <w:rsid w:val="001145C6"/>
    <w:rsid w:val="001176DC"/>
    <w:rsid w:val="00120603"/>
    <w:rsid w:val="0013592F"/>
    <w:rsid w:val="00135B8D"/>
    <w:rsid w:val="00142530"/>
    <w:rsid w:val="00153361"/>
    <w:rsid w:val="00171124"/>
    <w:rsid w:val="001804FB"/>
    <w:rsid w:val="0018206F"/>
    <w:rsid w:val="00184C03"/>
    <w:rsid w:val="00186025"/>
    <w:rsid w:val="00191A6D"/>
    <w:rsid w:val="0019384B"/>
    <w:rsid w:val="0019470E"/>
    <w:rsid w:val="001A377E"/>
    <w:rsid w:val="001B4EAB"/>
    <w:rsid w:val="001B63E0"/>
    <w:rsid w:val="001C6405"/>
    <w:rsid w:val="001D6888"/>
    <w:rsid w:val="001E0168"/>
    <w:rsid w:val="001E1872"/>
    <w:rsid w:val="001E521C"/>
    <w:rsid w:val="001F2AD5"/>
    <w:rsid w:val="001F2D54"/>
    <w:rsid w:val="001F5276"/>
    <w:rsid w:val="001F6723"/>
    <w:rsid w:val="001F76BC"/>
    <w:rsid w:val="001F791D"/>
    <w:rsid w:val="00204668"/>
    <w:rsid w:val="002076B0"/>
    <w:rsid w:val="002211EE"/>
    <w:rsid w:val="00224A98"/>
    <w:rsid w:val="00243E27"/>
    <w:rsid w:val="0024668A"/>
    <w:rsid w:val="00262C68"/>
    <w:rsid w:val="0026327D"/>
    <w:rsid w:val="00263C02"/>
    <w:rsid w:val="002655E7"/>
    <w:rsid w:val="002916D2"/>
    <w:rsid w:val="00296167"/>
    <w:rsid w:val="002B7F5B"/>
    <w:rsid w:val="002D3C7F"/>
    <w:rsid w:val="002D690A"/>
    <w:rsid w:val="002E0A1E"/>
    <w:rsid w:val="002E23AC"/>
    <w:rsid w:val="002E6846"/>
    <w:rsid w:val="002E6D21"/>
    <w:rsid w:val="002F2665"/>
    <w:rsid w:val="002F3090"/>
    <w:rsid w:val="00303CDA"/>
    <w:rsid w:val="0030604F"/>
    <w:rsid w:val="003175B0"/>
    <w:rsid w:val="00321920"/>
    <w:rsid w:val="00330633"/>
    <w:rsid w:val="00342936"/>
    <w:rsid w:val="00372DCF"/>
    <w:rsid w:val="00374F88"/>
    <w:rsid w:val="003909F1"/>
    <w:rsid w:val="00396985"/>
    <w:rsid w:val="00397069"/>
    <w:rsid w:val="003A26C4"/>
    <w:rsid w:val="003A2A81"/>
    <w:rsid w:val="003B4403"/>
    <w:rsid w:val="003B76D0"/>
    <w:rsid w:val="003B77DA"/>
    <w:rsid w:val="003C32A1"/>
    <w:rsid w:val="003C459E"/>
    <w:rsid w:val="003D478B"/>
    <w:rsid w:val="003D5194"/>
    <w:rsid w:val="003E3A94"/>
    <w:rsid w:val="003E4E1C"/>
    <w:rsid w:val="003E7C7C"/>
    <w:rsid w:val="003F47C5"/>
    <w:rsid w:val="00401BE5"/>
    <w:rsid w:val="00411BDB"/>
    <w:rsid w:val="004159A1"/>
    <w:rsid w:val="00430D0E"/>
    <w:rsid w:val="00433A34"/>
    <w:rsid w:val="00433C87"/>
    <w:rsid w:val="0043412C"/>
    <w:rsid w:val="00434B52"/>
    <w:rsid w:val="00436EF9"/>
    <w:rsid w:val="00455629"/>
    <w:rsid w:val="00462A45"/>
    <w:rsid w:val="004667D8"/>
    <w:rsid w:val="004A3959"/>
    <w:rsid w:val="004A6829"/>
    <w:rsid w:val="004B2FB0"/>
    <w:rsid w:val="004B4B20"/>
    <w:rsid w:val="004B595D"/>
    <w:rsid w:val="004C02D1"/>
    <w:rsid w:val="004C5D66"/>
    <w:rsid w:val="004E3234"/>
    <w:rsid w:val="004F1ED5"/>
    <w:rsid w:val="004F7E23"/>
    <w:rsid w:val="005008BC"/>
    <w:rsid w:val="00506062"/>
    <w:rsid w:val="00507EE8"/>
    <w:rsid w:val="00512BDA"/>
    <w:rsid w:val="00516466"/>
    <w:rsid w:val="005167B0"/>
    <w:rsid w:val="00540292"/>
    <w:rsid w:val="00542A7A"/>
    <w:rsid w:val="005449DE"/>
    <w:rsid w:val="005463CB"/>
    <w:rsid w:val="00555250"/>
    <w:rsid w:val="00563BB8"/>
    <w:rsid w:val="00564B44"/>
    <w:rsid w:val="00574F51"/>
    <w:rsid w:val="00591207"/>
    <w:rsid w:val="005B24FD"/>
    <w:rsid w:val="005B416D"/>
    <w:rsid w:val="005E1881"/>
    <w:rsid w:val="006050F9"/>
    <w:rsid w:val="00610A74"/>
    <w:rsid w:val="00614234"/>
    <w:rsid w:val="0061717E"/>
    <w:rsid w:val="00625404"/>
    <w:rsid w:val="00653B08"/>
    <w:rsid w:val="0065502A"/>
    <w:rsid w:val="00664111"/>
    <w:rsid w:val="006710B3"/>
    <w:rsid w:val="006720BD"/>
    <w:rsid w:val="00675AFC"/>
    <w:rsid w:val="006826DA"/>
    <w:rsid w:val="0068327A"/>
    <w:rsid w:val="00684482"/>
    <w:rsid w:val="0068702B"/>
    <w:rsid w:val="006A1781"/>
    <w:rsid w:val="006A50FA"/>
    <w:rsid w:val="006B15C8"/>
    <w:rsid w:val="006B6250"/>
    <w:rsid w:val="006C5380"/>
    <w:rsid w:val="006C6D1D"/>
    <w:rsid w:val="006C7715"/>
    <w:rsid w:val="006D03C1"/>
    <w:rsid w:val="006D2DBA"/>
    <w:rsid w:val="006D4118"/>
    <w:rsid w:val="006D597B"/>
    <w:rsid w:val="006E7D25"/>
    <w:rsid w:val="006F20CC"/>
    <w:rsid w:val="006F2B21"/>
    <w:rsid w:val="00711E15"/>
    <w:rsid w:val="00717045"/>
    <w:rsid w:val="00730AB3"/>
    <w:rsid w:val="007311B4"/>
    <w:rsid w:val="00747AA1"/>
    <w:rsid w:val="00751CC4"/>
    <w:rsid w:val="00764AF9"/>
    <w:rsid w:val="00764CD0"/>
    <w:rsid w:val="00764F51"/>
    <w:rsid w:val="0076578C"/>
    <w:rsid w:val="00772277"/>
    <w:rsid w:val="007723D4"/>
    <w:rsid w:val="007751D1"/>
    <w:rsid w:val="00787FAB"/>
    <w:rsid w:val="00790896"/>
    <w:rsid w:val="00791105"/>
    <w:rsid w:val="00793542"/>
    <w:rsid w:val="007B30C3"/>
    <w:rsid w:val="007C727F"/>
    <w:rsid w:val="007D6154"/>
    <w:rsid w:val="007E2F48"/>
    <w:rsid w:val="007E7793"/>
    <w:rsid w:val="007E7E10"/>
    <w:rsid w:val="007F69B7"/>
    <w:rsid w:val="0081171F"/>
    <w:rsid w:val="008168C2"/>
    <w:rsid w:val="008178B1"/>
    <w:rsid w:val="00823770"/>
    <w:rsid w:val="008241FB"/>
    <w:rsid w:val="0083504D"/>
    <w:rsid w:val="00843A3B"/>
    <w:rsid w:val="00844A44"/>
    <w:rsid w:val="008558A6"/>
    <w:rsid w:val="00871838"/>
    <w:rsid w:val="00884787"/>
    <w:rsid w:val="00892F1F"/>
    <w:rsid w:val="00897DD2"/>
    <w:rsid w:val="008A4C75"/>
    <w:rsid w:val="008B3A44"/>
    <w:rsid w:val="008B598E"/>
    <w:rsid w:val="008B7A9E"/>
    <w:rsid w:val="008C0EE7"/>
    <w:rsid w:val="008E1B3E"/>
    <w:rsid w:val="008F2BE3"/>
    <w:rsid w:val="008F6AAD"/>
    <w:rsid w:val="0090529F"/>
    <w:rsid w:val="009064F9"/>
    <w:rsid w:val="009203D4"/>
    <w:rsid w:val="009269D7"/>
    <w:rsid w:val="009352C6"/>
    <w:rsid w:val="00940FD2"/>
    <w:rsid w:val="00946F18"/>
    <w:rsid w:val="0095020B"/>
    <w:rsid w:val="00950E73"/>
    <w:rsid w:val="00961642"/>
    <w:rsid w:val="00967B53"/>
    <w:rsid w:val="0099223D"/>
    <w:rsid w:val="009946B2"/>
    <w:rsid w:val="00995B68"/>
    <w:rsid w:val="009B0F49"/>
    <w:rsid w:val="009B36AA"/>
    <w:rsid w:val="009C5806"/>
    <w:rsid w:val="009C7F64"/>
    <w:rsid w:val="009D180E"/>
    <w:rsid w:val="009E7DF0"/>
    <w:rsid w:val="009F2FAD"/>
    <w:rsid w:val="009F3349"/>
    <w:rsid w:val="00A01474"/>
    <w:rsid w:val="00A02C11"/>
    <w:rsid w:val="00A04F46"/>
    <w:rsid w:val="00A31CE2"/>
    <w:rsid w:val="00A36BB3"/>
    <w:rsid w:val="00A44C0D"/>
    <w:rsid w:val="00A50BB2"/>
    <w:rsid w:val="00A62973"/>
    <w:rsid w:val="00A66A03"/>
    <w:rsid w:val="00A67382"/>
    <w:rsid w:val="00A8317D"/>
    <w:rsid w:val="00A95FFD"/>
    <w:rsid w:val="00AC565E"/>
    <w:rsid w:val="00AD054B"/>
    <w:rsid w:val="00AE2422"/>
    <w:rsid w:val="00AF08F9"/>
    <w:rsid w:val="00AF2E52"/>
    <w:rsid w:val="00B029D8"/>
    <w:rsid w:val="00B05DF4"/>
    <w:rsid w:val="00B219C1"/>
    <w:rsid w:val="00B30006"/>
    <w:rsid w:val="00B3511F"/>
    <w:rsid w:val="00B46011"/>
    <w:rsid w:val="00B5319E"/>
    <w:rsid w:val="00B61EA9"/>
    <w:rsid w:val="00B763C1"/>
    <w:rsid w:val="00B80DA2"/>
    <w:rsid w:val="00B81E60"/>
    <w:rsid w:val="00B8694F"/>
    <w:rsid w:val="00BA1E60"/>
    <w:rsid w:val="00BA3DF1"/>
    <w:rsid w:val="00BB2064"/>
    <w:rsid w:val="00BB255A"/>
    <w:rsid w:val="00BB58A8"/>
    <w:rsid w:val="00BC68E0"/>
    <w:rsid w:val="00BD3057"/>
    <w:rsid w:val="00BD4BC1"/>
    <w:rsid w:val="00BE0891"/>
    <w:rsid w:val="00BE0A33"/>
    <w:rsid w:val="00BE1A82"/>
    <w:rsid w:val="00BE6889"/>
    <w:rsid w:val="00C07F09"/>
    <w:rsid w:val="00C1606C"/>
    <w:rsid w:val="00C17EC9"/>
    <w:rsid w:val="00C26513"/>
    <w:rsid w:val="00C31A71"/>
    <w:rsid w:val="00C36370"/>
    <w:rsid w:val="00C421E4"/>
    <w:rsid w:val="00C5146F"/>
    <w:rsid w:val="00C57302"/>
    <w:rsid w:val="00C574AB"/>
    <w:rsid w:val="00C70A09"/>
    <w:rsid w:val="00C72AA0"/>
    <w:rsid w:val="00C767A6"/>
    <w:rsid w:val="00C90E88"/>
    <w:rsid w:val="00C941CA"/>
    <w:rsid w:val="00CA6C40"/>
    <w:rsid w:val="00CB6D8C"/>
    <w:rsid w:val="00CC6D04"/>
    <w:rsid w:val="00CD4E74"/>
    <w:rsid w:val="00CD5FE5"/>
    <w:rsid w:val="00CE5727"/>
    <w:rsid w:val="00CF346A"/>
    <w:rsid w:val="00D04A5D"/>
    <w:rsid w:val="00D13AB0"/>
    <w:rsid w:val="00D20E4C"/>
    <w:rsid w:val="00D26C1F"/>
    <w:rsid w:val="00D44D2A"/>
    <w:rsid w:val="00D56749"/>
    <w:rsid w:val="00D57C0E"/>
    <w:rsid w:val="00D70AD9"/>
    <w:rsid w:val="00D72A5C"/>
    <w:rsid w:val="00D8074A"/>
    <w:rsid w:val="00D86370"/>
    <w:rsid w:val="00DB2D30"/>
    <w:rsid w:val="00DD5313"/>
    <w:rsid w:val="00DF277F"/>
    <w:rsid w:val="00E0005A"/>
    <w:rsid w:val="00E116EA"/>
    <w:rsid w:val="00E12719"/>
    <w:rsid w:val="00E1695F"/>
    <w:rsid w:val="00E26BC9"/>
    <w:rsid w:val="00E31298"/>
    <w:rsid w:val="00E43AE6"/>
    <w:rsid w:val="00E4702D"/>
    <w:rsid w:val="00E61016"/>
    <w:rsid w:val="00E6434B"/>
    <w:rsid w:val="00E67646"/>
    <w:rsid w:val="00E76AC7"/>
    <w:rsid w:val="00E77EB6"/>
    <w:rsid w:val="00E94FB4"/>
    <w:rsid w:val="00EA4238"/>
    <w:rsid w:val="00EA4466"/>
    <w:rsid w:val="00EC18EC"/>
    <w:rsid w:val="00ED0745"/>
    <w:rsid w:val="00ED364A"/>
    <w:rsid w:val="00F04F01"/>
    <w:rsid w:val="00F061D0"/>
    <w:rsid w:val="00F07FC1"/>
    <w:rsid w:val="00F11363"/>
    <w:rsid w:val="00F114DF"/>
    <w:rsid w:val="00F16293"/>
    <w:rsid w:val="00F235B7"/>
    <w:rsid w:val="00F45B1B"/>
    <w:rsid w:val="00F47DB9"/>
    <w:rsid w:val="00F54519"/>
    <w:rsid w:val="00F57CD2"/>
    <w:rsid w:val="00F604B9"/>
    <w:rsid w:val="00F60D36"/>
    <w:rsid w:val="00F65467"/>
    <w:rsid w:val="00F66DDB"/>
    <w:rsid w:val="00F73238"/>
    <w:rsid w:val="00F83851"/>
    <w:rsid w:val="00F91584"/>
    <w:rsid w:val="00F9391F"/>
    <w:rsid w:val="00F94136"/>
    <w:rsid w:val="00FA6910"/>
    <w:rsid w:val="00FC4659"/>
    <w:rsid w:val="00FD50D9"/>
    <w:rsid w:val="00FE316B"/>
    <w:rsid w:val="00FE635D"/>
    <w:rsid w:val="00FF73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6E772"/>
  <w15:chartTrackingRefBased/>
  <w15:docId w15:val="{E001588B-1EC7-40F6-991A-7F098CA9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64"/>
  </w:style>
  <w:style w:type="paragraph" w:styleId="Overskrift1">
    <w:name w:val="heading 1"/>
    <w:basedOn w:val="Normal"/>
    <w:next w:val="Normal"/>
    <w:link w:val="Overskrift1Tegn"/>
    <w:uiPriority w:val="9"/>
    <w:qFormat/>
    <w:rsid w:val="00772277"/>
    <w:pPr>
      <w:keepNext/>
      <w:keepLines/>
      <w:spacing w:before="240" w:after="0"/>
      <w:outlineLvl w:val="0"/>
    </w:pPr>
    <w:rPr>
      <w:rFonts w:ascii="Times New Roman" w:eastAsiaTheme="majorEastAsia" w:hAnsi="Times New Roman" w:cstheme="majorBidi"/>
      <w:b/>
      <w:sz w:val="24"/>
      <w:szCs w:val="32"/>
    </w:rPr>
  </w:style>
  <w:style w:type="paragraph" w:styleId="Overskrift2">
    <w:name w:val="heading 2"/>
    <w:basedOn w:val="Normal"/>
    <w:next w:val="Normal"/>
    <w:link w:val="Overskrift2Tegn"/>
    <w:uiPriority w:val="9"/>
    <w:unhideWhenUsed/>
    <w:qFormat/>
    <w:rsid w:val="00772277"/>
    <w:pPr>
      <w:keepNext/>
      <w:keepLines/>
      <w:spacing w:before="40" w:after="0"/>
      <w:outlineLvl w:val="1"/>
    </w:pPr>
    <w:rPr>
      <w:rFonts w:ascii="Times New Roman" w:eastAsiaTheme="majorEastAsia" w:hAnsi="Times New Roman" w:cstheme="majorBidi"/>
      <w:b/>
      <w:i/>
      <w:color w:val="000000" w:themeColor="text1"/>
      <w:sz w:val="24"/>
      <w:szCs w:val="26"/>
    </w:rPr>
  </w:style>
  <w:style w:type="paragraph" w:styleId="Overskrift3">
    <w:name w:val="heading 3"/>
    <w:basedOn w:val="Normal"/>
    <w:next w:val="Normal"/>
    <w:link w:val="Overskrift3Tegn"/>
    <w:uiPriority w:val="9"/>
    <w:unhideWhenUsed/>
    <w:qFormat/>
    <w:rsid w:val="00E67646"/>
    <w:pPr>
      <w:keepNext/>
      <w:keepLines/>
      <w:spacing w:before="40" w:after="0"/>
      <w:outlineLvl w:val="2"/>
    </w:pPr>
    <w:rPr>
      <w:rFonts w:ascii="Times New Roman" w:eastAsiaTheme="majorEastAsia" w:hAnsi="Times New Roman" w:cstheme="majorBidi"/>
      <w:i/>
      <w:color w:val="000000" w:themeColor="text1"/>
      <w:sz w:val="24"/>
      <w:szCs w:val="24"/>
    </w:rPr>
  </w:style>
  <w:style w:type="paragraph" w:styleId="Overskrift4">
    <w:name w:val="heading 4"/>
    <w:basedOn w:val="Normal"/>
    <w:next w:val="Normal"/>
    <w:link w:val="Overskrift4Tegn"/>
    <w:uiPriority w:val="9"/>
    <w:unhideWhenUsed/>
    <w:qFormat/>
    <w:rsid w:val="00DB2D30"/>
    <w:pPr>
      <w:keepNext/>
      <w:keepLines/>
      <w:spacing w:before="40" w:after="0"/>
      <w:outlineLvl w:val="3"/>
    </w:pPr>
    <w:rPr>
      <w:rFonts w:ascii="Times New Roman" w:eastAsiaTheme="majorEastAsia" w:hAnsi="Times New Roman"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606C"/>
    <w:pPr>
      <w:ind w:left="720"/>
      <w:contextualSpacing/>
    </w:pPr>
  </w:style>
  <w:style w:type="character" w:styleId="Kommentarhenvisning">
    <w:name w:val="annotation reference"/>
    <w:basedOn w:val="Standardskrifttypeiafsnit"/>
    <w:semiHidden/>
    <w:unhideWhenUsed/>
    <w:rsid w:val="00C70A09"/>
    <w:rPr>
      <w:sz w:val="16"/>
      <w:szCs w:val="16"/>
    </w:rPr>
  </w:style>
  <w:style w:type="paragraph" w:styleId="Kommentartekst">
    <w:name w:val="annotation text"/>
    <w:basedOn w:val="Normal"/>
    <w:link w:val="KommentartekstTegn"/>
    <w:unhideWhenUsed/>
    <w:rsid w:val="00C70A09"/>
    <w:pPr>
      <w:spacing w:line="240" w:lineRule="auto"/>
    </w:pPr>
    <w:rPr>
      <w:sz w:val="20"/>
      <w:szCs w:val="20"/>
    </w:rPr>
  </w:style>
  <w:style w:type="character" w:customStyle="1" w:styleId="KommentartekstTegn">
    <w:name w:val="Kommentartekst Tegn"/>
    <w:basedOn w:val="Standardskrifttypeiafsnit"/>
    <w:link w:val="Kommentartekst"/>
    <w:uiPriority w:val="99"/>
    <w:rsid w:val="00C70A09"/>
    <w:rPr>
      <w:sz w:val="20"/>
      <w:szCs w:val="20"/>
    </w:rPr>
  </w:style>
  <w:style w:type="paragraph" w:styleId="Kommentaremne">
    <w:name w:val="annotation subject"/>
    <w:basedOn w:val="Kommentartekst"/>
    <w:next w:val="Kommentartekst"/>
    <w:link w:val="KommentaremneTegn"/>
    <w:uiPriority w:val="99"/>
    <w:semiHidden/>
    <w:unhideWhenUsed/>
    <w:rsid w:val="00C70A09"/>
    <w:rPr>
      <w:b/>
      <w:bCs/>
    </w:rPr>
  </w:style>
  <w:style w:type="character" w:customStyle="1" w:styleId="KommentaremneTegn">
    <w:name w:val="Kommentaremne Tegn"/>
    <w:basedOn w:val="KommentartekstTegn"/>
    <w:link w:val="Kommentaremne"/>
    <w:uiPriority w:val="99"/>
    <w:semiHidden/>
    <w:rsid w:val="00C70A09"/>
    <w:rPr>
      <w:b/>
      <w:bCs/>
      <w:sz w:val="20"/>
      <w:szCs w:val="20"/>
    </w:rPr>
  </w:style>
  <w:style w:type="paragraph" w:styleId="Markeringsbobletekst">
    <w:name w:val="Balloon Text"/>
    <w:basedOn w:val="Normal"/>
    <w:link w:val="MarkeringsbobletekstTegn"/>
    <w:uiPriority w:val="99"/>
    <w:semiHidden/>
    <w:unhideWhenUsed/>
    <w:rsid w:val="00C70A0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0A09"/>
    <w:rPr>
      <w:rFonts w:ascii="Segoe UI" w:hAnsi="Segoe UI" w:cs="Segoe UI"/>
      <w:sz w:val="18"/>
      <w:szCs w:val="18"/>
    </w:rPr>
  </w:style>
  <w:style w:type="paragraph" w:styleId="Fodnotetekst">
    <w:name w:val="footnote text"/>
    <w:basedOn w:val="Normal"/>
    <w:link w:val="FodnotetekstTegn"/>
    <w:uiPriority w:val="99"/>
    <w:semiHidden/>
    <w:unhideWhenUsed/>
    <w:rsid w:val="004E323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E3234"/>
    <w:rPr>
      <w:sz w:val="20"/>
      <w:szCs w:val="20"/>
    </w:rPr>
  </w:style>
  <w:style w:type="character" w:styleId="Fodnotehenvisning">
    <w:name w:val="footnote reference"/>
    <w:basedOn w:val="Standardskrifttypeiafsnit"/>
    <w:uiPriority w:val="99"/>
    <w:semiHidden/>
    <w:unhideWhenUsed/>
    <w:rsid w:val="004E3234"/>
    <w:rPr>
      <w:vertAlign w:val="superscript"/>
    </w:rPr>
  </w:style>
  <w:style w:type="paragraph" w:styleId="Sidehoved">
    <w:name w:val="header"/>
    <w:basedOn w:val="Normal"/>
    <w:link w:val="SidehovedTegn"/>
    <w:uiPriority w:val="99"/>
    <w:unhideWhenUsed/>
    <w:rsid w:val="0054029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40292"/>
  </w:style>
  <w:style w:type="paragraph" w:styleId="Sidefod">
    <w:name w:val="footer"/>
    <w:basedOn w:val="Normal"/>
    <w:link w:val="SidefodTegn"/>
    <w:uiPriority w:val="99"/>
    <w:unhideWhenUsed/>
    <w:rsid w:val="0054029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40292"/>
  </w:style>
  <w:style w:type="character" w:customStyle="1" w:styleId="Overskrift1Tegn">
    <w:name w:val="Overskrift 1 Tegn"/>
    <w:basedOn w:val="Standardskrifttypeiafsnit"/>
    <w:link w:val="Overskrift1"/>
    <w:uiPriority w:val="9"/>
    <w:rsid w:val="00772277"/>
    <w:rPr>
      <w:rFonts w:ascii="Times New Roman" w:eastAsiaTheme="majorEastAsia" w:hAnsi="Times New Roman" w:cstheme="majorBidi"/>
      <w:b/>
      <w:sz w:val="24"/>
      <w:szCs w:val="32"/>
    </w:rPr>
  </w:style>
  <w:style w:type="character" w:customStyle="1" w:styleId="Overskrift2Tegn">
    <w:name w:val="Overskrift 2 Tegn"/>
    <w:basedOn w:val="Standardskrifttypeiafsnit"/>
    <w:link w:val="Overskrift2"/>
    <w:uiPriority w:val="9"/>
    <w:rsid w:val="00772277"/>
    <w:rPr>
      <w:rFonts w:ascii="Times New Roman" w:eastAsiaTheme="majorEastAsia" w:hAnsi="Times New Roman" w:cstheme="majorBidi"/>
      <w:b/>
      <w:i/>
      <w:color w:val="000000" w:themeColor="text1"/>
      <w:sz w:val="24"/>
      <w:szCs w:val="26"/>
    </w:rPr>
  </w:style>
  <w:style w:type="character" w:customStyle="1" w:styleId="Overskrift3Tegn">
    <w:name w:val="Overskrift 3 Tegn"/>
    <w:basedOn w:val="Standardskrifttypeiafsnit"/>
    <w:link w:val="Overskrift3"/>
    <w:uiPriority w:val="9"/>
    <w:rsid w:val="00E67646"/>
    <w:rPr>
      <w:rFonts w:ascii="Times New Roman" w:eastAsiaTheme="majorEastAsia" w:hAnsi="Times New Roman" w:cstheme="majorBidi"/>
      <w:i/>
      <w:color w:val="000000" w:themeColor="text1"/>
      <w:sz w:val="24"/>
      <w:szCs w:val="24"/>
    </w:rPr>
  </w:style>
  <w:style w:type="character" w:customStyle="1" w:styleId="Overskrift4Tegn">
    <w:name w:val="Overskrift 4 Tegn"/>
    <w:basedOn w:val="Standardskrifttypeiafsnit"/>
    <w:link w:val="Overskrift4"/>
    <w:uiPriority w:val="9"/>
    <w:rsid w:val="00DB2D30"/>
    <w:rPr>
      <w:rFonts w:ascii="Times New Roman" w:eastAsiaTheme="majorEastAsia" w:hAnsi="Times New Roman" w:cstheme="majorBidi"/>
      <w:i/>
      <w:iCs/>
      <w:color w:val="2E74B5" w:themeColor="accent1" w:themeShade="BF"/>
    </w:rPr>
  </w:style>
  <w:style w:type="paragraph" w:styleId="Overskrift">
    <w:name w:val="TOC Heading"/>
    <w:basedOn w:val="Overskrift1"/>
    <w:next w:val="Normal"/>
    <w:uiPriority w:val="39"/>
    <w:unhideWhenUsed/>
    <w:qFormat/>
    <w:rsid w:val="00B763C1"/>
    <w:pPr>
      <w:outlineLvl w:val="9"/>
    </w:pPr>
    <w:rPr>
      <w:rFonts w:asciiTheme="majorHAnsi" w:hAnsiTheme="majorHAnsi"/>
      <w:b w:val="0"/>
      <w:color w:val="2E74B5" w:themeColor="accent1" w:themeShade="BF"/>
      <w:sz w:val="32"/>
      <w:lang w:eastAsia="da-DK"/>
    </w:rPr>
  </w:style>
  <w:style w:type="paragraph" w:styleId="Indholdsfortegnelse1">
    <w:name w:val="toc 1"/>
    <w:basedOn w:val="Normal"/>
    <w:next w:val="Normal"/>
    <w:autoRedefine/>
    <w:uiPriority w:val="39"/>
    <w:unhideWhenUsed/>
    <w:rsid w:val="00B763C1"/>
    <w:pPr>
      <w:spacing w:after="100"/>
    </w:pPr>
  </w:style>
  <w:style w:type="paragraph" w:styleId="Indholdsfortegnelse2">
    <w:name w:val="toc 2"/>
    <w:basedOn w:val="Normal"/>
    <w:next w:val="Normal"/>
    <w:autoRedefine/>
    <w:uiPriority w:val="39"/>
    <w:unhideWhenUsed/>
    <w:rsid w:val="00B763C1"/>
    <w:pPr>
      <w:spacing w:after="100"/>
      <w:ind w:left="220"/>
    </w:pPr>
  </w:style>
  <w:style w:type="paragraph" w:styleId="Indholdsfortegnelse3">
    <w:name w:val="toc 3"/>
    <w:basedOn w:val="Normal"/>
    <w:next w:val="Normal"/>
    <w:autoRedefine/>
    <w:uiPriority w:val="39"/>
    <w:unhideWhenUsed/>
    <w:rsid w:val="00B763C1"/>
    <w:pPr>
      <w:spacing w:after="100"/>
      <w:ind w:left="440"/>
    </w:pPr>
  </w:style>
  <w:style w:type="character" w:styleId="Hyperlink">
    <w:name w:val="Hyperlink"/>
    <w:basedOn w:val="Standardskrifttypeiafsnit"/>
    <w:uiPriority w:val="99"/>
    <w:unhideWhenUsed/>
    <w:rsid w:val="00B763C1"/>
    <w:rPr>
      <w:color w:val="0563C1" w:themeColor="hyperlink"/>
      <w:u w:val="single"/>
    </w:rPr>
  </w:style>
  <w:style w:type="paragraph" w:customStyle="1" w:styleId="Default">
    <w:name w:val="Default"/>
    <w:rsid w:val="000F5E23"/>
    <w:pPr>
      <w:autoSpaceDE w:val="0"/>
      <w:autoSpaceDN w:val="0"/>
      <w:adjustRightInd w:val="0"/>
      <w:spacing w:after="0" w:line="240" w:lineRule="auto"/>
    </w:pPr>
    <w:rPr>
      <w:rFonts w:ascii="Calibri" w:hAnsi="Calibri" w:cs="Calibri"/>
      <w:color w:val="000000"/>
      <w:sz w:val="24"/>
      <w:szCs w:val="24"/>
      <w:lang w:val="en-US"/>
    </w:rPr>
  </w:style>
  <w:style w:type="paragraph" w:styleId="Korrektur">
    <w:name w:val="Revision"/>
    <w:hidden/>
    <w:uiPriority w:val="99"/>
    <w:semiHidden/>
    <w:rsid w:val="00B05D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139349">
      <w:bodyDiv w:val="1"/>
      <w:marLeft w:val="0"/>
      <w:marRight w:val="0"/>
      <w:marTop w:val="0"/>
      <w:marBottom w:val="0"/>
      <w:divBdr>
        <w:top w:val="none" w:sz="0" w:space="0" w:color="auto"/>
        <w:left w:val="none" w:sz="0" w:space="0" w:color="auto"/>
        <w:bottom w:val="none" w:sz="0" w:space="0" w:color="auto"/>
        <w:right w:val="none" w:sz="0" w:space="0" w:color="auto"/>
      </w:divBdr>
      <w:divsChild>
        <w:div w:id="1411000768">
          <w:marLeft w:val="274"/>
          <w:marRight w:val="0"/>
          <w:marTop w:val="150"/>
          <w:marBottom w:val="0"/>
          <w:divBdr>
            <w:top w:val="none" w:sz="0" w:space="0" w:color="auto"/>
            <w:left w:val="none" w:sz="0" w:space="0" w:color="auto"/>
            <w:bottom w:val="none" w:sz="0" w:space="0" w:color="auto"/>
            <w:right w:val="none" w:sz="0" w:space="0" w:color="auto"/>
          </w:divBdr>
        </w:div>
      </w:divsChild>
    </w:div>
    <w:div w:id="1796750156">
      <w:bodyDiv w:val="1"/>
      <w:marLeft w:val="0"/>
      <w:marRight w:val="0"/>
      <w:marTop w:val="0"/>
      <w:marBottom w:val="0"/>
      <w:divBdr>
        <w:top w:val="none" w:sz="0" w:space="0" w:color="auto"/>
        <w:left w:val="none" w:sz="0" w:space="0" w:color="auto"/>
        <w:bottom w:val="none" w:sz="0" w:space="0" w:color="auto"/>
        <w:right w:val="none" w:sz="0" w:space="0" w:color="auto"/>
      </w:divBdr>
      <w:divsChild>
        <w:div w:id="617294900">
          <w:marLeft w:val="850"/>
          <w:marRight w:val="0"/>
          <w:marTop w:val="150"/>
          <w:marBottom w:val="0"/>
          <w:divBdr>
            <w:top w:val="none" w:sz="0" w:space="0" w:color="auto"/>
            <w:left w:val="none" w:sz="0" w:space="0" w:color="auto"/>
            <w:bottom w:val="none" w:sz="0" w:space="0" w:color="auto"/>
            <w:right w:val="none" w:sz="0" w:space="0" w:color="auto"/>
          </w:divBdr>
        </w:div>
        <w:div w:id="892930496">
          <w:marLeft w:val="1354"/>
          <w:marRight w:val="0"/>
          <w:marTop w:val="75"/>
          <w:marBottom w:val="0"/>
          <w:divBdr>
            <w:top w:val="none" w:sz="0" w:space="0" w:color="auto"/>
            <w:left w:val="none" w:sz="0" w:space="0" w:color="auto"/>
            <w:bottom w:val="none" w:sz="0" w:space="0" w:color="auto"/>
            <w:right w:val="none" w:sz="0" w:space="0" w:color="auto"/>
          </w:divBdr>
        </w:div>
        <w:div w:id="16277850">
          <w:marLeft w:val="850"/>
          <w:marRight w:val="0"/>
          <w:marTop w:val="150"/>
          <w:marBottom w:val="0"/>
          <w:divBdr>
            <w:top w:val="none" w:sz="0" w:space="0" w:color="auto"/>
            <w:left w:val="none" w:sz="0" w:space="0" w:color="auto"/>
            <w:bottom w:val="none" w:sz="0" w:space="0" w:color="auto"/>
            <w:right w:val="none" w:sz="0" w:space="0" w:color="auto"/>
          </w:divBdr>
        </w:div>
        <w:div w:id="1597597648">
          <w:marLeft w:val="850"/>
          <w:marRight w:val="0"/>
          <w:marTop w:val="150"/>
          <w:marBottom w:val="0"/>
          <w:divBdr>
            <w:top w:val="none" w:sz="0" w:space="0" w:color="auto"/>
            <w:left w:val="none" w:sz="0" w:space="0" w:color="auto"/>
            <w:bottom w:val="none" w:sz="0" w:space="0" w:color="auto"/>
            <w:right w:val="none" w:sz="0" w:space="0" w:color="auto"/>
          </w:divBdr>
        </w:div>
        <w:div w:id="618142200">
          <w:marLeft w:val="850"/>
          <w:marRight w:val="0"/>
          <w:marTop w:val="150"/>
          <w:marBottom w:val="0"/>
          <w:divBdr>
            <w:top w:val="none" w:sz="0" w:space="0" w:color="auto"/>
            <w:left w:val="none" w:sz="0" w:space="0" w:color="auto"/>
            <w:bottom w:val="none" w:sz="0" w:space="0" w:color="auto"/>
            <w:right w:val="none" w:sz="0" w:space="0" w:color="auto"/>
          </w:divBdr>
        </w:div>
        <w:div w:id="1895891505">
          <w:marLeft w:val="850"/>
          <w:marRight w:val="0"/>
          <w:marTop w:val="150"/>
          <w:marBottom w:val="0"/>
          <w:divBdr>
            <w:top w:val="none" w:sz="0" w:space="0" w:color="auto"/>
            <w:left w:val="none" w:sz="0" w:space="0" w:color="auto"/>
            <w:bottom w:val="none" w:sz="0" w:space="0" w:color="auto"/>
            <w:right w:val="none" w:sz="0" w:space="0" w:color="auto"/>
          </w:divBdr>
        </w:div>
        <w:div w:id="988441874">
          <w:marLeft w:val="850"/>
          <w:marRight w:val="0"/>
          <w:marTop w:val="150"/>
          <w:marBottom w:val="0"/>
          <w:divBdr>
            <w:top w:val="none" w:sz="0" w:space="0" w:color="auto"/>
            <w:left w:val="none" w:sz="0" w:space="0" w:color="auto"/>
            <w:bottom w:val="none" w:sz="0" w:space="0" w:color="auto"/>
            <w:right w:val="none" w:sz="0" w:space="0" w:color="auto"/>
          </w:divBdr>
        </w:div>
      </w:divsChild>
    </w:div>
    <w:div w:id="1807890319">
      <w:bodyDiv w:val="1"/>
      <w:marLeft w:val="0"/>
      <w:marRight w:val="0"/>
      <w:marTop w:val="0"/>
      <w:marBottom w:val="0"/>
      <w:divBdr>
        <w:top w:val="none" w:sz="0" w:space="0" w:color="auto"/>
        <w:left w:val="none" w:sz="0" w:space="0" w:color="auto"/>
        <w:bottom w:val="none" w:sz="0" w:space="0" w:color="auto"/>
        <w:right w:val="none" w:sz="0" w:space="0" w:color="auto"/>
      </w:divBdr>
    </w:div>
    <w:div w:id="19511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iog\Desktop\EU%20analyse,%20fiskeriaftalen\Tabeller%20og%20figurer%20til%20fiskeriafgiftsnotet%20til%20EU.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'Ark5'!$H$26:$H$45</c:f>
              <c:strCache>
                <c:ptCount val="20"/>
                <c:pt idx="0">
                  <c:v>&lt; = 11,999 kr./1,606 €</c:v>
                </c:pt>
                <c:pt idx="1">
                  <c:v>12,00 kr./1,607 €</c:v>
                </c:pt>
                <c:pt idx="2">
                  <c:v>13,00 kr./1,741 €</c:v>
                </c:pt>
                <c:pt idx="3">
                  <c:v>14,00 kr./1,875 €</c:v>
                </c:pt>
                <c:pt idx="4">
                  <c:v>15,00 kr./2,009 €</c:v>
                </c:pt>
                <c:pt idx="5">
                  <c:v>16,00 kr./2,143 €</c:v>
                </c:pt>
                <c:pt idx="6">
                  <c:v>17,00 kr./2,277 €</c:v>
                </c:pt>
                <c:pt idx="7">
                  <c:v>17,01 kr./2,278 €</c:v>
                </c:pt>
                <c:pt idx="8">
                  <c:v>18,01 kr./2,412 €</c:v>
                </c:pt>
                <c:pt idx="9">
                  <c:v>19,01 kr./2,546 €</c:v>
                </c:pt>
                <c:pt idx="10">
                  <c:v>20,01 kr./2,680 €</c:v>
                </c:pt>
                <c:pt idx="11">
                  <c:v>21,01 kr./2,814 €</c:v>
                </c:pt>
                <c:pt idx="12">
                  <c:v>22,01 kr./2,948 €</c:v>
                </c:pt>
                <c:pt idx="13">
                  <c:v>23,01 kr./3,082 €</c:v>
                </c:pt>
                <c:pt idx="14">
                  <c:v>24,01 kr./3,216 €</c:v>
                </c:pt>
                <c:pt idx="15">
                  <c:v>25,01 kr./3,349 €</c:v>
                </c:pt>
                <c:pt idx="16">
                  <c:v>26,01 kr./3,483 €</c:v>
                </c:pt>
                <c:pt idx="17">
                  <c:v>27,01 kr./3,617 €</c:v>
                </c:pt>
                <c:pt idx="18">
                  <c:v>28,01 kr./3,751 €</c:v>
                </c:pt>
                <c:pt idx="19">
                  <c:v>29,01 kr./3,885 €</c:v>
                </c:pt>
              </c:strCache>
            </c:strRef>
          </c:cat>
          <c:val>
            <c:numRef>
              <c:f>'Ark5'!$I$26:$I$45</c:f>
              <c:numCache>
                <c:formatCode>0.0%</c:formatCode>
                <c:ptCount val="20"/>
                <c:pt idx="0">
                  <c:v>0</c:v>
                </c:pt>
                <c:pt idx="1">
                  <c:v>0.05</c:v>
                </c:pt>
                <c:pt idx="2">
                  <c:v>0.05</c:v>
                </c:pt>
                <c:pt idx="3">
                  <c:v>0.05</c:v>
                </c:pt>
                <c:pt idx="4">
                  <c:v>0.05</c:v>
                </c:pt>
                <c:pt idx="5">
                  <c:v>0.05</c:v>
                </c:pt>
                <c:pt idx="6">
                  <c:v>0.05</c:v>
                </c:pt>
                <c:pt idx="7">
                  <c:v>0.06</c:v>
                </c:pt>
                <c:pt idx="8">
                  <c:v>7.0000000000000007E-2</c:v>
                </c:pt>
                <c:pt idx="9">
                  <c:v>0.08</c:v>
                </c:pt>
                <c:pt idx="10">
                  <c:v>0.09</c:v>
                </c:pt>
                <c:pt idx="11">
                  <c:v>0.1</c:v>
                </c:pt>
                <c:pt idx="12">
                  <c:v>0.11</c:v>
                </c:pt>
                <c:pt idx="13">
                  <c:v>0.12</c:v>
                </c:pt>
                <c:pt idx="14">
                  <c:v>0.13</c:v>
                </c:pt>
                <c:pt idx="15">
                  <c:v>0.14000000000000001</c:v>
                </c:pt>
                <c:pt idx="16">
                  <c:v>0.15</c:v>
                </c:pt>
                <c:pt idx="17">
                  <c:v>0.16</c:v>
                </c:pt>
                <c:pt idx="18">
                  <c:v>0.17</c:v>
                </c:pt>
                <c:pt idx="19">
                  <c:v>0.17899999999999999</c:v>
                </c:pt>
              </c:numCache>
            </c:numRef>
          </c:val>
          <c:smooth val="0"/>
          <c:extLst>
            <c:ext xmlns:c16="http://schemas.microsoft.com/office/drawing/2014/chart" uri="{C3380CC4-5D6E-409C-BE32-E72D297353CC}">
              <c16:uniqueId val="{00000000-1D5C-4646-BA73-6B1E2259556D}"/>
            </c:ext>
          </c:extLst>
        </c:ser>
        <c:dLbls>
          <c:showLegendKey val="0"/>
          <c:showVal val="0"/>
          <c:showCatName val="0"/>
          <c:showSerName val="0"/>
          <c:showPercent val="0"/>
          <c:showBubbleSize val="0"/>
        </c:dLbls>
        <c:marker val="1"/>
        <c:smooth val="0"/>
        <c:axId val="254450688"/>
        <c:axId val="256689664"/>
      </c:lineChart>
      <c:catAx>
        <c:axId val="25445068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solidFill>
                      <a:schemeClr val="tx1"/>
                    </a:solidFill>
                    <a:latin typeface="Times New Roman" panose="02020603050405020304" pitchFamily="18" charset="0"/>
                    <a:cs typeface="Times New Roman" panose="02020603050405020304" pitchFamily="18" charset="0"/>
                  </a:rPr>
                  <a:t>Gennemsnits eksportpris i kroner</a:t>
                </a:r>
                <a:r>
                  <a:rPr lang="en-US" b="1" baseline="0">
                    <a:solidFill>
                      <a:schemeClr val="tx1"/>
                    </a:solidFill>
                    <a:latin typeface="Times New Roman" panose="02020603050405020304" pitchFamily="18" charset="0"/>
                    <a:cs typeface="Times New Roman" panose="02020603050405020304" pitchFamily="18" charset="0"/>
                  </a:rPr>
                  <a:t> og euro</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256689664"/>
        <c:crosses val="autoZero"/>
        <c:auto val="1"/>
        <c:lblAlgn val="ctr"/>
        <c:lblOffset val="100"/>
        <c:noMultiLvlLbl val="0"/>
      </c:catAx>
      <c:valAx>
        <c:axId val="256689664"/>
        <c:scaling>
          <c:orientation val="minMax"/>
          <c:max val="0.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latin typeface="Times New Roman" panose="02020603050405020304" pitchFamily="18" charset="0"/>
                    <a:cs typeface="Times New Roman" panose="02020603050405020304" pitchFamily="18" charset="0"/>
                  </a:rPr>
                  <a:t>Afgiftssats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254450688"/>
        <c:crosses val="autoZero"/>
        <c:crossBetween val="between"/>
        <c:majorUnit val="1.0000000000000002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108181126292297E-2"/>
          <c:y val="4.0224575437037211E-2"/>
          <c:w val="0.90011208515772401"/>
          <c:h val="0.70094055040762338"/>
        </c:manualLayout>
      </c:layout>
      <c:barChart>
        <c:barDir val="col"/>
        <c:grouping val="clustered"/>
        <c:varyColors val="0"/>
        <c:ser>
          <c:idx val="0"/>
          <c:order val="0"/>
          <c:tx>
            <c:v>Rejeafgift</c:v>
          </c:tx>
          <c:invertIfNegative val="0"/>
          <c:dLbls>
            <c:dLbl>
              <c:idx val="3"/>
              <c:layout>
                <c:manualLayout>
                  <c:x val="0"/>
                  <c:y val="1.1511391630011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FF-4303-8231-15FEE0E93DCE}"/>
                </c:ext>
              </c:extLst>
            </c:dLbl>
            <c:dLbl>
              <c:idx val="8"/>
              <c:layout>
                <c:manualLayout>
                  <c:x val="1.6611295681063124E-2"/>
                  <c:y val="2.2107078769305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FF-4303-8231-15FEE0E93DCE}"/>
                </c:ext>
              </c:extLst>
            </c:dLbl>
            <c:dLbl>
              <c:idx val="9"/>
              <c:layout>
                <c:manualLayout>
                  <c:x val="1.672116566824495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FF-4303-8231-15FEE0E93DCE}"/>
                </c:ext>
              </c:extLst>
            </c:dLbl>
            <c:dLbl>
              <c:idx val="12"/>
              <c:layout>
                <c:manualLayout>
                  <c:x val="3.7799193011321345E-3"/>
                  <c:y val="8.97730173094510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FF-4303-8231-15FEE0E93DCE}"/>
                </c:ext>
              </c:extLst>
            </c:dLbl>
            <c:dLbl>
              <c:idx val="13"/>
              <c:layout>
                <c:manualLayout>
                  <c:x val="1.2161274658407157E-16"/>
                  <c:y val="6.09946488249195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FF-4303-8231-15FEE0E93DCE}"/>
                </c:ext>
              </c:extLst>
            </c:dLbl>
            <c:dLbl>
              <c:idx val="14"/>
              <c:layout>
                <c:manualLayout>
                  <c:x val="0"/>
                  <c:y val="8.63371367750201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BFF-4303-8231-15FEE0E93DCE}"/>
                </c:ext>
              </c:extLst>
            </c:dLbl>
            <c:dLbl>
              <c:idx val="15"/>
              <c:layout>
                <c:manualLayout>
                  <c:x val="0"/>
                  <c:y val="-5.75580911833467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BFF-4303-8231-15FEE0E93DCE}"/>
                </c:ext>
              </c:extLst>
            </c:dLbl>
            <c:spPr>
              <a:noFill/>
              <a:ln>
                <a:noFill/>
              </a:ln>
              <a:effectLst/>
            </c:spPr>
            <c:txPr>
              <a:bodyPr/>
              <a:lstStyle/>
              <a:p>
                <a:pPr>
                  <a:defRPr sz="600"/>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 5_Fiskeriafgifter'!$D$19:$D$34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'Figur 5_Fiskeriafgifter'!$E$19:$E$34</c:f>
              <c:numCache>
                <c:formatCode>#,##0</c:formatCode>
                <c:ptCount val="16"/>
                <c:pt idx="0">
                  <c:v>4.9000000000000002E-2</c:v>
                </c:pt>
                <c:pt idx="1">
                  <c:v>0.52600000000000002</c:v>
                </c:pt>
                <c:pt idx="2">
                  <c:v>0.40600000000000003</c:v>
                </c:pt>
                <c:pt idx="3">
                  <c:v>6.2132820000000004</c:v>
                </c:pt>
                <c:pt idx="4">
                  <c:v>12.362</c:v>
                </c:pt>
                <c:pt idx="5">
                  <c:v>21.707999999999998</c:v>
                </c:pt>
                <c:pt idx="6">
                  <c:v>27.882999999999999</c:v>
                </c:pt>
                <c:pt idx="7">
                  <c:v>60.27</c:v>
                </c:pt>
                <c:pt idx="8">
                  <c:v>103.67700000000001</c:v>
                </c:pt>
                <c:pt idx="9">
                  <c:v>145.304</c:v>
                </c:pt>
                <c:pt idx="10">
                  <c:v>153</c:v>
                </c:pt>
                <c:pt idx="11">
                  <c:v>167.5</c:v>
                </c:pt>
                <c:pt idx="12">
                  <c:v>175.43199999999999</c:v>
                </c:pt>
                <c:pt idx="13">
                  <c:v>263.34800000000001</c:v>
                </c:pt>
                <c:pt idx="14">
                  <c:v>263.84629961000002</c:v>
                </c:pt>
                <c:pt idx="15">
                  <c:v>278.60000000000002</c:v>
                </c:pt>
              </c:numCache>
            </c:numRef>
          </c:val>
          <c:extLst>
            <c:ext xmlns:c16="http://schemas.microsoft.com/office/drawing/2014/chart" uri="{C3380CC4-5D6E-409C-BE32-E72D297353CC}">
              <c16:uniqueId val="{00000007-3BFF-4303-8231-15FEE0E93DCE}"/>
            </c:ext>
          </c:extLst>
        </c:ser>
        <c:ser>
          <c:idx val="1"/>
          <c:order val="1"/>
          <c:tx>
            <c:v>Hellefiskeafgift</c:v>
          </c:tx>
          <c:invertIfNegative val="0"/>
          <c:dLbls>
            <c:dLbl>
              <c:idx val="11"/>
              <c:layout>
                <c:manualLayout>
                  <c:x val="1.65837479270315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BFF-4303-8231-15FEE0E93DCE}"/>
                </c:ext>
              </c:extLst>
            </c:dLbl>
            <c:dLbl>
              <c:idx val="12"/>
              <c:layout>
                <c:manualLayout>
                  <c:x val="3.316749585406301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BFF-4303-8231-15FEE0E93DCE}"/>
                </c:ext>
              </c:extLst>
            </c:dLbl>
            <c:dLbl>
              <c:idx val="14"/>
              <c:layout>
                <c:manualLayout>
                  <c:x val="1.709840129947849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BFF-4303-8231-15FEE0E93DCE}"/>
                </c:ext>
              </c:extLst>
            </c:dLbl>
            <c:dLbl>
              <c:idx val="15"/>
              <c:layout>
                <c:manualLayout>
                  <c:x val="3.316749585406301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BFF-4303-8231-15FEE0E93DCE}"/>
                </c:ext>
              </c:extLst>
            </c:dLbl>
            <c:dLbl>
              <c:idx val="16"/>
              <c:layout>
                <c:manualLayout>
                  <c:x val="1.7612723782661497E-3"/>
                  <c:y val="-8.74818013700731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BFF-4303-8231-15FEE0E93DCE}"/>
                </c:ext>
              </c:extLst>
            </c:dLbl>
            <c:dLbl>
              <c:idx val="17"/>
              <c:layout>
                <c:manualLayout>
                  <c:x val="8.3433227562972542E-3"/>
                  <c:y val="-1.1511564983170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BFF-4303-8231-15FEE0E93DCE}"/>
                </c:ext>
              </c:extLst>
            </c:dLbl>
            <c:spPr>
              <a:noFill/>
              <a:ln>
                <a:noFill/>
              </a:ln>
              <a:effectLst/>
            </c:spPr>
            <c:txPr>
              <a:bodyPr/>
              <a:lstStyle/>
              <a:p>
                <a:pPr>
                  <a:defRPr sz="600"/>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 5_Fiskeriafgifter'!$D$19:$D$34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'Figur 5_Fiskeriafgifter'!$F$19:$F$34</c:f>
              <c:numCache>
                <c:formatCode>General</c:formatCode>
                <c:ptCount val="16"/>
                <c:pt idx="8" formatCode="#,##0">
                  <c:v>18.8</c:v>
                </c:pt>
                <c:pt idx="9" formatCode="#,##0">
                  <c:v>18.759</c:v>
                </c:pt>
                <c:pt idx="10" formatCode="#,##0">
                  <c:v>30</c:v>
                </c:pt>
                <c:pt idx="11" formatCode="#,##0">
                  <c:v>53.9</c:v>
                </c:pt>
                <c:pt idx="12" formatCode="#,##0">
                  <c:v>47.798999999999999</c:v>
                </c:pt>
                <c:pt idx="13" formatCode="#,##0">
                  <c:v>91.972999999999999</c:v>
                </c:pt>
                <c:pt idx="14" formatCode="#,##0">
                  <c:v>97.641000000000005</c:v>
                </c:pt>
                <c:pt idx="15" formatCode="#,##0">
                  <c:v>74.3</c:v>
                </c:pt>
              </c:numCache>
            </c:numRef>
          </c:val>
          <c:extLst>
            <c:ext xmlns:c16="http://schemas.microsoft.com/office/drawing/2014/chart" uri="{C3380CC4-5D6E-409C-BE32-E72D297353CC}">
              <c16:uniqueId val="{0000000E-3BFF-4303-8231-15FEE0E93DCE}"/>
            </c:ext>
          </c:extLst>
        </c:ser>
        <c:ser>
          <c:idx val="2"/>
          <c:order val="2"/>
          <c:tx>
            <c:v>Afgifter på pelagiske arter</c:v>
          </c:tx>
          <c:invertIfNegative val="0"/>
          <c:dLbls>
            <c:dLbl>
              <c:idx val="10"/>
              <c:layout>
                <c:manualLayout>
                  <c:x val="4.9833887043189366E-3"/>
                  <c:y val="2.7633848461632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BFF-4303-8231-15FEE0E93DCE}"/>
                </c:ext>
              </c:extLst>
            </c:dLbl>
            <c:dLbl>
              <c:idx val="11"/>
              <c:layout>
                <c:manualLayout>
                  <c:x val="4.9751484552802991E-3"/>
                  <c:y val="8.29015453848960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BFF-4303-8231-15FEE0E93DCE}"/>
                </c:ext>
              </c:extLst>
            </c:dLbl>
            <c:dLbl>
              <c:idx val="12"/>
              <c:layout>
                <c:manualLayout>
                  <c:x val="3.3167495854063019E-3"/>
                  <c:y val="8.28993694913174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BFF-4303-8231-15FEE0E93DCE}"/>
                </c:ext>
              </c:extLst>
            </c:dLbl>
            <c:dLbl>
              <c:idx val="13"/>
              <c:layout>
                <c:manualLayout>
                  <c:x val="4.9751243781095741E-3"/>
                  <c:y val="8.63351054535943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BFF-4303-8231-15FEE0E93DCE}"/>
                </c:ext>
              </c:extLst>
            </c:dLbl>
            <c:dLbl>
              <c:idx val="14"/>
              <c:layout>
                <c:manualLayout>
                  <c:x val="1.4610092343108274E-4"/>
                  <c:y val="8.63372813471730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BFF-4303-8231-15FEE0E93DCE}"/>
                </c:ext>
              </c:extLst>
            </c:dLbl>
            <c:dLbl>
              <c:idx val="15"/>
              <c:layout>
                <c:manualLayout>
                  <c:x val="1.7097054968667517E-3"/>
                  <c:y val="1.15116182366693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BFF-4303-8231-15FEE0E93DCE}"/>
                </c:ext>
              </c:extLst>
            </c:dLbl>
            <c:dLbl>
              <c:idx val="16"/>
              <c:layout>
                <c:manualLayout>
                  <c:x val="5.129520389843549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BFF-4303-8231-15FEE0E93DCE}"/>
                </c:ext>
              </c:extLst>
            </c:dLbl>
            <c:dLbl>
              <c:idx val="17"/>
              <c:layout>
                <c:manualLayout>
                  <c:x val="5.129520389843549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BFF-4303-8231-15FEE0E93DCE}"/>
                </c:ext>
              </c:extLst>
            </c:dLbl>
            <c:spPr>
              <a:noFill/>
              <a:ln>
                <a:noFill/>
              </a:ln>
              <a:effectLst/>
            </c:spPr>
            <c:txPr>
              <a:bodyPr/>
              <a:lstStyle/>
              <a:p>
                <a:pPr>
                  <a:defRPr sz="600"/>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 5_Fiskeriafgifter'!$D$19:$D$34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'Figur 5_Fiskeriafgifter'!$G$19:$G$34</c:f>
              <c:numCache>
                <c:formatCode>General</c:formatCode>
                <c:ptCount val="16"/>
                <c:pt idx="9" formatCode="#,##0">
                  <c:v>74.403999999999996</c:v>
                </c:pt>
                <c:pt idx="10" formatCode="#,##0">
                  <c:v>28.686</c:v>
                </c:pt>
                <c:pt idx="11" formatCode="#,##0">
                  <c:v>47</c:v>
                </c:pt>
                <c:pt idx="12" formatCode="#,##0">
                  <c:v>33.707999999999998</c:v>
                </c:pt>
                <c:pt idx="13" formatCode="#,##0">
                  <c:v>46.942</c:v>
                </c:pt>
                <c:pt idx="14" formatCode="#,##0">
                  <c:v>17.298583000000001</c:v>
                </c:pt>
                <c:pt idx="15" formatCode="#,##0">
                  <c:v>26</c:v>
                </c:pt>
              </c:numCache>
            </c:numRef>
          </c:val>
          <c:extLst>
            <c:ext xmlns:c16="http://schemas.microsoft.com/office/drawing/2014/chart" uri="{C3380CC4-5D6E-409C-BE32-E72D297353CC}">
              <c16:uniqueId val="{00000017-3BFF-4303-8231-15FEE0E93DCE}"/>
            </c:ext>
          </c:extLst>
        </c:ser>
        <c:ser>
          <c:idx val="4"/>
          <c:order val="3"/>
          <c:tx>
            <c:v>Afgifter på andre arter</c:v>
          </c:tx>
          <c:invertIfNegative val="0"/>
          <c:dLbls>
            <c:dLbl>
              <c:idx val="12"/>
              <c:layout>
                <c:manualLayout>
                  <c:x val="4.9833887043189366E-3"/>
                  <c:y val="5.52676969232647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BFF-4303-8231-15FEE0E93DCE}"/>
                </c:ext>
              </c:extLst>
            </c:dLbl>
            <c:dLbl>
              <c:idx val="13"/>
              <c:layout>
                <c:manualLayout>
                  <c:x val="3.3167495854063019E-3"/>
                  <c:y val="1.013229405347300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BFF-4303-8231-15FEE0E93DCE}"/>
                </c:ext>
              </c:extLst>
            </c:dLbl>
            <c:dLbl>
              <c:idx val="14"/>
              <c:layout>
                <c:manualLayout>
                  <c:x val="3.3167495854063019E-3"/>
                  <c:y val="5.52676969232647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BFF-4303-8231-15FEE0E93DCE}"/>
                </c:ext>
              </c:extLst>
            </c:dLbl>
            <c:dLbl>
              <c:idx val="15"/>
              <c:layout>
                <c:manualLayout>
                  <c:x val="4.9833887043188151E-3"/>
                  <c:y val="2.7633848461632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BFF-4303-8231-15FEE0E93DCE}"/>
                </c:ext>
              </c:extLst>
            </c:dLbl>
            <c:dLbl>
              <c:idx val="16"/>
              <c:layout>
                <c:manualLayout>
                  <c:x val="3.316749585406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BFF-4303-8231-15FEE0E93DCE}"/>
                </c:ext>
              </c:extLst>
            </c:dLbl>
            <c:dLbl>
              <c:idx val="17"/>
              <c:layout>
                <c:manualLayout>
                  <c:x val="6.633499170812603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BFF-4303-8231-15FEE0E93DCE}"/>
                </c:ext>
              </c:extLst>
            </c:dLbl>
            <c:spPr>
              <a:noFill/>
              <a:ln>
                <a:noFill/>
              </a:ln>
              <a:effectLst/>
            </c:spPr>
            <c:txPr>
              <a:bodyPr/>
              <a:lstStyle/>
              <a:p>
                <a:pPr>
                  <a:defRPr sz="600"/>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 5_Fiskeriafgifter'!$D$19:$D$34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'Figur 5_Fiskeriafgifter'!$H$19:$H$34</c:f>
              <c:numCache>
                <c:formatCode>General</c:formatCode>
                <c:ptCount val="16"/>
                <c:pt idx="12" formatCode="#,##0">
                  <c:v>16.202999999999999</c:v>
                </c:pt>
                <c:pt idx="13" formatCode="#,##0">
                  <c:v>23.478000000000002</c:v>
                </c:pt>
                <c:pt idx="14" formatCode="#,##0">
                  <c:v>26.534670999999999</c:v>
                </c:pt>
                <c:pt idx="15" formatCode="#,##0">
                  <c:v>14.6</c:v>
                </c:pt>
              </c:numCache>
            </c:numRef>
          </c:val>
          <c:extLst>
            <c:ext xmlns:c16="http://schemas.microsoft.com/office/drawing/2014/chart" uri="{C3380CC4-5D6E-409C-BE32-E72D297353CC}">
              <c16:uniqueId val="{0000001E-3BFF-4303-8231-15FEE0E93DCE}"/>
            </c:ext>
          </c:extLst>
        </c:ser>
        <c:dLbls>
          <c:showLegendKey val="0"/>
          <c:showVal val="0"/>
          <c:showCatName val="0"/>
          <c:showSerName val="0"/>
          <c:showPercent val="0"/>
          <c:showBubbleSize val="0"/>
        </c:dLbls>
        <c:gapWidth val="150"/>
        <c:axId val="113779840"/>
        <c:axId val="113781376"/>
      </c:barChart>
      <c:lineChart>
        <c:grouping val="standard"/>
        <c:varyColors val="0"/>
        <c:ser>
          <c:idx val="3"/>
          <c:order val="4"/>
          <c:tx>
            <c:v>Samlet afgiftsprovenu</c:v>
          </c:tx>
          <c:marker>
            <c:symbol val="square"/>
            <c:size val="5"/>
          </c:marker>
          <c:cat>
            <c:numRef>
              <c:f>'Figur 5_Fiskeriafgifter'!$D$19:$D$34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'Figur 5_Fiskeriafgifter'!$I$19:$I$34</c:f>
              <c:numCache>
                <c:formatCode>#,##0</c:formatCode>
                <c:ptCount val="16"/>
                <c:pt idx="0">
                  <c:v>4.9000000000000002E-2</c:v>
                </c:pt>
                <c:pt idx="1">
                  <c:v>0.52600000000000002</c:v>
                </c:pt>
                <c:pt idx="2">
                  <c:v>0.40600000000000003</c:v>
                </c:pt>
                <c:pt idx="3">
                  <c:v>6.2132820000000004</c:v>
                </c:pt>
                <c:pt idx="4">
                  <c:v>12.362</c:v>
                </c:pt>
                <c:pt idx="5">
                  <c:v>21.707999999999998</c:v>
                </c:pt>
                <c:pt idx="6">
                  <c:v>27.882999999999999</c:v>
                </c:pt>
                <c:pt idx="7">
                  <c:v>60.27</c:v>
                </c:pt>
                <c:pt idx="8">
                  <c:v>122.477</c:v>
                </c:pt>
                <c:pt idx="9">
                  <c:v>238.46699999999998</c:v>
                </c:pt>
                <c:pt idx="10">
                  <c:v>187.249</c:v>
                </c:pt>
                <c:pt idx="11">
                  <c:v>270</c:v>
                </c:pt>
                <c:pt idx="12">
                  <c:v>273.14199999999994</c:v>
                </c:pt>
                <c:pt idx="13">
                  <c:v>425.74100000000004</c:v>
                </c:pt>
                <c:pt idx="14">
                  <c:v>405.32055361000005</c:v>
                </c:pt>
                <c:pt idx="15">
                  <c:v>393.50000000000006</c:v>
                </c:pt>
              </c:numCache>
            </c:numRef>
          </c:val>
          <c:smooth val="0"/>
          <c:extLst>
            <c:ext xmlns:c16="http://schemas.microsoft.com/office/drawing/2014/chart" uri="{C3380CC4-5D6E-409C-BE32-E72D297353CC}">
              <c16:uniqueId val="{0000001F-3BFF-4303-8231-15FEE0E93DCE}"/>
            </c:ext>
          </c:extLst>
        </c:ser>
        <c:dLbls>
          <c:showLegendKey val="0"/>
          <c:showVal val="0"/>
          <c:showCatName val="0"/>
          <c:showSerName val="0"/>
          <c:showPercent val="0"/>
          <c:showBubbleSize val="0"/>
        </c:dLbls>
        <c:marker val="1"/>
        <c:smooth val="0"/>
        <c:axId val="113779840"/>
        <c:axId val="113781376"/>
      </c:lineChart>
      <c:catAx>
        <c:axId val="113779840"/>
        <c:scaling>
          <c:orientation val="minMax"/>
        </c:scaling>
        <c:delete val="0"/>
        <c:axPos val="b"/>
        <c:numFmt formatCode="General" sourceLinked="1"/>
        <c:majorTickMark val="out"/>
        <c:minorTickMark val="none"/>
        <c:tickLblPos val="nextTo"/>
        <c:txPr>
          <a:bodyPr rot="-2580000"/>
          <a:lstStyle/>
          <a:p>
            <a:pPr>
              <a:defRPr sz="800"/>
            </a:pPr>
            <a:endParaRPr lang="da-DK"/>
          </a:p>
        </c:txPr>
        <c:crossAx val="113781376"/>
        <c:crosses val="autoZero"/>
        <c:auto val="1"/>
        <c:lblAlgn val="ctr"/>
        <c:lblOffset val="100"/>
        <c:noMultiLvlLbl val="0"/>
      </c:catAx>
      <c:valAx>
        <c:axId val="113781376"/>
        <c:scaling>
          <c:orientation val="minMax"/>
          <c:max val="450"/>
        </c:scaling>
        <c:delete val="0"/>
        <c:axPos val="l"/>
        <c:majorGridlines>
          <c:spPr>
            <a:ln>
              <a:solidFill>
                <a:schemeClr val="bg1">
                  <a:lumMod val="85000"/>
                </a:schemeClr>
              </a:solidFill>
            </a:ln>
          </c:spPr>
        </c:majorGridlines>
        <c:title>
          <c:tx>
            <c:rich>
              <a:bodyPr rot="-5400000" vert="horz"/>
              <a:lstStyle/>
              <a:p>
                <a:pPr>
                  <a:defRPr b="0"/>
                </a:pPr>
                <a:r>
                  <a:rPr lang="en-US" b="0"/>
                  <a:t>Mio.kr.</a:t>
                </a:r>
              </a:p>
            </c:rich>
          </c:tx>
          <c:overlay val="0"/>
        </c:title>
        <c:numFmt formatCode="#,##0" sourceLinked="1"/>
        <c:majorTickMark val="out"/>
        <c:minorTickMark val="none"/>
        <c:tickLblPos val="nextTo"/>
        <c:crossAx val="113779840"/>
        <c:crosses val="autoZero"/>
        <c:crossBetween val="between"/>
        <c:majorUnit val="25"/>
      </c:valAx>
    </c:plotArea>
    <c:legend>
      <c:legendPos val="b"/>
      <c:layout>
        <c:manualLayout>
          <c:xMode val="edge"/>
          <c:yMode val="edge"/>
          <c:x val="0.14147983784658169"/>
          <c:y val="0.8520262570322128"/>
          <c:w val="0.7170401609116146"/>
          <c:h val="0.12832737754539034"/>
        </c:manualLayout>
      </c:layout>
      <c:overlay val="0"/>
      <c:txPr>
        <a:bodyPr/>
        <a:lstStyle/>
        <a:p>
          <a:pPr>
            <a:defRPr sz="800"/>
          </a:pPr>
          <a:endParaRPr lang="da-DK"/>
        </a:p>
      </c:txPr>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da-DK"/>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8CEC-414C-4D9C-802D-A55EF83C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4068</Words>
  <Characters>24815</Characters>
  <Application>Microsoft Office Word</Application>
  <DocSecurity>0</DocSecurity>
  <Lines>206</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Naalakkersuisut</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Hilmar Ogmundsson</dc:creator>
  <cp:keywords/>
  <dc:description/>
  <cp:lastModifiedBy>Thomas Rassing</cp:lastModifiedBy>
  <cp:revision>13</cp:revision>
  <cp:lastPrinted>2021-01-28T12:28:00Z</cp:lastPrinted>
  <dcterms:created xsi:type="dcterms:W3CDTF">2021-05-10T15:19:00Z</dcterms:created>
  <dcterms:modified xsi:type="dcterms:W3CDTF">2021-09-02T19:06:00Z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