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30E8" w14:textId="3C203765" w:rsidR="004E3A8C" w:rsidRDefault="00BD0DD5" w:rsidP="001C0C41">
      <w:pPr>
        <w:jc w:val="right"/>
        <w:rPr>
          <w:lang w:val="da-DK"/>
        </w:rPr>
      </w:pPr>
      <w:r>
        <w:rPr>
          <w:lang w:val="da-DK"/>
        </w:rPr>
        <w:t>Juni, 2021</w:t>
      </w:r>
    </w:p>
    <w:p w14:paraId="6126EF79" w14:textId="2004CBD3" w:rsidR="00B2344B" w:rsidRDefault="001F791C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B</w:t>
      </w:r>
      <w:r w:rsidR="00BD0DD5">
        <w:rPr>
          <w:b/>
          <w:sz w:val="28"/>
          <w:szCs w:val="28"/>
          <w:lang w:val="da-DK"/>
        </w:rPr>
        <w:t>aggrundsnotat</w:t>
      </w:r>
    </w:p>
    <w:p w14:paraId="03DBF257" w14:textId="61B2B59B" w:rsidR="00F10BDA" w:rsidRDefault="001B26C9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Regulering af </w:t>
      </w:r>
      <w:r w:rsidR="00045E84">
        <w:rPr>
          <w:b/>
          <w:sz w:val="28"/>
          <w:szCs w:val="28"/>
          <w:lang w:val="da-DK"/>
        </w:rPr>
        <w:t>indhand</w:t>
      </w:r>
      <w:r w:rsidR="00BB0C02">
        <w:rPr>
          <w:b/>
          <w:sz w:val="28"/>
          <w:szCs w:val="28"/>
          <w:lang w:val="da-DK"/>
        </w:rPr>
        <w:t>l</w:t>
      </w:r>
      <w:r w:rsidR="00045E84">
        <w:rPr>
          <w:b/>
          <w:sz w:val="28"/>
          <w:szCs w:val="28"/>
          <w:lang w:val="da-DK"/>
        </w:rPr>
        <w:t>ingspligten</w:t>
      </w:r>
      <w:r w:rsidR="00B2344B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–</w:t>
      </w:r>
      <w:r w:rsidR="00B2344B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kvoter eller afgifter</w:t>
      </w:r>
    </w:p>
    <w:p w14:paraId="1FEDDCDE" w14:textId="1FB7EAEB" w:rsidR="007A0B02" w:rsidRPr="007A0B02" w:rsidRDefault="007A0B02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Peder Andersen</w:t>
      </w:r>
    </w:p>
    <w:p w14:paraId="328F2DA5" w14:textId="4323A12C" w:rsidR="00F10BDA" w:rsidRDefault="00BD0DD5">
      <w:pPr>
        <w:rPr>
          <w:i/>
          <w:lang w:val="da-DK"/>
        </w:rPr>
      </w:pPr>
      <w:r>
        <w:rPr>
          <w:i/>
          <w:lang w:val="da-DK"/>
        </w:rPr>
        <w:t xml:space="preserve">Resume: </w:t>
      </w:r>
      <w:r w:rsidR="00F10BDA" w:rsidRPr="00F10BDA">
        <w:rPr>
          <w:i/>
          <w:lang w:val="da-DK"/>
        </w:rPr>
        <w:t>De</w:t>
      </w:r>
      <w:r w:rsidR="002B1938">
        <w:rPr>
          <w:i/>
          <w:lang w:val="da-DK"/>
        </w:rPr>
        <w:t>tte</w:t>
      </w:r>
      <w:r w:rsidR="00F10BDA" w:rsidRPr="00F10BDA">
        <w:rPr>
          <w:i/>
          <w:lang w:val="da-DK"/>
        </w:rPr>
        <w:t xml:space="preserve"> </w:t>
      </w:r>
      <w:r>
        <w:rPr>
          <w:i/>
          <w:lang w:val="da-DK"/>
        </w:rPr>
        <w:t xml:space="preserve">baggrundsnotat vurderer </w:t>
      </w:r>
      <w:r w:rsidR="00F10BDA" w:rsidRPr="00F10BDA">
        <w:rPr>
          <w:i/>
          <w:lang w:val="da-DK"/>
        </w:rPr>
        <w:t xml:space="preserve">to </w:t>
      </w:r>
      <w:r>
        <w:rPr>
          <w:i/>
          <w:lang w:val="da-DK"/>
        </w:rPr>
        <w:t xml:space="preserve">mulige </w:t>
      </w:r>
      <w:r w:rsidR="00F10BDA" w:rsidRPr="00F10BDA">
        <w:rPr>
          <w:i/>
          <w:lang w:val="da-DK"/>
        </w:rPr>
        <w:t xml:space="preserve">reguleringsmodeller af indhandlingspligten. </w:t>
      </w:r>
    </w:p>
    <w:p w14:paraId="71AF6718" w14:textId="1E2D6A32" w:rsidR="00F10BDA" w:rsidRDefault="00F10BDA">
      <w:pPr>
        <w:rPr>
          <w:i/>
          <w:lang w:val="da-DK"/>
        </w:rPr>
      </w:pPr>
      <w:r w:rsidRPr="00F10BDA">
        <w:rPr>
          <w:i/>
          <w:lang w:val="da-DK"/>
        </w:rPr>
        <w:t xml:space="preserve">Behovet </w:t>
      </w:r>
      <w:r w:rsidR="00BD0DD5">
        <w:rPr>
          <w:i/>
          <w:lang w:val="da-DK"/>
        </w:rPr>
        <w:t>for regulering af indhandlingspligten</w:t>
      </w:r>
      <w:r w:rsidRPr="00F10BDA">
        <w:rPr>
          <w:i/>
          <w:lang w:val="da-DK"/>
        </w:rPr>
        <w:t xml:space="preserve"> følger af</w:t>
      </w:r>
      <w:r w:rsidR="00BD0DD5">
        <w:rPr>
          <w:i/>
          <w:lang w:val="da-DK"/>
        </w:rPr>
        <w:t xml:space="preserve"> </w:t>
      </w:r>
      <w:r w:rsidR="00C77EB0">
        <w:rPr>
          <w:i/>
          <w:lang w:val="da-DK"/>
        </w:rPr>
        <w:t>overvejelser</w:t>
      </w:r>
      <w:r w:rsidRPr="00F10BDA">
        <w:rPr>
          <w:i/>
          <w:lang w:val="da-DK"/>
        </w:rPr>
        <w:t xml:space="preserve"> om en eventuel samlet forvaltning af rejeressourcen og dermed ophævelse af den nuværende opdeling i et kystnært og en havgående flådekomponent i rejefiskeriet med hver deres krav til omfanget af indhandlingspligt. </w:t>
      </w:r>
    </w:p>
    <w:p w14:paraId="5B553C15" w14:textId="4F4FC2A0" w:rsidR="00F10BDA" w:rsidRPr="00F10BDA" w:rsidRDefault="00BD0DD5">
      <w:pPr>
        <w:rPr>
          <w:i/>
          <w:lang w:val="da-DK"/>
        </w:rPr>
      </w:pPr>
      <w:r>
        <w:rPr>
          <w:i/>
          <w:lang w:val="da-DK"/>
        </w:rPr>
        <w:t>Baggrundsn</w:t>
      </w:r>
      <w:r w:rsidR="00F10BDA" w:rsidRPr="00F10BDA">
        <w:rPr>
          <w:i/>
          <w:lang w:val="da-DK"/>
        </w:rPr>
        <w:t>ot</w:t>
      </w:r>
      <w:r w:rsidR="002B1938">
        <w:rPr>
          <w:i/>
          <w:lang w:val="da-DK"/>
        </w:rPr>
        <w:t>atet</w:t>
      </w:r>
      <w:r w:rsidR="00F10BDA" w:rsidRPr="00F10BDA">
        <w:rPr>
          <w:i/>
          <w:lang w:val="da-DK"/>
        </w:rPr>
        <w:t xml:space="preserve"> er desuden skrevet ud fra en forudsætning om, at kommissionen ønsker at </w:t>
      </w:r>
      <w:r w:rsidR="00F10BDA">
        <w:rPr>
          <w:i/>
          <w:lang w:val="da-DK"/>
        </w:rPr>
        <w:t xml:space="preserve">fastholde </w:t>
      </w:r>
      <w:r w:rsidR="002B1938">
        <w:rPr>
          <w:i/>
          <w:lang w:val="da-DK"/>
        </w:rPr>
        <w:t xml:space="preserve">de nuværende minimumskrav til </w:t>
      </w:r>
      <w:r w:rsidR="00F10BDA" w:rsidRPr="00F10BDA">
        <w:rPr>
          <w:i/>
          <w:lang w:val="da-DK"/>
        </w:rPr>
        <w:t>den indhandlede mængde rejer til produktion på landanlæg samlet set ved en sådan oplægning.</w:t>
      </w:r>
      <w:r w:rsidR="002B1938">
        <w:rPr>
          <w:i/>
          <w:lang w:val="da-DK"/>
        </w:rPr>
        <w:t xml:space="preserve"> </w:t>
      </w:r>
      <w:r w:rsidR="00F10BDA" w:rsidRPr="00F10BDA">
        <w:rPr>
          <w:i/>
          <w:lang w:val="da-DK"/>
        </w:rPr>
        <w:t xml:space="preserve">Dog skal </w:t>
      </w:r>
      <w:r w:rsidR="00F10BDA">
        <w:rPr>
          <w:i/>
          <w:lang w:val="da-DK"/>
        </w:rPr>
        <w:t xml:space="preserve">landingsmængden </w:t>
      </w:r>
      <w:r w:rsidR="00F10BDA" w:rsidRPr="00F10BDA">
        <w:rPr>
          <w:i/>
          <w:lang w:val="da-DK"/>
        </w:rPr>
        <w:t xml:space="preserve">kunne reguleres over tid, hvis </w:t>
      </w:r>
      <w:r w:rsidR="002B1938">
        <w:rPr>
          <w:i/>
          <w:lang w:val="da-DK"/>
        </w:rPr>
        <w:t xml:space="preserve">f.eks. </w:t>
      </w:r>
      <w:r w:rsidR="00F10BDA" w:rsidRPr="00F10BDA">
        <w:rPr>
          <w:i/>
          <w:lang w:val="da-DK"/>
        </w:rPr>
        <w:t>beskæftigelsessituationen i landet tilsiger dette.</w:t>
      </w:r>
      <w:r w:rsidR="002B1938">
        <w:rPr>
          <w:i/>
          <w:lang w:val="da-DK"/>
        </w:rPr>
        <w:t xml:space="preserve"> Vurderingen af de to forslag dækker også situationen med ændrede krav om indhandlingspligt. </w:t>
      </w:r>
    </w:p>
    <w:p w14:paraId="688D6465" w14:textId="77777777" w:rsidR="00B2344B" w:rsidRPr="00D52813" w:rsidRDefault="00B2344B" w:rsidP="00B2344B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2813">
        <w:rPr>
          <w:b/>
          <w:lang w:val="da-DK"/>
        </w:rPr>
        <w:t>In</w:t>
      </w:r>
      <w:r w:rsidR="00360323" w:rsidRPr="00D52813">
        <w:rPr>
          <w:b/>
          <w:lang w:val="da-DK"/>
        </w:rPr>
        <w:t>t</w:t>
      </w:r>
      <w:r w:rsidRPr="00D52813">
        <w:rPr>
          <w:b/>
          <w:lang w:val="da-DK"/>
        </w:rPr>
        <w:t>roduktion</w:t>
      </w:r>
    </w:p>
    <w:p w14:paraId="1351637E" w14:textId="58FDD206" w:rsidR="00B2344B" w:rsidRPr="0007501B" w:rsidRDefault="007639D8" w:rsidP="00B2344B">
      <w:pPr>
        <w:rPr>
          <w:lang w:val="da-DK"/>
        </w:rPr>
      </w:pPr>
      <w:r>
        <w:rPr>
          <w:lang w:val="da-DK"/>
        </w:rPr>
        <w:t xml:space="preserve"> I forbindelse med </w:t>
      </w:r>
      <w:r w:rsidR="00360323" w:rsidRPr="0007501B">
        <w:rPr>
          <w:lang w:val="da-DK"/>
        </w:rPr>
        <w:t xml:space="preserve">strukturtilpasning, ophævelse af fordelingen mellem havgående og kystnært rejefiskeri, kvotefordelingsnøglen og </w:t>
      </w:r>
      <w:r w:rsidR="00045E84">
        <w:rPr>
          <w:lang w:val="da-DK"/>
        </w:rPr>
        <w:t>indhandlingspligten</w:t>
      </w:r>
      <w:r>
        <w:rPr>
          <w:lang w:val="da-DK"/>
        </w:rPr>
        <w:t xml:space="preserve"> er s</w:t>
      </w:r>
      <w:r w:rsidR="00360323" w:rsidRPr="0007501B">
        <w:rPr>
          <w:lang w:val="da-DK"/>
        </w:rPr>
        <w:t xml:space="preserve">pørgsmålet, hvordan reguleringen </w:t>
      </w:r>
      <w:r w:rsidR="006575CA">
        <w:rPr>
          <w:lang w:val="da-DK"/>
        </w:rPr>
        <w:t xml:space="preserve">bedst </w:t>
      </w:r>
      <w:r w:rsidR="00360323" w:rsidRPr="0007501B">
        <w:rPr>
          <w:lang w:val="da-DK"/>
        </w:rPr>
        <w:t>indrettes, så der både kan sikre</w:t>
      </w:r>
      <w:r w:rsidR="000067F5">
        <w:rPr>
          <w:lang w:val="da-DK"/>
        </w:rPr>
        <w:t>s</w:t>
      </w:r>
      <w:r w:rsidR="00360323" w:rsidRPr="0007501B">
        <w:rPr>
          <w:lang w:val="da-DK"/>
        </w:rPr>
        <w:t xml:space="preserve"> en høj effektivitet og dermed en stor ressourcerente</w:t>
      </w:r>
      <w:r>
        <w:rPr>
          <w:lang w:val="da-DK"/>
        </w:rPr>
        <w:t>,</w:t>
      </w:r>
      <w:r w:rsidR="00360323" w:rsidRPr="0007501B">
        <w:rPr>
          <w:lang w:val="da-DK"/>
        </w:rPr>
        <w:t xml:space="preserve"> og</w:t>
      </w:r>
      <w:r>
        <w:rPr>
          <w:lang w:val="da-DK"/>
        </w:rPr>
        <w:t xml:space="preserve"> der</w:t>
      </w:r>
      <w:r w:rsidR="00360323" w:rsidRPr="0007501B">
        <w:rPr>
          <w:lang w:val="da-DK"/>
        </w:rPr>
        <w:t xml:space="preserve"> tages hensyn til beskæftigelsen i forarbejdningsindustrien.</w:t>
      </w:r>
    </w:p>
    <w:p w14:paraId="115C9978" w14:textId="1C6F085F" w:rsidR="006575CA" w:rsidRDefault="00360323" w:rsidP="006575CA">
      <w:pPr>
        <w:rPr>
          <w:lang w:val="da-DK"/>
        </w:rPr>
      </w:pPr>
      <w:r w:rsidRPr="0007501B">
        <w:rPr>
          <w:lang w:val="da-DK"/>
        </w:rPr>
        <w:t xml:space="preserve">I </w:t>
      </w:r>
      <w:r w:rsidR="007639D8">
        <w:rPr>
          <w:lang w:val="da-DK"/>
        </w:rPr>
        <w:t>det følgende</w:t>
      </w:r>
      <w:r w:rsidRPr="0007501B">
        <w:rPr>
          <w:lang w:val="da-DK"/>
        </w:rPr>
        <w:t xml:space="preserve"> ses kort på fordele og ulemper ved </w:t>
      </w:r>
      <w:r w:rsidR="001B26C9">
        <w:rPr>
          <w:lang w:val="da-DK"/>
        </w:rPr>
        <w:t xml:space="preserve">forskellige </w:t>
      </w:r>
      <w:r w:rsidR="006575CA">
        <w:rPr>
          <w:lang w:val="da-DK"/>
        </w:rPr>
        <w:t>reguleringsmetoder, når der både er fokus på økonomisk effektivitet og beskæftigelsen på rejefabrikkerne.</w:t>
      </w:r>
    </w:p>
    <w:p w14:paraId="7ED64BD5" w14:textId="0D062670" w:rsidR="006575CA" w:rsidRPr="006575CA" w:rsidRDefault="006575CA" w:rsidP="006575CA">
      <w:pPr>
        <w:pStyle w:val="Listeafsnit"/>
        <w:numPr>
          <w:ilvl w:val="0"/>
          <w:numId w:val="1"/>
        </w:numPr>
        <w:rPr>
          <w:b/>
          <w:lang w:val="da-DK"/>
        </w:rPr>
      </w:pPr>
      <w:r w:rsidRPr="006575CA">
        <w:rPr>
          <w:b/>
          <w:lang w:val="da-DK"/>
        </w:rPr>
        <w:t>To modeller</w:t>
      </w:r>
      <w:r w:rsidR="002D27C3">
        <w:rPr>
          <w:b/>
          <w:lang w:val="da-DK"/>
        </w:rPr>
        <w:t xml:space="preserve"> til regulering af indhandlingspligtige og ikke-indhandlingspligtige kvoter</w:t>
      </w:r>
    </w:p>
    <w:p w14:paraId="1A1EBA53" w14:textId="59BC713C" w:rsidR="00E91A74" w:rsidRDefault="0007501B" w:rsidP="00B2344B">
      <w:pPr>
        <w:rPr>
          <w:lang w:val="da-DK"/>
        </w:rPr>
      </w:pPr>
      <w:r>
        <w:rPr>
          <w:lang w:val="da-DK"/>
        </w:rPr>
        <w:t xml:space="preserve">Der ses på to </w:t>
      </w:r>
      <w:r w:rsidR="00135F8C">
        <w:rPr>
          <w:lang w:val="da-DK"/>
        </w:rPr>
        <w:t>modeller til</w:t>
      </w:r>
      <w:r w:rsidR="006575CA">
        <w:rPr>
          <w:lang w:val="da-DK"/>
        </w:rPr>
        <w:t xml:space="preserve"> reguleringen af </w:t>
      </w:r>
      <w:r w:rsidR="001928D1">
        <w:rPr>
          <w:lang w:val="da-DK"/>
        </w:rPr>
        <w:t xml:space="preserve">indhandlingspligten </w:t>
      </w:r>
      <w:r>
        <w:rPr>
          <w:lang w:val="da-DK"/>
        </w:rPr>
        <w:t>i forhold til den nuværende udformning</w:t>
      </w:r>
      <w:r w:rsidR="00360323" w:rsidRPr="0007501B">
        <w:rPr>
          <w:lang w:val="da-DK"/>
        </w:rPr>
        <w:t xml:space="preserve"> </w:t>
      </w:r>
      <w:r w:rsidR="000067F5">
        <w:rPr>
          <w:lang w:val="da-DK"/>
        </w:rPr>
        <w:t xml:space="preserve">af </w:t>
      </w:r>
      <w:r w:rsidR="006575CA">
        <w:rPr>
          <w:lang w:val="da-DK"/>
        </w:rPr>
        <w:t xml:space="preserve">indhandlingspligten. I dag er der til </w:t>
      </w:r>
      <w:r w:rsidR="00360323" w:rsidRPr="0007501B">
        <w:rPr>
          <w:lang w:val="da-DK"/>
        </w:rPr>
        <w:t xml:space="preserve">en licens </w:t>
      </w:r>
      <w:r w:rsidR="006575CA">
        <w:rPr>
          <w:lang w:val="da-DK"/>
        </w:rPr>
        <w:t>med tilknyttet kvoteandel forskellige krav om indhandling</w:t>
      </w:r>
      <w:r w:rsidR="001928D1">
        <w:rPr>
          <w:lang w:val="da-DK"/>
        </w:rPr>
        <w:t xml:space="preserve">. </w:t>
      </w:r>
      <w:r w:rsidR="006575CA">
        <w:rPr>
          <w:lang w:val="da-DK"/>
        </w:rPr>
        <w:t xml:space="preserve"> </w:t>
      </w:r>
      <w:r w:rsidR="00135F8C">
        <w:rPr>
          <w:lang w:val="da-DK"/>
        </w:rPr>
        <w:t xml:space="preserve">I den nugældende regulering er alle omfattet af en vis indhandlingspligt. </w:t>
      </w:r>
      <w:r w:rsidR="00FA32CB">
        <w:rPr>
          <w:lang w:val="da-DK"/>
        </w:rPr>
        <w:t>I den nugældende regulering</w:t>
      </w:r>
      <w:r w:rsidR="00135F8C">
        <w:rPr>
          <w:lang w:val="da-DK"/>
        </w:rPr>
        <w:t xml:space="preserve"> er indhandlingspligten på 25% for </w:t>
      </w:r>
      <w:r w:rsidR="00FA32CB">
        <w:rPr>
          <w:lang w:val="da-DK"/>
        </w:rPr>
        <w:t xml:space="preserve">alle </w:t>
      </w:r>
      <w:r w:rsidR="00135F8C">
        <w:rPr>
          <w:lang w:val="da-DK"/>
        </w:rPr>
        <w:t xml:space="preserve">fartøjer i det havgående rejefiskeri og på </w:t>
      </w:r>
      <w:r>
        <w:rPr>
          <w:lang w:val="da-DK"/>
        </w:rPr>
        <w:t xml:space="preserve">100% for </w:t>
      </w:r>
      <w:r w:rsidR="00135F8C">
        <w:rPr>
          <w:lang w:val="da-DK"/>
        </w:rPr>
        <w:t xml:space="preserve">20 ud af </w:t>
      </w:r>
      <w:r w:rsidR="009679CA">
        <w:rPr>
          <w:lang w:val="da-DK"/>
        </w:rPr>
        <w:t>2</w:t>
      </w:r>
      <w:r w:rsidR="005A51B9">
        <w:rPr>
          <w:lang w:val="da-DK"/>
        </w:rPr>
        <w:t>5</w:t>
      </w:r>
      <w:r w:rsidR="00135F8C">
        <w:rPr>
          <w:lang w:val="da-DK"/>
        </w:rPr>
        <w:t xml:space="preserve"> fartøjer i det kystnære rejefiskeri. </w:t>
      </w:r>
      <w:r w:rsidR="00FA32CB">
        <w:rPr>
          <w:lang w:val="da-DK"/>
        </w:rPr>
        <w:t>Af de</w:t>
      </w:r>
      <w:r w:rsidR="00135F8C">
        <w:rPr>
          <w:lang w:val="da-DK"/>
        </w:rPr>
        <w:t xml:space="preserve"> øvrige 5 har 4 en indhandlingspligt på 25%</w:t>
      </w:r>
      <w:r w:rsidR="00793AD1">
        <w:rPr>
          <w:lang w:val="da-DK"/>
        </w:rPr>
        <w:t>,</w:t>
      </w:r>
      <w:r w:rsidR="00135F8C">
        <w:rPr>
          <w:lang w:val="da-DK"/>
        </w:rPr>
        <w:t xml:space="preserve"> og det sidste fartø</w:t>
      </w:r>
      <w:r w:rsidR="00397B09">
        <w:rPr>
          <w:lang w:val="da-DK"/>
        </w:rPr>
        <w:t xml:space="preserve">j </w:t>
      </w:r>
      <w:r w:rsidR="00793AD1">
        <w:rPr>
          <w:lang w:val="da-DK"/>
        </w:rPr>
        <w:t xml:space="preserve">har en indhandlingspligt på </w:t>
      </w:r>
      <w:r w:rsidR="00397B09">
        <w:rPr>
          <w:lang w:val="da-DK"/>
        </w:rPr>
        <w:t>70%</w:t>
      </w:r>
      <w:r w:rsidR="007639D8">
        <w:rPr>
          <w:lang w:val="da-DK"/>
        </w:rPr>
        <w:t xml:space="preserve">. </w:t>
      </w:r>
      <w:r w:rsidR="00397B09">
        <w:rPr>
          <w:lang w:val="da-DK"/>
        </w:rPr>
        <w:t xml:space="preserve"> </w:t>
      </w:r>
    </w:p>
    <w:p w14:paraId="4031518E" w14:textId="07F9F5CA" w:rsidR="00360323" w:rsidRDefault="009E7B0D" w:rsidP="00B2344B">
      <w:pPr>
        <w:rPr>
          <w:lang w:val="da-DK"/>
        </w:rPr>
      </w:pPr>
      <w:r>
        <w:rPr>
          <w:lang w:val="da-DK"/>
        </w:rPr>
        <w:t>Hvis den nuværende fordeling mellem havgående og kystnært rejefiskeri ophæve</w:t>
      </w:r>
      <w:r w:rsidR="003A78F6">
        <w:rPr>
          <w:lang w:val="da-DK"/>
        </w:rPr>
        <w:t>s</w:t>
      </w:r>
      <w:r w:rsidR="00596040">
        <w:rPr>
          <w:lang w:val="da-DK"/>
        </w:rPr>
        <w:t xml:space="preserve">, bliver det muligt med en ny </w:t>
      </w:r>
      <w:r w:rsidR="00E91A74">
        <w:rPr>
          <w:lang w:val="da-DK"/>
        </w:rPr>
        <w:t>arbejdsdeling mellem fartøjer</w:t>
      </w:r>
      <w:r w:rsidR="00596040">
        <w:rPr>
          <w:lang w:val="da-DK"/>
        </w:rPr>
        <w:t xml:space="preserve">ne, og en </w:t>
      </w:r>
      <w:r>
        <w:rPr>
          <w:lang w:val="da-DK"/>
        </w:rPr>
        <w:t>strukturtilpasning af den nuværende kystnære rejeflåde</w:t>
      </w:r>
      <w:r w:rsidR="00596040">
        <w:rPr>
          <w:lang w:val="da-DK"/>
        </w:rPr>
        <w:t xml:space="preserve"> må forventes</w:t>
      </w:r>
      <w:r w:rsidR="00FA32CB">
        <w:rPr>
          <w:lang w:val="da-DK"/>
        </w:rPr>
        <w:t xml:space="preserve">, i hvert fald </w:t>
      </w:r>
      <w:r w:rsidR="00793AD1">
        <w:rPr>
          <w:lang w:val="da-DK"/>
        </w:rPr>
        <w:t xml:space="preserve">på </w:t>
      </w:r>
      <w:r w:rsidR="00FA32CB">
        <w:rPr>
          <w:lang w:val="da-DK"/>
        </w:rPr>
        <w:t xml:space="preserve">lidt </w:t>
      </w:r>
      <w:r w:rsidR="00793AD1">
        <w:rPr>
          <w:lang w:val="da-DK"/>
        </w:rPr>
        <w:t>længere sigt</w:t>
      </w:r>
      <w:r w:rsidR="00596040">
        <w:rPr>
          <w:lang w:val="da-DK"/>
        </w:rPr>
        <w:t xml:space="preserve">. Det er derfor </w:t>
      </w:r>
      <w:r>
        <w:rPr>
          <w:lang w:val="da-DK"/>
        </w:rPr>
        <w:t xml:space="preserve">relevant at se på mulighederne for en mere fleksibel regulering, der kan skabe bedre udnyttelse af fiskerikapaciteten og kapaciteten i forarbejdningsindustrien, men </w:t>
      </w:r>
      <w:r w:rsidR="00FA32CB">
        <w:rPr>
          <w:lang w:val="da-DK"/>
        </w:rPr>
        <w:t xml:space="preserve">også </w:t>
      </w:r>
      <w:r w:rsidR="00793AD1">
        <w:rPr>
          <w:lang w:val="da-DK"/>
        </w:rPr>
        <w:t xml:space="preserve">en regulering, der </w:t>
      </w:r>
      <w:r>
        <w:rPr>
          <w:lang w:val="da-DK"/>
        </w:rPr>
        <w:t xml:space="preserve">samtidigt </w:t>
      </w:r>
      <w:r w:rsidR="00793AD1">
        <w:rPr>
          <w:lang w:val="da-DK"/>
        </w:rPr>
        <w:t xml:space="preserve">kan </w:t>
      </w:r>
      <w:r>
        <w:rPr>
          <w:lang w:val="da-DK"/>
        </w:rPr>
        <w:t xml:space="preserve">opretholde </w:t>
      </w:r>
      <w:r w:rsidR="00D41E99">
        <w:rPr>
          <w:lang w:val="da-DK"/>
        </w:rPr>
        <w:t xml:space="preserve">krav eller </w:t>
      </w:r>
      <w:r>
        <w:rPr>
          <w:lang w:val="da-DK"/>
        </w:rPr>
        <w:t>ønsker om beskæftigelsen i forarbejdningsindustrien.</w:t>
      </w:r>
    </w:p>
    <w:p w14:paraId="3EBB5289" w14:textId="77777777" w:rsidR="001C0C41" w:rsidRDefault="00596040" w:rsidP="00B2344B">
      <w:pPr>
        <w:rPr>
          <w:lang w:val="da-DK"/>
        </w:rPr>
      </w:pPr>
      <w:r>
        <w:rPr>
          <w:lang w:val="da-DK"/>
        </w:rPr>
        <w:t>U</w:t>
      </w:r>
      <w:r w:rsidR="002B7D65">
        <w:rPr>
          <w:lang w:val="da-DK"/>
        </w:rPr>
        <w:t>dgangspunktet er, at</w:t>
      </w:r>
      <w:r>
        <w:rPr>
          <w:lang w:val="da-DK"/>
        </w:rPr>
        <w:t xml:space="preserve"> </w:t>
      </w:r>
      <w:r w:rsidR="002B7D65">
        <w:rPr>
          <w:lang w:val="da-DK"/>
        </w:rPr>
        <w:t>en vis del af et selskabs kvoteandel</w:t>
      </w:r>
      <w:r>
        <w:rPr>
          <w:lang w:val="da-DK"/>
        </w:rPr>
        <w:t xml:space="preserve"> vil være </w:t>
      </w:r>
      <w:r w:rsidR="002B7D65">
        <w:rPr>
          <w:lang w:val="da-DK"/>
        </w:rPr>
        <w:t xml:space="preserve">pålagt indhandling. </w:t>
      </w:r>
      <w:r w:rsidR="00793AD1">
        <w:rPr>
          <w:lang w:val="da-DK"/>
        </w:rPr>
        <w:t>Kravet</w:t>
      </w:r>
      <w:r w:rsidR="002B7D65">
        <w:rPr>
          <w:lang w:val="da-DK"/>
        </w:rPr>
        <w:t xml:space="preserve"> til indhandling kan </w:t>
      </w:r>
      <w:r w:rsidR="00FA32CB">
        <w:rPr>
          <w:lang w:val="da-DK"/>
        </w:rPr>
        <w:t xml:space="preserve">f.eks. </w:t>
      </w:r>
      <w:r w:rsidR="002B7D65">
        <w:rPr>
          <w:lang w:val="da-DK"/>
        </w:rPr>
        <w:t>svare til et selskabs nuværende indhandlingspligt, men andre udformninger kan også tænkes. Det er formandskabets oplæg, at andelen af den samlede rejekvote (TAC’en)</w:t>
      </w:r>
      <w:r w:rsidR="008D51C0">
        <w:rPr>
          <w:lang w:val="da-DK"/>
        </w:rPr>
        <w:t xml:space="preserve"> med indhandlingspligt</w:t>
      </w:r>
      <w:r w:rsidR="002B7D65">
        <w:rPr>
          <w:lang w:val="da-DK"/>
        </w:rPr>
        <w:t xml:space="preserve"> </w:t>
      </w:r>
      <w:r w:rsidR="008D51C0">
        <w:rPr>
          <w:lang w:val="da-DK"/>
        </w:rPr>
        <w:t xml:space="preserve">skal svare til den nuværende på </w:t>
      </w:r>
      <w:r w:rsidR="001C0C41">
        <w:rPr>
          <w:lang w:val="da-DK"/>
        </w:rPr>
        <w:t>46,7 %</w:t>
      </w:r>
      <w:r w:rsidR="008D51C0">
        <w:rPr>
          <w:lang w:val="da-DK"/>
        </w:rPr>
        <w:t xml:space="preserve">. </w:t>
      </w:r>
    </w:p>
    <w:p w14:paraId="623DF355" w14:textId="2D50FDAA" w:rsidR="005D228C" w:rsidRDefault="008D51C0" w:rsidP="00B2344B">
      <w:pPr>
        <w:rPr>
          <w:lang w:val="da-DK"/>
        </w:rPr>
      </w:pPr>
      <w:r>
        <w:rPr>
          <w:lang w:val="da-DK"/>
        </w:rPr>
        <w:t xml:space="preserve">Niveauet af kvoteandele (kvotefordelingsnøglen) til de enkelte selskaber efter en ophævelse af fordelingen mellem havgående og kystnært rejefiskeri </w:t>
      </w:r>
      <w:proofErr w:type="gramStart"/>
      <w:r>
        <w:rPr>
          <w:lang w:val="da-DK"/>
        </w:rPr>
        <w:t>fremgår  Baggrundsnotat</w:t>
      </w:r>
      <w:proofErr w:type="gramEnd"/>
      <w:r w:rsidR="007639D8">
        <w:rPr>
          <w:lang w:val="da-DK"/>
        </w:rPr>
        <w:t xml:space="preserve">: </w:t>
      </w:r>
      <w:r w:rsidR="0007742A" w:rsidRPr="005A1C29">
        <w:rPr>
          <w:i/>
          <w:lang w:val="da-DK"/>
        </w:rPr>
        <w:t xml:space="preserve">Status og </w:t>
      </w:r>
      <w:r w:rsidR="0007742A" w:rsidRPr="005A1C29">
        <w:rPr>
          <w:i/>
          <w:lang w:val="da-DK"/>
        </w:rPr>
        <w:lastRenderedPageBreak/>
        <w:t>udfordringer i rejefiskeriet</w:t>
      </w:r>
      <w:r w:rsidRPr="005A1C29">
        <w:rPr>
          <w:i/>
          <w:lang w:val="da-DK"/>
        </w:rPr>
        <w:t>.</w:t>
      </w:r>
      <w:r>
        <w:rPr>
          <w:lang w:val="da-DK"/>
        </w:rPr>
        <w:t xml:space="preserve"> Hvis der ikke bl</w:t>
      </w:r>
      <w:r w:rsidR="00793AD1">
        <w:rPr>
          <w:lang w:val="da-DK"/>
        </w:rPr>
        <w:t>iver foretaget andre ændringer, vil</w:t>
      </w:r>
      <w:r>
        <w:rPr>
          <w:lang w:val="da-DK"/>
        </w:rPr>
        <w:t xml:space="preserve"> situationen være den samme </w:t>
      </w:r>
      <w:r w:rsidR="00CE0BEC">
        <w:rPr>
          <w:lang w:val="da-DK"/>
        </w:rPr>
        <w:t>som den nuværende ordning, bortset fra at selskaber med flere fartøjer kan opfylde indhandlingspligten mere fleksibelt</w:t>
      </w:r>
      <w:r w:rsidR="00F10BDA">
        <w:rPr>
          <w:lang w:val="da-DK"/>
        </w:rPr>
        <w:t>. D</w:t>
      </w:r>
      <w:r w:rsidR="00CE0BEC">
        <w:rPr>
          <w:lang w:val="da-DK"/>
        </w:rPr>
        <w:t>et er det, der i et vist</w:t>
      </w:r>
      <w:r w:rsidR="00793AD1">
        <w:rPr>
          <w:lang w:val="da-DK"/>
        </w:rPr>
        <w:t xml:space="preserve"> </w:t>
      </w:r>
      <w:r w:rsidR="00CE0BEC">
        <w:rPr>
          <w:lang w:val="da-DK"/>
        </w:rPr>
        <w:t>omfang</w:t>
      </w:r>
      <w:r w:rsidR="00FA32CB">
        <w:rPr>
          <w:lang w:val="da-DK"/>
        </w:rPr>
        <w:t xml:space="preserve"> </w:t>
      </w:r>
      <w:r w:rsidR="00CE0BEC">
        <w:rPr>
          <w:lang w:val="da-DK"/>
        </w:rPr>
        <w:t>allerede sker i dag ved handel med eller flytninger af kvoter inden for et givet</w:t>
      </w:r>
      <w:r w:rsidR="00793AD1">
        <w:rPr>
          <w:lang w:val="da-DK"/>
        </w:rPr>
        <w:t xml:space="preserve"> år</w:t>
      </w:r>
      <w:r w:rsidR="00CE0BEC">
        <w:rPr>
          <w:lang w:val="da-DK"/>
        </w:rPr>
        <w:t xml:space="preserve">. </w:t>
      </w:r>
    </w:p>
    <w:p w14:paraId="175EBA43" w14:textId="77777777" w:rsidR="00B04BEE" w:rsidRDefault="00CE0BEC" w:rsidP="00B2344B">
      <w:pPr>
        <w:rPr>
          <w:lang w:val="da-DK"/>
        </w:rPr>
      </w:pPr>
      <w:r>
        <w:rPr>
          <w:lang w:val="da-DK"/>
        </w:rPr>
        <w:t xml:space="preserve">Ved at lægge et selskabs </w:t>
      </w:r>
      <w:r w:rsidR="00FA32CB">
        <w:rPr>
          <w:lang w:val="da-DK"/>
        </w:rPr>
        <w:t xml:space="preserve">forskellige </w:t>
      </w:r>
      <w:r>
        <w:rPr>
          <w:lang w:val="da-DK"/>
        </w:rPr>
        <w:t>kvoteandele sammen til e</w:t>
      </w:r>
      <w:r w:rsidR="005D228C">
        <w:rPr>
          <w:lang w:val="da-DK"/>
        </w:rPr>
        <w:t xml:space="preserve">n kvoteandel for hele selskabet opnås bedre muligheder for langsigtet planlægning. Ligeledes vil mulighederne for at købe sælge kvoteandele, der enten er indhandlingspligtige eller ikke-indhandlingspligtige kvoteandele eller kvotemængder inden for et givet år, forbedre mulighederne for langsigtet planlægning og bedste muligheder for at udnytte fartøjer med forskellige egnethed mht. produktion ombord eller indhandling.  </w:t>
      </w:r>
    </w:p>
    <w:p w14:paraId="4E1C16C0" w14:textId="77777777" w:rsidR="00B04BEE" w:rsidRDefault="00793AD1" w:rsidP="00B2344B">
      <w:pPr>
        <w:rPr>
          <w:lang w:val="da-DK"/>
        </w:rPr>
      </w:pPr>
      <w:r>
        <w:rPr>
          <w:lang w:val="da-DK"/>
        </w:rPr>
        <w:t>D</w:t>
      </w:r>
      <w:r w:rsidR="00FA32CB">
        <w:rPr>
          <w:lang w:val="da-DK"/>
        </w:rPr>
        <w:t xml:space="preserve">et er en antagelse, at </w:t>
      </w:r>
      <w:r w:rsidRPr="0061265C">
        <w:rPr>
          <w:b/>
          <w:lang w:val="da-DK"/>
        </w:rPr>
        <w:t>e</w:t>
      </w:r>
      <w:r w:rsidR="008203A4" w:rsidRPr="0061265C">
        <w:rPr>
          <w:b/>
          <w:lang w:val="da-DK"/>
        </w:rPr>
        <w:t>n</w:t>
      </w:r>
      <w:r w:rsidRPr="0061265C">
        <w:rPr>
          <w:b/>
          <w:lang w:val="da-DK"/>
        </w:rPr>
        <w:t xml:space="preserve"> indhandlingspligtig kvote</w:t>
      </w:r>
      <w:r>
        <w:rPr>
          <w:lang w:val="da-DK"/>
        </w:rPr>
        <w:t xml:space="preserve"> ikke kan ændres til </w:t>
      </w:r>
      <w:r w:rsidR="003C6DA5" w:rsidRPr="0061265C">
        <w:rPr>
          <w:b/>
          <w:lang w:val="da-DK"/>
        </w:rPr>
        <w:t>en ikke-indhandlingspligtig kvote</w:t>
      </w:r>
      <w:r w:rsidR="003C6DA5">
        <w:rPr>
          <w:lang w:val="da-DK"/>
        </w:rPr>
        <w:t>. Dette betyder, at handel med kvoteandele ikke ændrer på forholdet mellem indhandlingspligtige og ikke-indhandlingspligtige kvoteandele</w:t>
      </w:r>
      <w:r w:rsidR="00FA32CB">
        <w:rPr>
          <w:lang w:val="da-DK"/>
        </w:rPr>
        <w:t xml:space="preserve"> </w:t>
      </w:r>
      <w:r w:rsidR="003C6DA5">
        <w:rPr>
          <w:lang w:val="da-DK"/>
        </w:rPr>
        <w:t xml:space="preserve">og heller ikke inden for et </w:t>
      </w:r>
      <w:r w:rsidR="00FA32CB">
        <w:rPr>
          <w:lang w:val="da-DK"/>
        </w:rPr>
        <w:t xml:space="preserve">givet </w:t>
      </w:r>
      <w:r w:rsidR="003C6DA5">
        <w:rPr>
          <w:lang w:val="da-DK"/>
        </w:rPr>
        <w:t xml:space="preserve">år ændrer på forholdet mellem indhandlingspligtige kvoter og ikke-indhandlingspligtige kvoter. </w:t>
      </w:r>
    </w:p>
    <w:p w14:paraId="6EF0DC89" w14:textId="79ABC7C7" w:rsidR="00596040" w:rsidRDefault="003C6DA5" w:rsidP="00B2344B">
      <w:pPr>
        <w:rPr>
          <w:lang w:val="da-DK"/>
        </w:rPr>
      </w:pPr>
      <w:r>
        <w:rPr>
          <w:lang w:val="da-DK"/>
        </w:rPr>
        <w:t xml:space="preserve">Der vil således være lagt et minimumsniveau af indhandlede mængder svarende til det, der er angivet ved indhandlingspligten. </w:t>
      </w:r>
    </w:p>
    <w:p w14:paraId="562C284C" w14:textId="77777777" w:rsidR="00B04BEE" w:rsidRDefault="008203A4" w:rsidP="00B2344B">
      <w:pPr>
        <w:rPr>
          <w:lang w:val="da-DK"/>
        </w:rPr>
      </w:pPr>
      <w:r>
        <w:rPr>
          <w:lang w:val="da-DK"/>
        </w:rPr>
        <w:t xml:space="preserve">Fordelingen af de nuværende indhandlingspligtige kvoteandele og ikke-indhandlingspligtige kvoteandele kan fordeles på anden vis end efter den pt. gældende fordeling. </w:t>
      </w:r>
    </w:p>
    <w:p w14:paraId="5EFE9C17" w14:textId="77777777" w:rsidR="00B04BEE" w:rsidRPr="00B04BEE" w:rsidRDefault="00857C7C" w:rsidP="00B04BEE">
      <w:pPr>
        <w:pStyle w:val="Listeafsnit"/>
        <w:numPr>
          <w:ilvl w:val="0"/>
          <w:numId w:val="3"/>
        </w:numPr>
        <w:rPr>
          <w:lang w:val="da-DK"/>
        </w:rPr>
      </w:pPr>
      <w:r w:rsidRPr="00B04BEE">
        <w:rPr>
          <w:lang w:val="da-DK"/>
        </w:rPr>
        <w:t>Hvis f</w:t>
      </w:r>
      <w:r w:rsidR="008203A4" w:rsidRPr="00B04BEE">
        <w:rPr>
          <w:lang w:val="da-DK"/>
        </w:rPr>
        <w:t xml:space="preserve">.eks. alle </w:t>
      </w:r>
      <w:r w:rsidRPr="00B04BEE">
        <w:rPr>
          <w:lang w:val="da-DK"/>
        </w:rPr>
        <w:t xml:space="preserve">i udgangssituationen </w:t>
      </w:r>
      <w:r w:rsidR="008203A4" w:rsidRPr="00B04BEE">
        <w:rPr>
          <w:lang w:val="da-DK"/>
        </w:rPr>
        <w:t>få</w:t>
      </w:r>
      <w:r w:rsidRPr="00B04BEE">
        <w:rPr>
          <w:lang w:val="da-DK"/>
        </w:rPr>
        <w:t>r</w:t>
      </w:r>
      <w:r w:rsidR="008203A4" w:rsidRPr="00B04BEE">
        <w:rPr>
          <w:lang w:val="da-DK"/>
        </w:rPr>
        <w:t xml:space="preserve"> samme forhold mellem indhandlingspligtige kvoter og ikke-indhandlingspligtige kvoter, </w:t>
      </w:r>
      <w:r w:rsidRPr="00B04BEE">
        <w:rPr>
          <w:lang w:val="da-DK"/>
        </w:rPr>
        <w:t>vil det betyde</w:t>
      </w:r>
      <w:r w:rsidR="008203A4" w:rsidRPr="00B04BEE">
        <w:rPr>
          <w:lang w:val="da-DK"/>
        </w:rPr>
        <w:t xml:space="preserve">, at </w:t>
      </w:r>
      <w:r w:rsidRPr="00B04BEE">
        <w:rPr>
          <w:lang w:val="da-DK"/>
        </w:rPr>
        <w:t xml:space="preserve">en del selskaber vil </w:t>
      </w:r>
      <w:r w:rsidR="008203A4" w:rsidRPr="00B04BEE">
        <w:rPr>
          <w:lang w:val="da-DK"/>
        </w:rPr>
        <w:t>have ikke-indhandlingspligtige kvoter, der reelt ikke kan benyttes til produktion ombord med de nuværende</w:t>
      </w:r>
      <w:r w:rsidRPr="00B04BEE">
        <w:rPr>
          <w:lang w:val="da-DK"/>
        </w:rPr>
        <w:t xml:space="preserve"> </w:t>
      </w:r>
      <w:r w:rsidR="008203A4" w:rsidRPr="00B04BEE">
        <w:rPr>
          <w:lang w:val="da-DK"/>
        </w:rPr>
        <w:t>fartøjer</w:t>
      </w:r>
      <w:r w:rsidRPr="00B04BEE">
        <w:rPr>
          <w:lang w:val="da-DK"/>
        </w:rPr>
        <w:t xml:space="preserve"> i det kystnære rejefiskeri</w:t>
      </w:r>
      <w:r w:rsidR="00580F18" w:rsidRPr="00B04BEE">
        <w:rPr>
          <w:lang w:val="da-DK"/>
        </w:rPr>
        <w:t xml:space="preserve">. </w:t>
      </w:r>
    </w:p>
    <w:p w14:paraId="09848901" w14:textId="3ABC25B0" w:rsidR="008203A4" w:rsidRPr="00B04BEE" w:rsidRDefault="00580F18" w:rsidP="00B04BEE">
      <w:pPr>
        <w:pStyle w:val="Listeafsnit"/>
        <w:numPr>
          <w:ilvl w:val="0"/>
          <w:numId w:val="3"/>
        </w:numPr>
        <w:rPr>
          <w:lang w:val="da-DK"/>
        </w:rPr>
      </w:pPr>
      <w:r w:rsidRPr="00B04BEE">
        <w:rPr>
          <w:lang w:val="da-DK"/>
        </w:rPr>
        <w:t xml:space="preserve">Selskaber med fartøjer med stor kapacitet til produktion ombord vil på den anden side mangle ikke-indhandlingspligtige kvoteandele. Dette vil </w:t>
      </w:r>
      <w:r w:rsidR="00857C7C" w:rsidRPr="00B04BEE">
        <w:rPr>
          <w:lang w:val="da-DK"/>
        </w:rPr>
        <w:t>kunne lø</w:t>
      </w:r>
      <w:r w:rsidRPr="00B04BEE">
        <w:rPr>
          <w:lang w:val="da-DK"/>
        </w:rPr>
        <w:t>ses ved at handle med kvoteandele og kvotemængder.</w:t>
      </w:r>
    </w:p>
    <w:p w14:paraId="66A7DEEC" w14:textId="4FD38E38" w:rsidR="00580F18" w:rsidRDefault="003C6DA5" w:rsidP="00B2344B">
      <w:pPr>
        <w:rPr>
          <w:lang w:val="da-DK"/>
        </w:rPr>
      </w:pPr>
      <w:r>
        <w:rPr>
          <w:lang w:val="da-DK"/>
        </w:rPr>
        <w:t>Som udgangspunkt gælder, at det nuværende afgiftssystem med lavere rejeaf</w:t>
      </w:r>
      <w:r w:rsidR="00165B99">
        <w:rPr>
          <w:lang w:val="da-DK"/>
        </w:rPr>
        <w:t>gifter på indhandling end på eksport opretholdes, men med større fleksibilitet og potentiel</w:t>
      </w:r>
      <w:r w:rsidR="00222C3A">
        <w:rPr>
          <w:lang w:val="da-DK"/>
        </w:rPr>
        <w:t>t</w:t>
      </w:r>
      <w:r w:rsidR="00165B99">
        <w:rPr>
          <w:lang w:val="da-DK"/>
        </w:rPr>
        <w:t xml:space="preserve"> stigende økonomisk effektivitet og dermed ressourcerente</w:t>
      </w:r>
      <w:r w:rsidR="00B04BEE">
        <w:rPr>
          <w:lang w:val="da-DK"/>
        </w:rPr>
        <w:t xml:space="preserve">. </w:t>
      </w:r>
      <w:r w:rsidR="00165B99">
        <w:rPr>
          <w:lang w:val="da-DK"/>
        </w:rPr>
        <w:t xml:space="preserve"> </w:t>
      </w:r>
      <w:r w:rsidR="00B04BEE">
        <w:rPr>
          <w:lang w:val="da-DK"/>
        </w:rPr>
        <w:t xml:space="preserve">Det rejser </w:t>
      </w:r>
      <w:r w:rsidR="00165B99">
        <w:rPr>
          <w:lang w:val="da-DK"/>
        </w:rPr>
        <w:t>spørgsmålet</w:t>
      </w:r>
      <w:r w:rsidR="008779DF">
        <w:rPr>
          <w:lang w:val="da-DK"/>
        </w:rPr>
        <w:t>,</w:t>
      </w:r>
      <w:r w:rsidR="00165B99">
        <w:rPr>
          <w:lang w:val="da-DK"/>
        </w:rPr>
        <w:t xml:space="preserve"> om hand</w:t>
      </w:r>
      <w:r w:rsidR="008779DF">
        <w:rPr>
          <w:lang w:val="da-DK"/>
        </w:rPr>
        <w:t>el</w:t>
      </w:r>
      <w:r w:rsidR="00165B99">
        <w:rPr>
          <w:lang w:val="da-DK"/>
        </w:rPr>
        <w:t xml:space="preserve"> med indhandlingspligtige kvoteandele og ikke-indhandlingspligtige kvoteandele (og tilsvarende på årsmængder) er den bedste model. </w:t>
      </w:r>
      <w:r w:rsidR="00580F18">
        <w:rPr>
          <w:lang w:val="da-DK"/>
        </w:rPr>
        <w:t xml:space="preserve">Dette </w:t>
      </w:r>
      <w:r w:rsidR="008779DF">
        <w:rPr>
          <w:lang w:val="da-DK"/>
        </w:rPr>
        <w:t xml:space="preserve">spørgsmål </w:t>
      </w:r>
      <w:r w:rsidR="00580F18">
        <w:rPr>
          <w:lang w:val="da-DK"/>
        </w:rPr>
        <w:t xml:space="preserve">vil gælde både med fordeling af indhandlingspligtige kvoteandele baseret på historiske forhold og ved </w:t>
      </w:r>
      <w:r w:rsidR="008779DF">
        <w:rPr>
          <w:lang w:val="da-DK"/>
        </w:rPr>
        <w:t xml:space="preserve">f.eks. en </w:t>
      </w:r>
      <w:r w:rsidR="00580F18">
        <w:rPr>
          <w:lang w:val="da-DK"/>
        </w:rPr>
        <w:t>lige fordel</w:t>
      </w:r>
      <w:r w:rsidR="008779DF">
        <w:rPr>
          <w:lang w:val="da-DK"/>
        </w:rPr>
        <w:t xml:space="preserve">ing af </w:t>
      </w:r>
      <w:r w:rsidR="00580F18">
        <w:rPr>
          <w:lang w:val="da-DK"/>
        </w:rPr>
        <w:t xml:space="preserve">indhandlingspligtige </w:t>
      </w:r>
      <w:r w:rsidR="008779DF">
        <w:rPr>
          <w:lang w:val="da-DK"/>
        </w:rPr>
        <w:t xml:space="preserve">og ikke-indhandlingspligtige </w:t>
      </w:r>
      <w:r w:rsidR="00580F18">
        <w:rPr>
          <w:lang w:val="da-DK"/>
        </w:rPr>
        <w:t xml:space="preserve">kvoteandele. </w:t>
      </w:r>
    </w:p>
    <w:p w14:paraId="0A52D7D0" w14:textId="77777777" w:rsidR="00B04BEE" w:rsidRDefault="00580F18" w:rsidP="00B2344B">
      <w:pPr>
        <w:rPr>
          <w:lang w:val="da-DK"/>
        </w:rPr>
      </w:pPr>
      <w:r>
        <w:rPr>
          <w:lang w:val="da-DK"/>
        </w:rPr>
        <w:t>For at opnå en økonomisk effektiv udnyttelse af den samlede kvote og samtidigt sikre, at en vis andel landes til fabrikkerne, f.eks. svarende til den nuværende fordeling, opstår spørgsmålet</w:t>
      </w:r>
      <w:r w:rsidR="00222C3A">
        <w:rPr>
          <w:lang w:val="da-DK"/>
        </w:rPr>
        <w:t>,</w:t>
      </w:r>
      <w:r>
        <w:rPr>
          <w:lang w:val="da-DK"/>
        </w:rPr>
        <w:t xml:space="preserve"> om</w:t>
      </w:r>
      <w:r w:rsidR="00B04BEE">
        <w:rPr>
          <w:lang w:val="da-DK"/>
        </w:rPr>
        <w:t>:</w:t>
      </w:r>
      <w:r>
        <w:rPr>
          <w:lang w:val="da-DK"/>
        </w:rPr>
        <w:t xml:space="preserve"> </w:t>
      </w:r>
    </w:p>
    <w:p w14:paraId="1622CEAE" w14:textId="28E298D0" w:rsidR="00B04BEE" w:rsidRDefault="00580F18" w:rsidP="0061265C">
      <w:pPr>
        <w:pStyle w:val="Listeafsnit"/>
        <w:numPr>
          <w:ilvl w:val="0"/>
          <w:numId w:val="5"/>
        </w:numPr>
        <w:rPr>
          <w:lang w:val="da-DK"/>
        </w:rPr>
      </w:pPr>
      <w:r w:rsidRPr="00997822">
        <w:rPr>
          <w:lang w:val="da-DK"/>
        </w:rPr>
        <w:t>en fast kvoteandel med indhandlingspligt er at foretrække</w:t>
      </w:r>
      <w:r w:rsidR="00B04BEE">
        <w:rPr>
          <w:lang w:val="da-DK"/>
        </w:rPr>
        <w:t>,</w:t>
      </w:r>
      <w:r w:rsidR="00E6385C" w:rsidRPr="00997822">
        <w:rPr>
          <w:lang w:val="da-DK"/>
        </w:rPr>
        <w:t xml:space="preserve"> frem for </w:t>
      </w:r>
    </w:p>
    <w:p w14:paraId="3BB68EB7" w14:textId="77777777" w:rsidR="00B04BEE" w:rsidRDefault="00580F18" w:rsidP="0061265C">
      <w:pPr>
        <w:pStyle w:val="Listeafsnit"/>
        <w:numPr>
          <w:ilvl w:val="0"/>
          <w:numId w:val="5"/>
        </w:numPr>
        <w:rPr>
          <w:lang w:val="da-DK"/>
        </w:rPr>
      </w:pPr>
      <w:r w:rsidRPr="00997822">
        <w:rPr>
          <w:lang w:val="da-DK"/>
        </w:rPr>
        <w:t>en mere fleksibel model</w:t>
      </w:r>
      <w:r w:rsidR="0068697D" w:rsidRPr="00997822">
        <w:rPr>
          <w:lang w:val="da-DK"/>
        </w:rPr>
        <w:t xml:space="preserve">, hvor indhandlingen varierer </w:t>
      </w:r>
      <w:r w:rsidR="00222C3A" w:rsidRPr="00C30C20">
        <w:rPr>
          <w:lang w:val="da-DK"/>
        </w:rPr>
        <w:t>ved</w:t>
      </w:r>
      <w:r w:rsidR="0068697D" w:rsidRPr="00873BD6">
        <w:rPr>
          <w:lang w:val="da-DK"/>
        </w:rPr>
        <w:t xml:space="preserve"> varierende </w:t>
      </w:r>
      <w:r w:rsidRPr="00873BD6">
        <w:rPr>
          <w:lang w:val="da-DK"/>
        </w:rPr>
        <w:t xml:space="preserve">vilkår som </w:t>
      </w:r>
      <w:r w:rsidR="0068697D" w:rsidRPr="00873BD6">
        <w:rPr>
          <w:lang w:val="da-DK"/>
        </w:rPr>
        <w:t xml:space="preserve">f.eks. </w:t>
      </w:r>
      <w:r w:rsidR="00222C3A" w:rsidRPr="00873BD6">
        <w:rPr>
          <w:lang w:val="da-DK"/>
        </w:rPr>
        <w:t xml:space="preserve">ændringer i </w:t>
      </w:r>
      <w:r w:rsidRPr="00B04BEE">
        <w:rPr>
          <w:lang w:val="da-DK"/>
        </w:rPr>
        <w:t>priser på forskellige rejeprodukter</w:t>
      </w:r>
      <w:r w:rsidR="00E6385C" w:rsidRPr="00B04BEE">
        <w:rPr>
          <w:lang w:val="da-DK"/>
        </w:rPr>
        <w:t xml:space="preserve">. </w:t>
      </w:r>
    </w:p>
    <w:p w14:paraId="37D680ED" w14:textId="44CB8616" w:rsidR="003C6DA5" w:rsidRPr="00873BD6" w:rsidRDefault="00E6385C" w:rsidP="00997822">
      <w:pPr>
        <w:rPr>
          <w:lang w:val="da-DK"/>
        </w:rPr>
      </w:pPr>
      <w:r w:rsidRPr="00997822">
        <w:rPr>
          <w:lang w:val="da-DK"/>
        </w:rPr>
        <w:t>I</w:t>
      </w:r>
      <w:r w:rsidR="0068697D" w:rsidRPr="00997822">
        <w:rPr>
          <w:lang w:val="da-DK"/>
        </w:rPr>
        <w:t xml:space="preserve"> </w:t>
      </w:r>
      <w:r w:rsidR="00B04BEE">
        <w:rPr>
          <w:lang w:val="da-DK"/>
        </w:rPr>
        <w:t xml:space="preserve">sidstnævnte </w:t>
      </w:r>
      <w:r w:rsidR="0068697D" w:rsidRPr="00997822">
        <w:rPr>
          <w:lang w:val="da-DK"/>
        </w:rPr>
        <w:t xml:space="preserve">tilfælde </w:t>
      </w:r>
      <w:r w:rsidRPr="00997822">
        <w:rPr>
          <w:lang w:val="da-DK"/>
        </w:rPr>
        <w:t xml:space="preserve">skal der </w:t>
      </w:r>
      <w:r w:rsidR="0068697D" w:rsidRPr="00C30C20">
        <w:rPr>
          <w:lang w:val="da-DK"/>
        </w:rPr>
        <w:t>regulere</w:t>
      </w:r>
      <w:r w:rsidRPr="00873BD6">
        <w:rPr>
          <w:lang w:val="da-DK"/>
        </w:rPr>
        <w:t>s</w:t>
      </w:r>
      <w:r w:rsidR="0068697D" w:rsidRPr="00873BD6">
        <w:rPr>
          <w:lang w:val="da-DK"/>
        </w:rPr>
        <w:t xml:space="preserve"> med varierende ressourceafgifter, både mht. niveau og med hensyn til forskel mellem ressourceafgiften på indhandling og på eksport. </w:t>
      </w:r>
    </w:p>
    <w:p w14:paraId="252ED835" w14:textId="4694E745" w:rsidR="003C6DA5" w:rsidRDefault="00165B99" w:rsidP="00B2344B">
      <w:pPr>
        <w:rPr>
          <w:lang w:val="da-DK"/>
        </w:rPr>
      </w:pPr>
      <w:r>
        <w:rPr>
          <w:lang w:val="da-DK"/>
        </w:rPr>
        <w:t>Det er baggrund</w:t>
      </w:r>
      <w:r w:rsidR="0068697D">
        <w:rPr>
          <w:lang w:val="da-DK"/>
        </w:rPr>
        <w:t xml:space="preserve">en for at vurdere </w:t>
      </w:r>
      <w:r>
        <w:rPr>
          <w:lang w:val="da-DK"/>
        </w:rPr>
        <w:t>fordele og ulemper ved de to reguleringsmodeller</w:t>
      </w:r>
      <w:r w:rsidR="0068697D">
        <w:rPr>
          <w:lang w:val="da-DK"/>
        </w:rPr>
        <w:t xml:space="preserve">. </w:t>
      </w:r>
      <w:r>
        <w:rPr>
          <w:lang w:val="da-DK"/>
        </w:rPr>
        <w:t xml:space="preserve"> </w:t>
      </w:r>
    </w:p>
    <w:p w14:paraId="538F7C3D" w14:textId="77777777" w:rsidR="00B04BEE" w:rsidRDefault="009E7B0D" w:rsidP="009E7B0D">
      <w:pPr>
        <w:pStyle w:val="Listeafsnit"/>
        <w:numPr>
          <w:ilvl w:val="0"/>
          <w:numId w:val="2"/>
        </w:numPr>
        <w:rPr>
          <w:lang w:val="da-DK"/>
        </w:rPr>
      </w:pPr>
      <w:r w:rsidRPr="00EF26D7">
        <w:rPr>
          <w:b/>
          <w:lang w:val="da-DK"/>
        </w:rPr>
        <w:t xml:space="preserve">Model 1. </w:t>
      </w:r>
      <w:r w:rsidR="00D655B2">
        <w:rPr>
          <w:b/>
          <w:lang w:val="da-DK"/>
        </w:rPr>
        <w:t xml:space="preserve">Kvoteandels-modellen. </w:t>
      </w:r>
      <w:r w:rsidR="00EF26D7" w:rsidRPr="00EF26D7">
        <w:rPr>
          <w:b/>
          <w:lang w:val="da-DK"/>
        </w:rPr>
        <w:t>Køb og salg af indhandlingspligtige og ikke-indhandlingspligtige kvoteandele og kvoter</w:t>
      </w:r>
      <w:r w:rsidR="00EF26D7">
        <w:rPr>
          <w:lang w:val="da-DK"/>
        </w:rPr>
        <w:t xml:space="preserve">. </w:t>
      </w:r>
      <w:r>
        <w:rPr>
          <w:lang w:val="da-DK"/>
        </w:rPr>
        <w:t xml:space="preserve">Der fastsættes </w:t>
      </w:r>
      <w:r w:rsidR="00EF26D7">
        <w:rPr>
          <w:lang w:val="da-DK"/>
        </w:rPr>
        <w:t xml:space="preserve">årligt </w:t>
      </w:r>
      <w:r w:rsidR="00E6385C">
        <w:rPr>
          <w:lang w:val="da-DK"/>
        </w:rPr>
        <w:t xml:space="preserve">en </w:t>
      </w:r>
      <w:r>
        <w:rPr>
          <w:lang w:val="da-DK"/>
        </w:rPr>
        <w:t xml:space="preserve">samlet </w:t>
      </w:r>
      <w:r w:rsidR="00165B99">
        <w:rPr>
          <w:lang w:val="da-DK"/>
        </w:rPr>
        <w:t xml:space="preserve">rejekvote </w:t>
      </w:r>
      <w:r w:rsidR="00165B99">
        <w:rPr>
          <w:lang w:val="da-DK"/>
        </w:rPr>
        <w:lastRenderedPageBreak/>
        <w:t>(</w:t>
      </w:r>
      <w:r>
        <w:rPr>
          <w:lang w:val="da-DK"/>
        </w:rPr>
        <w:t>TAC</w:t>
      </w:r>
      <w:r w:rsidR="00D41E99">
        <w:rPr>
          <w:lang w:val="da-DK"/>
        </w:rPr>
        <w:t>’en</w:t>
      </w:r>
      <w:r w:rsidR="00165B99">
        <w:rPr>
          <w:lang w:val="da-DK"/>
        </w:rPr>
        <w:t>)</w:t>
      </w:r>
      <w:r w:rsidR="00D41E99">
        <w:rPr>
          <w:lang w:val="da-DK"/>
        </w:rPr>
        <w:t>,</w:t>
      </w:r>
      <w:r>
        <w:rPr>
          <w:lang w:val="da-DK"/>
        </w:rPr>
        <w:t xml:space="preserve"> </w:t>
      </w:r>
      <w:r w:rsidR="00EF26D7">
        <w:rPr>
          <w:lang w:val="da-DK"/>
        </w:rPr>
        <w:t>der</w:t>
      </w:r>
      <w:r w:rsidR="00165B99">
        <w:rPr>
          <w:lang w:val="da-DK"/>
        </w:rPr>
        <w:t xml:space="preserve"> opdeles i en indhandlingspligtig kvote og en ikke-indha</w:t>
      </w:r>
      <w:r w:rsidR="00D668F5">
        <w:rPr>
          <w:lang w:val="da-DK"/>
        </w:rPr>
        <w:t>n</w:t>
      </w:r>
      <w:r w:rsidR="00165B99">
        <w:rPr>
          <w:lang w:val="da-DK"/>
        </w:rPr>
        <w:t xml:space="preserve">dlingspligtig </w:t>
      </w:r>
      <w:r w:rsidR="00D668F5">
        <w:rPr>
          <w:lang w:val="da-DK"/>
        </w:rPr>
        <w:t>kvote</w:t>
      </w:r>
      <w:r w:rsidR="00EF26D7">
        <w:rPr>
          <w:lang w:val="da-DK"/>
        </w:rPr>
        <w:t xml:space="preserve">, </w:t>
      </w:r>
      <w:r w:rsidR="00E6385C">
        <w:rPr>
          <w:lang w:val="da-DK"/>
        </w:rPr>
        <w:t>f.</w:t>
      </w:r>
      <w:r w:rsidR="00EF26D7">
        <w:rPr>
          <w:lang w:val="da-DK"/>
        </w:rPr>
        <w:t xml:space="preserve">eks. den gældende fordeling eller en anden fordeling. </w:t>
      </w:r>
    </w:p>
    <w:p w14:paraId="74424B32" w14:textId="77777777" w:rsidR="00B04BEE" w:rsidRDefault="00B04BEE" w:rsidP="0061265C">
      <w:pPr>
        <w:pStyle w:val="Listeafsnit"/>
        <w:rPr>
          <w:b/>
          <w:lang w:val="da-DK"/>
        </w:rPr>
      </w:pPr>
    </w:p>
    <w:p w14:paraId="3F129E16" w14:textId="405148FC" w:rsidR="009E7B0D" w:rsidRDefault="00EF26D7" w:rsidP="0061265C">
      <w:pPr>
        <w:pStyle w:val="Listeafsnit"/>
        <w:rPr>
          <w:lang w:val="da-DK"/>
        </w:rPr>
      </w:pPr>
      <w:r>
        <w:rPr>
          <w:lang w:val="da-DK"/>
        </w:rPr>
        <w:t xml:space="preserve">Kvoten </w:t>
      </w:r>
      <w:r w:rsidR="00E6385C">
        <w:rPr>
          <w:lang w:val="da-DK"/>
        </w:rPr>
        <w:t xml:space="preserve">fordeles som i det nuværende system </w:t>
      </w:r>
      <w:r w:rsidR="00351548">
        <w:rPr>
          <w:lang w:val="da-DK"/>
        </w:rPr>
        <w:t xml:space="preserve">mellem </w:t>
      </w:r>
      <w:r>
        <w:rPr>
          <w:lang w:val="da-DK"/>
        </w:rPr>
        <w:t>de enkelte selskaber i forhold til deres kvoteandele</w:t>
      </w:r>
      <w:r w:rsidR="00B74870">
        <w:rPr>
          <w:lang w:val="da-DK"/>
        </w:rPr>
        <w:t>, men opdelt i</w:t>
      </w:r>
      <w:r w:rsidR="00222C3A">
        <w:rPr>
          <w:lang w:val="da-DK"/>
        </w:rPr>
        <w:t xml:space="preserve"> indhandlingspligtige og ikke-indhandlingspligtige kvoteandele</w:t>
      </w:r>
      <w:r>
        <w:rPr>
          <w:lang w:val="da-DK"/>
        </w:rPr>
        <w:t xml:space="preserve">. </w:t>
      </w:r>
      <w:r w:rsidR="00D655B2">
        <w:rPr>
          <w:lang w:val="da-DK"/>
        </w:rPr>
        <w:t xml:space="preserve">Hvis markedet for indhandlingspligtige kvoteandele og kvoter og markedet for ikke-indhandlingspligtige kvoteandele og kvoter fungerer godt, vil </w:t>
      </w:r>
      <w:r w:rsidR="00222C3A">
        <w:rPr>
          <w:lang w:val="da-DK"/>
        </w:rPr>
        <w:t xml:space="preserve">fiskeriet </w:t>
      </w:r>
      <w:r w:rsidR="00D655B2">
        <w:rPr>
          <w:lang w:val="da-DK"/>
        </w:rPr>
        <w:t>med den givne restriktion på forholdet mellem indhandlingspligtige kvoter og ikke-indhandlingspligtige kvoter,</w:t>
      </w:r>
      <w:r w:rsidR="00222C3A">
        <w:rPr>
          <w:lang w:val="da-DK"/>
        </w:rPr>
        <w:t xml:space="preserve"> blive </w:t>
      </w:r>
      <w:r w:rsidR="00D655B2">
        <w:rPr>
          <w:lang w:val="da-DK"/>
        </w:rPr>
        <w:t>effektivt.</w:t>
      </w:r>
    </w:p>
    <w:p w14:paraId="14F3697C" w14:textId="77777777" w:rsidR="00EF26D7" w:rsidRDefault="00EF26D7" w:rsidP="00EF26D7">
      <w:pPr>
        <w:pStyle w:val="Listeafsnit"/>
        <w:rPr>
          <w:lang w:val="da-DK"/>
        </w:rPr>
      </w:pPr>
    </w:p>
    <w:p w14:paraId="1E3897AC" w14:textId="1AD39EDE" w:rsidR="00B04BEE" w:rsidRDefault="00582678" w:rsidP="00F43AFD">
      <w:pPr>
        <w:pStyle w:val="Listeafsnit"/>
        <w:numPr>
          <w:ilvl w:val="0"/>
          <w:numId w:val="2"/>
        </w:numPr>
        <w:rPr>
          <w:lang w:val="da-DK"/>
        </w:rPr>
      </w:pPr>
      <w:r w:rsidRPr="00AD0D49">
        <w:rPr>
          <w:b/>
          <w:lang w:val="da-DK"/>
        </w:rPr>
        <w:t xml:space="preserve">Model 2. </w:t>
      </w:r>
      <w:r w:rsidR="00D655B2">
        <w:rPr>
          <w:b/>
          <w:lang w:val="da-DK"/>
        </w:rPr>
        <w:t xml:space="preserve">Afgifts-modellen. </w:t>
      </w:r>
      <w:r w:rsidR="00EF26D7" w:rsidRPr="00AD0D49">
        <w:rPr>
          <w:b/>
          <w:lang w:val="da-DK"/>
        </w:rPr>
        <w:t xml:space="preserve">Ressourceafgifterne for indhandlede rejer og rejer til eksport fastsættes </w:t>
      </w:r>
      <w:r w:rsidR="00D655B2">
        <w:rPr>
          <w:b/>
          <w:lang w:val="da-DK"/>
        </w:rPr>
        <w:t xml:space="preserve">for at sikre bedst </w:t>
      </w:r>
      <w:r w:rsidR="00222C3A">
        <w:rPr>
          <w:b/>
          <w:lang w:val="da-DK"/>
        </w:rPr>
        <w:t xml:space="preserve">mulig </w:t>
      </w:r>
      <w:r w:rsidR="00D655B2">
        <w:rPr>
          <w:b/>
          <w:lang w:val="da-DK"/>
        </w:rPr>
        <w:t xml:space="preserve">udnyttelse og under hensyn til beskæftigelsen på </w:t>
      </w:r>
      <w:r w:rsidR="00AD0D49" w:rsidRPr="00AD0D49">
        <w:rPr>
          <w:b/>
          <w:lang w:val="da-DK"/>
        </w:rPr>
        <w:t>fabrikkerne.</w:t>
      </w:r>
      <w:r w:rsidR="00AD0D49">
        <w:rPr>
          <w:lang w:val="da-DK"/>
        </w:rPr>
        <w:t xml:space="preserve"> </w:t>
      </w:r>
      <w:r w:rsidR="00D655B2">
        <w:rPr>
          <w:lang w:val="da-DK"/>
        </w:rPr>
        <w:t>Ressourceafgifterne, herunder så også f</w:t>
      </w:r>
      <w:r w:rsidR="00F43AFD">
        <w:rPr>
          <w:lang w:val="da-DK"/>
        </w:rPr>
        <w:t xml:space="preserve">orskellen mellem fangstafgifterne fastsættes, så den ønskede del af TAC landes til forarbejdning. </w:t>
      </w:r>
    </w:p>
    <w:p w14:paraId="4382616C" w14:textId="77777777" w:rsidR="00B04BEE" w:rsidRDefault="00B04BEE" w:rsidP="0061265C">
      <w:pPr>
        <w:pStyle w:val="Listeafsnit"/>
        <w:rPr>
          <w:lang w:val="da-DK"/>
        </w:rPr>
      </w:pPr>
    </w:p>
    <w:p w14:paraId="4847823D" w14:textId="7296CCB8" w:rsidR="00F43AFD" w:rsidRDefault="00D41E99" w:rsidP="0061265C">
      <w:pPr>
        <w:pStyle w:val="Listeafsnit"/>
        <w:rPr>
          <w:lang w:val="da-DK"/>
        </w:rPr>
      </w:pPr>
      <w:r>
        <w:rPr>
          <w:lang w:val="da-DK"/>
        </w:rPr>
        <w:t>Dette vil sikre, at enkelte fartøjer driftsøkonomisk kan tilpasse sig optimalt</w:t>
      </w:r>
      <w:r w:rsidR="00D655B2">
        <w:rPr>
          <w:lang w:val="da-DK"/>
        </w:rPr>
        <w:t xml:space="preserve"> i forhold til priser, omkostninger mv.</w:t>
      </w:r>
      <w:r>
        <w:rPr>
          <w:lang w:val="da-DK"/>
        </w:rPr>
        <w:t xml:space="preserve">, og hele fiskeriet </w:t>
      </w:r>
      <w:r w:rsidR="00D655B2">
        <w:rPr>
          <w:lang w:val="da-DK"/>
        </w:rPr>
        <w:t xml:space="preserve">vil foregå </w:t>
      </w:r>
      <w:r>
        <w:rPr>
          <w:lang w:val="da-DK"/>
        </w:rPr>
        <w:t>økonomisk effektivt. Dvs.</w:t>
      </w:r>
      <w:r w:rsidR="00222C3A">
        <w:rPr>
          <w:lang w:val="da-DK"/>
        </w:rPr>
        <w:t>,</w:t>
      </w:r>
      <w:r>
        <w:rPr>
          <w:lang w:val="da-DK"/>
        </w:rPr>
        <w:t xml:space="preserve"> det gælder også her, at de enkelte flådesegmenter kan udnytte deres relative (komparative) fordele.</w:t>
      </w:r>
    </w:p>
    <w:p w14:paraId="60B1D5FA" w14:textId="77777777" w:rsidR="00B04BEE" w:rsidRDefault="00F43AFD" w:rsidP="00F43AFD">
      <w:pPr>
        <w:rPr>
          <w:lang w:val="da-DK"/>
        </w:rPr>
      </w:pPr>
      <w:r>
        <w:rPr>
          <w:lang w:val="da-DK"/>
        </w:rPr>
        <w:t xml:space="preserve">Der er fordele og ulemper ved de to metoder, da </w:t>
      </w:r>
      <w:r w:rsidR="00D655B2">
        <w:rPr>
          <w:lang w:val="da-DK"/>
        </w:rPr>
        <w:t xml:space="preserve">forholdet mellem indhandlingspligtige kvoteandele og kvoter og ikke-indhandlingspligtige </w:t>
      </w:r>
      <w:r>
        <w:rPr>
          <w:lang w:val="da-DK"/>
        </w:rPr>
        <w:t>kvote</w:t>
      </w:r>
      <w:r w:rsidR="00736AAE">
        <w:rPr>
          <w:lang w:val="da-DK"/>
        </w:rPr>
        <w:t>andele og kvoter</w:t>
      </w:r>
      <w:r>
        <w:rPr>
          <w:lang w:val="da-DK"/>
        </w:rPr>
        <w:t xml:space="preserve"> er en direkte regulering, medens afgiften er en indirekte regulering</w:t>
      </w:r>
      <w:r w:rsidR="00736AAE">
        <w:rPr>
          <w:lang w:val="da-DK"/>
        </w:rPr>
        <w:t xml:space="preserve">. </w:t>
      </w:r>
    </w:p>
    <w:p w14:paraId="7A5C4C9A" w14:textId="52A00A24" w:rsidR="00F43AFD" w:rsidRDefault="00736AAE" w:rsidP="00F43AFD">
      <w:pPr>
        <w:rPr>
          <w:lang w:val="da-DK"/>
        </w:rPr>
      </w:pPr>
      <w:r>
        <w:rPr>
          <w:lang w:val="da-DK"/>
        </w:rPr>
        <w:t>B</w:t>
      </w:r>
      <w:r w:rsidR="00F43AFD">
        <w:rPr>
          <w:lang w:val="da-DK"/>
        </w:rPr>
        <w:t xml:space="preserve">egge metoder kan indrettes og løbende justeres, så den fastsatte andel til </w:t>
      </w:r>
      <w:r>
        <w:rPr>
          <w:lang w:val="da-DK"/>
        </w:rPr>
        <w:t>indhandling</w:t>
      </w:r>
      <w:r w:rsidR="00785DE4">
        <w:rPr>
          <w:lang w:val="da-DK"/>
        </w:rPr>
        <w:t xml:space="preserve"> i</w:t>
      </w:r>
      <w:r w:rsidR="00D41E99">
        <w:rPr>
          <w:lang w:val="da-DK"/>
        </w:rPr>
        <w:t xml:space="preserve"> teorien med stor viden om fiskeriets </w:t>
      </w:r>
      <w:r>
        <w:rPr>
          <w:lang w:val="da-DK"/>
        </w:rPr>
        <w:t xml:space="preserve">priser- og </w:t>
      </w:r>
      <w:r w:rsidR="00D41E99">
        <w:rPr>
          <w:lang w:val="da-DK"/>
        </w:rPr>
        <w:t xml:space="preserve">omkostningsstrukturen er de to metoder lige gode til at sikre effektivitet i fiskeriet. </w:t>
      </w:r>
    </w:p>
    <w:p w14:paraId="10566267" w14:textId="172027B2" w:rsidR="00736AAE" w:rsidRDefault="000A44FC" w:rsidP="00F43AFD">
      <w:pPr>
        <w:rPr>
          <w:lang w:val="da-DK"/>
        </w:rPr>
      </w:pPr>
      <w:r>
        <w:rPr>
          <w:lang w:val="da-DK"/>
        </w:rPr>
        <w:t xml:space="preserve">Ved </w:t>
      </w:r>
      <w:r w:rsidRPr="00644625">
        <w:rPr>
          <w:b/>
          <w:lang w:val="da-DK"/>
        </w:rPr>
        <w:t>model 1, kvote</w:t>
      </w:r>
      <w:r w:rsidR="00736AAE" w:rsidRPr="00644625">
        <w:rPr>
          <w:b/>
          <w:lang w:val="da-DK"/>
        </w:rPr>
        <w:t>andelsmetoden</w:t>
      </w:r>
      <w:r w:rsidR="00736AAE">
        <w:rPr>
          <w:lang w:val="da-DK"/>
        </w:rPr>
        <w:t xml:space="preserve"> </w:t>
      </w:r>
      <w:r>
        <w:rPr>
          <w:lang w:val="da-DK"/>
        </w:rPr>
        <w:t xml:space="preserve">skal de enkelte </w:t>
      </w:r>
      <w:r w:rsidR="00736AAE">
        <w:rPr>
          <w:lang w:val="da-DK"/>
        </w:rPr>
        <w:t>selskaber købe og sælge</w:t>
      </w:r>
      <w:r>
        <w:rPr>
          <w:lang w:val="da-DK"/>
        </w:rPr>
        <w:t xml:space="preserve"> kvoteandele</w:t>
      </w:r>
      <w:r w:rsidR="00736AAE">
        <w:rPr>
          <w:lang w:val="da-DK"/>
        </w:rPr>
        <w:t xml:space="preserve"> og kvoter</w:t>
      </w:r>
      <w:r>
        <w:rPr>
          <w:lang w:val="da-DK"/>
        </w:rPr>
        <w:t xml:space="preserve"> til landing, dvs.</w:t>
      </w:r>
      <w:r w:rsidR="00222C3A">
        <w:rPr>
          <w:lang w:val="da-DK"/>
        </w:rPr>
        <w:t>,</w:t>
      </w:r>
      <w:r>
        <w:rPr>
          <w:lang w:val="da-DK"/>
        </w:rPr>
        <w:t xml:space="preserve"> hvis den tildelte kvote med en vis </w:t>
      </w:r>
      <w:proofErr w:type="gramStart"/>
      <w:r w:rsidR="00736AAE">
        <w:rPr>
          <w:lang w:val="da-DK"/>
        </w:rPr>
        <w:t>indhandlings</w:t>
      </w:r>
      <w:r>
        <w:rPr>
          <w:lang w:val="da-DK"/>
        </w:rPr>
        <w:t>pligt</w:t>
      </w:r>
      <w:proofErr w:type="gramEnd"/>
      <w:r>
        <w:rPr>
          <w:lang w:val="da-DK"/>
        </w:rPr>
        <w:t xml:space="preserve"> ikke er økonomisk optimal for </w:t>
      </w:r>
      <w:r w:rsidR="00D41E99">
        <w:rPr>
          <w:lang w:val="da-DK"/>
        </w:rPr>
        <w:t xml:space="preserve">et </w:t>
      </w:r>
      <w:r w:rsidR="00736AAE">
        <w:rPr>
          <w:lang w:val="da-DK"/>
        </w:rPr>
        <w:t>selskab</w:t>
      </w:r>
      <w:r>
        <w:rPr>
          <w:lang w:val="da-DK"/>
        </w:rPr>
        <w:t>, skal de</w:t>
      </w:r>
      <w:r w:rsidR="00D41E99">
        <w:rPr>
          <w:lang w:val="da-DK"/>
        </w:rPr>
        <w:t>t</w:t>
      </w:r>
      <w:r>
        <w:rPr>
          <w:lang w:val="da-DK"/>
        </w:rPr>
        <w:t xml:space="preserve"> sælge eller købe </w:t>
      </w:r>
      <w:r w:rsidR="00736AAE">
        <w:rPr>
          <w:lang w:val="da-DK"/>
        </w:rPr>
        <w:t>indhandlingspligtige kvoteandele og kvoter eller sælge eller købe ikke-indhandlingspligtige kvoteandele eller kvoter.</w:t>
      </w:r>
      <w:r w:rsidR="00300AD8">
        <w:rPr>
          <w:lang w:val="da-DK"/>
        </w:rPr>
        <w:t xml:space="preserve"> </w:t>
      </w:r>
    </w:p>
    <w:p w14:paraId="71238208" w14:textId="77777777" w:rsidR="00B04BEE" w:rsidRDefault="000A44FC" w:rsidP="00F43AFD">
      <w:pPr>
        <w:rPr>
          <w:lang w:val="da-DK"/>
        </w:rPr>
      </w:pPr>
      <w:r>
        <w:rPr>
          <w:lang w:val="da-DK"/>
        </w:rPr>
        <w:t xml:space="preserve">Denne model betyder, at </w:t>
      </w:r>
      <w:r w:rsidR="00736AAE">
        <w:rPr>
          <w:lang w:val="da-DK"/>
        </w:rPr>
        <w:t xml:space="preserve">selskaber </w:t>
      </w:r>
      <w:r>
        <w:rPr>
          <w:lang w:val="da-DK"/>
        </w:rPr>
        <w:t xml:space="preserve">med for ”stor” </w:t>
      </w:r>
      <w:r w:rsidR="00736AAE">
        <w:rPr>
          <w:lang w:val="da-DK"/>
        </w:rPr>
        <w:t>indhandlingspligt</w:t>
      </w:r>
      <w:r>
        <w:rPr>
          <w:lang w:val="da-DK"/>
        </w:rPr>
        <w:t xml:space="preserve"> </w:t>
      </w:r>
      <w:r w:rsidR="00222C3A">
        <w:rPr>
          <w:lang w:val="da-DK"/>
        </w:rPr>
        <w:t xml:space="preserve">i forhold til at kunne udnytte kapaciteten optimalt </w:t>
      </w:r>
      <w:r>
        <w:rPr>
          <w:lang w:val="da-DK"/>
        </w:rPr>
        <w:t xml:space="preserve">skal betale andre </w:t>
      </w:r>
      <w:r w:rsidR="00222C3A">
        <w:rPr>
          <w:lang w:val="da-DK"/>
        </w:rPr>
        <w:t xml:space="preserve">selskaber </w:t>
      </w:r>
      <w:r>
        <w:rPr>
          <w:lang w:val="da-DK"/>
        </w:rPr>
        <w:t xml:space="preserve">rederier for at overtage </w:t>
      </w:r>
      <w:r w:rsidR="00736AAE">
        <w:rPr>
          <w:lang w:val="da-DK"/>
        </w:rPr>
        <w:t xml:space="preserve">indhandlingspligten </w:t>
      </w:r>
      <w:r>
        <w:rPr>
          <w:lang w:val="da-DK"/>
        </w:rPr>
        <w:t xml:space="preserve">af en given </w:t>
      </w:r>
      <w:r w:rsidR="00736AAE">
        <w:rPr>
          <w:lang w:val="da-DK"/>
        </w:rPr>
        <w:t xml:space="preserve">kvoteandel eller </w:t>
      </w:r>
      <w:r>
        <w:rPr>
          <w:lang w:val="da-DK"/>
        </w:rPr>
        <w:t>mængde, og omvendt vil køberne blive kompenseret</w:t>
      </w:r>
      <w:r w:rsidR="00D41E99">
        <w:rPr>
          <w:lang w:val="da-DK"/>
        </w:rPr>
        <w:t>/belønnet</w:t>
      </w:r>
      <w:r>
        <w:rPr>
          <w:lang w:val="da-DK"/>
        </w:rPr>
        <w:t xml:space="preserve"> for at overtage forpligtigelsen. </w:t>
      </w:r>
    </w:p>
    <w:p w14:paraId="41F3A61C" w14:textId="4E74C7D8" w:rsidR="000A44FC" w:rsidRDefault="000A44FC" w:rsidP="00F43AFD">
      <w:pPr>
        <w:rPr>
          <w:lang w:val="da-DK"/>
        </w:rPr>
      </w:pPr>
      <w:r>
        <w:rPr>
          <w:lang w:val="da-DK"/>
        </w:rPr>
        <w:t>I denne model bliver myndighedernes rolle at registrere kvotehandler</w:t>
      </w:r>
      <w:r w:rsidR="00736AAE">
        <w:rPr>
          <w:lang w:val="da-DK"/>
        </w:rPr>
        <w:t xml:space="preserve"> og kontrollere, at den samlede </w:t>
      </w:r>
      <w:r>
        <w:rPr>
          <w:lang w:val="da-DK"/>
        </w:rPr>
        <w:t xml:space="preserve">landingsforpligtigelse bliver overholdt, </w:t>
      </w:r>
      <w:r w:rsidR="00736AAE">
        <w:rPr>
          <w:lang w:val="da-DK"/>
        </w:rPr>
        <w:t xml:space="preserve">men </w:t>
      </w:r>
      <w:r w:rsidR="00222C3A">
        <w:rPr>
          <w:lang w:val="da-DK"/>
        </w:rPr>
        <w:t xml:space="preserve">der er ikke behov for at kontrollere </w:t>
      </w:r>
      <w:r w:rsidR="00736AAE">
        <w:rPr>
          <w:lang w:val="da-DK"/>
        </w:rPr>
        <w:t xml:space="preserve">det enkelte selskab eller fartøj. Der vil ikke ske ændringer </w:t>
      </w:r>
      <w:r w:rsidR="00306CC4">
        <w:rPr>
          <w:lang w:val="da-DK"/>
        </w:rPr>
        <w:t>i</w:t>
      </w:r>
      <w:r w:rsidR="00736AAE">
        <w:rPr>
          <w:lang w:val="da-DK"/>
        </w:rPr>
        <w:t xml:space="preserve"> myndighedernes opgaver mht. at kontrollere indbetalinger af afgifterne.</w:t>
      </w:r>
      <w:r w:rsidR="00D41E99">
        <w:rPr>
          <w:lang w:val="da-DK"/>
        </w:rPr>
        <w:t xml:space="preserve"> </w:t>
      </w:r>
    </w:p>
    <w:p w14:paraId="39AA6504" w14:textId="2B850D34" w:rsidR="00736AAE" w:rsidRDefault="00736AAE" w:rsidP="00F43AFD">
      <w:pPr>
        <w:rPr>
          <w:lang w:val="da-DK"/>
        </w:rPr>
      </w:pPr>
      <w:r>
        <w:rPr>
          <w:lang w:val="da-DK"/>
        </w:rPr>
        <w:t>Hvis der er gennemsigtighed mht. handlen af kvot</w:t>
      </w:r>
      <w:r w:rsidR="00644625">
        <w:rPr>
          <w:lang w:val="da-DK"/>
        </w:rPr>
        <w:t>e</w:t>
      </w:r>
      <w:r>
        <w:rPr>
          <w:lang w:val="da-DK"/>
        </w:rPr>
        <w:t>andele og kvoter</w:t>
      </w:r>
      <w:r w:rsidR="00306CC4">
        <w:rPr>
          <w:lang w:val="da-DK"/>
        </w:rPr>
        <w:t>,</w:t>
      </w:r>
      <w:r>
        <w:rPr>
          <w:lang w:val="da-DK"/>
        </w:rPr>
        <w:t xml:space="preserve"> opnås</w:t>
      </w:r>
      <w:r w:rsidR="00644625">
        <w:rPr>
          <w:lang w:val="da-DK"/>
        </w:rPr>
        <w:t xml:space="preserve"> </w:t>
      </w:r>
      <w:r>
        <w:rPr>
          <w:lang w:val="da-DK"/>
        </w:rPr>
        <w:t xml:space="preserve">indsigt i </w:t>
      </w:r>
      <w:r w:rsidR="00644625">
        <w:rPr>
          <w:lang w:val="da-DK"/>
        </w:rPr>
        <w:t>de marginale overnormale gevinster ved den ene form for kvoter i forhold den anden. Denne indsigt giver grundlag for justering af ressourceafgifterne.</w:t>
      </w:r>
    </w:p>
    <w:p w14:paraId="1D86A3BF" w14:textId="3DF10400" w:rsidR="00E620DA" w:rsidRDefault="00E620DA" w:rsidP="00F43AFD">
      <w:pPr>
        <w:rPr>
          <w:lang w:val="da-DK"/>
        </w:rPr>
      </w:pPr>
      <w:r>
        <w:rPr>
          <w:lang w:val="da-DK"/>
        </w:rPr>
        <w:t>Model 1 vil sikre den fastsat ønskede indhandling.</w:t>
      </w:r>
    </w:p>
    <w:p w14:paraId="2C1A0EE0" w14:textId="78EA80CF" w:rsidR="00E620DA" w:rsidRDefault="000A44FC" w:rsidP="00F43AFD">
      <w:pPr>
        <w:rPr>
          <w:lang w:val="da-DK"/>
        </w:rPr>
      </w:pPr>
      <w:r w:rsidRPr="00644625">
        <w:rPr>
          <w:b/>
          <w:lang w:val="da-DK"/>
        </w:rPr>
        <w:t>Ved model 2, afgiftsmodellen</w:t>
      </w:r>
      <w:r>
        <w:rPr>
          <w:lang w:val="da-DK"/>
        </w:rPr>
        <w:t xml:space="preserve"> </w:t>
      </w:r>
      <w:r w:rsidR="00FA2995">
        <w:rPr>
          <w:lang w:val="da-DK"/>
        </w:rPr>
        <w:t xml:space="preserve">skal der beregnes </w:t>
      </w:r>
      <w:proofErr w:type="gramStart"/>
      <w:r w:rsidR="00FA2995">
        <w:rPr>
          <w:lang w:val="da-DK"/>
        </w:rPr>
        <w:t>et afgiftssplit</w:t>
      </w:r>
      <w:proofErr w:type="gramEnd"/>
      <w:r w:rsidR="00FA2995">
        <w:rPr>
          <w:lang w:val="da-DK"/>
        </w:rPr>
        <w:t xml:space="preserve"> mellem den del, der forarbejdes ombord og den del, der landes til forarbejdning. </w:t>
      </w:r>
      <w:r w:rsidR="00582678">
        <w:rPr>
          <w:lang w:val="da-DK"/>
        </w:rPr>
        <w:t xml:space="preserve">Afgifterne og dermed også afgiftssplittet </w:t>
      </w:r>
      <w:r w:rsidR="00E620DA">
        <w:rPr>
          <w:lang w:val="da-DK"/>
        </w:rPr>
        <w:t xml:space="preserve">skal </w:t>
      </w:r>
      <w:r w:rsidR="00582678">
        <w:rPr>
          <w:lang w:val="da-DK"/>
        </w:rPr>
        <w:t xml:space="preserve">fastsættes, så det forventes, at den fastsatte </w:t>
      </w:r>
      <w:r w:rsidR="00E620DA">
        <w:rPr>
          <w:lang w:val="da-DK"/>
        </w:rPr>
        <w:t xml:space="preserve">andel af kvoten </w:t>
      </w:r>
      <w:r w:rsidR="00582678">
        <w:rPr>
          <w:lang w:val="da-DK"/>
        </w:rPr>
        <w:t xml:space="preserve">til forarbejdning sikres. </w:t>
      </w:r>
      <w:r w:rsidR="00FA2995">
        <w:rPr>
          <w:lang w:val="da-DK"/>
        </w:rPr>
        <w:t xml:space="preserve">Hvis det viser </w:t>
      </w:r>
      <w:r w:rsidR="00FA2995">
        <w:rPr>
          <w:lang w:val="da-DK"/>
        </w:rPr>
        <w:lastRenderedPageBreak/>
        <w:t xml:space="preserve">sig, at der landes for lidt i forhold til </w:t>
      </w:r>
      <w:r w:rsidR="00582678">
        <w:rPr>
          <w:lang w:val="da-DK"/>
        </w:rPr>
        <w:t xml:space="preserve">den </w:t>
      </w:r>
      <w:r w:rsidR="00306CC4">
        <w:rPr>
          <w:lang w:val="da-DK"/>
        </w:rPr>
        <w:t xml:space="preserve">ønskede </w:t>
      </w:r>
      <w:r w:rsidR="00582678">
        <w:rPr>
          <w:lang w:val="da-DK"/>
        </w:rPr>
        <w:t>mængde</w:t>
      </w:r>
      <w:r w:rsidR="00FA2995">
        <w:rPr>
          <w:lang w:val="da-DK"/>
        </w:rPr>
        <w:t xml:space="preserve">, kan der ske en justering af afgiftssplittet (og visa versa). </w:t>
      </w:r>
    </w:p>
    <w:p w14:paraId="7EE3CED1" w14:textId="479F8F56" w:rsidR="00E620DA" w:rsidRDefault="00FA2995" w:rsidP="00F43AFD">
      <w:pPr>
        <w:rPr>
          <w:lang w:val="da-DK"/>
        </w:rPr>
      </w:pPr>
      <w:r>
        <w:rPr>
          <w:lang w:val="da-DK"/>
        </w:rPr>
        <w:t xml:space="preserve">I denne model </w:t>
      </w:r>
      <w:r w:rsidR="00351548">
        <w:rPr>
          <w:lang w:val="da-DK"/>
        </w:rPr>
        <w:t xml:space="preserve">er der som udgangspunkt ingen indhandlingspligt, og der </w:t>
      </w:r>
      <w:r>
        <w:rPr>
          <w:lang w:val="da-DK"/>
        </w:rPr>
        <w:t xml:space="preserve">vil ikke som i model 1 være betalinger mellem </w:t>
      </w:r>
      <w:r w:rsidR="00E620DA">
        <w:rPr>
          <w:lang w:val="da-DK"/>
        </w:rPr>
        <w:t>selskaber</w:t>
      </w:r>
      <w:r>
        <w:rPr>
          <w:lang w:val="da-DK"/>
        </w:rPr>
        <w:t xml:space="preserve">, og hvis denne model indebærer et større afgiftsprovenu end den nuværende afgiftsmodel, vil provenustigningen blive en offentlig indtægt. En sådan situation </w:t>
      </w:r>
      <w:r w:rsidR="00E620DA">
        <w:rPr>
          <w:lang w:val="da-DK"/>
        </w:rPr>
        <w:t xml:space="preserve">kan f.eks. </w:t>
      </w:r>
      <w:r>
        <w:rPr>
          <w:lang w:val="da-DK"/>
        </w:rPr>
        <w:t>opstå, hvis de</w:t>
      </w:r>
      <w:r w:rsidR="00306CC4">
        <w:rPr>
          <w:lang w:val="da-DK"/>
        </w:rPr>
        <w:t>t</w:t>
      </w:r>
      <w:r w:rsidR="00E620DA">
        <w:rPr>
          <w:lang w:val="da-DK"/>
        </w:rPr>
        <w:t xml:space="preserve"> er en relativ</w:t>
      </w:r>
      <w:r w:rsidR="00306CC4">
        <w:rPr>
          <w:lang w:val="da-DK"/>
        </w:rPr>
        <w:t>t</w:t>
      </w:r>
      <w:r w:rsidR="00E620DA">
        <w:rPr>
          <w:lang w:val="da-DK"/>
        </w:rPr>
        <w:t xml:space="preserve"> stor </w:t>
      </w:r>
      <w:r>
        <w:rPr>
          <w:lang w:val="da-DK"/>
        </w:rPr>
        <w:t>økonomisk fordel</w:t>
      </w:r>
      <w:r w:rsidR="00E620DA">
        <w:rPr>
          <w:lang w:val="da-DK"/>
        </w:rPr>
        <w:t xml:space="preserve"> </w:t>
      </w:r>
      <w:r w:rsidR="00306CC4">
        <w:rPr>
          <w:lang w:val="da-DK"/>
        </w:rPr>
        <w:t xml:space="preserve">at </w:t>
      </w:r>
      <w:r w:rsidR="00E620DA">
        <w:rPr>
          <w:lang w:val="da-DK"/>
        </w:rPr>
        <w:t>producere</w:t>
      </w:r>
      <w:r>
        <w:rPr>
          <w:lang w:val="da-DK"/>
        </w:rPr>
        <w:t xml:space="preserve"> ombord</w:t>
      </w:r>
      <w:r w:rsidR="00E620DA">
        <w:rPr>
          <w:lang w:val="da-DK"/>
        </w:rPr>
        <w:t>.</w:t>
      </w:r>
      <w:r>
        <w:rPr>
          <w:lang w:val="da-DK"/>
        </w:rPr>
        <w:t xml:space="preserve"> Den modsatte situation kan </w:t>
      </w:r>
      <w:r w:rsidR="00B04BEE">
        <w:rPr>
          <w:lang w:val="da-DK"/>
        </w:rPr>
        <w:t>tilsvarende opstå</w:t>
      </w:r>
      <w:r>
        <w:rPr>
          <w:lang w:val="da-DK"/>
        </w:rPr>
        <w:t xml:space="preserve">, </w:t>
      </w:r>
      <w:r w:rsidR="00E620DA">
        <w:rPr>
          <w:lang w:val="da-DK"/>
        </w:rPr>
        <w:t xml:space="preserve">hvis f.eks. </w:t>
      </w:r>
      <w:r>
        <w:rPr>
          <w:lang w:val="da-DK"/>
        </w:rPr>
        <w:t>de relative priser mellem de forskellige færdigprodukter</w:t>
      </w:r>
      <w:r w:rsidR="00E620DA">
        <w:rPr>
          <w:lang w:val="da-DK"/>
        </w:rPr>
        <w:t xml:space="preserve"> ændres til fordel for fabrikkernes produkter</w:t>
      </w:r>
      <w:r>
        <w:rPr>
          <w:lang w:val="da-DK"/>
        </w:rPr>
        <w:t>.</w:t>
      </w:r>
      <w:r w:rsidR="00974CA0">
        <w:rPr>
          <w:lang w:val="da-DK"/>
        </w:rPr>
        <w:t xml:space="preserve"> </w:t>
      </w:r>
    </w:p>
    <w:p w14:paraId="3B3844E2" w14:textId="6DD373DD" w:rsidR="000A44FC" w:rsidRDefault="00974CA0" w:rsidP="00F43AFD">
      <w:pPr>
        <w:rPr>
          <w:lang w:val="da-DK"/>
        </w:rPr>
      </w:pPr>
      <w:r>
        <w:rPr>
          <w:lang w:val="da-DK"/>
        </w:rPr>
        <w:t xml:space="preserve">Model 2 sikrer ikke </w:t>
      </w:r>
      <w:r w:rsidR="00582678">
        <w:rPr>
          <w:lang w:val="da-DK"/>
        </w:rPr>
        <w:t>præcist d</w:t>
      </w:r>
      <w:r>
        <w:rPr>
          <w:lang w:val="da-DK"/>
        </w:rPr>
        <w:t xml:space="preserve">en </w:t>
      </w:r>
      <w:r w:rsidR="00E620DA">
        <w:rPr>
          <w:lang w:val="da-DK"/>
        </w:rPr>
        <w:t>ønskede indhandling</w:t>
      </w:r>
      <w:r>
        <w:rPr>
          <w:lang w:val="da-DK"/>
        </w:rPr>
        <w:t>, men</w:t>
      </w:r>
      <w:r w:rsidR="00E620DA">
        <w:rPr>
          <w:lang w:val="da-DK"/>
        </w:rPr>
        <w:t xml:space="preserve"> </w:t>
      </w:r>
      <w:r w:rsidR="00B04BEE">
        <w:rPr>
          <w:lang w:val="da-DK"/>
        </w:rPr>
        <w:t xml:space="preserve">mulige </w:t>
      </w:r>
      <w:r w:rsidR="00E620DA">
        <w:rPr>
          <w:lang w:val="da-DK"/>
        </w:rPr>
        <w:t>ændringer i afgifterne</w:t>
      </w:r>
      <w:r>
        <w:rPr>
          <w:lang w:val="da-DK"/>
        </w:rPr>
        <w:t xml:space="preserve"> give</w:t>
      </w:r>
      <w:r w:rsidR="00582678">
        <w:rPr>
          <w:lang w:val="da-DK"/>
        </w:rPr>
        <w:t>r</w:t>
      </w:r>
      <w:r>
        <w:rPr>
          <w:lang w:val="da-DK"/>
        </w:rPr>
        <w:t xml:space="preserve"> incitament</w:t>
      </w:r>
      <w:r w:rsidR="00582678">
        <w:rPr>
          <w:lang w:val="da-DK"/>
        </w:rPr>
        <w:t>er</w:t>
      </w:r>
      <w:r>
        <w:rPr>
          <w:lang w:val="da-DK"/>
        </w:rPr>
        <w:t xml:space="preserve"> til at bevæge sig i </w:t>
      </w:r>
      <w:r w:rsidR="00E620DA">
        <w:rPr>
          <w:lang w:val="da-DK"/>
        </w:rPr>
        <w:t>r</w:t>
      </w:r>
      <w:r>
        <w:rPr>
          <w:lang w:val="da-DK"/>
        </w:rPr>
        <w:t>etning</w:t>
      </w:r>
      <w:r w:rsidR="00E620DA">
        <w:rPr>
          <w:lang w:val="da-DK"/>
        </w:rPr>
        <w:t xml:space="preserve"> af den ønskede </w:t>
      </w:r>
      <w:r w:rsidR="00B32D69">
        <w:rPr>
          <w:lang w:val="da-DK"/>
        </w:rPr>
        <w:t>indhandling.</w:t>
      </w:r>
      <w:r w:rsidR="00582678">
        <w:rPr>
          <w:lang w:val="da-DK"/>
        </w:rPr>
        <w:t xml:space="preserve"> Samtidigt fås også indikatorer for værdien for </w:t>
      </w:r>
      <w:r w:rsidR="00B32D69">
        <w:rPr>
          <w:lang w:val="da-DK"/>
        </w:rPr>
        <w:t xml:space="preserve">selskaberne </w:t>
      </w:r>
      <w:r w:rsidR="00582678">
        <w:rPr>
          <w:lang w:val="da-DK"/>
        </w:rPr>
        <w:t>af at forarbejde ombord eller at lande til fabrikkerne</w:t>
      </w:r>
      <w:r w:rsidR="00B04BEE">
        <w:rPr>
          <w:lang w:val="da-DK"/>
        </w:rPr>
        <w:t xml:space="preserve">. Dette kan </w:t>
      </w:r>
      <w:r w:rsidR="00B32D69">
        <w:rPr>
          <w:lang w:val="da-DK"/>
        </w:rPr>
        <w:t xml:space="preserve">også give informationer mht. fastlæggelse af </w:t>
      </w:r>
      <w:r w:rsidR="00B04BEE">
        <w:rPr>
          <w:lang w:val="da-DK"/>
        </w:rPr>
        <w:t xml:space="preserve">behovet for at ændre </w:t>
      </w:r>
      <w:r w:rsidR="00B32D69">
        <w:rPr>
          <w:lang w:val="da-DK"/>
        </w:rPr>
        <w:t>afgiftsniveauer.</w:t>
      </w:r>
    </w:p>
    <w:p w14:paraId="78B75B3A" w14:textId="4380B6CD" w:rsidR="003F1C07" w:rsidRPr="006B54CF" w:rsidRDefault="00D0523E" w:rsidP="006B54CF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b/>
          <w:lang w:val="da-DK"/>
        </w:rPr>
        <w:t>Vurderinger og konklusion</w:t>
      </w:r>
    </w:p>
    <w:p w14:paraId="2D33CB10" w14:textId="60E180D3" w:rsidR="003F1C07" w:rsidRDefault="00FA2995" w:rsidP="00F43AFD">
      <w:pPr>
        <w:rPr>
          <w:lang w:val="da-DK"/>
        </w:rPr>
      </w:pPr>
      <w:r>
        <w:rPr>
          <w:lang w:val="da-DK"/>
        </w:rPr>
        <w:t xml:space="preserve">Hvis der </w:t>
      </w:r>
      <w:r w:rsidR="007B51CC">
        <w:rPr>
          <w:lang w:val="da-DK"/>
        </w:rPr>
        <w:t>lægges</w:t>
      </w:r>
      <w:r>
        <w:rPr>
          <w:lang w:val="da-DK"/>
        </w:rPr>
        <w:t xml:space="preserve"> </w:t>
      </w:r>
      <w:r w:rsidR="00306CC4">
        <w:rPr>
          <w:lang w:val="da-DK"/>
        </w:rPr>
        <w:t xml:space="preserve">en </w:t>
      </w:r>
      <w:r>
        <w:rPr>
          <w:lang w:val="da-DK"/>
        </w:rPr>
        <w:t xml:space="preserve">stor vægt på at </w:t>
      </w:r>
      <w:r w:rsidR="007B51CC">
        <w:rPr>
          <w:lang w:val="da-DK"/>
        </w:rPr>
        <w:t xml:space="preserve">sikre, at indhandlingspligten hvert år </w:t>
      </w:r>
      <w:r>
        <w:rPr>
          <w:lang w:val="da-DK"/>
        </w:rPr>
        <w:t>ramme</w:t>
      </w:r>
      <w:r w:rsidR="007B51CC">
        <w:rPr>
          <w:lang w:val="da-DK"/>
        </w:rPr>
        <w:t>r</w:t>
      </w:r>
      <w:r>
        <w:rPr>
          <w:lang w:val="da-DK"/>
        </w:rPr>
        <w:t xml:space="preserve"> rigtigt mht. den fastsatte </w:t>
      </w:r>
      <w:r w:rsidR="00B72E3B">
        <w:rPr>
          <w:lang w:val="da-DK"/>
        </w:rPr>
        <w:t>andel</w:t>
      </w:r>
      <w:r w:rsidR="00B32D69">
        <w:rPr>
          <w:lang w:val="da-DK"/>
        </w:rPr>
        <w:t xml:space="preserve"> af kvoten</w:t>
      </w:r>
      <w:r w:rsidR="00B72E3B">
        <w:rPr>
          <w:lang w:val="da-DK"/>
        </w:rPr>
        <w:t xml:space="preserve"> </w:t>
      </w:r>
      <w:r w:rsidR="007B51CC">
        <w:rPr>
          <w:lang w:val="da-DK"/>
        </w:rPr>
        <w:t xml:space="preserve">som minimum leveret </w:t>
      </w:r>
      <w:r w:rsidR="00B72E3B">
        <w:rPr>
          <w:lang w:val="da-DK"/>
        </w:rPr>
        <w:t xml:space="preserve">til fabrikkerne, er model 1 med omsættelige </w:t>
      </w:r>
      <w:r w:rsidR="00B32D69">
        <w:rPr>
          <w:lang w:val="da-DK"/>
        </w:rPr>
        <w:t xml:space="preserve">indhandlingspligtige og ikke-indhandlingspligtige kvoteandele </w:t>
      </w:r>
      <w:r w:rsidR="007B51CC">
        <w:rPr>
          <w:lang w:val="da-DK"/>
        </w:rPr>
        <w:t>og kvoter den bedste model. M</w:t>
      </w:r>
      <w:r w:rsidR="00B72E3B">
        <w:rPr>
          <w:lang w:val="da-DK"/>
        </w:rPr>
        <w:t xml:space="preserve">odel 2 </w:t>
      </w:r>
      <w:r w:rsidR="007B51CC">
        <w:rPr>
          <w:lang w:val="da-DK"/>
        </w:rPr>
        <w:t xml:space="preserve">har ikke samme træfsikkerhed, men </w:t>
      </w:r>
      <w:r w:rsidR="00582678">
        <w:rPr>
          <w:lang w:val="da-DK"/>
        </w:rPr>
        <w:t xml:space="preserve">giver </w:t>
      </w:r>
      <w:r w:rsidR="00B32D69">
        <w:rPr>
          <w:lang w:val="da-DK"/>
        </w:rPr>
        <w:t>selskaberne bedre</w:t>
      </w:r>
      <w:r w:rsidR="00582678">
        <w:rPr>
          <w:lang w:val="da-DK"/>
        </w:rPr>
        <w:t xml:space="preserve"> mulighed for at tilpasse sig</w:t>
      </w:r>
      <w:r w:rsidR="00B32D69">
        <w:rPr>
          <w:lang w:val="da-DK"/>
        </w:rPr>
        <w:t xml:space="preserve"> de faktiske markedsvilkår</w:t>
      </w:r>
      <w:r w:rsidR="00582678">
        <w:rPr>
          <w:lang w:val="da-DK"/>
        </w:rPr>
        <w:t>, forudsat at afgifterne fastsættes langsigtet og ikke ofte ændres</w:t>
      </w:r>
      <w:r w:rsidR="007B51CC">
        <w:rPr>
          <w:lang w:val="da-DK"/>
        </w:rPr>
        <w:t xml:space="preserve">. </w:t>
      </w:r>
      <w:r w:rsidR="00D22E71">
        <w:rPr>
          <w:lang w:val="da-DK"/>
        </w:rPr>
        <w:t xml:space="preserve"> </w:t>
      </w:r>
    </w:p>
    <w:p w14:paraId="1E80CC46" w14:textId="77777777" w:rsidR="00B04BEE" w:rsidRDefault="00B32D69" w:rsidP="00F43AFD">
      <w:pPr>
        <w:rPr>
          <w:lang w:val="da-DK"/>
        </w:rPr>
      </w:pPr>
      <w:r>
        <w:rPr>
          <w:lang w:val="da-DK"/>
        </w:rPr>
        <w:t>Selskaber</w:t>
      </w:r>
      <w:r w:rsidR="00B72E3B">
        <w:rPr>
          <w:lang w:val="da-DK"/>
        </w:rPr>
        <w:t xml:space="preserve">, der overtager </w:t>
      </w:r>
      <w:r>
        <w:rPr>
          <w:lang w:val="da-DK"/>
        </w:rPr>
        <w:t xml:space="preserve">indhandlingspligten, vil </w:t>
      </w:r>
      <w:r w:rsidR="00B72E3B">
        <w:rPr>
          <w:lang w:val="da-DK"/>
        </w:rPr>
        <w:t xml:space="preserve">økonomisk blive belønnet og blive bedre stillet, hvis de i udgangssituationen lander mere til forarbejdning, end der er krævet i licensen. </w:t>
      </w:r>
    </w:p>
    <w:p w14:paraId="2143959A" w14:textId="4F4AAE82" w:rsidR="00B04BEE" w:rsidRDefault="00B72E3B" w:rsidP="00F43AFD">
      <w:pPr>
        <w:rPr>
          <w:lang w:val="da-DK"/>
        </w:rPr>
      </w:pPr>
      <w:r>
        <w:rPr>
          <w:lang w:val="da-DK"/>
        </w:rPr>
        <w:t xml:space="preserve">Administrationen af afgiftsmodellen </w:t>
      </w:r>
      <w:r w:rsidR="00D22E71">
        <w:rPr>
          <w:lang w:val="da-DK"/>
        </w:rPr>
        <w:t>vil ikke kræve en løbende registrering af handler med</w:t>
      </w:r>
      <w:r w:rsidR="007B51CC">
        <w:rPr>
          <w:lang w:val="da-DK"/>
        </w:rPr>
        <w:t xml:space="preserve"> </w:t>
      </w:r>
      <w:r w:rsidR="00B32D69">
        <w:rPr>
          <w:lang w:val="da-DK"/>
        </w:rPr>
        <w:t xml:space="preserve">indhandlingsandele, men </w:t>
      </w:r>
      <w:r w:rsidR="007B51CC">
        <w:rPr>
          <w:lang w:val="da-DK"/>
        </w:rPr>
        <w:t xml:space="preserve">det </w:t>
      </w:r>
      <w:r w:rsidR="00B32D69">
        <w:rPr>
          <w:lang w:val="da-DK"/>
        </w:rPr>
        <w:t>skal kontrollere</w:t>
      </w:r>
      <w:r w:rsidR="007B51CC">
        <w:rPr>
          <w:lang w:val="da-DK"/>
        </w:rPr>
        <w:t>s</w:t>
      </w:r>
      <w:r w:rsidR="00B32D69">
        <w:rPr>
          <w:lang w:val="da-DK"/>
        </w:rPr>
        <w:t xml:space="preserve">, at der er kvoter til produktion ombord. </w:t>
      </w:r>
    </w:p>
    <w:p w14:paraId="3701FC8E" w14:textId="04CDDCBF" w:rsidR="00FA2995" w:rsidRDefault="007B51CC" w:rsidP="00F43AFD">
      <w:pPr>
        <w:rPr>
          <w:lang w:val="da-DK"/>
        </w:rPr>
      </w:pPr>
      <w:r>
        <w:rPr>
          <w:lang w:val="da-DK"/>
        </w:rPr>
        <w:t>Myndighedernes a</w:t>
      </w:r>
      <w:r w:rsidR="00306CC4">
        <w:rPr>
          <w:lang w:val="da-DK"/>
        </w:rPr>
        <w:t xml:space="preserve">dministrationen af model 2 </w:t>
      </w:r>
      <w:r>
        <w:rPr>
          <w:lang w:val="da-DK"/>
        </w:rPr>
        <w:t xml:space="preserve">kan derfor være </w:t>
      </w:r>
      <w:r w:rsidR="00B32D69">
        <w:rPr>
          <w:lang w:val="da-DK"/>
        </w:rPr>
        <w:t>mindre krævende</w:t>
      </w:r>
      <w:r w:rsidR="00306CC4">
        <w:rPr>
          <w:lang w:val="da-DK"/>
        </w:rPr>
        <w:t xml:space="preserve"> end af model 1</w:t>
      </w:r>
      <w:r>
        <w:rPr>
          <w:lang w:val="da-DK"/>
        </w:rPr>
        <w:t>. men med digitale løsninger for både model 1 og 2 er der næppe tale om store forskelle</w:t>
      </w:r>
      <w:r w:rsidR="00306CC4">
        <w:rPr>
          <w:lang w:val="da-DK"/>
        </w:rPr>
        <w:t xml:space="preserve">. </w:t>
      </w:r>
      <w:r>
        <w:rPr>
          <w:lang w:val="da-DK"/>
        </w:rPr>
        <w:t xml:space="preserve">Ved model 2 skal der </w:t>
      </w:r>
      <w:r w:rsidR="00B72E3B">
        <w:rPr>
          <w:lang w:val="da-DK"/>
        </w:rPr>
        <w:t xml:space="preserve">bruges ressource på at fastsætte det forventede rigtige afgiftssplit og muligvis justeringer af disse, når der foreligger større afvigelser fra det forventede. </w:t>
      </w:r>
    </w:p>
    <w:p w14:paraId="69C3CF89" w14:textId="77777777" w:rsidR="00B04BEE" w:rsidRDefault="00D22E71" w:rsidP="00F43AFD">
      <w:pPr>
        <w:rPr>
          <w:lang w:val="da-DK"/>
        </w:rPr>
      </w:pPr>
      <w:r>
        <w:rPr>
          <w:lang w:val="da-DK"/>
        </w:rPr>
        <w:t xml:space="preserve">De to modeller kan have forskellige </w:t>
      </w:r>
      <w:r w:rsidR="006F366C">
        <w:rPr>
          <w:lang w:val="da-DK"/>
        </w:rPr>
        <w:t>dynamiske effekter</w:t>
      </w:r>
      <w:r>
        <w:rPr>
          <w:lang w:val="da-DK"/>
        </w:rPr>
        <w:t xml:space="preserve">, både i forhold til </w:t>
      </w:r>
      <w:r w:rsidR="008C2460">
        <w:rPr>
          <w:lang w:val="da-DK"/>
        </w:rPr>
        <w:t xml:space="preserve">selskabernes </w:t>
      </w:r>
      <w:r>
        <w:rPr>
          <w:lang w:val="da-DK"/>
        </w:rPr>
        <w:t xml:space="preserve">tilpasning af </w:t>
      </w:r>
      <w:r w:rsidR="00306CC4">
        <w:rPr>
          <w:lang w:val="da-DK"/>
        </w:rPr>
        <w:t xml:space="preserve">fangstkapaciteten og sammensætning af </w:t>
      </w:r>
      <w:r>
        <w:rPr>
          <w:lang w:val="da-DK"/>
        </w:rPr>
        <w:t xml:space="preserve">fartøjerne og fabrikkernes tilførsler </w:t>
      </w:r>
      <w:r w:rsidR="00306CC4">
        <w:rPr>
          <w:lang w:val="da-DK"/>
        </w:rPr>
        <w:t xml:space="preserve">af rejer </w:t>
      </w:r>
      <w:r>
        <w:rPr>
          <w:lang w:val="da-DK"/>
        </w:rPr>
        <w:t xml:space="preserve">gennem året. </w:t>
      </w:r>
      <w:r w:rsidR="006F366C">
        <w:rPr>
          <w:lang w:val="da-DK"/>
        </w:rPr>
        <w:t xml:space="preserve"> </w:t>
      </w:r>
    </w:p>
    <w:p w14:paraId="146A9262" w14:textId="689A454E" w:rsidR="00360323" w:rsidRDefault="00D22E71" w:rsidP="00B2344B">
      <w:pPr>
        <w:rPr>
          <w:lang w:val="da-DK"/>
        </w:rPr>
      </w:pPr>
      <w:r>
        <w:rPr>
          <w:lang w:val="da-DK"/>
        </w:rPr>
        <w:t xml:space="preserve">Det er imidlertid ikke vurderingen, at forskellene mellem de to modeller vil være store, da begge modeller tager udgangspunkt i samme </w:t>
      </w:r>
      <w:r w:rsidR="007308B0">
        <w:rPr>
          <w:lang w:val="da-DK"/>
        </w:rPr>
        <w:t xml:space="preserve">fastsatte målsætning om landingspligt for en vis del af den samlede kvote. </w:t>
      </w:r>
      <w:r w:rsidR="008C2460">
        <w:rPr>
          <w:lang w:val="da-DK"/>
        </w:rPr>
        <w:t>Begge modeller vil i forhold til den nuværende situation give incitamenter til bedre udnyttelse af kapaciteten og til strukturtilpasninger.</w:t>
      </w:r>
      <w:r w:rsidR="00D0523E">
        <w:rPr>
          <w:lang w:val="da-DK"/>
        </w:rPr>
        <w:t xml:space="preserve"> </w:t>
      </w:r>
      <w:r w:rsidR="007308B0">
        <w:rPr>
          <w:lang w:val="da-DK"/>
        </w:rPr>
        <w:t>Uanset</w:t>
      </w:r>
      <w:r w:rsidR="00306CC4">
        <w:rPr>
          <w:lang w:val="da-DK"/>
        </w:rPr>
        <w:t>,</w:t>
      </w:r>
      <w:r w:rsidR="007308B0">
        <w:rPr>
          <w:lang w:val="da-DK"/>
        </w:rPr>
        <w:t xml:space="preserve"> om den nuværende regulering erstattes af model 1 eller 2</w:t>
      </w:r>
      <w:r w:rsidR="008C2460">
        <w:rPr>
          <w:lang w:val="da-DK"/>
        </w:rPr>
        <w:t>,</w:t>
      </w:r>
      <w:r w:rsidR="007308B0">
        <w:rPr>
          <w:lang w:val="da-DK"/>
        </w:rPr>
        <w:t xml:space="preserve"> </w:t>
      </w:r>
      <w:r w:rsidR="00306CC4">
        <w:rPr>
          <w:lang w:val="da-DK"/>
        </w:rPr>
        <w:t>kan</w:t>
      </w:r>
      <w:r w:rsidR="007308B0">
        <w:rPr>
          <w:lang w:val="da-DK"/>
        </w:rPr>
        <w:t xml:space="preserve"> der </w:t>
      </w:r>
      <w:r w:rsidR="008C2460">
        <w:rPr>
          <w:lang w:val="da-DK"/>
        </w:rPr>
        <w:t>være</w:t>
      </w:r>
      <w:r w:rsidR="007308B0">
        <w:rPr>
          <w:lang w:val="da-DK"/>
        </w:rPr>
        <w:t xml:space="preserve"> behov for overgangsordninger</w:t>
      </w:r>
      <w:r w:rsidR="00B93976">
        <w:rPr>
          <w:lang w:val="da-DK"/>
        </w:rPr>
        <w:t>. Model 1 med</w:t>
      </w:r>
      <w:r w:rsidR="008C2460">
        <w:rPr>
          <w:lang w:val="da-DK"/>
        </w:rPr>
        <w:t xml:space="preserve"> tildeling af kvoteandele opdelt på indhandlingspligtige og ikke-indhandlingspligtige kvoter vurderes </w:t>
      </w:r>
      <w:r w:rsidR="00B93976">
        <w:rPr>
          <w:lang w:val="da-DK"/>
        </w:rPr>
        <w:t xml:space="preserve">at </w:t>
      </w:r>
      <w:r w:rsidR="00FD7375">
        <w:rPr>
          <w:lang w:val="da-DK"/>
        </w:rPr>
        <w:t xml:space="preserve">være </w:t>
      </w:r>
      <w:r w:rsidR="00B93976">
        <w:rPr>
          <w:lang w:val="da-DK"/>
        </w:rPr>
        <w:t>lettere at implementere</w:t>
      </w:r>
      <w:r w:rsidR="008C2460">
        <w:rPr>
          <w:lang w:val="da-DK"/>
        </w:rPr>
        <w:t>, da ingen i udgangssituationen bliver dårliger</w:t>
      </w:r>
      <w:r w:rsidR="002D27C3">
        <w:rPr>
          <w:lang w:val="da-DK"/>
        </w:rPr>
        <w:t>e</w:t>
      </w:r>
      <w:r w:rsidR="008C2460">
        <w:rPr>
          <w:lang w:val="da-DK"/>
        </w:rPr>
        <w:t xml:space="preserve"> stillet, </w:t>
      </w:r>
      <w:r w:rsidR="00B82F63">
        <w:rPr>
          <w:lang w:val="da-DK"/>
        </w:rPr>
        <w:t xml:space="preserve">og </w:t>
      </w:r>
      <w:r w:rsidR="008C2460">
        <w:rPr>
          <w:lang w:val="da-DK"/>
        </w:rPr>
        <w:t>flere af selskaberne får bedre rammer.</w:t>
      </w:r>
    </w:p>
    <w:p w14:paraId="4B1217FC" w14:textId="4912A601" w:rsidR="00D0523E" w:rsidRPr="00360323" w:rsidRDefault="00D0523E" w:rsidP="00B2344B">
      <w:pPr>
        <w:rPr>
          <w:sz w:val="28"/>
          <w:szCs w:val="28"/>
          <w:lang w:val="da-DK"/>
        </w:rPr>
      </w:pPr>
      <w:r>
        <w:rPr>
          <w:lang w:val="da-DK"/>
        </w:rPr>
        <w:t>Konklusionen er, at hvis der lægges stor vægt på stabilitet i årlige indhandlingsmængder, er model 1 med omsættelige indhandlingspligtige kvoteandele og kvoter og ikke-indhandlingspligtige kvoteandele og kvoter den bedste model.</w:t>
      </w:r>
    </w:p>
    <w:p w14:paraId="577E7000" w14:textId="77777777" w:rsidR="00B2344B" w:rsidRPr="00B2344B" w:rsidRDefault="00B2344B">
      <w:pPr>
        <w:rPr>
          <w:lang w:val="da-DK"/>
        </w:rPr>
      </w:pPr>
    </w:p>
    <w:sectPr w:rsidR="00B2344B" w:rsidRPr="00B2344B" w:rsidSect="006B54C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890C" w14:textId="77777777" w:rsidR="00CD4947" w:rsidRDefault="00CD4947" w:rsidP="00B72E3B">
      <w:pPr>
        <w:spacing w:after="0" w:line="240" w:lineRule="auto"/>
      </w:pPr>
      <w:r>
        <w:separator/>
      </w:r>
    </w:p>
  </w:endnote>
  <w:endnote w:type="continuationSeparator" w:id="0">
    <w:p w14:paraId="483F3724" w14:textId="77777777" w:rsidR="00CD4947" w:rsidRDefault="00CD4947" w:rsidP="00B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62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81ED7" w14:textId="48D4DD63" w:rsidR="001D4877" w:rsidRDefault="001D487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D18178" w14:textId="77777777" w:rsidR="001D4877" w:rsidRDefault="001D48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338D" w14:textId="77777777" w:rsidR="00CD4947" w:rsidRDefault="00CD4947" w:rsidP="00B72E3B">
      <w:pPr>
        <w:spacing w:after="0" w:line="240" w:lineRule="auto"/>
      </w:pPr>
      <w:r>
        <w:separator/>
      </w:r>
    </w:p>
  </w:footnote>
  <w:footnote w:type="continuationSeparator" w:id="0">
    <w:p w14:paraId="27CB1D75" w14:textId="77777777" w:rsidR="00CD4947" w:rsidRDefault="00CD4947" w:rsidP="00B7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BA1B" w14:textId="77777777" w:rsidR="009606D5" w:rsidRPr="001C65E0" w:rsidRDefault="009606D5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636D"/>
    <w:multiLevelType w:val="hybridMultilevel"/>
    <w:tmpl w:val="0CBE2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0862"/>
    <w:multiLevelType w:val="hybridMultilevel"/>
    <w:tmpl w:val="7C9865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DC5"/>
    <w:multiLevelType w:val="hybridMultilevel"/>
    <w:tmpl w:val="2D74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4EA"/>
    <w:multiLevelType w:val="hybridMultilevel"/>
    <w:tmpl w:val="BE46F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67141"/>
    <w:multiLevelType w:val="hybridMultilevel"/>
    <w:tmpl w:val="C5C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4B"/>
    <w:rsid w:val="000067F5"/>
    <w:rsid w:val="00045E84"/>
    <w:rsid w:val="0007501B"/>
    <w:rsid w:val="0007742A"/>
    <w:rsid w:val="000A44FC"/>
    <w:rsid w:val="000F12C9"/>
    <w:rsid w:val="00130910"/>
    <w:rsid w:val="00135F8C"/>
    <w:rsid w:val="0015536D"/>
    <w:rsid w:val="00165B99"/>
    <w:rsid w:val="00176E34"/>
    <w:rsid w:val="001928D1"/>
    <w:rsid w:val="001B26C9"/>
    <w:rsid w:val="001C0C41"/>
    <w:rsid w:val="001C573E"/>
    <w:rsid w:val="001C65E0"/>
    <w:rsid w:val="001D4877"/>
    <w:rsid w:val="001F4DFD"/>
    <w:rsid w:val="001F791C"/>
    <w:rsid w:val="00200764"/>
    <w:rsid w:val="00213113"/>
    <w:rsid w:val="00222C3A"/>
    <w:rsid w:val="00252671"/>
    <w:rsid w:val="002B1938"/>
    <w:rsid w:val="002B7D65"/>
    <w:rsid w:val="002D27C3"/>
    <w:rsid w:val="00300AD8"/>
    <w:rsid w:val="00306CC4"/>
    <w:rsid w:val="0032060B"/>
    <w:rsid w:val="00351548"/>
    <w:rsid w:val="00360323"/>
    <w:rsid w:val="00397B09"/>
    <w:rsid w:val="003A78F6"/>
    <w:rsid w:val="003C6DA5"/>
    <w:rsid w:val="003D384E"/>
    <w:rsid w:val="003F1C07"/>
    <w:rsid w:val="004D6EBE"/>
    <w:rsid w:val="004E3A8C"/>
    <w:rsid w:val="00580F18"/>
    <w:rsid w:val="00582678"/>
    <w:rsid w:val="00596040"/>
    <w:rsid w:val="005A1C29"/>
    <w:rsid w:val="005A51B9"/>
    <w:rsid w:val="005D228C"/>
    <w:rsid w:val="005D526F"/>
    <w:rsid w:val="005F0F9A"/>
    <w:rsid w:val="0061265C"/>
    <w:rsid w:val="00644625"/>
    <w:rsid w:val="006550AA"/>
    <w:rsid w:val="006575CA"/>
    <w:rsid w:val="00681BD8"/>
    <w:rsid w:val="00685F99"/>
    <w:rsid w:val="0068697D"/>
    <w:rsid w:val="006B54CF"/>
    <w:rsid w:val="006F366C"/>
    <w:rsid w:val="00705F8D"/>
    <w:rsid w:val="00725094"/>
    <w:rsid w:val="007308B0"/>
    <w:rsid w:val="00736AAE"/>
    <w:rsid w:val="007639D8"/>
    <w:rsid w:val="00785DE4"/>
    <w:rsid w:val="00793AD1"/>
    <w:rsid w:val="007A0B02"/>
    <w:rsid w:val="007B51CC"/>
    <w:rsid w:val="007B552F"/>
    <w:rsid w:val="007D5598"/>
    <w:rsid w:val="007E1E50"/>
    <w:rsid w:val="008203A4"/>
    <w:rsid w:val="0084394E"/>
    <w:rsid w:val="00857C7C"/>
    <w:rsid w:val="00873BD6"/>
    <w:rsid w:val="008779DF"/>
    <w:rsid w:val="008C2460"/>
    <w:rsid w:val="008D51C0"/>
    <w:rsid w:val="009606D5"/>
    <w:rsid w:val="009679CA"/>
    <w:rsid w:val="00974CA0"/>
    <w:rsid w:val="00997822"/>
    <w:rsid w:val="009A5346"/>
    <w:rsid w:val="009E7B0D"/>
    <w:rsid w:val="00A479E7"/>
    <w:rsid w:val="00A80681"/>
    <w:rsid w:val="00AC4A44"/>
    <w:rsid w:val="00AD0D49"/>
    <w:rsid w:val="00AE643B"/>
    <w:rsid w:val="00AE6EBA"/>
    <w:rsid w:val="00AF58D7"/>
    <w:rsid w:val="00B04BEE"/>
    <w:rsid w:val="00B2344B"/>
    <w:rsid w:val="00B32D69"/>
    <w:rsid w:val="00B4698A"/>
    <w:rsid w:val="00B72E3B"/>
    <w:rsid w:val="00B74870"/>
    <w:rsid w:val="00B82F63"/>
    <w:rsid w:val="00B93976"/>
    <w:rsid w:val="00BB0C02"/>
    <w:rsid w:val="00BC1A7F"/>
    <w:rsid w:val="00BD0DD5"/>
    <w:rsid w:val="00C30C20"/>
    <w:rsid w:val="00C77EB0"/>
    <w:rsid w:val="00CD4947"/>
    <w:rsid w:val="00CE0BEC"/>
    <w:rsid w:val="00D0523E"/>
    <w:rsid w:val="00D11DE2"/>
    <w:rsid w:val="00D22E71"/>
    <w:rsid w:val="00D41E99"/>
    <w:rsid w:val="00D52813"/>
    <w:rsid w:val="00D655B2"/>
    <w:rsid w:val="00D668F5"/>
    <w:rsid w:val="00D7725E"/>
    <w:rsid w:val="00DC68D9"/>
    <w:rsid w:val="00E620DA"/>
    <w:rsid w:val="00E6385C"/>
    <w:rsid w:val="00E91A74"/>
    <w:rsid w:val="00E955FD"/>
    <w:rsid w:val="00EA7C60"/>
    <w:rsid w:val="00EB4723"/>
    <w:rsid w:val="00EF26D7"/>
    <w:rsid w:val="00F061CE"/>
    <w:rsid w:val="00F10BDA"/>
    <w:rsid w:val="00F43AFD"/>
    <w:rsid w:val="00F9132B"/>
    <w:rsid w:val="00FA2995"/>
    <w:rsid w:val="00FA32CB"/>
    <w:rsid w:val="00FD7375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CBAA"/>
  <w15:chartTrackingRefBased/>
  <w15:docId w15:val="{FEF8FD21-6EE0-465A-B42D-16F68D48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34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60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C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1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1C0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D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4877"/>
  </w:style>
  <w:style w:type="paragraph" w:styleId="Sidefod">
    <w:name w:val="footer"/>
    <w:basedOn w:val="Normal"/>
    <w:link w:val="SidefodTegn"/>
    <w:uiPriority w:val="99"/>
    <w:unhideWhenUsed/>
    <w:rsid w:val="001D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D936-E2DA-4B4A-92FD-C664CE86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1859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Andersen</dc:creator>
  <cp:keywords/>
  <dc:description/>
  <cp:lastModifiedBy>Ole Ulloriaq Lønberg-Jensen</cp:lastModifiedBy>
  <cp:revision>4</cp:revision>
  <cp:lastPrinted>2021-02-24T18:59:00Z</cp:lastPrinted>
  <dcterms:created xsi:type="dcterms:W3CDTF">2021-06-02T05:50:00Z</dcterms:created>
  <dcterms:modified xsi:type="dcterms:W3CDTF">2021-06-02T16:33:00Z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44236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