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ADDD" w14:textId="77777777" w:rsidR="001511B9" w:rsidRDefault="001511B9" w:rsidP="00ED649A">
      <w:pPr>
        <w:spacing w:after="0" w:line="276" w:lineRule="auto"/>
        <w:jc w:val="both"/>
        <w:rPr>
          <w:rFonts w:ascii="Times New Roman" w:hAnsi="Times New Roman" w:cs="Times New Roman"/>
          <w:b/>
          <w:color w:val="000000" w:themeColor="text1"/>
          <w:sz w:val="36"/>
          <w:szCs w:val="36"/>
          <w:lang w:val="is-IS"/>
        </w:rPr>
      </w:pPr>
    </w:p>
    <w:p w14:paraId="05BC99FB" w14:textId="77777777" w:rsidR="00ED649A" w:rsidRDefault="00ED649A" w:rsidP="00ED649A">
      <w:pPr>
        <w:spacing w:after="0" w:line="276" w:lineRule="auto"/>
        <w:jc w:val="both"/>
        <w:rPr>
          <w:rFonts w:ascii="Times New Roman" w:hAnsi="Times New Roman" w:cs="Times New Roman"/>
          <w:b/>
          <w:color w:val="000000" w:themeColor="text1"/>
          <w:sz w:val="36"/>
          <w:szCs w:val="36"/>
          <w:lang w:val="is-IS"/>
        </w:rPr>
      </w:pPr>
      <w:r>
        <w:rPr>
          <w:rFonts w:ascii="Times New Roman" w:hAnsi="Times New Roman" w:cs="Times New Roman"/>
          <w:b/>
          <w:color w:val="000000" w:themeColor="text1"/>
          <w:sz w:val="36"/>
          <w:szCs w:val="36"/>
          <w:lang w:val="is-IS"/>
        </w:rPr>
        <w:t>Baggrundsnotat</w:t>
      </w:r>
    </w:p>
    <w:p w14:paraId="2F6BE97B" w14:textId="77777777" w:rsidR="00ED649A" w:rsidRDefault="00ED649A" w:rsidP="00ED649A">
      <w:pPr>
        <w:spacing w:after="0" w:line="276" w:lineRule="auto"/>
        <w:jc w:val="both"/>
        <w:rPr>
          <w:rFonts w:ascii="Times New Roman" w:hAnsi="Times New Roman" w:cs="Times New Roman"/>
          <w:b/>
          <w:color w:val="000000" w:themeColor="text1"/>
          <w:sz w:val="36"/>
          <w:szCs w:val="36"/>
          <w:lang w:val="is-IS"/>
        </w:rPr>
      </w:pPr>
    </w:p>
    <w:p w14:paraId="59E8EF78" w14:textId="77777777" w:rsidR="00ED649A" w:rsidRDefault="00ED649A" w:rsidP="00ED649A">
      <w:pPr>
        <w:spacing w:after="0" w:line="276" w:lineRule="auto"/>
        <w:jc w:val="both"/>
        <w:rPr>
          <w:rFonts w:ascii="Times New Roman" w:hAnsi="Times New Roman" w:cs="Times New Roman"/>
          <w:b/>
          <w:color w:val="000000" w:themeColor="text1"/>
          <w:sz w:val="32"/>
          <w:szCs w:val="32"/>
          <w:lang w:val="is-IS"/>
        </w:rPr>
      </w:pPr>
      <w:r>
        <w:rPr>
          <w:rFonts w:ascii="Times New Roman" w:hAnsi="Times New Roman" w:cs="Times New Roman"/>
          <w:b/>
          <w:color w:val="000000" w:themeColor="text1"/>
          <w:sz w:val="32"/>
          <w:szCs w:val="32"/>
          <w:lang w:val="is-IS"/>
        </w:rPr>
        <w:t xml:space="preserve">Rejefiskeriet i </w:t>
      </w:r>
      <w:r>
        <w:rPr>
          <w:rFonts w:ascii="Times New Roman" w:hAnsi="Times New Roman" w:cs="Times New Roman"/>
          <w:b/>
          <w:color w:val="000000" w:themeColor="text1"/>
          <w:sz w:val="32"/>
          <w:szCs w:val="32"/>
        </w:rPr>
        <w:t>Østgrønland og udenfor Grønland</w:t>
      </w:r>
      <w:r w:rsidRPr="001369AA">
        <w:rPr>
          <w:rFonts w:ascii="Times New Roman" w:hAnsi="Times New Roman" w:cs="Times New Roman"/>
          <w:b/>
          <w:color w:val="000000" w:themeColor="text1"/>
          <w:sz w:val="32"/>
          <w:szCs w:val="32"/>
          <w:lang w:val="is-IS"/>
        </w:rPr>
        <w:t xml:space="preserve"> </w:t>
      </w:r>
    </w:p>
    <w:p w14:paraId="5837BBFD" w14:textId="77777777" w:rsidR="00ED649A" w:rsidRPr="001369AA" w:rsidRDefault="00ED649A" w:rsidP="00ED649A">
      <w:pPr>
        <w:spacing w:after="0" w:line="276" w:lineRule="auto"/>
        <w:jc w:val="both"/>
        <w:rPr>
          <w:rFonts w:ascii="Times New Roman" w:hAnsi="Times New Roman" w:cs="Times New Roman"/>
          <w:b/>
          <w:color w:val="000000" w:themeColor="text1"/>
          <w:sz w:val="32"/>
          <w:szCs w:val="32"/>
          <w:lang w:val="is-IS"/>
        </w:rPr>
      </w:pPr>
    </w:p>
    <w:p w14:paraId="6D33BA3D" w14:textId="77777777" w:rsidR="00ED649A" w:rsidRDefault="00ED649A" w:rsidP="006726D3">
      <w:pPr>
        <w:spacing w:after="0" w:line="276" w:lineRule="auto"/>
        <w:jc w:val="both"/>
        <w:rPr>
          <w:rFonts w:ascii="Times New Roman" w:hAnsi="Times New Roman" w:cs="Times New Roman"/>
          <w:color w:val="000000" w:themeColor="text1"/>
          <w:sz w:val="26"/>
          <w:szCs w:val="26"/>
          <w:lang w:val="is-IS"/>
        </w:rPr>
      </w:pPr>
      <w:r w:rsidRPr="006E0800">
        <w:rPr>
          <w:rFonts w:ascii="Times New Roman" w:hAnsi="Times New Roman" w:cs="Times New Roman"/>
          <w:color w:val="000000" w:themeColor="text1"/>
          <w:sz w:val="26"/>
          <w:szCs w:val="26"/>
          <w:lang w:val="is-IS"/>
        </w:rPr>
        <w:t xml:space="preserve">Hilmar </w:t>
      </w:r>
      <w:r w:rsidR="003E6689">
        <w:rPr>
          <w:rFonts w:ascii="Times New Roman" w:hAnsi="Times New Roman" w:cs="Times New Roman"/>
          <w:color w:val="000000" w:themeColor="text1"/>
          <w:sz w:val="26"/>
          <w:szCs w:val="26"/>
          <w:lang w:val="is-IS"/>
        </w:rPr>
        <w:t>O</w:t>
      </w:r>
      <w:r w:rsidRPr="006E0800">
        <w:rPr>
          <w:rFonts w:ascii="Times New Roman" w:hAnsi="Times New Roman" w:cs="Times New Roman"/>
          <w:color w:val="000000" w:themeColor="text1"/>
          <w:sz w:val="26"/>
          <w:szCs w:val="26"/>
          <w:lang w:val="is-IS"/>
        </w:rPr>
        <w:t>gmundsson</w:t>
      </w:r>
    </w:p>
    <w:p w14:paraId="747CB47D" w14:textId="77777777" w:rsidR="00ED649A" w:rsidRDefault="00ED649A" w:rsidP="006726D3">
      <w:pPr>
        <w:spacing w:after="0" w:line="276" w:lineRule="auto"/>
        <w:jc w:val="both"/>
        <w:rPr>
          <w:rFonts w:ascii="Times New Roman" w:hAnsi="Times New Roman" w:cs="Times New Roman"/>
          <w:color w:val="000000" w:themeColor="text1"/>
          <w:sz w:val="26"/>
          <w:szCs w:val="26"/>
          <w:lang w:val="is-IS"/>
        </w:rPr>
      </w:pPr>
    </w:p>
    <w:p w14:paraId="6F2502D6" w14:textId="77777777" w:rsidR="0033485A" w:rsidRDefault="006726D3" w:rsidP="0033485A">
      <w:pPr>
        <w:pStyle w:val="Bloktekst"/>
        <w:spacing w:before="0" w:beforeAutospacing="0" w:after="0" w:afterAutospacing="0" w:line="276" w:lineRule="auto"/>
        <w:ind w:left="0" w:right="500"/>
        <w:jc w:val="both"/>
        <w:rPr>
          <w:sz w:val="22"/>
        </w:rPr>
      </w:pPr>
      <w:r w:rsidRPr="00641EC8">
        <w:rPr>
          <w:sz w:val="22"/>
        </w:rPr>
        <w:t xml:space="preserve">TAC og kvoter fastsættes årligt for rejer i både Vest- og Østgrønland. I Vestgrønland fordeles </w:t>
      </w:r>
      <w:proofErr w:type="spellStart"/>
      <w:r w:rsidRPr="00641EC8">
        <w:rPr>
          <w:sz w:val="22"/>
        </w:rPr>
        <w:t>TAC’en</w:t>
      </w:r>
      <w:proofErr w:type="spellEnd"/>
      <w:r w:rsidRPr="00641EC8">
        <w:rPr>
          <w:sz w:val="22"/>
        </w:rPr>
        <w:t xml:space="preserve"> </w:t>
      </w:r>
      <w:r>
        <w:rPr>
          <w:sz w:val="22"/>
        </w:rPr>
        <w:t>med 43 pct. til den kystnære rejeflåde</w:t>
      </w:r>
      <w:r w:rsidRPr="00641EC8">
        <w:rPr>
          <w:sz w:val="22"/>
        </w:rPr>
        <w:t xml:space="preserve"> og </w:t>
      </w:r>
      <w:r>
        <w:rPr>
          <w:sz w:val="22"/>
        </w:rPr>
        <w:t xml:space="preserve">57 pct. til </w:t>
      </w:r>
      <w:r w:rsidRPr="00641EC8">
        <w:rPr>
          <w:sz w:val="22"/>
        </w:rPr>
        <w:t xml:space="preserve">den havgående flådekomponent 57 </w:t>
      </w:r>
      <w:r>
        <w:rPr>
          <w:sz w:val="22"/>
        </w:rPr>
        <w:t xml:space="preserve">pct. af </w:t>
      </w:r>
      <w:proofErr w:type="spellStart"/>
      <w:r>
        <w:rPr>
          <w:sz w:val="22"/>
        </w:rPr>
        <w:t>TAC´en</w:t>
      </w:r>
      <w:proofErr w:type="spellEnd"/>
      <w:r>
        <w:rPr>
          <w:sz w:val="22"/>
        </w:rPr>
        <w:t xml:space="preserve"> i Vestgrønland.</w:t>
      </w:r>
      <w:r w:rsidRPr="00641EC8">
        <w:rPr>
          <w:sz w:val="22"/>
        </w:rPr>
        <w:t xml:space="preserve"> </w:t>
      </w:r>
      <w:proofErr w:type="spellStart"/>
      <w:r w:rsidRPr="00641EC8">
        <w:rPr>
          <w:sz w:val="22"/>
        </w:rPr>
        <w:t>TAC´en</w:t>
      </w:r>
      <w:proofErr w:type="spellEnd"/>
      <w:r w:rsidRPr="00641EC8">
        <w:rPr>
          <w:sz w:val="22"/>
        </w:rPr>
        <w:t xml:space="preserve"> for rejer ved Østgrønland tildeles udelukkend</w:t>
      </w:r>
      <w:r>
        <w:rPr>
          <w:sz w:val="22"/>
        </w:rPr>
        <w:t xml:space="preserve">e den havgående flådekomponent. Udover rejekvoter i grønlandsk farvand har Grønland rejekvote i Barentshavet igennem bilateral kvotebytteaftale med Rusland samt fiskedage ved Svalbard og i </w:t>
      </w:r>
      <w:proofErr w:type="spellStart"/>
      <w:r>
        <w:rPr>
          <w:sz w:val="22"/>
        </w:rPr>
        <w:t>Flemish</w:t>
      </w:r>
      <w:proofErr w:type="spellEnd"/>
      <w:r>
        <w:rPr>
          <w:sz w:val="22"/>
        </w:rPr>
        <w:t xml:space="preserve"> Cap området.</w:t>
      </w:r>
    </w:p>
    <w:p w14:paraId="79EACD71" w14:textId="77777777" w:rsidR="0033485A" w:rsidRDefault="0033485A" w:rsidP="0033485A">
      <w:pPr>
        <w:pStyle w:val="Bloktekst"/>
        <w:spacing w:before="0" w:beforeAutospacing="0" w:after="0" w:afterAutospacing="0" w:line="276" w:lineRule="auto"/>
        <w:ind w:left="0" w:right="500"/>
        <w:jc w:val="both"/>
        <w:rPr>
          <w:sz w:val="22"/>
        </w:rPr>
      </w:pPr>
    </w:p>
    <w:p w14:paraId="3FD85213" w14:textId="77777777" w:rsidR="006726D3" w:rsidRDefault="006726D3" w:rsidP="0033485A">
      <w:pPr>
        <w:pStyle w:val="Bloktekst"/>
        <w:spacing w:before="0" w:beforeAutospacing="0" w:after="0" w:afterAutospacing="0" w:line="276" w:lineRule="auto"/>
        <w:ind w:left="0" w:right="500"/>
        <w:jc w:val="both"/>
        <w:rPr>
          <w:bCs/>
          <w:color w:val="000000" w:themeColor="text1"/>
          <w:kern w:val="36"/>
        </w:rPr>
      </w:pPr>
      <w:r w:rsidRPr="006726D3">
        <w:rPr>
          <w:bCs/>
          <w:color w:val="000000" w:themeColor="text1"/>
          <w:kern w:val="36"/>
          <w:sz w:val="22"/>
        </w:rPr>
        <w:t>Rejefiskeriet i Vestgrønland er beskrevet i baggrundsnotat</w:t>
      </w:r>
      <w:r>
        <w:rPr>
          <w:bCs/>
          <w:color w:val="000000" w:themeColor="text1"/>
          <w:kern w:val="36"/>
        </w:rPr>
        <w:t xml:space="preserve">et </w:t>
      </w:r>
      <w:r w:rsidRPr="006726D3">
        <w:rPr>
          <w:bCs/>
          <w:color w:val="000000" w:themeColor="text1"/>
          <w:kern w:val="36"/>
          <w:sz w:val="22"/>
        </w:rPr>
        <w:t>Status og udfordringer i rejefiskeriet</w:t>
      </w:r>
      <w:r w:rsidR="0033485A">
        <w:rPr>
          <w:bCs/>
          <w:color w:val="000000" w:themeColor="text1"/>
          <w:kern w:val="36"/>
        </w:rPr>
        <w:t xml:space="preserve">. Formålet med dette notat er derfor kun at beskrive rejefiskeri i Østgrønland samt </w:t>
      </w:r>
      <w:r w:rsidR="0030402B">
        <w:rPr>
          <w:bCs/>
          <w:color w:val="000000" w:themeColor="text1"/>
          <w:kern w:val="36"/>
        </w:rPr>
        <w:t>uden for</w:t>
      </w:r>
      <w:r w:rsidR="0033485A">
        <w:rPr>
          <w:bCs/>
          <w:color w:val="000000" w:themeColor="text1"/>
          <w:kern w:val="36"/>
        </w:rPr>
        <w:t xml:space="preserve"> Grønland.</w:t>
      </w:r>
    </w:p>
    <w:p w14:paraId="68D17DA3" w14:textId="77777777" w:rsidR="0033485A" w:rsidRDefault="0033485A" w:rsidP="0033485A">
      <w:pPr>
        <w:pStyle w:val="Bloktekst"/>
        <w:spacing w:before="0" w:beforeAutospacing="0" w:after="0" w:afterAutospacing="0" w:line="276" w:lineRule="auto"/>
        <w:ind w:left="0" w:right="500"/>
        <w:jc w:val="both"/>
        <w:rPr>
          <w:bCs/>
          <w:color w:val="000000" w:themeColor="text1"/>
          <w:kern w:val="36"/>
        </w:rPr>
      </w:pPr>
    </w:p>
    <w:p w14:paraId="47CDD525" w14:textId="77777777" w:rsidR="0033485A" w:rsidRPr="0033485A" w:rsidRDefault="0033485A" w:rsidP="0033485A">
      <w:pPr>
        <w:pStyle w:val="Bloktekst"/>
        <w:spacing w:before="0" w:beforeAutospacing="0" w:after="0" w:afterAutospacing="0" w:line="276" w:lineRule="auto"/>
        <w:ind w:left="0" w:right="500"/>
        <w:jc w:val="both"/>
        <w:rPr>
          <w:b/>
          <w:sz w:val="22"/>
        </w:rPr>
      </w:pPr>
      <w:r w:rsidRPr="0033485A">
        <w:rPr>
          <w:b/>
          <w:bCs/>
          <w:color w:val="000000" w:themeColor="text1"/>
          <w:kern w:val="36"/>
        </w:rPr>
        <w:t>Rejefiskeriet i Østgrønland</w:t>
      </w:r>
    </w:p>
    <w:p w14:paraId="3E76BABE" w14:textId="77777777" w:rsidR="008052DE" w:rsidRDefault="008052DE" w:rsidP="00650908">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Rejefiskeriet i Østgrønland er som i Vest forvaltet med IOK kvoter. Det er i alt 6 licenshavere i 2021 hvoraf fem er de samme som ejer de havgående kvoter i Vest</w:t>
      </w:r>
      <w:r w:rsidR="001F2F70">
        <w:rPr>
          <w:rFonts w:ascii="Times New Roman" w:hAnsi="Times New Roman" w:cs="Times New Roman"/>
          <w:color w:val="000000" w:themeColor="text1"/>
        </w:rPr>
        <w:t xml:space="preserve"> jf. tabel 1</w:t>
      </w:r>
      <w:r>
        <w:rPr>
          <w:rFonts w:ascii="Times New Roman" w:hAnsi="Times New Roman" w:cs="Times New Roman"/>
          <w:color w:val="000000" w:themeColor="text1"/>
        </w:rPr>
        <w:t xml:space="preserve">. Det er derfor </w:t>
      </w:r>
      <w:r w:rsidR="00281DDC">
        <w:rPr>
          <w:rFonts w:ascii="Times New Roman" w:hAnsi="Times New Roman" w:cs="Times New Roman"/>
          <w:color w:val="000000" w:themeColor="text1"/>
        </w:rPr>
        <w:t>hovedsageligt</w:t>
      </w:r>
      <w:r>
        <w:rPr>
          <w:rFonts w:ascii="Times New Roman" w:hAnsi="Times New Roman" w:cs="Times New Roman"/>
          <w:color w:val="000000" w:themeColor="text1"/>
        </w:rPr>
        <w:t xml:space="preserve"> samme fartøjer som fisker på rejekvoten i Vest og Øst.</w:t>
      </w:r>
    </w:p>
    <w:p w14:paraId="6BE6DDBE" w14:textId="77777777" w:rsidR="001F2F70" w:rsidRDefault="001F2F70" w:rsidP="00650908">
      <w:pPr>
        <w:spacing w:after="0" w:line="276" w:lineRule="auto"/>
        <w:jc w:val="both"/>
        <w:rPr>
          <w:rFonts w:ascii="Times New Roman" w:hAnsi="Times New Roman" w:cs="Times New Roman"/>
          <w:color w:val="000000" w:themeColor="text1"/>
        </w:rPr>
      </w:pPr>
    </w:p>
    <w:p w14:paraId="12D5B03F" w14:textId="77777777" w:rsidR="00281DDC" w:rsidRDefault="00281DDC" w:rsidP="00650908">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Tabel 1: Oversigt over licenshavere i rejefiskeriet i Østgrønland, 2021.</w:t>
      </w:r>
    </w:p>
    <w:tbl>
      <w:tblPr>
        <w:tblW w:w="5000" w:type="pct"/>
        <w:tblCellMar>
          <w:left w:w="70" w:type="dxa"/>
          <w:right w:w="70" w:type="dxa"/>
        </w:tblCellMar>
        <w:tblLook w:val="04A0" w:firstRow="1" w:lastRow="0" w:firstColumn="1" w:lastColumn="0" w:noHBand="0" w:noVBand="1"/>
      </w:tblPr>
      <w:tblGrid>
        <w:gridCol w:w="2988"/>
        <w:gridCol w:w="1587"/>
        <w:gridCol w:w="5053"/>
      </w:tblGrid>
      <w:tr w:rsidR="001F2F70" w:rsidRPr="001F2F70" w14:paraId="22BF9DB2" w14:textId="77777777" w:rsidTr="001F2F70">
        <w:trPr>
          <w:trHeight w:val="300"/>
        </w:trPr>
        <w:tc>
          <w:tcPr>
            <w:tcW w:w="1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71BDB"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Licenshavere</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19547887"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Kvoteandel</w:t>
            </w:r>
          </w:p>
        </w:tc>
        <w:tc>
          <w:tcPr>
            <w:tcW w:w="2625" w:type="pct"/>
            <w:tcBorders>
              <w:top w:val="single" w:sz="4" w:space="0" w:color="auto"/>
              <w:left w:val="nil"/>
              <w:bottom w:val="single" w:sz="4" w:space="0" w:color="auto"/>
              <w:right w:val="single" w:sz="4" w:space="0" w:color="auto"/>
            </w:tcBorders>
            <w:shd w:val="clear" w:color="auto" w:fill="auto"/>
            <w:noWrap/>
            <w:vAlign w:val="bottom"/>
            <w:hideMark/>
          </w:tcPr>
          <w:p w14:paraId="58A08FF5"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Har også licens</w:t>
            </w:r>
            <w:r w:rsidRPr="001F2F70">
              <w:rPr>
                <w:rFonts w:ascii="Times New Roman" w:eastAsia="Times New Roman" w:hAnsi="Times New Roman" w:cs="Times New Roman"/>
                <w:color w:val="000000"/>
                <w:sz w:val="20"/>
                <w:szCs w:val="20"/>
                <w:lang w:eastAsia="da-DK"/>
              </w:rPr>
              <w:t xml:space="preserve"> i det havgående rejefiskeri i Vestgrønland</w:t>
            </w:r>
          </w:p>
        </w:tc>
      </w:tr>
      <w:tr w:rsidR="001F2F70" w:rsidRPr="001F2F70" w14:paraId="227D1859"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2C117A86"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H.1</w:t>
            </w:r>
          </w:p>
        </w:tc>
        <w:tc>
          <w:tcPr>
            <w:tcW w:w="824" w:type="pct"/>
            <w:tcBorders>
              <w:top w:val="nil"/>
              <w:left w:val="nil"/>
              <w:bottom w:val="single" w:sz="4" w:space="0" w:color="auto"/>
              <w:right w:val="single" w:sz="4" w:space="0" w:color="auto"/>
            </w:tcBorders>
            <w:shd w:val="clear" w:color="auto" w:fill="auto"/>
            <w:noWrap/>
            <w:vAlign w:val="bottom"/>
            <w:hideMark/>
          </w:tcPr>
          <w:p w14:paraId="35963DBF"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33,33%</w:t>
            </w:r>
          </w:p>
        </w:tc>
        <w:tc>
          <w:tcPr>
            <w:tcW w:w="2625" w:type="pct"/>
            <w:tcBorders>
              <w:top w:val="nil"/>
              <w:left w:val="nil"/>
              <w:bottom w:val="single" w:sz="4" w:space="0" w:color="auto"/>
              <w:right w:val="single" w:sz="4" w:space="0" w:color="auto"/>
            </w:tcBorders>
            <w:shd w:val="clear" w:color="auto" w:fill="auto"/>
            <w:noWrap/>
            <w:vAlign w:val="bottom"/>
            <w:hideMark/>
          </w:tcPr>
          <w:p w14:paraId="5FCBA4C6"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Ja</w:t>
            </w:r>
          </w:p>
        </w:tc>
      </w:tr>
      <w:tr w:rsidR="001F2F70" w:rsidRPr="001F2F70" w14:paraId="33049F85"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341BCEB2"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H.2</w:t>
            </w:r>
          </w:p>
        </w:tc>
        <w:tc>
          <w:tcPr>
            <w:tcW w:w="824" w:type="pct"/>
            <w:tcBorders>
              <w:top w:val="nil"/>
              <w:left w:val="nil"/>
              <w:bottom w:val="single" w:sz="4" w:space="0" w:color="auto"/>
              <w:right w:val="single" w:sz="4" w:space="0" w:color="auto"/>
            </w:tcBorders>
            <w:shd w:val="clear" w:color="auto" w:fill="auto"/>
            <w:noWrap/>
            <w:vAlign w:val="bottom"/>
            <w:hideMark/>
          </w:tcPr>
          <w:p w14:paraId="29D55DA1"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28,94%</w:t>
            </w:r>
          </w:p>
        </w:tc>
        <w:tc>
          <w:tcPr>
            <w:tcW w:w="2625" w:type="pct"/>
            <w:tcBorders>
              <w:top w:val="nil"/>
              <w:left w:val="nil"/>
              <w:bottom w:val="single" w:sz="4" w:space="0" w:color="auto"/>
              <w:right w:val="single" w:sz="4" w:space="0" w:color="auto"/>
            </w:tcBorders>
            <w:shd w:val="clear" w:color="auto" w:fill="auto"/>
            <w:noWrap/>
            <w:vAlign w:val="bottom"/>
            <w:hideMark/>
          </w:tcPr>
          <w:p w14:paraId="7975B098"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Ja</w:t>
            </w:r>
          </w:p>
        </w:tc>
      </w:tr>
      <w:tr w:rsidR="001F2F70" w:rsidRPr="001F2F70" w14:paraId="2E0E233D"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53688529"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H.3</w:t>
            </w:r>
          </w:p>
        </w:tc>
        <w:tc>
          <w:tcPr>
            <w:tcW w:w="824" w:type="pct"/>
            <w:tcBorders>
              <w:top w:val="nil"/>
              <w:left w:val="nil"/>
              <w:bottom w:val="single" w:sz="4" w:space="0" w:color="auto"/>
              <w:right w:val="single" w:sz="4" w:space="0" w:color="auto"/>
            </w:tcBorders>
            <w:shd w:val="clear" w:color="auto" w:fill="auto"/>
            <w:noWrap/>
            <w:vAlign w:val="bottom"/>
            <w:hideMark/>
          </w:tcPr>
          <w:p w14:paraId="6BC9598C"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12,72%</w:t>
            </w:r>
          </w:p>
        </w:tc>
        <w:tc>
          <w:tcPr>
            <w:tcW w:w="2625" w:type="pct"/>
            <w:tcBorders>
              <w:top w:val="nil"/>
              <w:left w:val="nil"/>
              <w:bottom w:val="single" w:sz="4" w:space="0" w:color="auto"/>
              <w:right w:val="single" w:sz="4" w:space="0" w:color="auto"/>
            </w:tcBorders>
            <w:shd w:val="clear" w:color="auto" w:fill="auto"/>
            <w:noWrap/>
            <w:vAlign w:val="bottom"/>
            <w:hideMark/>
          </w:tcPr>
          <w:p w14:paraId="267D4007"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Nej</w:t>
            </w:r>
          </w:p>
        </w:tc>
      </w:tr>
      <w:tr w:rsidR="001F2F70" w:rsidRPr="001F2F70" w14:paraId="02329D15"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6F6A94B4"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H.4</w:t>
            </w:r>
          </w:p>
        </w:tc>
        <w:tc>
          <w:tcPr>
            <w:tcW w:w="824" w:type="pct"/>
            <w:tcBorders>
              <w:top w:val="nil"/>
              <w:left w:val="nil"/>
              <w:bottom w:val="single" w:sz="4" w:space="0" w:color="auto"/>
              <w:right w:val="single" w:sz="4" w:space="0" w:color="auto"/>
            </w:tcBorders>
            <w:shd w:val="clear" w:color="auto" w:fill="auto"/>
            <w:noWrap/>
            <w:vAlign w:val="bottom"/>
            <w:hideMark/>
          </w:tcPr>
          <w:p w14:paraId="66D7AA69"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9,15%</w:t>
            </w:r>
          </w:p>
        </w:tc>
        <w:tc>
          <w:tcPr>
            <w:tcW w:w="2625" w:type="pct"/>
            <w:tcBorders>
              <w:top w:val="nil"/>
              <w:left w:val="nil"/>
              <w:bottom w:val="single" w:sz="4" w:space="0" w:color="auto"/>
              <w:right w:val="single" w:sz="4" w:space="0" w:color="auto"/>
            </w:tcBorders>
            <w:shd w:val="clear" w:color="auto" w:fill="auto"/>
            <w:noWrap/>
            <w:vAlign w:val="bottom"/>
            <w:hideMark/>
          </w:tcPr>
          <w:p w14:paraId="7AB16312"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Ja</w:t>
            </w:r>
          </w:p>
        </w:tc>
      </w:tr>
      <w:tr w:rsidR="001F2F70" w:rsidRPr="001F2F70" w14:paraId="5E994028"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6AC0E5B3"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H.5</w:t>
            </w:r>
          </w:p>
        </w:tc>
        <w:tc>
          <w:tcPr>
            <w:tcW w:w="824" w:type="pct"/>
            <w:tcBorders>
              <w:top w:val="nil"/>
              <w:left w:val="nil"/>
              <w:bottom w:val="single" w:sz="4" w:space="0" w:color="auto"/>
              <w:right w:val="single" w:sz="4" w:space="0" w:color="auto"/>
            </w:tcBorders>
            <w:shd w:val="clear" w:color="auto" w:fill="auto"/>
            <w:noWrap/>
            <w:vAlign w:val="bottom"/>
            <w:hideMark/>
          </w:tcPr>
          <w:p w14:paraId="0538F147"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8,33%</w:t>
            </w:r>
          </w:p>
        </w:tc>
        <w:tc>
          <w:tcPr>
            <w:tcW w:w="2625" w:type="pct"/>
            <w:tcBorders>
              <w:top w:val="nil"/>
              <w:left w:val="nil"/>
              <w:bottom w:val="single" w:sz="4" w:space="0" w:color="auto"/>
              <w:right w:val="single" w:sz="4" w:space="0" w:color="auto"/>
            </w:tcBorders>
            <w:shd w:val="clear" w:color="auto" w:fill="auto"/>
            <w:noWrap/>
            <w:vAlign w:val="bottom"/>
            <w:hideMark/>
          </w:tcPr>
          <w:p w14:paraId="748CF4D3"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Ja</w:t>
            </w:r>
          </w:p>
        </w:tc>
      </w:tr>
      <w:tr w:rsidR="001F2F70" w:rsidRPr="001F2F70" w14:paraId="6AE80768"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383F21F6"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H.6</w:t>
            </w:r>
          </w:p>
        </w:tc>
        <w:tc>
          <w:tcPr>
            <w:tcW w:w="824" w:type="pct"/>
            <w:tcBorders>
              <w:top w:val="nil"/>
              <w:left w:val="nil"/>
              <w:bottom w:val="single" w:sz="4" w:space="0" w:color="auto"/>
              <w:right w:val="single" w:sz="4" w:space="0" w:color="auto"/>
            </w:tcBorders>
            <w:shd w:val="clear" w:color="auto" w:fill="auto"/>
            <w:noWrap/>
            <w:vAlign w:val="bottom"/>
            <w:hideMark/>
          </w:tcPr>
          <w:p w14:paraId="6906B5A1"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7,53%</w:t>
            </w:r>
          </w:p>
        </w:tc>
        <w:tc>
          <w:tcPr>
            <w:tcW w:w="2625" w:type="pct"/>
            <w:tcBorders>
              <w:top w:val="nil"/>
              <w:left w:val="nil"/>
              <w:bottom w:val="single" w:sz="4" w:space="0" w:color="auto"/>
              <w:right w:val="single" w:sz="4" w:space="0" w:color="auto"/>
            </w:tcBorders>
            <w:shd w:val="clear" w:color="auto" w:fill="auto"/>
            <w:noWrap/>
            <w:vAlign w:val="bottom"/>
            <w:hideMark/>
          </w:tcPr>
          <w:p w14:paraId="4172C478"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Ja</w:t>
            </w:r>
          </w:p>
        </w:tc>
      </w:tr>
      <w:tr w:rsidR="001F2F70" w:rsidRPr="001F2F70" w14:paraId="4C3F5E3F" w14:textId="77777777" w:rsidTr="001F2F70">
        <w:trPr>
          <w:trHeight w:val="300"/>
        </w:trPr>
        <w:tc>
          <w:tcPr>
            <w:tcW w:w="1552" w:type="pct"/>
            <w:tcBorders>
              <w:top w:val="nil"/>
              <w:left w:val="single" w:sz="4" w:space="0" w:color="auto"/>
              <w:bottom w:val="single" w:sz="4" w:space="0" w:color="auto"/>
              <w:right w:val="single" w:sz="4" w:space="0" w:color="auto"/>
            </w:tcBorders>
            <w:shd w:val="clear" w:color="auto" w:fill="auto"/>
            <w:noWrap/>
            <w:vAlign w:val="bottom"/>
            <w:hideMark/>
          </w:tcPr>
          <w:p w14:paraId="62711C7C" w14:textId="77777777" w:rsidR="001F2F70" w:rsidRPr="001F2F70" w:rsidRDefault="001F2F70" w:rsidP="001F2F70">
            <w:pPr>
              <w:spacing w:after="0" w:line="240" w:lineRule="auto"/>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I alt</w:t>
            </w:r>
          </w:p>
        </w:tc>
        <w:tc>
          <w:tcPr>
            <w:tcW w:w="824" w:type="pct"/>
            <w:tcBorders>
              <w:top w:val="nil"/>
              <w:left w:val="nil"/>
              <w:bottom w:val="single" w:sz="4" w:space="0" w:color="auto"/>
              <w:right w:val="single" w:sz="4" w:space="0" w:color="auto"/>
            </w:tcBorders>
            <w:shd w:val="clear" w:color="auto" w:fill="auto"/>
            <w:noWrap/>
            <w:vAlign w:val="bottom"/>
            <w:hideMark/>
          </w:tcPr>
          <w:p w14:paraId="285EBD0E"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100,00%</w:t>
            </w:r>
          </w:p>
        </w:tc>
        <w:tc>
          <w:tcPr>
            <w:tcW w:w="2625" w:type="pct"/>
            <w:tcBorders>
              <w:top w:val="nil"/>
              <w:left w:val="nil"/>
              <w:bottom w:val="single" w:sz="4" w:space="0" w:color="auto"/>
              <w:right w:val="single" w:sz="4" w:space="0" w:color="auto"/>
            </w:tcBorders>
            <w:shd w:val="clear" w:color="auto" w:fill="auto"/>
            <w:noWrap/>
            <w:vAlign w:val="bottom"/>
            <w:hideMark/>
          </w:tcPr>
          <w:p w14:paraId="55878D2A" w14:textId="77777777" w:rsidR="001F2F70" w:rsidRPr="001F2F70" w:rsidRDefault="001F2F70" w:rsidP="001F2F70">
            <w:pPr>
              <w:spacing w:after="0" w:line="240" w:lineRule="auto"/>
              <w:jc w:val="right"/>
              <w:rPr>
                <w:rFonts w:ascii="Times New Roman" w:eastAsia="Times New Roman" w:hAnsi="Times New Roman" w:cs="Times New Roman"/>
                <w:color w:val="000000"/>
                <w:sz w:val="20"/>
                <w:szCs w:val="20"/>
                <w:lang w:eastAsia="da-DK"/>
              </w:rPr>
            </w:pPr>
            <w:r w:rsidRPr="001F2F70">
              <w:rPr>
                <w:rFonts w:ascii="Times New Roman" w:eastAsia="Times New Roman" w:hAnsi="Times New Roman" w:cs="Times New Roman"/>
                <w:color w:val="000000"/>
                <w:sz w:val="20"/>
                <w:szCs w:val="20"/>
                <w:lang w:eastAsia="da-DK"/>
              </w:rPr>
              <w:t> </w:t>
            </w:r>
          </w:p>
        </w:tc>
      </w:tr>
    </w:tbl>
    <w:p w14:paraId="360F767F" w14:textId="77777777" w:rsidR="001F2F70" w:rsidRDefault="001F2F70" w:rsidP="00650908">
      <w:pPr>
        <w:spacing w:after="0" w:line="276" w:lineRule="auto"/>
        <w:jc w:val="both"/>
        <w:rPr>
          <w:rFonts w:ascii="Times New Roman" w:hAnsi="Times New Roman" w:cs="Times New Roman"/>
          <w:color w:val="000000" w:themeColor="text1"/>
        </w:rPr>
      </w:pPr>
    </w:p>
    <w:p w14:paraId="0A41B74A" w14:textId="77777777" w:rsidR="008052DE" w:rsidRDefault="008052DE" w:rsidP="00650908">
      <w:pPr>
        <w:spacing w:after="0" w:line="276" w:lineRule="auto"/>
        <w:jc w:val="both"/>
        <w:rPr>
          <w:rFonts w:ascii="Times New Roman" w:hAnsi="Times New Roman" w:cs="Times New Roman"/>
          <w:color w:val="000000" w:themeColor="text1"/>
        </w:rPr>
      </w:pPr>
    </w:p>
    <w:p w14:paraId="16213A7F" w14:textId="77777777" w:rsidR="00650908" w:rsidRDefault="004148D0" w:rsidP="00650908">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Figur 1 viser udviklingen i rådgivningen, TAC og samlede rejefangster i Østgrønland fra 1989 til 2020. </w:t>
      </w:r>
      <w:r w:rsidR="00650908" w:rsidRPr="005C78F4">
        <w:rPr>
          <w:rFonts w:ascii="Times New Roman" w:hAnsi="Times New Roman" w:cs="Times New Roman"/>
          <w:color w:val="000000" w:themeColor="text1"/>
        </w:rPr>
        <w:t>Siden 1989 er har der</w:t>
      </w:r>
      <w:r w:rsidR="00650908">
        <w:rPr>
          <w:rFonts w:ascii="Times New Roman" w:hAnsi="Times New Roman" w:cs="Times New Roman"/>
          <w:color w:val="000000" w:themeColor="text1"/>
        </w:rPr>
        <w:t xml:space="preserve"> været rådgivning for rejer i Østgrønland. Det er har også været fastsat TAC for rejer i Østgrønland siden før 1989. Størrelsen af rejefiskeriet i Østgrønland er af mindre skala end i Vestgrønland. TAC for rejen i perioden 1990 – 2004 har varieret fra omkring 9.000 tons til ca. 16.000 tons</w:t>
      </w:r>
      <w:r w:rsidR="00351F5B">
        <w:rPr>
          <w:rFonts w:ascii="Times New Roman" w:hAnsi="Times New Roman" w:cs="Times New Roman"/>
          <w:color w:val="000000" w:themeColor="text1"/>
        </w:rPr>
        <w:t xml:space="preserve"> hvor i alle år har </w:t>
      </w:r>
      <w:proofErr w:type="spellStart"/>
      <w:r w:rsidR="00351F5B">
        <w:rPr>
          <w:rFonts w:ascii="Times New Roman" w:hAnsi="Times New Roman" w:cs="Times New Roman"/>
          <w:color w:val="000000" w:themeColor="text1"/>
        </w:rPr>
        <w:t>TAC´en</w:t>
      </w:r>
      <w:proofErr w:type="spellEnd"/>
      <w:r w:rsidR="00351F5B">
        <w:rPr>
          <w:rFonts w:ascii="Times New Roman" w:hAnsi="Times New Roman" w:cs="Times New Roman"/>
          <w:color w:val="000000" w:themeColor="text1"/>
        </w:rPr>
        <w:t xml:space="preserve"> oversteget rådgivningen</w:t>
      </w:r>
      <w:r w:rsidR="00650908">
        <w:rPr>
          <w:rFonts w:ascii="Times New Roman" w:hAnsi="Times New Roman" w:cs="Times New Roman"/>
          <w:color w:val="000000" w:themeColor="text1"/>
        </w:rPr>
        <w:t xml:space="preserve">. Fangstmængderne i samme periode har varieret fra ca. 9.000 tons til ca. 14.000 tons, hvor mængderne i de fleste år har oversteget </w:t>
      </w:r>
      <w:r w:rsidR="00351F5B">
        <w:rPr>
          <w:rFonts w:ascii="Times New Roman" w:hAnsi="Times New Roman" w:cs="Times New Roman"/>
          <w:color w:val="000000" w:themeColor="text1"/>
        </w:rPr>
        <w:t>rådgivningen</w:t>
      </w:r>
      <w:r w:rsidR="00650908">
        <w:rPr>
          <w:rFonts w:ascii="Times New Roman" w:hAnsi="Times New Roman" w:cs="Times New Roman"/>
          <w:color w:val="000000" w:themeColor="text1"/>
        </w:rPr>
        <w:t xml:space="preserve">. </w:t>
      </w:r>
    </w:p>
    <w:p w14:paraId="13CDDED9" w14:textId="77777777" w:rsidR="00650908" w:rsidRDefault="00650908" w:rsidP="00650908">
      <w:pPr>
        <w:spacing w:after="0" w:line="276" w:lineRule="auto"/>
        <w:jc w:val="both"/>
        <w:rPr>
          <w:rFonts w:ascii="Times New Roman" w:hAnsi="Times New Roman" w:cs="Times New Roman"/>
          <w:color w:val="000000" w:themeColor="text1"/>
        </w:rPr>
      </w:pPr>
    </w:p>
    <w:p w14:paraId="5BEAF3F6" w14:textId="77777777" w:rsidR="00281DDC" w:rsidRDefault="00281DDC" w:rsidP="00650908">
      <w:pPr>
        <w:spacing w:after="0" w:line="276" w:lineRule="auto"/>
        <w:jc w:val="both"/>
        <w:rPr>
          <w:rFonts w:ascii="Times New Roman" w:hAnsi="Times New Roman" w:cs="Times New Roman"/>
          <w:color w:val="000000" w:themeColor="text1"/>
        </w:rPr>
      </w:pPr>
    </w:p>
    <w:p w14:paraId="5F9E08FF" w14:textId="77777777" w:rsidR="00650908" w:rsidRDefault="00650908" w:rsidP="00650908">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Siden 2005 – 2013 har </w:t>
      </w:r>
      <w:proofErr w:type="spellStart"/>
      <w:r>
        <w:rPr>
          <w:rFonts w:ascii="Times New Roman" w:hAnsi="Times New Roman" w:cs="Times New Roman"/>
          <w:color w:val="000000" w:themeColor="text1"/>
        </w:rPr>
        <w:t>TAC´en</w:t>
      </w:r>
      <w:proofErr w:type="spellEnd"/>
      <w:r>
        <w:rPr>
          <w:rFonts w:ascii="Times New Roman" w:hAnsi="Times New Roman" w:cs="Times New Roman"/>
          <w:color w:val="000000" w:themeColor="text1"/>
        </w:rPr>
        <w:t xml:space="preserve"> været på et konstant niveau på omkring 12.000 tons. Fiskeriet i den periode har dog ikke gået godt, og fangstmængderne har været faldende og ligget </w:t>
      </w:r>
      <w:r w:rsidR="00351F5B">
        <w:rPr>
          <w:rFonts w:ascii="Times New Roman" w:hAnsi="Times New Roman" w:cs="Times New Roman"/>
          <w:color w:val="000000" w:themeColor="text1"/>
        </w:rPr>
        <w:t xml:space="preserve">under både rådgivningen og </w:t>
      </w:r>
      <w:proofErr w:type="spellStart"/>
      <w:r w:rsidR="00351F5B">
        <w:rPr>
          <w:rFonts w:ascii="Times New Roman" w:hAnsi="Times New Roman" w:cs="Times New Roman"/>
          <w:color w:val="000000" w:themeColor="text1"/>
        </w:rPr>
        <w:t>TAC´en</w:t>
      </w:r>
      <w:proofErr w:type="spellEnd"/>
      <w:r>
        <w:rPr>
          <w:rFonts w:ascii="Times New Roman" w:hAnsi="Times New Roman" w:cs="Times New Roman"/>
          <w:color w:val="000000" w:themeColor="text1"/>
        </w:rPr>
        <w:t xml:space="preserve">. Fra 2013 og frem til 2018 </w:t>
      </w:r>
      <w:r w:rsidR="00351F5B">
        <w:rPr>
          <w:rFonts w:ascii="Times New Roman" w:hAnsi="Times New Roman" w:cs="Times New Roman"/>
          <w:color w:val="000000" w:themeColor="text1"/>
        </w:rPr>
        <w:t xml:space="preserve">var </w:t>
      </w:r>
      <w:proofErr w:type="spellStart"/>
      <w:r>
        <w:rPr>
          <w:rFonts w:ascii="Times New Roman" w:hAnsi="Times New Roman" w:cs="Times New Roman"/>
          <w:color w:val="000000" w:themeColor="text1"/>
        </w:rPr>
        <w:t>TAC´en</w:t>
      </w:r>
      <w:proofErr w:type="spellEnd"/>
      <w:r w:rsidR="00351F5B">
        <w:rPr>
          <w:rFonts w:ascii="Times New Roman" w:hAnsi="Times New Roman" w:cs="Times New Roman"/>
          <w:color w:val="000000" w:themeColor="text1"/>
        </w:rPr>
        <w:t xml:space="preserve"> for rejer i Østgrønland reduceret </w:t>
      </w:r>
      <w:r>
        <w:rPr>
          <w:rFonts w:ascii="Times New Roman" w:hAnsi="Times New Roman" w:cs="Times New Roman"/>
          <w:color w:val="000000" w:themeColor="text1"/>
        </w:rPr>
        <w:t>betydeligt og tilsvarende er fangstmængderne faldet</w:t>
      </w:r>
      <w:r w:rsidR="00351F5B">
        <w:rPr>
          <w:rFonts w:ascii="Times New Roman" w:hAnsi="Times New Roman" w:cs="Times New Roman"/>
          <w:color w:val="000000" w:themeColor="text1"/>
        </w:rPr>
        <w:t xml:space="preserve"> yderligere, hvor i 2016 blev kun fanget 49 tons.</w:t>
      </w:r>
      <w:r>
        <w:rPr>
          <w:rFonts w:ascii="Times New Roman" w:hAnsi="Times New Roman" w:cs="Times New Roman"/>
          <w:color w:val="000000" w:themeColor="text1"/>
        </w:rPr>
        <w:t xml:space="preserve"> I 2019 og 2020 har rejefangsterne i Øst været stigende hvor i 2020 blev der fanget over 3.000 tons rejer, den største mængde sidste 10 år. </w:t>
      </w:r>
      <w:r w:rsidR="00CD15E9">
        <w:rPr>
          <w:rFonts w:ascii="Times New Roman" w:hAnsi="Times New Roman" w:cs="Times New Roman"/>
          <w:color w:val="000000" w:themeColor="text1"/>
        </w:rPr>
        <w:t>Rådgivningen i</w:t>
      </w:r>
      <w:r w:rsidR="00351F5B">
        <w:rPr>
          <w:rFonts w:ascii="Times New Roman" w:hAnsi="Times New Roman" w:cs="Times New Roman"/>
          <w:color w:val="000000" w:themeColor="text1"/>
        </w:rPr>
        <w:t xml:space="preserve"> 2014-2020 har ligget på 2.000 tons. I 2021 blev hævet til 3.000 tons </w:t>
      </w:r>
      <w:r w:rsidR="00CD15E9">
        <w:rPr>
          <w:rFonts w:ascii="Times New Roman" w:hAnsi="Times New Roman" w:cs="Times New Roman"/>
          <w:color w:val="000000" w:themeColor="text1"/>
        </w:rPr>
        <w:t xml:space="preserve">hvorimod </w:t>
      </w:r>
      <w:proofErr w:type="spellStart"/>
      <w:r>
        <w:rPr>
          <w:rFonts w:ascii="Times New Roman" w:hAnsi="Times New Roman" w:cs="Times New Roman"/>
          <w:color w:val="000000" w:themeColor="text1"/>
        </w:rPr>
        <w:t>TAC´en</w:t>
      </w:r>
      <w:proofErr w:type="spellEnd"/>
      <w:r>
        <w:rPr>
          <w:rFonts w:ascii="Times New Roman" w:hAnsi="Times New Roman" w:cs="Times New Roman"/>
          <w:color w:val="000000" w:themeColor="text1"/>
        </w:rPr>
        <w:t xml:space="preserve"> i 2021 </w:t>
      </w:r>
      <w:r w:rsidR="00CD15E9">
        <w:rPr>
          <w:rFonts w:ascii="Times New Roman" w:hAnsi="Times New Roman" w:cs="Times New Roman"/>
          <w:color w:val="000000" w:themeColor="text1"/>
        </w:rPr>
        <w:t>blev</w:t>
      </w:r>
      <w:r>
        <w:rPr>
          <w:rFonts w:ascii="Times New Roman" w:hAnsi="Times New Roman" w:cs="Times New Roman"/>
          <w:color w:val="000000" w:themeColor="text1"/>
        </w:rPr>
        <w:t xml:space="preserve"> hævet til 7.000 tons hvilket er en stigning på 2.250 i forhold til 2020.</w:t>
      </w:r>
    </w:p>
    <w:p w14:paraId="4CCBF64D" w14:textId="77777777" w:rsidR="008052DE" w:rsidRDefault="008052DE" w:rsidP="00650908">
      <w:pPr>
        <w:spacing w:after="0" w:line="276" w:lineRule="auto"/>
        <w:jc w:val="both"/>
        <w:rPr>
          <w:rFonts w:ascii="Times New Roman" w:hAnsi="Times New Roman" w:cs="Times New Roman"/>
          <w:color w:val="000000" w:themeColor="text1"/>
        </w:rPr>
      </w:pPr>
    </w:p>
    <w:p w14:paraId="47B4D5BE" w14:textId="77777777" w:rsidR="008052DE" w:rsidRPr="008052DE" w:rsidRDefault="008052DE" w:rsidP="00650908">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Figur 1: </w:t>
      </w:r>
      <w:r w:rsidRPr="008052DE">
        <w:rPr>
          <w:rFonts w:ascii="Times New Roman" w:hAnsi="Times New Roman" w:cs="Times New Roman"/>
          <w:color w:val="000000" w:themeColor="text1"/>
        </w:rPr>
        <w:t>Udvikling i den biologisk rådgivning for rejer, TAC og rejefangster i Østgrønland, 1990-2020</w:t>
      </w:r>
      <w:r>
        <w:rPr>
          <w:rFonts w:ascii="Times New Roman" w:hAnsi="Times New Roman" w:cs="Times New Roman"/>
          <w:color w:val="000000" w:themeColor="text1"/>
        </w:rPr>
        <w:t>.</w:t>
      </w:r>
    </w:p>
    <w:p w14:paraId="7F78B7D5" w14:textId="77777777" w:rsidR="00CD15E9" w:rsidRDefault="00695A69" w:rsidP="00650908">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4C65C70C" wp14:editId="779201D4">
            <wp:extent cx="6210300" cy="39052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531501A" w14:textId="77777777" w:rsidR="00CD15E9" w:rsidRPr="0030402B" w:rsidRDefault="00CD15E9" w:rsidP="00CD15E9">
      <w:pPr>
        <w:spacing w:after="0" w:line="276" w:lineRule="auto"/>
        <w:jc w:val="both"/>
        <w:rPr>
          <w:rFonts w:ascii="Times New Roman" w:hAnsi="Times New Roman" w:cs="Times New Roman"/>
          <w:color w:val="000000" w:themeColor="text1"/>
          <w:sz w:val="20"/>
          <w:szCs w:val="20"/>
        </w:rPr>
      </w:pPr>
      <w:r w:rsidRPr="0030402B">
        <w:rPr>
          <w:rFonts w:ascii="Times New Roman" w:hAnsi="Times New Roman" w:cs="Times New Roman"/>
          <w:color w:val="000000" w:themeColor="text1"/>
          <w:sz w:val="20"/>
          <w:szCs w:val="20"/>
        </w:rPr>
        <w:t>Kilde: Grønlands Naturinstitut.</w:t>
      </w:r>
    </w:p>
    <w:p w14:paraId="5FDADAAC" w14:textId="77777777" w:rsidR="00CD15E9" w:rsidRPr="0030402B" w:rsidRDefault="004148D0" w:rsidP="00CD15E9">
      <w:pPr>
        <w:spacing w:after="0" w:line="276" w:lineRule="auto"/>
        <w:jc w:val="both"/>
        <w:rPr>
          <w:rFonts w:ascii="Times New Roman" w:hAnsi="Times New Roman" w:cs="Times New Roman"/>
          <w:color w:val="000000" w:themeColor="text1"/>
          <w:sz w:val="20"/>
          <w:szCs w:val="20"/>
          <w:lang w:val="is-IS"/>
        </w:rPr>
      </w:pPr>
      <w:r w:rsidRPr="0030402B">
        <w:rPr>
          <w:rFonts w:ascii="Times New Roman" w:hAnsi="Times New Roman" w:cs="Times New Roman"/>
          <w:color w:val="000000" w:themeColor="text1"/>
          <w:sz w:val="20"/>
          <w:szCs w:val="20"/>
        </w:rPr>
        <w:t xml:space="preserve">Note: Rejefangsterne som er opgjort på grundlag af logbøger er de samlede mængder rejer hævet op fra havet. Opgørelsen af 2020 fangster er ikke klar hvorfor det anvendes kvotetræk. Opgørelse af fangsterne med anvendelse af kvotetræk vil være lavere end opgørelsen af samlet rejefangst. </w:t>
      </w:r>
      <w:r w:rsidR="00CD15E9" w:rsidRPr="0030402B">
        <w:rPr>
          <w:rFonts w:ascii="Times New Roman" w:hAnsi="Times New Roman" w:cs="Times New Roman"/>
          <w:color w:val="000000" w:themeColor="text1"/>
          <w:sz w:val="20"/>
          <w:szCs w:val="20"/>
        </w:rPr>
        <w:t xml:space="preserve">TAC </w:t>
      </w:r>
      <w:r w:rsidRPr="0030402B">
        <w:rPr>
          <w:rFonts w:ascii="Times New Roman" w:hAnsi="Times New Roman" w:cs="Times New Roman"/>
          <w:color w:val="000000" w:themeColor="text1"/>
          <w:sz w:val="20"/>
          <w:szCs w:val="20"/>
        </w:rPr>
        <w:t xml:space="preserve">er inklusiv de kvoter der tildeles EU jf. fiskeriaftalen. </w:t>
      </w:r>
      <w:r w:rsidR="00CD15E9" w:rsidRPr="0030402B">
        <w:rPr>
          <w:rFonts w:ascii="Times New Roman" w:hAnsi="Times New Roman" w:cs="Times New Roman"/>
          <w:color w:val="000000" w:themeColor="text1"/>
          <w:sz w:val="20"/>
          <w:szCs w:val="20"/>
        </w:rPr>
        <w:t xml:space="preserve">Rejefangsterne er de samlede fangstmængder hos den grønlandske flåde og EU </w:t>
      </w:r>
      <w:r w:rsidRPr="0030402B">
        <w:rPr>
          <w:rFonts w:ascii="Times New Roman" w:hAnsi="Times New Roman" w:cs="Times New Roman"/>
          <w:color w:val="000000" w:themeColor="text1"/>
          <w:sz w:val="20"/>
          <w:szCs w:val="20"/>
        </w:rPr>
        <w:t>flåde</w:t>
      </w:r>
      <w:r w:rsidR="00CD15E9" w:rsidRPr="0030402B">
        <w:rPr>
          <w:rFonts w:ascii="Times New Roman" w:hAnsi="Times New Roman" w:cs="Times New Roman"/>
          <w:color w:val="000000" w:themeColor="text1"/>
          <w:sz w:val="20"/>
          <w:szCs w:val="20"/>
        </w:rPr>
        <w:t>.</w:t>
      </w:r>
    </w:p>
    <w:p w14:paraId="6A03E188" w14:textId="77777777" w:rsidR="00650908" w:rsidRDefault="00650908" w:rsidP="00650908">
      <w:pPr>
        <w:spacing w:after="0" w:line="276" w:lineRule="auto"/>
        <w:jc w:val="both"/>
        <w:rPr>
          <w:rFonts w:ascii="Times New Roman" w:hAnsi="Times New Roman" w:cs="Times New Roman"/>
          <w:color w:val="000000" w:themeColor="text1"/>
        </w:rPr>
      </w:pPr>
    </w:p>
    <w:p w14:paraId="31F01192" w14:textId="77777777" w:rsidR="008052DE" w:rsidRDefault="005C1FD0" w:rsidP="00650908">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Figur 2 viser udviklingen i </w:t>
      </w:r>
      <w:proofErr w:type="spellStart"/>
      <w:r>
        <w:rPr>
          <w:rFonts w:ascii="Times New Roman" w:hAnsi="Times New Roman" w:cs="Times New Roman"/>
          <w:color w:val="000000" w:themeColor="text1"/>
        </w:rPr>
        <w:t>TAC´en</w:t>
      </w:r>
      <w:proofErr w:type="spellEnd"/>
      <w:r>
        <w:rPr>
          <w:rFonts w:ascii="Times New Roman" w:hAnsi="Times New Roman" w:cs="Times New Roman"/>
          <w:color w:val="000000" w:themeColor="text1"/>
        </w:rPr>
        <w:t xml:space="preserve"> for rejer i Østgrønland</w:t>
      </w:r>
      <w:r w:rsidR="0030402B">
        <w:rPr>
          <w:rFonts w:ascii="Times New Roman" w:hAnsi="Times New Roman" w:cs="Times New Roman"/>
          <w:color w:val="000000" w:themeColor="text1"/>
        </w:rPr>
        <w:t xml:space="preserve"> i perioden 2011-2020</w:t>
      </w:r>
      <w:r>
        <w:rPr>
          <w:rFonts w:ascii="Times New Roman" w:hAnsi="Times New Roman" w:cs="Times New Roman"/>
          <w:color w:val="000000" w:themeColor="text1"/>
        </w:rPr>
        <w:t xml:space="preserve"> fordelt på kvote tildelt EU igennem fiskeriaftalen mellem Grønland og EU samt kvote tildelt grønlandske fartøjer.</w:t>
      </w:r>
      <w:r w:rsidR="0030402B">
        <w:rPr>
          <w:rFonts w:ascii="Times New Roman" w:hAnsi="Times New Roman" w:cs="Times New Roman"/>
          <w:color w:val="000000" w:themeColor="text1"/>
        </w:rPr>
        <w:t xml:space="preserve"> Figuren viser at i alle år er største delen af rejekvoten i Østgrønland tildelt EU. </w:t>
      </w:r>
      <w:r w:rsidR="00920B52">
        <w:rPr>
          <w:rFonts w:ascii="Times New Roman" w:hAnsi="Times New Roman" w:cs="Times New Roman"/>
          <w:color w:val="000000" w:themeColor="text1"/>
        </w:rPr>
        <w:t xml:space="preserve">Hertil må det bemærkes, at EU i perioden har videreallokeret kvotemængder af rejer i Østgrønland til Færøerne. Dvs. at dele af den til EU tildelte rejekvote i Østgrønland også fiskes af færøske fartøjer. </w:t>
      </w:r>
      <w:r w:rsidR="0030402B">
        <w:rPr>
          <w:rFonts w:ascii="Times New Roman" w:hAnsi="Times New Roman" w:cs="Times New Roman"/>
          <w:color w:val="000000" w:themeColor="text1"/>
        </w:rPr>
        <w:t>Den grønlandske flåde var tildelt årlige kvoter mellem 4.400-5.400 tons i perioden 2011-2013. Kvoten blev reduceret til 1.800 tons i 2014 og i perioden 2015-2020 har den kun ligget på mellem 250-850 tons pr. år.</w:t>
      </w:r>
    </w:p>
    <w:p w14:paraId="61DEEED8" w14:textId="77777777" w:rsidR="005C1FD0" w:rsidRDefault="005C1FD0" w:rsidP="00650908">
      <w:pPr>
        <w:spacing w:after="0" w:line="276" w:lineRule="auto"/>
        <w:jc w:val="both"/>
        <w:rPr>
          <w:rFonts w:ascii="Times New Roman" w:hAnsi="Times New Roman" w:cs="Times New Roman"/>
          <w:color w:val="000000" w:themeColor="text1"/>
        </w:rPr>
      </w:pPr>
    </w:p>
    <w:p w14:paraId="407DC862" w14:textId="77777777" w:rsidR="005C1FD0" w:rsidRDefault="005C1FD0" w:rsidP="00650908">
      <w:pPr>
        <w:spacing w:after="0" w:line="276" w:lineRule="auto"/>
        <w:jc w:val="both"/>
        <w:rPr>
          <w:rFonts w:ascii="Times New Roman" w:hAnsi="Times New Roman" w:cs="Times New Roman"/>
          <w:color w:val="000000" w:themeColor="text1"/>
        </w:rPr>
      </w:pPr>
    </w:p>
    <w:p w14:paraId="347D315E" w14:textId="77777777" w:rsidR="005C1FD0" w:rsidRDefault="005C1FD0" w:rsidP="00650908">
      <w:pPr>
        <w:spacing w:after="0" w:line="276" w:lineRule="auto"/>
        <w:jc w:val="both"/>
        <w:rPr>
          <w:rFonts w:ascii="Times New Roman" w:hAnsi="Times New Roman" w:cs="Times New Roman"/>
          <w:color w:val="000000" w:themeColor="text1"/>
        </w:rPr>
      </w:pPr>
    </w:p>
    <w:p w14:paraId="41DBADDA" w14:textId="77777777" w:rsidR="005C1FD0" w:rsidRPr="008052DE" w:rsidRDefault="005C1FD0" w:rsidP="005C1FD0">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Figur 2: </w:t>
      </w:r>
      <w:r w:rsidRPr="008052DE">
        <w:rPr>
          <w:rFonts w:ascii="Times New Roman" w:hAnsi="Times New Roman" w:cs="Times New Roman"/>
          <w:color w:val="000000" w:themeColor="text1"/>
        </w:rPr>
        <w:t xml:space="preserve">Udvikling i </w:t>
      </w:r>
      <w:r>
        <w:rPr>
          <w:rFonts w:ascii="Times New Roman" w:hAnsi="Times New Roman" w:cs="Times New Roman"/>
          <w:color w:val="000000" w:themeColor="text1"/>
        </w:rPr>
        <w:t xml:space="preserve">TAC for rejer </w:t>
      </w:r>
      <w:r w:rsidRPr="008052DE">
        <w:rPr>
          <w:rFonts w:ascii="Times New Roman" w:hAnsi="Times New Roman" w:cs="Times New Roman"/>
          <w:color w:val="000000" w:themeColor="text1"/>
        </w:rPr>
        <w:t>Østgrønland</w:t>
      </w:r>
      <w:r>
        <w:rPr>
          <w:rFonts w:ascii="Times New Roman" w:hAnsi="Times New Roman" w:cs="Times New Roman"/>
          <w:color w:val="000000" w:themeColor="text1"/>
        </w:rPr>
        <w:t xml:space="preserve"> fordelt på kvote til EU og grønlandske fartøjer</w:t>
      </w:r>
      <w:r w:rsidRPr="008052DE">
        <w:rPr>
          <w:rFonts w:ascii="Times New Roman" w:hAnsi="Times New Roman" w:cs="Times New Roman"/>
          <w:color w:val="000000" w:themeColor="text1"/>
        </w:rPr>
        <w:t xml:space="preserve">, </w:t>
      </w:r>
      <w:r>
        <w:rPr>
          <w:rFonts w:ascii="Times New Roman" w:hAnsi="Times New Roman" w:cs="Times New Roman"/>
          <w:color w:val="000000" w:themeColor="text1"/>
        </w:rPr>
        <w:t>2013</w:t>
      </w:r>
      <w:r w:rsidRPr="008052DE">
        <w:rPr>
          <w:rFonts w:ascii="Times New Roman" w:hAnsi="Times New Roman" w:cs="Times New Roman"/>
          <w:color w:val="000000" w:themeColor="text1"/>
        </w:rPr>
        <w:t>-2020</w:t>
      </w:r>
      <w:r>
        <w:rPr>
          <w:rFonts w:ascii="Times New Roman" w:hAnsi="Times New Roman" w:cs="Times New Roman"/>
          <w:color w:val="000000" w:themeColor="text1"/>
        </w:rPr>
        <w:t>.</w:t>
      </w:r>
    </w:p>
    <w:p w14:paraId="23A961B5" w14:textId="77777777" w:rsidR="0030402B" w:rsidRDefault="00703AB9" w:rsidP="00650908">
      <w:pPr>
        <w:spacing w:after="0" w:line="276" w:lineRule="auto"/>
        <w:jc w:val="both"/>
        <w:rPr>
          <w:rFonts w:ascii="Times New Roman" w:hAnsi="Times New Roman" w:cs="Times New Roman"/>
          <w:color w:val="000000" w:themeColor="text1"/>
        </w:rPr>
      </w:pPr>
      <w:r>
        <w:rPr>
          <w:noProof/>
          <w:lang w:eastAsia="da-DK"/>
        </w:rPr>
        <w:drawing>
          <wp:inline distT="0" distB="0" distL="0" distR="0" wp14:anchorId="375D267D" wp14:editId="0B9A68A6">
            <wp:extent cx="6120130" cy="4226560"/>
            <wp:effectExtent l="0" t="0" r="0" b="254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162A9B" w14:textId="282909DB" w:rsidR="0030402B" w:rsidRPr="0030402B" w:rsidRDefault="0030402B" w:rsidP="00650908">
      <w:pPr>
        <w:spacing w:after="0" w:line="276" w:lineRule="auto"/>
        <w:jc w:val="both"/>
        <w:rPr>
          <w:rFonts w:ascii="Times New Roman" w:hAnsi="Times New Roman" w:cs="Times New Roman"/>
          <w:color w:val="000000" w:themeColor="text1"/>
          <w:sz w:val="20"/>
          <w:szCs w:val="20"/>
        </w:rPr>
      </w:pPr>
      <w:r w:rsidRPr="0030402B">
        <w:rPr>
          <w:rFonts w:ascii="Times New Roman" w:hAnsi="Times New Roman" w:cs="Times New Roman"/>
          <w:color w:val="000000" w:themeColor="text1"/>
          <w:sz w:val="20"/>
          <w:szCs w:val="20"/>
        </w:rPr>
        <w:t>Kilde: APN og GFLK.</w:t>
      </w:r>
    </w:p>
    <w:p w14:paraId="516D4B95" w14:textId="77777777" w:rsidR="0030402B" w:rsidRDefault="0030402B" w:rsidP="00650908">
      <w:pPr>
        <w:spacing w:after="0" w:line="276" w:lineRule="auto"/>
        <w:jc w:val="both"/>
        <w:rPr>
          <w:rFonts w:ascii="Times New Roman" w:hAnsi="Times New Roman" w:cs="Times New Roman"/>
          <w:color w:val="000000" w:themeColor="text1"/>
        </w:rPr>
      </w:pPr>
    </w:p>
    <w:p w14:paraId="68F973B6" w14:textId="77777777" w:rsidR="0030402B" w:rsidRDefault="0030402B" w:rsidP="00650908">
      <w:pPr>
        <w:spacing w:after="0" w:line="276"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Fiskbarheden</w:t>
      </w:r>
      <w:proofErr w:type="spellEnd"/>
      <w:r>
        <w:rPr>
          <w:rFonts w:ascii="Times New Roman" w:hAnsi="Times New Roman" w:cs="Times New Roman"/>
          <w:color w:val="000000" w:themeColor="text1"/>
        </w:rPr>
        <w:t xml:space="preserve"> på rejerne i Østgrønland har været relativ lav de seneste 10 år hvor TAC og kvoter har i ingen af årene 2011-2020 været fuldt udnytte. Største samlede rejefangster i perioden var i 2011 på 3.921 tons og i 2020 på 3.172 tons. De grønlandsk</w:t>
      </w:r>
      <w:r w:rsidR="006073CB">
        <w:rPr>
          <w:rFonts w:ascii="Times New Roman" w:hAnsi="Times New Roman" w:cs="Times New Roman"/>
          <w:color w:val="000000" w:themeColor="text1"/>
        </w:rPr>
        <w:t>e</w:t>
      </w:r>
      <w:r>
        <w:rPr>
          <w:rFonts w:ascii="Times New Roman" w:hAnsi="Times New Roman" w:cs="Times New Roman"/>
          <w:color w:val="000000" w:themeColor="text1"/>
        </w:rPr>
        <w:t xml:space="preserve"> fartøjer har kun fisket årligt i perioden mellem 174-723 tons</w:t>
      </w:r>
      <w:r w:rsidR="006073CB">
        <w:rPr>
          <w:rFonts w:ascii="Times New Roman" w:hAnsi="Times New Roman" w:cs="Times New Roman"/>
          <w:color w:val="000000" w:themeColor="text1"/>
        </w:rPr>
        <w:t>.</w:t>
      </w:r>
      <w:r w:rsidR="00703AB9">
        <w:rPr>
          <w:rFonts w:ascii="Times New Roman" w:hAnsi="Times New Roman" w:cs="Times New Roman"/>
          <w:color w:val="000000" w:themeColor="text1"/>
        </w:rPr>
        <w:t xml:space="preserve"> Som udgangspunkt har rejetrawlere fisket de mængder med undtagelsen i 2013-2015 hvor det var enkelt trawler som fiskede hvert år som ikke var bygget særligt til rejefiskeri.</w:t>
      </w:r>
    </w:p>
    <w:p w14:paraId="44D8EC20" w14:textId="77777777" w:rsidR="00703AB9" w:rsidRDefault="00703AB9" w:rsidP="00650908">
      <w:pPr>
        <w:spacing w:after="0" w:line="276" w:lineRule="auto"/>
        <w:jc w:val="both"/>
        <w:rPr>
          <w:rFonts w:ascii="Times New Roman" w:hAnsi="Times New Roman" w:cs="Times New Roman"/>
          <w:color w:val="000000" w:themeColor="text1"/>
        </w:rPr>
      </w:pPr>
    </w:p>
    <w:p w14:paraId="50E76DC0" w14:textId="77777777" w:rsidR="00703AB9" w:rsidRDefault="00703AB9" w:rsidP="00650908">
      <w:pPr>
        <w:spacing w:after="0" w:line="276" w:lineRule="auto"/>
        <w:jc w:val="both"/>
        <w:rPr>
          <w:rFonts w:ascii="Times New Roman" w:hAnsi="Times New Roman" w:cs="Times New Roman"/>
          <w:color w:val="000000" w:themeColor="text1"/>
        </w:rPr>
      </w:pPr>
    </w:p>
    <w:p w14:paraId="596A4EB1" w14:textId="77777777" w:rsidR="00703AB9" w:rsidRDefault="00703AB9" w:rsidP="00650908">
      <w:pPr>
        <w:spacing w:after="0" w:line="276" w:lineRule="auto"/>
        <w:jc w:val="both"/>
        <w:rPr>
          <w:rFonts w:ascii="Times New Roman" w:hAnsi="Times New Roman" w:cs="Times New Roman"/>
          <w:color w:val="000000" w:themeColor="text1"/>
        </w:rPr>
      </w:pPr>
    </w:p>
    <w:p w14:paraId="5E59C460" w14:textId="77777777" w:rsidR="00703AB9" w:rsidRDefault="00703AB9" w:rsidP="00650908">
      <w:pPr>
        <w:spacing w:after="0" w:line="276" w:lineRule="auto"/>
        <w:jc w:val="both"/>
        <w:rPr>
          <w:rFonts w:ascii="Times New Roman" w:hAnsi="Times New Roman" w:cs="Times New Roman"/>
          <w:color w:val="000000" w:themeColor="text1"/>
        </w:rPr>
      </w:pPr>
    </w:p>
    <w:p w14:paraId="34CF7C2E" w14:textId="77777777" w:rsidR="00703AB9" w:rsidRDefault="00703AB9" w:rsidP="00650908">
      <w:pPr>
        <w:spacing w:after="0" w:line="276" w:lineRule="auto"/>
        <w:jc w:val="both"/>
        <w:rPr>
          <w:rFonts w:ascii="Times New Roman" w:hAnsi="Times New Roman" w:cs="Times New Roman"/>
          <w:color w:val="000000" w:themeColor="text1"/>
        </w:rPr>
      </w:pPr>
    </w:p>
    <w:p w14:paraId="16DBBA5E" w14:textId="77777777" w:rsidR="00703AB9" w:rsidRDefault="00703AB9" w:rsidP="00650908">
      <w:pPr>
        <w:spacing w:after="0" w:line="276" w:lineRule="auto"/>
        <w:jc w:val="both"/>
        <w:rPr>
          <w:rFonts w:ascii="Times New Roman" w:hAnsi="Times New Roman" w:cs="Times New Roman"/>
          <w:color w:val="000000" w:themeColor="text1"/>
        </w:rPr>
      </w:pPr>
    </w:p>
    <w:p w14:paraId="068970D5" w14:textId="77777777" w:rsidR="00703AB9" w:rsidRDefault="00703AB9" w:rsidP="00650908">
      <w:pPr>
        <w:spacing w:after="0" w:line="276" w:lineRule="auto"/>
        <w:jc w:val="both"/>
        <w:rPr>
          <w:rFonts w:ascii="Times New Roman" w:hAnsi="Times New Roman" w:cs="Times New Roman"/>
          <w:color w:val="000000" w:themeColor="text1"/>
        </w:rPr>
      </w:pPr>
    </w:p>
    <w:p w14:paraId="61BA5632" w14:textId="77777777" w:rsidR="00703AB9" w:rsidRDefault="00703AB9" w:rsidP="00650908">
      <w:pPr>
        <w:spacing w:after="0" w:line="276" w:lineRule="auto"/>
        <w:jc w:val="both"/>
        <w:rPr>
          <w:rFonts w:ascii="Times New Roman" w:hAnsi="Times New Roman" w:cs="Times New Roman"/>
          <w:color w:val="000000" w:themeColor="text1"/>
        </w:rPr>
      </w:pPr>
    </w:p>
    <w:p w14:paraId="4489AC8E" w14:textId="77777777" w:rsidR="00703AB9" w:rsidRDefault="00703AB9" w:rsidP="00650908">
      <w:pPr>
        <w:spacing w:after="0" w:line="276" w:lineRule="auto"/>
        <w:jc w:val="both"/>
        <w:rPr>
          <w:rFonts w:ascii="Times New Roman" w:hAnsi="Times New Roman" w:cs="Times New Roman"/>
          <w:color w:val="000000" w:themeColor="text1"/>
        </w:rPr>
      </w:pPr>
    </w:p>
    <w:p w14:paraId="70ADAF1B" w14:textId="77777777" w:rsidR="00703AB9" w:rsidRDefault="00703AB9" w:rsidP="00650908">
      <w:pPr>
        <w:spacing w:after="0" w:line="276" w:lineRule="auto"/>
        <w:jc w:val="both"/>
        <w:rPr>
          <w:rFonts w:ascii="Times New Roman" w:hAnsi="Times New Roman" w:cs="Times New Roman"/>
          <w:color w:val="000000" w:themeColor="text1"/>
        </w:rPr>
      </w:pPr>
    </w:p>
    <w:p w14:paraId="522391BF" w14:textId="77777777" w:rsidR="00703AB9" w:rsidRDefault="00703AB9" w:rsidP="00650908">
      <w:pPr>
        <w:spacing w:after="0" w:line="276" w:lineRule="auto"/>
        <w:jc w:val="both"/>
        <w:rPr>
          <w:rFonts w:ascii="Times New Roman" w:hAnsi="Times New Roman" w:cs="Times New Roman"/>
          <w:color w:val="000000" w:themeColor="text1"/>
        </w:rPr>
      </w:pPr>
    </w:p>
    <w:p w14:paraId="399B3ECE" w14:textId="77777777" w:rsidR="00703AB9" w:rsidRDefault="00703AB9" w:rsidP="00650908">
      <w:pPr>
        <w:spacing w:after="0" w:line="276" w:lineRule="auto"/>
        <w:jc w:val="both"/>
        <w:rPr>
          <w:rFonts w:ascii="Times New Roman" w:hAnsi="Times New Roman" w:cs="Times New Roman"/>
          <w:color w:val="000000" w:themeColor="text1"/>
        </w:rPr>
      </w:pPr>
    </w:p>
    <w:p w14:paraId="13C52654" w14:textId="77777777" w:rsidR="00703AB9" w:rsidRDefault="00703AB9" w:rsidP="00650908">
      <w:pPr>
        <w:spacing w:after="0" w:line="276" w:lineRule="auto"/>
        <w:jc w:val="both"/>
        <w:rPr>
          <w:rFonts w:ascii="Times New Roman" w:hAnsi="Times New Roman" w:cs="Times New Roman"/>
          <w:color w:val="000000" w:themeColor="text1"/>
        </w:rPr>
      </w:pPr>
    </w:p>
    <w:p w14:paraId="0D5C0E8E" w14:textId="77777777" w:rsidR="00703AB9" w:rsidRDefault="00703AB9" w:rsidP="00650908">
      <w:pPr>
        <w:spacing w:after="0" w:line="276" w:lineRule="auto"/>
        <w:jc w:val="both"/>
        <w:rPr>
          <w:rFonts w:ascii="Times New Roman" w:hAnsi="Times New Roman" w:cs="Times New Roman"/>
          <w:color w:val="000000" w:themeColor="text1"/>
        </w:rPr>
      </w:pPr>
    </w:p>
    <w:p w14:paraId="1FA70D3E" w14:textId="77777777" w:rsidR="00703AB9" w:rsidRDefault="00703AB9" w:rsidP="00650908">
      <w:pPr>
        <w:spacing w:after="0" w:line="276" w:lineRule="auto"/>
        <w:jc w:val="both"/>
        <w:rPr>
          <w:rFonts w:ascii="Times New Roman" w:hAnsi="Times New Roman" w:cs="Times New Roman"/>
          <w:color w:val="000000" w:themeColor="text1"/>
        </w:rPr>
      </w:pPr>
    </w:p>
    <w:p w14:paraId="66B3CB14" w14:textId="77777777" w:rsidR="008052DE" w:rsidRPr="008052DE" w:rsidRDefault="008052DE" w:rsidP="008052D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Figur </w:t>
      </w:r>
      <w:r w:rsidR="0030402B">
        <w:rPr>
          <w:rFonts w:ascii="Times New Roman" w:hAnsi="Times New Roman" w:cs="Times New Roman"/>
          <w:color w:val="000000" w:themeColor="text1"/>
        </w:rPr>
        <w:t>3</w:t>
      </w:r>
      <w:r>
        <w:rPr>
          <w:rFonts w:ascii="Times New Roman" w:hAnsi="Times New Roman" w:cs="Times New Roman"/>
          <w:color w:val="000000" w:themeColor="text1"/>
        </w:rPr>
        <w:t xml:space="preserve">: </w:t>
      </w:r>
      <w:r w:rsidRPr="008052DE">
        <w:rPr>
          <w:rFonts w:ascii="Times New Roman" w:hAnsi="Times New Roman" w:cs="Times New Roman"/>
          <w:color w:val="000000" w:themeColor="text1"/>
        </w:rPr>
        <w:t xml:space="preserve">Udvikling </w:t>
      </w:r>
      <w:r>
        <w:rPr>
          <w:rFonts w:ascii="Times New Roman" w:hAnsi="Times New Roman" w:cs="Times New Roman"/>
          <w:color w:val="000000" w:themeColor="text1"/>
        </w:rPr>
        <w:t>fangstmængder i Østgrønland 2010-2020 fordelt på EU flåde og grønlandsk flåde.</w:t>
      </w:r>
    </w:p>
    <w:p w14:paraId="1A82AA04" w14:textId="77777777" w:rsidR="0046769F" w:rsidRDefault="008052DE" w:rsidP="00ED649A">
      <w:r>
        <w:rPr>
          <w:noProof/>
          <w:lang w:eastAsia="da-DK"/>
        </w:rPr>
        <w:drawing>
          <wp:inline distT="0" distB="0" distL="0" distR="0" wp14:anchorId="3DAD569C" wp14:editId="3DE08241">
            <wp:extent cx="6120130" cy="364807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5000" w:type="pct"/>
        <w:tblCellMar>
          <w:left w:w="70" w:type="dxa"/>
          <w:right w:w="70" w:type="dxa"/>
        </w:tblCellMar>
        <w:tblLook w:val="04A0" w:firstRow="1" w:lastRow="0" w:firstColumn="1" w:lastColumn="0" w:noHBand="0" w:noVBand="1"/>
      </w:tblPr>
      <w:tblGrid>
        <w:gridCol w:w="2360"/>
        <w:gridCol w:w="660"/>
        <w:gridCol w:w="660"/>
        <w:gridCol w:w="660"/>
        <w:gridCol w:w="661"/>
        <w:gridCol w:w="661"/>
        <w:gridCol w:w="661"/>
        <w:gridCol w:w="661"/>
        <w:gridCol w:w="661"/>
        <w:gridCol w:w="661"/>
        <w:gridCol w:w="661"/>
        <w:gridCol w:w="661"/>
      </w:tblGrid>
      <w:tr w:rsidR="005B531F" w:rsidRPr="005B531F" w14:paraId="53A192F3" w14:textId="77777777" w:rsidTr="005B531F">
        <w:trPr>
          <w:trHeight w:val="300"/>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1693" w14:textId="77777777" w:rsidR="005B531F" w:rsidRPr="005B531F" w:rsidRDefault="005B531F" w:rsidP="005B531F">
            <w:pPr>
              <w:spacing w:after="0" w:line="240" w:lineRule="auto"/>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 </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078BC4F2"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2010</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180F2C97"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2011</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192E6AEF"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2012</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24C910A4"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2013</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509037CC"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2014</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47B96D3E"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2015</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2FA0BF16"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2016</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44CF877C"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2017</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688D6760"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2018</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13C3CB15"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2019</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14:paraId="5952AC1C"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2020</w:t>
            </w:r>
          </w:p>
        </w:tc>
      </w:tr>
      <w:tr w:rsidR="005B531F" w:rsidRPr="005B531F" w14:paraId="72B27629" w14:textId="77777777" w:rsidTr="005B531F">
        <w:trPr>
          <w:trHeight w:val="300"/>
        </w:trPr>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788F59E1" w14:textId="77777777" w:rsidR="005B531F" w:rsidRPr="005B531F" w:rsidRDefault="005B531F" w:rsidP="005B531F">
            <w:pPr>
              <w:spacing w:after="0" w:line="240" w:lineRule="auto"/>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Antal GRL fartøjer der fiskede</w:t>
            </w:r>
          </w:p>
        </w:tc>
        <w:tc>
          <w:tcPr>
            <w:tcW w:w="344" w:type="pct"/>
            <w:tcBorders>
              <w:top w:val="nil"/>
              <w:left w:val="nil"/>
              <w:bottom w:val="single" w:sz="4" w:space="0" w:color="auto"/>
              <w:right w:val="single" w:sz="4" w:space="0" w:color="auto"/>
            </w:tcBorders>
            <w:shd w:val="clear" w:color="auto" w:fill="auto"/>
            <w:noWrap/>
            <w:vAlign w:val="bottom"/>
            <w:hideMark/>
          </w:tcPr>
          <w:p w14:paraId="2E77F244"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4</w:t>
            </w:r>
          </w:p>
        </w:tc>
        <w:tc>
          <w:tcPr>
            <w:tcW w:w="344" w:type="pct"/>
            <w:tcBorders>
              <w:top w:val="nil"/>
              <w:left w:val="nil"/>
              <w:bottom w:val="single" w:sz="4" w:space="0" w:color="auto"/>
              <w:right w:val="single" w:sz="4" w:space="0" w:color="auto"/>
            </w:tcBorders>
            <w:shd w:val="clear" w:color="auto" w:fill="auto"/>
            <w:noWrap/>
            <w:vAlign w:val="bottom"/>
            <w:hideMark/>
          </w:tcPr>
          <w:p w14:paraId="4A95F956"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3</w:t>
            </w:r>
          </w:p>
        </w:tc>
        <w:tc>
          <w:tcPr>
            <w:tcW w:w="344" w:type="pct"/>
            <w:tcBorders>
              <w:top w:val="nil"/>
              <w:left w:val="nil"/>
              <w:bottom w:val="single" w:sz="4" w:space="0" w:color="auto"/>
              <w:right w:val="single" w:sz="4" w:space="0" w:color="auto"/>
            </w:tcBorders>
            <w:shd w:val="clear" w:color="auto" w:fill="auto"/>
            <w:noWrap/>
            <w:vAlign w:val="bottom"/>
            <w:hideMark/>
          </w:tcPr>
          <w:p w14:paraId="768B41E3"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4</w:t>
            </w:r>
          </w:p>
        </w:tc>
        <w:tc>
          <w:tcPr>
            <w:tcW w:w="344" w:type="pct"/>
            <w:tcBorders>
              <w:top w:val="nil"/>
              <w:left w:val="nil"/>
              <w:bottom w:val="single" w:sz="4" w:space="0" w:color="auto"/>
              <w:right w:val="single" w:sz="4" w:space="0" w:color="auto"/>
            </w:tcBorders>
            <w:shd w:val="clear" w:color="auto" w:fill="auto"/>
            <w:noWrap/>
            <w:vAlign w:val="bottom"/>
            <w:hideMark/>
          </w:tcPr>
          <w:p w14:paraId="576BA603"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4</w:t>
            </w:r>
          </w:p>
        </w:tc>
        <w:tc>
          <w:tcPr>
            <w:tcW w:w="344" w:type="pct"/>
            <w:tcBorders>
              <w:top w:val="nil"/>
              <w:left w:val="nil"/>
              <w:bottom w:val="single" w:sz="4" w:space="0" w:color="auto"/>
              <w:right w:val="single" w:sz="4" w:space="0" w:color="auto"/>
            </w:tcBorders>
            <w:shd w:val="clear" w:color="auto" w:fill="auto"/>
            <w:noWrap/>
            <w:vAlign w:val="bottom"/>
            <w:hideMark/>
          </w:tcPr>
          <w:p w14:paraId="57CCA75E"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1</w:t>
            </w:r>
          </w:p>
        </w:tc>
        <w:tc>
          <w:tcPr>
            <w:tcW w:w="344" w:type="pct"/>
            <w:tcBorders>
              <w:top w:val="nil"/>
              <w:left w:val="nil"/>
              <w:bottom w:val="single" w:sz="4" w:space="0" w:color="auto"/>
              <w:right w:val="single" w:sz="4" w:space="0" w:color="auto"/>
            </w:tcBorders>
            <w:shd w:val="clear" w:color="auto" w:fill="auto"/>
            <w:noWrap/>
            <w:vAlign w:val="bottom"/>
            <w:hideMark/>
          </w:tcPr>
          <w:p w14:paraId="613D98AA"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4</w:t>
            </w:r>
          </w:p>
        </w:tc>
        <w:tc>
          <w:tcPr>
            <w:tcW w:w="344" w:type="pct"/>
            <w:tcBorders>
              <w:top w:val="nil"/>
              <w:left w:val="nil"/>
              <w:bottom w:val="single" w:sz="4" w:space="0" w:color="auto"/>
              <w:right w:val="single" w:sz="4" w:space="0" w:color="auto"/>
            </w:tcBorders>
            <w:shd w:val="clear" w:color="auto" w:fill="auto"/>
            <w:noWrap/>
            <w:vAlign w:val="bottom"/>
            <w:hideMark/>
          </w:tcPr>
          <w:p w14:paraId="13169198"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0</w:t>
            </w:r>
          </w:p>
        </w:tc>
        <w:tc>
          <w:tcPr>
            <w:tcW w:w="344" w:type="pct"/>
            <w:tcBorders>
              <w:top w:val="nil"/>
              <w:left w:val="nil"/>
              <w:bottom w:val="single" w:sz="4" w:space="0" w:color="auto"/>
              <w:right w:val="single" w:sz="4" w:space="0" w:color="auto"/>
            </w:tcBorders>
            <w:shd w:val="clear" w:color="auto" w:fill="auto"/>
            <w:noWrap/>
            <w:vAlign w:val="bottom"/>
            <w:hideMark/>
          </w:tcPr>
          <w:p w14:paraId="63DC33E8"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4</w:t>
            </w:r>
          </w:p>
        </w:tc>
        <w:tc>
          <w:tcPr>
            <w:tcW w:w="344" w:type="pct"/>
            <w:tcBorders>
              <w:top w:val="nil"/>
              <w:left w:val="nil"/>
              <w:bottom w:val="single" w:sz="4" w:space="0" w:color="auto"/>
              <w:right w:val="single" w:sz="4" w:space="0" w:color="auto"/>
            </w:tcBorders>
            <w:shd w:val="clear" w:color="auto" w:fill="auto"/>
            <w:noWrap/>
            <w:vAlign w:val="bottom"/>
            <w:hideMark/>
          </w:tcPr>
          <w:p w14:paraId="11C03442"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0</w:t>
            </w:r>
          </w:p>
        </w:tc>
        <w:tc>
          <w:tcPr>
            <w:tcW w:w="344" w:type="pct"/>
            <w:tcBorders>
              <w:top w:val="nil"/>
              <w:left w:val="nil"/>
              <w:bottom w:val="single" w:sz="4" w:space="0" w:color="auto"/>
              <w:right w:val="single" w:sz="4" w:space="0" w:color="auto"/>
            </w:tcBorders>
            <w:shd w:val="clear" w:color="auto" w:fill="auto"/>
            <w:noWrap/>
            <w:vAlign w:val="bottom"/>
            <w:hideMark/>
          </w:tcPr>
          <w:p w14:paraId="15A18DD0"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1</w:t>
            </w:r>
          </w:p>
        </w:tc>
        <w:tc>
          <w:tcPr>
            <w:tcW w:w="344" w:type="pct"/>
            <w:tcBorders>
              <w:top w:val="nil"/>
              <w:left w:val="nil"/>
              <w:bottom w:val="single" w:sz="4" w:space="0" w:color="auto"/>
              <w:right w:val="single" w:sz="4" w:space="0" w:color="auto"/>
            </w:tcBorders>
            <w:shd w:val="clear" w:color="auto" w:fill="auto"/>
            <w:noWrap/>
            <w:vAlign w:val="bottom"/>
            <w:hideMark/>
          </w:tcPr>
          <w:p w14:paraId="71CA2320" w14:textId="77777777" w:rsidR="005B531F" w:rsidRPr="005B531F" w:rsidRDefault="005B531F" w:rsidP="005B531F">
            <w:pPr>
              <w:spacing w:after="0" w:line="240" w:lineRule="auto"/>
              <w:jc w:val="right"/>
              <w:rPr>
                <w:rFonts w:ascii="Times New Roman" w:eastAsia="Times New Roman" w:hAnsi="Times New Roman" w:cs="Times New Roman"/>
                <w:color w:val="000000"/>
                <w:sz w:val="18"/>
                <w:szCs w:val="18"/>
                <w:lang w:eastAsia="da-DK"/>
              </w:rPr>
            </w:pPr>
            <w:r w:rsidRPr="005B531F">
              <w:rPr>
                <w:rFonts w:ascii="Times New Roman" w:eastAsia="Times New Roman" w:hAnsi="Times New Roman" w:cs="Times New Roman"/>
                <w:color w:val="000000"/>
                <w:sz w:val="18"/>
                <w:szCs w:val="18"/>
                <w:lang w:eastAsia="da-DK"/>
              </w:rPr>
              <w:t>0</w:t>
            </w:r>
          </w:p>
        </w:tc>
      </w:tr>
    </w:tbl>
    <w:p w14:paraId="436C06B2" w14:textId="77777777" w:rsidR="005B531F" w:rsidRPr="00A6090A" w:rsidRDefault="00A6090A" w:rsidP="00ED649A">
      <w:pPr>
        <w:rPr>
          <w:rFonts w:ascii="Times New Roman" w:hAnsi="Times New Roman" w:cs="Times New Roman"/>
          <w:sz w:val="20"/>
          <w:szCs w:val="20"/>
        </w:rPr>
      </w:pPr>
      <w:r w:rsidRPr="00A6090A">
        <w:rPr>
          <w:rFonts w:ascii="Times New Roman" w:hAnsi="Times New Roman" w:cs="Times New Roman"/>
          <w:sz w:val="20"/>
          <w:szCs w:val="20"/>
        </w:rPr>
        <w:t>Kilde: GFLK.</w:t>
      </w:r>
    </w:p>
    <w:p w14:paraId="2249A1A0" w14:textId="77777777" w:rsidR="00703AB9" w:rsidRDefault="00703AB9" w:rsidP="00780ABD">
      <w:pPr>
        <w:spacing w:after="0" w:line="276" w:lineRule="auto"/>
        <w:jc w:val="both"/>
        <w:rPr>
          <w:rFonts w:ascii="Times New Roman" w:hAnsi="Times New Roman" w:cs="Times New Roman"/>
          <w:b/>
          <w:sz w:val="24"/>
          <w:szCs w:val="24"/>
        </w:rPr>
      </w:pPr>
    </w:p>
    <w:p w14:paraId="7DCA2B1F" w14:textId="77777777" w:rsidR="00780ABD" w:rsidRDefault="00780ABD" w:rsidP="00780AB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Rejefiskeri</w:t>
      </w:r>
      <w:r w:rsidRPr="00553F8E">
        <w:rPr>
          <w:rFonts w:ascii="Times New Roman" w:hAnsi="Times New Roman" w:cs="Times New Roman"/>
          <w:b/>
          <w:sz w:val="24"/>
          <w:szCs w:val="24"/>
        </w:rPr>
        <w:t xml:space="preserve"> </w:t>
      </w:r>
      <w:r>
        <w:rPr>
          <w:rFonts w:ascii="Times New Roman" w:hAnsi="Times New Roman" w:cs="Times New Roman"/>
          <w:b/>
          <w:sz w:val="24"/>
          <w:szCs w:val="24"/>
        </w:rPr>
        <w:t>i Barentshavet</w:t>
      </w:r>
      <w:r w:rsidRPr="00553F8E">
        <w:rPr>
          <w:rFonts w:ascii="Times New Roman" w:hAnsi="Times New Roman" w:cs="Times New Roman"/>
          <w:b/>
          <w:sz w:val="24"/>
          <w:szCs w:val="24"/>
        </w:rPr>
        <w:t xml:space="preserve"> </w:t>
      </w:r>
    </w:p>
    <w:p w14:paraId="4FE546B6" w14:textId="77777777" w:rsidR="00780ABD" w:rsidRPr="00036D77" w:rsidRDefault="00780ABD" w:rsidP="00780ABD">
      <w:pPr>
        <w:spacing w:after="0" w:line="276" w:lineRule="auto"/>
        <w:jc w:val="both"/>
        <w:rPr>
          <w:rFonts w:ascii="Times New Roman" w:eastAsia="Times New Roman" w:hAnsi="Times New Roman" w:cs="Times New Roman"/>
          <w:color w:val="000000"/>
          <w:lang w:eastAsia="da-DK"/>
        </w:rPr>
      </w:pPr>
      <w:r w:rsidRPr="00036D77">
        <w:rPr>
          <w:rFonts w:ascii="Times New Roman" w:eastAsia="Times New Roman" w:hAnsi="Times New Roman" w:cs="Times New Roman"/>
          <w:color w:val="000000"/>
          <w:lang w:eastAsia="da-DK"/>
        </w:rPr>
        <w:t>Grønland har</w:t>
      </w:r>
      <w:r>
        <w:rPr>
          <w:rFonts w:ascii="Times New Roman" w:eastAsia="Times New Roman" w:hAnsi="Times New Roman" w:cs="Times New Roman"/>
          <w:color w:val="000000"/>
          <w:lang w:eastAsia="da-DK"/>
        </w:rPr>
        <w:t xml:space="preserve"> en bilateral</w:t>
      </w:r>
      <w:r w:rsidRPr="00036D77">
        <w:rPr>
          <w:rFonts w:ascii="Times New Roman" w:eastAsia="Times New Roman" w:hAnsi="Times New Roman" w:cs="Times New Roman"/>
          <w:color w:val="000000"/>
          <w:lang w:eastAsia="da-DK"/>
        </w:rPr>
        <w:t xml:space="preserve"> fiskeriaftaler med Rusland. I de</w:t>
      </w:r>
      <w:r>
        <w:rPr>
          <w:rFonts w:ascii="Times New Roman" w:eastAsia="Times New Roman" w:hAnsi="Times New Roman" w:cs="Times New Roman"/>
          <w:color w:val="000000"/>
          <w:lang w:eastAsia="da-DK"/>
        </w:rPr>
        <w:t>n bilateral aftale</w:t>
      </w:r>
      <w:r w:rsidRPr="00036D77">
        <w:rPr>
          <w:rFonts w:ascii="Times New Roman" w:eastAsia="Times New Roman" w:hAnsi="Times New Roman" w:cs="Times New Roman"/>
          <w:color w:val="000000"/>
          <w:lang w:eastAsia="da-DK"/>
        </w:rPr>
        <w:t xml:space="preserve"> sikres Grønland rettigheder til fiskeri i </w:t>
      </w:r>
      <w:r>
        <w:rPr>
          <w:rFonts w:ascii="Times New Roman" w:eastAsia="Times New Roman" w:hAnsi="Times New Roman" w:cs="Times New Roman"/>
          <w:color w:val="000000"/>
          <w:lang w:eastAsia="da-DK"/>
        </w:rPr>
        <w:t>Russisk</w:t>
      </w:r>
      <w:r w:rsidRPr="00036D77">
        <w:rPr>
          <w:rFonts w:ascii="Times New Roman" w:eastAsia="Times New Roman" w:hAnsi="Times New Roman" w:cs="Times New Roman"/>
          <w:color w:val="000000"/>
          <w:lang w:eastAsia="da-DK"/>
        </w:rPr>
        <w:t xml:space="preserve"> farvande</w:t>
      </w:r>
      <w:r>
        <w:rPr>
          <w:rFonts w:ascii="Times New Roman" w:eastAsia="Times New Roman" w:hAnsi="Times New Roman" w:cs="Times New Roman"/>
          <w:color w:val="000000"/>
          <w:lang w:eastAsia="da-DK"/>
        </w:rPr>
        <w:t xml:space="preserve"> (Barentshavet)</w:t>
      </w:r>
      <w:r w:rsidRPr="00036D77">
        <w:rPr>
          <w:rFonts w:ascii="Times New Roman" w:eastAsia="Times New Roman" w:hAnsi="Times New Roman" w:cs="Times New Roman"/>
          <w:color w:val="000000"/>
          <w:lang w:eastAsia="da-DK"/>
        </w:rPr>
        <w:t xml:space="preserve"> mod afgivelse af fiskerirettigheder i grønlandske farvande.</w:t>
      </w:r>
    </w:p>
    <w:p w14:paraId="29D69719" w14:textId="77777777" w:rsidR="00780ABD" w:rsidRPr="00036D77" w:rsidRDefault="00780ABD" w:rsidP="00780ABD">
      <w:pPr>
        <w:spacing w:after="0" w:line="276" w:lineRule="auto"/>
        <w:jc w:val="both"/>
        <w:rPr>
          <w:rFonts w:ascii="Times New Roman" w:eastAsia="Times New Roman" w:hAnsi="Times New Roman" w:cs="Times New Roman"/>
          <w:color w:val="000000"/>
          <w:lang w:eastAsia="da-DK"/>
        </w:rPr>
      </w:pPr>
    </w:p>
    <w:p w14:paraId="286F71E6" w14:textId="77777777" w:rsidR="00780ABD" w:rsidRDefault="00780ABD" w:rsidP="00780ABD">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Grønland har siden begyndelse</w:t>
      </w:r>
      <w:r w:rsidRPr="00036D77">
        <w:rPr>
          <w:rFonts w:ascii="Times New Roman" w:eastAsia="Times New Roman" w:hAnsi="Times New Roman" w:cs="Times New Roman"/>
          <w:color w:val="000000"/>
          <w:lang w:eastAsia="da-DK"/>
        </w:rPr>
        <w:t xml:space="preserve"> af 199</w:t>
      </w:r>
      <w:r>
        <w:rPr>
          <w:rFonts w:ascii="Times New Roman" w:eastAsia="Times New Roman" w:hAnsi="Times New Roman" w:cs="Times New Roman"/>
          <w:color w:val="000000"/>
          <w:lang w:eastAsia="da-DK"/>
        </w:rPr>
        <w:t>0'erne haft aftale</w:t>
      </w:r>
      <w:r w:rsidRPr="00036D77">
        <w:rPr>
          <w:rFonts w:ascii="Times New Roman" w:eastAsia="Times New Roman" w:hAnsi="Times New Roman" w:cs="Times New Roman"/>
          <w:color w:val="000000"/>
          <w:lang w:eastAsia="da-DK"/>
        </w:rPr>
        <w:t xml:space="preserve"> med Rusland </w:t>
      </w:r>
      <w:r>
        <w:rPr>
          <w:rFonts w:ascii="Times New Roman" w:eastAsia="Times New Roman" w:hAnsi="Times New Roman" w:cs="Times New Roman"/>
          <w:color w:val="000000"/>
          <w:lang w:eastAsia="da-DK"/>
        </w:rPr>
        <w:t>på fiskeriområdet</w:t>
      </w:r>
      <w:r w:rsidRPr="00036D77">
        <w:rPr>
          <w:rFonts w:ascii="Times New Roman" w:eastAsia="Times New Roman" w:hAnsi="Times New Roman" w:cs="Times New Roman"/>
          <w:color w:val="000000"/>
          <w:lang w:eastAsia="da-DK"/>
        </w:rPr>
        <w:t xml:space="preserve">. </w:t>
      </w:r>
      <w:r>
        <w:rPr>
          <w:rFonts w:ascii="Times New Roman" w:eastAsia="Times New Roman" w:hAnsi="Times New Roman" w:cs="Times New Roman"/>
          <w:color w:val="000000"/>
          <w:lang w:eastAsia="da-DK"/>
        </w:rPr>
        <w:t xml:space="preserve">Aftalen betyder, at </w:t>
      </w:r>
      <w:r w:rsidRPr="00036D77">
        <w:rPr>
          <w:rFonts w:ascii="Times New Roman" w:eastAsia="Times New Roman" w:hAnsi="Times New Roman" w:cs="Times New Roman"/>
          <w:color w:val="000000"/>
          <w:lang w:eastAsia="da-DK"/>
        </w:rPr>
        <w:t>Grønland får tildelt kvoter på torsk, kuller og rejer</w:t>
      </w:r>
      <w:r>
        <w:rPr>
          <w:rFonts w:ascii="Times New Roman" w:eastAsia="Times New Roman" w:hAnsi="Times New Roman" w:cs="Times New Roman"/>
          <w:color w:val="000000"/>
          <w:lang w:eastAsia="da-DK"/>
        </w:rPr>
        <w:t xml:space="preserve"> i Barentshavet. Omvendt</w:t>
      </w:r>
      <w:r w:rsidRPr="00036D77">
        <w:rPr>
          <w:rFonts w:ascii="Times New Roman" w:eastAsia="Times New Roman" w:hAnsi="Times New Roman" w:cs="Times New Roman"/>
          <w:color w:val="000000"/>
          <w:lang w:eastAsia="da-DK"/>
        </w:rPr>
        <w:t xml:space="preserve"> får Rusland tildelt kvoter på hellefisk og rødfisk i Grønland.  </w:t>
      </w:r>
    </w:p>
    <w:p w14:paraId="567159E6" w14:textId="77777777" w:rsidR="00780ABD" w:rsidRDefault="00780ABD" w:rsidP="00780ABD">
      <w:pPr>
        <w:spacing w:after="0" w:line="276" w:lineRule="auto"/>
        <w:jc w:val="both"/>
        <w:rPr>
          <w:rFonts w:ascii="Times New Roman" w:eastAsia="Times New Roman" w:hAnsi="Times New Roman" w:cs="Times New Roman"/>
          <w:color w:val="000000"/>
          <w:lang w:eastAsia="da-DK"/>
        </w:rPr>
      </w:pPr>
    </w:p>
    <w:p w14:paraId="5592A21F" w14:textId="77777777" w:rsidR="00780ABD" w:rsidRDefault="00780ABD" w:rsidP="00780ABD">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Grønland har fået tildelt rejekvote fra Rusland i Barentshavet siden 2014. Kvotemængden har været uændret hvert år på 500 tons. Tabel 1 viser udviklingen i rejekvoten i Barentshavet og fangstmængderne.</w:t>
      </w:r>
    </w:p>
    <w:p w14:paraId="756269BB" w14:textId="77777777" w:rsidR="00360D4A" w:rsidRDefault="00360D4A" w:rsidP="00780ABD">
      <w:pPr>
        <w:spacing w:after="0" w:line="276" w:lineRule="auto"/>
        <w:jc w:val="both"/>
        <w:rPr>
          <w:rFonts w:ascii="Times New Roman" w:eastAsia="Times New Roman" w:hAnsi="Times New Roman" w:cs="Times New Roman"/>
          <w:color w:val="000000"/>
          <w:lang w:eastAsia="da-DK"/>
        </w:rPr>
      </w:pPr>
    </w:p>
    <w:p w14:paraId="5B7F2F68" w14:textId="77777777" w:rsidR="00360D4A" w:rsidRDefault="00360D4A" w:rsidP="00780ABD">
      <w:pPr>
        <w:spacing w:after="0" w:line="276" w:lineRule="auto"/>
        <w:jc w:val="both"/>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Som fremgår af tabel </w:t>
      </w:r>
      <w:r w:rsidR="00281DDC">
        <w:rPr>
          <w:rFonts w:ascii="Times New Roman" w:eastAsia="Times New Roman" w:hAnsi="Times New Roman" w:cs="Times New Roman"/>
          <w:color w:val="000000"/>
          <w:lang w:eastAsia="da-DK"/>
        </w:rPr>
        <w:t>2</w:t>
      </w:r>
      <w:r>
        <w:rPr>
          <w:rFonts w:ascii="Times New Roman" w:eastAsia="Times New Roman" w:hAnsi="Times New Roman" w:cs="Times New Roman"/>
          <w:color w:val="000000"/>
          <w:lang w:eastAsia="da-DK"/>
        </w:rPr>
        <w:t xml:space="preserve"> har der kun været fisket på rejekvoten i Barentshavet i 2014, 2015, 2018 og 2019. Kun i 2018 og 2019 har kvoten været fuldt udnyttet. Det </w:t>
      </w:r>
      <w:r w:rsidR="00920B52">
        <w:rPr>
          <w:rFonts w:ascii="Times New Roman" w:eastAsia="Times New Roman" w:hAnsi="Times New Roman" w:cs="Times New Roman"/>
          <w:color w:val="000000"/>
          <w:lang w:eastAsia="da-DK"/>
        </w:rPr>
        <w:t>er</w:t>
      </w:r>
      <w:r>
        <w:rPr>
          <w:rFonts w:ascii="Times New Roman" w:eastAsia="Times New Roman" w:hAnsi="Times New Roman" w:cs="Times New Roman"/>
          <w:color w:val="000000"/>
          <w:lang w:eastAsia="da-DK"/>
        </w:rPr>
        <w:t xml:space="preserve"> kun fartøjer som ikke har licens til rejefiskeri i </w:t>
      </w:r>
      <w:r w:rsidR="00920B52">
        <w:rPr>
          <w:rFonts w:ascii="Times New Roman" w:eastAsia="Times New Roman" w:hAnsi="Times New Roman" w:cs="Times New Roman"/>
          <w:color w:val="000000"/>
          <w:lang w:eastAsia="da-DK"/>
        </w:rPr>
        <w:t>g</w:t>
      </w:r>
      <w:r>
        <w:rPr>
          <w:rFonts w:ascii="Times New Roman" w:eastAsia="Times New Roman" w:hAnsi="Times New Roman" w:cs="Times New Roman"/>
          <w:color w:val="000000"/>
          <w:lang w:eastAsia="da-DK"/>
        </w:rPr>
        <w:t>rønland</w:t>
      </w:r>
      <w:r w:rsidR="00920B52">
        <w:rPr>
          <w:rFonts w:ascii="Times New Roman" w:eastAsia="Times New Roman" w:hAnsi="Times New Roman" w:cs="Times New Roman"/>
          <w:color w:val="000000"/>
          <w:lang w:eastAsia="da-DK"/>
        </w:rPr>
        <w:t>sk farvand</w:t>
      </w:r>
      <w:r>
        <w:rPr>
          <w:rFonts w:ascii="Times New Roman" w:eastAsia="Times New Roman" w:hAnsi="Times New Roman" w:cs="Times New Roman"/>
          <w:color w:val="000000"/>
          <w:lang w:eastAsia="da-DK"/>
        </w:rPr>
        <w:t xml:space="preserve"> som har fisket på kvoten med fartøjer som ikke </w:t>
      </w:r>
      <w:r w:rsidR="00920B52">
        <w:rPr>
          <w:rFonts w:ascii="Times New Roman" w:eastAsia="Times New Roman" w:hAnsi="Times New Roman" w:cs="Times New Roman"/>
          <w:color w:val="000000"/>
          <w:lang w:eastAsia="da-DK"/>
        </w:rPr>
        <w:t xml:space="preserve">er </w:t>
      </w:r>
      <w:r>
        <w:rPr>
          <w:rFonts w:ascii="Times New Roman" w:eastAsia="Times New Roman" w:hAnsi="Times New Roman" w:cs="Times New Roman"/>
          <w:color w:val="000000"/>
          <w:lang w:eastAsia="da-DK"/>
        </w:rPr>
        <w:t>særligt bygget til rejefiskeri.</w:t>
      </w:r>
    </w:p>
    <w:p w14:paraId="394A8804" w14:textId="77777777" w:rsidR="00703AB9" w:rsidRDefault="00703AB9" w:rsidP="00780ABD">
      <w:pPr>
        <w:spacing w:after="0" w:line="276" w:lineRule="auto"/>
        <w:jc w:val="both"/>
        <w:rPr>
          <w:rFonts w:ascii="Times New Roman" w:eastAsia="Times New Roman" w:hAnsi="Times New Roman" w:cs="Times New Roman"/>
          <w:color w:val="000000"/>
          <w:lang w:eastAsia="da-DK"/>
        </w:rPr>
      </w:pPr>
    </w:p>
    <w:p w14:paraId="7B50D61E" w14:textId="77777777" w:rsidR="00703AB9" w:rsidRDefault="00703AB9" w:rsidP="00780ABD">
      <w:pPr>
        <w:spacing w:after="0" w:line="276" w:lineRule="auto"/>
        <w:jc w:val="both"/>
        <w:rPr>
          <w:rFonts w:ascii="Times New Roman" w:eastAsia="Times New Roman" w:hAnsi="Times New Roman" w:cs="Times New Roman"/>
          <w:color w:val="000000"/>
          <w:lang w:eastAsia="da-DK"/>
        </w:rPr>
      </w:pPr>
    </w:p>
    <w:p w14:paraId="673346D7" w14:textId="77777777" w:rsidR="00703AB9" w:rsidRDefault="00703AB9" w:rsidP="00780ABD">
      <w:pPr>
        <w:spacing w:after="0" w:line="276" w:lineRule="auto"/>
        <w:jc w:val="both"/>
        <w:rPr>
          <w:rFonts w:ascii="Times New Roman" w:eastAsia="Times New Roman" w:hAnsi="Times New Roman" w:cs="Times New Roman"/>
          <w:color w:val="000000"/>
          <w:lang w:eastAsia="da-DK"/>
        </w:rPr>
      </w:pPr>
    </w:p>
    <w:p w14:paraId="35318F61" w14:textId="77777777" w:rsidR="00703AB9" w:rsidRDefault="00703AB9" w:rsidP="00780ABD">
      <w:pPr>
        <w:spacing w:after="0" w:line="276" w:lineRule="auto"/>
        <w:jc w:val="both"/>
        <w:rPr>
          <w:rFonts w:ascii="Times New Roman" w:eastAsia="Times New Roman" w:hAnsi="Times New Roman" w:cs="Times New Roman"/>
          <w:color w:val="000000"/>
          <w:lang w:eastAsia="da-DK"/>
        </w:rPr>
      </w:pPr>
    </w:p>
    <w:p w14:paraId="49565DF2" w14:textId="77777777" w:rsidR="00703AB9" w:rsidRDefault="00703AB9" w:rsidP="00780ABD">
      <w:pPr>
        <w:spacing w:after="0" w:line="276" w:lineRule="auto"/>
        <w:jc w:val="both"/>
        <w:rPr>
          <w:rFonts w:ascii="Times New Roman" w:eastAsia="Times New Roman" w:hAnsi="Times New Roman" w:cs="Times New Roman"/>
          <w:color w:val="000000"/>
          <w:lang w:eastAsia="da-DK"/>
        </w:rPr>
      </w:pPr>
    </w:p>
    <w:p w14:paraId="115EE15D" w14:textId="77777777" w:rsidR="00780ABD" w:rsidRPr="00036D77" w:rsidRDefault="00780ABD" w:rsidP="00780ABD">
      <w:pPr>
        <w:spacing w:after="0" w:line="276" w:lineRule="auto"/>
        <w:jc w:val="both"/>
        <w:rPr>
          <w:rFonts w:ascii="Times New Roman" w:eastAsia="Times New Roman" w:hAnsi="Times New Roman" w:cs="Times New Roman"/>
          <w:color w:val="000000"/>
          <w:lang w:eastAsia="da-DK"/>
        </w:rPr>
      </w:pPr>
    </w:p>
    <w:p w14:paraId="7FF85518" w14:textId="77777777" w:rsidR="00780ABD" w:rsidRPr="00036D77" w:rsidRDefault="0078318A" w:rsidP="00780ABD">
      <w:pPr>
        <w:spacing w:after="0" w:line="276" w:lineRule="auto"/>
        <w:jc w:val="both"/>
        <w:rPr>
          <w:rFonts w:ascii="Times New Roman" w:eastAsia="Times New Roman" w:hAnsi="Times New Roman" w:cs="Times New Roman"/>
          <w:color w:val="000000"/>
          <w:lang w:eastAsia="da-DK"/>
        </w:rPr>
      </w:pPr>
      <w:r>
        <w:rPr>
          <w:rFonts w:ascii="Times New Roman" w:hAnsi="Times New Roman" w:cs="Times New Roman"/>
          <w:color w:val="000000" w:themeColor="text1"/>
        </w:rPr>
        <w:lastRenderedPageBreak/>
        <w:t xml:space="preserve">Tabel </w:t>
      </w:r>
      <w:r w:rsidR="00281DDC">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8052DE">
        <w:rPr>
          <w:rFonts w:ascii="Times New Roman" w:hAnsi="Times New Roman" w:cs="Times New Roman"/>
          <w:color w:val="000000" w:themeColor="text1"/>
        </w:rPr>
        <w:t xml:space="preserve">Udvikling </w:t>
      </w:r>
      <w:r>
        <w:rPr>
          <w:rFonts w:ascii="Times New Roman" w:hAnsi="Times New Roman" w:cs="Times New Roman"/>
          <w:color w:val="000000" w:themeColor="text1"/>
        </w:rPr>
        <w:t>rejekvote og rejefangster hos grønlandske fartøjer i Barentshavet, 2014-2020.</w:t>
      </w:r>
    </w:p>
    <w:tbl>
      <w:tblPr>
        <w:tblW w:w="5000" w:type="pct"/>
        <w:tblCellMar>
          <w:left w:w="70" w:type="dxa"/>
          <w:right w:w="70" w:type="dxa"/>
        </w:tblCellMar>
        <w:tblLook w:val="04A0" w:firstRow="1" w:lastRow="0" w:firstColumn="1" w:lastColumn="0" w:noHBand="0" w:noVBand="1"/>
      </w:tblPr>
      <w:tblGrid>
        <w:gridCol w:w="3303"/>
        <w:gridCol w:w="904"/>
        <w:gridCol w:w="904"/>
        <w:gridCol w:w="904"/>
        <w:gridCol w:w="904"/>
        <w:gridCol w:w="903"/>
        <w:gridCol w:w="903"/>
        <w:gridCol w:w="903"/>
      </w:tblGrid>
      <w:tr w:rsidR="0078318A" w:rsidRPr="0078318A" w14:paraId="27715B91" w14:textId="77777777" w:rsidTr="0078318A">
        <w:trPr>
          <w:trHeight w:val="300"/>
        </w:trPr>
        <w:tc>
          <w:tcPr>
            <w:tcW w:w="1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6F47" w14:textId="77777777" w:rsidR="0078318A" w:rsidRPr="0078318A" w:rsidRDefault="0078318A" w:rsidP="0078318A">
            <w:pPr>
              <w:spacing w:after="0" w:line="240" w:lineRule="auto"/>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Tons</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20EAF6D9"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2014</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710CA6A4"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2015</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0D61CA2E"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2016</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7B961010"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2017</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46F32F59"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2018</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7A6C34C8"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2019</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2431D97D"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2020</w:t>
            </w:r>
          </w:p>
        </w:tc>
      </w:tr>
      <w:tr w:rsidR="0078318A" w:rsidRPr="0078318A" w14:paraId="540CA8D2" w14:textId="77777777" w:rsidTr="0078318A">
        <w:trPr>
          <w:trHeight w:val="300"/>
        </w:trPr>
        <w:tc>
          <w:tcPr>
            <w:tcW w:w="1714" w:type="pct"/>
            <w:tcBorders>
              <w:top w:val="nil"/>
              <w:left w:val="single" w:sz="4" w:space="0" w:color="auto"/>
              <w:bottom w:val="single" w:sz="4" w:space="0" w:color="auto"/>
              <w:right w:val="single" w:sz="4" w:space="0" w:color="auto"/>
            </w:tcBorders>
            <w:shd w:val="clear" w:color="auto" w:fill="auto"/>
            <w:noWrap/>
            <w:vAlign w:val="bottom"/>
            <w:hideMark/>
          </w:tcPr>
          <w:p w14:paraId="42D28445" w14:textId="77777777" w:rsidR="0078318A" w:rsidRPr="0078318A" w:rsidRDefault="0078318A" w:rsidP="0078318A">
            <w:pPr>
              <w:spacing w:after="0" w:line="240" w:lineRule="auto"/>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Rejekvote</w:t>
            </w:r>
          </w:p>
        </w:tc>
        <w:tc>
          <w:tcPr>
            <w:tcW w:w="469" w:type="pct"/>
            <w:tcBorders>
              <w:top w:val="nil"/>
              <w:left w:val="nil"/>
              <w:bottom w:val="single" w:sz="4" w:space="0" w:color="auto"/>
              <w:right w:val="single" w:sz="4" w:space="0" w:color="auto"/>
            </w:tcBorders>
            <w:shd w:val="clear" w:color="auto" w:fill="auto"/>
            <w:noWrap/>
            <w:vAlign w:val="bottom"/>
            <w:hideMark/>
          </w:tcPr>
          <w:p w14:paraId="2129268E"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c>
          <w:tcPr>
            <w:tcW w:w="469" w:type="pct"/>
            <w:tcBorders>
              <w:top w:val="nil"/>
              <w:left w:val="nil"/>
              <w:bottom w:val="single" w:sz="4" w:space="0" w:color="auto"/>
              <w:right w:val="single" w:sz="4" w:space="0" w:color="auto"/>
            </w:tcBorders>
            <w:shd w:val="clear" w:color="auto" w:fill="auto"/>
            <w:noWrap/>
            <w:vAlign w:val="bottom"/>
            <w:hideMark/>
          </w:tcPr>
          <w:p w14:paraId="42B8E71C"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c>
          <w:tcPr>
            <w:tcW w:w="469" w:type="pct"/>
            <w:tcBorders>
              <w:top w:val="nil"/>
              <w:left w:val="nil"/>
              <w:bottom w:val="single" w:sz="4" w:space="0" w:color="auto"/>
              <w:right w:val="single" w:sz="4" w:space="0" w:color="auto"/>
            </w:tcBorders>
            <w:shd w:val="clear" w:color="auto" w:fill="auto"/>
            <w:noWrap/>
            <w:vAlign w:val="bottom"/>
            <w:hideMark/>
          </w:tcPr>
          <w:p w14:paraId="4A86E8A0"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c>
          <w:tcPr>
            <w:tcW w:w="469" w:type="pct"/>
            <w:tcBorders>
              <w:top w:val="nil"/>
              <w:left w:val="nil"/>
              <w:bottom w:val="single" w:sz="4" w:space="0" w:color="auto"/>
              <w:right w:val="single" w:sz="4" w:space="0" w:color="auto"/>
            </w:tcBorders>
            <w:shd w:val="clear" w:color="auto" w:fill="auto"/>
            <w:noWrap/>
            <w:vAlign w:val="bottom"/>
            <w:hideMark/>
          </w:tcPr>
          <w:p w14:paraId="34971898"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c>
          <w:tcPr>
            <w:tcW w:w="469" w:type="pct"/>
            <w:tcBorders>
              <w:top w:val="nil"/>
              <w:left w:val="nil"/>
              <w:bottom w:val="single" w:sz="4" w:space="0" w:color="auto"/>
              <w:right w:val="single" w:sz="4" w:space="0" w:color="auto"/>
            </w:tcBorders>
            <w:shd w:val="clear" w:color="auto" w:fill="auto"/>
            <w:noWrap/>
            <w:vAlign w:val="bottom"/>
            <w:hideMark/>
          </w:tcPr>
          <w:p w14:paraId="23974A39"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c>
          <w:tcPr>
            <w:tcW w:w="469" w:type="pct"/>
            <w:tcBorders>
              <w:top w:val="nil"/>
              <w:left w:val="nil"/>
              <w:bottom w:val="single" w:sz="4" w:space="0" w:color="auto"/>
              <w:right w:val="single" w:sz="4" w:space="0" w:color="auto"/>
            </w:tcBorders>
            <w:shd w:val="clear" w:color="auto" w:fill="auto"/>
            <w:noWrap/>
            <w:vAlign w:val="bottom"/>
            <w:hideMark/>
          </w:tcPr>
          <w:p w14:paraId="7E073FB9"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c>
          <w:tcPr>
            <w:tcW w:w="469" w:type="pct"/>
            <w:tcBorders>
              <w:top w:val="nil"/>
              <w:left w:val="nil"/>
              <w:bottom w:val="single" w:sz="4" w:space="0" w:color="auto"/>
              <w:right w:val="single" w:sz="4" w:space="0" w:color="auto"/>
            </w:tcBorders>
            <w:shd w:val="clear" w:color="auto" w:fill="auto"/>
            <w:noWrap/>
            <w:vAlign w:val="bottom"/>
            <w:hideMark/>
          </w:tcPr>
          <w:p w14:paraId="7724A64C"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500</w:t>
            </w:r>
          </w:p>
        </w:tc>
      </w:tr>
      <w:tr w:rsidR="0078318A" w:rsidRPr="0078318A" w14:paraId="5B29B3FC" w14:textId="77777777" w:rsidTr="0078318A">
        <w:trPr>
          <w:trHeight w:val="300"/>
        </w:trPr>
        <w:tc>
          <w:tcPr>
            <w:tcW w:w="1714" w:type="pct"/>
            <w:tcBorders>
              <w:top w:val="nil"/>
              <w:left w:val="single" w:sz="4" w:space="0" w:color="auto"/>
              <w:bottom w:val="single" w:sz="4" w:space="0" w:color="auto"/>
              <w:right w:val="single" w:sz="4" w:space="0" w:color="auto"/>
            </w:tcBorders>
            <w:shd w:val="clear" w:color="auto" w:fill="auto"/>
            <w:noWrap/>
            <w:vAlign w:val="bottom"/>
            <w:hideMark/>
          </w:tcPr>
          <w:p w14:paraId="04B559D5" w14:textId="77777777" w:rsidR="0078318A" w:rsidRPr="0078318A" w:rsidRDefault="0078318A" w:rsidP="0078318A">
            <w:pPr>
              <w:spacing w:after="0" w:line="240" w:lineRule="auto"/>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Rejefangster</w:t>
            </w:r>
          </w:p>
        </w:tc>
        <w:tc>
          <w:tcPr>
            <w:tcW w:w="469" w:type="pct"/>
            <w:tcBorders>
              <w:top w:val="nil"/>
              <w:left w:val="nil"/>
              <w:bottom w:val="single" w:sz="4" w:space="0" w:color="auto"/>
              <w:right w:val="single" w:sz="4" w:space="0" w:color="auto"/>
            </w:tcBorders>
            <w:shd w:val="clear" w:color="auto" w:fill="auto"/>
            <w:noWrap/>
            <w:vAlign w:val="bottom"/>
            <w:hideMark/>
          </w:tcPr>
          <w:p w14:paraId="3C43F62E"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23</w:t>
            </w:r>
          </w:p>
        </w:tc>
        <w:tc>
          <w:tcPr>
            <w:tcW w:w="469" w:type="pct"/>
            <w:tcBorders>
              <w:top w:val="nil"/>
              <w:left w:val="nil"/>
              <w:bottom w:val="single" w:sz="4" w:space="0" w:color="auto"/>
              <w:right w:val="single" w:sz="4" w:space="0" w:color="auto"/>
            </w:tcBorders>
            <w:shd w:val="clear" w:color="auto" w:fill="auto"/>
            <w:noWrap/>
            <w:vAlign w:val="bottom"/>
            <w:hideMark/>
          </w:tcPr>
          <w:p w14:paraId="16480639"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58</w:t>
            </w:r>
          </w:p>
        </w:tc>
        <w:tc>
          <w:tcPr>
            <w:tcW w:w="469" w:type="pct"/>
            <w:tcBorders>
              <w:top w:val="nil"/>
              <w:left w:val="nil"/>
              <w:bottom w:val="single" w:sz="4" w:space="0" w:color="auto"/>
              <w:right w:val="single" w:sz="4" w:space="0" w:color="auto"/>
            </w:tcBorders>
            <w:shd w:val="clear" w:color="auto" w:fill="auto"/>
            <w:noWrap/>
            <w:vAlign w:val="bottom"/>
            <w:hideMark/>
          </w:tcPr>
          <w:p w14:paraId="6423856F"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0</w:t>
            </w:r>
          </w:p>
        </w:tc>
        <w:tc>
          <w:tcPr>
            <w:tcW w:w="469" w:type="pct"/>
            <w:tcBorders>
              <w:top w:val="nil"/>
              <w:left w:val="nil"/>
              <w:bottom w:val="single" w:sz="4" w:space="0" w:color="auto"/>
              <w:right w:val="single" w:sz="4" w:space="0" w:color="auto"/>
            </w:tcBorders>
            <w:shd w:val="clear" w:color="auto" w:fill="auto"/>
            <w:noWrap/>
            <w:vAlign w:val="bottom"/>
            <w:hideMark/>
          </w:tcPr>
          <w:p w14:paraId="41C2CD2A"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0</w:t>
            </w:r>
          </w:p>
        </w:tc>
        <w:tc>
          <w:tcPr>
            <w:tcW w:w="469" w:type="pct"/>
            <w:tcBorders>
              <w:top w:val="nil"/>
              <w:left w:val="nil"/>
              <w:bottom w:val="single" w:sz="4" w:space="0" w:color="auto"/>
              <w:right w:val="single" w:sz="4" w:space="0" w:color="auto"/>
            </w:tcBorders>
            <w:shd w:val="clear" w:color="auto" w:fill="auto"/>
            <w:noWrap/>
            <w:vAlign w:val="bottom"/>
            <w:hideMark/>
          </w:tcPr>
          <w:p w14:paraId="694595ED"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498</w:t>
            </w:r>
          </w:p>
        </w:tc>
        <w:tc>
          <w:tcPr>
            <w:tcW w:w="469" w:type="pct"/>
            <w:tcBorders>
              <w:top w:val="nil"/>
              <w:left w:val="nil"/>
              <w:bottom w:val="single" w:sz="4" w:space="0" w:color="auto"/>
              <w:right w:val="single" w:sz="4" w:space="0" w:color="auto"/>
            </w:tcBorders>
            <w:shd w:val="clear" w:color="auto" w:fill="auto"/>
            <w:noWrap/>
            <w:vAlign w:val="bottom"/>
            <w:hideMark/>
          </w:tcPr>
          <w:p w14:paraId="2D95A4DA"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497</w:t>
            </w:r>
          </w:p>
        </w:tc>
        <w:tc>
          <w:tcPr>
            <w:tcW w:w="469" w:type="pct"/>
            <w:tcBorders>
              <w:top w:val="nil"/>
              <w:left w:val="nil"/>
              <w:bottom w:val="single" w:sz="4" w:space="0" w:color="auto"/>
              <w:right w:val="single" w:sz="4" w:space="0" w:color="auto"/>
            </w:tcBorders>
            <w:shd w:val="clear" w:color="auto" w:fill="auto"/>
            <w:noWrap/>
            <w:vAlign w:val="bottom"/>
            <w:hideMark/>
          </w:tcPr>
          <w:p w14:paraId="60E20D6B"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0</w:t>
            </w:r>
          </w:p>
        </w:tc>
      </w:tr>
      <w:tr w:rsidR="0078318A" w:rsidRPr="0078318A" w14:paraId="35AAA078" w14:textId="77777777" w:rsidTr="0078318A">
        <w:trPr>
          <w:trHeight w:val="300"/>
        </w:trPr>
        <w:tc>
          <w:tcPr>
            <w:tcW w:w="1714" w:type="pct"/>
            <w:tcBorders>
              <w:top w:val="nil"/>
              <w:left w:val="single" w:sz="4" w:space="0" w:color="auto"/>
              <w:bottom w:val="single" w:sz="4" w:space="0" w:color="auto"/>
              <w:right w:val="single" w:sz="4" w:space="0" w:color="auto"/>
            </w:tcBorders>
            <w:shd w:val="clear" w:color="auto" w:fill="auto"/>
            <w:noWrap/>
            <w:vAlign w:val="bottom"/>
            <w:hideMark/>
          </w:tcPr>
          <w:p w14:paraId="69EABCE3" w14:textId="77777777" w:rsidR="0078318A" w:rsidRPr="0078318A" w:rsidRDefault="0078318A" w:rsidP="0078318A">
            <w:pPr>
              <w:spacing w:after="0" w:line="240" w:lineRule="auto"/>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Antal fartøjer der fiskede på kvoten</w:t>
            </w:r>
          </w:p>
        </w:tc>
        <w:tc>
          <w:tcPr>
            <w:tcW w:w="469" w:type="pct"/>
            <w:tcBorders>
              <w:top w:val="nil"/>
              <w:left w:val="nil"/>
              <w:bottom w:val="single" w:sz="4" w:space="0" w:color="auto"/>
              <w:right w:val="single" w:sz="4" w:space="0" w:color="auto"/>
            </w:tcBorders>
            <w:shd w:val="clear" w:color="auto" w:fill="auto"/>
            <w:noWrap/>
            <w:vAlign w:val="bottom"/>
            <w:hideMark/>
          </w:tcPr>
          <w:p w14:paraId="6D5D3158"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2</w:t>
            </w:r>
          </w:p>
        </w:tc>
        <w:tc>
          <w:tcPr>
            <w:tcW w:w="469" w:type="pct"/>
            <w:tcBorders>
              <w:top w:val="nil"/>
              <w:left w:val="nil"/>
              <w:bottom w:val="single" w:sz="4" w:space="0" w:color="auto"/>
              <w:right w:val="single" w:sz="4" w:space="0" w:color="auto"/>
            </w:tcBorders>
            <w:shd w:val="clear" w:color="auto" w:fill="auto"/>
            <w:noWrap/>
            <w:vAlign w:val="bottom"/>
            <w:hideMark/>
          </w:tcPr>
          <w:p w14:paraId="2B3AF7DA"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1</w:t>
            </w:r>
          </w:p>
        </w:tc>
        <w:tc>
          <w:tcPr>
            <w:tcW w:w="469" w:type="pct"/>
            <w:tcBorders>
              <w:top w:val="nil"/>
              <w:left w:val="nil"/>
              <w:bottom w:val="single" w:sz="4" w:space="0" w:color="auto"/>
              <w:right w:val="single" w:sz="4" w:space="0" w:color="auto"/>
            </w:tcBorders>
            <w:shd w:val="clear" w:color="auto" w:fill="auto"/>
            <w:noWrap/>
            <w:vAlign w:val="bottom"/>
            <w:hideMark/>
          </w:tcPr>
          <w:p w14:paraId="10433BD7"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0</w:t>
            </w:r>
          </w:p>
        </w:tc>
        <w:tc>
          <w:tcPr>
            <w:tcW w:w="469" w:type="pct"/>
            <w:tcBorders>
              <w:top w:val="nil"/>
              <w:left w:val="nil"/>
              <w:bottom w:val="single" w:sz="4" w:space="0" w:color="auto"/>
              <w:right w:val="single" w:sz="4" w:space="0" w:color="auto"/>
            </w:tcBorders>
            <w:shd w:val="clear" w:color="auto" w:fill="auto"/>
            <w:noWrap/>
            <w:vAlign w:val="bottom"/>
            <w:hideMark/>
          </w:tcPr>
          <w:p w14:paraId="7E5B722E"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0</w:t>
            </w:r>
          </w:p>
        </w:tc>
        <w:tc>
          <w:tcPr>
            <w:tcW w:w="469" w:type="pct"/>
            <w:tcBorders>
              <w:top w:val="nil"/>
              <w:left w:val="nil"/>
              <w:bottom w:val="single" w:sz="4" w:space="0" w:color="auto"/>
              <w:right w:val="single" w:sz="4" w:space="0" w:color="auto"/>
            </w:tcBorders>
            <w:shd w:val="clear" w:color="auto" w:fill="auto"/>
            <w:noWrap/>
            <w:vAlign w:val="bottom"/>
            <w:hideMark/>
          </w:tcPr>
          <w:p w14:paraId="15384F11"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1</w:t>
            </w:r>
          </w:p>
        </w:tc>
        <w:tc>
          <w:tcPr>
            <w:tcW w:w="469" w:type="pct"/>
            <w:tcBorders>
              <w:top w:val="nil"/>
              <w:left w:val="nil"/>
              <w:bottom w:val="single" w:sz="4" w:space="0" w:color="auto"/>
              <w:right w:val="single" w:sz="4" w:space="0" w:color="auto"/>
            </w:tcBorders>
            <w:shd w:val="clear" w:color="auto" w:fill="auto"/>
            <w:noWrap/>
            <w:vAlign w:val="bottom"/>
            <w:hideMark/>
          </w:tcPr>
          <w:p w14:paraId="2C3DF87F"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1</w:t>
            </w:r>
          </w:p>
        </w:tc>
        <w:tc>
          <w:tcPr>
            <w:tcW w:w="469" w:type="pct"/>
            <w:tcBorders>
              <w:top w:val="nil"/>
              <w:left w:val="nil"/>
              <w:bottom w:val="single" w:sz="4" w:space="0" w:color="auto"/>
              <w:right w:val="single" w:sz="4" w:space="0" w:color="auto"/>
            </w:tcBorders>
            <w:shd w:val="clear" w:color="auto" w:fill="auto"/>
            <w:noWrap/>
            <w:vAlign w:val="bottom"/>
            <w:hideMark/>
          </w:tcPr>
          <w:p w14:paraId="6072F840" w14:textId="77777777" w:rsidR="0078318A" w:rsidRPr="0078318A" w:rsidRDefault="0078318A" w:rsidP="0078318A">
            <w:pPr>
              <w:spacing w:after="0" w:line="240" w:lineRule="auto"/>
              <w:jc w:val="right"/>
              <w:rPr>
                <w:rFonts w:ascii="Times New Roman" w:eastAsia="Times New Roman" w:hAnsi="Times New Roman" w:cs="Times New Roman"/>
                <w:color w:val="000000"/>
                <w:sz w:val="20"/>
                <w:szCs w:val="20"/>
                <w:lang w:eastAsia="da-DK"/>
              </w:rPr>
            </w:pPr>
            <w:r w:rsidRPr="0078318A">
              <w:rPr>
                <w:rFonts w:ascii="Times New Roman" w:eastAsia="Times New Roman" w:hAnsi="Times New Roman" w:cs="Times New Roman"/>
                <w:color w:val="000000"/>
                <w:sz w:val="20"/>
                <w:szCs w:val="20"/>
                <w:lang w:eastAsia="da-DK"/>
              </w:rPr>
              <w:t>0</w:t>
            </w:r>
          </w:p>
        </w:tc>
      </w:tr>
    </w:tbl>
    <w:p w14:paraId="6DDAE0AD" w14:textId="2ADAFECD" w:rsidR="00780ABD" w:rsidRPr="0078318A" w:rsidRDefault="0078318A" w:rsidP="00780ABD">
      <w:pPr>
        <w:spacing w:after="0" w:line="276" w:lineRule="auto"/>
        <w:jc w:val="both"/>
        <w:rPr>
          <w:rFonts w:ascii="Times New Roman" w:hAnsi="Times New Roman" w:cs="Times New Roman"/>
          <w:sz w:val="20"/>
          <w:szCs w:val="20"/>
        </w:rPr>
      </w:pPr>
      <w:r w:rsidRPr="0078318A">
        <w:rPr>
          <w:rFonts w:ascii="Times New Roman" w:hAnsi="Times New Roman" w:cs="Times New Roman"/>
          <w:sz w:val="20"/>
          <w:szCs w:val="20"/>
        </w:rPr>
        <w:t>Kilde: APN</w:t>
      </w:r>
      <w:r w:rsidR="0044148B">
        <w:rPr>
          <w:rFonts w:ascii="Times New Roman" w:hAnsi="Times New Roman" w:cs="Times New Roman"/>
          <w:sz w:val="20"/>
          <w:szCs w:val="20"/>
        </w:rPr>
        <w:t xml:space="preserve"> </w:t>
      </w:r>
      <w:r w:rsidRPr="0078318A">
        <w:rPr>
          <w:rFonts w:ascii="Times New Roman" w:hAnsi="Times New Roman" w:cs="Times New Roman"/>
          <w:sz w:val="20"/>
          <w:szCs w:val="20"/>
        </w:rPr>
        <w:t>og GFLK.</w:t>
      </w:r>
    </w:p>
    <w:p w14:paraId="00EA38D3" w14:textId="77777777" w:rsidR="00780ABD" w:rsidRDefault="00780ABD" w:rsidP="00780ABD">
      <w:pPr>
        <w:spacing w:after="0" w:line="276" w:lineRule="auto"/>
        <w:jc w:val="both"/>
        <w:rPr>
          <w:rFonts w:ascii="Times New Roman" w:hAnsi="Times New Roman" w:cs="Times New Roman"/>
          <w:b/>
          <w:sz w:val="24"/>
          <w:szCs w:val="24"/>
        </w:rPr>
      </w:pPr>
    </w:p>
    <w:p w14:paraId="3492A063" w14:textId="77777777" w:rsidR="00553F8E" w:rsidRPr="00553F8E" w:rsidRDefault="00A6090A" w:rsidP="00780AB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Rejefiskeri</w:t>
      </w:r>
      <w:r w:rsidR="00665FFF" w:rsidRPr="00553F8E">
        <w:rPr>
          <w:rFonts w:ascii="Times New Roman" w:hAnsi="Times New Roman" w:cs="Times New Roman"/>
          <w:b/>
          <w:sz w:val="24"/>
          <w:szCs w:val="24"/>
        </w:rPr>
        <w:t xml:space="preserve"> ved Svalbard </w:t>
      </w:r>
    </w:p>
    <w:p w14:paraId="781FD678" w14:textId="77777777" w:rsidR="00A6090A" w:rsidRDefault="00665FFF" w:rsidP="00553F8E">
      <w:pPr>
        <w:spacing w:after="0" w:line="276" w:lineRule="auto"/>
        <w:jc w:val="both"/>
        <w:rPr>
          <w:rFonts w:ascii="Times New Roman" w:hAnsi="Times New Roman" w:cs="Times New Roman"/>
        </w:rPr>
      </w:pPr>
      <w:r w:rsidRPr="00553F8E">
        <w:rPr>
          <w:rFonts w:ascii="Times New Roman" w:hAnsi="Times New Roman" w:cs="Times New Roman"/>
        </w:rPr>
        <w:t xml:space="preserve">Ved indgåelsen af fiskeriaftalen med Norge i 1992 gjorde Grønland opmærksom på, at Grønland/Danmark ikke har accepteret den ensidige norske udmelding om en ”fiskeværn-zone”, som Norge har indført for at regulere fiskeriet omkring Svalbard. Grønland fremfører hvert år under de bilaterale forhandlinger med Norge sin position, som indskrives i protokollen. </w:t>
      </w:r>
    </w:p>
    <w:p w14:paraId="7873C37F" w14:textId="77777777" w:rsidR="00A6090A" w:rsidRDefault="00A6090A" w:rsidP="00553F8E">
      <w:pPr>
        <w:spacing w:after="0" w:line="276" w:lineRule="auto"/>
        <w:jc w:val="both"/>
        <w:rPr>
          <w:rFonts w:ascii="Times New Roman" w:hAnsi="Times New Roman" w:cs="Times New Roman"/>
        </w:rPr>
      </w:pPr>
    </w:p>
    <w:p w14:paraId="0C1FD826" w14:textId="77777777" w:rsidR="00F1608A" w:rsidRDefault="00665FFF" w:rsidP="00553F8E">
      <w:pPr>
        <w:spacing w:after="0" w:line="276" w:lineRule="auto"/>
        <w:jc w:val="both"/>
        <w:rPr>
          <w:rFonts w:ascii="Times New Roman" w:hAnsi="Times New Roman" w:cs="Times New Roman"/>
        </w:rPr>
      </w:pPr>
      <w:r w:rsidRPr="00553F8E">
        <w:rPr>
          <w:rFonts w:ascii="Times New Roman" w:hAnsi="Times New Roman" w:cs="Times New Roman"/>
        </w:rPr>
        <w:t xml:space="preserve">I henhold til de gældende norske forskrifter for rejefiskeriet ved Svalbard fra 1997 (som Grønland altså ikke anerkender) har Grønland adgang til at fiske efter rejer med fem fartøjer i 450 fiskedage. Grønland har i en længere årrække siden begyndelsen af 1980’erne ikke benyttet sig af denne mulighed. Imidlertid har den årlige reduktion af rejekvoten i grønlandske farvande betydet en stigende interesse for fiskedagene i Svalbard, hvorfor grønlandske fartøjer siden 2013 har genoptaget fiskeriet i området. </w:t>
      </w:r>
    </w:p>
    <w:p w14:paraId="3CB3EAC5" w14:textId="77777777" w:rsidR="00703AB9" w:rsidRDefault="00703AB9" w:rsidP="00553F8E">
      <w:pPr>
        <w:spacing w:after="0" w:line="276" w:lineRule="auto"/>
        <w:jc w:val="both"/>
        <w:rPr>
          <w:rFonts w:ascii="Times New Roman" w:hAnsi="Times New Roman" w:cs="Times New Roman"/>
        </w:rPr>
      </w:pPr>
    </w:p>
    <w:p w14:paraId="5D424D8C" w14:textId="77777777" w:rsidR="00F1608A" w:rsidRDefault="00F1608A" w:rsidP="00553F8E">
      <w:pPr>
        <w:spacing w:after="0" w:line="276" w:lineRule="auto"/>
        <w:jc w:val="both"/>
        <w:rPr>
          <w:rFonts w:ascii="Times New Roman" w:hAnsi="Times New Roman" w:cs="Times New Roman"/>
        </w:rPr>
      </w:pPr>
      <w:r>
        <w:rPr>
          <w:rFonts w:ascii="Times New Roman" w:hAnsi="Times New Roman" w:cs="Times New Roman"/>
        </w:rPr>
        <w:t xml:space="preserve">Figur </w:t>
      </w:r>
      <w:r w:rsidR="0030402B">
        <w:rPr>
          <w:rFonts w:ascii="Times New Roman" w:hAnsi="Times New Roman" w:cs="Times New Roman"/>
        </w:rPr>
        <w:t>4</w:t>
      </w:r>
      <w:r>
        <w:rPr>
          <w:rFonts w:ascii="Times New Roman" w:hAnsi="Times New Roman" w:cs="Times New Roman"/>
        </w:rPr>
        <w:t xml:space="preserve"> viser udviklingen i rejefangster hos grønlandske fartøjer i perioden 2010-2020. Det har været meget varierende fangster i perioden fra 73 tons i 2013 til 3.463 tons i 2017. I 2018-2020 har den samlede rejefangst ligget mellem 305-1.069 tons. Det har været forskelligt igennem årerne om det er anvendt rejefartøjer som har også licens til rejefiskeriet i Grønland eller fartøjer som er ikke særligt bygget til rejefiskeri og har licenser til bundfiskeri i Grønland. I</w:t>
      </w:r>
      <w:r w:rsidR="00713E52">
        <w:rPr>
          <w:rFonts w:ascii="Times New Roman" w:hAnsi="Times New Roman" w:cs="Times New Roman"/>
        </w:rPr>
        <w:t xml:space="preserve"> perioden 2018-2020 har kun fartøjer</w:t>
      </w:r>
      <w:r w:rsidR="00920B52">
        <w:rPr>
          <w:rFonts w:ascii="Times New Roman" w:hAnsi="Times New Roman" w:cs="Times New Roman"/>
        </w:rPr>
        <w:t>,</w:t>
      </w:r>
      <w:r w:rsidR="00713E52">
        <w:rPr>
          <w:rFonts w:ascii="Times New Roman" w:hAnsi="Times New Roman" w:cs="Times New Roman"/>
        </w:rPr>
        <w:t xml:space="preserve"> </w:t>
      </w:r>
      <w:r w:rsidR="00920B52">
        <w:rPr>
          <w:rFonts w:ascii="Times New Roman" w:hAnsi="Times New Roman" w:cs="Times New Roman"/>
        </w:rPr>
        <w:t xml:space="preserve">som har licens til andre arter end rejer i Grønland, </w:t>
      </w:r>
      <w:r w:rsidR="00713E52">
        <w:rPr>
          <w:rFonts w:ascii="Times New Roman" w:hAnsi="Times New Roman" w:cs="Times New Roman"/>
        </w:rPr>
        <w:t xml:space="preserve">deltaget i rejefiskeriet ved Svalbard. </w:t>
      </w:r>
    </w:p>
    <w:p w14:paraId="53A5E6B9" w14:textId="77777777" w:rsidR="00A6090A" w:rsidRDefault="00A6090A" w:rsidP="00553F8E">
      <w:pPr>
        <w:spacing w:after="0" w:line="276" w:lineRule="auto"/>
        <w:jc w:val="both"/>
        <w:rPr>
          <w:rFonts w:ascii="Times New Roman" w:hAnsi="Times New Roman" w:cs="Times New Roman"/>
        </w:rPr>
      </w:pPr>
    </w:p>
    <w:p w14:paraId="1E913282" w14:textId="77777777" w:rsidR="00A6090A" w:rsidRPr="008052DE" w:rsidRDefault="00A6090A" w:rsidP="00A6090A">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Figur </w:t>
      </w:r>
      <w:r w:rsidR="0030402B">
        <w:rPr>
          <w:rFonts w:ascii="Times New Roman" w:hAnsi="Times New Roman" w:cs="Times New Roman"/>
          <w:color w:val="000000" w:themeColor="text1"/>
        </w:rPr>
        <w:t>4</w:t>
      </w:r>
      <w:r>
        <w:rPr>
          <w:rFonts w:ascii="Times New Roman" w:hAnsi="Times New Roman" w:cs="Times New Roman"/>
          <w:color w:val="000000" w:themeColor="text1"/>
        </w:rPr>
        <w:t xml:space="preserve">: </w:t>
      </w:r>
      <w:r w:rsidRPr="008052DE">
        <w:rPr>
          <w:rFonts w:ascii="Times New Roman" w:hAnsi="Times New Roman" w:cs="Times New Roman"/>
          <w:color w:val="000000" w:themeColor="text1"/>
        </w:rPr>
        <w:t xml:space="preserve">Udvikling </w:t>
      </w:r>
      <w:r>
        <w:rPr>
          <w:rFonts w:ascii="Times New Roman" w:hAnsi="Times New Roman" w:cs="Times New Roman"/>
          <w:color w:val="000000" w:themeColor="text1"/>
        </w:rPr>
        <w:t>fangstmængder af rejer ved Svalbard med grønlandske fartøjer, 2010-2020.</w:t>
      </w:r>
    </w:p>
    <w:p w14:paraId="434B5CE6" w14:textId="77777777" w:rsidR="00665FFF" w:rsidRDefault="00A6090A" w:rsidP="00553F8E">
      <w:pPr>
        <w:spacing w:after="0" w:line="276" w:lineRule="auto"/>
        <w:jc w:val="both"/>
        <w:rPr>
          <w:rFonts w:ascii="Times New Roman" w:hAnsi="Times New Roman" w:cs="Times New Roman"/>
        </w:rPr>
      </w:pPr>
      <w:r>
        <w:rPr>
          <w:noProof/>
          <w:lang w:eastAsia="da-DK"/>
        </w:rPr>
        <w:drawing>
          <wp:inline distT="0" distB="0" distL="0" distR="0" wp14:anchorId="68F1BA72" wp14:editId="1C8AA885">
            <wp:extent cx="6120130" cy="2714625"/>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5000" w:type="pct"/>
        <w:tblCellMar>
          <w:left w:w="70" w:type="dxa"/>
          <w:right w:w="70" w:type="dxa"/>
        </w:tblCellMar>
        <w:tblLook w:val="04A0" w:firstRow="1" w:lastRow="0" w:firstColumn="1" w:lastColumn="0" w:noHBand="0" w:noVBand="1"/>
      </w:tblPr>
      <w:tblGrid>
        <w:gridCol w:w="2362"/>
        <w:gridCol w:w="661"/>
        <w:gridCol w:w="661"/>
        <w:gridCol w:w="661"/>
        <w:gridCol w:w="661"/>
        <w:gridCol w:w="661"/>
        <w:gridCol w:w="661"/>
        <w:gridCol w:w="660"/>
        <w:gridCol w:w="660"/>
        <w:gridCol w:w="660"/>
        <w:gridCol w:w="660"/>
        <w:gridCol w:w="660"/>
      </w:tblGrid>
      <w:tr w:rsidR="00A6090A" w:rsidRPr="00A6090A" w14:paraId="3E9CADAE" w14:textId="77777777" w:rsidTr="00A6090A">
        <w:trPr>
          <w:trHeight w:val="300"/>
        </w:trPr>
        <w:tc>
          <w:tcPr>
            <w:tcW w:w="1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BBD2" w14:textId="77777777" w:rsidR="00A6090A" w:rsidRPr="00A6090A" w:rsidRDefault="00A6090A" w:rsidP="00A6090A">
            <w:pPr>
              <w:spacing w:after="0" w:line="240" w:lineRule="auto"/>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 </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1E2D4015"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2010</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49002278"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2011</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25374251"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2012</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53F7E668"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2013</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684EFA79"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2014</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38EBD3DE"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2015</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4A2BB24E"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2016</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09643F31"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2017</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65D90102"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2018</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51088B22"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2019</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14:paraId="4FCE7649"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2020</w:t>
            </w:r>
          </w:p>
        </w:tc>
      </w:tr>
      <w:tr w:rsidR="00A6090A" w:rsidRPr="00A6090A" w14:paraId="56EF2FAB" w14:textId="77777777" w:rsidTr="00A6090A">
        <w:trPr>
          <w:trHeight w:val="300"/>
        </w:trPr>
        <w:tc>
          <w:tcPr>
            <w:tcW w:w="1226" w:type="pct"/>
            <w:tcBorders>
              <w:top w:val="nil"/>
              <w:left w:val="single" w:sz="4" w:space="0" w:color="auto"/>
              <w:bottom w:val="single" w:sz="4" w:space="0" w:color="auto"/>
              <w:right w:val="single" w:sz="4" w:space="0" w:color="auto"/>
            </w:tcBorders>
            <w:shd w:val="clear" w:color="auto" w:fill="auto"/>
            <w:noWrap/>
            <w:vAlign w:val="bottom"/>
            <w:hideMark/>
          </w:tcPr>
          <w:p w14:paraId="1BBFB9EA" w14:textId="77777777" w:rsidR="00A6090A" w:rsidRPr="00A6090A" w:rsidRDefault="00A6090A" w:rsidP="00A6090A">
            <w:pPr>
              <w:spacing w:after="0" w:line="240" w:lineRule="auto"/>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Antal GRL fartøjer der fiskede</w:t>
            </w:r>
          </w:p>
        </w:tc>
        <w:tc>
          <w:tcPr>
            <w:tcW w:w="343" w:type="pct"/>
            <w:tcBorders>
              <w:top w:val="nil"/>
              <w:left w:val="nil"/>
              <w:bottom w:val="single" w:sz="4" w:space="0" w:color="auto"/>
              <w:right w:val="single" w:sz="4" w:space="0" w:color="auto"/>
            </w:tcBorders>
            <w:shd w:val="clear" w:color="auto" w:fill="auto"/>
            <w:noWrap/>
            <w:vAlign w:val="bottom"/>
            <w:hideMark/>
          </w:tcPr>
          <w:p w14:paraId="254C0759"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0</w:t>
            </w:r>
          </w:p>
        </w:tc>
        <w:tc>
          <w:tcPr>
            <w:tcW w:w="343" w:type="pct"/>
            <w:tcBorders>
              <w:top w:val="nil"/>
              <w:left w:val="nil"/>
              <w:bottom w:val="single" w:sz="4" w:space="0" w:color="auto"/>
              <w:right w:val="single" w:sz="4" w:space="0" w:color="auto"/>
            </w:tcBorders>
            <w:shd w:val="clear" w:color="auto" w:fill="auto"/>
            <w:noWrap/>
            <w:vAlign w:val="bottom"/>
            <w:hideMark/>
          </w:tcPr>
          <w:p w14:paraId="70C2A3CA"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0</w:t>
            </w:r>
          </w:p>
        </w:tc>
        <w:tc>
          <w:tcPr>
            <w:tcW w:w="343" w:type="pct"/>
            <w:tcBorders>
              <w:top w:val="nil"/>
              <w:left w:val="nil"/>
              <w:bottom w:val="single" w:sz="4" w:space="0" w:color="auto"/>
              <w:right w:val="single" w:sz="4" w:space="0" w:color="auto"/>
            </w:tcBorders>
            <w:shd w:val="clear" w:color="auto" w:fill="auto"/>
            <w:noWrap/>
            <w:vAlign w:val="bottom"/>
            <w:hideMark/>
          </w:tcPr>
          <w:p w14:paraId="76128101"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0</w:t>
            </w:r>
          </w:p>
        </w:tc>
        <w:tc>
          <w:tcPr>
            <w:tcW w:w="343" w:type="pct"/>
            <w:tcBorders>
              <w:top w:val="nil"/>
              <w:left w:val="nil"/>
              <w:bottom w:val="single" w:sz="4" w:space="0" w:color="auto"/>
              <w:right w:val="single" w:sz="4" w:space="0" w:color="auto"/>
            </w:tcBorders>
            <w:shd w:val="clear" w:color="auto" w:fill="auto"/>
            <w:noWrap/>
            <w:vAlign w:val="bottom"/>
            <w:hideMark/>
          </w:tcPr>
          <w:p w14:paraId="3EEBF0AF"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1</w:t>
            </w:r>
          </w:p>
        </w:tc>
        <w:tc>
          <w:tcPr>
            <w:tcW w:w="343" w:type="pct"/>
            <w:tcBorders>
              <w:top w:val="nil"/>
              <w:left w:val="nil"/>
              <w:bottom w:val="single" w:sz="4" w:space="0" w:color="auto"/>
              <w:right w:val="single" w:sz="4" w:space="0" w:color="auto"/>
            </w:tcBorders>
            <w:shd w:val="clear" w:color="auto" w:fill="auto"/>
            <w:noWrap/>
            <w:vAlign w:val="bottom"/>
            <w:hideMark/>
          </w:tcPr>
          <w:p w14:paraId="7C7D4402"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2</w:t>
            </w:r>
          </w:p>
        </w:tc>
        <w:tc>
          <w:tcPr>
            <w:tcW w:w="343" w:type="pct"/>
            <w:tcBorders>
              <w:top w:val="nil"/>
              <w:left w:val="nil"/>
              <w:bottom w:val="single" w:sz="4" w:space="0" w:color="auto"/>
              <w:right w:val="single" w:sz="4" w:space="0" w:color="auto"/>
            </w:tcBorders>
            <w:shd w:val="clear" w:color="auto" w:fill="auto"/>
            <w:noWrap/>
            <w:vAlign w:val="bottom"/>
            <w:hideMark/>
          </w:tcPr>
          <w:p w14:paraId="6CA70A25"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4</w:t>
            </w:r>
          </w:p>
        </w:tc>
        <w:tc>
          <w:tcPr>
            <w:tcW w:w="343" w:type="pct"/>
            <w:tcBorders>
              <w:top w:val="nil"/>
              <w:left w:val="nil"/>
              <w:bottom w:val="single" w:sz="4" w:space="0" w:color="auto"/>
              <w:right w:val="single" w:sz="4" w:space="0" w:color="auto"/>
            </w:tcBorders>
            <w:shd w:val="clear" w:color="auto" w:fill="auto"/>
            <w:noWrap/>
            <w:vAlign w:val="bottom"/>
            <w:hideMark/>
          </w:tcPr>
          <w:p w14:paraId="5F3D0C60"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4</w:t>
            </w:r>
          </w:p>
        </w:tc>
        <w:tc>
          <w:tcPr>
            <w:tcW w:w="343" w:type="pct"/>
            <w:tcBorders>
              <w:top w:val="nil"/>
              <w:left w:val="nil"/>
              <w:bottom w:val="single" w:sz="4" w:space="0" w:color="auto"/>
              <w:right w:val="single" w:sz="4" w:space="0" w:color="auto"/>
            </w:tcBorders>
            <w:shd w:val="clear" w:color="auto" w:fill="auto"/>
            <w:noWrap/>
            <w:vAlign w:val="bottom"/>
            <w:hideMark/>
          </w:tcPr>
          <w:p w14:paraId="44109E1C"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4</w:t>
            </w:r>
          </w:p>
        </w:tc>
        <w:tc>
          <w:tcPr>
            <w:tcW w:w="343" w:type="pct"/>
            <w:tcBorders>
              <w:top w:val="nil"/>
              <w:left w:val="nil"/>
              <w:bottom w:val="single" w:sz="4" w:space="0" w:color="auto"/>
              <w:right w:val="single" w:sz="4" w:space="0" w:color="auto"/>
            </w:tcBorders>
            <w:shd w:val="clear" w:color="auto" w:fill="auto"/>
            <w:noWrap/>
            <w:vAlign w:val="bottom"/>
            <w:hideMark/>
          </w:tcPr>
          <w:p w14:paraId="4C8E6CD7"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1</w:t>
            </w:r>
          </w:p>
        </w:tc>
        <w:tc>
          <w:tcPr>
            <w:tcW w:w="343" w:type="pct"/>
            <w:tcBorders>
              <w:top w:val="nil"/>
              <w:left w:val="nil"/>
              <w:bottom w:val="single" w:sz="4" w:space="0" w:color="auto"/>
              <w:right w:val="single" w:sz="4" w:space="0" w:color="auto"/>
            </w:tcBorders>
            <w:shd w:val="clear" w:color="auto" w:fill="auto"/>
            <w:noWrap/>
            <w:vAlign w:val="bottom"/>
            <w:hideMark/>
          </w:tcPr>
          <w:p w14:paraId="0EF257B0"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1</w:t>
            </w:r>
          </w:p>
        </w:tc>
        <w:tc>
          <w:tcPr>
            <w:tcW w:w="343" w:type="pct"/>
            <w:tcBorders>
              <w:top w:val="nil"/>
              <w:left w:val="nil"/>
              <w:bottom w:val="single" w:sz="4" w:space="0" w:color="auto"/>
              <w:right w:val="single" w:sz="4" w:space="0" w:color="auto"/>
            </w:tcBorders>
            <w:shd w:val="clear" w:color="auto" w:fill="auto"/>
            <w:noWrap/>
            <w:vAlign w:val="bottom"/>
            <w:hideMark/>
          </w:tcPr>
          <w:p w14:paraId="021ABDC7" w14:textId="77777777" w:rsidR="00A6090A" w:rsidRPr="00A6090A" w:rsidRDefault="00A6090A" w:rsidP="00A6090A">
            <w:pPr>
              <w:spacing w:after="0" w:line="240" w:lineRule="auto"/>
              <w:jc w:val="right"/>
              <w:rPr>
                <w:rFonts w:ascii="Times New Roman" w:eastAsia="Times New Roman" w:hAnsi="Times New Roman" w:cs="Times New Roman"/>
                <w:color w:val="000000"/>
                <w:sz w:val="18"/>
                <w:szCs w:val="18"/>
                <w:lang w:eastAsia="da-DK"/>
              </w:rPr>
            </w:pPr>
            <w:r w:rsidRPr="00A6090A">
              <w:rPr>
                <w:rFonts w:ascii="Times New Roman" w:eastAsia="Times New Roman" w:hAnsi="Times New Roman" w:cs="Times New Roman"/>
                <w:color w:val="000000"/>
                <w:sz w:val="18"/>
                <w:szCs w:val="18"/>
                <w:lang w:eastAsia="da-DK"/>
              </w:rPr>
              <w:t>1</w:t>
            </w:r>
          </w:p>
        </w:tc>
      </w:tr>
    </w:tbl>
    <w:p w14:paraId="31048BB1" w14:textId="77777777" w:rsidR="00A6090A" w:rsidRPr="00A6090A" w:rsidRDefault="00A6090A" w:rsidP="00553F8E">
      <w:pPr>
        <w:spacing w:after="0" w:line="276" w:lineRule="auto"/>
        <w:jc w:val="both"/>
        <w:rPr>
          <w:rFonts w:ascii="Times New Roman" w:hAnsi="Times New Roman" w:cs="Times New Roman"/>
          <w:sz w:val="20"/>
          <w:szCs w:val="20"/>
        </w:rPr>
      </w:pPr>
      <w:r w:rsidRPr="00A6090A">
        <w:rPr>
          <w:rFonts w:ascii="Times New Roman" w:hAnsi="Times New Roman" w:cs="Times New Roman"/>
          <w:sz w:val="20"/>
          <w:szCs w:val="20"/>
        </w:rPr>
        <w:t>Kilde: GFLK.</w:t>
      </w:r>
    </w:p>
    <w:p w14:paraId="166FC43E" w14:textId="77777777" w:rsidR="00553F8E" w:rsidRDefault="00553F8E" w:rsidP="00553F8E">
      <w:pPr>
        <w:spacing w:after="0" w:line="276" w:lineRule="auto"/>
        <w:jc w:val="both"/>
        <w:rPr>
          <w:rFonts w:ascii="Times New Roman" w:hAnsi="Times New Roman" w:cs="Times New Roman"/>
        </w:rPr>
      </w:pPr>
    </w:p>
    <w:p w14:paraId="58C8482D" w14:textId="77777777" w:rsidR="00665FFF" w:rsidRPr="00553F8E" w:rsidRDefault="00A6090A" w:rsidP="00425C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Rejefiskeri</w:t>
      </w:r>
      <w:r w:rsidR="00665FFF" w:rsidRPr="00553F8E">
        <w:rPr>
          <w:rFonts w:ascii="Times New Roman" w:hAnsi="Times New Roman" w:cs="Times New Roman"/>
          <w:b/>
          <w:sz w:val="24"/>
          <w:szCs w:val="24"/>
        </w:rPr>
        <w:t xml:space="preserve"> ved Grand Bank (NAFO-område 3L) </w:t>
      </w:r>
    </w:p>
    <w:p w14:paraId="1685D565" w14:textId="77777777" w:rsidR="00425CAE" w:rsidRPr="00425CAE" w:rsidRDefault="00425CAE" w:rsidP="00425CAE">
      <w:pPr>
        <w:spacing w:after="0" w:line="276" w:lineRule="auto"/>
        <w:jc w:val="both"/>
        <w:rPr>
          <w:rFonts w:ascii="Times New Roman" w:hAnsi="Times New Roman" w:cs="Times New Roman"/>
        </w:rPr>
      </w:pPr>
      <w:r w:rsidRPr="00425CAE">
        <w:rPr>
          <w:rFonts w:ascii="Times New Roman" w:hAnsi="Times New Roman" w:cs="Times New Roman"/>
        </w:rPr>
        <w:t xml:space="preserve">Størstedelen af rejebestanden ved Grand Bank ud for New Foundland (NAFO-område 3L) ligger inden for det canadiske fiskeriterritorium, dog ligger et mindre og vigtigt område af rejebanken i internationalt farvand. I henhold til aftalen fra 1999 mellem Canada og NAFO skal Canada have 5/6 af den samlede TAC for rejer i dette område, da rejebestanden i det internationale område af 3L er en del af den canadiske rejebestand inden for Canadas 200 sømilegrænse. Den resterende mængde deles ifølge aftalen ligeligt mellem de øvrige kontraherende parter. Færøerne mener at have krav på en større andel af TAC end den hidtidige fordeling giver på baggrund af det historiske fiskeri og deres bidrag til den videnskabelige forskning m.m. i området. </w:t>
      </w:r>
    </w:p>
    <w:p w14:paraId="27583E83" w14:textId="77777777" w:rsidR="00425CAE" w:rsidRPr="00425CAE" w:rsidRDefault="00425CAE" w:rsidP="00425CAE">
      <w:pPr>
        <w:spacing w:after="0" w:line="276" w:lineRule="auto"/>
        <w:jc w:val="both"/>
        <w:rPr>
          <w:rFonts w:ascii="Times New Roman" w:hAnsi="Times New Roman" w:cs="Times New Roman"/>
        </w:rPr>
      </w:pPr>
    </w:p>
    <w:p w14:paraId="7F62F19E" w14:textId="77777777" w:rsidR="00425CAE" w:rsidRPr="00425CAE" w:rsidRDefault="00425CAE" w:rsidP="00425CAE">
      <w:pPr>
        <w:spacing w:after="0" w:line="276" w:lineRule="auto"/>
        <w:jc w:val="both"/>
        <w:rPr>
          <w:rFonts w:ascii="Times New Roman" w:hAnsi="Times New Roman" w:cs="Times New Roman"/>
        </w:rPr>
      </w:pPr>
      <w:r w:rsidRPr="00425CAE">
        <w:rPr>
          <w:rFonts w:ascii="Times New Roman" w:hAnsi="Times New Roman" w:cs="Times New Roman"/>
        </w:rPr>
        <w:t xml:space="preserve">Derfor har DFG (Danmark på vegne af Færøerne og Grønland) siden 2013 som kontraherende part protesteret mod fordelingen. Bestanden har i en periode været nedadgående, og siden 2015 har kvoten derfor været sat til 0 ton og kravet har således kun været af principiel betydning. På </w:t>
      </w:r>
      <w:proofErr w:type="spellStart"/>
      <w:r w:rsidRPr="00425CAE">
        <w:rPr>
          <w:rFonts w:ascii="Times New Roman" w:hAnsi="Times New Roman" w:cs="Times New Roman"/>
        </w:rPr>
        <w:t>NAFO’s</w:t>
      </w:r>
      <w:proofErr w:type="spellEnd"/>
      <w:r w:rsidRPr="00425CAE">
        <w:rPr>
          <w:rFonts w:ascii="Times New Roman" w:hAnsi="Times New Roman" w:cs="Times New Roman"/>
        </w:rPr>
        <w:t xml:space="preserve"> årsmøde i 2014, hvor dette blev besluttet, kunne man ikke blive enige om en formulering om at lukke området. I stedet for at lukke området blev en kvote på 0 ton fastsat og har været tilfældet siden. Området er således reelt fortsat lukket for fiskeri efter rejer. Grønland bevarer dog sine historiske fiskerettigheder til området som en del af DFG, såfremt området skulle blive åbnet for fiskeri igen.</w:t>
      </w:r>
    </w:p>
    <w:p w14:paraId="11DC25EC" w14:textId="77777777" w:rsidR="00425CAE" w:rsidRPr="00553F8E" w:rsidRDefault="00425CAE" w:rsidP="00425CAE">
      <w:pPr>
        <w:spacing w:after="0" w:line="276" w:lineRule="auto"/>
        <w:jc w:val="both"/>
        <w:rPr>
          <w:rFonts w:ascii="Times New Roman" w:hAnsi="Times New Roman" w:cs="Times New Roman"/>
        </w:rPr>
      </w:pPr>
    </w:p>
    <w:p w14:paraId="45A79B63" w14:textId="77777777" w:rsidR="00665FFF" w:rsidRPr="00553F8E" w:rsidRDefault="00A6090A" w:rsidP="00425C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Rejefiskeri</w:t>
      </w:r>
      <w:r w:rsidR="00665FFF" w:rsidRPr="00553F8E">
        <w:rPr>
          <w:rFonts w:ascii="Times New Roman" w:hAnsi="Times New Roman" w:cs="Times New Roman"/>
          <w:b/>
          <w:sz w:val="24"/>
          <w:szCs w:val="24"/>
        </w:rPr>
        <w:t xml:space="preserve"> ved </w:t>
      </w:r>
      <w:proofErr w:type="spellStart"/>
      <w:r w:rsidR="00665FFF" w:rsidRPr="00553F8E">
        <w:rPr>
          <w:rFonts w:ascii="Times New Roman" w:hAnsi="Times New Roman" w:cs="Times New Roman"/>
          <w:b/>
          <w:sz w:val="24"/>
          <w:szCs w:val="24"/>
        </w:rPr>
        <w:t>Flemish</w:t>
      </w:r>
      <w:proofErr w:type="spellEnd"/>
      <w:r w:rsidR="00665FFF" w:rsidRPr="00553F8E">
        <w:rPr>
          <w:rFonts w:ascii="Times New Roman" w:hAnsi="Times New Roman" w:cs="Times New Roman"/>
          <w:b/>
          <w:sz w:val="24"/>
          <w:szCs w:val="24"/>
        </w:rPr>
        <w:t xml:space="preserve"> Cap (NAFO-område 3M) </w:t>
      </w:r>
    </w:p>
    <w:p w14:paraId="4A00F7D6" w14:textId="77777777" w:rsidR="005E729A" w:rsidRPr="004774EB" w:rsidRDefault="002A3EC5" w:rsidP="004774EB">
      <w:pPr>
        <w:spacing w:after="0" w:line="276" w:lineRule="auto"/>
        <w:jc w:val="both"/>
        <w:rPr>
          <w:rFonts w:ascii="Times New Roman" w:hAnsi="Times New Roman" w:cs="Times New Roman"/>
        </w:rPr>
      </w:pPr>
      <w:r w:rsidRPr="004774EB">
        <w:rPr>
          <w:rFonts w:ascii="Times New Roman" w:hAnsi="Times New Roman" w:cs="Times New Roman"/>
        </w:rPr>
        <w:t xml:space="preserve">Fiskeriet efter rejer ved </w:t>
      </w:r>
      <w:proofErr w:type="spellStart"/>
      <w:r w:rsidRPr="004774EB">
        <w:rPr>
          <w:rFonts w:ascii="Times New Roman" w:hAnsi="Times New Roman" w:cs="Times New Roman"/>
        </w:rPr>
        <w:t>Flemish</w:t>
      </w:r>
      <w:proofErr w:type="spellEnd"/>
      <w:r w:rsidRPr="004774EB">
        <w:rPr>
          <w:rFonts w:ascii="Times New Roman" w:hAnsi="Times New Roman" w:cs="Times New Roman"/>
        </w:rPr>
        <w:t xml:space="preserve"> Cap (NAFO-område 3M) foregår i internationalt område, og fiskeriet er reguleret gennem NAFO. Det tilladte fiskeri regnes i fiskedage. Fiskeri efter rejer i NAFO område 3M (</w:t>
      </w:r>
      <w:proofErr w:type="spellStart"/>
      <w:r w:rsidRPr="004774EB">
        <w:rPr>
          <w:rFonts w:ascii="Times New Roman" w:hAnsi="Times New Roman" w:cs="Times New Roman"/>
        </w:rPr>
        <w:t>Flemish</w:t>
      </w:r>
      <w:proofErr w:type="spellEnd"/>
      <w:r w:rsidRPr="004774EB">
        <w:rPr>
          <w:rFonts w:ascii="Times New Roman" w:hAnsi="Times New Roman" w:cs="Times New Roman"/>
        </w:rPr>
        <w:t xml:space="preserve"> Cap) blev i 2011 lukket, efter at det ved NAFO-årsmødet 2010 blev besluttet at indføre moratorium i overensstemmelse med den videnskabelige rådgivning, da bestanden faldt under den bæredygtige grænseværdi </w:t>
      </w:r>
      <w:proofErr w:type="spellStart"/>
      <w:r w:rsidRPr="004774EB">
        <w:rPr>
          <w:rFonts w:ascii="Times New Roman" w:hAnsi="Times New Roman" w:cs="Times New Roman"/>
        </w:rPr>
        <w:t>Blim</w:t>
      </w:r>
      <w:proofErr w:type="spellEnd"/>
      <w:r w:rsidRPr="004774EB">
        <w:rPr>
          <w:rFonts w:ascii="Times New Roman" w:hAnsi="Times New Roman" w:cs="Times New Roman"/>
        </w:rPr>
        <w:t>.</w:t>
      </w:r>
      <w:r w:rsidR="005E729A" w:rsidRPr="004774EB">
        <w:rPr>
          <w:rFonts w:ascii="Times New Roman" w:hAnsi="Times New Roman" w:cs="Times New Roman"/>
        </w:rPr>
        <w:t xml:space="preserve"> Grønland har ikke fisket i det område siden 2006</w:t>
      </w:r>
      <w:r w:rsidR="00076B99" w:rsidRPr="004774EB">
        <w:rPr>
          <w:rFonts w:ascii="Times New Roman" w:hAnsi="Times New Roman" w:cs="Times New Roman"/>
        </w:rPr>
        <w:t xml:space="preserve"> hvor i det år blev der fisket 911 tons rejer med fire fartøjer</w:t>
      </w:r>
      <w:r w:rsidR="005E729A" w:rsidRPr="004774EB">
        <w:rPr>
          <w:rFonts w:ascii="Times New Roman" w:hAnsi="Times New Roman" w:cs="Times New Roman"/>
        </w:rPr>
        <w:t xml:space="preserve">. </w:t>
      </w:r>
      <w:r w:rsidRPr="004774EB">
        <w:rPr>
          <w:rFonts w:ascii="Times New Roman" w:hAnsi="Times New Roman" w:cs="Times New Roman"/>
        </w:rPr>
        <w:t xml:space="preserve"> </w:t>
      </w:r>
    </w:p>
    <w:p w14:paraId="2230A28A" w14:textId="77777777" w:rsidR="005E729A" w:rsidRPr="004774EB" w:rsidRDefault="005E729A" w:rsidP="004774EB">
      <w:pPr>
        <w:spacing w:after="0" w:line="276" w:lineRule="auto"/>
        <w:jc w:val="both"/>
        <w:rPr>
          <w:rFonts w:ascii="Times New Roman" w:hAnsi="Times New Roman" w:cs="Times New Roman"/>
        </w:rPr>
      </w:pPr>
    </w:p>
    <w:p w14:paraId="3ED83AC9" w14:textId="77777777" w:rsidR="004774EB" w:rsidRPr="004774EB" w:rsidRDefault="004774EB" w:rsidP="004774EB">
      <w:pPr>
        <w:autoSpaceDE w:val="0"/>
        <w:autoSpaceDN w:val="0"/>
        <w:spacing w:after="0" w:line="276" w:lineRule="auto"/>
        <w:jc w:val="both"/>
        <w:rPr>
          <w:rFonts w:ascii="Times New Roman" w:hAnsi="Times New Roman" w:cs="Times New Roman"/>
        </w:rPr>
      </w:pPr>
      <w:r w:rsidRPr="004774EB">
        <w:rPr>
          <w:rFonts w:ascii="Times New Roman" w:hAnsi="Times New Roman" w:cs="Times New Roman"/>
        </w:rPr>
        <w:t>Efter en positiv videnskabelig rådgivning besluttede NAFO ved årsmødet i 2019 imidlertid at genåbne fiskeriet i 3M.</w:t>
      </w:r>
    </w:p>
    <w:p w14:paraId="085402C5" w14:textId="77777777" w:rsidR="004774EB" w:rsidRPr="004774EB" w:rsidRDefault="004774EB" w:rsidP="004774EB">
      <w:pPr>
        <w:autoSpaceDE w:val="0"/>
        <w:autoSpaceDN w:val="0"/>
        <w:spacing w:after="0" w:line="276" w:lineRule="auto"/>
        <w:jc w:val="both"/>
        <w:rPr>
          <w:rFonts w:ascii="Times New Roman" w:hAnsi="Times New Roman" w:cs="Times New Roman"/>
        </w:rPr>
      </w:pPr>
    </w:p>
    <w:p w14:paraId="19FAF990" w14:textId="77777777" w:rsidR="00920B52" w:rsidRDefault="004774EB" w:rsidP="004774EB">
      <w:pPr>
        <w:autoSpaceDE w:val="0"/>
        <w:autoSpaceDN w:val="0"/>
        <w:spacing w:after="0" w:line="276" w:lineRule="auto"/>
        <w:jc w:val="both"/>
        <w:rPr>
          <w:rFonts w:ascii="Times New Roman" w:hAnsi="Times New Roman" w:cs="Times New Roman"/>
        </w:rPr>
      </w:pPr>
      <w:r w:rsidRPr="004774EB">
        <w:rPr>
          <w:rFonts w:ascii="Times New Roman" w:hAnsi="Times New Roman" w:cs="Times New Roman"/>
        </w:rPr>
        <w:t xml:space="preserve">Fiskeriet forvaltes i dag igennem fiskedage, hvoraf Grønland har ret til 129 fiskedage i 2020. </w:t>
      </w:r>
      <w:r w:rsidR="00920B52">
        <w:rPr>
          <w:rFonts w:ascii="Times New Roman" w:hAnsi="Times New Roman" w:cs="Times New Roman"/>
        </w:rPr>
        <w:t xml:space="preserve">Ingen grønlandske fartøjer udnyttede Grønlands fiskedage i 2020. </w:t>
      </w:r>
    </w:p>
    <w:p w14:paraId="4C44D36B" w14:textId="77777777" w:rsidR="00920B52" w:rsidRDefault="00920B52" w:rsidP="004774EB">
      <w:pPr>
        <w:autoSpaceDE w:val="0"/>
        <w:autoSpaceDN w:val="0"/>
        <w:spacing w:after="0" w:line="276" w:lineRule="auto"/>
        <w:jc w:val="both"/>
        <w:rPr>
          <w:rFonts w:ascii="Times New Roman" w:hAnsi="Times New Roman" w:cs="Times New Roman"/>
        </w:rPr>
      </w:pPr>
    </w:p>
    <w:p w14:paraId="076F7C01" w14:textId="77777777" w:rsidR="004774EB" w:rsidRPr="004774EB" w:rsidRDefault="004774EB" w:rsidP="004774EB">
      <w:pPr>
        <w:autoSpaceDE w:val="0"/>
        <w:autoSpaceDN w:val="0"/>
        <w:spacing w:after="0" w:line="276" w:lineRule="auto"/>
        <w:jc w:val="both"/>
        <w:rPr>
          <w:rFonts w:ascii="Times New Roman" w:hAnsi="Times New Roman" w:cs="Times New Roman"/>
        </w:rPr>
      </w:pPr>
      <w:r w:rsidRPr="004774EB">
        <w:rPr>
          <w:rFonts w:ascii="Times New Roman" w:hAnsi="Times New Roman" w:cs="Times New Roman"/>
        </w:rPr>
        <w:t>Partnerne i NAFO ønsker imidlertid at man skal overgå til en kvotebaseret forvaltning som anses for mere robust og kontrollerbar. På denne baggrund har der været aftalt at afholde et arbejdsgruppemøde som på årsmødet 2020 kunne komme med anbefalinger til, hvorledes denne overgang kunne se ud. På grund af Covid-19 pandemien, har det imidlertid ikke været muligt at afholde et sådanne arbejdsgruppemøde i løbet af 2020. Idet det yderligere vurderes, at mødet ikke kan afholdes virtuelt på grund af sensitiviteten omkring fordeling af ressourcerne, har Japan og EU foreslået at man laver en roll-over af den nuværende forvaltningspraksis. Med dette forslag vil forhandlingerne om en overgang fra fiskedage til kvoteregulering udskydes til 2021 og Grønland vil få tildelt 129 fiskedage i 2021.</w:t>
      </w:r>
      <w:r w:rsidRPr="004774EB">
        <w:rPr>
          <w:rFonts w:ascii="Times New Roman" w:hAnsi="Times New Roman" w:cs="Times New Roman"/>
          <w:color w:val="000000"/>
        </w:rPr>
        <w:t xml:space="preserve"> </w:t>
      </w:r>
    </w:p>
    <w:p w14:paraId="5AF4D474" w14:textId="77777777" w:rsidR="004774EB" w:rsidRDefault="004774EB" w:rsidP="004774EB">
      <w:pPr>
        <w:autoSpaceDE w:val="0"/>
        <w:autoSpaceDN w:val="0"/>
        <w:spacing w:after="0" w:line="240" w:lineRule="auto"/>
      </w:pPr>
      <w:r>
        <w:rPr>
          <w:rFonts w:ascii="Segoe UI" w:hAnsi="Segoe UI" w:cs="Segoe UI"/>
          <w:color w:val="6E6E73"/>
          <w:sz w:val="16"/>
          <w:szCs w:val="16"/>
        </w:rPr>
        <w:t> </w:t>
      </w:r>
    </w:p>
    <w:p w14:paraId="7D8758C7" w14:textId="77777777" w:rsidR="00665FFF" w:rsidRPr="00553F8E" w:rsidRDefault="00665FFF" w:rsidP="00553F8E">
      <w:pPr>
        <w:spacing w:after="0" w:line="276" w:lineRule="auto"/>
        <w:jc w:val="both"/>
        <w:rPr>
          <w:rFonts w:ascii="Times New Roman" w:hAnsi="Times New Roman" w:cs="Times New Roman"/>
        </w:rPr>
      </w:pPr>
    </w:p>
    <w:sectPr w:rsidR="00665FFF" w:rsidRPr="00553F8E">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8589" w14:textId="77777777" w:rsidR="00EB3E40" w:rsidRDefault="00EB3E40" w:rsidP="00ED649A">
      <w:pPr>
        <w:spacing w:after="0" w:line="240" w:lineRule="auto"/>
      </w:pPr>
      <w:r>
        <w:separator/>
      </w:r>
    </w:p>
  </w:endnote>
  <w:endnote w:type="continuationSeparator" w:id="0">
    <w:p w14:paraId="31F51BC2" w14:textId="77777777" w:rsidR="00EB3E40" w:rsidRDefault="00EB3E40" w:rsidP="00ED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845204"/>
      <w:docPartObj>
        <w:docPartGallery w:val="Page Numbers (Bottom of Page)"/>
        <w:docPartUnique/>
      </w:docPartObj>
    </w:sdtPr>
    <w:sdtEndPr/>
    <w:sdtContent>
      <w:p w14:paraId="7F592C45" w14:textId="77777777" w:rsidR="00703AB9" w:rsidRDefault="00703AB9">
        <w:pPr>
          <w:pStyle w:val="Sidefod"/>
          <w:jc w:val="right"/>
        </w:pPr>
        <w:r>
          <w:fldChar w:fldCharType="begin"/>
        </w:r>
        <w:r>
          <w:instrText>PAGE   \* MERGEFORMAT</w:instrText>
        </w:r>
        <w:r>
          <w:fldChar w:fldCharType="separate"/>
        </w:r>
        <w:r w:rsidR="00694638">
          <w:rPr>
            <w:noProof/>
          </w:rPr>
          <w:t>6</w:t>
        </w:r>
        <w:r>
          <w:fldChar w:fldCharType="end"/>
        </w:r>
      </w:p>
    </w:sdtContent>
  </w:sdt>
  <w:p w14:paraId="1B0450E0" w14:textId="77777777" w:rsidR="00703AB9" w:rsidRDefault="00703AB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12516" w14:textId="77777777" w:rsidR="00EB3E40" w:rsidRDefault="00EB3E40" w:rsidP="00ED649A">
      <w:pPr>
        <w:spacing w:after="0" w:line="240" w:lineRule="auto"/>
      </w:pPr>
      <w:r>
        <w:separator/>
      </w:r>
    </w:p>
  </w:footnote>
  <w:footnote w:type="continuationSeparator" w:id="0">
    <w:p w14:paraId="3AB94566" w14:textId="77777777" w:rsidR="00EB3E40" w:rsidRDefault="00EB3E40" w:rsidP="00ED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69E6" w14:textId="77777777" w:rsidR="00ED649A" w:rsidRPr="006E0800" w:rsidRDefault="003E6689" w:rsidP="00ED649A">
    <w:pPr>
      <w:pStyle w:val="Sidehoved"/>
      <w:jc w:val="right"/>
      <w:rPr>
        <w:i/>
      </w:rPr>
    </w:pPr>
    <w:r>
      <w:rPr>
        <w:rFonts w:ascii="Times New Roman" w:hAnsi="Times New Roman" w:cs="Times New Roman"/>
        <w:b/>
        <w:i/>
        <w:color w:val="000000" w:themeColor="text1"/>
        <w:lang w:val="is-IS"/>
      </w:rPr>
      <w:t>28</w:t>
    </w:r>
    <w:r w:rsidR="00703AB9">
      <w:rPr>
        <w:rFonts w:ascii="Times New Roman" w:hAnsi="Times New Roman" w:cs="Times New Roman"/>
        <w:b/>
        <w:i/>
        <w:color w:val="000000" w:themeColor="text1"/>
        <w:lang w:val="is-IS"/>
      </w:rPr>
      <w:t xml:space="preserve">. </w:t>
    </w:r>
    <w:r w:rsidR="00ED649A">
      <w:rPr>
        <w:rFonts w:ascii="Times New Roman" w:hAnsi="Times New Roman" w:cs="Times New Roman"/>
        <w:b/>
        <w:i/>
        <w:color w:val="000000" w:themeColor="text1"/>
        <w:lang w:val="is-IS"/>
      </w:rPr>
      <w:t>M</w:t>
    </w:r>
    <w:r>
      <w:rPr>
        <w:rFonts w:ascii="Times New Roman" w:hAnsi="Times New Roman" w:cs="Times New Roman"/>
        <w:b/>
        <w:i/>
        <w:color w:val="000000" w:themeColor="text1"/>
        <w:lang w:val="is-IS"/>
      </w:rPr>
      <w:t>aj</w:t>
    </w:r>
    <w:r w:rsidR="00ED649A">
      <w:rPr>
        <w:rFonts w:ascii="Times New Roman" w:hAnsi="Times New Roman" w:cs="Times New Roman"/>
        <w:b/>
        <w:i/>
        <w:color w:val="000000" w:themeColor="text1"/>
        <w:lang w:val="is-IS"/>
      </w:rPr>
      <w:t xml:space="preserve"> 2021</w:t>
    </w:r>
  </w:p>
  <w:p w14:paraId="453B73B2" w14:textId="77777777" w:rsidR="00ED649A" w:rsidRDefault="00ED649A">
    <w:pPr>
      <w:pStyle w:val="Sidehoved"/>
    </w:pPr>
  </w:p>
  <w:p w14:paraId="14D25706" w14:textId="77777777" w:rsidR="00ED649A" w:rsidRDefault="00ED649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9A"/>
    <w:rsid w:val="00076B99"/>
    <w:rsid w:val="000C2286"/>
    <w:rsid w:val="001511B9"/>
    <w:rsid w:val="00161BD2"/>
    <w:rsid w:val="0019680A"/>
    <w:rsid w:val="001A2954"/>
    <w:rsid w:val="001F2F70"/>
    <w:rsid w:val="00281DDC"/>
    <w:rsid w:val="002A3EC5"/>
    <w:rsid w:val="0030402B"/>
    <w:rsid w:val="0033485A"/>
    <w:rsid w:val="00351F5B"/>
    <w:rsid w:val="00360D4A"/>
    <w:rsid w:val="003E6689"/>
    <w:rsid w:val="003E786B"/>
    <w:rsid w:val="004148D0"/>
    <w:rsid w:val="00425CAE"/>
    <w:rsid w:val="0044148B"/>
    <w:rsid w:val="0046769F"/>
    <w:rsid w:val="004774EB"/>
    <w:rsid w:val="004D167F"/>
    <w:rsid w:val="00540ECB"/>
    <w:rsid w:val="00553F8E"/>
    <w:rsid w:val="005A4BD8"/>
    <w:rsid w:val="005B531F"/>
    <w:rsid w:val="005C1FD0"/>
    <w:rsid w:val="005E729A"/>
    <w:rsid w:val="006073CB"/>
    <w:rsid w:val="00650908"/>
    <w:rsid w:val="00665FFF"/>
    <w:rsid w:val="006726D3"/>
    <w:rsid w:val="00694638"/>
    <w:rsid w:val="00695A69"/>
    <w:rsid w:val="00703AB9"/>
    <w:rsid w:val="00713E52"/>
    <w:rsid w:val="00780ABD"/>
    <w:rsid w:val="0078318A"/>
    <w:rsid w:val="007E005B"/>
    <w:rsid w:val="00803619"/>
    <w:rsid w:val="008052DE"/>
    <w:rsid w:val="008A1714"/>
    <w:rsid w:val="00920B52"/>
    <w:rsid w:val="00964D12"/>
    <w:rsid w:val="00A6090A"/>
    <w:rsid w:val="00AB31E9"/>
    <w:rsid w:val="00CD15E9"/>
    <w:rsid w:val="00CD5772"/>
    <w:rsid w:val="00E05740"/>
    <w:rsid w:val="00EB04A7"/>
    <w:rsid w:val="00EB3E40"/>
    <w:rsid w:val="00ED649A"/>
    <w:rsid w:val="00F1608A"/>
    <w:rsid w:val="00F24B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ACED"/>
  <w15:chartTrackingRefBased/>
  <w15:docId w15:val="{E613F85D-40D7-4176-ACD6-AA2C9105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D64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649A"/>
  </w:style>
  <w:style w:type="paragraph" w:styleId="Sidefod">
    <w:name w:val="footer"/>
    <w:basedOn w:val="Normal"/>
    <w:link w:val="SidefodTegn"/>
    <w:uiPriority w:val="99"/>
    <w:unhideWhenUsed/>
    <w:rsid w:val="00ED64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649A"/>
  </w:style>
  <w:style w:type="paragraph" w:styleId="Fodnotetekst">
    <w:name w:val="footnote text"/>
    <w:basedOn w:val="Normal"/>
    <w:link w:val="FodnotetekstTegn"/>
    <w:semiHidden/>
    <w:rsid w:val="006726D3"/>
    <w:pPr>
      <w:spacing w:before="100" w:beforeAutospacing="1" w:after="100" w:afterAutospacing="1" w:line="360" w:lineRule="auto"/>
      <w:ind w:left="397" w:right="397"/>
      <w:jc w:val="both"/>
    </w:pPr>
    <w:rPr>
      <w:rFonts w:ascii="Times New Roman" w:eastAsia="Times New Roman" w:hAnsi="Times New Roman" w:cs="Times New Roman"/>
      <w:bCs/>
      <w:color w:val="000000"/>
      <w:sz w:val="20"/>
      <w:szCs w:val="20"/>
      <w:lang w:eastAsia="da-DK"/>
    </w:rPr>
  </w:style>
  <w:style w:type="character" w:customStyle="1" w:styleId="FodnotetekstTegn">
    <w:name w:val="Fodnotetekst Tegn"/>
    <w:basedOn w:val="Standardskrifttypeiafsnit"/>
    <w:link w:val="Fodnotetekst"/>
    <w:semiHidden/>
    <w:rsid w:val="006726D3"/>
    <w:rPr>
      <w:rFonts w:ascii="Times New Roman" w:eastAsia="Times New Roman" w:hAnsi="Times New Roman" w:cs="Times New Roman"/>
      <w:bCs/>
      <w:color w:val="000000"/>
      <w:sz w:val="20"/>
      <w:szCs w:val="20"/>
      <w:lang w:eastAsia="da-DK"/>
    </w:rPr>
  </w:style>
  <w:style w:type="character" w:styleId="Fodnotehenvisning">
    <w:name w:val="footnote reference"/>
    <w:semiHidden/>
    <w:rsid w:val="006726D3"/>
    <w:rPr>
      <w:vertAlign w:val="superscript"/>
    </w:rPr>
  </w:style>
  <w:style w:type="paragraph" w:styleId="Bloktekst">
    <w:name w:val="Block Text"/>
    <w:basedOn w:val="Normal"/>
    <w:rsid w:val="006726D3"/>
    <w:pPr>
      <w:autoSpaceDE w:val="0"/>
      <w:autoSpaceDN w:val="0"/>
      <w:adjustRightInd w:val="0"/>
      <w:spacing w:before="100" w:beforeAutospacing="1" w:after="100" w:afterAutospacing="1" w:line="360" w:lineRule="auto"/>
      <w:ind w:left="567" w:right="567"/>
    </w:pPr>
    <w:rPr>
      <w:rFonts w:ascii="Times New Roman" w:eastAsia="Times New Roman" w:hAnsi="Times New Roman" w:cs="Times New Roman"/>
      <w:color w:val="000000"/>
      <w:sz w:val="24"/>
      <w:lang w:eastAsia="da-DK"/>
    </w:rPr>
  </w:style>
  <w:style w:type="paragraph" w:styleId="Markeringsbobletekst">
    <w:name w:val="Balloon Text"/>
    <w:basedOn w:val="Normal"/>
    <w:link w:val="MarkeringsbobletekstTegn"/>
    <w:uiPriority w:val="99"/>
    <w:semiHidden/>
    <w:unhideWhenUsed/>
    <w:rsid w:val="00920B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0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9504">
      <w:bodyDiv w:val="1"/>
      <w:marLeft w:val="0"/>
      <w:marRight w:val="0"/>
      <w:marTop w:val="0"/>
      <w:marBottom w:val="0"/>
      <w:divBdr>
        <w:top w:val="none" w:sz="0" w:space="0" w:color="auto"/>
        <w:left w:val="none" w:sz="0" w:space="0" w:color="auto"/>
        <w:bottom w:val="none" w:sz="0" w:space="0" w:color="auto"/>
        <w:right w:val="none" w:sz="0" w:space="0" w:color="auto"/>
      </w:divBdr>
    </w:div>
    <w:div w:id="68234223">
      <w:bodyDiv w:val="1"/>
      <w:marLeft w:val="0"/>
      <w:marRight w:val="0"/>
      <w:marTop w:val="0"/>
      <w:marBottom w:val="0"/>
      <w:divBdr>
        <w:top w:val="none" w:sz="0" w:space="0" w:color="auto"/>
        <w:left w:val="none" w:sz="0" w:space="0" w:color="auto"/>
        <w:bottom w:val="none" w:sz="0" w:space="0" w:color="auto"/>
        <w:right w:val="none" w:sz="0" w:space="0" w:color="auto"/>
      </w:divBdr>
    </w:div>
    <w:div w:id="852450945">
      <w:bodyDiv w:val="1"/>
      <w:marLeft w:val="0"/>
      <w:marRight w:val="0"/>
      <w:marTop w:val="0"/>
      <w:marBottom w:val="0"/>
      <w:divBdr>
        <w:top w:val="none" w:sz="0" w:space="0" w:color="auto"/>
        <w:left w:val="none" w:sz="0" w:space="0" w:color="auto"/>
        <w:bottom w:val="none" w:sz="0" w:space="0" w:color="auto"/>
        <w:right w:val="none" w:sz="0" w:space="0" w:color="auto"/>
      </w:divBdr>
    </w:div>
    <w:div w:id="1323317068">
      <w:bodyDiv w:val="1"/>
      <w:marLeft w:val="0"/>
      <w:marRight w:val="0"/>
      <w:marTop w:val="0"/>
      <w:marBottom w:val="0"/>
      <w:divBdr>
        <w:top w:val="none" w:sz="0" w:space="0" w:color="auto"/>
        <w:left w:val="none" w:sz="0" w:space="0" w:color="auto"/>
        <w:bottom w:val="none" w:sz="0" w:space="0" w:color="auto"/>
        <w:right w:val="none" w:sz="0" w:space="0" w:color="auto"/>
      </w:divBdr>
    </w:div>
    <w:div w:id="14554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Tabeller%20og%20figurer%20til%20notat%20om%20rejefiskeriet,%2027-01-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Tabeller%20og%20figurer%20til%20notat%20om%20rejefiskeriet,%2004-03-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Tabeller%20og%20figurer%20til%20notat%20om%20rejefiskeriet,%2027-01-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iog\Desktop\FK,%20Hilmar%20og%20Rasmus%20stat%20og%20analyser\Notater%20til%20FK,%2018-01-2021\Rejer\Tabeller%20og%20figurer%20til%20notat%20om%20rejefiskeriet,%2027-01-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1 og 2'!$C$48</c:f>
              <c:strCache>
                <c:ptCount val="1"/>
                <c:pt idx="0">
                  <c:v>Rådgivning</c:v>
                </c:pt>
              </c:strCache>
            </c:strRef>
          </c:tx>
          <c:spPr>
            <a:solidFill>
              <a:schemeClr val="accent1"/>
            </a:solidFill>
            <a:ln>
              <a:noFill/>
            </a:ln>
            <a:effectLst/>
          </c:spPr>
          <c:invertIfNegative val="0"/>
          <c:cat>
            <c:numRef>
              <c:f>'Figur 1 og 2'!$B$51:$B$82</c:f>
              <c:numCache>
                <c:formatCode>General</c:formatCode>
                <c:ptCount val="3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numCache>
            </c:numRef>
          </c:cat>
          <c:val>
            <c:numRef>
              <c:f>'Figur 1 og 2'!$C$51:$C$82</c:f>
              <c:numCache>
                <c:formatCode>#,##0</c:formatCode>
                <c:ptCount val="32"/>
                <c:pt idx="0">
                  <c:v>10000</c:v>
                </c:pt>
                <c:pt idx="1">
                  <c:v>10000</c:v>
                </c:pt>
                <c:pt idx="2">
                  <c:v>10000</c:v>
                </c:pt>
                <c:pt idx="3">
                  <c:v>8000</c:v>
                </c:pt>
                <c:pt idx="4">
                  <c:v>5000</c:v>
                </c:pt>
                <c:pt idx="5">
                  <c:v>5000</c:v>
                </c:pt>
                <c:pt idx="6">
                  <c:v>5000</c:v>
                </c:pt>
                <c:pt idx="7">
                  <c:v>5000</c:v>
                </c:pt>
                <c:pt idx="8">
                  <c:v>5000</c:v>
                </c:pt>
                <c:pt idx="9">
                  <c:v>5000</c:v>
                </c:pt>
                <c:pt idx="10">
                  <c:v>9600</c:v>
                </c:pt>
                <c:pt idx="11">
                  <c:v>9600</c:v>
                </c:pt>
                <c:pt idx="12">
                  <c:v>9600</c:v>
                </c:pt>
                <c:pt idx="13">
                  <c:v>9600</c:v>
                </c:pt>
                <c:pt idx="14">
                  <c:v>9600</c:v>
                </c:pt>
                <c:pt idx="15">
                  <c:v>12400</c:v>
                </c:pt>
                <c:pt idx="16">
                  <c:v>12400</c:v>
                </c:pt>
                <c:pt idx="17">
                  <c:v>12400</c:v>
                </c:pt>
                <c:pt idx="18">
                  <c:v>12400</c:v>
                </c:pt>
                <c:pt idx="19">
                  <c:v>12400</c:v>
                </c:pt>
                <c:pt idx="20">
                  <c:v>12400</c:v>
                </c:pt>
                <c:pt idx="21">
                  <c:v>12400</c:v>
                </c:pt>
                <c:pt idx="22">
                  <c:v>12400</c:v>
                </c:pt>
                <c:pt idx="23">
                  <c:v>12400</c:v>
                </c:pt>
                <c:pt idx="24">
                  <c:v>12400</c:v>
                </c:pt>
                <c:pt idx="25">
                  <c:v>2000</c:v>
                </c:pt>
                <c:pt idx="26">
                  <c:v>2000</c:v>
                </c:pt>
                <c:pt idx="27">
                  <c:v>2000</c:v>
                </c:pt>
                <c:pt idx="28">
                  <c:v>2000</c:v>
                </c:pt>
                <c:pt idx="29">
                  <c:v>2000</c:v>
                </c:pt>
                <c:pt idx="30">
                  <c:v>2000</c:v>
                </c:pt>
                <c:pt idx="31">
                  <c:v>2000</c:v>
                </c:pt>
              </c:numCache>
            </c:numRef>
          </c:val>
          <c:extLst>
            <c:ext xmlns:c16="http://schemas.microsoft.com/office/drawing/2014/chart" uri="{C3380CC4-5D6E-409C-BE32-E72D297353CC}">
              <c16:uniqueId val="{00000000-3116-4DEF-82E6-186DA0CD0615}"/>
            </c:ext>
          </c:extLst>
        </c:ser>
        <c:dLbls>
          <c:showLegendKey val="0"/>
          <c:showVal val="0"/>
          <c:showCatName val="0"/>
          <c:showSerName val="0"/>
          <c:showPercent val="0"/>
          <c:showBubbleSize val="0"/>
        </c:dLbls>
        <c:gapWidth val="150"/>
        <c:axId val="412226472"/>
        <c:axId val="412226800"/>
      </c:barChart>
      <c:lineChart>
        <c:grouping val="standard"/>
        <c:varyColors val="0"/>
        <c:ser>
          <c:idx val="1"/>
          <c:order val="1"/>
          <c:tx>
            <c:strRef>
              <c:f>'Figur 1 og 2'!$D$48</c:f>
              <c:strCache>
                <c:ptCount val="1"/>
                <c:pt idx="0">
                  <c:v>TAC</c:v>
                </c:pt>
              </c:strCache>
            </c:strRef>
          </c:tx>
          <c:spPr>
            <a:ln w="28575" cap="rnd">
              <a:solidFill>
                <a:schemeClr val="accent2"/>
              </a:solidFill>
              <a:round/>
            </a:ln>
            <a:effectLst/>
          </c:spPr>
          <c:marker>
            <c:symbol val="none"/>
          </c:marker>
          <c:cat>
            <c:numRef>
              <c:f>'Figur 1 og 2'!$B$51:$B$82</c:f>
              <c:numCache>
                <c:formatCode>General</c:formatCode>
                <c:ptCount val="3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numCache>
            </c:numRef>
          </c:cat>
          <c:val>
            <c:numRef>
              <c:f>'Figur 1 og 2'!$D$51:$D$82</c:f>
              <c:numCache>
                <c:formatCode>#,##0</c:formatCode>
                <c:ptCount val="32"/>
                <c:pt idx="0">
                  <c:v>9025</c:v>
                </c:pt>
                <c:pt idx="1">
                  <c:v>14100</c:v>
                </c:pt>
                <c:pt idx="2">
                  <c:v>14500</c:v>
                </c:pt>
                <c:pt idx="3">
                  <c:v>13000</c:v>
                </c:pt>
                <c:pt idx="4">
                  <c:v>9563</c:v>
                </c:pt>
                <c:pt idx="5">
                  <c:v>9563</c:v>
                </c:pt>
                <c:pt idx="6">
                  <c:v>9563</c:v>
                </c:pt>
                <c:pt idx="7">
                  <c:v>9563</c:v>
                </c:pt>
                <c:pt idx="8">
                  <c:v>9563</c:v>
                </c:pt>
                <c:pt idx="9">
                  <c:v>9563</c:v>
                </c:pt>
                <c:pt idx="10">
                  <c:v>10600</c:v>
                </c:pt>
                <c:pt idx="11">
                  <c:v>10600</c:v>
                </c:pt>
                <c:pt idx="12">
                  <c:v>10600</c:v>
                </c:pt>
                <c:pt idx="13">
                  <c:v>10600</c:v>
                </c:pt>
                <c:pt idx="14">
                  <c:v>10600</c:v>
                </c:pt>
                <c:pt idx="15">
                  <c:v>15600</c:v>
                </c:pt>
                <c:pt idx="16">
                  <c:v>12400</c:v>
                </c:pt>
                <c:pt idx="17">
                  <c:v>12400</c:v>
                </c:pt>
                <c:pt idx="18">
                  <c:v>12400</c:v>
                </c:pt>
                <c:pt idx="19">
                  <c:v>12400</c:v>
                </c:pt>
                <c:pt idx="20">
                  <c:v>12400</c:v>
                </c:pt>
                <c:pt idx="21">
                  <c:v>12400</c:v>
                </c:pt>
                <c:pt idx="22">
                  <c:v>12400</c:v>
                </c:pt>
                <c:pt idx="23">
                  <c:v>12400</c:v>
                </c:pt>
                <c:pt idx="24">
                  <c:v>12400</c:v>
                </c:pt>
                <c:pt idx="25">
                  <c:v>8300</c:v>
                </c:pt>
                <c:pt idx="26">
                  <c:v>6100</c:v>
                </c:pt>
                <c:pt idx="27">
                  <c:v>5300</c:v>
                </c:pt>
                <c:pt idx="28">
                  <c:v>5000</c:v>
                </c:pt>
                <c:pt idx="29">
                  <c:v>4300</c:v>
                </c:pt>
                <c:pt idx="30">
                  <c:v>4000</c:v>
                </c:pt>
                <c:pt idx="31">
                  <c:v>4750</c:v>
                </c:pt>
              </c:numCache>
            </c:numRef>
          </c:val>
          <c:smooth val="0"/>
          <c:extLst>
            <c:ext xmlns:c16="http://schemas.microsoft.com/office/drawing/2014/chart" uri="{C3380CC4-5D6E-409C-BE32-E72D297353CC}">
              <c16:uniqueId val="{00000001-3116-4DEF-82E6-186DA0CD0615}"/>
            </c:ext>
          </c:extLst>
        </c:ser>
        <c:ser>
          <c:idx val="2"/>
          <c:order val="2"/>
          <c:tx>
            <c:strRef>
              <c:f>'Figur 1 og 2'!$E$48</c:f>
              <c:strCache>
                <c:ptCount val="1"/>
                <c:pt idx="0">
                  <c:v>Fangst GRL</c:v>
                </c:pt>
              </c:strCache>
            </c:strRef>
          </c:tx>
          <c:spPr>
            <a:ln w="28575" cap="rnd">
              <a:solidFill>
                <a:schemeClr val="accent3"/>
              </a:solidFill>
              <a:round/>
            </a:ln>
            <a:effectLst/>
          </c:spPr>
          <c:marker>
            <c:symbol val="none"/>
          </c:marker>
          <c:cat>
            <c:numRef>
              <c:f>'Figur 1 og 2'!$B$51:$B$82</c:f>
              <c:numCache>
                <c:formatCode>General</c:formatCode>
                <c:ptCount val="3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numCache>
            </c:numRef>
          </c:cat>
          <c:val>
            <c:numRef>
              <c:f>'Figur 1 og 2'!$E$51:$E$82</c:f>
              <c:numCache>
                <c:formatCode>_(* #,##0_);_(* \(#,##0\);_(* "-"??_);_(@_)</c:formatCode>
                <c:ptCount val="32"/>
                <c:pt idx="0">
                  <c:v>12999</c:v>
                </c:pt>
                <c:pt idx="1">
                  <c:v>12480</c:v>
                </c:pt>
                <c:pt idx="2">
                  <c:v>10757</c:v>
                </c:pt>
                <c:pt idx="3">
                  <c:v>8901</c:v>
                </c:pt>
                <c:pt idx="4">
                  <c:v>8886</c:v>
                </c:pt>
                <c:pt idx="5">
                  <c:v>11932</c:v>
                </c:pt>
                <c:pt idx="6">
                  <c:v>11588</c:v>
                </c:pt>
                <c:pt idx="7">
                  <c:v>11944</c:v>
                </c:pt>
                <c:pt idx="8">
                  <c:v>13754</c:v>
                </c:pt>
                <c:pt idx="9">
                  <c:v>11422</c:v>
                </c:pt>
                <c:pt idx="10">
                  <c:v>11719</c:v>
                </c:pt>
                <c:pt idx="11">
                  <c:v>12053</c:v>
                </c:pt>
                <c:pt idx="12">
                  <c:v>13911</c:v>
                </c:pt>
                <c:pt idx="13">
                  <c:v>11242</c:v>
                </c:pt>
                <c:pt idx="14">
                  <c:v>12637</c:v>
                </c:pt>
                <c:pt idx="15">
                  <c:v>9985</c:v>
                </c:pt>
                <c:pt idx="16">
                  <c:v>7753</c:v>
                </c:pt>
                <c:pt idx="17">
                  <c:v>5189</c:v>
                </c:pt>
                <c:pt idx="18">
                  <c:v>4600</c:v>
                </c:pt>
                <c:pt idx="19">
                  <c:v>2794</c:v>
                </c:pt>
                <c:pt idx="20">
                  <c:v>4555</c:v>
                </c:pt>
                <c:pt idx="21">
                  <c:v>3602</c:v>
                </c:pt>
                <c:pt idx="22">
                  <c:v>1199</c:v>
                </c:pt>
                <c:pt idx="23">
                  <c:v>2109</c:v>
                </c:pt>
                <c:pt idx="24">
                  <c:v>1717</c:v>
                </c:pt>
                <c:pt idx="25">
                  <c:v>622</c:v>
                </c:pt>
                <c:pt idx="26">
                  <c:v>576</c:v>
                </c:pt>
                <c:pt idx="27">
                  <c:v>49</c:v>
                </c:pt>
                <c:pt idx="28">
                  <c:v>561</c:v>
                </c:pt>
                <c:pt idx="29">
                  <c:v>545</c:v>
                </c:pt>
                <c:pt idx="30">
                  <c:v>1576</c:v>
                </c:pt>
                <c:pt idx="31">
                  <c:v>3172</c:v>
                </c:pt>
              </c:numCache>
            </c:numRef>
          </c:val>
          <c:smooth val="0"/>
          <c:extLst>
            <c:ext xmlns:c16="http://schemas.microsoft.com/office/drawing/2014/chart" uri="{C3380CC4-5D6E-409C-BE32-E72D297353CC}">
              <c16:uniqueId val="{00000002-3116-4DEF-82E6-186DA0CD0615}"/>
            </c:ext>
          </c:extLst>
        </c:ser>
        <c:dLbls>
          <c:showLegendKey val="0"/>
          <c:showVal val="0"/>
          <c:showCatName val="0"/>
          <c:showSerName val="0"/>
          <c:showPercent val="0"/>
          <c:showBubbleSize val="0"/>
        </c:dLbls>
        <c:marker val="1"/>
        <c:smooth val="0"/>
        <c:axId val="412226472"/>
        <c:axId val="412226800"/>
      </c:lineChart>
      <c:catAx>
        <c:axId val="41222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800"/>
        <c:crosses val="autoZero"/>
        <c:auto val="1"/>
        <c:lblAlgn val="ctr"/>
        <c:lblOffset val="100"/>
        <c:noMultiLvlLbl val="0"/>
      </c:catAx>
      <c:valAx>
        <c:axId val="412226800"/>
        <c:scaling>
          <c:orientation val="minMax"/>
          <c:max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412226472"/>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 (2)'!$E$7</c:f>
              <c:strCache>
                <c:ptCount val="1"/>
                <c:pt idx="0">
                  <c:v>Samlet TAC for rejer i Øst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 (2)'!$G$6:$P$6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'Ark1 (2)'!$G$7:$P$7</c:f>
              <c:numCache>
                <c:formatCode>#,##0</c:formatCode>
                <c:ptCount val="10"/>
                <c:pt idx="0">
                  <c:v>12400</c:v>
                </c:pt>
                <c:pt idx="1">
                  <c:v>12400</c:v>
                </c:pt>
                <c:pt idx="2">
                  <c:v>12400</c:v>
                </c:pt>
                <c:pt idx="3">
                  <c:v>8300</c:v>
                </c:pt>
                <c:pt idx="4">
                  <c:v>6100</c:v>
                </c:pt>
                <c:pt idx="5">
                  <c:v>5300</c:v>
                </c:pt>
                <c:pt idx="6">
                  <c:v>5000</c:v>
                </c:pt>
                <c:pt idx="7">
                  <c:v>4300</c:v>
                </c:pt>
                <c:pt idx="8">
                  <c:v>4000</c:v>
                </c:pt>
                <c:pt idx="9">
                  <c:v>4750</c:v>
                </c:pt>
              </c:numCache>
            </c:numRef>
          </c:val>
          <c:extLst>
            <c:ext xmlns:c16="http://schemas.microsoft.com/office/drawing/2014/chart" uri="{C3380CC4-5D6E-409C-BE32-E72D297353CC}">
              <c16:uniqueId val="{00000000-BE4C-443F-98C1-DC2A886E1506}"/>
            </c:ext>
          </c:extLst>
        </c:ser>
        <c:ser>
          <c:idx val="1"/>
          <c:order val="1"/>
          <c:tx>
            <c:strRef>
              <c:f>'Ark1 (2)'!$E$8</c:f>
              <c:strCache>
                <c:ptCount val="1"/>
                <c:pt idx="0">
                  <c:v>Rejekvote tildelt EU</c:v>
                </c:pt>
              </c:strCache>
            </c:strRef>
          </c:tx>
          <c:spPr>
            <a:solidFill>
              <a:schemeClr val="accent2"/>
            </a:solidFill>
            <a:ln>
              <a:noFill/>
            </a:ln>
            <a:effectLst/>
          </c:spPr>
          <c:invertIfNegative val="0"/>
          <c:dLbls>
            <c:dLbl>
              <c:idx val="0"/>
              <c:layout>
                <c:manualLayout>
                  <c:x val="9.4043882504683141E-3"/>
                  <c:y val="-8.17067576635470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4C-443F-98C1-DC2A886E1506}"/>
                </c:ext>
              </c:extLst>
            </c:dLbl>
            <c:dLbl>
              <c:idx val="1"/>
              <c:layout>
                <c:manualLayout>
                  <c:x val="9.4043882504683315E-3"/>
                  <c:y val="-9.98626613001280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4C-443F-98C1-DC2A886E1506}"/>
                </c:ext>
              </c:extLst>
            </c:dLbl>
            <c:dLbl>
              <c:idx val="2"/>
              <c:layout>
                <c:manualLayout>
                  <c:x val="1.31661435506556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4C-443F-98C1-DC2A886E1506}"/>
                </c:ext>
              </c:extLst>
            </c:dLbl>
            <c:dLbl>
              <c:idx val="3"/>
              <c:layout>
                <c:manualLayout>
                  <c:x val="1.12852659005619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4C-443F-98C1-DC2A886E1506}"/>
                </c:ext>
              </c:extLst>
            </c:dLbl>
            <c:dLbl>
              <c:idx val="4"/>
              <c:layout>
                <c:manualLayout>
                  <c:x val="1.50470212007493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4C-443F-98C1-DC2A886E1506}"/>
                </c:ext>
              </c:extLst>
            </c:dLbl>
            <c:dLbl>
              <c:idx val="5"/>
              <c:layout>
                <c:manualLayout>
                  <c:x val="1.5047021200749192E-2"/>
                  <c:y val="-9.98626613001280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4C-443F-98C1-DC2A886E1506}"/>
                </c:ext>
              </c:extLst>
            </c:dLbl>
            <c:dLbl>
              <c:idx val="6"/>
              <c:layout>
                <c:manualLayout>
                  <c:x val="9.4043882504683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4C-443F-98C1-DC2A886E1506}"/>
                </c:ext>
              </c:extLst>
            </c:dLbl>
            <c:dLbl>
              <c:idx val="7"/>
              <c:layout>
                <c:manualLayout>
                  <c:x val="9.4043882504683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4C-443F-98C1-DC2A886E1506}"/>
                </c:ext>
              </c:extLst>
            </c:dLbl>
            <c:dLbl>
              <c:idx val="8"/>
              <c:layout>
                <c:manualLayout>
                  <c:x val="1.88087765009366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4C-443F-98C1-DC2A886E1506}"/>
                </c:ext>
              </c:extLst>
            </c:dLbl>
            <c:dLbl>
              <c:idx val="9"/>
              <c:layout>
                <c:manualLayout>
                  <c:x val="2.068965415103019E-2"/>
                  <c:y val="5.44711717756970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4C-443F-98C1-DC2A886E150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 (2)'!$G$6:$P$6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'Ark1 (2)'!$G$8:$P$8</c:f>
              <c:numCache>
                <c:formatCode>#,##0</c:formatCode>
                <c:ptCount val="10"/>
                <c:pt idx="0">
                  <c:v>7000</c:v>
                </c:pt>
                <c:pt idx="1">
                  <c:v>8000</c:v>
                </c:pt>
                <c:pt idx="2">
                  <c:v>7500</c:v>
                </c:pt>
                <c:pt idx="3">
                  <c:v>6500</c:v>
                </c:pt>
                <c:pt idx="4">
                  <c:v>5500</c:v>
                </c:pt>
                <c:pt idx="5">
                  <c:v>4675</c:v>
                </c:pt>
                <c:pt idx="6">
                  <c:v>4150</c:v>
                </c:pt>
                <c:pt idx="7">
                  <c:v>3750</c:v>
                </c:pt>
                <c:pt idx="8">
                  <c:v>3750</c:v>
                </c:pt>
                <c:pt idx="9">
                  <c:v>4400</c:v>
                </c:pt>
              </c:numCache>
            </c:numRef>
          </c:val>
          <c:extLst>
            <c:ext xmlns:c16="http://schemas.microsoft.com/office/drawing/2014/chart" uri="{C3380CC4-5D6E-409C-BE32-E72D297353CC}">
              <c16:uniqueId val="{0000000B-BE4C-443F-98C1-DC2A886E1506}"/>
            </c:ext>
          </c:extLst>
        </c:ser>
        <c:ser>
          <c:idx val="2"/>
          <c:order val="2"/>
          <c:tx>
            <c:strRef>
              <c:f>'Ark1 (2)'!$E$9</c:f>
              <c:strCache>
                <c:ptCount val="1"/>
                <c:pt idx="0">
                  <c:v>Rejekvote tildelt GRL fartøjer</c:v>
                </c:pt>
              </c:strCache>
            </c:strRef>
          </c:tx>
          <c:spPr>
            <a:solidFill>
              <a:schemeClr val="accent3"/>
            </a:solidFill>
            <a:ln>
              <a:noFill/>
            </a:ln>
            <a:effectLst/>
          </c:spPr>
          <c:invertIfNegative val="0"/>
          <c:dLbls>
            <c:dLbl>
              <c:idx val="0"/>
              <c:layout>
                <c:manualLayout>
                  <c:x val="1.5047021200749312E-2"/>
                  <c:y val="2.7235585887849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4C-443F-98C1-DC2A886E1506}"/>
                </c:ext>
              </c:extLst>
            </c:dLbl>
            <c:dLbl>
              <c:idx val="1"/>
              <c:layout>
                <c:manualLayout>
                  <c:x val="1.12852659005619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4C-443F-98C1-DC2A886E1506}"/>
                </c:ext>
              </c:extLst>
            </c:dLbl>
            <c:dLbl>
              <c:idx val="2"/>
              <c:layout>
                <c:manualLayout>
                  <c:x val="1.12852659005619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4C-443F-98C1-DC2A886E1506}"/>
                </c:ext>
              </c:extLst>
            </c:dLbl>
            <c:dLbl>
              <c:idx val="3"/>
              <c:layout>
                <c:manualLayout>
                  <c:x val="1.12852659005619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4C-443F-98C1-DC2A886E1506}"/>
                </c:ext>
              </c:extLst>
            </c:dLbl>
            <c:dLbl>
              <c:idx val="4"/>
              <c:layout>
                <c:manualLayout>
                  <c:x val="9.4043882504683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4C-443F-98C1-DC2A886E1506}"/>
                </c:ext>
              </c:extLst>
            </c:dLbl>
            <c:dLbl>
              <c:idx val="5"/>
              <c:layout>
                <c:manualLayout>
                  <c:x val="1.24507159161651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4C-443F-98C1-DC2A886E1506}"/>
                </c:ext>
              </c:extLst>
            </c:dLbl>
            <c:dLbl>
              <c:idx val="6"/>
              <c:layout>
                <c:manualLayout>
                  <c:x val="1.4525835235525891E-2"/>
                  <c:y val="1.10175009300173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E4C-443F-98C1-DC2A886E1506}"/>
                </c:ext>
              </c:extLst>
            </c:dLbl>
            <c:dLbl>
              <c:idx val="7"/>
              <c:layout>
                <c:manualLayout>
                  <c:x val="8.3004772774434524E-3"/>
                  <c:y val="-1.10175009300173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4C-443F-98C1-DC2A886E1506}"/>
                </c:ext>
              </c:extLst>
            </c:dLbl>
            <c:dLbl>
              <c:idx val="8"/>
              <c:layout>
                <c:manualLayout>
                  <c:x val="1.0375596596804317E-2"/>
                  <c:y val="-1.10175009300173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4C-443F-98C1-DC2A886E1506}"/>
                </c:ext>
              </c:extLst>
            </c:dLbl>
            <c:dLbl>
              <c:idx val="9"/>
              <c:layout>
                <c:manualLayout>
                  <c:x val="1.2450715916165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4C-443F-98C1-DC2A886E150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 (2)'!$G$6:$P$6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'Ark1 (2)'!$G$9:$P$9</c:f>
              <c:numCache>
                <c:formatCode>#,##0</c:formatCode>
                <c:ptCount val="10"/>
                <c:pt idx="0">
                  <c:v>5400</c:v>
                </c:pt>
                <c:pt idx="1">
                  <c:v>4400</c:v>
                </c:pt>
                <c:pt idx="2">
                  <c:v>4900</c:v>
                </c:pt>
                <c:pt idx="3">
                  <c:v>1800</c:v>
                </c:pt>
                <c:pt idx="4">
                  <c:v>600</c:v>
                </c:pt>
                <c:pt idx="5">
                  <c:v>625</c:v>
                </c:pt>
                <c:pt idx="6">
                  <c:v>850</c:v>
                </c:pt>
                <c:pt idx="7">
                  <c:v>550</c:v>
                </c:pt>
                <c:pt idx="8">
                  <c:v>250</c:v>
                </c:pt>
                <c:pt idx="9">
                  <c:v>350</c:v>
                </c:pt>
              </c:numCache>
            </c:numRef>
          </c:val>
          <c:extLst>
            <c:ext xmlns:c16="http://schemas.microsoft.com/office/drawing/2014/chart" uri="{C3380CC4-5D6E-409C-BE32-E72D297353CC}">
              <c16:uniqueId val="{00000011-BE4C-443F-98C1-DC2A886E1506}"/>
            </c:ext>
          </c:extLst>
        </c:ser>
        <c:dLbls>
          <c:showLegendKey val="0"/>
          <c:showVal val="0"/>
          <c:showCatName val="0"/>
          <c:showSerName val="0"/>
          <c:showPercent val="0"/>
          <c:showBubbleSize val="0"/>
        </c:dLbls>
        <c:gapWidth val="219"/>
        <c:overlap val="-27"/>
        <c:axId val="637051736"/>
        <c:axId val="637048128"/>
      </c:barChart>
      <c:catAx>
        <c:axId val="63705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7048128"/>
        <c:crosses val="autoZero"/>
        <c:auto val="1"/>
        <c:lblAlgn val="ctr"/>
        <c:lblOffset val="100"/>
        <c:noMultiLvlLbl val="0"/>
      </c:catAx>
      <c:valAx>
        <c:axId val="637048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637051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'Ark1'!$E$11</c:f>
              <c:strCache>
                <c:ptCount val="1"/>
                <c:pt idx="0">
                  <c:v>EU flåde</c:v>
                </c:pt>
              </c:strCache>
            </c:strRef>
          </c:tx>
          <c:spPr>
            <a:solidFill>
              <a:schemeClr val="accent2"/>
            </a:solidFill>
            <a:ln>
              <a:noFill/>
            </a:ln>
            <a:effectLst/>
          </c:spPr>
          <c:invertIfNegative val="0"/>
          <c:dLbls>
            <c:dLbl>
              <c:idx val="1"/>
              <c:layout>
                <c:manualLayout>
                  <c:x val="-6.2253579580825898E-3"/>
                  <c:y val="1.0443864229765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3D-416D-9653-803960D1BBCD}"/>
                </c:ext>
              </c:extLst>
            </c:dLbl>
            <c:dLbl>
              <c:idx val="3"/>
              <c:layout>
                <c:manualLayout>
                  <c:x val="-1.4525835235526042E-2"/>
                  <c:y val="1.044386422976501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extLst>
                <c:ext xmlns:c15="http://schemas.microsoft.com/office/drawing/2012/chart" uri="{CE6537A1-D6FC-4f65-9D91-7224C49458BB}">
                  <c15:layout>
                    <c:manualLayout>
                      <c:w val="4.9802863664660718E-2"/>
                      <c:h val="5.2915578764142733E-2"/>
                    </c:manualLayout>
                  </c15:layout>
                </c:ext>
                <c:ext xmlns:c16="http://schemas.microsoft.com/office/drawing/2014/chart" uri="{C3380CC4-5D6E-409C-BE32-E72D297353CC}">
                  <c16:uniqueId val="{00000007-2C3D-416D-9653-803960D1BBCD}"/>
                </c:ext>
              </c:extLst>
            </c:dLbl>
            <c:dLbl>
              <c:idx val="4"/>
              <c:layout>
                <c:manualLayout>
                  <c:x val="-8.3004772774434524E-3"/>
                  <c:y val="6.96257615317667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3D-416D-9653-803960D1BBCD}"/>
                </c:ext>
              </c:extLst>
            </c:dLbl>
            <c:dLbl>
              <c:idx val="5"/>
              <c:layout>
                <c:manualLayout>
                  <c:x val="-1.0375596596804317E-2"/>
                  <c:y val="1.3925152306353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3D-416D-9653-803960D1BBCD}"/>
                </c:ext>
              </c:extLst>
            </c:dLbl>
            <c:dLbl>
              <c:idx val="10"/>
              <c:layout>
                <c:manualLayout>
                  <c:x val="4.56526250259389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3D-416D-9653-803960D1BBC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'Ark1'!$F$11:$P$11</c:f>
              <c:numCache>
                <c:formatCode>#,##0</c:formatCode>
                <c:ptCount val="11"/>
                <c:pt idx="0">
                  <c:v>3206</c:v>
                </c:pt>
                <c:pt idx="1">
                  <c:v>974</c:v>
                </c:pt>
                <c:pt idx="2">
                  <c:v>1444</c:v>
                </c:pt>
                <c:pt idx="3">
                  <c:v>1540</c:v>
                </c:pt>
                <c:pt idx="4">
                  <c:v>441</c:v>
                </c:pt>
                <c:pt idx="5">
                  <c:v>402</c:v>
                </c:pt>
                <c:pt idx="6">
                  <c:v>49</c:v>
                </c:pt>
                <c:pt idx="7">
                  <c:v>178</c:v>
                </c:pt>
                <c:pt idx="8">
                  <c:v>547</c:v>
                </c:pt>
                <c:pt idx="9">
                  <c:v>1276</c:v>
                </c:pt>
                <c:pt idx="10">
                  <c:v>3172</c:v>
                </c:pt>
              </c:numCache>
            </c:numRef>
          </c:val>
          <c:extLst>
            <c:ext xmlns:c16="http://schemas.microsoft.com/office/drawing/2014/chart" uri="{C3380CC4-5D6E-409C-BE32-E72D297353CC}">
              <c16:uniqueId val="{00000000-FB02-4264-B0C3-46F9AD6F01A9}"/>
            </c:ext>
          </c:extLst>
        </c:ser>
        <c:ser>
          <c:idx val="2"/>
          <c:order val="2"/>
          <c:tx>
            <c:strRef>
              <c:f>'Ark1'!$E$12</c:f>
              <c:strCache>
                <c:ptCount val="1"/>
                <c:pt idx="0">
                  <c:v>GRL flåde</c:v>
                </c:pt>
              </c:strCache>
            </c:strRef>
          </c:tx>
          <c:spPr>
            <a:solidFill>
              <a:schemeClr val="accent3"/>
            </a:solidFill>
            <a:ln>
              <a:noFill/>
            </a:ln>
            <a:effectLst/>
          </c:spPr>
          <c:invertIfNegative val="0"/>
          <c:dLbls>
            <c:dLbl>
              <c:idx val="5"/>
              <c:layout>
                <c:manualLayout>
                  <c:x val="0"/>
                  <c:y val="1.0443864229764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3D-416D-9653-803960D1BBCD}"/>
                </c:ext>
              </c:extLst>
            </c:dLbl>
            <c:dLbl>
              <c:idx val="7"/>
              <c:layout>
                <c:manualLayout>
                  <c:x val="2.2826312512969495E-2"/>
                  <c:y val="2.7850304612706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3D-416D-9653-803960D1BBC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'Ark1'!$F$12:$P$12</c:f>
              <c:numCache>
                <c:formatCode>#,##0</c:formatCode>
                <c:ptCount val="11"/>
                <c:pt idx="0">
                  <c:v>715</c:v>
                </c:pt>
                <c:pt idx="1">
                  <c:v>236</c:v>
                </c:pt>
                <c:pt idx="2">
                  <c:v>723</c:v>
                </c:pt>
                <c:pt idx="3">
                  <c:v>175</c:v>
                </c:pt>
                <c:pt idx="4">
                  <c:v>180</c:v>
                </c:pt>
                <c:pt idx="5">
                  <c:v>174</c:v>
                </c:pt>
                <c:pt idx="7">
                  <c:v>383</c:v>
                </c:pt>
                <c:pt idx="8">
                  <c:v>0</c:v>
                </c:pt>
                <c:pt idx="9">
                  <c:v>298</c:v>
                </c:pt>
                <c:pt idx="10">
                  <c:v>0</c:v>
                </c:pt>
              </c:numCache>
            </c:numRef>
          </c:val>
          <c:extLst>
            <c:ext xmlns:c16="http://schemas.microsoft.com/office/drawing/2014/chart" uri="{C3380CC4-5D6E-409C-BE32-E72D297353CC}">
              <c16:uniqueId val="{00000001-FB02-4264-B0C3-46F9AD6F01A9}"/>
            </c:ext>
          </c:extLst>
        </c:ser>
        <c:dLbls>
          <c:showLegendKey val="0"/>
          <c:showVal val="0"/>
          <c:showCatName val="0"/>
          <c:showSerName val="0"/>
          <c:showPercent val="0"/>
          <c:showBubbleSize val="0"/>
        </c:dLbls>
        <c:gapWidth val="219"/>
        <c:overlap val="-27"/>
        <c:axId val="1676304"/>
        <c:axId val="1668432"/>
      </c:barChart>
      <c:lineChart>
        <c:grouping val="stacked"/>
        <c:varyColors val="0"/>
        <c:ser>
          <c:idx val="0"/>
          <c:order val="0"/>
          <c:tx>
            <c:strRef>
              <c:f>'Ark1'!$E$10</c:f>
              <c:strCache>
                <c:ptCount val="1"/>
                <c:pt idx="0">
                  <c:v>Samlet fangst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082566873579481E-3"/>
                  <c:y val="-8.206081289447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02-4264-B0C3-46F9AD6F01A9}"/>
                </c:ext>
              </c:extLst>
            </c:dLbl>
            <c:dLbl>
              <c:idx val="1"/>
              <c:layout>
                <c:manualLayout>
                  <c:x val="-2.2826312512969495E-2"/>
                  <c:y val="-0.131841587686656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B02-4264-B0C3-46F9AD6F01A9}"/>
                </c:ext>
              </c:extLst>
            </c:dLbl>
            <c:dLbl>
              <c:idx val="2"/>
              <c:layout>
                <c:manualLayout>
                  <c:x val="-1.0917578548168095E-2"/>
                  <c:y val="-0.126354036032702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02-4264-B0C3-46F9AD6F01A9}"/>
                </c:ext>
              </c:extLst>
            </c:dLbl>
            <c:dLbl>
              <c:idx val="3"/>
              <c:layout>
                <c:manualLayout>
                  <c:x val="1.8676073874247769E-2"/>
                  <c:y val="-8.3550913838120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3D-416D-9653-803960D1BBCD}"/>
                </c:ext>
              </c:extLst>
            </c:dLbl>
            <c:dLbl>
              <c:idx val="4"/>
              <c:layout>
                <c:manualLayout>
                  <c:x val="1.7143426691915915E-3"/>
                  <c:y val="-9.5022443343407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02-4264-B0C3-46F9AD6F01A9}"/>
                </c:ext>
              </c:extLst>
            </c:dLbl>
            <c:dLbl>
              <c:idx val="5"/>
              <c:layout>
                <c:manualLayout>
                  <c:x val="1.6600954554886905E-2"/>
                  <c:y val="-7.3107049608355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3D-416D-9653-803960D1BBCD}"/>
                </c:ext>
              </c:extLst>
            </c:dLbl>
            <c:dLbl>
              <c:idx val="6"/>
              <c:layout>
                <c:manualLayout>
                  <c:x val="-2.4000001079865066E-2"/>
                  <c:y val="-5.5392369889389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02-4264-B0C3-46F9AD6F01A9}"/>
                </c:ext>
              </c:extLst>
            </c:dLbl>
            <c:dLbl>
              <c:idx val="7"/>
              <c:layout>
                <c:manualLayout>
                  <c:x val="-4.2315277616651936E-2"/>
                  <c:y val="-0.122872747956113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02-4264-B0C3-46F9AD6F01A9}"/>
                </c:ext>
              </c:extLst>
            </c:dLbl>
            <c:dLbl>
              <c:idx val="8"/>
              <c:layout>
                <c:manualLayout>
                  <c:x val="-4.8000002159730132E-2"/>
                  <c:y val="-5.5392369889389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02-4264-B0C3-46F9AD6F01A9}"/>
                </c:ext>
              </c:extLst>
            </c:dLbl>
            <c:dLbl>
              <c:idx val="9"/>
              <c:layout>
                <c:manualLayout>
                  <c:x val="-8.5983957857104498E-2"/>
                  <c:y val="-5.6137551996601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02-4264-B0C3-46F9AD6F01A9}"/>
                </c:ext>
              </c:extLst>
            </c:dLbl>
            <c:dLbl>
              <c:idx val="10"/>
              <c:layout>
                <c:manualLayout>
                  <c:x val="-0.14552926163333146"/>
                  <c:y val="-0.10605730419467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02-4264-B0C3-46F9AD6F01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'Ark1'!$F$6:$P$6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'Ark1'!$F$10:$P$10</c:f>
              <c:numCache>
                <c:formatCode>#,##0</c:formatCode>
                <c:ptCount val="11"/>
                <c:pt idx="0">
                  <c:v>3921</c:v>
                </c:pt>
                <c:pt idx="1">
                  <c:v>1210</c:v>
                </c:pt>
                <c:pt idx="2">
                  <c:v>2167</c:v>
                </c:pt>
                <c:pt idx="3">
                  <c:v>1715</c:v>
                </c:pt>
                <c:pt idx="4">
                  <c:v>621</c:v>
                </c:pt>
                <c:pt idx="5">
                  <c:v>576</c:v>
                </c:pt>
                <c:pt idx="6">
                  <c:v>49</c:v>
                </c:pt>
                <c:pt idx="7">
                  <c:v>561</c:v>
                </c:pt>
                <c:pt idx="8">
                  <c:v>547</c:v>
                </c:pt>
                <c:pt idx="9">
                  <c:v>1574</c:v>
                </c:pt>
                <c:pt idx="10">
                  <c:v>3172</c:v>
                </c:pt>
              </c:numCache>
            </c:numRef>
          </c:val>
          <c:smooth val="0"/>
          <c:extLst>
            <c:ext xmlns:c16="http://schemas.microsoft.com/office/drawing/2014/chart" uri="{C3380CC4-5D6E-409C-BE32-E72D297353CC}">
              <c16:uniqueId val="{0000000A-FB02-4264-B0C3-46F9AD6F01A9}"/>
            </c:ext>
          </c:extLst>
        </c:ser>
        <c:dLbls>
          <c:showLegendKey val="0"/>
          <c:showVal val="0"/>
          <c:showCatName val="0"/>
          <c:showSerName val="0"/>
          <c:showPercent val="0"/>
          <c:showBubbleSize val="0"/>
        </c:dLbls>
        <c:marker val="1"/>
        <c:smooth val="0"/>
        <c:axId val="1676304"/>
        <c:axId val="1668432"/>
      </c:lineChart>
      <c:catAx>
        <c:axId val="167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668432"/>
        <c:crosses val="autoZero"/>
        <c:auto val="1"/>
        <c:lblAlgn val="ctr"/>
        <c:lblOffset val="100"/>
        <c:noMultiLvlLbl val="0"/>
      </c:catAx>
      <c:valAx>
        <c:axId val="1668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67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'Ark1'!$F$16:$P$16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'Ark1'!$F$18:$P$18</c:f>
              <c:numCache>
                <c:formatCode>General</c:formatCode>
                <c:ptCount val="11"/>
                <c:pt idx="3" formatCode="#,##0">
                  <c:v>73</c:v>
                </c:pt>
                <c:pt idx="4" formatCode="#,##0">
                  <c:v>127</c:v>
                </c:pt>
                <c:pt idx="5" formatCode="#,##0">
                  <c:v>2918</c:v>
                </c:pt>
                <c:pt idx="6" formatCode="#,##0">
                  <c:v>2821</c:v>
                </c:pt>
                <c:pt idx="7" formatCode="#,##0">
                  <c:v>3463</c:v>
                </c:pt>
                <c:pt idx="8" formatCode="#,##0">
                  <c:v>305</c:v>
                </c:pt>
                <c:pt idx="9" formatCode="#,##0">
                  <c:v>1069</c:v>
                </c:pt>
                <c:pt idx="10" formatCode="#,##0">
                  <c:v>607</c:v>
                </c:pt>
              </c:numCache>
            </c:numRef>
          </c:val>
          <c:extLst>
            <c:ext xmlns:c16="http://schemas.microsoft.com/office/drawing/2014/chart" uri="{C3380CC4-5D6E-409C-BE32-E72D297353CC}">
              <c16:uniqueId val="{00000000-E68D-4AAE-A358-8F30FFB80049}"/>
            </c:ext>
          </c:extLst>
        </c:ser>
        <c:ser>
          <c:idx val="1"/>
          <c:order val="1"/>
          <c:spPr>
            <a:solidFill>
              <a:schemeClr val="accent2"/>
            </a:solidFill>
            <a:ln>
              <a:noFill/>
            </a:ln>
            <a:effectLst/>
          </c:spPr>
          <c:invertIfNegative val="0"/>
          <c:val>
            <c:numRef>
              <c:f>'Ark1'!$F$39:$P$39</c:f>
              <c:numCache>
                <c:formatCode>General</c:formatCode>
                <c:ptCount val="11"/>
                <c:pt idx="0">
                  <c:v>0</c:v>
                </c:pt>
                <c:pt idx="1">
                  <c:v>0</c:v>
                </c:pt>
                <c:pt idx="2">
                  <c:v>0</c:v>
                </c:pt>
                <c:pt idx="3">
                  <c:v>1</c:v>
                </c:pt>
                <c:pt idx="4">
                  <c:v>2</c:v>
                </c:pt>
                <c:pt idx="5">
                  <c:v>4</c:v>
                </c:pt>
                <c:pt idx="6">
                  <c:v>4</c:v>
                </c:pt>
                <c:pt idx="7">
                  <c:v>4</c:v>
                </c:pt>
                <c:pt idx="8">
                  <c:v>1</c:v>
                </c:pt>
                <c:pt idx="9">
                  <c:v>1</c:v>
                </c:pt>
                <c:pt idx="10">
                  <c:v>1</c:v>
                </c:pt>
              </c:numCache>
            </c:numRef>
          </c:val>
          <c:extLst>
            <c:ext xmlns:c16="http://schemas.microsoft.com/office/drawing/2014/chart" uri="{C3380CC4-5D6E-409C-BE32-E72D297353CC}">
              <c16:uniqueId val="{00000001-E68D-4AAE-A358-8F30FFB80049}"/>
            </c:ext>
          </c:extLst>
        </c:ser>
        <c:dLbls>
          <c:showLegendKey val="0"/>
          <c:showVal val="0"/>
          <c:showCatName val="0"/>
          <c:showSerName val="0"/>
          <c:showPercent val="0"/>
          <c:showBubbleSize val="0"/>
        </c:dLbls>
        <c:gapWidth val="219"/>
        <c:overlap val="-27"/>
        <c:axId val="1630056"/>
        <c:axId val="1632352"/>
      </c:barChart>
      <c:catAx>
        <c:axId val="163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632352"/>
        <c:crosses val="autoZero"/>
        <c:auto val="1"/>
        <c:lblAlgn val="ctr"/>
        <c:lblOffset val="100"/>
        <c:noMultiLvlLbl val="0"/>
      </c:catAx>
      <c:valAx>
        <c:axId val="163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a-DK"/>
          </a:p>
        </c:txPr>
        <c:crossAx val="1630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1539</Words>
  <Characters>9391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Ogmundsson</dc:creator>
  <cp:keywords/>
  <dc:description/>
  <cp:lastModifiedBy>Angutinnguaq Heilmann</cp:lastModifiedBy>
  <cp:revision>3</cp:revision>
  <dcterms:created xsi:type="dcterms:W3CDTF">2021-05-28T13:09:00Z</dcterms:created>
  <dcterms:modified xsi:type="dcterms:W3CDTF">2021-06-01T15:58:00Z</dcterms:modified>
</cp:coreProperties>
</file>