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70FE" w14:textId="02ED8B20" w:rsidR="00183535" w:rsidRPr="00822D81" w:rsidRDefault="00183535" w:rsidP="00111CB6">
      <w:pPr>
        <w:shd w:val="clear" w:color="auto" w:fill="FFFFFF"/>
        <w:spacing w:after="0" w:line="276" w:lineRule="auto"/>
        <w:jc w:val="both"/>
        <w:outlineLvl w:val="0"/>
        <w:rPr>
          <w:rFonts w:ascii="Times New Roman" w:eastAsia="Times New Roman" w:hAnsi="Times New Roman" w:cs="Times New Roman"/>
          <w:bCs/>
          <w:i/>
          <w:color w:val="000000" w:themeColor="text1"/>
          <w:kern w:val="36"/>
          <w:sz w:val="24"/>
          <w:szCs w:val="24"/>
          <w:lang w:eastAsia="da-DK"/>
        </w:rPr>
      </w:pP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sidR="00212849">
        <w:rPr>
          <w:rFonts w:ascii="Times New Roman" w:eastAsia="Times New Roman" w:hAnsi="Times New Roman" w:cs="Times New Roman"/>
          <w:b/>
          <w:bCs/>
          <w:color w:val="000000" w:themeColor="text1"/>
          <w:kern w:val="36"/>
          <w:sz w:val="32"/>
          <w:szCs w:val="32"/>
          <w:lang w:eastAsia="da-DK"/>
        </w:rPr>
        <w:t xml:space="preserve">               </w:t>
      </w:r>
      <w:r w:rsidR="00424C0A">
        <w:rPr>
          <w:rFonts w:ascii="Times New Roman" w:eastAsia="Times New Roman" w:hAnsi="Times New Roman" w:cs="Times New Roman"/>
          <w:b/>
          <w:bCs/>
          <w:color w:val="000000" w:themeColor="text1"/>
          <w:kern w:val="36"/>
          <w:sz w:val="32"/>
          <w:szCs w:val="32"/>
          <w:lang w:eastAsia="da-DK"/>
        </w:rPr>
        <w:t xml:space="preserve">                      </w:t>
      </w:r>
      <w:r w:rsidR="00A9307E">
        <w:rPr>
          <w:rFonts w:ascii="Times New Roman" w:eastAsia="Times New Roman" w:hAnsi="Times New Roman" w:cs="Times New Roman"/>
          <w:bCs/>
          <w:i/>
          <w:color w:val="000000" w:themeColor="text1"/>
          <w:kern w:val="36"/>
          <w:sz w:val="24"/>
          <w:szCs w:val="24"/>
          <w:lang w:eastAsia="da-DK"/>
        </w:rPr>
        <w:t xml:space="preserve"> </w:t>
      </w:r>
      <w:r>
        <w:rPr>
          <w:rFonts w:ascii="Times New Roman" w:eastAsia="Times New Roman" w:hAnsi="Times New Roman" w:cs="Times New Roman"/>
          <w:bCs/>
          <w:i/>
          <w:color w:val="000000" w:themeColor="text1"/>
          <w:kern w:val="36"/>
          <w:sz w:val="24"/>
          <w:szCs w:val="24"/>
          <w:lang w:eastAsia="da-DK"/>
        </w:rPr>
        <w:t xml:space="preserve"> </w:t>
      </w:r>
      <w:r w:rsidR="00FB15A4">
        <w:rPr>
          <w:rFonts w:ascii="Times New Roman" w:eastAsia="Times New Roman" w:hAnsi="Times New Roman" w:cs="Times New Roman"/>
          <w:bCs/>
          <w:i/>
          <w:color w:val="000000" w:themeColor="text1"/>
          <w:kern w:val="36"/>
          <w:sz w:val="24"/>
          <w:szCs w:val="24"/>
          <w:lang w:eastAsia="da-DK"/>
        </w:rPr>
        <w:t>2. maj 2021</w:t>
      </w:r>
    </w:p>
    <w:p w14:paraId="2282CC04" w14:textId="77777777" w:rsidR="00DE1A6A" w:rsidRDefault="00DE1A6A" w:rsidP="00A8693E">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p>
    <w:p w14:paraId="0ED98627" w14:textId="77777777" w:rsidR="00DE1A6A" w:rsidRDefault="00DE1A6A" w:rsidP="00A8693E">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p>
    <w:p w14:paraId="49FC51B2" w14:textId="77777777" w:rsidR="00183535" w:rsidRPr="00183535" w:rsidRDefault="00183535" w:rsidP="00A8693E">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r w:rsidRPr="00183535">
        <w:rPr>
          <w:rFonts w:ascii="Times New Roman" w:eastAsia="Times New Roman" w:hAnsi="Times New Roman" w:cs="Times New Roman"/>
          <w:b/>
          <w:bCs/>
          <w:color w:val="000000" w:themeColor="text1"/>
          <w:kern w:val="36"/>
          <w:sz w:val="32"/>
          <w:szCs w:val="32"/>
          <w:lang w:eastAsia="da-DK"/>
        </w:rPr>
        <w:t>Baggrundsnotat</w:t>
      </w:r>
    </w:p>
    <w:p w14:paraId="6FD6F719" w14:textId="77777777" w:rsidR="00183535" w:rsidRPr="00183535" w:rsidRDefault="00183535" w:rsidP="00A8693E">
      <w:pPr>
        <w:spacing w:after="0" w:line="276" w:lineRule="auto"/>
        <w:rPr>
          <w:rFonts w:ascii="Times New Roman" w:hAnsi="Times New Roman" w:cs="Times New Roman"/>
          <w:b/>
          <w:sz w:val="28"/>
          <w:szCs w:val="28"/>
        </w:rPr>
      </w:pPr>
      <w:r w:rsidRPr="00183535">
        <w:rPr>
          <w:rFonts w:ascii="Times New Roman" w:eastAsia="Times New Roman" w:hAnsi="Times New Roman" w:cs="Times New Roman"/>
          <w:b/>
          <w:bCs/>
          <w:color w:val="000000" w:themeColor="text1"/>
          <w:kern w:val="36"/>
          <w:sz w:val="32"/>
          <w:szCs w:val="32"/>
          <w:lang w:eastAsia="da-DK"/>
        </w:rPr>
        <w:t xml:space="preserve">Status og udfordringer i </w:t>
      </w:r>
      <w:r>
        <w:rPr>
          <w:rFonts w:ascii="Times New Roman" w:eastAsia="Times New Roman" w:hAnsi="Times New Roman" w:cs="Times New Roman"/>
          <w:b/>
          <w:bCs/>
          <w:color w:val="000000" w:themeColor="text1"/>
          <w:kern w:val="36"/>
          <w:sz w:val="32"/>
          <w:szCs w:val="32"/>
          <w:lang w:eastAsia="da-DK"/>
        </w:rPr>
        <w:t xml:space="preserve">det </w:t>
      </w:r>
      <w:r w:rsidRPr="00183535">
        <w:rPr>
          <w:rFonts w:ascii="Times New Roman" w:hAnsi="Times New Roman" w:cs="Times New Roman"/>
          <w:b/>
          <w:sz w:val="28"/>
          <w:szCs w:val="28"/>
        </w:rPr>
        <w:t>havgående fiskeri efter andre arter end rejer</w:t>
      </w:r>
    </w:p>
    <w:p w14:paraId="24D26754" w14:textId="77777777" w:rsidR="00183535" w:rsidRPr="00183535" w:rsidRDefault="00183535" w:rsidP="00A8693E">
      <w:pPr>
        <w:shd w:val="clear" w:color="auto" w:fill="FFFFFF"/>
        <w:spacing w:after="0" w:line="276" w:lineRule="auto"/>
        <w:jc w:val="both"/>
        <w:outlineLvl w:val="0"/>
        <w:rPr>
          <w:rFonts w:ascii="Times New Roman" w:hAnsi="Times New Roman" w:cs="Times New Roman"/>
          <w:color w:val="000000" w:themeColor="text1"/>
          <w:sz w:val="24"/>
          <w:szCs w:val="24"/>
        </w:rPr>
      </w:pPr>
      <w:r w:rsidRPr="00183535">
        <w:rPr>
          <w:rFonts w:ascii="Times New Roman" w:hAnsi="Times New Roman" w:cs="Times New Roman"/>
          <w:color w:val="000000" w:themeColor="text1"/>
          <w:sz w:val="24"/>
          <w:szCs w:val="24"/>
        </w:rPr>
        <w:t>Hilmar Ogmundsson og Rasmus Bæk</w:t>
      </w:r>
    </w:p>
    <w:p w14:paraId="36D2D510" w14:textId="77777777" w:rsidR="00183535" w:rsidRPr="0099179A" w:rsidRDefault="00183535" w:rsidP="00A8693E">
      <w:pPr>
        <w:shd w:val="clear" w:color="auto" w:fill="FFFFFF"/>
        <w:spacing w:after="0" w:line="276" w:lineRule="auto"/>
        <w:jc w:val="both"/>
        <w:outlineLvl w:val="0"/>
        <w:rPr>
          <w:color w:val="000000" w:themeColor="text1"/>
        </w:rPr>
      </w:pPr>
    </w:p>
    <w:p w14:paraId="51448E98" w14:textId="77777777" w:rsidR="0057679A" w:rsidRDefault="007550FE" w:rsidP="00A8693E">
      <w:pPr>
        <w:spacing w:after="0" w:line="276" w:lineRule="auto"/>
        <w:jc w:val="both"/>
        <w:rPr>
          <w:rFonts w:ascii="Times New Roman" w:hAnsi="Times New Roman" w:cs="Times New Roman"/>
          <w:color w:val="000000" w:themeColor="text1"/>
        </w:rPr>
      </w:pPr>
      <w:r>
        <w:rPr>
          <w:rFonts w:ascii="Times New Roman" w:hAnsi="Times New Roman" w:cs="Times New Roman"/>
        </w:rPr>
        <w:t>Dette notat beskriver det havgående fiskeri i Grønland</w:t>
      </w:r>
      <w:r w:rsidR="00C63EDE">
        <w:rPr>
          <w:rFonts w:ascii="Times New Roman" w:hAnsi="Times New Roman" w:cs="Times New Roman"/>
        </w:rPr>
        <w:t>, med grønlandske fartøjer,</w:t>
      </w:r>
      <w:r>
        <w:rPr>
          <w:rFonts w:ascii="Times New Roman" w:hAnsi="Times New Roman" w:cs="Times New Roman"/>
        </w:rPr>
        <w:t xml:space="preserve"> efter andre arter end rejer. </w:t>
      </w:r>
      <w:r w:rsidR="0057679A">
        <w:rPr>
          <w:rFonts w:ascii="Times New Roman" w:hAnsi="Times New Roman" w:cs="Times New Roman"/>
          <w:color w:val="000000" w:themeColor="text1"/>
        </w:rPr>
        <w:t>Arterne hellefisk, torsk og rødfisk bliver ikke fisket adskilt af den havgående flåde ligesom i rejefiskeriet. Det havgående fiskeri efter disse arter drives primært med fabrikstrawlere som kombinationsfiskeri. En del af den havgående flåde, som fisker disse arter, fisker også kuller, sej</w:t>
      </w:r>
      <w:r w:rsidR="00C63EDE">
        <w:rPr>
          <w:rFonts w:ascii="Times New Roman" w:hAnsi="Times New Roman" w:cs="Times New Roman"/>
          <w:color w:val="000000" w:themeColor="text1"/>
        </w:rPr>
        <w:t xml:space="preserve"> og brosme</w:t>
      </w:r>
      <w:r w:rsidR="0057679A">
        <w:rPr>
          <w:rFonts w:ascii="Times New Roman" w:hAnsi="Times New Roman" w:cs="Times New Roman"/>
          <w:color w:val="000000" w:themeColor="text1"/>
        </w:rPr>
        <w:t xml:space="preserve"> samt pelagiske arter som makrel</w:t>
      </w:r>
      <w:r w:rsidR="00F72F46">
        <w:rPr>
          <w:rFonts w:ascii="Times New Roman" w:hAnsi="Times New Roman" w:cs="Times New Roman"/>
          <w:color w:val="000000" w:themeColor="text1"/>
        </w:rPr>
        <w:t xml:space="preserve"> og sild. Fiskeriet efter de pelagiske arter bliver ikke beskrevet i dette notat</w:t>
      </w:r>
      <w:r w:rsidR="003462B0">
        <w:rPr>
          <w:rFonts w:ascii="Times New Roman" w:hAnsi="Times New Roman" w:cs="Times New Roman"/>
          <w:color w:val="000000" w:themeColor="text1"/>
        </w:rPr>
        <w:t xml:space="preserve">. Det havgående fiskeri efter pelagiske arter er beskrevet i baggrundsnotatet </w:t>
      </w:r>
      <w:r w:rsidR="00CB72AE">
        <w:rPr>
          <w:rFonts w:ascii="Times New Roman" w:hAnsi="Times New Roman" w:cs="Times New Roman"/>
          <w:color w:val="000000" w:themeColor="text1"/>
        </w:rPr>
        <w:t>”</w:t>
      </w:r>
      <w:r w:rsidR="00CB72AE" w:rsidRPr="00447B7D">
        <w:rPr>
          <w:rFonts w:ascii="Times New Roman" w:hAnsi="Times New Roman" w:cs="Times New Roman"/>
          <w:i/>
          <w:color w:val="000000" w:themeColor="text1"/>
        </w:rPr>
        <w:t>S</w:t>
      </w:r>
      <w:r w:rsidR="003462B0" w:rsidRPr="00447B7D">
        <w:rPr>
          <w:rFonts w:ascii="Times New Roman" w:hAnsi="Times New Roman" w:cs="Times New Roman"/>
          <w:i/>
          <w:color w:val="000000" w:themeColor="text1"/>
        </w:rPr>
        <w:t>tatus og udfordringer i det havgående fiskeri efter pelagiske arter</w:t>
      </w:r>
      <w:r w:rsidR="00CB72AE">
        <w:rPr>
          <w:rFonts w:ascii="Times New Roman" w:hAnsi="Times New Roman" w:cs="Times New Roman"/>
          <w:color w:val="000000" w:themeColor="text1"/>
        </w:rPr>
        <w:t>”</w:t>
      </w:r>
    </w:p>
    <w:p w14:paraId="4E1F3782" w14:textId="77777777" w:rsidR="0057679A" w:rsidRPr="001251BF" w:rsidRDefault="0057679A" w:rsidP="00A8693E">
      <w:pPr>
        <w:spacing w:after="0" w:line="276" w:lineRule="auto"/>
        <w:jc w:val="both"/>
        <w:rPr>
          <w:rFonts w:ascii="Times New Roman" w:hAnsi="Times New Roman" w:cs="Times New Roman"/>
          <w:color w:val="000000" w:themeColor="text1"/>
        </w:rPr>
      </w:pPr>
    </w:p>
    <w:p w14:paraId="1EA14B59" w14:textId="77777777" w:rsidR="007550FE" w:rsidRDefault="003E7237" w:rsidP="00A8693E">
      <w:pPr>
        <w:spacing w:after="0" w:line="276" w:lineRule="auto"/>
        <w:jc w:val="both"/>
        <w:rPr>
          <w:rFonts w:ascii="Times New Roman" w:hAnsi="Times New Roman"/>
        </w:rPr>
      </w:pPr>
      <w:r>
        <w:rPr>
          <w:rFonts w:ascii="Times New Roman" w:hAnsi="Times New Roman"/>
        </w:rPr>
        <w:t>Det havgående fiskeri efter andre arter end rejer</w:t>
      </w:r>
      <w:r w:rsidR="007550FE">
        <w:rPr>
          <w:rFonts w:ascii="Times New Roman" w:hAnsi="Times New Roman"/>
        </w:rPr>
        <w:t xml:space="preserve"> er licenspligtigt</w:t>
      </w:r>
      <w:r w:rsidR="00C63EDE">
        <w:rPr>
          <w:rFonts w:ascii="Times New Roman" w:hAnsi="Times New Roman"/>
        </w:rPr>
        <w:t>, og</w:t>
      </w:r>
      <w:r w:rsidR="007550FE">
        <w:rPr>
          <w:rFonts w:ascii="Times New Roman" w:hAnsi="Times New Roman"/>
        </w:rPr>
        <w:t xml:space="preserve"> </w:t>
      </w:r>
      <w:r>
        <w:rPr>
          <w:rFonts w:ascii="Times New Roman" w:hAnsi="Times New Roman"/>
        </w:rPr>
        <w:t xml:space="preserve">der udstedes </w:t>
      </w:r>
      <w:r w:rsidR="007550FE">
        <w:rPr>
          <w:rFonts w:ascii="Times New Roman" w:hAnsi="Times New Roman"/>
        </w:rPr>
        <w:t>tidsbegrænsede licenser</w:t>
      </w:r>
      <w:r>
        <w:rPr>
          <w:rFonts w:ascii="Times New Roman" w:hAnsi="Times New Roman"/>
        </w:rPr>
        <w:t xml:space="preserve"> </w:t>
      </w:r>
      <w:r w:rsidR="007550FE">
        <w:rPr>
          <w:rFonts w:ascii="Times New Roman" w:hAnsi="Times New Roman"/>
        </w:rPr>
        <w:t>for højst ét år a</w:t>
      </w:r>
      <w:r w:rsidR="003B2AF4">
        <w:rPr>
          <w:rFonts w:ascii="Times New Roman" w:hAnsi="Times New Roman"/>
        </w:rPr>
        <w:t>d</w:t>
      </w:r>
      <w:r w:rsidR="007550FE">
        <w:rPr>
          <w:rFonts w:ascii="Times New Roman" w:hAnsi="Times New Roman"/>
        </w:rPr>
        <w:t xml:space="preserve"> gangen</w:t>
      </w:r>
      <w:r>
        <w:rPr>
          <w:rFonts w:ascii="Times New Roman" w:hAnsi="Times New Roman"/>
        </w:rPr>
        <w:t xml:space="preserve"> til fiskeri efter de enkelte havgående arter i henholdsvis Vest- og Østgrønland</w:t>
      </w:r>
      <w:r w:rsidR="00C63EDE">
        <w:rPr>
          <w:rFonts w:ascii="Times New Roman" w:hAnsi="Times New Roman"/>
        </w:rPr>
        <w:t xml:space="preserve"> samt i </w:t>
      </w:r>
      <w:r w:rsidR="003B2AF4">
        <w:rPr>
          <w:rFonts w:ascii="Times New Roman" w:hAnsi="Times New Roman"/>
        </w:rPr>
        <w:t>n</w:t>
      </w:r>
      <w:r w:rsidR="00C63EDE">
        <w:rPr>
          <w:rFonts w:ascii="Times New Roman" w:hAnsi="Times New Roman"/>
        </w:rPr>
        <w:t xml:space="preserve">orsk, </w:t>
      </w:r>
      <w:r w:rsidR="003B2AF4">
        <w:rPr>
          <w:rFonts w:ascii="Times New Roman" w:hAnsi="Times New Roman"/>
        </w:rPr>
        <w:t>r</w:t>
      </w:r>
      <w:r w:rsidR="00C63EDE">
        <w:rPr>
          <w:rFonts w:ascii="Times New Roman" w:hAnsi="Times New Roman"/>
        </w:rPr>
        <w:t xml:space="preserve">ussisk og </w:t>
      </w:r>
      <w:r w:rsidR="003B2AF4">
        <w:rPr>
          <w:rFonts w:ascii="Times New Roman" w:hAnsi="Times New Roman"/>
        </w:rPr>
        <w:t>f</w:t>
      </w:r>
      <w:r w:rsidR="00C63EDE">
        <w:rPr>
          <w:rFonts w:ascii="Times New Roman" w:hAnsi="Times New Roman"/>
        </w:rPr>
        <w:t>ærøsk farvand på baggrund af bilaterale aftaler</w:t>
      </w:r>
      <w:r>
        <w:rPr>
          <w:rFonts w:ascii="Times New Roman" w:hAnsi="Times New Roman"/>
        </w:rPr>
        <w:t>.</w:t>
      </w:r>
      <w:r w:rsidR="00C63EDE">
        <w:rPr>
          <w:rFonts w:ascii="Times New Roman" w:hAnsi="Times New Roman"/>
        </w:rPr>
        <w:t xml:space="preserve"> </w:t>
      </w:r>
    </w:p>
    <w:p w14:paraId="2CD455FF" w14:textId="77777777" w:rsidR="007C59AE" w:rsidRDefault="007C59AE" w:rsidP="00A8693E">
      <w:pPr>
        <w:spacing w:after="0" w:line="276" w:lineRule="auto"/>
        <w:jc w:val="both"/>
        <w:rPr>
          <w:rFonts w:ascii="Times New Roman" w:hAnsi="Times New Roman"/>
        </w:rPr>
      </w:pPr>
    </w:p>
    <w:p w14:paraId="68F3E81C" w14:textId="6DFF042B" w:rsidR="007C59AE" w:rsidRDefault="007C59AE" w:rsidP="00A8693E">
      <w:pPr>
        <w:spacing w:after="0" w:line="276" w:lineRule="auto"/>
        <w:jc w:val="both"/>
        <w:rPr>
          <w:rFonts w:ascii="Times New Roman" w:hAnsi="Times New Roman"/>
        </w:rPr>
      </w:pPr>
      <w:r>
        <w:rPr>
          <w:rFonts w:ascii="Times New Roman" w:hAnsi="Times New Roman"/>
        </w:rPr>
        <w:t xml:space="preserve">I notatet anvendes nogle steder ordet </w:t>
      </w:r>
      <w:proofErr w:type="spellStart"/>
      <w:r>
        <w:rPr>
          <w:rFonts w:ascii="Times New Roman" w:hAnsi="Times New Roman"/>
        </w:rPr>
        <w:t>hvidfiskfiskeri</w:t>
      </w:r>
      <w:proofErr w:type="spellEnd"/>
      <w:r>
        <w:rPr>
          <w:rFonts w:ascii="Times New Roman" w:hAnsi="Times New Roman"/>
        </w:rPr>
        <w:t xml:space="preserve"> som en fælles beskrivelse for det havgående fiskeri efter hellefisk, torsk, rødfisk, brosme, kuller og sej.</w:t>
      </w:r>
    </w:p>
    <w:p w14:paraId="701C5728" w14:textId="77777777" w:rsidR="005B2C3A" w:rsidRDefault="005B2C3A" w:rsidP="00A8693E">
      <w:pPr>
        <w:spacing w:after="0" w:line="276" w:lineRule="auto"/>
        <w:jc w:val="both"/>
        <w:rPr>
          <w:rFonts w:ascii="Times New Roman" w:hAnsi="Times New Roman"/>
        </w:rPr>
      </w:pPr>
    </w:p>
    <w:p w14:paraId="0A488355" w14:textId="77777777" w:rsidR="001F67EE" w:rsidRPr="00A6390F" w:rsidRDefault="00A6390F" w:rsidP="00A8693E">
      <w:pPr>
        <w:spacing w:after="0" w:line="276" w:lineRule="auto"/>
        <w:jc w:val="both"/>
        <w:rPr>
          <w:rFonts w:ascii="Times New Roman" w:hAnsi="Times New Roman"/>
          <w:b/>
          <w:sz w:val="24"/>
          <w:szCs w:val="24"/>
        </w:rPr>
      </w:pPr>
      <w:r w:rsidRPr="00A6390F">
        <w:rPr>
          <w:rFonts w:ascii="Times New Roman" w:hAnsi="Times New Roman"/>
          <w:b/>
          <w:sz w:val="24"/>
          <w:szCs w:val="24"/>
        </w:rPr>
        <w:t xml:space="preserve">1. </w:t>
      </w:r>
      <w:r w:rsidR="00F72F46" w:rsidRPr="00A6390F">
        <w:rPr>
          <w:rFonts w:ascii="Times New Roman" w:hAnsi="Times New Roman"/>
          <w:b/>
          <w:sz w:val="24"/>
          <w:szCs w:val="24"/>
        </w:rPr>
        <w:t>Forvaltningssystemet</w:t>
      </w:r>
    </w:p>
    <w:p w14:paraId="1AE319A4" w14:textId="77777777" w:rsidR="001F67EE" w:rsidRDefault="001F67EE" w:rsidP="00A8693E">
      <w:pPr>
        <w:spacing w:after="0" w:line="276" w:lineRule="auto"/>
        <w:jc w:val="both"/>
        <w:rPr>
          <w:rFonts w:ascii="Times New Roman" w:hAnsi="Times New Roman"/>
        </w:rPr>
      </w:pPr>
      <w:r>
        <w:rPr>
          <w:rFonts w:ascii="Times New Roman" w:hAnsi="Times New Roman"/>
        </w:rPr>
        <w:t>TAC og kvoter</w:t>
      </w:r>
      <w:r w:rsidR="00F72F46">
        <w:rPr>
          <w:rFonts w:ascii="Times New Roman" w:hAnsi="Times New Roman"/>
        </w:rPr>
        <w:t xml:space="preserve"> til det havgående fiskeri</w:t>
      </w:r>
      <w:r>
        <w:rPr>
          <w:rFonts w:ascii="Times New Roman" w:hAnsi="Times New Roman"/>
        </w:rPr>
        <w:t xml:space="preserve"> fastsættes årligt for </w:t>
      </w:r>
      <w:r w:rsidR="00F72F46">
        <w:rPr>
          <w:rFonts w:ascii="Times New Roman" w:hAnsi="Times New Roman"/>
        </w:rPr>
        <w:t>arterne hellefisk, torsk, rødfisk og brosme</w:t>
      </w:r>
      <w:r>
        <w:rPr>
          <w:rFonts w:ascii="Times New Roman" w:hAnsi="Times New Roman"/>
        </w:rPr>
        <w:t xml:space="preserve"> i både Vest- og Østgrønland </w:t>
      </w:r>
      <w:r w:rsidR="00C63EDE">
        <w:rPr>
          <w:rFonts w:ascii="Times New Roman" w:hAnsi="Times New Roman"/>
        </w:rPr>
        <w:t xml:space="preserve">bl.a. </w:t>
      </w:r>
      <w:r>
        <w:rPr>
          <w:rFonts w:ascii="Times New Roman" w:hAnsi="Times New Roman"/>
        </w:rPr>
        <w:t xml:space="preserve">på </w:t>
      </w:r>
      <w:r w:rsidR="00C63EDE">
        <w:rPr>
          <w:rFonts w:ascii="Times New Roman" w:hAnsi="Times New Roman"/>
        </w:rPr>
        <w:t xml:space="preserve">baggrund </w:t>
      </w:r>
      <w:r>
        <w:rPr>
          <w:rFonts w:ascii="Times New Roman" w:hAnsi="Times New Roman"/>
        </w:rPr>
        <w:t xml:space="preserve">af den biologiske rådgivning fra Grønlands Naturinstitut. Rådgivningen fra Grønlands Naturinstitut er baseret på </w:t>
      </w:r>
      <w:proofErr w:type="spellStart"/>
      <w:r>
        <w:rPr>
          <w:rFonts w:ascii="Times New Roman" w:hAnsi="Times New Roman"/>
        </w:rPr>
        <w:t>surveys</w:t>
      </w:r>
      <w:proofErr w:type="spellEnd"/>
      <w:r>
        <w:rPr>
          <w:rFonts w:ascii="Times New Roman" w:hAnsi="Times New Roman"/>
        </w:rPr>
        <w:t>, fangstdata og informationer fra de internationale fiskeriorganisationer ICES (International Council for the Exploration of the Sea), NAFO (</w:t>
      </w:r>
      <w:proofErr w:type="spellStart"/>
      <w:r>
        <w:rPr>
          <w:rFonts w:ascii="Times New Roman" w:hAnsi="Times New Roman"/>
        </w:rPr>
        <w:t>Northwest</w:t>
      </w:r>
      <w:proofErr w:type="spellEnd"/>
      <w:r>
        <w:rPr>
          <w:rFonts w:ascii="Times New Roman" w:hAnsi="Times New Roman"/>
        </w:rPr>
        <w:t xml:space="preserve"> Atlantic </w:t>
      </w:r>
      <w:proofErr w:type="spellStart"/>
      <w:r>
        <w:rPr>
          <w:rFonts w:ascii="Times New Roman" w:hAnsi="Times New Roman"/>
        </w:rPr>
        <w:t>Fisheries</w:t>
      </w:r>
      <w:proofErr w:type="spellEnd"/>
      <w:r>
        <w:rPr>
          <w:rFonts w:ascii="Times New Roman" w:hAnsi="Times New Roman"/>
        </w:rPr>
        <w:t xml:space="preserve"> Organisation) og NEAFC (North-East Atlantic </w:t>
      </w:r>
      <w:proofErr w:type="spellStart"/>
      <w:r>
        <w:rPr>
          <w:rFonts w:ascii="Times New Roman" w:hAnsi="Times New Roman"/>
        </w:rPr>
        <w:t>Fisheries</w:t>
      </w:r>
      <w:proofErr w:type="spellEnd"/>
      <w:r>
        <w:rPr>
          <w:rFonts w:ascii="Times New Roman" w:hAnsi="Times New Roman"/>
        </w:rPr>
        <w:t xml:space="preserve"> </w:t>
      </w:r>
      <w:proofErr w:type="spellStart"/>
      <w:r>
        <w:rPr>
          <w:rFonts w:ascii="Times New Roman" w:hAnsi="Times New Roman"/>
        </w:rPr>
        <w:t>Commission</w:t>
      </w:r>
      <w:proofErr w:type="spellEnd"/>
      <w:r>
        <w:rPr>
          <w:rFonts w:ascii="Times New Roman" w:hAnsi="Times New Roman"/>
        </w:rPr>
        <w:t>). Licenshavere tildeles årligt en kvotemængde</w:t>
      </w:r>
      <w:r w:rsidR="003B2AF4">
        <w:rPr>
          <w:rFonts w:ascii="Times New Roman" w:hAnsi="Times New Roman"/>
        </w:rPr>
        <w:t>,</w:t>
      </w:r>
      <w:r>
        <w:rPr>
          <w:rFonts w:ascii="Times New Roman" w:hAnsi="Times New Roman"/>
        </w:rPr>
        <w:t xml:space="preserve"> som er ikke omsættelig</w:t>
      </w:r>
      <w:r w:rsidR="003B2AF4">
        <w:rPr>
          <w:rFonts w:ascii="Times New Roman" w:hAnsi="Times New Roman"/>
        </w:rPr>
        <w:t xml:space="preserve">, </w:t>
      </w:r>
      <w:r>
        <w:rPr>
          <w:rFonts w:ascii="Times New Roman" w:hAnsi="Times New Roman"/>
        </w:rPr>
        <w:t xml:space="preserve">og </w:t>
      </w:r>
      <w:r w:rsidR="003B2AF4">
        <w:rPr>
          <w:rFonts w:ascii="Times New Roman" w:hAnsi="Times New Roman"/>
        </w:rPr>
        <w:t xml:space="preserve">som ikke </w:t>
      </w:r>
      <w:r>
        <w:rPr>
          <w:rFonts w:ascii="Times New Roman" w:hAnsi="Times New Roman"/>
        </w:rPr>
        <w:t>kan flyttes mellem år. Forventes licenshaveren ikke at kunne fiske sin kvotemængde i et givet år</w:t>
      </w:r>
      <w:r w:rsidR="003B2AF4">
        <w:rPr>
          <w:rFonts w:ascii="Times New Roman" w:hAnsi="Times New Roman"/>
        </w:rPr>
        <w:t>,</w:t>
      </w:r>
      <w:r>
        <w:rPr>
          <w:rFonts w:ascii="Times New Roman" w:hAnsi="Times New Roman"/>
        </w:rPr>
        <w:t xml:space="preserve"> kan der</w:t>
      </w:r>
      <w:r w:rsidR="00C63EDE">
        <w:rPr>
          <w:rFonts w:ascii="Times New Roman" w:hAnsi="Times New Roman"/>
        </w:rPr>
        <w:t>, efter partshøring,</w:t>
      </w:r>
      <w:r>
        <w:rPr>
          <w:rFonts w:ascii="Times New Roman" w:hAnsi="Times New Roman"/>
        </w:rPr>
        <w:t xml:space="preserve"> ske en omfordeling af kvoterne. Licenshavere kan bestå af selskaber, virksomheder eller enkeltpersoner. </w:t>
      </w:r>
    </w:p>
    <w:p w14:paraId="155B602E" w14:textId="77777777" w:rsidR="001F67EE" w:rsidRDefault="001F67EE" w:rsidP="00A8693E">
      <w:pPr>
        <w:spacing w:after="0" w:line="276" w:lineRule="auto"/>
        <w:jc w:val="both"/>
        <w:rPr>
          <w:rFonts w:ascii="Times New Roman" w:hAnsi="Times New Roman"/>
        </w:rPr>
      </w:pPr>
    </w:p>
    <w:p w14:paraId="6D856FA4" w14:textId="77777777" w:rsidR="001F67EE" w:rsidRDefault="001F67EE" w:rsidP="00A8693E">
      <w:pPr>
        <w:spacing w:after="0" w:line="276" w:lineRule="auto"/>
        <w:jc w:val="both"/>
        <w:rPr>
          <w:rFonts w:ascii="Times New Roman" w:hAnsi="Times New Roman"/>
        </w:rPr>
      </w:pPr>
      <w:r>
        <w:rPr>
          <w:rFonts w:ascii="Times New Roman" w:hAnsi="Times New Roman"/>
        </w:rPr>
        <w:t>Ud over kvoter i Grønland kan licenshavere i det havgående fiskeri også tildeles kvoter</w:t>
      </w:r>
      <w:r w:rsidR="00F72F46">
        <w:rPr>
          <w:rFonts w:ascii="Times New Roman" w:hAnsi="Times New Roman"/>
        </w:rPr>
        <w:t xml:space="preserve"> af torsk, kuller og sej</w:t>
      </w:r>
      <w:r>
        <w:rPr>
          <w:rFonts w:ascii="Times New Roman" w:hAnsi="Times New Roman"/>
        </w:rPr>
        <w:t xml:space="preserve"> i Barentshavet og </w:t>
      </w:r>
      <w:r w:rsidR="003B2AF4">
        <w:rPr>
          <w:rFonts w:ascii="Times New Roman" w:hAnsi="Times New Roman"/>
        </w:rPr>
        <w:t>f</w:t>
      </w:r>
      <w:r>
        <w:rPr>
          <w:rFonts w:ascii="Times New Roman" w:hAnsi="Times New Roman"/>
        </w:rPr>
        <w:t>ærøsk fiskerizone som følge af kvotebytteaftaler med Rusland, Norge og Færøerne. Ligeledes får Grønland tildelt kvoter i international farvand</w:t>
      </w:r>
      <w:r w:rsidR="00CE3F65">
        <w:rPr>
          <w:rFonts w:ascii="Times New Roman" w:hAnsi="Times New Roman"/>
        </w:rPr>
        <w:t xml:space="preserve"> på blåhvilling</w:t>
      </w:r>
      <w:r>
        <w:rPr>
          <w:rFonts w:ascii="Times New Roman" w:hAnsi="Times New Roman"/>
        </w:rPr>
        <w:t>.</w:t>
      </w:r>
    </w:p>
    <w:p w14:paraId="3318E9DB" w14:textId="77777777" w:rsidR="001F67EE" w:rsidRDefault="001F67EE" w:rsidP="00A8693E">
      <w:pPr>
        <w:spacing w:after="0" w:line="276" w:lineRule="auto"/>
        <w:jc w:val="both"/>
        <w:rPr>
          <w:rFonts w:ascii="Times New Roman" w:hAnsi="Times New Roman"/>
        </w:rPr>
      </w:pPr>
    </w:p>
    <w:p w14:paraId="5DD03306" w14:textId="77777777" w:rsidR="001F67EE" w:rsidRDefault="001F67EE" w:rsidP="00A8693E">
      <w:pPr>
        <w:spacing w:after="0" w:line="276" w:lineRule="auto"/>
        <w:jc w:val="both"/>
        <w:rPr>
          <w:rFonts w:ascii="Times New Roman" w:hAnsi="Times New Roman" w:cs="Times New Roman"/>
          <w:color w:val="000000"/>
        </w:rPr>
      </w:pPr>
      <w:r>
        <w:rPr>
          <w:rFonts w:ascii="Times New Roman" w:hAnsi="Times New Roman"/>
        </w:rPr>
        <w:t>De</w:t>
      </w:r>
      <w:r w:rsidR="00CE3F65">
        <w:rPr>
          <w:rFonts w:ascii="Times New Roman" w:hAnsi="Times New Roman"/>
        </w:rPr>
        <w:t>r</w:t>
      </w:r>
      <w:r>
        <w:rPr>
          <w:rFonts w:ascii="Times New Roman" w:hAnsi="Times New Roman"/>
        </w:rPr>
        <w:t xml:space="preserve"> er </w:t>
      </w:r>
      <w:r w:rsidR="00E71BF2">
        <w:rPr>
          <w:rFonts w:ascii="Times New Roman" w:hAnsi="Times New Roman"/>
        </w:rPr>
        <w:t>landing</w:t>
      </w:r>
      <w:r>
        <w:rPr>
          <w:rFonts w:ascii="Times New Roman" w:hAnsi="Times New Roman"/>
        </w:rPr>
        <w:t xml:space="preserve">spligt på havgående kvoter af hellefisk og torsk i Grønland. Formålet med </w:t>
      </w:r>
      <w:r w:rsidR="00DB032D">
        <w:rPr>
          <w:rFonts w:ascii="Times New Roman" w:hAnsi="Times New Roman"/>
        </w:rPr>
        <w:t xml:space="preserve">landingspligten </w:t>
      </w:r>
      <w:r>
        <w:rPr>
          <w:rFonts w:ascii="Times New Roman" w:hAnsi="Times New Roman"/>
        </w:rPr>
        <w:t xml:space="preserve">er at sikre beskæftigelse på land. </w:t>
      </w:r>
      <w:r>
        <w:rPr>
          <w:rFonts w:ascii="Times New Roman" w:hAnsi="Times New Roman" w:cs="Times New Roman"/>
          <w:color w:val="000000"/>
        </w:rPr>
        <w:t>Der er landingspligt på 25</w:t>
      </w:r>
      <w:r w:rsidRPr="00650A5F">
        <w:rPr>
          <w:rFonts w:ascii="Times New Roman" w:hAnsi="Times New Roman" w:cs="Times New Roman"/>
          <w:color w:val="000000"/>
        </w:rPr>
        <w:t xml:space="preserve"> pct. af </w:t>
      </w:r>
      <w:r>
        <w:rPr>
          <w:rFonts w:ascii="Times New Roman" w:hAnsi="Times New Roman" w:cs="Times New Roman"/>
          <w:color w:val="000000"/>
        </w:rPr>
        <w:t>hellefiske</w:t>
      </w:r>
      <w:r w:rsidRPr="00650A5F">
        <w:rPr>
          <w:rFonts w:ascii="Times New Roman" w:hAnsi="Times New Roman" w:cs="Times New Roman"/>
          <w:color w:val="000000"/>
        </w:rPr>
        <w:t xml:space="preserve">fangsten </w:t>
      </w:r>
      <w:r>
        <w:rPr>
          <w:rFonts w:ascii="Times New Roman" w:hAnsi="Times New Roman" w:cs="Times New Roman"/>
          <w:color w:val="000000"/>
        </w:rPr>
        <w:t>i Vestgrønland til landanlæg. Desuden er der givet særskilt hellefiskekvote i Vest, som</w:t>
      </w:r>
      <w:r w:rsidR="00DB032D">
        <w:rPr>
          <w:rFonts w:ascii="Times New Roman" w:hAnsi="Times New Roman" w:cs="Times New Roman"/>
          <w:color w:val="000000"/>
        </w:rPr>
        <w:t xml:space="preserve"> </w:t>
      </w:r>
      <w:proofErr w:type="spellStart"/>
      <w:r w:rsidR="00DB032D">
        <w:rPr>
          <w:rFonts w:ascii="Times New Roman" w:hAnsi="Times New Roman" w:cs="Times New Roman"/>
          <w:color w:val="000000"/>
        </w:rPr>
        <w:t>Naalakkersuisut</w:t>
      </w:r>
      <w:proofErr w:type="spellEnd"/>
      <w:r w:rsidR="00DB032D">
        <w:rPr>
          <w:rFonts w:ascii="Times New Roman" w:hAnsi="Times New Roman" w:cs="Times New Roman"/>
          <w:color w:val="000000"/>
        </w:rPr>
        <w:t xml:space="preserve"> har besluttet i flere år</w:t>
      </w:r>
      <w:r>
        <w:rPr>
          <w:rFonts w:ascii="Times New Roman" w:hAnsi="Times New Roman" w:cs="Times New Roman"/>
          <w:color w:val="000000"/>
        </w:rPr>
        <w:t xml:space="preserve"> er 100 pct. landings- og fileteringspligtig. </w:t>
      </w:r>
      <w:r>
        <w:rPr>
          <w:rFonts w:ascii="Times New Roman" w:hAnsi="Times New Roman"/>
        </w:rPr>
        <w:t xml:space="preserve">Havgående hellefiskekvoter i Østgrønland pålægges ikke </w:t>
      </w:r>
      <w:r w:rsidR="00DB032D">
        <w:rPr>
          <w:rFonts w:ascii="Times New Roman" w:hAnsi="Times New Roman"/>
        </w:rPr>
        <w:t>landingspligt</w:t>
      </w:r>
      <w:r w:rsidR="003B2AF4">
        <w:rPr>
          <w:rFonts w:ascii="Times New Roman" w:hAnsi="Times New Roman"/>
        </w:rPr>
        <w:t>,</w:t>
      </w:r>
      <w:r w:rsidR="00DB032D">
        <w:rPr>
          <w:rFonts w:ascii="Times New Roman" w:hAnsi="Times New Roman"/>
        </w:rPr>
        <w:t xml:space="preserve"> og hele kvoten kan produceres til havs.</w:t>
      </w:r>
      <w:r w:rsidR="00DB032D">
        <w:rPr>
          <w:rFonts w:ascii="Times New Roman" w:hAnsi="Times New Roman" w:cs="Times New Roman"/>
          <w:color w:val="000000"/>
        </w:rPr>
        <w:t xml:space="preserve"> </w:t>
      </w:r>
    </w:p>
    <w:p w14:paraId="17425D6D" w14:textId="77777777" w:rsidR="001F67EE" w:rsidRDefault="001F67EE" w:rsidP="00A8693E">
      <w:pPr>
        <w:spacing w:after="0" w:line="276" w:lineRule="auto"/>
        <w:jc w:val="both"/>
        <w:rPr>
          <w:rFonts w:ascii="Times New Roman" w:hAnsi="Times New Roman"/>
        </w:rPr>
      </w:pPr>
    </w:p>
    <w:p w14:paraId="6806D5D1" w14:textId="77777777" w:rsidR="001F67EE" w:rsidRDefault="00DB032D" w:rsidP="00A8693E">
      <w:pPr>
        <w:spacing w:after="0" w:line="276" w:lineRule="auto"/>
        <w:jc w:val="both"/>
        <w:rPr>
          <w:rFonts w:ascii="Times New Roman" w:hAnsi="Times New Roman" w:cs="Times New Roman"/>
          <w:color w:val="000000"/>
        </w:rPr>
      </w:pPr>
      <w:r>
        <w:rPr>
          <w:rFonts w:ascii="Times New Roman" w:hAnsi="Times New Roman"/>
        </w:rPr>
        <w:t xml:space="preserve">Det er ikke en generel landingspligt på havgående torskekvoter. </w:t>
      </w:r>
      <w:proofErr w:type="spellStart"/>
      <w:r>
        <w:rPr>
          <w:rFonts w:ascii="Times New Roman" w:hAnsi="Times New Roman"/>
        </w:rPr>
        <w:t>Naalakkersuisut</w:t>
      </w:r>
      <w:proofErr w:type="spellEnd"/>
      <w:r>
        <w:rPr>
          <w:rFonts w:ascii="Times New Roman" w:hAnsi="Times New Roman"/>
        </w:rPr>
        <w:t xml:space="preserve"> beslutter årligt</w:t>
      </w:r>
      <w:r w:rsidR="003B2AF4">
        <w:rPr>
          <w:rFonts w:ascii="Times New Roman" w:hAnsi="Times New Roman"/>
        </w:rPr>
        <w:t>,</w:t>
      </w:r>
      <w:r>
        <w:rPr>
          <w:rFonts w:ascii="Times New Roman" w:hAnsi="Times New Roman"/>
        </w:rPr>
        <w:t xml:space="preserve"> om de</w:t>
      </w:r>
      <w:r w:rsidR="003B2AF4">
        <w:rPr>
          <w:rFonts w:ascii="Times New Roman" w:hAnsi="Times New Roman"/>
        </w:rPr>
        <w:t>r</w:t>
      </w:r>
      <w:r>
        <w:rPr>
          <w:rFonts w:ascii="Times New Roman" w:hAnsi="Times New Roman"/>
        </w:rPr>
        <w:t xml:space="preserve"> skal være landingspligt</w:t>
      </w:r>
      <w:r w:rsidR="003B2AF4">
        <w:rPr>
          <w:rFonts w:ascii="Times New Roman" w:hAnsi="Times New Roman"/>
        </w:rPr>
        <w:t>,</w:t>
      </w:r>
      <w:r>
        <w:rPr>
          <w:rFonts w:ascii="Times New Roman" w:hAnsi="Times New Roman"/>
        </w:rPr>
        <w:t xml:space="preserve"> og hvor stor andel af kvoten den skal være. </w:t>
      </w:r>
      <w:r w:rsidR="001F67EE">
        <w:rPr>
          <w:rFonts w:ascii="Times New Roman" w:hAnsi="Times New Roman"/>
        </w:rPr>
        <w:t xml:space="preserve">Det er </w:t>
      </w:r>
      <w:r>
        <w:rPr>
          <w:rFonts w:ascii="Times New Roman" w:hAnsi="Times New Roman"/>
        </w:rPr>
        <w:t xml:space="preserve">i 2021 kun </w:t>
      </w:r>
      <w:r w:rsidR="001F67EE">
        <w:rPr>
          <w:rFonts w:ascii="Times New Roman" w:hAnsi="Times New Roman"/>
        </w:rPr>
        <w:t>en</w:t>
      </w:r>
      <w:r w:rsidR="003462B0">
        <w:rPr>
          <w:rFonts w:ascii="Times New Roman" w:hAnsi="Times New Roman"/>
        </w:rPr>
        <w:t xml:space="preserve"> enkel</w:t>
      </w:r>
      <w:r w:rsidR="001F67EE">
        <w:rPr>
          <w:rFonts w:ascii="Times New Roman" w:hAnsi="Times New Roman"/>
        </w:rPr>
        <w:t xml:space="preserve"> </w:t>
      </w:r>
      <w:r w:rsidR="003462B0">
        <w:rPr>
          <w:rFonts w:ascii="Times New Roman" w:hAnsi="Times New Roman"/>
        </w:rPr>
        <w:t xml:space="preserve">af </w:t>
      </w:r>
      <w:r w:rsidR="001F67EE">
        <w:rPr>
          <w:rFonts w:ascii="Times New Roman" w:hAnsi="Times New Roman"/>
        </w:rPr>
        <w:t>licenshaver</w:t>
      </w:r>
      <w:r w:rsidR="003462B0">
        <w:rPr>
          <w:rFonts w:ascii="Times New Roman" w:hAnsi="Times New Roman"/>
        </w:rPr>
        <w:t>ene</w:t>
      </w:r>
      <w:r w:rsidR="001F67EE">
        <w:rPr>
          <w:rFonts w:ascii="Times New Roman" w:hAnsi="Times New Roman"/>
        </w:rPr>
        <w:t xml:space="preserve"> i det havgående torskefiskeri i Syd</w:t>
      </w:r>
      <w:r w:rsidR="003B2AF4">
        <w:rPr>
          <w:rFonts w:ascii="Times New Roman" w:hAnsi="Times New Roman"/>
        </w:rPr>
        <w:t>v</w:t>
      </w:r>
      <w:r w:rsidR="001F67EE">
        <w:rPr>
          <w:rFonts w:ascii="Times New Roman" w:hAnsi="Times New Roman"/>
        </w:rPr>
        <w:t>est og Øst</w:t>
      </w:r>
      <w:r w:rsidR="003B2AF4">
        <w:rPr>
          <w:rFonts w:ascii="Times New Roman" w:hAnsi="Times New Roman"/>
        </w:rPr>
        <w:t>,</w:t>
      </w:r>
      <w:r w:rsidR="001F67EE">
        <w:rPr>
          <w:rFonts w:ascii="Times New Roman" w:hAnsi="Times New Roman"/>
        </w:rPr>
        <w:t xml:space="preserve"> som er pålagt </w:t>
      </w:r>
      <w:r>
        <w:rPr>
          <w:rFonts w:ascii="Times New Roman" w:hAnsi="Times New Roman"/>
        </w:rPr>
        <w:t>landin</w:t>
      </w:r>
      <w:r w:rsidR="00E71BF2">
        <w:rPr>
          <w:rFonts w:ascii="Times New Roman" w:hAnsi="Times New Roman"/>
        </w:rPr>
        <w:t>g</w:t>
      </w:r>
      <w:r>
        <w:rPr>
          <w:rFonts w:ascii="Times New Roman" w:hAnsi="Times New Roman"/>
        </w:rPr>
        <w:t>spligt</w:t>
      </w:r>
      <w:r w:rsidR="001F67EE">
        <w:rPr>
          <w:rFonts w:ascii="Times New Roman" w:hAnsi="Times New Roman"/>
        </w:rPr>
        <w:t xml:space="preserve">. Dette selskabs havgående </w:t>
      </w:r>
      <w:r w:rsidR="001F67EE">
        <w:rPr>
          <w:rFonts w:ascii="Times New Roman" w:hAnsi="Times New Roman"/>
        </w:rPr>
        <w:lastRenderedPageBreak/>
        <w:t xml:space="preserve">torskekvote er pålagt 50 pct. landingspligt </w:t>
      </w:r>
      <w:r>
        <w:rPr>
          <w:rFonts w:ascii="Times New Roman" w:hAnsi="Times New Roman"/>
        </w:rPr>
        <w:t xml:space="preserve">til fabrikkerne i </w:t>
      </w:r>
      <w:r w:rsidR="001F67EE">
        <w:rPr>
          <w:rFonts w:ascii="Times New Roman" w:hAnsi="Times New Roman"/>
        </w:rPr>
        <w:t>Syd</w:t>
      </w:r>
      <w:r w:rsidR="003B2AF4">
        <w:rPr>
          <w:rFonts w:ascii="Times New Roman" w:hAnsi="Times New Roman"/>
        </w:rPr>
        <w:t>g</w:t>
      </w:r>
      <w:r w:rsidR="001F67EE">
        <w:rPr>
          <w:rFonts w:ascii="Times New Roman" w:hAnsi="Times New Roman"/>
        </w:rPr>
        <w:t>rønland med tilhørende fileteringspligtig. Dette svarer til ca. 25 pct. landingspligt af den samlede havgående torskekvote i Syd</w:t>
      </w:r>
      <w:r w:rsidR="003B2AF4">
        <w:rPr>
          <w:rFonts w:ascii="Times New Roman" w:hAnsi="Times New Roman"/>
        </w:rPr>
        <w:t>v</w:t>
      </w:r>
      <w:r w:rsidR="001F67EE">
        <w:rPr>
          <w:rFonts w:ascii="Times New Roman" w:hAnsi="Times New Roman"/>
        </w:rPr>
        <w:t xml:space="preserve">est og Øst i 2021. </w:t>
      </w:r>
      <w:r>
        <w:rPr>
          <w:rFonts w:ascii="Times New Roman" w:hAnsi="Times New Roman" w:cs="Times New Roman"/>
          <w:color w:val="000000"/>
        </w:rPr>
        <w:t>K</w:t>
      </w:r>
      <w:r w:rsidR="001F67EE">
        <w:rPr>
          <w:rFonts w:ascii="Times New Roman" w:hAnsi="Times New Roman" w:cs="Times New Roman"/>
          <w:color w:val="000000"/>
        </w:rPr>
        <w:t xml:space="preserve">voten </w:t>
      </w:r>
      <w:r>
        <w:rPr>
          <w:rFonts w:ascii="Times New Roman" w:hAnsi="Times New Roman" w:cs="Times New Roman"/>
          <w:color w:val="000000"/>
        </w:rPr>
        <w:t xml:space="preserve">på torsk, kuller og sej </w:t>
      </w:r>
      <w:r w:rsidR="001F67EE">
        <w:rPr>
          <w:rFonts w:ascii="Times New Roman" w:hAnsi="Times New Roman" w:cs="Times New Roman"/>
          <w:color w:val="000000"/>
        </w:rPr>
        <w:t>i Barentshavet</w:t>
      </w:r>
      <w:r>
        <w:rPr>
          <w:rFonts w:ascii="Times New Roman" w:hAnsi="Times New Roman" w:cs="Times New Roman"/>
          <w:color w:val="000000"/>
        </w:rPr>
        <w:t xml:space="preserve"> er ikke pålagt landingspligt</w:t>
      </w:r>
      <w:r w:rsidR="003B2AF4">
        <w:rPr>
          <w:rFonts w:ascii="Times New Roman" w:hAnsi="Times New Roman" w:cs="Times New Roman"/>
          <w:color w:val="000000"/>
        </w:rPr>
        <w:t>,</w:t>
      </w:r>
      <w:r>
        <w:rPr>
          <w:rFonts w:ascii="Times New Roman" w:hAnsi="Times New Roman" w:cs="Times New Roman"/>
          <w:color w:val="000000"/>
        </w:rPr>
        <w:t xml:space="preserve"> og</w:t>
      </w:r>
      <w:r w:rsidR="001F67EE">
        <w:rPr>
          <w:rFonts w:ascii="Times New Roman" w:hAnsi="Times New Roman" w:cs="Times New Roman"/>
          <w:color w:val="000000"/>
        </w:rPr>
        <w:t xml:space="preserve"> </w:t>
      </w:r>
      <w:r>
        <w:rPr>
          <w:rFonts w:ascii="Times New Roman" w:hAnsi="Times New Roman" w:cs="Times New Roman"/>
          <w:color w:val="000000"/>
        </w:rPr>
        <w:t xml:space="preserve">hele kvoten </w:t>
      </w:r>
      <w:r w:rsidR="003B2AF4">
        <w:rPr>
          <w:rFonts w:ascii="Times New Roman" w:hAnsi="Times New Roman" w:cs="Times New Roman"/>
          <w:color w:val="000000"/>
        </w:rPr>
        <w:t xml:space="preserve">kan </w:t>
      </w:r>
      <w:r>
        <w:rPr>
          <w:rFonts w:ascii="Times New Roman" w:hAnsi="Times New Roman" w:cs="Times New Roman"/>
          <w:color w:val="000000"/>
        </w:rPr>
        <w:t>derfor</w:t>
      </w:r>
      <w:r w:rsidR="001F67EE">
        <w:rPr>
          <w:rFonts w:ascii="Times New Roman" w:hAnsi="Times New Roman" w:cs="Times New Roman"/>
          <w:color w:val="000000"/>
        </w:rPr>
        <w:t xml:space="preserve"> produceres til havs.</w:t>
      </w:r>
    </w:p>
    <w:p w14:paraId="6945AE1B" w14:textId="77777777" w:rsidR="00A6390F" w:rsidRDefault="00A6390F" w:rsidP="00A8693E">
      <w:pPr>
        <w:spacing w:after="0" w:line="276" w:lineRule="auto"/>
        <w:jc w:val="both"/>
        <w:rPr>
          <w:rFonts w:ascii="Times New Roman" w:hAnsi="Times New Roman"/>
        </w:rPr>
      </w:pPr>
    </w:p>
    <w:p w14:paraId="31353354" w14:textId="77777777" w:rsidR="00011DE3" w:rsidRPr="00011DE3" w:rsidRDefault="00011DE3" w:rsidP="00011DE3">
      <w:pPr>
        <w:spacing w:after="0" w:line="276" w:lineRule="auto"/>
        <w:jc w:val="both"/>
        <w:rPr>
          <w:rFonts w:ascii="Times New Roman" w:hAnsi="Times New Roman" w:cs="Times New Roman"/>
          <w:b/>
          <w:i/>
        </w:rPr>
      </w:pPr>
      <w:r w:rsidRPr="00011DE3">
        <w:rPr>
          <w:rFonts w:ascii="Times New Roman" w:hAnsi="Times New Roman" w:cs="Times New Roman"/>
          <w:b/>
          <w:i/>
        </w:rPr>
        <w:t>Forvaltningsplaner</w:t>
      </w:r>
    </w:p>
    <w:p w14:paraId="60FED81C" w14:textId="77777777" w:rsidR="00011DE3" w:rsidRDefault="00011DE3" w:rsidP="00011DE3">
      <w:pPr>
        <w:spacing w:after="0" w:line="276" w:lineRule="auto"/>
        <w:jc w:val="both"/>
        <w:rPr>
          <w:rFonts w:ascii="Times New Roman" w:hAnsi="Times New Roman" w:cs="Times New Roman"/>
        </w:rPr>
      </w:pPr>
      <w:r w:rsidRPr="00FB61E7">
        <w:rPr>
          <w:rFonts w:ascii="Times New Roman" w:hAnsi="Times New Roman" w:cs="Times New Roman"/>
        </w:rPr>
        <w:t xml:space="preserve">Der er forvaltningsplaner for to af </w:t>
      </w:r>
      <w:r w:rsidR="00134533">
        <w:rPr>
          <w:rFonts w:ascii="Times New Roman" w:hAnsi="Times New Roman" w:cs="Times New Roman"/>
        </w:rPr>
        <w:t xml:space="preserve">de </w:t>
      </w:r>
      <w:r w:rsidR="003B2AF4">
        <w:rPr>
          <w:rFonts w:ascii="Times New Roman" w:hAnsi="Times New Roman" w:cs="Times New Roman"/>
        </w:rPr>
        <w:t xml:space="preserve">andre </w:t>
      </w:r>
      <w:r w:rsidR="00134533">
        <w:rPr>
          <w:rFonts w:ascii="Times New Roman" w:hAnsi="Times New Roman" w:cs="Times New Roman"/>
        </w:rPr>
        <w:t>b</w:t>
      </w:r>
      <w:r w:rsidRPr="00FB61E7">
        <w:rPr>
          <w:rFonts w:ascii="Times New Roman" w:hAnsi="Times New Roman" w:cs="Times New Roman"/>
        </w:rPr>
        <w:t>estande</w:t>
      </w:r>
      <w:r>
        <w:rPr>
          <w:rFonts w:ascii="Times New Roman" w:hAnsi="Times New Roman" w:cs="Times New Roman"/>
        </w:rPr>
        <w:t xml:space="preserve"> end rejer</w:t>
      </w:r>
      <w:r w:rsidR="00134533">
        <w:rPr>
          <w:rFonts w:ascii="Times New Roman" w:hAnsi="Times New Roman" w:cs="Times New Roman"/>
        </w:rPr>
        <w:t>,</w:t>
      </w:r>
      <w:r w:rsidRPr="00FB61E7">
        <w:rPr>
          <w:rFonts w:ascii="Times New Roman" w:hAnsi="Times New Roman" w:cs="Times New Roman"/>
        </w:rPr>
        <w:t xml:space="preserve"> der fiskes på havgående i Grønland:</w:t>
      </w:r>
    </w:p>
    <w:p w14:paraId="2BB585A9" w14:textId="77777777" w:rsidR="00011DE3" w:rsidRPr="00FB61E7" w:rsidRDefault="00011DE3" w:rsidP="00011DE3">
      <w:pPr>
        <w:spacing w:after="0" w:line="276" w:lineRule="auto"/>
        <w:jc w:val="both"/>
        <w:rPr>
          <w:rFonts w:ascii="Times New Roman" w:hAnsi="Times New Roman" w:cs="Times New Roman"/>
        </w:rPr>
      </w:pPr>
    </w:p>
    <w:p w14:paraId="6DD575EA" w14:textId="77777777" w:rsidR="00011DE3" w:rsidRPr="00FB61E7" w:rsidRDefault="00011DE3" w:rsidP="00011DE3">
      <w:pPr>
        <w:pStyle w:val="Listeafsnit"/>
        <w:numPr>
          <w:ilvl w:val="0"/>
          <w:numId w:val="11"/>
        </w:numPr>
        <w:spacing w:after="0" w:line="276" w:lineRule="auto"/>
        <w:jc w:val="both"/>
        <w:rPr>
          <w:rFonts w:ascii="Times New Roman" w:hAnsi="Times New Roman" w:cs="Times New Roman"/>
        </w:rPr>
      </w:pPr>
      <w:r w:rsidRPr="00FB61E7">
        <w:rPr>
          <w:rFonts w:ascii="Times New Roman" w:hAnsi="Times New Roman" w:cs="Times New Roman"/>
        </w:rPr>
        <w:t>Hellefisk i Vestgrønland</w:t>
      </w:r>
    </w:p>
    <w:p w14:paraId="311983D3" w14:textId="77777777" w:rsidR="00011DE3" w:rsidRDefault="00011DE3" w:rsidP="00011DE3">
      <w:pPr>
        <w:pStyle w:val="Listeafsnit"/>
        <w:numPr>
          <w:ilvl w:val="0"/>
          <w:numId w:val="11"/>
        </w:numPr>
        <w:spacing w:after="0" w:line="276" w:lineRule="auto"/>
        <w:jc w:val="both"/>
        <w:rPr>
          <w:rFonts w:ascii="Times New Roman" w:hAnsi="Times New Roman" w:cs="Times New Roman"/>
        </w:rPr>
      </w:pPr>
      <w:r w:rsidRPr="00FB61E7">
        <w:rPr>
          <w:rFonts w:ascii="Times New Roman" w:hAnsi="Times New Roman" w:cs="Times New Roman"/>
        </w:rPr>
        <w:t>Torsk i Øst- og Sydvestgrønland</w:t>
      </w:r>
      <w:r>
        <w:rPr>
          <w:rFonts w:ascii="Times New Roman" w:hAnsi="Times New Roman" w:cs="Times New Roman"/>
        </w:rPr>
        <w:t>.</w:t>
      </w:r>
    </w:p>
    <w:p w14:paraId="3AE30C32" w14:textId="77777777" w:rsidR="00011DE3" w:rsidRDefault="00011DE3" w:rsidP="00011DE3">
      <w:pPr>
        <w:pStyle w:val="Listeafsnit"/>
        <w:spacing w:after="0" w:line="276" w:lineRule="auto"/>
        <w:jc w:val="both"/>
        <w:rPr>
          <w:rFonts w:ascii="Times New Roman" w:hAnsi="Times New Roman" w:cs="Times New Roman"/>
        </w:rPr>
      </w:pPr>
    </w:p>
    <w:p w14:paraId="3357AC23" w14:textId="77777777" w:rsidR="00011DE3" w:rsidRDefault="00011DE3" w:rsidP="00011DE3">
      <w:pPr>
        <w:spacing w:after="0" w:line="276" w:lineRule="auto"/>
        <w:jc w:val="both"/>
        <w:rPr>
          <w:rFonts w:ascii="Times New Roman" w:hAnsi="Times New Roman" w:cs="Times New Roman"/>
        </w:rPr>
      </w:pPr>
      <w:r w:rsidRPr="00FB61E7">
        <w:rPr>
          <w:rFonts w:ascii="Times New Roman" w:hAnsi="Times New Roman" w:cs="Times New Roman"/>
        </w:rPr>
        <w:t>Nedenfor følger en kort beskrivelse af de to forvaltningsplaner med fokus på mekanismerne til fastsættelse af TAC</w:t>
      </w:r>
      <w:r w:rsidR="00134533">
        <w:rPr>
          <w:rFonts w:ascii="Times New Roman" w:hAnsi="Times New Roman" w:cs="Times New Roman"/>
        </w:rPr>
        <w:t>. F</w:t>
      </w:r>
      <w:r w:rsidRPr="00FB61E7">
        <w:rPr>
          <w:rFonts w:ascii="Times New Roman" w:hAnsi="Times New Roman" w:cs="Times New Roman"/>
        </w:rPr>
        <w:t xml:space="preserve">orvaltningsplanerne er vedtaget af </w:t>
      </w:r>
      <w:proofErr w:type="spellStart"/>
      <w:r w:rsidRPr="00FB61E7">
        <w:rPr>
          <w:rFonts w:ascii="Times New Roman" w:hAnsi="Times New Roman" w:cs="Times New Roman"/>
        </w:rPr>
        <w:t>Naalakkersuisut</w:t>
      </w:r>
      <w:proofErr w:type="spellEnd"/>
      <w:r w:rsidRPr="00FB61E7">
        <w:rPr>
          <w:rFonts w:ascii="Times New Roman" w:hAnsi="Times New Roman" w:cs="Times New Roman"/>
        </w:rPr>
        <w:t>.</w:t>
      </w:r>
    </w:p>
    <w:p w14:paraId="4573899D" w14:textId="77777777" w:rsidR="00011DE3" w:rsidRPr="00FB61E7" w:rsidRDefault="00011DE3" w:rsidP="00011DE3">
      <w:pPr>
        <w:spacing w:after="0" w:line="276" w:lineRule="auto"/>
        <w:jc w:val="both"/>
        <w:rPr>
          <w:rFonts w:ascii="Times New Roman" w:hAnsi="Times New Roman" w:cs="Times New Roman"/>
        </w:rPr>
      </w:pPr>
    </w:p>
    <w:p w14:paraId="7C733023" w14:textId="77777777" w:rsidR="00011DE3" w:rsidRPr="00FB61E7" w:rsidRDefault="00011DE3" w:rsidP="00011DE3">
      <w:pPr>
        <w:spacing w:after="0" w:line="276" w:lineRule="auto"/>
        <w:jc w:val="both"/>
        <w:rPr>
          <w:rFonts w:ascii="Times New Roman" w:hAnsi="Times New Roman" w:cs="Times New Roman"/>
          <w:i/>
          <w:u w:val="single"/>
        </w:rPr>
      </w:pPr>
      <w:r w:rsidRPr="00FB61E7">
        <w:rPr>
          <w:rFonts w:ascii="Times New Roman" w:hAnsi="Times New Roman" w:cs="Times New Roman"/>
          <w:i/>
          <w:u w:val="single"/>
        </w:rPr>
        <w:t>Hellefisk i Vestgrønland</w:t>
      </w:r>
    </w:p>
    <w:p w14:paraId="6A0AA254" w14:textId="77777777" w:rsidR="00011DE3" w:rsidRDefault="00011DE3" w:rsidP="00011DE3">
      <w:pPr>
        <w:spacing w:after="0" w:line="276" w:lineRule="auto"/>
        <w:jc w:val="both"/>
        <w:rPr>
          <w:rFonts w:ascii="Times New Roman" w:hAnsi="Times New Roman" w:cs="Times New Roman"/>
        </w:rPr>
      </w:pPr>
      <w:r w:rsidRPr="00FB61E7">
        <w:rPr>
          <w:rFonts w:ascii="Times New Roman" w:hAnsi="Times New Roman" w:cs="Times New Roman"/>
        </w:rPr>
        <w:t xml:space="preserve">Bestanden af hellefisk i </w:t>
      </w:r>
      <w:proofErr w:type="spellStart"/>
      <w:r w:rsidRPr="00FB61E7">
        <w:rPr>
          <w:rFonts w:ascii="Times New Roman" w:hAnsi="Times New Roman" w:cs="Times New Roman"/>
        </w:rPr>
        <w:t>udenskærsområdet</w:t>
      </w:r>
      <w:proofErr w:type="spellEnd"/>
      <w:r w:rsidRPr="00FB61E7">
        <w:rPr>
          <w:rFonts w:ascii="Times New Roman" w:hAnsi="Times New Roman" w:cs="Times New Roman"/>
        </w:rPr>
        <w:t xml:space="preserve"> ved Vestgrønland (Davis strædet og Baffinbugten) er delt med Canada. Den gældende forvaltningsplan for havgående hellefisk i Vestgrønland dækker perioden 2021-25 og erstatter den tidligere plan fra 2017. Planen har til formål at </w:t>
      </w:r>
      <w:r w:rsidR="00134533">
        <w:rPr>
          <w:rFonts w:ascii="Times New Roman" w:hAnsi="Times New Roman" w:cs="Times New Roman"/>
        </w:rPr>
        <w:t>sikre,</w:t>
      </w:r>
      <w:r w:rsidRPr="00FB61E7">
        <w:rPr>
          <w:rFonts w:ascii="Times New Roman" w:hAnsi="Times New Roman" w:cs="Times New Roman"/>
        </w:rPr>
        <w:t xml:space="preserve"> at fiskeriet til enhver tid foregår bæredygtigt i forvaltningsområderne Sydvestgrønland og Nordvestgrønland. </w:t>
      </w:r>
    </w:p>
    <w:p w14:paraId="350254D8" w14:textId="77777777" w:rsidR="00011DE3" w:rsidRPr="00FB61E7" w:rsidRDefault="00011DE3" w:rsidP="00011DE3">
      <w:pPr>
        <w:spacing w:after="0" w:line="276" w:lineRule="auto"/>
        <w:jc w:val="both"/>
        <w:rPr>
          <w:rFonts w:ascii="Times New Roman" w:hAnsi="Times New Roman" w:cs="Times New Roman"/>
        </w:rPr>
      </w:pPr>
    </w:p>
    <w:p w14:paraId="357DC4A0" w14:textId="77777777" w:rsidR="00011DE3" w:rsidRPr="00FB61E7" w:rsidRDefault="00011DE3" w:rsidP="00011DE3">
      <w:pPr>
        <w:spacing w:after="0" w:line="276" w:lineRule="auto"/>
        <w:jc w:val="both"/>
        <w:rPr>
          <w:rFonts w:ascii="Times New Roman" w:hAnsi="Times New Roman" w:cs="Times New Roman"/>
        </w:rPr>
      </w:pPr>
      <w:r w:rsidRPr="00FB61E7">
        <w:rPr>
          <w:rFonts w:ascii="Times New Roman" w:hAnsi="Times New Roman" w:cs="Times New Roman"/>
        </w:rPr>
        <w:t xml:space="preserve">TAC’en fastsættes i overensstemmelse med den </w:t>
      </w:r>
      <w:r w:rsidR="00DE1A6A">
        <w:rPr>
          <w:rFonts w:ascii="Times New Roman" w:hAnsi="Times New Roman" w:cs="Times New Roman"/>
        </w:rPr>
        <w:t>biologiske</w:t>
      </w:r>
      <w:r w:rsidRPr="00FB61E7">
        <w:rPr>
          <w:rFonts w:ascii="Times New Roman" w:hAnsi="Times New Roman" w:cs="Times New Roman"/>
        </w:rPr>
        <w:t xml:space="preserve"> rådgivning, dog med den forudsætning at d</w:t>
      </w:r>
      <w:r w:rsidR="00DE1A6A">
        <w:rPr>
          <w:rFonts w:ascii="Times New Roman" w:hAnsi="Times New Roman" w:cs="Times New Roman"/>
        </w:rPr>
        <w:t>en maksimalt må variere med 15 pct.</w:t>
      </w:r>
      <w:r w:rsidRPr="00FB61E7">
        <w:rPr>
          <w:rFonts w:ascii="Times New Roman" w:hAnsi="Times New Roman" w:cs="Times New Roman"/>
        </w:rPr>
        <w:t xml:space="preserve"> pr. år. Kun i særlige situationer, hvor den videnskabelige rådgivning indikerer</w:t>
      </w:r>
      <w:r w:rsidR="00134533">
        <w:rPr>
          <w:rFonts w:ascii="Times New Roman" w:hAnsi="Times New Roman" w:cs="Times New Roman"/>
        </w:rPr>
        <w:t>,</w:t>
      </w:r>
      <w:r w:rsidRPr="00FB61E7">
        <w:rPr>
          <w:rFonts w:ascii="Times New Roman" w:hAnsi="Times New Roman" w:cs="Times New Roman"/>
        </w:rPr>
        <w:t xml:space="preserve"> at bestanden er steget eller faldet i ekstraordinær grad</w:t>
      </w:r>
      <w:r w:rsidRPr="00FB61E7">
        <w:rPr>
          <w:rStyle w:val="Fodnotehenvisning"/>
          <w:rFonts w:ascii="Times New Roman" w:hAnsi="Times New Roman" w:cs="Times New Roman"/>
        </w:rPr>
        <w:footnoteReference w:id="1"/>
      </w:r>
      <w:r w:rsidRPr="00FB61E7">
        <w:rPr>
          <w:rFonts w:ascii="Times New Roman" w:hAnsi="Times New Roman" w:cs="Times New Roman"/>
        </w:rPr>
        <w:t xml:space="preserve">, er det muligt at afvige fra denne regel. I sådanne tilfælde skal </w:t>
      </w:r>
      <w:r w:rsidR="00134533">
        <w:rPr>
          <w:rFonts w:ascii="Times New Roman" w:hAnsi="Times New Roman" w:cs="Times New Roman"/>
        </w:rPr>
        <w:t>F</w:t>
      </w:r>
      <w:r w:rsidRPr="00FB61E7">
        <w:rPr>
          <w:rFonts w:ascii="Times New Roman" w:hAnsi="Times New Roman" w:cs="Times New Roman"/>
        </w:rPr>
        <w:t xml:space="preserve">iskerirådet indkaldes med henblik på at rådgive </w:t>
      </w:r>
      <w:proofErr w:type="spellStart"/>
      <w:r w:rsidRPr="00FB61E7">
        <w:rPr>
          <w:rFonts w:ascii="Times New Roman" w:hAnsi="Times New Roman" w:cs="Times New Roman"/>
        </w:rPr>
        <w:t>Naalakkersuisut</w:t>
      </w:r>
      <w:proofErr w:type="spellEnd"/>
      <w:r w:rsidRPr="00FB61E7">
        <w:rPr>
          <w:rFonts w:ascii="Times New Roman" w:hAnsi="Times New Roman" w:cs="Times New Roman"/>
        </w:rPr>
        <w:t xml:space="preserve"> vedrørende fastsættelse af TAC.</w:t>
      </w:r>
    </w:p>
    <w:p w14:paraId="34ED0604" w14:textId="77777777" w:rsidR="00011DE3" w:rsidRPr="00FB61E7" w:rsidRDefault="00011DE3" w:rsidP="00011DE3">
      <w:pPr>
        <w:spacing w:after="0" w:line="276" w:lineRule="auto"/>
        <w:jc w:val="both"/>
        <w:rPr>
          <w:rFonts w:ascii="Times New Roman" w:hAnsi="Times New Roman" w:cs="Times New Roman"/>
        </w:rPr>
      </w:pPr>
    </w:p>
    <w:p w14:paraId="040CA3C5" w14:textId="77777777" w:rsidR="00011DE3" w:rsidRPr="00FB61E7" w:rsidRDefault="00011DE3" w:rsidP="00011DE3">
      <w:pPr>
        <w:spacing w:after="0" w:line="276" w:lineRule="auto"/>
        <w:jc w:val="both"/>
        <w:rPr>
          <w:rFonts w:ascii="Times New Roman" w:hAnsi="Times New Roman" w:cs="Times New Roman"/>
          <w:i/>
          <w:u w:val="single"/>
        </w:rPr>
      </w:pPr>
      <w:r w:rsidRPr="00FB61E7">
        <w:rPr>
          <w:rFonts w:ascii="Times New Roman" w:hAnsi="Times New Roman" w:cs="Times New Roman"/>
          <w:i/>
          <w:u w:val="single"/>
        </w:rPr>
        <w:t>Torsk i Øst- og Sydvestgrønland</w:t>
      </w:r>
    </w:p>
    <w:p w14:paraId="73F367A6" w14:textId="77777777" w:rsidR="00011DE3" w:rsidRDefault="00ED6D56" w:rsidP="00011DE3">
      <w:pPr>
        <w:spacing w:after="0" w:line="276" w:lineRule="auto"/>
        <w:jc w:val="both"/>
        <w:rPr>
          <w:rFonts w:ascii="Times New Roman" w:hAnsi="Times New Roman" w:cs="Times New Roman"/>
        </w:rPr>
      </w:pPr>
      <w:r>
        <w:rPr>
          <w:rFonts w:ascii="Times New Roman" w:hAnsi="Times New Roman" w:cs="Times New Roman"/>
          <w:color w:val="000000"/>
        </w:rPr>
        <w:t>For havgående</w:t>
      </w:r>
      <w:r w:rsidRPr="00FA6BD1">
        <w:rPr>
          <w:rFonts w:ascii="Times New Roman" w:hAnsi="Times New Roman" w:cs="Times New Roman"/>
          <w:color w:val="000000"/>
        </w:rPr>
        <w:t xml:space="preserve"> torsk i Øst- og Sydvestgrønland i de senere år har der været skiftende forvaltningsplaner med varierende tal af forvaltningsområder.</w:t>
      </w:r>
      <w:r>
        <w:rPr>
          <w:rFonts w:ascii="Times New Roman" w:hAnsi="Times New Roman" w:cs="Times New Roman"/>
          <w:color w:val="000000"/>
        </w:rPr>
        <w:t xml:space="preserve"> </w:t>
      </w:r>
      <w:r w:rsidR="00011DE3" w:rsidRPr="00FB61E7">
        <w:rPr>
          <w:rFonts w:ascii="Times New Roman" w:hAnsi="Times New Roman" w:cs="Times New Roman"/>
        </w:rPr>
        <w:t xml:space="preserve">Den gældende forvaltningsplan dækker perioden 2021-23. Ifølge forvaltningsplanen er TAC-fastsættelsen baseret på en målsætning om at sikre et bæredygtigt fiskeri efter torsk i Øst- </w:t>
      </w:r>
      <w:r w:rsidR="00134533">
        <w:rPr>
          <w:rFonts w:ascii="Times New Roman" w:hAnsi="Times New Roman" w:cs="Times New Roman"/>
        </w:rPr>
        <w:t xml:space="preserve">og </w:t>
      </w:r>
      <w:r w:rsidR="00011DE3" w:rsidRPr="00FB61E7">
        <w:rPr>
          <w:rFonts w:ascii="Times New Roman" w:hAnsi="Times New Roman" w:cs="Times New Roman"/>
        </w:rPr>
        <w:t>Sydvestgrønland. Fastsættelsen af TAC’en er opdelt i to geografiske komponenter:</w:t>
      </w:r>
    </w:p>
    <w:p w14:paraId="5BDC3627" w14:textId="77777777" w:rsidR="00011DE3" w:rsidRPr="00FB61E7" w:rsidRDefault="00011DE3" w:rsidP="00011DE3">
      <w:pPr>
        <w:spacing w:after="0" w:line="276" w:lineRule="auto"/>
        <w:jc w:val="both"/>
        <w:rPr>
          <w:rFonts w:ascii="Times New Roman" w:hAnsi="Times New Roman" w:cs="Times New Roman"/>
        </w:rPr>
      </w:pPr>
    </w:p>
    <w:p w14:paraId="2A1650E8" w14:textId="77777777" w:rsidR="00011DE3" w:rsidRPr="00FB61E7" w:rsidRDefault="00011DE3" w:rsidP="00011DE3">
      <w:pPr>
        <w:pStyle w:val="Listeafsnit"/>
        <w:numPr>
          <w:ilvl w:val="0"/>
          <w:numId w:val="12"/>
        </w:numPr>
        <w:spacing w:after="0" w:line="276" w:lineRule="auto"/>
        <w:jc w:val="both"/>
        <w:rPr>
          <w:rFonts w:ascii="Times New Roman" w:hAnsi="Times New Roman" w:cs="Times New Roman"/>
        </w:rPr>
      </w:pPr>
      <w:proofErr w:type="spellStart"/>
      <w:r w:rsidRPr="00FB61E7">
        <w:rPr>
          <w:rFonts w:ascii="Times New Roman" w:hAnsi="Times New Roman" w:cs="Times New Roman"/>
        </w:rPr>
        <w:t>Dohrn</w:t>
      </w:r>
      <w:proofErr w:type="spellEnd"/>
      <w:r w:rsidRPr="00FB61E7">
        <w:rPr>
          <w:rFonts w:ascii="Times New Roman" w:hAnsi="Times New Roman" w:cs="Times New Roman"/>
        </w:rPr>
        <w:t xml:space="preserve"> Banke</w:t>
      </w:r>
      <w:r>
        <w:rPr>
          <w:rFonts w:ascii="Times New Roman" w:hAnsi="Times New Roman" w:cs="Times New Roman"/>
        </w:rPr>
        <w:t>.</w:t>
      </w:r>
    </w:p>
    <w:p w14:paraId="352AACD9" w14:textId="77777777" w:rsidR="00011DE3" w:rsidRDefault="00011DE3" w:rsidP="00011DE3">
      <w:pPr>
        <w:pStyle w:val="Listeafsnit"/>
        <w:numPr>
          <w:ilvl w:val="0"/>
          <w:numId w:val="12"/>
        </w:numPr>
        <w:spacing w:after="0" w:line="276" w:lineRule="auto"/>
        <w:jc w:val="both"/>
        <w:rPr>
          <w:rFonts w:ascii="Times New Roman" w:hAnsi="Times New Roman" w:cs="Times New Roman"/>
        </w:rPr>
      </w:pPr>
      <w:r w:rsidRPr="00FB61E7">
        <w:rPr>
          <w:rFonts w:ascii="Times New Roman" w:hAnsi="Times New Roman" w:cs="Times New Roman"/>
        </w:rPr>
        <w:t>Sydvest- og Sydøstgrønland</w:t>
      </w:r>
      <w:r>
        <w:rPr>
          <w:rFonts w:ascii="Times New Roman" w:hAnsi="Times New Roman" w:cs="Times New Roman"/>
        </w:rPr>
        <w:t>.</w:t>
      </w:r>
    </w:p>
    <w:p w14:paraId="4135CF22" w14:textId="77777777" w:rsidR="00011DE3" w:rsidRPr="00FB61E7" w:rsidRDefault="00011DE3" w:rsidP="00011DE3">
      <w:pPr>
        <w:pStyle w:val="Listeafsnit"/>
        <w:spacing w:after="0" w:line="276" w:lineRule="auto"/>
        <w:jc w:val="both"/>
        <w:rPr>
          <w:rFonts w:ascii="Times New Roman" w:hAnsi="Times New Roman" w:cs="Times New Roman"/>
        </w:rPr>
      </w:pPr>
    </w:p>
    <w:p w14:paraId="48581E12" w14:textId="77777777" w:rsidR="00011DE3" w:rsidRDefault="00011DE3" w:rsidP="00011DE3">
      <w:pPr>
        <w:spacing w:after="0" w:line="276" w:lineRule="auto"/>
        <w:jc w:val="both"/>
        <w:rPr>
          <w:rFonts w:ascii="Times New Roman" w:hAnsi="Times New Roman" w:cs="Times New Roman"/>
        </w:rPr>
      </w:pPr>
      <w:r w:rsidRPr="00FB61E7">
        <w:rPr>
          <w:rFonts w:ascii="Times New Roman" w:hAnsi="Times New Roman" w:cs="Times New Roman"/>
        </w:rPr>
        <w:t xml:space="preserve">TAC’en på </w:t>
      </w:r>
      <w:proofErr w:type="spellStart"/>
      <w:r w:rsidRPr="00FB61E7">
        <w:rPr>
          <w:rFonts w:ascii="Times New Roman" w:hAnsi="Times New Roman" w:cs="Times New Roman"/>
        </w:rPr>
        <w:t>Dohrn</w:t>
      </w:r>
      <w:proofErr w:type="spellEnd"/>
      <w:r w:rsidRPr="00FB61E7">
        <w:rPr>
          <w:rFonts w:ascii="Times New Roman" w:hAnsi="Times New Roman" w:cs="Times New Roman"/>
        </w:rPr>
        <w:t xml:space="preserve"> Banke fastsættes under gyldighedsperioden 2021-23 til 20.000 tons årligt. Ifølge forvaltningsplanen sker </w:t>
      </w:r>
      <w:r>
        <w:rPr>
          <w:rFonts w:ascii="Times New Roman" w:hAnsi="Times New Roman" w:cs="Times New Roman"/>
        </w:rPr>
        <w:t>fastsættelsen ud fra et forsigt</w:t>
      </w:r>
      <w:r w:rsidRPr="00FB61E7">
        <w:rPr>
          <w:rFonts w:ascii="Times New Roman" w:hAnsi="Times New Roman" w:cs="Times New Roman"/>
        </w:rPr>
        <w:t xml:space="preserve">ighedsprincip og </w:t>
      </w:r>
      <w:r w:rsidR="00134533">
        <w:rPr>
          <w:rFonts w:ascii="Times New Roman" w:hAnsi="Times New Roman" w:cs="Times New Roman"/>
        </w:rPr>
        <w:t xml:space="preserve">på baggrund af </w:t>
      </w:r>
      <w:r w:rsidRPr="00FB61E7">
        <w:rPr>
          <w:rFonts w:ascii="Times New Roman" w:hAnsi="Times New Roman" w:cs="Times New Roman"/>
        </w:rPr>
        <w:t>den manglende viden om migration og forholdet imellem grønlandske og islandske torsk.</w:t>
      </w:r>
    </w:p>
    <w:p w14:paraId="778686C1" w14:textId="77777777" w:rsidR="00011DE3" w:rsidRPr="00FB61E7" w:rsidRDefault="00011DE3" w:rsidP="00011DE3">
      <w:pPr>
        <w:spacing w:after="0" w:line="276" w:lineRule="auto"/>
        <w:jc w:val="both"/>
        <w:rPr>
          <w:rFonts w:ascii="Times New Roman" w:hAnsi="Times New Roman" w:cs="Times New Roman"/>
        </w:rPr>
      </w:pPr>
    </w:p>
    <w:p w14:paraId="7EECA1BB" w14:textId="77777777" w:rsidR="00011DE3" w:rsidRDefault="00011DE3" w:rsidP="00011DE3">
      <w:pPr>
        <w:spacing w:after="0" w:line="276" w:lineRule="auto"/>
        <w:jc w:val="both"/>
        <w:rPr>
          <w:rFonts w:ascii="Times New Roman" w:hAnsi="Times New Roman" w:cs="Times New Roman"/>
        </w:rPr>
      </w:pPr>
      <w:r w:rsidRPr="00FB61E7">
        <w:rPr>
          <w:rFonts w:ascii="Times New Roman" w:hAnsi="Times New Roman" w:cs="Times New Roman"/>
        </w:rPr>
        <w:t xml:space="preserve">TAC’en i Sydvest- og Sydøstgrønland fastsættes med udgangspunkt i den </w:t>
      </w:r>
      <w:r w:rsidR="00DE1A6A">
        <w:rPr>
          <w:rFonts w:ascii="Times New Roman" w:hAnsi="Times New Roman" w:cs="Times New Roman"/>
        </w:rPr>
        <w:t>biologiske</w:t>
      </w:r>
      <w:r w:rsidRPr="00FB61E7">
        <w:rPr>
          <w:rFonts w:ascii="Times New Roman" w:hAnsi="Times New Roman" w:cs="Times New Roman"/>
        </w:rPr>
        <w:t xml:space="preserve"> rådgivning fra ICES. Fra 2022 fastsætte TAC på baggrund af rådgivningen fra forrige år samt det aktuelle år. Sidste års rådgivning og den aktuelle rådgivning vægter fra 2022 begge med 50</w:t>
      </w:r>
      <w:r w:rsidR="00DE1A6A">
        <w:rPr>
          <w:rFonts w:ascii="Times New Roman" w:hAnsi="Times New Roman" w:cs="Times New Roman"/>
        </w:rPr>
        <w:t xml:space="preserve"> pct.</w:t>
      </w:r>
      <w:r w:rsidRPr="00FB61E7">
        <w:rPr>
          <w:rFonts w:ascii="Times New Roman" w:hAnsi="Times New Roman" w:cs="Times New Roman"/>
        </w:rPr>
        <w:t xml:space="preserve"> i fastsættelsen af TAC.</w:t>
      </w:r>
    </w:p>
    <w:p w14:paraId="57057A71" w14:textId="77777777" w:rsidR="00011DE3" w:rsidRDefault="00011DE3" w:rsidP="00011DE3">
      <w:pPr>
        <w:spacing w:after="0" w:line="276" w:lineRule="auto"/>
        <w:jc w:val="both"/>
        <w:rPr>
          <w:rFonts w:ascii="Times New Roman" w:hAnsi="Times New Roman" w:cs="Times New Roman"/>
        </w:rPr>
      </w:pPr>
    </w:p>
    <w:p w14:paraId="08373678" w14:textId="77777777" w:rsidR="00011DE3" w:rsidRDefault="00011DE3" w:rsidP="00011DE3">
      <w:pPr>
        <w:spacing w:after="0" w:line="276" w:lineRule="auto"/>
        <w:jc w:val="both"/>
        <w:rPr>
          <w:rFonts w:ascii="Times New Roman" w:hAnsi="Times New Roman"/>
          <w:b/>
          <w:sz w:val="24"/>
          <w:szCs w:val="24"/>
        </w:rPr>
      </w:pPr>
    </w:p>
    <w:p w14:paraId="49313EE8" w14:textId="77777777" w:rsidR="006C19B3" w:rsidRDefault="006C19B3" w:rsidP="00011DE3">
      <w:pPr>
        <w:spacing w:after="0" w:line="276" w:lineRule="auto"/>
        <w:jc w:val="both"/>
        <w:rPr>
          <w:rFonts w:ascii="Times New Roman" w:hAnsi="Times New Roman"/>
          <w:b/>
          <w:sz w:val="24"/>
          <w:szCs w:val="24"/>
        </w:rPr>
      </w:pPr>
    </w:p>
    <w:p w14:paraId="014735A8" w14:textId="77777777" w:rsidR="001E660A" w:rsidRPr="00A6390F" w:rsidRDefault="00A6390F" w:rsidP="00011DE3">
      <w:pPr>
        <w:spacing w:after="0" w:line="276" w:lineRule="auto"/>
        <w:jc w:val="both"/>
        <w:rPr>
          <w:rFonts w:ascii="Times New Roman" w:hAnsi="Times New Roman"/>
          <w:b/>
          <w:sz w:val="24"/>
          <w:szCs w:val="24"/>
        </w:rPr>
      </w:pPr>
      <w:r w:rsidRPr="00A6390F">
        <w:rPr>
          <w:rFonts w:ascii="Times New Roman" w:hAnsi="Times New Roman"/>
          <w:b/>
          <w:sz w:val="24"/>
          <w:szCs w:val="24"/>
        </w:rPr>
        <w:lastRenderedPageBreak/>
        <w:t>2. U</w:t>
      </w:r>
      <w:r w:rsidR="008D511A" w:rsidRPr="00A6390F">
        <w:rPr>
          <w:rFonts w:ascii="Times New Roman" w:hAnsi="Times New Roman"/>
          <w:b/>
          <w:sz w:val="24"/>
          <w:szCs w:val="24"/>
        </w:rPr>
        <w:t>dvikling i rådgivning og</w:t>
      </w:r>
      <w:r w:rsidR="001E660A" w:rsidRPr="00A6390F">
        <w:rPr>
          <w:rFonts w:ascii="Times New Roman" w:hAnsi="Times New Roman"/>
          <w:b/>
          <w:sz w:val="24"/>
          <w:szCs w:val="24"/>
        </w:rPr>
        <w:t xml:space="preserve"> TAC </w:t>
      </w:r>
      <w:r w:rsidR="0057679A" w:rsidRPr="00A6390F">
        <w:rPr>
          <w:rFonts w:ascii="Times New Roman" w:hAnsi="Times New Roman"/>
          <w:b/>
          <w:sz w:val="24"/>
          <w:szCs w:val="24"/>
        </w:rPr>
        <w:t>i hvidfisk fiskeriet</w:t>
      </w:r>
    </w:p>
    <w:p w14:paraId="23E22CAC" w14:textId="3C161EC8" w:rsidR="0039133B" w:rsidRPr="006F5982" w:rsidRDefault="0039133B" w:rsidP="00011DE3">
      <w:pPr>
        <w:spacing w:after="0" w:line="276" w:lineRule="auto"/>
        <w:jc w:val="both"/>
        <w:rPr>
          <w:rFonts w:ascii="Times New Roman" w:hAnsi="Times New Roman"/>
        </w:rPr>
      </w:pPr>
      <w:r w:rsidRPr="00601DF6">
        <w:rPr>
          <w:rFonts w:ascii="Times New Roman" w:hAnsi="Times New Roman"/>
        </w:rPr>
        <w:t>Grønlands Naturinstitut udgiver årligt en rådgivning for de havgående bestande af hellefisk, torsk</w:t>
      </w:r>
      <w:r w:rsidR="00461375">
        <w:rPr>
          <w:rFonts w:ascii="Times New Roman" w:hAnsi="Times New Roman"/>
        </w:rPr>
        <w:t xml:space="preserve"> og</w:t>
      </w:r>
      <w:r w:rsidRPr="00601DF6">
        <w:rPr>
          <w:rFonts w:ascii="Times New Roman" w:hAnsi="Times New Roman"/>
        </w:rPr>
        <w:t xml:space="preserve"> </w:t>
      </w:r>
      <w:r w:rsidR="00757CF0">
        <w:rPr>
          <w:rFonts w:ascii="Times New Roman" w:hAnsi="Times New Roman"/>
        </w:rPr>
        <w:t>rødfisk</w:t>
      </w:r>
      <w:r w:rsidRPr="00461375">
        <w:rPr>
          <w:rFonts w:ascii="Times New Roman" w:hAnsi="Times New Roman"/>
        </w:rPr>
        <w:t>.</w:t>
      </w:r>
      <w:r w:rsidR="00E30ABB" w:rsidRPr="00461375">
        <w:rPr>
          <w:rFonts w:ascii="Times New Roman" w:hAnsi="Times New Roman"/>
        </w:rPr>
        <w:t xml:space="preserve"> Rådgivningen</w:t>
      </w:r>
      <w:r w:rsidR="00E30ABB" w:rsidRPr="00601DF6">
        <w:rPr>
          <w:rFonts w:ascii="Times New Roman" w:hAnsi="Times New Roman"/>
        </w:rPr>
        <w:t xml:space="preserve"> for perioden 2012-2021 fremgår af tabel 1.</w:t>
      </w:r>
      <w:r w:rsidRPr="00601DF6">
        <w:rPr>
          <w:rFonts w:ascii="Times New Roman" w:hAnsi="Times New Roman"/>
        </w:rPr>
        <w:t xml:space="preserve"> Rådgivningen for torsk i Vestgrønland i </w:t>
      </w:r>
      <w:r w:rsidRPr="006F5982">
        <w:rPr>
          <w:rFonts w:ascii="Times New Roman" w:hAnsi="Times New Roman"/>
        </w:rPr>
        <w:t>perioden 2012-2021 har anbefalet</w:t>
      </w:r>
      <w:r w:rsidR="00B01E8F">
        <w:rPr>
          <w:rFonts w:ascii="Times New Roman" w:hAnsi="Times New Roman"/>
        </w:rPr>
        <w:t>,</w:t>
      </w:r>
      <w:r w:rsidRPr="006F5982">
        <w:rPr>
          <w:rFonts w:ascii="Times New Roman" w:hAnsi="Times New Roman"/>
        </w:rPr>
        <w:t xml:space="preserve"> at det ikke skal fiskes på bestanden. Rådgivningen for havgående torsk i Østgrønland var på nul i perioden 2012-2015. </w:t>
      </w:r>
      <w:r w:rsidR="00ED6D56" w:rsidRPr="00FA6BD1">
        <w:rPr>
          <w:rFonts w:ascii="Times New Roman" w:hAnsi="Times New Roman" w:cs="Times New Roman"/>
        </w:rPr>
        <w:t>Fra 2016 blev områderne delt op i Vest og Øst. NAFO 1F blev en del af området for Øst.</w:t>
      </w:r>
      <w:r w:rsidR="00ED6D56">
        <w:rPr>
          <w:rFonts w:ascii="Times New Roman" w:hAnsi="Times New Roman" w:cs="Times New Roman"/>
        </w:rPr>
        <w:t xml:space="preserve"> </w:t>
      </w:r>
      <w:r w:rsidRPr="006F5982">
        <w:rPr>
          <w:rFonts w:ascii="Times New Roman" w:hAnsi="Times New Roman"/>
        </w:rPr>
        <w:t>I 2016 blev rådgivningen</w:t>
      </w:r>
      <w:r w:rsidR="00B01E8F">
        <w:rPr>
          <w:rFonts w:ascii="Times New Roman" w:hAnsi="Times New Roman"/>
        </w:rPr>
        <w:t>,</w:t>
      </w:r>
      <w:r w:rsidRPr="006F5982">
        <w:rPr>
          <w:rFonts w:ascii="Times New Roman" w:hAnsi="Times New Roman"/>
        </w:rPr>
        <w:t xml:space="preserve"> at det maksimal</w:t>
      </w:r>
      <w:r w:rsidR="00B01E8F">
        <w:rPr>
          <w:rFonts w:ascii="Times New Roman" w:hAnsi="Times New Roman"/>
        </w:rPr>
        <w:t>t</w:t>
      </w:r>
      <w:r w:rsidRPr="006F5982">
        <w:rPr>
          <w:rFonts w:ascii="Times New Roman" w:hAnsi="Times New Roman"/>
        </w:rPr>
        <w:t xml:space="preserve"> kunne fiskes 7.577 tons og toppede i 2018 på 12.151 tons. Rådgivningen på den havgående torsk i Østgrønland har så været faldende igen fra 2018 til 3.409 tons i 2020</w:t>
      </w:r>
      <w:r w:rsidR="00CE3F65">
        <w:rPr>
          <w:rFonts w:ascii="Times New Roman" w:hAnsi="Times New Roman"/>
        </w:rPr>
        <w:t>,</w:t>
      </w:r>
      <w:r w:rsidRPr="006F5982">
        <w:rPr>
          <w:rFonts w:ascii="Times New Roman" w:hAnsi="Times New Roman"/>
        </w:rPr>
        <w:t xml:space="preserve"> men </w:t>
      </w:r>
      <w:r w:rsidR="00CE3F65">
        <w:rPr>
          <w:rFonts w:ascii="Times New Roman" w:hAnsi="Times New Roman"/>
        </w:rPr>
        <w:t>er</w:t>
      </w:r>
      <w:r w:rsidR="00CE3F65" w:rsidRPr="006F5982">
        <w:rPr>
          <w:rFonts w:ascii="Times New Roman" w:hAnsi="Times New Roman"/>
        </w:rPr>
        <w:t xml:space="preserve"> </w:t>
      </w:r>
      <w:r w:rsidRPr="006F5982">
        <w:rPr>
          <w:rFonts w:ascii="Times New Roman" w:hAnsi="Times New Roman"/>
        </w:rPr>
        <w:t>steget igen i 2021 til 6.091 tons.</w:t>
      </w:r>
    </w:p>
    <w:p w14:paraId="36D896A2" w14:textId="77777777" w:rsidR="0039133B" w:rsidRPr="006F5982" w:rsidRDefault="0039133B" w:rsidP="00011DE3">
      <w:pPr>
        <w:spacing w:after="0" w:line="276" w:lineRule="auto"/>
        <w:jc w:val="both"/>
        <w:rPr>
          <w:rFonts w:ascii="Times New Roman" w:hAnsi="Times New Roman"/>
        </w:rPr>
      </w:pPr>
    </w:p>
    <w:p w14:paraId="2E178328" w14:textId="77777777" w:rsidR="008679B9" w:rsidRPr="00A07D05" w:rsidRDefault="0039133B" w:rsidP="008679B9">
      <w:pPr>
        <w:spacing w:after="0" w:line="276" w:lineRule="auto"/>
        <w:jc w:val="both"/>
        <w:rPr>
          <w:rFonts w:ascii="Times New Roman" w:hAnsi="Times New Roman" w:cs="Times New Roman"/>
        </w:rPr>
      </w:pPr>
      <w:r w:rsidRPr="006F5982">
        <w:rPr>
          <w:rFonts w:ascii="Times New Roman" w:hAnsi="Times New Roman"/>
        </w:rPr>
        <w:t>Rådgivningen for den havgående hellefisk i Vestgrønland er samlet for fiskeriområderne i Grønland og Canada. Rådgivningen har</w:t>
      </w:r>
      <w:r w:rsidR="00787337" w:rsidRPr="006F5982">
        <w:rPr>
          <w:rFonts w:ascii="Times New Roman" w:hAnsi="Times New Roman"/>
        </w:rPr>
        <w:t xml:space="preserve"> været ret stabil fra 2013</w:t>
      </w:r>
      <w:r w:rsidR="00CB6445">
        <w:rPr>
          <w:rFonts w:ascii="Times New Roman" w:hAnsi="Times New Roman"/>
        </w:rPr>
        <w:t>,</w:t>
      </w:r>
      <w:r w:rsidRPr="006F5982">
        <w:rPr>
          <w:rFonts w:ascii="Times New Roman" w:hAnsi="Times New Roman"/>
        </w:rPr>
        <w:t xml:space="preserve"> hvor den </w:t>
      </w:r>
      <w:r w:rsidR="00787337" w:rsidRPr="006F5982">
        <w:rPr>
          <w:rFonts w:ascii="Times New Roman" w:hAnsi="Times New Roman"/>
        </w:rPr>
        <w:t xml:space="preserve">samlede rådgivning for Canada og Vestgrønland (Baffinbugt og Davis Strædet) </w:t>
      </w:r>
      <w:r w:rsidR="00E84BA0" w:rsidRPr="006F5982">
        <w:rPr>
          <w:rFonts w:ascii="Times New Roman" w:hAnsi="Times New Roman"/>
        </w:rPr>
        <w:t>steg</w:t>
      </w:r>
      <w:r w:rsidRPr="006F5982">
        <w:rPr>
          <w:rFonts w:ascii="Times New Roman" w:hAnsi="Times New Roman"/>
        </w:rPr>
        <w:t xml:space="preserve"> fr</w:t>
      </w:r>
      <w:r w:rsidR="00787337" w:rsidRPr="006F5982">
        <w:rPr>
          <w:rFonts w:ascii="Times New Roman" w:hAnsi="Times New Roman"/>
        </w:rPr>
        <w:t>a 27.000 tons i 2012 til 36.370 tons i 2021.</w:t>
      </w:r>
      <w:r w:rsidR="008679B9">
        <w:rPr>
          <w:rFonts w:ascii="Times New Roman" w:hAnsi="Times New Roman"/>
        </w:rPr>
        <w:t xml:space="preserve"> </w:t>
      </w:r>
      <w:r w:rsidR="008679B9" w:rsidRPr="00A07D05">
        <w:rPr>
          <w:rFonts w:ascii="Times New Roman" w:hAnsi="Times New Roman" w:cs="Times New Roman"/>
        </w:rPr>
        <w:t xml:space="preserve">Rådgivningen </w:t>
      </w:r>
      <w:r w:rsidR="008679B9">
        <w:rPr>
          <w:rFonts w:ascii="Times New Roman" w:hAnsi="Times New Roman" w:cs="Times New Roman"/>
        </w:rPr>
        <w:t xml:space="preserve">særskilt </w:t>
      </w:r>
      <w:r w:rsidR="008679B9" w:rsidRPr="00A07D05">
        <w:rPr>
          <w:rFonts w:ascii="Times New Roman" w:hAnsi="Times New Roman" w:cs="Times New Roman"/>
        </w:rPr>
        <w:t xml:space="preserve">for </w:t>
      </w:r>
      <w:proofErr w:type="spellStart"/>
      <w:r w:rsidR="008679B9" w:rsidRPr="00A07D05">
        <w:rPr>
          <w:rFonts w:ascii="Times New Roman" w:hAnsi="Times New Roman" w:cs="Times New Roman"/>
        </w:rPr>
        <w:t>Sebastes</w:t>
      </w:r>
      <w:proofErr w:type="spellEnd"/>
      <w:r w:rsidR="008679B9" w:rsidRPr="00A07D05">
        <w:rPr>
          <w:rFonts w:ascii="Times New Roman" w:hAnsi="Times New Roman" w:cs="Times New Roman"/>
        </w:rPr>
        <w:t xml:space="preserve"> </w:t>
      </w:r>
      <w:proofErr w:type="spellStart"/>
      <w:r w:rsidR="008679B9" w:rsidRPr="00A07D05">
        <w:rPr>
          <w:rFonts w:ascii="Times New Roman" w:hAnsi="Times New Roman" w:cs="Times New Roman"/>
        </w:rPr>
        <w:t>Mentella</w:t>
      </w:r>
      <w:proofErr w:type="spellEnd"/>
      <w:r w:rsidR="008679B9" w:rsidRPr="00A07D05">
        <w:rPr>
          <w:rFonts w:ascii="Times New Roman" w:hAnsi="Times New Roman" w:cs="Times New Roman"/>
        </w:rPr>
        <w:t xml:space="preserve"> i 2021 er på 914 tons. Fiskeribiologiske undersøgelser har vist, at rekrutteringen har været meget lav siden 2013. Der er derfor forventes et fald i biomassen i de kommende år.</w:t>
      </w:r>
      <w:r w:rsidR="008679B9">
        <w:rPr>
          <w:rFonts w:ascii="Times New Roman" w:hAnsi="Times New Roman" w:cs="Times New Roman"/>
        </w:rPr>
        <w:t xml:space="preserve"> </w:t>
      </w:r>
      <w:r w:rsidR="008679B9" w:rsidRPr="00A07D05">
        <w:rPr>
          <w:rFonts w:ascii="Times New Roman" w:hAnsi="Times New Roman" w:cs="Times New Roman"/>
        </w:rPr>
        <w:t>Rådgivningen</w:t>
      </w:r>
      <w:r w:rsidR="008679B9">
        <w:rPr>
          <w:rFonts w:ascii="Times New Roman" w:hAnsi="Times New Roman" w:cs="Times New Roman"/>
        </w:rPr>
        <w:t xml:space="preserve"> særskilt</w:t>
      </w:r>
      <w:r w:rsidR="008679B9" w:rsidRPr="00A07D05">
        <w:rPr>
          <w:rFonts w:ascii="Times New Roman" w:hAnsi="Times New Roman" w:cs="Times New Roman"/>
        </w:rPr>
        <w:t xml:space="preserve"> for </w:t>
      </w:r>
      <w:proofErr w:type="spellStart"/>
      <w:r w:rsidR="008679B9">
        <w:rPr>
          <w:rFonts w:ascii="Times New Roman" w:hAnsi="Times New Roman" w:cs="Times New Roman"/>
        </w:rPr>
        <w:t>Sebastes</w:t>
      </w:r>
      <w:proofErr w:type="spellEnd"/>
      <w:r w:rsidR="008679B9">
        <w:rPr>
          <w:rFonts w:ascii="Times New Roman" w:hAnsi="Times New Roman" w:cs="Times New Roman"/>
        </w:rPr>
        <w:t xml:space="preserve"> </w:t>
      </w:r>
      <w:proofErr w:type="spellStart"/>
      <w:r w:rsidR="008679B9">
        <w:rPr>
          <w:rFonts w:ascii="Times New Roman" w:hAnsi="Times New Roman" w:cs="Times New Roman"/>
        </w:rPr>
        <w:t>Norvegicus</w:t>
      </w:r>
      <w:proofErr w:type="spellEnd"/>
      <w:r w:rsidR="008679B9">
        <w:rPr>
          <w:rFonts w:ascii="Times New Roman" w:hAnsi="Times New Roman" w:cs="Times New Roman"/>
        </w:rPr>
        <w:t xml:space="preserve"> i </w:t>
      </w:r>
      <w:r w:rsidR="008679B9" w:rsidRPr="00A07D05">
        <w:rPr>
          <w:rFonts w:ascii="Times New Roman" w:hAnsi="Times New Roman" w:cs="Times New Roman"/>
        </w:rPr>
        <w:t xml:space="preserve">2021 er </w:t>
      </w:r>
      <w:r w:rsidR="008679B9">
        <w:rPr>
          <w:rFonts w:ascii="Times New Roman" w:hAnsi="Times New Roman" w:cs="Times New Roman"/>
        </w:rPr>
        <w:t xml:space="preserve">på </w:t>
      </w:r>
      <w:r w:rsidR="008679B9" w:rsidRPr="00A07D05">
        <w:rPr>
          <w:rFonts w:ascii="Times New Roman" w:hAnsi="Times New Roman" w:cs="Times New Roman"/>
        </w:rPr>
        <w:t>38.343 tons Tilgangen af små fisk til bestanden har været lav siden 2014</w:t>
      </w:r>
      <w:r w:rsidR="008679B9">
        <w:rPr>
          <w:rFonts w:ascii="Times New Roman" w:hAnsi="Times New Roman" w:cs="Times New Roman"/>
        </w:rPr>
        <w:t xml:space="preserve">. </w:t>
      </w:r>
      <w:r w:rsidR="008679B9" w:rsidRPr="00A07D05">
        <w:rPr>
          <w:rFonts w:ascii="Times New Roman" w:hAnsi="Times New Roman" w:cs="Times New Roman"/>
        </w:rPr>
        <w:t>Gydebiomassen er faldet siden 2015, men er fortsat over det optimale niveau.</w:t>
      </w:r>
    </w:p>
    <w:p w14:paraId="570F5D76" w14:textId="77777777" w:rsidR="004132C9" w:rsidRPr="006F5982" w:rsidRDefault="004132C9" w:rsidP="00A8693E">
      <w:pPr>
        <w:spacing w:after="0" w:line="276" w:lineRule="auto"/>
        <w:jc w:val="both"/>
        <w:rPr>
          <w:rFonts w:ascii="Times New Roman" w:hAnsi="Times New Roman"/>
          <w:b/>
        </w:rPr>
      </w:pPr>
    </w:p>
    <w:p w14:paraId="03816019" w14:textId="77777777" w:rsidR="00787337" w:rsidRPr="006F5982" w:rsidRDefault="00787337" w:rsidP="00A8693E">
      <w:pPr>
        <w:spacing w:after="0" w:line="276" w:lineRule="auto"/>
        <w:jc w:val="both"/>
        <w:rPr>
          <w:rFonts w:ascii="Times New Roman" w:hAnsi="Times New Roman"/>
        </w:rPr>
      </w:pPr>
      <w:r w:rsidRPr="006F5982">
        <w:rPr>
          <w:rFonts w:ascii="Times New Roman" w:hAnsi="Times New Roman"/>
        </w:rPr>
        <w:t xml:space="preserve">Rådgivningen for den havgående hellefisk i Østgrønland er samlet for fiskeriområderne i Østgrønland, Island og Færøerne. Rådgivningen har været ret stabil fra 2013 </w:t>
      </w:r>
      <w:r w:rsidR="00CB6445">
        <w:rPr>
          <w:rFonts w:ascii="Times New Roman" w:hAnsi="Times New Roman"/>
        </w:rPr>
        <w:t xml:space="preserve">til 2021 </w:t>
      </w:r>
      <w:r w:rsidRPr="006F5982">
        <w:rPr>
          <w:rFonts w:ascii="Times New Roman" w:hAnsi="Times New Roman"/>
        </w:rPr>
        <w:t>med svingende rådgivning mellem 20.000 tons til 25.180</w:t>
      </w:r>
      <w:r w:rsidR="00CB6445">
        <w:rPr>
          <w:rFonts w:ascii="Times New Roman" w:hAnsi="Times New Roman"/>
        </w:rPr>
        <w:t xml:space="preserve">. </w:t>
      </w:r>
      <w:r w:rsidRPr="006F5982">
        <w:rPr>
          <w:rFonts w:ascii="Times New Roman" w:hAnsi="Times New Roman"/>
        </w:rPr>
        <w:t xml:space="preserve"> </w:t>
      </w:r>
    </w:p>
    <w:p w14:paraId="15504599" w14:textId="77777777" w:rsidR="0057679A" w:rsidRPr="006F5982" w:rsidRDefault="0057679A" w:rsidP="00A8693E">
      <w:pPr>
        <w:spacing w:after="0" w:line="276" w:lineRule="auto"/>
        <w:jc w:val="both"/>
        <w:rPr>
          <w:rFonts w:ascii="Times New Roman" w:hAnsi="Times New Roman"/>
        </w:rPr>
      </w:pPr>
    </w:p>
    <w:p w14:paraId="438ABFFF" w14:textId="77777777" w:rsidR="00787337" w:rsidRPr="006F5982" w:rsidRDefault="00787337" w:rsidP="00A8693E">
      <w:pPr>
        <w:spacing w:after="0" w:line="276" w:lineRule="auto"/>
        <w:jc w:val="both"/>
        <w:rPr>
          <w:rFonts w:ascii="Times New Roman" w:hAnsi="Times New Roman"/>
        </w:rPr>
      </w:pPr>
      <w:r w:rsidRPr="006F5982">
        <w:rPr>
          <w:rFonts w:ascii="Times New Roman" w:hAnsi="Times New Roman"/>
        </w:rPr>
        <w:t xml:space="preserve">Rådgivningen for den havgående rødfisk i Østgrønland er samlet for fiskeriområderne i Østgrønland, Island og Færøerne. Fiskeriet er blandingsfiskeri bestående af de to </w:t>
      </w:r>
      <w:r w:rsidR="00CE3F65">
        <w:rPr>
          <w:rFonts w:ascii="Times New Roman" w:hAnsi="Times New Roman"/>
        </w:rPr>
        <w:t>underarter af</w:t>
      </w:r>
      <w:r w:rsidR="00CE3F65" w:rsidRPr="006F5982">
        <w:rPr>
          <w:rFonts w:ascii="Times New Roman" w:hAnsi="Times New Roman"/>
        </w:rPr>
        <w:t xml:space="preserve"> </w:t>
      </w:r>
      <w:r w:rsidRPr="006F5982">
        <w:rPr>
          <w:rFonts w:ascii="Times New Roman" w:hAnsi="Times New Roman"/>
        </w:rPr>
        <w:t xml:space="preserve">rødfisk </w:t>
      </w:r>
      <w:proofErr w:type="spellStart"/>
      <w:r w:rsidR="00CE3F65" w:rsidRPr="006F5982">
        <w:rPr>
          <w:rFonts w:ascii="Times New Roman" w:hAnsi="Times New Roman"/>
        </w:rPr>
        <w:t>Sebast</w:t>
      </w:r>
      <w:r w:rsidR="00CE3F65">
        <w:rPr>
          <w:rFonts w:ascii="Times New Roman" w:hAnsi="Times New Roman"/>
        </w:rPr>
        <w:t>es</w:t>
      </w:r>
      <w:proofErr w:type="spellEnd"/>
      <w:r w:rsidR="00CE3F65" w:rsidRPr="006F5982">
        <w:rPr>
          <w:rFonts w:ascii="Times New Roman" w:hAnsi="Times New Roman"/>
        </w:rPr>
        <w:t xml:space="preserve"> </w:t>
      </w:r>
      <w:proofErr w:type="spellStart"/>
      <w:r w:rsidRPr="006F5982">
        <w:rPr>
          <w:rFonts w:ascii="Times New Roman" w:hAnsi="Times New Roman"/>
        </w:rPr>
        <w:t>Mentella</w:t>
      </w:r>
      <w:proofErr w:type="spellEnd"/>
      <w:r w:rsidRPr="006F5982">
        <w:rPr>
          <w:rFonts w:ascii="Times New Roman" w:hAnsi="Times New Roman"/>
        </w:rPr>
        <w:t xml:space="preserve"> og </w:t>
      </w:r>
      <w:proofErr w:type="spellStart"/>
      <w:r w:rsidR="00CE3F65" w:rsidRPr="006F5982">
        <w:rPr>
          <w:rFonts w:ascii="Times New Roman" w:hAnsi="Times New Roman"/>
        </w:rPr>
        <w:t>Sebast</w:t>
      </w:r>
      <w:r w:rsidR="00CE3F65">
        <w:rPr>
          <w:rFonts w:ascii="Times New Roman" w:hAnsi="Times New Roman"/>
        </w:rPr>
        <w:t>es</w:t>
      </w:r>
      <w:proofErr w:type="spellEnd"/>
      <w:r w:rsidR="00CE3F65">
        <w:rPr>
          <w:rFonts w:ascii="Times New Roman" w:hAnsi="Times New Roman"/>
        </w:rPr>
        <w:t xml:space="preserve"> </w:t>
      </w:r>
      <w:proofErr w:type="spellStart"/>
      <w:r w:rsidRPr="006F5982">
        <w:rPr>
          <w:rFonts w:ascii="Times New Roman" w:hAnsi="Times New Roman"/>
        </w:rPr>
        <w:t>Norvegicus</w:t>
      </w:r>
      <w:proofErr w:type="spellEnd"/>
      <w:r w:rsidRPr="006F5982">
        <w:rPr>
          <w:rFonts w:ascii="Times New Roman" w:hAnsi="Times New Roman"/>
        </w:rPr>
        <w:t xml:space="preserve">. Den samlede rådgivning for de to </w:t>
      </w:r>
      <w:r w:rsidR="00CE3F65">
        <w:rPr>
          <w:rFonts w:ascii="Times New Roman" w:hAnsi="Times New Roman"/>
        </w:rPr>
        <w:t>underarter af</w:t>
      </w:r>
      <w:r w:rsidR="00CE3F65" w:rsidRPr="006F5982">
        <w:rPr>
          <w:rFonts w:ascii="Times New Roman" w:hAnsi="Times New Roman"/>
        </w:rPr>
        <w:t xml:space="preserve"> </w:t>
      </w:r>
      <w:r w:rsidR="00E84BA0" w:rsidRPr="006F5982">
        <w:rPr>
          <w:rFonts w:ascii="Times New Roman" w:hAnsi="Times New Roman"/>
        </w:rPr>
        <w:t>rødfisk var</w:t>
      </w:r>
      <w:r w:rsidRPr="006F5982">
        <w:rPr>
          <w:rFonts w:ascii="Times New Roman" w:hAnsi="Times New Roman"/>
        </w:rPr>
        <w:t xml:space="preserve"> været stigende fra 41.000 tons i 2012 til 53.920 tons i 2018. Siden 2018 </w:t>
      </w:r>
      <w:r w:rsidR="00CE3F65">
        <w:rPr>
          <w:rFonts w:ascii="Times New Roman" w:hAnsi="Times New Roman"/>
        </w:rPr>
        <w:t>er</w:t>
      </w:r>
      <w:r w:rsidR="00CE3F65" w:rsidRPr="006F5982">
        <w:rPr>
          <w:rFonts w:ascii="Times New Roman" w:hAnsi="Times New Roman"/>
        </w:rPr>
        <w:t xml:space="preserve"> </w:t>
      </w:r>
      <w:r w:rsidRPr="006F5982">
        <w:rPr>
          <w:rFonts w:ascii="Times New Roman" w:hAnsi="Times New Roman"/>
        </w:rPr>
        <w:t xml:space="preserve">rådgivningen faldet til 39.257 tons i 2021. </w:t>
      </w:r>
    </w:p>
    <w:p w14:paraId="3CF46311" w14:textId="77777777" w:rsidR="008D511A" w:rsidRPr="006F5982" w:rsidRDefault="008D511A" w:rsidP="00A8693E">
      <w:pPr>
        <w:spacing w:after="0" w:line="276" w:lineRule="auto"/>
        <w:jc w:val="both"/>
        <w:rPr>
          <w:rFonts w:ascii="Times New Roman" w:hAnsi="Times New Roman"/>
        </w:rPr>
      </w:pPr>
    </w:p>
    <w:p w14:paraId="06895D51" w14:textId="77777777" w:rsidR="008D511A" w:rsidRPr="006F5982" w:rsidRDefault="008D511A" w:rsidP="00A8693E">
      <w:pPr>
        <w:spacing w:after="0" w:line="276" w:lineRule="auto"/>
        <w:jc w:val="both"/>
        <w:rPr>
          <w:rFonts w:ascii="Times New Roman" w:hAnsi="Times New Roman"/>
        </w:rPr>
      </w:pPr>
      <w:r w:rsidRPr="00A9307E">
        <w:rPr>
          <w:rFonts w:ascii="Times New Roman" w:hAnsi="Times New Roman"/>
        </w:rPr>
        <w:t>Det ydes ikke rådgivning for Brosme i Østgrønland.</w:t>
      </w:r>
    </w:p>
    <w:p w14:paraId="5ECDB39B" w14:textId="77777777" w:rsidR="00787337" w:rsidRPr="006F5982" w:rsidRDefault="00787337" w:rsidP="00A8693E">
      <w:pPr>
        <w:spacing w:after="0" w:line="276" w:lineRule="auto"/>
        <w:jc w:val="both"/>
        <w:rPr>
          <w:rFonts w:ascii="Times New Roman" w:hAnsi="Times New Roman"/>
        </w:rPr>
      </w:pPr>
    </w:p>
    <w:p w14:paraId="14703095" w14:textId="77777777" w:rsidR="00286CD9" w:rsidRPr="006F5982" w:rsidRDefault="00286CD9" w:rsidP="00A8693E">
      <w:pPr>
        <w:spacing w:after="0" w:line="276" w:lineRule="auto"/>
        <w:jc w:val="both"/>
        <w:rPr>
          <w:rFonts w:ascii="Times New Roman" w:hAnsi="Times New Roman"/>
        </w:rPr>
      </w:pPr>
      <w:r w:rsidRPr="006F5982">
        <w:rPr>
          <w:rFonts w:ascii="Times New Roman" w:hAnsi="Times New Roman"/>
        </w:rPr>
        <w:t>Tabel</w:t>
      </w:r>
      <w:r w:rsidR="00E30ABB" w:rsidRPr="006F5982">
        <w:rPr>
          <w:rFonts w:ascii="Times New Roman" w:hAnsi="Times New Roman"/>
        </w:rPr>
        <w:t xml:space="preserve"> 1</w:t>
      </w:r>
      <w:r w:rsidRPr="006F5982">
        <w:rPr>
          <w:rFonts w:ascii="Times New Roman" w:hAnsi="Times New Roman"/>
        </w:rPr>
        <w:t>: Udvikling i rådgivning for havgående hellefisk, torsk, rødfisk og brosme, 2012-2021.</w:t>
      </w:r>
    </w:p>
    <w:tbl>
      <w:tblPr>
        <w:tblW w:w="9600" w:type="dxa"/>
        <w:tblCellMar>
          <w:left w:w="70" w:type="dxa"/>
          <w:right w:w="70" w:type="dxa"/>
        </w:tblCellMar>
        <w:tblLook w:val="04A0" w:firstRow="1" w:lastRow="0" w:firstColumn="1" w:lastColumn="0" w:noHBand="0" w:noVBand="1"/>
      </w:tblPr>
      <w:tblGrid>
        <w:gridCol w:w="896"/>
        <w:gridCol w:w="1720"/>
        <w:gridCol w:w="700"/>
        <w:gridCol w:w="700"/>
        <w:gridCol w:w="700"/>
        <w:gridCol w:w="700"/>
        <w:gridCol w:w="700"/>
        <w:gridCol w:w="700"/>
        <w:gridCol w:w="700"/>
        <w:gridCol w:w="700"/>
        <w:gridCol w:w="700"/>
        <w:gridCol w:w="700"/>
      </w:tblGrid>
      <w:tr w:rsidR="009857A4" w:rsidRPr="009857A4" w14:paraId="6DEE75BF" w14:textId="77777777" w:rsidTr="009857A4">
        <w:trPr>
          <w:trHeight w:val="255"/>
        </w:trPr>
        <w:tc>
          <w:tcPr>
            <w:tcW w:w="880" w:type="dxa"/>
            <w:tcBorders>
              <w:top w:val="single" w:sz="4" w:space="0" w:color="auto"/>
              <w:left w:val="single" w:sz="4" w:space="0" w:color="auto"/>
              <w:bottom w:val="nil"/>
              <w:right w:val="single" w:sz="4" w:space="0" w:color="auto"/>
            </w:tcBorders>
            <w:shd w:val="clear" w:color="000000" w:fill="FFFFFF"/>
            <w:noWrap/>
            <w:vAlign w:val="bottom"/>
            <w:hideMark/>
          </w:tcPr>
          <w:p w14:paraId="2F046D7E"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 </w:t>
            </w:r>
          </w:p>
        </w:tc>
        <w:tc>
          <w:tcPr>
            <w:tcW w:w="1720" w:type="dxa"/>
            <w:tcBorders>
              <w:top w:val="single" w:sz="4" w:space="0" w:color="auto"/>
              <w:left w:val="nil"/>
              <w:bottom w:val="nil"/>
              <w:right w:val="single" w:sz="4" w:space="0" w:color="auto"/>
            </w:tcBorders>
            <w:shd w:val="clear" w:color="000000" w:fill="FFFFFF"/>
            <w:noWrap/>
            <w:vAlign w:val="bottom"/>
            <w:hideMark/>
          </w:tcPr>
          <w:p w14:paraId="57E93870"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29270D56"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5A375E41"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1927BE6E"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24C13B22"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24065188"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2172A181"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45AA9633"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3C50EF2E"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nil"/>
            </w:tcBorders>
            <w:shd w:val="clear" w:color="000000" w:fill="FFFFFF"/>
            <w:noWrap/>
            <w:vAlign w:val="bottom"/>
            <w:hideMark/>
          </w:tcPr>
          <w:p w14:paraId="07F48A96"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4B754BEC"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w:t>
            </w:r>
          </w:p>
        </w:tc>
      </w:tr>
      <w:tr w:rsidR="009857A4" w:rsidRPr="009857A4" w14:paraId="3BE3881F" w14:textId="77777777" w:rsidTr="009857A4">
        <w:trPr>
          <w:trHeight w:val="25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028187F"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Art</w:t>
            </w:r>
          </w:p>
        </w:tc>
        <w:tc>
          <w:tcPr>
            <w:tcW w:w="1720" w:type="dxa"/>
            <w:tcBorders>
              <w:top w:val="nil"/>
              <w:left w:val="nil"/>
              <w:bottom w:val="single" w:sz="4" w:space="0" w:color="auto"/>
              <w:right w:val="single" w:sz="4" w:space="0" w:color="auto"/>
            </w:tcBorders>
            <w:shd w:val="clear" w:color="000000" w:fill="FFFFFF"/>
            <w:vAlign w:val="center"/>
            <w:hideMark/>
          </w:tcPr>
          <w:p w14:paraId="4D40A092"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Område</w:t>
            </w:r>
          </w:p>
        </w:tc>
        <w:tc>
          <w:tcPr>
            <w:tcW w:w="700" w:type="dxa"/>
            <w:tcBorders>
              <w:top w:val="nil"/>
              <w:left w:val="nil"/>
              <w:bottom w:val="single" w:sz="4" w:space="0" w:color="auto"/>
              <w:right w:val="single" w:sz="4" w:space="0" w:color="auto"/>
            </w:tcBorders>
            <w:shd w:val="clear" w:color="000000" w:fill="FFFFFF"/>
            <w:vAlign w:val="center"/>
            <w:hideMark/>
          </w:tcPr>
          <w:p w14:paraId="435CD230"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2012</w:t>
            </w:r>
          </w:p>
        </w:tc>
        <w:tc>
          <w:tcPr>
            <w:tcW w:w="700" w:type="dxa"/>
            <w:tcBorders>
              <w:top w:val="nil"/>
              <w:left w:val="nil"/>
              <w:bottom w:val="single" w:sz="4" w:space="0" w:color="auto"/>
              <w:right w:val="single" w:sz="4" w:space="0" w:color="auto"/>
            </w:tcBorders>
            <w:shd w:val="clear" w:color="000000" w:fill="FFFFFF"/>
            <w:vAlign w:val="center"/>
            <w:hideMark/>
          </w:tcPr>
          <w:p w14:paraId="5AF84A69"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2013</w:t>
            </w:r>
          </w:p>
        </w:tc>
        <w:tc>
          <w:tcPr>
            <w:tcW w:w="700" w:type="dxa"/>
            <w:tcBorders>
              <w:top w:val="nil"/>
              <w:left w:val="nil"/>
              <w:bottom w:val="single" w:sz="4" w:space="0" w:color="auto"/>
              <w:right w:val="single" w:sz="4" w:space="0" w:color="auto"/>
            </w:tcBorders>
            <w:shd w:val="clear" w:color="000000" w:fill="FFFFFF"/>
            <w:vAlign w:val="center"/>
            <w:hideMark/>
          </w:tcPr>
          <w:p w14:paraId="024B8939"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2014</w:t>
            </w:r>
          </w:p>
        </w:tc>
        <w:tc>
          <w:tcPr>
            <w:tcW w:w="700" w:type="dxa"/>
            <w:tcBorders>
              <w:top w:val="nil"/>
              <w:left w:val="nil"/>
              <w:bottom w:val="single" w:sz="4" w:space="0" w:color="auto"/>
              <w:right w:val="single" w:sz="4" w:space="0" w:color="auto"/>
            </w:tcBorders>
            <w:shd w:val="clear" w:color="000000" w:fill="FFFFFF"/>
            <w:vAlign w:val="center"/>
            <w:hideMark/>
          </w:tcPr>
          <w:p w14:paraId="26DBF27A"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2015</w:t>
            </w:r>
          </w:p>
        </w:tc>
        <w:tc>
          <w:tcPr>
            <w:tcW w:w="700" w:type="dxa"/>
            <w:tcBorders>
              <w:top w:val="nil"/>
              <w:left w:val="nil"/>
              <w:bottom w:val="single" w:sz="4" w:space="0" w:color="auto"/>
              <w:right w:val="single" w:sz="4" w:space="0" w:color="auto"/>
            </w:tcBorders>
            <w:shd w:val="clear" w:color="000000" w:fill="FFFFFF"/>
            <w:vAlign w:val="center"/>
            <w:hideMark/>
          </w:tcPr>
          <w:p w14:paraId="5EF1F096"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2016</w:t>
            </w:r>
          </w:p>
        </w:tc>
        <w:tc>
          <w:tcPr>
            <w:tcW w:w="700" w:type="dxa"/>
            <w:tcBorders>
              <w:top w:val="nil"/>
              <w:left w:val="nil"/>
              <w:bottom w:val="single" w:sz="4" w:space="0" w:color="auto"/>
              <w:right w:val="single" w:sz="4" w:space="0" w:color="auto"/>
            </w:tcBorders>
            <w:shd w:val="clear" w:color="000000" w:fill="FFFFFF"/>
            <w:vAlign w:val="center"/>
            <w:hideMark/>
          </w:tcPr>
          <w:p w14:paraId="02A7992A"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2017</w:t>
            </w:r>
          </w:p>
        </w:tc>
        <w:tc>
          <w:tcPr>
            <w:tcW w:w="700" w:type="dxa"/>
            <w:tcBorders>
              <w:top w:val="nil"/>
              <w:left w:val="nil"/>
              <w:bottom w:val="single" w:sz="4" w:space="0" w:color="auto"/>
              <w:right w:val="single" w:sz="4" w:space="0" w:color="auto"/>
            </w:tcBorders>
            <w:shd w:val="clear" w:color="000000" w:fill="FFFFFF"/>
            <w:vAlign w:val="center"/>
            <w:hideMark/>
          </w:tcPr>
          <w:p w14:paraId="72AB9E98"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2018</w:t>
            </w:r>
          </w:p>
        </w:tc>
        <w:tc>
          <w:tcPr>
            <w:tcW w:w="700" w:type="dxa"/>
            <w:tcBorders>
              <w:top w:val="nil"/>
              <w:left w:val="nil"/>
              <w:bottom w:val="single" w:sz="4" w:space="0" w:color="auto"/>
              <w:right w:val="single" w:sz="4" w:space="0" w:color="auto"/>
            </w:tcBorders>
            <w:shd w:val="clear" w:color="000000" w:fill="FFFFFF"/>
            <w:vAlign w:val="center"/>
            <w:hideMark/>
          </w:tcPr>
          <w:p w14:paraId="3CF03238"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2019</w:t>
            </w:r>
          </w:p>
        </w:tc>
        <w:tc>
          <w:tcPr>
            <w:tcW w:w="700" w:type="dxa"/>
            <w:tcBorders>
              <w:top w:val="nil"/>
              <w:left w:val="nil"/>
              <w:bottom w:val="single" w:sz="4" w:space="0" w:color="auto"/>
              <w:right w:val="single" w:sz="4" w:space="0" w:color="auto"/>
            </w:tcBorders>
            <w:shd w:val="clear" w:color="000000" w:fill="FFFFFF"/>
            <w:vAlign w:val="center"/>
            <w:hideMark/>
          </w:tcPr>
          <w:p w14:paraId="65C368A1"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2020</w:t>
            </w:r>
          </w:p>
        </w:tc>
        <w:tc>
          <w:tcPr>
            <w:tcW w:w="700" w:type="dxa"/>
            <w:tcBorders>
              <w:top w:val="nil"/>
              <w:left w:val="nil"/>
              <w:bottom w:val="single" w:sz="4" w:space="0" w:color="auto"/>
              <w:right w:val="single" w:sz="4" w:space="0" w:color="auto"/>
            </w:tcBorders>
            <w:shd w:val="clear" w:color="000000" w:fill="FFFFFF"/>
            <w:vAlign w:val="center"/>
            <w:hideMark/>
          </w:tcPr>
          <w:p w14:paraId="1491E3F9" w14:textId="77777777" w:rsidR="009857A4" w:rsidRPr="009857A4" w:rsidRDefault="009857A4" w:rsidP="00A8693E">
            <w:pPr>
              <w:spacing w:after="0" w:line="276" w:lineRule="auto"/>
              <w:jc w:val="right"/>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2021</w:t>
            </w:r>
          </w:p>
        </w:tc>
      </w:tr>
      <w:tr w:rsidR="009857A4" w:rsidRPr="009857A4" w14:paraId="14E26561" w14:textId="77777777" w:rsidTr="009857A4">
        <w:trPr>
          <w:trHeight w:val="342"/>
        </w:trPr>
        <w:tc>
          <w:tcPr>
            <w:tcW w:w="880" w:type="dxa"/>
            <w:vMerge w:val="restart"/>
            <w:tcBorders>
              <w:top w:val="nil"/>
              <w:left w:val="single" w:sz="4" w:space="0" w:color="auto"/>
              <w:bottom w:val="single" w:sz="4" w:space="0" w:color="auto"/>
              <w:right w:val="single" w:sz="4" w:space="0" w:color="auto"/>
            </w:tcBorders>
            <w:shd w:val="clear" w:color="000000" w:fill="FFFFFF"/>
            <w:noWrap/>
            <w:hideMark/>
          </w:tcPr>
          <w:p w14:paraId="22E9DDBD"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 xml:space="preserve">Torsk </w:t>
            </w:r>
          </w:p>
        </w:tc>
        <w:tc>
          <w:tcPr>
            <w:tcW w:w="1720" w:type="dxa"/>
            <w:tcBorders>
              <w:top w:val="nil"/>
              <w:left w:val="nil"/>
              <w:bottom w:val="single" w:sz="4" w:space="0" w:color="auto"/>
              <w:right w:val="single" w:sz="4" w:space="0" w:color="auto"/>
            </w:tcBorders>
            <w:shd w:val="clear" w:color="000000" w:fill="FFFFFF"/>
            <w:vAlign w:val="center"/>
            <w:hideMark/>
          </w:tcPr>
          <w:p w14:paraId="00EC5249"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 xml:space="preserve">Vest </w:t>
            </w:r>
          </w:p>
        </w:tc>
        <w:tc>
          <w:tcPr>
            <w:tcW w:w="700" w:type="dxa"/>
            <w:tcBorders>
              <w:top w:val="nil"/>
              <w:left w:val="nil"/>
              <w:bottom w:val="nil"/>
              <w:right w:val="single" w:sz="4" w:space="0" w:color="auto"/>
            </w:tcBorders>
            <w:shd w:val="clear" w:color="000000" w:fill="FFFFFF"/>
            <w:noWrap/>
            <w:vAlign w:val="bottom"/>
            <w:hideMark/>
          </w:tcPr>
          <w:p w14:paraId="051D7DF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5775E5C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60FC534C"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4B1462F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6824E409"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6A4D0C5A"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28DFC5CB"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2BB3C23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2A2E2D58"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nil"/>
              <w:right w:val="single" w:sz="4" w:space="0" w:color="auto"/>
            </w:tcBorders>
            <w:shd w:val="clear" w:color="000000" w:fill="FFFFFF"/>
            <w:noWrap/>
            <w:vAlign w:val="bottom"/>
            <w:hideMark/>
          </w:tcPr>
          <w:p w14:paraId="488E446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r>
      <w:tr w:rsidR="009857A4" w:rsidRPr="009857A4" w14:paraId="21582802" w14:textId="77777777" w:rsidTr="009857A4">
        <w:trPr>
          <w:trHeight w:val="342"/>
        </w:trPr>
        <w:tc>
          <w:tcPr>
            <w:tcW w:w="880" w:type="dxa"/>
            <w:vMerge/>
            <w:tcBorders>
              <w:top w:val="nil"/>
              <w:left w:val="single" w:sz="4" w:space="0" w:color="auto"/>
              <w:bottom w:val="single" w:sz="4" w:space="0" w:color="auto"/>
              <w:right w:val="single" w:sz="4" w:space="0" w:color="auto"/>
            </w:tcBorders>
            <w:vAlign w:val="center"/>
            <w:hideMark/>
          </w:tcPr>
          <w:p w14:paraId="4C5804CB"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p>
        </w:tc>
        <w:tc>
          <w:tcPr>
            <w:tcW w:w="1720" w:type="dxa"/>
            <w:tcBorders>
              <w:top w:val="nil"/>
              <w:left w:val="nil"/>
              <w:bottom w:val="single" w:sz="4" w:space="0" w:color="auto"/>
              <w:right w:val="single" w:sz="4" w:space="0" w:color="auto"/>
            </w:tcBorders>
            <w:shd w:val="clear" w:color="000000" w:fill="FFFFFF"/>
            <w:vAlign w:val="center"/>
            <w:hideMark/>
          </w:tcPr>
          <w:p w14:paraId="67BCAF51" w14:textId="77777777" w:rsidR="009857A4" w:rsidRPr="009857A4" w:rsidRDefault="00970417" w:rsidP="00A8693E">
            <w:pPr>
              <w:spacing w:after="0" w:line="276" w:lineRule="auto"/>
              <w:rPr>
                <w:rFonts w:ascii="Times New Roman" w:eastAsia="Times New Roman" w:hAnsi="Times New Roman" w:cs="Times New Roman"/>
                <w:i/>
                <w:iCs/>
                <w:sz w:val="20"/>
                <w:szCs w:val="20"/>
                <w:lang w:eastAsia="da-DK"/>
              </w:rPr>
            </w:pPr>
            <w:r>
              <w:rPr>
                <w:rFonts w:ascii="Times New Roman" w:eastAsia="Times New Roman" w:hAnsi="Times New Roman" w:cs="Times New Roman"/>
                <w:i/>
                <w:iCs/>
                <w:sz w:val="20"/>
                <w:szCs w:val="20"/>
                <w:lang w:eastAsia="da-DK"/>
              </w:rPr>
              <w:t>Sydvest/</w:t>
            </w:r>
            <w:r w:rsidR="009857A4" w:rsidRPr="009857A4">
              <w:rPr>
                <w:rFonts w:ascii="Times New Roman" w:eastAsia="Times New Roman" w:hAnsi="Times New Roman" w:cs="Times New Roman"/>
                <w:i/>
                <w:iCs/>
                <w:sz w:val="20"/>
                <w:szCs w:val="20"/>
                <w:lang w:eastAsia="da-DK"/>
              </w:rPr>
              <w:t>Øst</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4C9EB2E2"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7F41569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08A51FC1"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41BFEAAE"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7A9AFE8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7.577</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27249CA0"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7.930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42997686"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12.151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1464C8B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5.363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7974429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3.409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7C2B39D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6.091 </w:t>
            </w:r>
          </w:p>
        </w:tc>
      </w:tr>
      <w:tr w:rsidR="009857A4" w:rsidRPr="009857A4" w14:paraId="1E199EED" w14:textId="77777777" w:rsidTr="009857A4">
        <w:trPr>
          <w:trHeight w:val="342"/>
        </w:trPr>
        <w:tc>
          <w:tcPr>
            <w:tcW w:w="880" w:type="dxa"/>
            <w:vMerge w:val="restart"/>
            <w:tcBorders>
              <w:top w:val="nil"/>
              <w:left w:val="single" w:sz="4" w:space="0" w:color="auto"/>
              <w:bottom w:val="single" w:sz="4" w:space="0" w:color="auto"/>
              <w:right w:val="single" w:sz="4" w:space="0" w:color="auto"/>
            </w:tcBorders>
            <w:shd w:val="clear" w:color="000000" w:fill="FFFFFF"/>
            <w:noWrap/>
            <w:hideMark/>
          </w:tcPr>
          <w:p w14:paraId="4E03A247"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Hellefisk</w:t>
            </w:r>
          </w:p>
        </w:tc>
        <w:tc>
          <w:tcPr>
            <w:tcW w:w="1720" w:type="dxa"/>
            <w:tcBorders>
              <w:top w:val="nil"/>
              <w:left w:val="nil"/>
              <w:bottom w:val="single" w:sz="4" w:space="0" w:color="auto"/>
              <w:right w:val="single" w:sz="4" w:space="0" w:color="auto"/>
            </w:tcBorders>
            <w:shd w:val="clear" w:color="000000" w:fill="FFFFFF"/>
            <w:noWrap/>
            <w:vAlign w:val="center"/>
            <w:hideMark/>
          </w:tcPr>
          <w:p w14:paraId="7C75578E"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Vest - Davis Strædet</w:t>
            </w:r>
          </w:p>
        </w:tc>
        <w:tc>
          <w:tcPr>
            <w:tcW w:w="700" w:type="dxa"/>
            <w:tcBorders>
              <w:top w:val="nil"/>
              <w:left w:val="nil"/>
              <w:bottom w:val="single" w:sz="4" w:space="0" w:color="auto"/>
              <w:right w:val="single" w:sz="4" w:space="0" w:color="auto"/>
            </w:tcBorders>
            <w:shd w:val="clear" w:color="000000" w:fill="FFFFFF"/>
            <w:vAlign w:val="bottom"/>
            <w:hideMark/>
          </w:tcPr>
          <w:p w14:paraId="3CACD3A7"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14.000 </w:t>
            </w:r>
          </w:p>
        </w:tc>
        <w:tc>
          <w:tcPr>
            <w:tcW w:w="700" w:type="dxa"/>
            <w:tcBorders>
              <w:top w:val="nil"/>
              <w:left w:val="nil"/>
              <w:bottom w:val="single" w:sz="4" w:space="0" w:color="auto"/>
              <w:right w:val="single" w:sz="4" w:space="0" w:color="auto"/>
            </w:tcBorders>
            <w:shd w:val="clear" w:color="000000" w:fill="FFFFFF"/>
            <w:vAlign w:val="bottom"/>
            <w:hideMark/>
          </w:tcPr>
          <w:p w14:paraId="4D408B41"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14.000 </w:t>
            </w:r>
          </w:p>
        </w:tc>
        <w:tc>
          <w:tcPr>
            <w:tcW w:w="700" w:type="dxa"/>
            <w:tcBorders>
              <w:top w:val="nil"/>
              <w:left w:val="nil"/>
              <w:bottom w:val="single" w:sz="4" w:space="0" w:color="auto"/>
              <w:right w:val="single" w:sz="4" w:space="0" w:color="auto"/>
            </w:tcBorders>
            <w:shd w:val="clear" w:color="000000" w:fill="FFFFFF"/>
            <w:vAlign w:val="bottom"/>
            <w:hideMark/>
          </w:tcPr>
          <w:p w14:paraId="402B116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14.000 </w:t>
            </w:r>
          </w:p>
        </w:tc>
        <w:tc>
          <w:tcPr>
            <w:tcW w:w="700" w:type="dxa"/>
            <w:tcBorders>
              <w:top w:val="nil"/>
              <w:left w:val="nil"/>
              <w:bottom w:val="single" w:sz="4" w:space="0" w:color="auto"/>
              <w:right w:val="single" w:sz="4" w:space="0" w:color="auto"/>
            </w:tcBorders>
            <w:shd w:val="clear" w:color="000000" w:fill="FFFFFF"/>
            <w:vAlign w:val="bottom"/>
            <w:hideMark/>
          </w:tcPr>
          <w:p w14:paraId="4F489A7A"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14.000</w:t>
            </w:r>
          </w:p>
        </w:tc>
        <w:tc>
          <w:tcPr>
            <w:tcW w:w="700" w:type="dxa"/>
            <w:tcBorders>
              <w:top w:val="nil"/>
              <w:left w:val="nil"/>
              <w:bottom w:val="single" w:sz="4" w:space="0" w:color="auto"/>
              <w:right w:val="single" w:sz="4" w:space="0" w:color="auto"/>
            </w:tcBorders>
            <w:shd w:val="clear" w:color="000000" w:fill="FFFFFF"/>
            <w:vAlign w:val="bottom"/>
            <w:hideMark/>
          </w:tcPr>
          <w:p w14:paraId="2F5B1B47"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14.000</w:t>
            </w:r>
          </w:p>
        </w:tc>
        <w:tc>
          <w:tcPr>
            <w:tcW w:w="700" w:type="dxa"/>
            <w:tcBorders>
              <w:top w:val="nil"/>
              <w:left w:val="nil"/>
              <w:bottom w:val="single" w:sz="4" w:space="0" w:color="auto"/>
              <w:right w:val="single" w:sz="4" w:space="0" w:color="auto"/>
            </w:tcBorders>
            <w:shd w:val="clear" w:color="000000" w:fill="FFFFFF"/>
            <w:vAlign w:val="bottom"/>
            <w:hideMark/>
          </w:tcPr>
          <w:p w14:paraId="55324E48"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15.150</w:t>
            </w:r>
          </w:p>
        </w:tc>
        <w:tc>
          <w:tcPr>
            <w:tcW w:w="700" w:type="dxa"/>
            <w:tcBorders>
              <w:top w:val="nil"/>
              <w:left w:val="nil"/>
              <w:bottom w:val="single" w:sz="4" w:space="0" w:color="auto"/>
              <w:right w:val="single" w:sz="4" w:space="0" w:color="auto"/>
            </w:tcBorders>
            <w:shd w:val="clear" w:color="000000" w:fill="FFFFFF"/>
            <w:vAlign w:val="bottom"/>
            <w:hideMark/>
          </w:tcPr>
          <w:p w14:paraId="05F1F1A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15.150</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D16BAA"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36.370</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1C2F39"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36.370</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C8F14"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36.370</w:t>
            </w:r>
          </w:p>
        </w:tc>
      </w:tr>
      <w:tr w:rsidR="009857A4" w:rsidRPr="009857A4" w14:paraId="59D7AEC4" w14:textId="77777777" w:rsidTr="009857A4">
        <w:trPr>
          <w:trHeight w:val="342"/>
        </w:trPr>
        <w:tc>
          <w:tcPr>
            <w:tcW w:w="880" w:type="dxa"/>
            <w:vMerge/>
            <w:tcBorders>
              <w:top w:val="nil"/>
              <w:left w:val="single" w:sz="4" w:space="0" w:color="auto"/>
              <w:bottom w:val="single" w:sz="4" w:space="0" w:color="auto"/>
              <w:right w:val="single" w:sz="4" w:space="0" w:color="auto"/>
            </w:tcBorders>
            <w:vAlign w:val="center"/>
            <w:hideMark/>
          </w:tcPr>
          <w:p w14:paraId="57F2A776"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p>
        </w:tc>
        <w:tc>
          <w:tcPr>
            <w:tcW w:w="1720" w:type="dxa"/>
            <w:tcBorders>
              <w:top w:val="nil"/>
              <w:left w:val="nil"/>
              <w:bottom w:val="single" w:sz="4" w:space="0" w:color="auto"/>
              <w:right w:val="single" w:sz="4" w:space="0" w:color="auto"/>
            </w:tcBorders>
            <w:shd w:val="clear" w:color="000000" w:fill="FFFFFF"/>
            <w:noWrap/>
            <w:vAlign w:val="center"/>
            <w:hideMark/>
          </w:tcPr>
          <w:p w14:paraId="130F5102"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Vest - Baffinbugt</w:t>
            </w:r>
          </w:p>
        </w:tc>
        <w:tc>
          <w:tcPr>
            <w:tcW w:w="700" w:type="dxa"/>
            <w:tcBorders>
              <w:top w:val="nil"/>
              <w:left w:val="nil"/>
              <w:bottom w:val="single" w:sz="4" w:space="0" w:color="auto"/>
              <w:right w:val="single" w:sz="4" w:space="0" w:color="auto"/>
            </w:tcBorders>
            <w:shd w:val="clear" w:color="000000" w:fill="FFFFFF"/>
            <w:vAlign w:val="bottom"/>
            <w:hideMark/>
          </w:tcPr>
          <w:p w14:paraId="4DA365DC"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13.000 </w:t>
            </w:r>
          </w:p>
        </w:tc>
        <w:tc>
          <w:tcPr>
            <w:tcW w:w="700" w:type="dxa"/>
            <w:tcBorders>
              <w:top w:val="nil"/>
              <w:left w:val="nil"/>
              <w:bottom w:val="single" w:sz="4" w:space="0" w:color="auto"/>
              <w:right w:val="single" w:sz="4" w:space="0" w:color="auto"/>
            </w:tcBorders>
            <w:shd w:val="clear" w:color="000000" w:fill="FFFFFF"/>
            <w:vAlign w:val="bottom"/>
            <w:hideMark/>
          </w:tcPr>
          <w:p w14:paraId="1087823D"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13.000 </w:t>
            </w:r>
          </w:p>
        </w:tc>
        <w:tc>
          <w:tcPr>
            <w:tcW w:w="700" w:type="dxa"/>
            <w:tcBorders>
              <w:top w:val="nil"/>
              <w:left w:val="nil"/>
              <w:bottom w:val="single" w:sz="4" w:space="0" w:color="auto"/>
              <w:right w:val="single" w:sz="4" w:space="0" w:color="auto"/>
            </w:tcBorders>
            <w:shd w:val="clear" w:color="000000" w:fill="FFFFFF"/>
            <w:vAlign w:val="bottom"/>
            <w:hideMark/>
          </w:tcPr>
          <w:p w14:paraId="399C256B"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16.000 </w:t>
            </w:r>
          </w:p>
        </w:tc>
        <w:tc>
          <w:tcPr>
            <w:tcW w:w="700" w:type="dxa"/>
            <w:tcBorders>
              <w:top w:val="nil"/>
              <w:left w:val="nil"/>
              <w:bottom w:val="single" w:sz="4" w:space="0" w:color="auto"/>
              <w:right w:val="single" w:sz="4" w:space="0" w:color="auto"/>
            </w:tcBorders>
            <w:shd w:val="clear" w:color="000000" w:fill="FFFFFF"/>
            <w:vAlign w:val="bottom"/>
            <w:hideMark/>
          </w:tcPr>
          <w:p w14:paraId="365449B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16.000</w:t>
            </w:r>
          </w:p>
        </w:tc>
        <w:tc>
          <w:tcPr>
            <w:tcW w:w="700" w:type="dxa"/>
            <w:tcBorders>
              <w:top w:val="nil"/>
              <w:left w:val="nil"/>
              <w:bottom w:val="single" w:sz="4" w:space="0" w:color="auto"/>
              <w:right w:val="single" w:sz="4" w:space="0" w:color="auto"/>
            </w:tcBorders>
            <w:shd w:val="clear" w:color="000000" w:fill="FFFFFF"/>
            <w:vAlign w:val="bottom"/>
            <w:hideMark/>
          </w:tcPr>
          <w:p w14:paraId="5A9DEFFD"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16.000</w:t>
            </w:r>
          </w:p>
        </w:tc>
        <w:tc>
          <w:tcPr>
            <w:tcW w:w="700" w:type="dxa"/>
            <w:tcBorders>
              <w:top w:val="nil"/>
              <w:left w:val="nil"/>
              <w:bottom w:val="single" w:sz="4" w:space="0" w:color="auto"/>
              <w:right w:val="single" w:sz="4" w:space="0" w:color="auto"/>
            </w:tcBorders>
            <w:shd w:val="clear" w:color="000000" w:fill="FFFFFF"/>
            <w:vAlign w:val="bottom"/>
            <w:hideMark/>
          </w:tcPr>
          <w:p w14:paraId="780CA150"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17.150</w:t>
            </w:r>
          </w:p>
        </w:tc>
        <w:tc>
          <w:tcPr>
            <w:tcW w:w="700" w:type="dxa"/>
            <w:tcBorders>
              <w:top w:val="nil"/>
              <w:left w:val="nil"/>
              <w:bottom w:val="single" w:sz="4" w:space="0" w:color="auto"/>
              <w:right w:val="single" w:sz="4" w:space="0" w:color="auto"/>
            </w:tcBorders>
            <w:shd w:val="clear" w:color="000000" w:fill="FFFFFF"/>
            <w:vAlign w:val="bottom"/>
            <w:hideMark/>
          </w:tcPr>
          <w:p w14:paraId="17956331"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17.150</w:t>
            </w:r>
          </w:p>
        </w:tc>
        <w:tc>
          <w:tcPr>
            <w:tcW w:w="700" w:type="dxa"/>
            <w:vMerge/>
            <w:tcBorders>
              <w:top w:val="nil"/>
              <w:left w:val="single" w:sz="4" w:space="0" w:color="auto"/>
              <w:bottom w:val="single" w:sz="4" w:space="0" w:color="000000"/>
              <w:right w:val="single" w:sz="4" w:space="0" w:color="auto"/>
            </w:tcBorders>
            <w:vAlign w:val="center"/>
            <w:hideMark/>
          </w:tcPr>
          <w:p w14:paraId="590AFC48"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p>
        </w:tc>
        <w:tc>
          <w:tcPr>
            <w:tcW w:w="700" w:type="dxa"/>
            <w:vMerge/>
            <w:tcBorders>
              <w:top w:val="nil"/>
              <w:left w:val="single" w:sz="4" w:space="0" w:color="auto"/>
              <w:bottom w:val="single" w:sz="4" w:space="0" w:color="000000"/>
              <w:right w:val="single" w:sz="4" w:space="0" w:color="auto"/>
            </w:tcBorders>
            <w:vAlign w:val="center"/>
            <w:hideMark/>
          </w:tcPr>
          <w:p w14:paraId="157D39D0"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p>
        </w:tc>
        <w:tc>
          <w:tcPr>
            <w:tcW w:w="700" w:type="dxa"/>
            <w:vMerge/>
            <w:tcBorders>
              <w:top w:val="nil"/>
              <w:left w:val="single" w:sz="4" w:space="0" w:color="auto"/>
              <w:bottom w:val="single" w:sz="4" w:space="0" w:color="000000"/>
              <w:right w:val="single" w:sz="4" w:space="0" w:color="auto"/>
            </w:tcBorders>
            <w:vAlign w:val="center"/>
            <w:hideMark/>
          </w:tcPr>
          <w:p w14:paraId="001FAA5F" w14:textId="77777777" w:rsidR="009857A4" w:rsidRPr="009857A4" w:rsidRDefault="009857A4" w:rsidP="00A8693E">
            <w:pPr>
              <w:spacing w:after="0" w:line="276" w:lineRule="auto"/>
              <w:rPr>
                <w:rFonts w:ascii="Times New Roman" w:eastAsia="Times New Roman" w:hAnsi="Times New Roman" w:cs="Times New Roman"/>
                <w:sz w:val="20"/>
                <w:szCs w:val="20"/>
                <w:lang w:eastAsia="da-DK"/>
              </w:rPr>
            </w:pPr>
          </w:p>
        </w:tc>
      </w:tr>
      <w:tr w:rsidR="009857A4" w:rsidRPr="009857A4" w14:paraId="56A8EFF3" w14:textId="77777777" w:rsidTr="009857A4">
        <w:trPr>
          <w:trHeight w:val="342"/>
        </w:trPr>
        <w:tc>
          <w:tcPr>
            <w:tcW w:w="880" w:type="dxa"/>
            <w:vMerge/>
            <w:tcBorders>
              <w:top w:val="nil"/>
              <w:left w:val="single" w:sz="4" w:space="0" w:color="auto"/>
              <w:bottom w:val="single" w:sz="4" w:space="0" w:color="auto"/>
              <w:right w:val="single" w:sz="4" w:space="0" w:color="auto"/>
            </w:tcBorders>
            <w:vAlign w:val="center"/>
            <w:hideMark/>
          </w:tcPr>
          <w:p w14:paraId="42586E25"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p>
        </w:tc>
        <w:tc>
          <w:tcPr>
            <w:tcW w:w="1720" w:type="dxa"/>
            <w:tcBorders>
              <w:top w:val="nil"/>
              <w:left w:val="nil"/>
              <w:bottom w:val="single" w:sz="4" w:space="0" w:color="auto"/>
              <w:right w:val="single" w:sz="4" w:space="0" w:color="auto"/>
            </w:tcBorders>
            <w:shd w:val="clear" w:color="000000" w:fill="FFFFFF"/>
            <w:noWrap/>
            <w:vAlign w:val="center"/>
            <w:hideMark/>
          </w:tcPr>
          <w:p w14:paraId="55865A9B"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Øst</w:t>
            </w:r>
            <w:r w:rsidR="00970417">
              <w:rPr>
                <w:rFonts w:ascii="Times New Roman" w:eastAsia="Times New Roman" w:hAnsi="Times New Roman" w:cs="Times New Roman"/>
                <w:i/>
                <w:iCs/>
                <w:sz w:val="20"/>
                <w:szCs w:val="20"/>
                <w:lang w:eastAsia="da-DK"/>
              </w:rPr>
              <w:t>/</w:t>
            </w:r>
            <w:r w:rsidR="00A777FF">
              <w:rPr>
                <w:rFonts w:ascii="Times New Roman" w:eastAsia="Times New Roman" w:hAnsi="Times New Roman" w:cs="Times New Roman"/>
                <w:i/>
                <w:iCs/>
                <w:sz w:val="20"/>
                <w:szCs w:val="20"/>
                <w:lang w:eastAsia="da-DK"/>
              </w:rPr>
              <w:t>IS</w:t>
            </w:r>
            <w:r w:rsidR="00970417">
              <w:rPr>
                <w:rFonts w:ascii="Times New Roman" w:eastAsia="Times New Roman" w:hAnsi="Times New Roman" w:cs="Times New Roman"/>
                <w:i/>
                <w:iCs/>
                <w:sz w:val="20"/>
                <w:szCs w:val="20"/>
                <w:lang w:eastAsia="da-DK"/>
              </w:rPr>
              <w:t>/F</w:t>
            </w:r>
            <w:r w:rsidR="00A777FF">
              <w:rPr>
                <w:rFonts w:ascii="Times New Roman" w:eastAsia="Times New Roman" w:hAnsi="Times New Roman" w:cs="Times New Roman"/>
                <w:i/>
                <w:iCs/>
                <w:sz w:val="20"/>
                <w:szCs w:val="20"/>
                <w:lang w:eastAsia="da-DK"/>
              </w:rPr>
              <w:t>ÆR</w:t>
            </w:r>
          </w:p>
        </w:tc>
        <w:tc>
          <w:tcPr>
            <w:tcW w:w="700" w:type="dxa"/>
            <w:tcBorders>
              <w:top w:val="nil"/>
              <w:left w:val="nil"/>
              <w:bottom w:val="single" w:sz="4" w:space="0" w:color="auto"/>
              <w:right w:val="single" w:sz="4" w:space="0" w:color="auto"/>
            </w:tcBorders>
            <w:shd w:val="clear" w:color="000000" w:fill="FFFFFF"/>
            <w:noWrap/>
            <w:vAlign w:val="bottom"/>
            <w:hideMark/>
          </w:tcPr>
          <w:p w14:paraId="1E4ECBF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vAlign w:val="bottom"/>
            <w:hideMark/>
          </w:tcPr>
          <w:p w14:paraId="4FF4A76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20.000 </w:t>
            </w:r>
          </w:p>
        </w:tc>
        <w:tc>
          <w:tcPr>
            <w:tcW w:w="700" w:type="dxa"/>
            <w:tcBorders>
              <w:top w:val="nil"/>
              <w:left w:val="nil"/>
              <w:bottom w:val="single" w:sz="4" w:space="0" w:color="auto"/>
              <w:right w:val="single" w:sz="4" w:space="0" w:color="auto"/>
            </w:tcBorders>
            <w:shd w:val="clear" w:color="000000" w:fill="FFFFFF"/>
            <w:vAlign w:val="bottom"/>
            <w:hideMark/>
          </w:tcPr>
          <w:p w14:paraId="77C6722E"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20.000 </w:t>
            </w:r>
          </w:p>
        </w:tc>
        <w:tc>
          <w:tcPr>
            <w:tcW w:w="700" w:type="dxa"/>
            <w:tcBorders>
              <w:top w:val="nil"/>
              <w:left w:val="nil"/>
              <w:bottom w:val="single" w:sz="4" w:space="0" w:color="auto"/>
              <w:right w:val="single" w:sz="4" w:space="0" w:color="auto"/>
            </w:tcBorders>
            <w:shd w:val="clear" w:color="000000" w:fill="FFFFFF"/>
            <w:vAlign w:val="bottom"/>
            <w:hideMark/>
          </w:tcPr>
          <w:p w14:paraId="13173A29"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25.180</w:t>
            </w:r>
          </w:p>
        </w:tc>
        <w:tc>
          <w:tcPr>
            <w:tcW w:w="700" w:type="dxa"/>
            <w:tcBorders>
              <w:top w:val="nil"/>
              <w:left w:val="nil"/>
              <w:bottom w:val="single" w:sz="4" w:space="0" w:color="auto"/>
              <w:right w:val="single" w:sz="4" w:space="0" w:color="auto"/>
            </w:tcBorders>
            <w:shd w:val="clear" w:color="000000" w:fill="FFFFFF"/>
            <w:vAlign w:val="bottom"/>
            <w:hideMark/>
          </w:tcPr>
          <w:p w14:paraId="7D1EFCA6"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22.000</w:t>
            </w:r>
          </w:p>
        </w:tc>
        <w:tc>
          <w:tcPr>
            <w:tcW w:w="700" w:type="dxa"/>
            <w:tcBorders>
              <w:top w:val="nil"/>
              <w:left w:val="nil"/>
              <w:bottom w:val="single" w:sz="4" w:space="0" w:color="auto"/>
              <w:right w:val="single" w:sz="4" w:space="0" w:color="auto"/>
            </w:tcBorders>
            <w:shd w:val="clear" w:color="000000" w:fill="FFFFFF"/>
            <w:vAlign w:val="bottom"/>
            <w:hideMark/>
          </w:tcPr>
          <w:p w14:paraId="28CF70A1"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24.000</w:t>
            </w:r>
          </w:p>
        </w:tc>
        <w:tc>
          <w:tcPr>
            <w:tcW w:w="700" w:type="dxa"/>
            <w:tcBorders>
              <w:top w:val="nil"/>
              <w:left w:val="nil"/>
              <w:bottom w:val="single" w:sz="4" w:space="0" w:color="auto"/>
              <w:right w:val="single" w:sz="4" w:space="0" w:color="auto"/>
            </w:tcBorders>
            <w:shd w:val="clear" w:color="000000" w:fill="FFFFFF"/>
            <w:vAlign w:val="bottom"/>
            <w:hideMark/>
          </w:tcPr>
          <w:p w14:paraId="3920A1F0"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24.000</w:t>
            </w:r>
          </w:p>
        </w:tc>
        <w:tc>
          <w:tcPr>
            <w:tcW w:w="700" w:type="dxa"/>
            <w:tcBorders>
              <w:top w:val="nil"/>
              <w:left w:val="nil"/>
              <w:bottom w:val="single" w:sz="4" w:space="0" w:color="auto"/>
              <w:right w:val="single" w:sz="4" w:space="0" w:color="auto"/>
            </w:tcBorders>
            <w:shd w:val="clear" w:color="000000" w:fill="FFFFFF"/>
            <w:vAlign w:val="bottom"/>
            <w:hideMark/>
          </w:tcPr>
          <w:p w14:paraId="33F138AC"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24.150</w:t>
            </w:r>
          </w:p>
        </w:tc>
        <w:tc>
          <w:tcPr>
            <w:tcW w:w="700" w:type="dxa"/>
            <w:tcBorders>
              <w:top w:val="nil"/>
              <w:left w:val="nil"/>
              <w:bottom w:val="single" w:sz="4" w:space="0" w:color="auto"/>
              <w:right w:val="single" w:sz="4" w:space="0" w:color="auto"/>
            </w:tcBorders>
            <w:shd w:val="clear" w:color="000000" w:fill="FFFFFF"/>
            <w:vAlign w:val="bottom"/>
            <w:hideMark/>
          </w:tcPr>
          <w:p w14:paraId="4817F91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21.360</w:t>
            </w:r>
          </w:p>
        </w:tc>
        <w:tc>
          <w:tcPr>
            <w:tcW w:w="700" w:type="dxa"/>
            <w:tcBorders>
              <w:top w:val="nil"/>
              <w:left w:val="nil"/>
              <w:bottom w:val="single" w:sz="4" w:space="0" w:color="auto"/>
              <w:right w:val="single" w:sz="4" w:space="0" w:color="auto"/>
            </w:tcBorders>
            <w:shd w:val="clear" w:color="000000" w:fill="FFFFFF"/>
            <w:vAlign w:val="bottom"/>
            <w:hideMark/>
          </w:tcPr>
          <w:p w14:paraId="5ABB1888"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23.530</w:t>
            </w:r>
          </w:p>
        </w:tc>
      </w:tr>
      <w:tr w:rsidR="009857A4" w:rsidRPr="009857A4" w14:paraId="4E3B1492" w14:textId="77777777" w:rsidTr="009857A4">
        <w:trPr>
          <w:trHeight w:val="342"/>
        </w:trPr>
        <w:tc>
          <w:tcPr>
            <w:tcW w:w="880" w:type="dxa"/>
            <w:tcBorders>
              <w:top w:val="nil"/>
              <w:left w:val="single" w:sz="4" w:space="0" w:color="auto"/>
              <w:bottom w:val="nil"/>
              <w:right w:val="single" w:sz="4" w:space="0" w:color="auto"/>
            </w:tcBorders>
            <w:shd w:val="clear" w:color="FFFFFF" w:fill="FFFFFF"/>
            <w:vAlign w:val="center"/>
            <w:hideMark/>
          </w:tcPr>
          <w:p w14:paraId="2A0A0F40"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 xml:space="preserve">Rødfisk </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F7D926" w14:textId="77777777" w:rsidR="00970417"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Øst</w:t>
            </w:r>
            <w:r w:rsidR="00970417">
              <w:rPr>
                <w:rFonts w:ascii="Times New Roman" w:eastAsia="Times New Roman" w:hAnsi="Times New Roman" w:cs="Times New Roman"/>
                <w:i/>
                <w:iCs/>
                <w:sz w:val="20"/>
                <w:szCs w:val="20"/>
                <w:lang w:eastAsia="da-DK"/>
              </w:rPr>
              <w:t>/I</w:t>
            </w:r>
            <w:r w:rsidR="00A777FF">
              <w:rPr>
                <w:rFonts w:ascii="Times New Roman" w:eastAsia="Times New Roman" w:hAnsi="Times New Roman" w:cs="Times New Roman"/>
                <w:i/>
                <w:iCs/>
                <w:sz w:val="20"/>
                <w:szCs w:val="20"/>
                <w:lang w:eastAsia="da-DK"/>
              </w:rPr>
              <w:t>S</w:t>
            </w:r>
            <w:r w:rsidR="00970417">
              <w:rPr>
                <w:rFonts w:ascii="Times New Roman" w:eastAsia="Times New Roman" w:hAnsi="Times New Roman" w:cs="Times New Roman"/>
                <w:i/>
                <w:iCs/>
                <w:sz w:val="20"/>
                <w:szCs w:val="20"/>
                <w:lang w:eastAsia="da-DK"/>
              </w:rPr>
              <w:t>/F</w:t>
            </w:r>
            <w:r w:rsidR="00A777FF">
              <w:rPr>
                <w:rFonts w:ascii="Times New Roman" w:eastAsia="Times New Roman" w:hAnsi="Times New Roman" w:cs="Times New Roman"/>
                <w:i/>
                <w:iCs/>
                <w:sz w:val="20"/>
                <w:szCs w:val="20"/>
                <w:lang w:eastAsia="da-DK"/>
              </w:rPr>
              <w:t>ÆR</w:t>
            </w:r>
            <w:r w:rsidRPr="009857A4">
              <w:rPr>
                <w:rFonts w:ascii="Times New Roman" w:eastAsia="Times New Roman" w:hAnsi="Times New Roman" w:cs="Times New Roman"/>
                <w:i/>
                <w:iCs/>
                <w:sz w:val="20"/>
                <w:szCs w:val="20"/>
                <w:lang w:eastAsia="da-DK"/>
              </w:rPr>
              <w:t xml:space="preserve"> </w:t>
            </w:r>
          </w:p>
          <w:p w14:paraId="65526AE8"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 xml:space="preserve">Blandingsfiskeri  </w:t>
            </w:r>
          </w:p>
        </w:tc>
        <w:tc>
          <w:tcPr>
            <w:tcW w:w="700" w:type="dxa"/>
            <w:tcBorders>
              <w:top w:val="nil"/>
              <w:left w:val="nil"/>
              <w:bottom w:val="single" w:sz="4" w:space="0" w:color="auto"/>
              <w:right w:val="single" w:sz="4" w:space="0" w:color="auto"/>
            </w:tcBorders>
            <w:shd w:val="clear" w:color="000000" w:fill="FFFFFF"/>
            <w:noWrap/>
            <w:vAlign w:val="bottom"/>
            <w:hideMark/>
          </w:tcPr>
          <w:p w14:paraId="25DC39E6"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1.000 </w:t>
            </w:r>
          </w:p>
        </w:tc>
        <w:tc>
          <w:tcPr>
            <w:tcW w:w="700" w:type="dxa"/>
            <w:tcBorders>
              <w:top w:val="nil"/>
              <w:left w:val="nil"/>
              <w:bottom w:val="single" w:sz="4" w:space="0" w:color="auto"/>
              <w:right w:val="single" w:sz="4" w:space="0" w:color="auto"/>
            </w:tcBorders>
            <w:shd w:val="clear" w:color="000000" w:fill="FFFFFF"/>
            <w:noWrap/>
            <w:vAlign w:val="bottom"/>
            <w:hideMark/>
          </w:tcPr>
          <w:p w14:paraId="0CA5EA7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3.500 </w:t>
            </w:r>
          </w:p>
        </w:tc>
        <w:tc>
          <w:tcPr>
            <w:tcW w:w="700" w:type="dxa"/>
            <w:tcBorders>
              <w:top w:val="nil"/>
              <w:left w:val="nil"/>
              <w:bottom w:val="single" w:sz="4" w:space="0" w:color="auto"/>
              <w:right w:val="single" w:sz="4" w:space="0" w:color="auto"/>
            </w:tcBorders>
            <w:shd w:val="clear" w:color="000000" w:fill="FFFFFF"/>
            <w:noWrap/>
            <w:vAlign w:val="bottom"/>
            <w:hideMark/>
          </w:tcPr>
          <w:p w14:paraId="541FF29A"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3.500 </w:t>
            </w:r>
          </w:p>
        </w:tc>
        <w:tc>
          <w:tcPr>
            <w:tcW w:w="700" w:type="dxa"/>
            <w:tcBorders>
              <w:top w:val="nil"/>
              <w:left w:val="nil"/>
              <w:bottom w:val="single" w:sz="4" w:space="0" w:color="auto"/>
              <w:right w:val="single" w:sz="4" w:space="0" w:color="auto"/>
            </w:tcBorders>
            <w:shd w:val="clear" w:color="000000" w:fill="FFFFFF"/>
            <w:noWrap/>
            <w:vAlign w:val="bottom"/>
            <w:hideMark/>
          </w:tcPr>
          <w:p w14:paraId="68AAD9F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3.500 </w:t>
            </w:r>
          </w:p>
        </w:tc>
        <w:tc>
          <w:tcPr>
            <w:tcW w:w="700" w:type="dxa"/>
            <w:tcBorders>
              <w:top w:val="nil"/>
              <w:left w:val="nil"/>
              <w:bottom w:val="single" w:sz="4" w:space="0" w:color="auto"/>
              <w:right w:val="single" w:sz="4" w:space="0" w:color="auto"/>
            </w:tcBorders>
            <w:shd w:val="clear" w:color="000000" w:fill="FFFFFF"/>
            <w:noWrap/>
            <w:vAlign w:val="bottom"/>
            <w:hideMark/>
          </w:tcPr>
          <w:p w14:paraId="7D7867F0"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2.240</w:t>
            </w:r>
          </w:p>
        </w:tc>
        <w:tc>
          <w:tcPr>
            <w:tcW w:w="700" w:type="dxa"/>
            <w:tcBorders>
              <w:top w:val="nil"/>
              <w:left w:val="nil"/>
              <w:bottom w:val="single" w:sz="4" w:space="0" w:color="auto"/>
              <w:right w:val="single" w:sz="4" w:space="0" w:color="auto"/>
            </w:tcBorders>
            <w:shd w:val="clear" w:color="000000" w:fill="FFFFFF"/>
            <w:noWrap/>
            <w:vAlign w:val="bottom"/>
            <w:hideMark/>
          </w:tcPr>
          <w:p w14:paraId="0F385D86"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1.120</w:t>
            </w:r>
          </w:p>
        </w:tc>
        <w:tc>
          <w:tcPr>
            <w:tcW w:w="700" w:type="dxa"/>
            <w:tcBorders>
              <w:top w:val="nil"/>
              <w:left w:val="nil"/>
              <w:bottom w:val="single" w:sz="4" w:space="0" w:color="auto"/>
              <w:right w:val="single" w:sz="4" w:space="0" w:color="auto"/>
            </w:tcBorders>
            <w:shd w:val="clear" w:color="000000" w:fill="FFFFFF"/>
            <w:noWrap/>
            <w:vAlign w:val="bottom"/>
            <w:hideMark/>
          </w:tcPr>
          <w:p w14:paraId="0068908F"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1.142 </w:t>
            </w:r>
          </w:p>
        </w:tc>
        <w:tc>
          <w:tcPr>
            <w:tcW w:w="700" w:type="dxa"/>
            <w:tcBorders>
              <w:top w:val="nil"/>
              <w:left w:val="nil"/>
              <w:bottom w:val="single" w:sz="4" w:space="0" w:color="auto"/>
              <w:right w:val="single" w:sz="4" w:space="0" w:color="auto"/>
            </w:tcBorders>
            <w:shd w:val="clear" w:color="000000" w:fill="FFFFFF"/>
            <w:noWrap/>
            <w:vAlign w:val="bottom"/>
            <w:hideMark/>
          </w:tcPr>
          <w:p w14:paraId="467E7E3D"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914 </w:t>
            </w:r>
          </w:p>
        </w:tc>
        <w:tc>
          <w:tcPr>
            <w:tcW w:w="700" w:type="dxa"/>
            <w:tcBorders>
              <w:top w:val="nil"/>
              <w:left w:val="nil"/>
              <w:bottom w:val="single" w:sz="4" w:space="0" w:color="auto"/>
              <w:right w:val="single" w:sz="4" w:space="0" w:color="auto"/>
            </w:tcBorders>
            <w:shd w:val="clear" w:color="000000" w:fill="FFFFFF"/>
            <w:noWrap/>
            <w:vAlign w:val="bottom"/>
            <w:hideMark/>
          </w:tcPr>
          <w:p w14:paraId="7DBDBE27"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914 </w:t>
            </w:r>
          </w:p>
        </w:tc>
        <w:tc>
          <w:tcPr>
            <w:tcW w:w="700" w:type="dxa"/>
            <w:tcBorders>
              <w:top w:val="nil"/>
              <w:left w:val="nil"/>
              <w:bottom w:val="single" w:sz="4" w:space="0" w:color="auto"/>
              <w:right w:val="single" w:sz="4" w:space="0" w:color="auto"/>
            </w:tcBorders>
            <w:shd w:val="clear" w:color="000000" w:fill="FFFFFF"/>
            <w:noWrap/>
            <w:vAlign w:val="bottom"/>
            <w:hideMark/>
          </w:tcPr>
          <w:p w14:paraId="7334DE2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914 </w:t>
            </w:r>
          </w:p>
        </w:tc>
      </w:tr>
      <w:tr w:rsidR="009857A4" w:rsidRPr="009857A4" w14:paraId="50268143" w14:textId="77777777" w:rsidTr="009857A4">
        <w:trPr>
          <w:trHeight w:val="342"/>
        </w:trPr>
        <w:tc>
          <w:tcPr>
            <w:tcW w:w="880" w:type="dxa"/>
            <w:tcBorders>
              <w:top w:val="nil"/>
              <w:left w:val="single" w:sz="4" w:space="0" w:color="auto"/>
              <w:bottom w:val="single" w:sz="4" w:space="0" w:color="auto"/>
              <w:right w:val="single" w:sz="4" w:space="0" w:color="auto"/>
            </w:tcBorders>
            <w:shd w:val="clear" w:color="FFFFFF" w:fill="FFFFFF"/>
            <w:vAlign w:val="center"/>
            <w:hideMark/>
          </w:tcPr>
          <w:p w14:paraId="4B910ADE"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 </w:t>
            </w:r>
          </w:p>
        </w:tc>
        <w:tc>
          <w:tcPr>
            <w:tcW w:w="1720" w:type="dxa"/>
            <w:vMerge/>
            <w:tcBorders>
              <w:top w:val="nil"/>
              <w:left w:val="single" w:sz="4" w:space="0" w:color="auto"/>
              <w:bottom w:val="single" w:sz="4" w:space="0" w:color="auto"/>
              <w:right w:val="single" w:sz="4" w:space="0" w:color="auto"/>
            </w:tcBorders>
            <w:vAlign w:val="center"/>
            <w:hideMark/>
          </w:tcPr>
          <w:p w14:paraId="165ABAB9"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p>
        </w:tc>
        <w:tc>
          <w:tcPr>
            <w:tcW w:w="700" w:type="dxa"/>
            <w:tcBorders>
              <w:top w:val="nil"/>
              <w:left w:val="nil"/>
              <w:bottom w:val="single" w:sz="4" w:space="0" w:color="auto"/>
              <w:right w:val="single" w:sz="4" w:space="0" w:color="auto"/>
            </w:tcBorders>
            <w:shd w:val="clear" w:color="000000" w:fill="FFFFFF"/>
            <w:noWrap/>
            <w:vAlign w:val="bottom"/>
            <w:hideMark/>
          </w:tcPr>
          <w:p w14:paraId="31B9F70B"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40.000 </w:t>
            </w:r>
          </w:p>
        </w:tc>
        <w:tc>
          <w:tcPr>
            <w:tcW w:w="700" w:type="dxa"/>
            <w:tcBorders>
              <w:top w:val="nil"/>
              <w:left w:val="nil"/>
              <w:bottom w:val="single" w:sz="4" w:space="0" w:color="auto"/>
              <w:right w:val="single" w:sz="4" w:space="0" w:color="auto"/>
            </w:tcBorders>
            <w:shd w:val="clear" w:color="000000" w:fill="FFFFFF"/>
            <w:noWrap/>
            <w:vAlign w:val="bottom"/>
            <w:hideMark/>
          </w:tcPr>
          <w:p w14:paraId="46471E70"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40.000 </w:t>
            </w:r>
          </w:p>
        </w:tc>
        <w:tc>
          <w:tcPr>
            <w:tcW w:w="700" w:type="dxa"/>
            <w:tcBorders>
              <w:top w:val="nil"/>
              <w:left w:val="nil"/>
              <w:bottom w:val="single" w:sz="4" w:space="0" w:color="auto"/>
              <w:right w:val="single" w:sz="4" w:space="0" w:color="auto"/>
            </w:tcBorders>
            <w:shd w:val="clear" w:color="000000" w:fill="FFFFFF"/>
            <w:noWrap/>
            <w:vAlign w:val="bottom"/>
            <w:hideMark/>
          </w:tcPr>
          <w:p w14:paraId="3167866E"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51.980 </w:t>
            </w:r>
          </w:p>
        </w:tc>
        <w:tc>
          <w:tcPr>
            <w:tcW w:w="700" w:type="dxa"/>
            <w:tcBorders>
              <w:top w:val="nil"/>
              <w:left w:val="nil"/>
              <w:bottom w:val="single" w:sz="4" w:space="0" w:color="auto"/>
              <w:right w:val="single" w:sz="4" w:space="0" w:color="auto"/>
            </w:tcBorders>
            <w:shd w:val="clear" w:color="000000" w:fill="FFFFFF"/>
            <w:noWrap/>
            <w:vAlign w:val="bottom"/>
            <w:hideMark/>
          </w:tcPr>
          <w:p w14:paraId="6B9CF85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47.300 </w:t>
            </w:r>
          </w:p>
        </w:tc>
        <w:tc>
          <w:tcPr>
            <w:tcW w:w="700" w:type="dxa"/>
            <w:tcBorders>
              <w:top w:val="nil"/>
              <w:left w:val="nil"/>
              <w:bottom w:val="single" w:sz="4" w:space="0" w:color="auto"/>
              <w:right w:val="single" w:sz="4" w:space="0" w:color="auto"/>
            </w:tcBorders>
            <w:shd w:val="clear" w:color="000000" w:fill="FFFFFF"/>
            <w:noWrap/>
            <w:vAlign w:val="bottom"/>
            <w:hideMark/>
          </w:tcPr>
          <w:p w14:paraId="7FEFD4EE"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51.000</w:t>
            </w:r>
          </w:p>
        </w:tc>
        <w:tc>
          <w:tcPr>
            <w:tcW w:w="700" w:type="dxa"/>
            <w:tcBorders>
              <w:top w:val="nil"/>
              <w:left w:val="nil"/>
              <w:bottom w:val="single" w:sz="4" w:space="0" w:color="auto"/>
              <w:right w:val="single" w:sz="4" w:space="0" w:color="auto"/>
            </w:tcBorders>
            <w:shd w:val="clear" w:color="000000" w:fill="FFFFFF"/>
            <w:noWrap/>
            <w:vAlign w:val="bottom"/>
            <w:hideMark/>
          </w:tcPr>
          <w:p w14:paraId="2EC898A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52.800</w:t>
            </w:r>
          </w:p>
        </w:tc>
        <w:tc>
          <w:tcPr>
            <w:tcW w:w="700" w:type="dxa"/>
            <w:tcBorders>
              <w:top w:val="nil"/>
              <w:left w:val="nil"/>
              <w:bottom w:val="single" w:sz="4" w:space="0" w:color="auto"/>
              <w:right w:val="single" w:sz="4" w:space="0" w:color="auto"/>
            </w:tcBorders>
            <w:shd w:val="clear" w:color="000000" w:fill="FFFFFF"/>
            <w:noWrap/>
            <w:vAlign w:val="bottom"/>
            <w:hideMark/>
          </w:tcPr>
          <w:p w14:paraId="60946786"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50.800 </w:t>
            </w:r>
          </w:p>
        </w:tc>
        <w:tc>
          <w:tcPr>
            <w:tcW w:w="700" w:type="dxa"/>
            <w:tcBorders>
              <w:top w:val="nil"/>
              <w:left w:val="nil"/>
              <w:bottom w:val="single" w:sz="4" w:space="0" w:color="auto"/>
              <w:right w:val="single" w:sz="4" w:space="0" w:color="auto"/>
            </w:tcBorders>
            <w:shd w:val="clear" w:color="000000" w:fill="FFFFFF"/>
            <w:noWrap/>
            <w:vAlign w:val="bottom"/>
            <w:hideMark/>
          </w:tcPr>
          <w:p w14:paraId="3854765E"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43.600 </w:t>
            </w:r>
          </w:p>
        </w:tc>
        <w:tc>
          <w:tcPr>
            <w:tcW w:w="700" w:type="dxa"/>
            <w:tcBorders>
              <w:top w:val="nil"/>
              <w:left w:val="nil"/>
              <w:bottom w:val="single" w:sz="4" w:space="0" w:color="auto"/>
              <w:right w:val="single" w:sz="4" w:space="0" w:color="auto"/>
            </w:tcBorders>
            <w:shd w:val="clear" w:color="000000" w:fill="FFFFFF"/>
            <w:noWrap/>
            <w:vAlign w:val="bottom"/>
            <w:hideMark/>
          </w:tcPr>
          <w:p w14:paraId="1B4DC333"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43.568 </w:t>
            </w:r>
          </w:p>
        </w:tc>
        <w:tc>
          <w:tcPr>
            <w:tcW w:w="700" w:type="dxa"/>
            <w:tcBorders>
              <w:top w:val="nil"/>
              <w:left w:val="nil"/>
              <w:bottom w:val="single" w:sz="4" w:space="0" w:color="auto"/>
              <w:right w:val="single" w:sz="4" w:space="0" w:color="auto"/>
            </w:tcBorders>
            <w:shd w:val="clear" w:color="000000" w:fill="FFFFFF"/>
            <w:noWrap/>
            <w:vAlign w:val="bottom"/>
            <w:hideMark/>
          </w:tcPr>
          <w:p w14:paraId="1146473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 xml:space="preserve">  38.343 </w:t>
            </w:r>
          </w:p>
        </w:tc>
      </w:tr>
      <w:tr w:rsidR="009857A4" w:rsidRPr="009857A4" w14:paraId="76927C5F" w14:textId="77777777" w:rsidTr="009857A4">
        <w:trPr>
          <w:trHeight w:val="342"/>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7039CC57" w14:textId="77777777" w:rsidR="009857A4" w:rsidRPr="009857A4" w:rsidRDefault="009857A4" w:rsidP="00A8693E">
            <w:pPr>
              <w:spacing w:after="0" w:line="276" w:lineRule="auto"/>
              <w:rPr>
                <w:rFonts w:ascii="Times New Roman" w:eastAsia="Times New Roman" w:hAnsi="Times New Roman" w:cs="Times New Roman"/>
                <w:b/>
                <w:bCs/>
                <w:sz w:val="20"/>
                <w:szCs w:val="20"/>
                <w:lang w:eastAsia="da-DK"/>
              </w:rPr>
            </w:pPr>
            <w:r w:rsidRPr="009857A4">
              <w:rPr>
                <w:rFonts w:ascii="Times New Roman" w:eastAsia="Times New Roman" w:hAnsi="Times New Roman" w:cs="Times New Roman"/>
                <w:b/>
                <w:bCs/>
                <w:sz w:val="20"/>
                <w:szCs w:val="20"/>
                <w:lang w:eastAsia="da-DK"/>
              </w:rPr>
              <w:t>Brosme</w:t>
            </w:r>
          </w:p>
        </w:tc>
        <w:tc>
          <w:tcPr>
            <w:tcW w:w="1720" w:type="dxa"/>
            <w:tcBorders>
              <w:top w:val="nil"/>
              <w:left w:val="nil"/>
              <w:bottom w:val="single" w:sz="4" w:space="0" w:color="auto"/>
              <w:right w:val="single" w:sz="4" w:space="0" w:color="auto"/>
            </w:tcBorders>
            <w:shd w:val="clear" w:color="000000" w:fill="FFFFFF"/>
            <w:noWrap/>
            <w:vAlign w:val="center"/>
            <w:hideMark/>
          </w:tcPr>
          <w:p w14:paraId="7461201C" w14:textId="77777777" w:rsidR="009857A4" w:rsidRPr="009857A4" w:rsidRDefault="009857A4" w:rsidP="00A8693E">
            <w:pPr>
              <w:spacing w:after="0" w:line="276" w:lineRule="auto"/>
              <w:rPr>
                <w:rFonts w:ascii="Times New Roman" w:eastAsia="Times New Roman" w:hAnsi="Times New Roman" w:cs="Times New Roman"/>
                <w:i/>
                <w:iCs/>
                <w:sz w:val="20"/>
                <w:szCs w:val="20"/>
                <w:lang w:eastAsia="da-DK"/>
              </w:rPr>
            </w:pPr>
            <w:r w:rsidRPr="009857A4">
              <w:rPr>
                <w:rFonts w:ascii="Times New Roman" w:eastAsia="Times New Roman" w:hAnsi="Times New Roman" w:cs="Times New Roman"/>
                <w:i/>
                <w:iCs/>
                <w:sz w:val="20"/>
                <w:szCs w:val="20"/>
                <w:lang w:eastAsia="da-DK"/>
              </w:rPr>
              <w:t>Østgrønland</w:t>
            </w:r>
          </w:p>
        </w:tc>
        <w:tc>
          <w:tcPr>
            <w:tcW w:w="700" w:type="dxa"/>
            <w:tcBorders>
              <w:top w:val="nil"/>
              <w:left w:val="nil"/>
              <w:bottom w:val="single" w:sz="4" w:space="0" w:color="auto"/>
              <w:right w:val="single" w:sz="4" w:space="0" w:color="auto"/>
            </w:tcBorders>
            <w:shd w:val="clear" w:color="000000" w:fill="FFFFFF"/>
            <w:noWrap/>
            <w:vAlign w:val="bottom"/>
            <w:hideMark/>
          </w:tcPr>
          <w:p w14:paraId="4D19D1C6"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72917FA7"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52DB2AFE"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3D0D3FE5"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40590411"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31FDCBC8"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707F75B2"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64D316C9"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111E173B"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4A6DEFBA" w14:textId="77777777" w:rsidR="009857A4" w:rsidRPr="009857A4" w:rsidRDefault="009857A4" w:rsidP="00A8693E">
            <w:pPr>
              <w:spacing w:after="0" w:line="276" w:lineRule="auto"/>
              <w:jc w:val="right"/>
              <w:rPr>
                <w:rFonts w:ascii="Times New Roman" w:eastAsia="Times New Roman" w:hAnsi="Times New Roman" w:cs="Times New Roman"/>
                <w:sz w:val="20"/>
                <w:szCs w:val="20"/>
                <w:lang w:eastAsia="da-DK"/>
              </w:rPr>
            </w:pPr>
            <w:r w:rsidRPr="009857A4">
              <w:rPr>
                <w:rFonts w:ascii="Times New Roman" w:eastAsia="Times New Roman" w:hAnsi="Times New Roman" w:cs="Times New Roman"/>
                <w:sz w:val="20"/>
                <w:szCs w:val="20"/>
                <w:lang w:eastAsia="da-DK"/>
              </w:rPr>
              <w:t>0</w:t>
            </w:r>
          </w:p>
        </w:tc>
      </w:tr>
    </w:tbl>
    <w:p w14:paraId="6CBA457D" w14:textId="77777777" w:rsidR="004132C9" w:rsidRPr="004132C9" w:rsidRDefault="004132C9" w:rsidP="00A8693E">
      <w:pPr>
        <w:spacing w:after="0" w:line="276" w:lineRule="auto"/>
        <w:jc w:val="both"/>
        <w:rPr>
          <w:rFonts w:ascii="Times New Roman" w:hAnsi="Times New Roman"/>
          <w:sz w:val="20"/>
          <w:szCs w:val="20"/>
        </w:rPr>
      </w:pPr>
      <w:r w:rsidRPr="004132C9">
        <w:rPr>
          <w:rFonts w:ascii="Times New Roman" w:hAnsi="Times New Roman"/>
          <w:sz w:val="20"/>
          <w:szCs w:val="20"/>
        </w:rPr>
        <w:t>Kilde: APNN.</w:t>
      </w:r>
    </w:p>
    <w:p w14:paraId="4108CBB7" w14:textId="77777777" w:rsidR="004132C9" w:rsidRDefault="004132C9" w:rsidP="00A8693E">
      <w:pPr>
        <w:spacing w:after="0" w:line="276" w:lineRule="auto"/>
        <w:jc w:val="both"/>
        <w:rPr>
          <w:rFonts w:ascii="Times New Roman" w:hAnsi="Times New Roman"/>
          <w:sz w:val="20"/>
          <w:szCs w:val="20"/>
        </w:rPr>
      </w:pPr>
      <w:r>
        <w:rPr>
          <w:rFonts w:ascii="Times New Roman" w:hAnsi="Times New Roman"/>
          <w:sz w:val="20"/>
          <w:szCs w:val="20"/>
        </w:rPr>
        <w:lastRenderedPageBreak/>
        <w:t>Note: Rådgivningen for hellefisken i Vest er samlet for Vestgrønland og Canada. Rådgivningen for hellefisken i Øst er samlet for Østgrønland, Island og Færøerne. Rådgivningen for rødfisken i Øst er samlet for Østgrønland, Island og Færøerne.</w:t>
      </w:r>
      <w:r w:rsidR="004E28CD">
        <w:rPr>
          <w:rFonts w:ascii="Times New Roman" w:hAnsi="Times New Roman"/>
          <w:sz w:val="20"/>
          <w:szCs w:val="20"/>
        </w:rPr>
        <w:t xml:space="preserve"> Blandingsfiskeriet efter rødfisk består af arterne </w:t>
      </w:r>
      <w:proofErr w:type="spellStart"/>
      <w:r w:rsidR="004E28CD">
        <w:rPr>
          <w:rFonts w:ascii="Times New Roman" w:hAnsi="Times New Roman"/>
          <w:sz w:val="20"/>
          <w:szCs w:val="20"/>
        </w:rPr>
        <w:t>S.Mentella</w:t>
      </w:r>
      <w:proofErr w:type="spellEnd"/>
      <w:r w:rsidR="004E28CD">
        <w:rPr>
          <w:rFonts w:ascii="Times New Roman" w:hAnsi="Times New Roman"/>
          <w:sz w:val="20"/>
          <w:szCs w:val="20"/>
        </w:rPr>
        <w:t xml:space="preserve"> og </w:t>
      </w:r>
      <w:proofErr w:type="spellStart"/>
      <w:r w:rsidR="004E28CD">
        <w:rPr>
          <w:rFonts w:ascii="Times New Roman" w:hAnsi="Times New Roman"/>
          <w:sz w:val="20"/>
          <w:szCs w:val="20"/>
        </w:rPr>
        <w:t>S.Norvegicus</w:t>
      </w:r>
      <w:proofErr w:type="spellEnd"/>
      <w:r w:rsidR="004E28CD">
        <w:rPr>
          <w:rFonts w:ascii="Times New Roman" w:hAnsi="Times New Roman"/>
          <w:sz w:val="20"/>
          <w:szCs w:val="20"/>
        </w:rPr>
        <w:t>.</w:t>
      </w:r>
    </w:p>
    <w:p w14:paraId="097BF656" w14:textId="77777777" w:rsidR="00CF70BD" w:rsidRPr="004132C9" w:rsidRDefault="00CF70BD" w:rsidP="00A8693E">
      <w:pPr>
        <w:spacing w:after="0" w:line="276" w:lineRule="auto"/>
        <w:jc w:val="both"/>
        <w:rPr>
          <w:rFonts w:ascii="Times New Roman" w:hAnsi="Times New Roman"/>
          <w:sz w:val="20"/>
          <w:szCs w:val="20"/>
        </w:rPr>
      </w:pPr>
    </w:p>
    <w:p w14:paraId="73A60653" w14:textId="77777777" w:rsidR="006C19B3" w:rsidRDefault="006C19B3" w:rsidP="00A8693E">
      <w:pPr>
        <w:spacing w:after="0" w:line="276" w:lineRule="auto"/>
        <w:jc w:val="both"/>
        <w:rPr>
          <w:rFonts w:ascii="Times New Roman" w:hAnsi="Times New Roman"/>
        </w:rPr>
      </w:pPr>
    </w:p>
    <w:p w14:paraId="434D8A20" w14:textId="77777777" w:rsidR="00455162" w:rsidRDefault="00455162" w:rsidP="00A8693E">
      <w:pPr>
        <w:spacing w:after="0" w:line="276" w:lineRule="auto"/>
        <w:jc w:val="both"/>
        <w:rPr>
          <w:rFonts w:ascii="Times New Roman" w:hAnsi="Times New Roman"/>
        </w:rPr>
      </w:pPr>
    </w:p>
    <w:p w14:paraId="10B8BDBA" w14:textId="77777777" w:rsidR="00AE39D5" w:rsidRPr="006F5982" w:rsidRDefault="00AE39D5" w:rsidP="00AE39D5">
      <w:pPr>
        <w:spacing w:after="0" w:line="276" w:lineRule="auto"/>
        <w:jc w:val="both"/>
        <w:rPr>
          <w:rFonts w:ascii="Times New Roman" w:hAnsi="Times New Roman"/>
        </w:rPr>
      </w:pPr>
      <w:r w:rsidRPr="006F5982">
        <w:rPr>
          <w:rFonts w:ascii="Times New Roman" w:hAnsi="Times New Roman"/>
        </w:rPr>
        <w:t xml:space="preserve">Udviklingen i TAC for havgående hellefisk, torsk og rødfisk til den grønlandske flåde i perioden 2012-2021 fremgår af tabel 2. </w:t>
      </w:r>
      <w:r>
        <w:rPr>
          <w:rFonts w:ascii="Times New Roman" w:hAnsi="Times New Roman"/>
        </w:rPr>
        <w:t>En d</w:t>
      </w:r>
      <w:r w:rsidRPr="006F5982">
        <w:rPr>
          <w:rFonts w:ascii="Times New Roman" w:hAnsi="Times New Roman"/>
        </w:rPr>
        <w:t>el af TAC´en for de arter</w:t>
      </w:r>
      <w:r>
        <w:rPr>
          <w:rFonts w:ascii="Times New Roman" w:hAnsi="Times New Roman"/>
        </w:rPr>
        <w:t>ne hellefisk, torsk, rødfisk og brosme, der er opdelt i</w:t>
      </w:r>
      <w:r w:rsidRPr="006F5982">
        <w:rPr>
          <w:rFonts w:ascii="Times New Roman" w:hAnsi="Times New Roman"/>
        </w:rPr>
        <w:t xml:space="preserve"> Vest og Øst</w:t>
      </w:r>
      <w:r>
        <w:rPr>
          <w:rFonts w:ascii="Times New Roman" w:hAnsi="Times New Roman"/>
        </w:rPr>
        <w:t>,</w:t>
      </w:r>
      <w:r w:rsidRPr="006F5982">
        <w:rPr>
          <w:rFonts w:ascii="Times New Roman" w:hAnsi="Times New Roman"/>
        </w:rPr>
        <w:t xml:space="preserve"> fordeles til EU og andre lande i forhold til fiskeriaftaler. De kvoter</w:t>
      </w:r>
      <w:r>
        <w:rPr>
          <w:rFonts w:ascii="Times New Roman" w:hAnsi="Times New Roman"/>
        </w:rPr>
        <w:t>,</w:t>
      </w:r>
      <w:r w:rsidRPr="006F5982">
        <w:rPr>
          <w:rFonts w:ascii="Times New Roman" w:hAnsi="Times New Roman"/>
        </w:rPr>
        <w:t xml:space="preserve"> der vises i tabel 2</w:t>
      </w:r>
      <w:r>
        <w:rPr>
          <w:rFonts w:ascii="Times New Roman" w:hAnsi="Times New Roman"/>
        </w:rPr>
        <w:t>,</w:t>
      </w:r>
      <w:r w:rsidRPr="006F5982">
        <w:rPr>
          <w:rFonts w:ascii="Times New Roman" w:hAnsi="Times New Roman"/>
        </w:rPr>
        <w:t xml:space="preserve"> er </w:t>
      </w:r>
      <w:r>
        <w:rPr>
          <w:rFonts w:ascii="Times New Roman" w:hAnsi="Times New Roman"/>
        </w:rPr>
        <w:t>udelukkende den</w:t>
      </w:r>
      <w:r w:rsidRPr="006F5982">
        <w:rPr>
          <w:rFonts w:ascii="Times New Roman" w:hAnsi="Times New Roman"/>
        </w:rPr>
        <w:t xml:space="preserve"> del af </w:t>
      </w:r>
      <w:r>
        <w:rPr>
          <w:rFonts w:ascii="Times New Roman" w:hAnsi="Times New Roman"/>
        </w:rPr>
        <w:t>TAC´en,</w:t>
      </w:r>
      <w:r w:rsidRPr="006F5982">
        <w:rPr>
          <w:rFonts w:ascii="Times New Roman" w:hAnsi="Times New Roman"/>
        </w:rPr>
        <w:t xml:space="preserve"> som tildeles den grønlandske flåde.</w:t>
      </w:r>
    </w:p>
    <w:p w14:paraId="1A5342B8" w14:textId="77777777" w:rsidR="00455162" w:rsidRDefault="00455162" w:rsidP="00455162">
      <w:pPr>
        <w:spacing w:after="0" w:line="276" w:lineRule="auto"/>
        <w:jc w:val="both"/>
        <w:rPr>
          <w:rFonts w:ascii="Times New Roman" w:hAnsi="Times New Roman"/>
        </w:rPr>
      </w:pPr>
    </w:p>
    <w:p w14:paraId="07333E86" w14:textId="37A7C23D" w:rsidR="00455162" w:rsidRPr="006F5982" w:rsidRDefault="00455162" w:rsidP="00455162">
      <w:pPr>
        <w:spacing w:after="0" w:line="276" w:lineRule="auto"/>
        <w:jc w:val="both"/>
        <w:rPr>
          <w:rFonts w:ascii="Times New Roman" w:hAnsi="Times New Roman"/>
        </w:rPr>
      </w:pPr>
      <w:r w:rsidRPr="006F5982">
        <w:rPr>
          <w:rFonts w:ascii="Times New Roman" w:hAnsi="Times New Roman"/>
        </w:rPr>
        <w:t>TAC´en for havgående hellefisk i Vestgrønland har i perioden 2012-</w:t>
      </w:r>
      <w:r w:rsidRPr="00461375">
        <w:rPr>
          <w:rFonts w:ascii="Times New Roman" w:hAnsi="Times New Roman"/>
        </w:rPr>
        <w:t xml:space="preserve">2021 </w:t>
      </w:r>
      <w:r w:rsidR="006F25E5">
        <w:rPr>
          <w:rFonts w:ascii="Times New Roman" w:hAnsi="Times New Roman"/>
        </w:rPr>
        <w:t>fulgt</w:t>
      </w:r>
      <w:r w:rsidRPr="00A9307E">
        <w:rPr>
          <w:rFonts w:ascii="Times New Roman" w:hAnsi="Times New Roman"/>
        </w:rPr>
        <w:t xml:space="preserve"> den samlede biologiske rådgivning for Canada og Grønland</w:t>
      </w:r>
      <w:r w:rsidRPr="00461375">
        <w:rPr>
          <w:rFonts w:ascii="Times New Roman" w:hAnsi="Times New Roman"/>
        </w:rPr>
        <w:t>.</w:t>
      </w:r>
      <w:r w:rsidRPr="006F5982">
        <w:rPr>
          <w:rFonts w:ascii="Times New Roman" w:hAnsi="Times New Roman"/>
        </w:rPr>
        <w:t xml:space="preserve"> I forhold til aftale med Canada fordeles TAC´en i Vestgrønland med 50 pct. til Grønland og 50 pct. til Canada. Det havgående fiskeri i Vestgrønland har været MSC certificeret siden 2017. </w:t>
      </w:r>
    </w:p>
    <w:p w14:paraId="53F25E90" w14:textId="77777777" w:rsidR="00455162" w:rsidRPr="006F5982" w:rsidRDefault="00455162" w:rsidP="00455162">
      <w:pPr>
        <w:spacing w:after="0" w:line="276" w:lineRule="auto"/>
        <w:jc w:val="both"/>
        <w:rPr>
          <w:rFonts w:ascii="Times New Roman" w:hAnsi="Times New Roman"/>
        </w:rPr>
      </w:pPr>
    </w:p>
    <w:p w14:paraId="1422A9E2" w14:textId="2604C871" w:rsidR="00455162" w:rsidRPr="00424C0A" w:rsidRDefault="00455162" w:rsidP="00455162">
      <w:pPr>
        <w:spacing w:after="0" w:line="276" w:lineRule="auto"/>
        <w:jc w:val="both"/>
        <w:rPr>
          <w:rFonts w:ascii="Times New Roman" w:hAnsi="Times New Roman"/>
        </w:rPr>
      </w:pPr>
      <w:r w:rsidRPr="00461375">
        <w:rPr>
          <w:rFonts w:ascii="Times New Roman" w:hAnsi="Times New Roman"/>
        </w:rPr>
        <w:t xml:space="preserve">TAC´en for hellefisk i området Østgrønland, Island og Færøerne har </w:t>
      </w:r>
      <w:r w:rsidR="00461375" w:rsidRPr="00461375">
        <w:rPr>
          <w:rFonts w:ascii="Times New Roman" w:hAnsi="Times New Roman"/>
        </w:rPr>
        <w:t xml:space="preserve">siden </w:t>
      </w:r>
      <w:proofErr w:type="gramStart"/>
      <w:r w:rsidR="00461375" w:rsidRPr="00461375">
        <w:rPr>
          <w:rFonts w:ascii="Times New Roman" w:hAnsi="Times New Roman"/>
        </w:rPr>
        <w:t>2015</w:t>
      </w:r>
      <w:r w:rsidRPr="00461375">
        <w:rPr>
          <w:rFonts w:ascii="Times New Roman" w:hAnsi="Times New Roman"/>
        </w:rPr>
        <w:t xml:space="preserve">  </w:t>
      </w:r>
      <w:r w:rsidRPr="00A9307E">
        <w:rPr>
          <w:rFonts w:ascii="Times New Roman" w:hAnsi="Times New Roman"/>
        </w:rPr>
        <w:t>været</w:t>
      </w:r>
      <w:proofErr w:type="gramEnd"/>
      <w:r w:rsidRPr="00A9307E">
        <w:rPr>
          <w:rFonts w:ascii="Times New Roman" w:hAnsi="Times New Roman"/>
        </w:rPr>
        <w:t xml:space="preserve"> fastsat </w:t>
      </w:r>
      <w:r w:rsidR="00461375">
        <w:rPr>
          <w:rFonts w:ascii="Times New Roman" w:hAnsi="Times New Roman"/>
        </w:rPr>
        <w:t xml:space="preserve">i overensstemmelse med den </w:t>
      </w:r>
      <w:r w:rsidRPr="00A9307E">
        <w:rPr>
          <w:rFonts w:ascii="Times New Roman" w:hAnsi="Times New Roman"/>
        </w:rPr>
        <w:t xml:space="preserve"> biologiske rådgivning</w:t>
      </w:r>
      <w:r w:rsidRPr="00461375">
        <w:rPr>
          <w:rFonts w:ascii="Times New Roman" w:hAnsi="Times New Roman"/>
        </w:rPr>
        <w:t>.</w:t>
      </w:r>
      <w:r w:rsidRPr="006F5982">
        <w:rPr>
          <w:rFonts w:ascii="Times New Roman" w:hAnsi="Times New Roman"/>
        </w:rPr>
        <w:t xml:space="preserve"> I forhold til fordelingsaftale med Island får Grøn</w:t>
      </w:r>
      <w:r w:rsidRPr="00424C0A">
        <w:rPr>
          <w:rFonts w:ascii="Times New Roman" w:hAnsi="Times New Roman"/>
        </w:rPr>
        <w:t xml:space="preserve">land 37,6 pct. af den samlede havgående TAC for hellefisk. </w:t>
      </w:r>
    </w:p>
    <w:p w14:paraId="10DC0857" w14:textId="77777777" w:rsidR="00455162" w:rsidRPr="00424C0A" w:rsidRDefault="00455162" w:rsidP="00455162">
      <w:pPr>
        <w:spacing w:after="0" w:line="276" w:lineRule="auto"/>
        <w:jc w:val="both"/>
        <w:rPr>
          <w:rFonts w:ascii="Times New Roman" w:hAnsi="Times New Roman"/>
        </w:rPr>
      </w:pPr>
    </w:p>
    <w:p w14:paraId="64389EC9" w14:textId="67AFF14E" w:rsidR="00455162" w:rsidRDefault="00455162" w:rsidP="00455162">
      <w:pPr>
        <w:spacing w:after="0" w:line="276" w:lineRule="auto"/>
        <w:jc w:val="both"/>
        <w:rPr>
          <w:rFonts w:ascii="Times New Roman" w:hAnsi="Times New Roman"/>
        </w:rPr>
      </w:pPr>
      <w:r w:rsidRPr="00461375">
        <w:rPr>
          <w:rFonts w:ascii="Times New Roman" w:hAnsi="Times New Roman"/>
        </w:rPr>
        <w:t xml:space="preserve">TAC´en for rødfisk i området Østgrønland, Island og Færøerne har </w:t>
      </w:r>
      <w:r w:rsidR="00461375" w:rsidRPr="00461375">
        <w:rPr>
          <w:rFonts w:ascii="Times New Roman" w:hAnsi="Times New Roman"/>
        </w:rPr>
        <w:t xml:space="preserve">siden </w:t>
      </w:r>
      <w:proofErr w:type="gramStart"/>
      <w:r w:rsidR="00461375" w:rsidRPr="00461375">
        <w:rPr>
          <w:rFonts w:ascii="Times New Roman" w:hAnsi="Times New Roman"/>
        </w:rPr>
        <w:t xml:space="preserve">2015 </w:t>
      </w:r>
      <w:r w:rsidRPr="00A9307E">
        <w:rPr>
          <w:rFonts w:ascii="Times New Roman" w:hAnsi="Times New Roman"/>
        </w:rPr>
        <w:t xml:space="preserve"> været</w:t>
      </w:r>
      <w:proofErr w:type="gramEnd"/>
      <w:r w:rsidRPr="00A9307E">
        <w:rPr>
          <w:rFonts w:ascii="Times New Roman" w:hAnsi="Times New Roman"/>
        </w:rPr>
        <w:t xml:space="preserve"> fastsat</w:t>
      </w:r>
      <w:r w:rsidR="00461375" w:rsidRPr="00A9307E">
        <w:rPr>
          <w:rFonts w:ascii="Times New Roman" w:hAnsi="Times New Roman"/>
        </w:rPr>
        <w:t xml:space="preserve"> i overensstemmelse med </w:t>
      </w:r>
      <w:r w:rsidRPr="00A9307E">
        <w:rPr>
          <w:rFonts w:ascii="Times New Roman" w:hAnsi="Times New Roman"/>
        </w:rPr>
        <w:t>den biologiske rådgivning</w:t>
      </w:r>
      <w:r w:rsidRPr="00461375">
        <w:rPr>
          <w:rFonts w:ascii="Times New Roman" w:hAnsi="Times New Roman"/>
        </w:rPr>
        <w:t>.</w:t>
      </w:r>
      <w:r w:rsidRPr="00424C0A">
        <w:rPr>
          <w:rFonts w:ascii="Times New Roman" w:hAnsi="Times New Roman"/>
        </w:rPr>
        <w:t xml:space="preserve"> I forhold til fordelingsaftale med Island får Grønland 10 pct. af den</w:t>
      </w:r>
      <w:r w:rsidRPr="006F5982">
        <w:rPr>
          <w:rFonts w:ascii="Times New Roman" w:hAnsi="Times New Roman"/>
        </w:rPr>
        <w:t xml:space="preserve"> samlede havgående TAC for rødfisk.</w:t>
      </w:r>
    </w:p>
    <w:p w14:paraId="6B307329" w14:textId="77777777" w:rsidR="00455162" w:rsidRDefault="00455162" w:rsidP="00455162">
      <w:pPr>
        <w:spacing w:after="0" w:line="276" w:lineRule="auto"/>
        <w:jc w:val="both"/>
        <w:rPr>
          <w:rFonts w:ascii="Times New Roman" w:hAnsi="Times New Roman"/>
        </w:rPr>
      </w:pPr>
    </w:p>
    <w:p w14:paraId="3CBEEC8C" w14:textId="77777777" w:rsidR="00455162" w:rsidRPr="006F5982" w:rsidRDefault="00455162" w:rsidP="00455162">
      <w:pPr>
        <w:spacing w:after="0" w:line="276" w:lineRule="auto"/>
        <w:jc w:val="both"/>
        <w:rPr>
          <w:rFonts w:ascii="Times New Roman" w:hAnsi="Times New Roman"/>
        </w:rPr>
      </w:pPr>
      <w:r>
        <w:rPr>
          <w:rFonts w:ascii="Times New Roman" w:hAnsi="Times New Roman"/>
        </w:rPr>
        <w:t xml:space="preserve">Det er aftalt i bilateral aftale med Island at kvotefordelingsnøglerne for hellefisken og rødfisk forsætter indtil der foreligger nye biologiske data som kan bruges til genforhandling af fordelingen. </w:t>
      </w:r>
    </w:p>
    <w:p w14:paraId="03858C0F" w14:textId="77777777" w:rsidR="00455162" w:rsidRPr="006F5982" w:rsidRDefault="00455162" w:rsidP="00455162">
      <w:pPr>
        <w:spacing w:after="0" w:line="276" w:lineRule="auto"/>
        <w:jc w:val="both"/>
        <w:rPr>
          <w:rFonts w:ascii="Times New Roman" w:hAnsi="Times New Roman"/>
        </w:rPr>
      </w:pPr>
    </w:p>
    <w:p w14:paraId="355ABCB8" w14:textId="77777777" w:rsidR="00455162" w:rsidRDefault="00455162" w:rsidP="00455162">
      <w:pPr>
        <w:spacing w:after="0" w:line="276" w:lineRule="auto"/>
        <w:jc w:val="both"/>
        <w:rPr>
          <w:rFonts w:ascii="Times New Roman" w:hAnsi="Times New Roman"/>
        </w:rPr>
      </w:pPr>
      <w:r>
        <w:rPr>
          <w:rFonts w:ascii="Times New Roman" w:hAnsi="Times New Roman"/>
        </w:rPr>
        <w:t>Disse fiskerier forvaltes bæredygtigt, idet</w:t>
      </w:r>
      <w:r w:rsidRPr="006F5982">
        <w:rPr>
          <w:rFonts w:ascii="Times New Roman" w:hAnsi="Times New Roman"/>
        </w:rPr>
        <w:t xml:space="preserve"> TAC´en til det havgående fiskeri efter hellefisk og rødfisk i Grønland sættes i forhold til den biologiske rådgivning</w:t>
      </w:r>
      <w:r>
        <w:rPr>
          <w:rFonts w:ascii="Times New Roman" w:hAnsi="Times New Roman"/>
        </w:rPr>
        <w:t xml:space="preserve">. </w:t>
      </w:r>
    </w:p>
    <w:p w14:paraId="7506AB31" w14:textId="77777777" w:rsidR="00455162" w:rsidRDefault="00455162" w:rsidP="00A8693E">
      <w:pPr>
        <w:spacing w:after="0" w:line="276" w:lineRule="auto"/>
        <w:jc w:val="both"/>
        <w:rPr>
          <w:rFonts w:ascii="Times New Roman" w:hAnsi="Times New Roman"/>
        </w:rPr>
      </w:pPr>
    </w:p>
    <w:p w14:paraId="1BE27A87" w14:textId="77777777" w:rsidR="00CF70BD" w:rsidRPr="006F5982" w:rsidRDefault="00CF70BD" w:rsidP="00A8693E">
      <w:pPr>
        <w:spacing w:after="0" w:line="276" w:lineRule="auto"/>
        <w:jc w:val="both"/>
        <w:rPr>
          <w:rFonts w:ascii="Times New Roman" w:hAnsi="Times New Roman"/>
          <w:lang w:val="is-IS"/>
        </w:rPr>
      </w:pPr>
      <w:r w:rsidRPr="006F5982">
        <w:rPr>
          <w:rFonts w:ascii="Times New Roman" w:hAnsi="Times New Roman"/>
        </w:rPr>
        <w:t>I Vestgrønland har der i perioden 2015-201</w:t>
      </w:r>
      <w:r w:rsidR="00447B7D">
        <w:rPr>
          <w:rFonts w:ascii="Times New Roman" w:hAnsi="Times New Roman"/>
        </w:rPr>
        <w:t>8</w:t>
      </w:r>
      <w:r w:rsidRPr="006F5982">
        <w:rPr>
          <w:rFonts w:ascii="Times New Roman" w:hAnsi="Times New Roman"/>
        </w:rPr>
        <w:t xml:space="preserve"> været fastsat </w:t>
      </w:r>
      <w:r w:rsidR="00601DF6">
        <w:rPr>
          <w:rFonts w:ascii="Times New Roman" w:hAnsi="Times New Roman"/>
        </w:rPr>
        <w:t xml:space="preserve">en </w:t>
      </w:r>
      <w:r w:rsidRPr="006F5982">
        <w:rPr>
          <w:rFonts w:ascii="Times New Roman" w:hAnsi="Times New Roman"/>
        </w:rPr>
        <w:t xml:space="preserve">forsøgskvote hvert år for havgående torskefiskeri. </w:t>
      </w:r>
      <w:r w:rsidR="00447B7D">
        <w:rPr>
          <w:rFonts w:ascii="Times New Roman" w:hAnsi="Times New Roman"/>
        </w:rPr>
        <w:t xml:space="preserve">I 2019 overgik torskefiskeriet i Vestgrønland til at blive blanding af moniterings- og forsøgsfiskeri. </w:t>
      </w:r>
      <w:r w:rsidRPr="006F5982">
        <w:rPr>
          <w:rFonts w:ascii="Times New Roman" w:hAnsi="Times New Roman"/>
        </w:rPr>
        <w:t>Rådgivningen i disse år har været på nul</w:t>
      </w:r>
      <w:r w:rsidR="00CB6445">
        <w:rPr>
          <w:rFonts w:ascii="Times New Roman" w:hAnsi="Times New Roman"/>
        </w:rPr>
        <w:t>,</w:t>
      </w:r>
      <w:r w:rsidRPr="006F5982">
        <w:rPr>
          <w:rFonts w:ascii="Times New Roman" w:hAnsi="Times New Roman"/>
        </w:rPr>
        <w:t xml:space="preserve"> hvorfor dette fiskeri ikke </w:t>
      </w:r>
      <w:r w:rsidR="00970417">
        <w:rPr>
          <w:rFonts w:ascii="Times New Roman" w:hAnsi="Times New Roman"/>
        </w:rPr>
        <w:t xml:space="preserve">har </w:t>
      </w:r>
      <w:r w:rsidRPr="006F5982">
        <w:rPr>
          <w:rFonts w:ascii="Times New Roman" w:hAnsi="Times New Roman"/>
        </w:rPr>
        <w:t>været forvaltet bæredygtigt.</w:t>
      </w:r>
    </w:p>
    <w:p w14:paraId="5A834D1B" w14:textId="77777777" w:rsidR="00CF70BD" w:rsidRPr="006F5982" w:rsidRDefault="00CF70BD" w:rsidP="00A8693E">
      <w:pPr>
        <w:spacing w:after="0" w:line="276" w:lineRule="auto"/>
        <w:jc w:val="both"/>
        <w:rPr>
          <w:rFonts w:ascii="Times New Roman" w:hAnsi="Times New Roman"/>
        </w:rPr>
      </w:pPr>
    </w:p>
    <w:p w14:paraId="7A31EA42" w14:textId="77777777" w:rsidR="00CF70BD" w:rsidRDefault="00CF70BD" w:rsidP="00A8693E">
      <w:pPr>
        <w:spacing w:after="0" w:line="276" w:lineRule="auto"/>
        <w:jc w:val="both"/>
        <w:rPr>
          <w:rFonts w:ascii="Times New Roman" w:hAnsi="Times New Roman"/>
        </w:rPr>
      </w:pPr>
      <w:r w:rsidRPr="006F5982">
        <w:rPr>
          <w:rFonts w:ascii="Times New Roman" w:hAnsi="Times New Roman"/>
        </w:rPr>
        <w:t xml:space="preserve">Det har været fastsat en TAC for havgående torskefiskeri i </w:t>
      </w:r>
      <w:proofErr w:type="spellStart"/>
      <w:r w:rsidRPr="006F5982">
        <w:rPr>
          <w:rFonts w:ascii="Times New Roman" w:hAnsi="Times New Roman"/>
        </w:rPr>
        <w:t>Syd-Vest</w:t>
      </w:r>
      <w:proofErr w:type="spellEnd"/>
      <w:r w:rsidRPr="006F5982">
        <w:rPr>
          <w:rFonts w:ascii="Times New Roman" w:hAnsi="Times New Roman"/>
        </w:rPr>
        <w:t xml:space="preserve"> og Østgrønland i perioden 2012-2015 </w:t>
      </w:r>
      <w:r w:rsidR="00970417">
        <w:rPr>
          <w:rFonts w:ascii="Times New Roman" w:hAnsi="Times New Roman"/>
        </w:rPr>
        <w:t xml:space="preserve">på </w:t>
      </w:r>
      <w:r w:rsidRPr="006F5982">
        <w:rPr>
          <w:rFonts w:ascii="Times New Roman" w:hAnsi="Times New Roman"/>
        </w:rPr>
        <w:t>trods</w:t>
      </w:r>
      <w:r w:rsidR="00CB6445">
        <w:rPr>
          <w:rFonts w:ascii="Times New Roman" w:hAnsi="Times New Roman"/>
        </w:rPr>
        <w:t>,</w:t>
      </w:r>
      <w:r w:rsidRPr="006F5982">
        <w:rPr>
          <w:rFonts w:ascii="Times New Roman" w:hAnsi="Times New Roman"/>
        </w:rPr>
        <w:t xml:space="preserve"> at rådgivningen anbefalede intet fiskeri. I 2016 var rådgivningen </w:t>
      </w:r>
      <w:r w:rsidR="009569DC">
        <w:rPr>
          <w:rFonts w:ascii="Times New Roman" w:hAnsi="Times New Roman"/>
        </w:rPr>
        <w:t xml:space="preserve">på </w:t>
      </w:r>
      <w:r w:rsidRPr="006F5982">
        <w:rPr>
          <w:rFonts w:ascii="Times New Roman" w:hAnsi="Times New Roman"/>
        </w:rPr>
        <w:t>7.577 tons</w:t>
      </w:r>
      <w:r w:rsidR="00596E27">
        <w:rPr>
          <w:rFonts w:ascii="Times New Roman" w:hAnsi="Times New Roman"/>
        </w:rPr>
        <w:t>,</w:t>
      </w:r>
      <w:r w:rsidRPr="006F5982">
        <w:rPr>
          <w:rFonts w:ascii="Times New Roman" w:hAnsi="Times New Roman"/>
        </w:rPr>
        <w:t xml:space="preserve"> men TAC´en </w:t>
      </w:r>
      <w:r w:rsidR="00596E27">
        <w:rPr>
          <w:rFonts w:ascii="Times New Roman" w:hAnsi="Times New Roman"/>
        </w:rPr>
        <w:t xml:space="preserve">blev </w:t>
      </w:r>
      <w:r w:rsidRPr="006F5982">
        <w:rPr>
          <w:rFonts w:ascii="Times New Roman" w:hAnsi="Times New Roman"/>
        </w:rPr>
        <w:t xml:space="preserve">sat til 16.000 tons (heraf 11.875 tons til den grønlandske flåde), svarende til ca. 111 pct. over rådgivningen. I alle år fra 2016 har TAC´en for den havgående torsk i </w:t>
      </w:r>
      <w:proofErr w:type="spellStart"/>
      <w:r w:rsidRPr="006F5982">
        <w:rPr>
          <w:rFonts w:ascii="Times New Roman" w:hAnsi="Times New Roman"/>
        </w:rPr>
        <w:t>Syd-Vest</w:t>
      </w:r>
      <w:proofErr w:type="spellEnd"/>
      <w:r w:rsidRPr="006F5982">
        <w:rPr>
          <w:rFonts w:ascii="Times New Roman" w:hAnsi="Times New Roman"/>
        </w:rPr>
        <w:t xml:space="preserve"> og Østgrønland også været sat over den biologiske rådgivning. I 2021 er rådgivningen på 6.091 tons</w:t>
      </w:r>
      <w:r w:rsidR="009569DC">
        <w:rPr>
          <w:rFonts w:ascii="Times New Roman" w:hAnsi="Times New Roman"/>
        </w:rPr>
        <w:t>,</w:t>
      </w:r>
      <w:r w:rsidRPr="006F5982">
        <w:rPr>
          <w:rFonts w:ascii="Times New Roman" w:hAnsi="Times New Roman"/>
        </w:rPr>
        <w:t xml:space="preserve"> men TAC´en er sat til 26.091 tons (heraf 20.291 tons til den grønlandske flåde), svarende til ca. 328 pct. over rådgivningen. Det havgående torskefiskeri i Grønland forvaltes derfor ikke bæredygtig</w:t>
      </w:r>
      <w:r w:rsidR="00596E27">
        <w:rPr>
          <w:rFonts w:ascii="Times New Roman" w:hAnsi="Times New Roman"/>
        </w:rPr>
        <w:t>t</w:t>
      </w:r>
      <w:r w:rsidRPr="006F5982">
        <w:rPr>
          <w:rFonts w:ascii="Times New Roman" w:hAnsi="Times New Roman"/>
        </w:rPr>
        <w:t>.</w:t>
      </w:r>
    </w:p>
    <w:p w14:paraId="67F4E3EE" w14:textId="77777777" w:rsidR="008F3A51" w:rsidRDefault="008F3A51" w:rsidP="00424C0A">
      <w:pPr>
        <w:spacing w:after="0" w:line="276" w:lineRule="auto"/>
        <w:jc w:val="both"/>
        <w:rPr>
          <w:rFonts w:ascii="Times New Roman" w:hAnsi="Times New Roman"/>
        </w:rPr>
      </w:pPr>
    </w:p>
    <w:p w14:paraId="38D90857" w14:textId="77777777" w:rsidR="008F3A51" w:rsidRPr="006F5982" w:rsidRDefault="008F3A51" w:rsidP="00424C0A">
      <w:pPr>
        <w:spacing w:after="0" w:line="276" w:lineRule="auto"/>
        <w:jc w:val="both"/>
        <w:rPr>
          <w:rFonts w:ascii="Times New Roman" w:hAnsi="Times New Roman"/>
        </w:rPr>
      </w:pPr>
      <w:r>
        <w:rPr>
          <w:rFonts w:ascii="Times New Roman" w:hAnsi="Times New Roman"/>
        </w:rPr>
        <w:t>Det har været sat en TAC for brosme i Østgrønland fra 2016 trods manglende biologisk rådgivning. TAC</w:t>
      </w:r>
      <w:r w:rsidR="008C2B44">
        <w:rPr>
          <w:rFonts w:ascii="Times New Roman" w:hAnsi="Times New Roman"/>
        </w:rPr>
        <w:t>’en</w:t>
      </w:r>
      <w:r>
        <w:rPr>
          <w:rFonts w:ascii="Times New Roman" w:hAnsi="Times New Roman"/>
        </w:rPr>
        <w:t xml:space="preserve"> for brosme til den grønlandske flåde var sat til 1.825 tons og 1.625 tons i hhv. 2016 og 2017</w:t>
      </w:r>
      <w:r w:rsidR="008C2B44">
        <w:rPr>
          <w:rFonts w:ascii="Times New Roman" w:hAnsi="Times New Roman"/>
        </w:rPr>
        <w:t>,</w:t>
      </w:r>
      <w:r>
        <w:rPr>
          <w:rFonts w:ascii="Times New Roman" w:hAnsi="Times New Roman"/>
        </w:rPr>
        <w:t xml:space="preserve"> men blev reduceret til 685 tons pr. år fra 2018.</w:t>
      </w:r>
    </w:p>
    <w:p w14:paraId="7921B423" w14:textId="77777777" w:rsidR="004E2E11" w:rsidRPr="006F5982" w:rsidRDefault="004E2E11" w:rsidP="00424C0A">
      <w:pPr>
        <w:spacing w:after="0" w:line="276" w:lineRule="auto"/>
        <w:jc w:val="both"/>
        <w:rPr>
          <w:rFonts w:ascii="Times New Roman" w:hAnsi="Times New Roman"/>
        </w:rPr>
      </w:pPr>
    </w:p>
    <w:p w14:paraId="1D08AE4F" w14:textId="77777777" w:rsidR="004E2E11" w:rsidRPr="006F5982" w:rsidRDefault="004E2E11" w:rsidP="00424C0A">
      <w:pPr>
        <w:spacing w:after="0" w:line="276" w:lineRule="auto"/>
        <w:jc w:val="both"/>
        <w:rPr>
          <w:rFonts w:ascii="Times New Roman" w:hAnsi="Times New Roman"/>
        </w:rPr>
      </w:pPr>
      <w:r w:rsidRPr="006F5982">
        <w:rPr>
          <w:rFonts w:ascii="Times New Roman" w:hAnsi="Times New Roman"/>
        </w:rPr>
        <w:lastRenderedPageBreak/>
        <w:t xml:space="preserve">Grønland får tildelt havgående kvoter på torsk, kuller og sej i Barentshavet igennem kvotebytteaftaler med Rusland og Norge. </w:t>
      </w:r>
      <w:r w:rsidR="00686289">
        <w:rPr>
          <w:rFonts w:ascii="Times New Roman" w:hAnsi="Times New Roman"/>
        </w:rPr>
        <w:t xml:space="preserve">Disse kvoter er en del af den fastsatte TAC for de arter i Barentshavet. </w:t>
      </w:r>
      <w:r w:rsidRPr="006F5982">
        <w:rPr>
          <w:rFonts w:ascii="Times New Roman" w:hAnsi="Times New Roman"/>
        </w:rPr>
        <w:t>Kvoterne</w:t>
      </w:r>
      <w:r w:rsidR="00686289">
        <w:rPr>
          <w:rFonts w:ascii="Times New Roman" w:hAnsi="Times New Roman"/>
        </w:rPr>
        <w:t xml:space="preserve"> til Grønland</w:t>
      </w:r>
      <w:r w:rsidRPr="006F5982">
        <w:rPr>
          <w:rFonts w:ascii="Times New Roman" w:hAnsi="Times New Roman"/>
        </w:rPr>
        <w:t xml:space="preserve"> på torsk i Barentshavet har årligt ligget mellem 8.000 – 9.000 tons i perioden 2012-2021</w:t>
      </w:r>
      <w:r w:rsidR="008C2B44">
        <w:rPr>
          <w:rFonts w:ascii="Times New Roman" w:hAnsi="Times New Roman"/>
        </w:rPr>
        <w:t>,</w:t>
      </w:r>
      <w:r w:rsidRPr="006F5982">
        <w:rPr>
          <w:rFonts w:ascii="Times New Roman" w:hAnsi="Times New Roman"/>
        </w:rPr>
        <w:t xml:space="preserve"> men har været faldende indtil 2019-2021. Kvoten på kuller var i 2012 på 2.550 tons</w:t>
      </w:r>
      <w:r w:rsidR="008C2B44">
        <w:rPr>
          <w:rFonts w:ascii="Times New Roman" w:hAnsi="Times New Roman"/>
        </w:rPr>
        <w:t>,</w:t>
      </w:r>
      <w:r w:rsidRPr="006F5982">
        <w:rPr>
          <w:rFonts w:ascii="Times New Roman" w:hAnsi="Times New Roman"/>
        </w:rPr>
        <w:t xml:space="preserve"> men er faldet til 1.229 tons i 2021. Kvoten på sej er tilsvarende faldet fra 1.000 tons i 2012 til 450 tons i 2021. </w:t>
      </w:r>
      <w:r w:rsidR="009857A4" w:rsidRPr="006F5982">
        <w:rPr>
          <w:rFonts w:ascii="Times New Roman" w:hAnsi="Times New Roman"/>
        </w:rPr>
        <w:t xml:space="preserve">Fiskeriet efter disse arter i Barentshavet har været MSC certificeret siden 2020. </w:t>
      </w:r>
    </w:p>
    <w:p w14:paraId="7113CF75" w14:textId="60DDF573" w:rsidR="00286CD9" w:rsidRDefault="00286CD9" w:rsidP="00A8693E">
      <w:pPr>
        <w:spacing w:after="0" w:line="276" w:lineRule="auto"/>
        <w:jc w:val="both"/>
        <w:rPr>
          <w:rFonts w:ascii="Times New Roman" w:hAnsi="Times New Roman"/>
        </w:rPr>
      </w:pPr>
      <w:r w:rsidRPr="00821973">
        <w:rPr>
          <w:rFonts w:ascii="Times New Roman" w:hAnsi="Times New Roman"/>
        </w:rPr>
        <w:t>Tabel</w:t>
      </w:r>
      <w:r w:rsidR="00E30ABB">
        <w:rPr>
          <w:rFonts w:ascii="Times New Roman" w:hAnsi="Times New Roman"/>
        </w:rPr>
        <w:t xml:space="preserve"> 2</w:t>
      </w:r>
      <w:r w:rsidRPr="00821973">
        <w:rPr>
          <w:rFonts w:ascii="Times New Roman" w:hAnsi="Times New Roman"/>
        </w:rPr>
        <w:t xml:space="preserve">: </w:t>
      </w:r>
      <w:r w:rsidR="0014330C">
        <w:rPr>
          <w:rFonts w:ascii="Times New Roman" w:hAnsi="Times New Roman"/>
        </w:rPr>
        <w:t xml:space="preserve">Grønlandsk TAC for </w:t>
      </w:r>
      <w:r w:rsidR="00FB15A4">
        <w:rPr>
          <w:rFonts w:ascii="Times New Roman" w:hAnsi="Times New Roman"/>
        </w:rPr>
        <w:t xml:space="preserve">havgående </w:t>
      </w:r>
      <w:proofErr w:type="spellStart"/>
      <w:r w:rsidR="00FB15A4">
        <w:rPr>
          <w:rFonts w:ascii="Times New Roman" w:hAnsi="Times New Roman"/>
        </w:rPr>
        <w:t>hvidfiskfiskeriet</w:t>
      </w:r>
      <w:proofErr w:type="spellEnd"/>
      <w:r w:rsidRPr="00821973">
        <w:rPr>
          <w:rFonts w:ascii="Times New Roman" w:hAnsi="Times New Roman"/>
        </w:rPr>
        <w:t>, 2012-2021.</w:t>
      </w:r>
    </w:p>
    <w:tbl>
      <w:tblPr>
        <w:tblW w:w="5000" w:type="pct"/>
        <w:tblCellMar>
          <w:left w:w="70" w:type="dxa"/>
          <w:right w:w="70" w:type="dxa"/>
        </w:tblCellMar>
        <w:tblLook w:val="04A0" w:firstRow="1" w:lastRow="0" w:firstColumn="1" w:lastColumn="0" w:noHBand="0" w:noVBand="1"/>
      </w:tblPr>
      <w:tblGrid>
        <w:gridCol w:w="1955"/>
        <w:gridCol w:w="767"/>
        <w:gridCol w:w="767"/>
        <w:gridCol w:w="767"/>
        <w:gridCol w:w="768"/>
        <w:gridCol w:w="768"/>
        <w:gridCol w:w="768"/>
        <w:gridCol w:w="768"/>
        <w:gridCol w:w="768"/>
        <w:gridCol w:w="768"/>
        <w:gridCol w:w="764"/>
      </w:tblGrid>
      <w:tr w:rsidR="0014330C" w:rsidRPr="0014330C" w14:paraId="4F60CAD3" w14:textId="77777777" w:rsidTr="00AE39D5">
        <w:trPr>
          <w:trHeight w:val="255"/>
        </w:trPr>
        <w:tc>
          <w:tcPr>
            <w:tcW w:w="992" w:type="pct"/>
            <w:tcBorders>
              <w:top w:val="single" w:sz="4" w:space="0" w:color="auto"/>
              <w:left w:val="single" w:sz="4" w:space="0" w:color="auto"/>
              <w:bottom w:val="nil"/>
              <w:right w:val="nil"/>
            </w:tcBorders>
            <w:shd w:val="clear" w:color="000000" w:fill="FFFFFF"/>
            <w:noWrap/>
            <w:vAlign w:val="bottom"/>
            <w:hideMark/>
          </w:tcPr>
          <w:p w14:paraId="200AB5A4"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14:paraId="55E70B0D"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nil"/>
              <w:bottom w:val="nil"/>
              <w:right w:val="nil"/>
            </w:tcBorders>
            <w:shd w:val="clear" w:color="000000" w:fill="FFFFFF"/>
            <w:noWrap/>
            <w:vAlign w:val="bottom"/>
            <w:hideMark/>
          </w:tcPr>
          <w:p w14:paraId="1B9FCD96"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14:paraId="5C9EC17E"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nil"/>
              <w:bottom w:val="nil"/>
              <w:right w:val="single" w:sz="4" w:space="0" w:color="auto"/>
            </w:tcBorders>
            <w:shd w:val="clear" w:color="000000" w:fill="FFFFFF"/>
            <w:noWrap/>
            <w:vAlign w:val="bottom"/>
            <w:hideMark/>
          </w:tcPr>
          <w:p w14:paraId="5171DBF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nil"/>
              <w:bottom w:val="nil"/>
              <w:right w:val="nil"/>
            </w:tcBorders>
            <w:shd w:val="clear" w:color="000000" w:fill="FFFFFF"/>
            <w:noWrap/>
            <w:vAlign w:val="bottom"/>
            <w:hideMark/>
          </w:tcPr>
          <w:p w14:paraId="18112AE4"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14:paraId="65A72639"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nil"/>
              <w:bottom w:val="nil"/>
              <w:right w:val="nil"/>
            </w:tcBorders>
            <w:shd w:val="clear" w:color="000000" w:fill="FFFFFF"/>
            <w:noWrap/>
            <w:vAlign w:val="bottom"/>
            <w:hideMark/>
          </w:tcPr>
          <w:p w14:paraId="587237CA"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14:paraId="30D32D7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nil"/>
              <w:bottom w:val="nil"/>
              <w:right w:val="nil"/>
            </w:tcBorders>
            <w:shd w:val="clear" w:color="000000" w:fill="FFFFFF"/>
            <w:noWrap/>
            <w:vAlign w:val="bottom"/>
            <w:hideMark/>
          </w:tcPr>
          <w:p w14:paraId="30848D2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14:paraId="6827868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r>
      <w:tr w:rsidR="0014330C" w:rsidRPr="0014330C" w14:paraId="2CF41D6E" w14:textId="77777777" w:rsidTr="00AE39D5">
        <w:trPr>
          <w:trHeight w:val="255"/>
        </w:trPr>
        <w:tc>
          <w:tcPr>
            <w:tcW w:w="992" w:type="pct"/>
            <w:tcBorders>
              <w:top w:val="nil"/>
              <w:left w:val="single" w:sz="4" w:space="0" w:color="auto"/>
              <w:bottom w:val="nil"/>
              <w:right w:val="nil"/>
            </w:tcBorders>
            <w:shd w:val="clear" w:color="000000" w:fill="FFFFFF"/>
            <w:noWrap/>
            <w:vAlign w:val="bottom"/>
            <w:hideMark/>
          </w:tcPr>
          <w:p w14:paraId="4F51DC10"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Tons</w:t>
            </w:r>
          </w:p>
        </w:tc>
        <w:tc>
          <w:tcPr>
            <w:tcW w:w="401" w:type="pct"/>
            <w:tcBorders>
              <w:top w:val="nil"/>
              <w:left w:val="single" w:sz="4" w:space="0" w:color="auto"/>
              <w:bottom w:val="nil"/>
              <w:right w:val="single" w:sz="4" w:space="0" w:color="auto"/>
            </w:tcBorders>
            <w:shd w:val="clear" w:color="000000" w:fill="FFFFFF"/>
            <w:noWrap/>
            <w:vAlign w:val="bottom"/>
            <w:hideMark/>
          </w:tcPr>
          <w:p w14:paraId="127442B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2012</w:t>
            </w:r>
          </w:p>
        </w:tc>
        <w:tc>
          <w:tcPr>
            <w:tcW w:w="401" w:type="pct"/>
            <w:tcBorders>
              <w:top w:val="nil"/>
              <w:left w:val="nil"/>
              <w:bottom w:val="nil"/>
              <w:right w:val="nil"/>
            </w:tcBorders>
            <w:shd w:val="clear" w:color="000000" w:fill="FFFFFF"/>
            <w:noWrap/>
            <w:vAlign w:val="bottom"/>
            <w:hideMark/>
          </w:tcPr>
          <w:p w14:paraId="1130CF8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2013</w:t>
            </w:r>
          </w:p>
        </w:tc>
        <w:tc>
          <w:tcPr>
            <w:tcW w:w="401" w:type="pct"/>
            <w:tcBorders>
              <w:top w:val="nil"/>
              <w:left w:val="single" w:sz="4" w:space="0" w:color="auto"/>
              <w:bottom w:val="nil"/>
              <w:right w:val="single" w:sz="4" w:space="0" w:color="auto"/>
            </w:tcBorders>
            <w:shd w:val="clear" w:color="000000" w:fill="FFFFFF"/>
            <w:noWrap/>
            <w:vAlign w:val="bottom"/>
            <w:hideMark/>
          </w:tcPr>
          <w:p w14:paraId="18958452"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2014</w:t>
            </w:r>
          </w:p>
        </w:tc>
        <w:tc>
          <w:tcPr>
            <w:tcW w:w="401" w:type="pct"/>
            <w:tcBorders>
              <w:top w:val="nil"/>
              <w:left w:val="nil"/>
              <w:bottom w:val="nil"/>
              <w:right w:val="single" w:sz="4" w:space="0" w:color="auto"/>
            </w:tcBorders>
            <w:shd w:val="clear" w:color="000000" w:fill="FFFFFF"/>
            <w:noWrap/>
            <w:vAlign w:val="bottom"/>
            <w:hideMark/>
          </w:tcPr>
          <w:p w14:paraId="3B020C51"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2015</w:t>
            </w:r>
          </w:p>
        </w:tc>
        <w:tc>
          <w:tcPr>
            <w:tcW w:w="401" w:type="pct"/>
            <w:tcBorders>
              <w:top w:val="nil"/>
              <w:left w:val="nil"/>
              <w:bottom w:val="nil"/>
              <w:right w:val="nil"/>
            </w:tcBorders>
            <w:shd w:val="clear" w:color="000000" w:fill="FFFFFF"/>
            <w:noWrap/>
            <w:vAlign w:val="bottom"/>
            <w:hideMark/>
          </w:tcPr>
          <w:p w14:paraId="589F40B0"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2016</w:t>
            </w:r>
          </w:p>
        </w:tc>
        <w:tc>
          <w:tcPr>
            <w:tcW w:w="401" w:type="pct"/>
            <w:tcBorders>
              <w:top w:val="nil"/>
              <w:left w:val="single" w:sz="4" w:space="0" w:color="auto"/>
              <w:bottom w:val="nil"/>
              <w:right w:val="single" w:sz="4" w:space="0" w:color="auto"/>
            </w:tcBorders>
            <w:shd w:val="clear" w:color="000000" w:fill="FFFFFF"/>
            <w:noWrap/>
            <w:vAlign w:val="bottom"/>
            <w:hideMark/>
          </w:tcPr>
          <w:p w14:paraId="708181C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2017</w:t>
            </w:r>
          </w:p>
        </w:tc>
        <w:tc>
          <w:tcPr>
            <w:tcW w:w="401" w:type="pct"/>
            <w:tcBorders>
              <w:top w:val="nil"/>
              <w:left w:val="nil"/>
              <w:bottom w:val="nil"/>
              <w:right w:val="nil"/>
            </w:tcBorders>
            <w:shd w:val="clear" w:color="000000" w:fill="FFFFFF"/>
            <w:noWrap/>
            <w:vAlign w:val="bottom"/>
            <w:hideMark/>
          </w:tcPr>
          <w:p w14:paraId="335D2B21"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2018</w:t>
            </w:r>
          </w:p>
        </w:tc>
        <w:tc>
          <w:tcPr>
            <w:tcW w:w="401" w:type="pct"/>
            <w:tcBorders>
              <w:top w:val="nil"/>
              <w:left w:val="single" w:sz="4" w:space="0" w:color="auto"/>
              <w:bottom w:val="nil"/>
              <w:right w:val="single" w:sz="4" w:space="0" w:color="auto"/>
            </w:tcBorders>
            <w:shd w:val="clear" w:color="000000" w:fill="FFFFFF"/>
            <w:noWrap/>
            <w:vAlign w:val="bottom"/>
            <w:hideMark/>
          </w:tcPr>
          <w:p w14:paraId="184C5780"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2019</w:t>
            </w:r>
          </w:p>
        </w:tc>
        <w:tc>
          <w:tcPr>
            <w:tcW w:w="401" w:type="pct"/>
            <w:tcBorders>
              <w:top w:val="nil"/>
              <w:left w:val="nil"/>
              <w:bottom w:val="nil"/>
              <w:right w:val="nil"/>
            </w:tcBorders>
            <w:shd w:val="clear" w:color="000000" w:fill="FFFFFF"/>
            <w:noWrap/>
            <w:vAlign w:val="bottom"/>
            <w:hideMark/>
          </w:tcPr>
          <w:p w14:paraId="43C57A0E"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2020</w:t>
            </w:r>
          </w:p>
        </w:tc>
        <w:tc>
          <w:tcPr>
            <w:tcW w:w="401" w:type="pct"/>
            <w:tcBorders>
              <w:top w:val="nil"/>
              <w:left w:val="single" w:sz="4" w:space="0" w:color="auto"/>
              <w:bottom w:val="nil"/>
              <w:right w:val="single" w:sz="4" w:space="0" w:color="auto"/>
            </w:tcBorders>
            <w:shd w:val="clear" w:color="000000" w:fill="FFFFFF"/>
            <w:noWrap/>
            <w:vAlign w:val="bottom"/>
            <w:hideMark/>
          </w:tcPr>
          <w:p w14:paraId="09E8398A"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2021</w:t>
            </w:r>
          </w:p>
        </w:tc>
      </w:tr>
      <w:tr w:rsidR="0014330C" w:rsidRPr="0014330C" w14:paraId="73971D68" w14:textId="77777777" w:rsidTr="00AE39D5">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19C494" w14:textId="77777777" w:rsidR="0014330C" w:rsidRPr="0014330C" w:rsidRDefault="0014330C" w:rsidP="0014330C">
            <w:pPr>
              <w:spacing w:after="0" w:line="240" w:lineRule="auto"/>
              <w:jc w:val="center"/>
              <w:rPr>
                <w:rFonts w:ascii="Times New Roman" w:eastAsia="Times New Roman" w:hAnsi="Times New Roman" w:cs="Times New Roman"/>
                <w:b/>
                <w:bCs/>
                <w:color w:val="000000"/>
                <w:sz w:val="20"/>
                <w:szCs w:val="20"/>
                <w:lang w:eastAsia="da-DK"/>
              </w:rPr>
            </w:pPr>
            <w:r w:rsidRPr="0014330C">
              <w:rPr>
                <w:rFonts w:ascii="Times New Roman" w:eastAsia="Times New Roman" w:hAnsi="Times New Roman" w:cs="Times New Roman"/>
                <w:b/>
                <w:bCs/>
                <w:color w:val="000000"/>
                <w:sz w:val="20"/>
                <w:szCs w:val="20"/>
                <w:lang w:eastAsia="da-DK"/>
              </w:rPr>
              <w:t>Grønland</w:t>
            </w:r>
          </w:p>
        </w:tc>
      </w:tr>
      <w:tr w:rsidR="0014330C" w:rsidRPr="0014330C" w14:paraId="7C6AF070"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07500F1A"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Hellefisk</w:t>
            </w:r>
          </w:p>
        </w:tc>
        <w:tc>
          <w:tcPr>
            <w:tcW w:w="401" w:type="pct"/>
            <w:tcBorders>
              <w:top w:val="nil"/>
              <w:left w:val="nil"/>
              <w:bottom w:val="single" w:sz="4" w:space="0" w:color="auto"/>
              <w:right w:val="single" w:sz="4" w:space="0" w:color="auto"/>
            </w:tcBorders>
            <w:shd w:val="clear" w:color="000000" w:fill="FFFFFF"/>
            <w:noWrap/>
            <w:vAlign w:val="bottom"/>
            <w:hideMark/>
          </w:tcPr>
          <w:p w14:paraId="256016B6"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13.105</w:t>
            </w:r>
          </w:p>
        </w:tc>
        <w:tc>
          <w:tcPr>
            <w:tcW w:w="401" w:type="pct"/>
            <w:tcBorders>
              <w:top w:val="nil"/>
              <w:left w:val="nil"/>
              <w:bottom w:val="single" w:sz="4" w:space="0" w:color="auto"/>
              <w:right w:val="single" w:sz="4" w:space="0" w:color="auto"/>
            </w:tcBorders>
            <w:shd w:val="clear" w:color="000000" w:fill="FFFFFF"/>
            <w:noWrap/>
            <w:vAlign w:val="bottom"/>
            <w:hideMark/>
          </w:tcPr>
          <w:p w14:paraId="72541BC8"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11.760</w:t>
            </w:r>
          </w:p>
        </w:tc>
        <w:tc>
          <w:tcPr>
            <w:tcW w:w="401" w:type="pct"/>
            <w:tcBorders>
              <w:top w:val="nil"/>
              <w:left w:val="nil"/>
              <w:bottom w:val="single" w:sz="4" w:space="0" w:color="auto"/>
              <w:right w:val="single" w:sz="4" w:space="0" w:color="auto"/>
            </w:tcBorders>
            <w:shd w:val="clear" w:color="000000" w:fill="FFFFFF"/>
            <w:noWrap/>
            <w:vAlign w:val="bottom"/>
            <w:hideMark/>
          </w:tcPr>
          <w:p w14:paraId="1FBAB56E"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11.961</w:t>
            </w:r>
          </w:p>
        </w:tc>
        <w:tc>
          <w:tcPr>
            <w:tcW w:w="401" w:type="pct"/>
            <w:tcBorders>
              <w:top w:val="nil"/>
              <w:left w:val="nil"/>
              <w:bottom w:val="single" w:sz="4" w:space="0" w:color="auto"/>
              <w:right w:val="single" w:sz="4" w:space="0" w:color="auto"/>
            </w:tcBorders>
            <w:shd w:val="clear" w:color="000000" w:fill="FFFFFF"/>
            <w:noWrap/>
            <w:vAlign w:val="bottom"/>
            <w:hideMark/>
          </w:tcPr>
          <w:p w14:paraId="58CEF47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13.528</w:t>
            </w:r>
          </w:p>
        </w:tc>
        <w:tc>
          <w:tcPr>
            <w:tcW w:w="401" w:type="pct"/>
            <w:tcBorders>
              <w:top w:val="nil"/>
              <w:left w:val="nil"/>
              <w:bottom w:val="single" w:sz="4" w:space="0" w:color="auto"/>
              <w:right w:val="single" w:sz="4" w:space="0" w:color="auto"/>
            </w:tcBorders>
            <w:shd w:val="clear" w:color="000000" w:fill="FFFFFF"/>
            <w:noWrap/>
            <w:vAlign w:val="bottom"/>
            <w:hideMark/>
          </w:tcPr>
          <w:p w14:paraId="16860361"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11.520</w:t>
            </w:r>
          </w:p>
        </w:tc>
        <w:tc>
          <w:tcPr>
            <w:tcW w:w="401" w:type="pct"/>
            <w:tcBorders>
              <w:top w:val="nil"/>
              <w:left w:val="nil"/>
              <w:bottom w:val="single" w:sz="4" w:space="0" w:color="auto"/>
              <w:right w:val="single" w:sz="4" w:space="0" w:color="auto"/>
            </w:tcBorders>
            <w:shd w:val="clear" w:color="000000" w:fill="FFFFFF"/>
            <w:noWrap/>
            <w:vAlign w:val="bottom"/>
            <w:hideMark/>
          </w:tcPr>
          <w:p w14:paraId="2E3C5AE9"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13.375</w:t>
            </w:r>
          </w:p>
        </w:tc>
        <w:tc>
          <w:tcPr>
            <w:tcW w:w="401" w:type="pct"/>
            <w:tcBorders>
              <w:top w:val="nil"/>
              <w:left w:val="nil"/>
              <w:bottom w:val="single" w:sz="4" w:space="0" w:color="auto"/>
              <w:right w:val="single" w:sz="4" w:space="0" w:color="auto"/>
            </w:tcBorders>
            <w:shd w:val="clear" w:color="000000" w:fill="FFFFFF"/>
            <w:noWrap/>
            <w:vAlign w:val="bottom"/>
            <w:hideMark/>
          </w:tcPr>
          <w:p w14:paraId="5C7858B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13.675</w:t>
            </w:r>
          </w:p>
        </w:tc>
        <w:tc>
          <w:tcPr>
            <w:tcW w:w="401" w:type="pct"/>
            <w:tcBorders>
              <w:top w:val="nil"/>
              <w:left w:val="nil"/>
              <w:bottom w:val="single" w:sz="4" w:space="0" w:color="auto"/>
              <w:right w:val="single" w:sz="4" w:space="0" w:color="auto"/>
            </w:tcBorders>
            <w:shd w:val="clear" w:color="000000" w:fill="FFFFFF"/>
            <w:noWrap/>
            <w:vAlign w:val="bottom"/>
            <w:hideMark/>
          </w:tcPr>
          <w:p w14:paraId="0FF11810"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15.765</w:t>
            </w:r>
          </w:p>
        </w:tc>
        <w:tc>
          <w:tcPr>
            <w:tcW w:w="401" w:type="pct"/>
            <w:tcBorders>
              <w:top w:val="nil"/>
              <w:left w:val="nil"/>
              <w:bottom w:val="single" w:sz="4" w:space="0" w:color="auto"/>
              <w:right w:val="single" w:sz="4" w:space="0" w:color="auto"/>
            </w:tcBorders>
            <w:shd w:val="clear" w:color="000000" w:fill="FFFFFF"/>
            <w:noWrap/>
            <w:vAlign w:val="bottom"/>
            <w:hideMark/>
          </w:tcPr>
          <w:p w14:paraId="2F34E9A4"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15.015</w:t>
            </w:r>
          </w:p>
        </w:tc>
        <w:tc>
          <w:tcPr>
            <w:tcW w:w="401" w:type="pct"/>
            <w:tcBorders>
              <w:top w:val="nil"/>
              <w:left w:val="nil"/>
              <w:bottom w:val="single" w:sz="4" w:space="0" w:color="auto"/>
              <w:right w:val="single" w:sz="4" w:space="0" w:color="auto"/>
            </w:tcBorders>
            <w:shd w:val="clear" w:color="000000" w:fill="FFFFFF"/>
            <w:noWrap/>
            <w:vAlign w:val="bottom"/>
            <w:hideMark/>
          </w:tcPr>
          <w:p w14:paraId="1BF40B8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15.832</w:t>
            </w:r>
          </w:p>
        </w:tc>
      </w:tr>
      <w:tr w:rsidR="0014330C" w:rsidRPr="0014330C" w14:paraId="77D35A5E"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2D96F3F2" w14:textId="77777777" w:rsidR="0014330C" w:rsidRPr="0014330C" w:rsidRDefault="0014330C" w:rsidP="0014330C">
            <w:pPr>
              <w:spacing w:after="0" w:line="240" w:lineRule="auto"/>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 xml:space="preserve">  Vest</w:t>
            </w:r>
          </w:p>
        </w:tc>
        <w:tc>
          <w:tcPr>
            <w:tcW w:w="401" w:type="pct"/>
            <w:tcBorders>
              <w:top w:val="nil"/>
              <w:left w:val="nil"/>
              <w:bottom w:val="single" w:sz="4" w:space="0" w:color="auto"/>
              <w:right w:val="single" w:sz="4" w:space="0" w:color="auto"/>
            </w:tcBorders>
            <w:shd w:val="clear" w:color="000000" w:fill="FFFFFF"/>
            <w:noWrap/>
            <w:vAlign w:val="bottom"/>
            <w:hideMark/>
          </w:tcPr>
          <w:p w14:paraId="13195D1D"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8.075</w:t>
            </w:r>
          </w:p>
        </w:tc>
        <w:tc>
          <w:tcPr>
            <w:tcW w:w="401" w:type="pct"/>
            <w:tcBorders>
              <w:top w:val="nil"/>
              <w:left w:val="nil"/>
              <w:bottom w:val="single" w:sz="4" w:space="0" w:color="auto"/>
              <w:right w:val="single" w:sz="4" w:space="0" w:color="auto"/>
            </w:tcBorders>
            <w:shd w:val="clear" w:color="000000" w:fill="FFFFFF"/>
            <w:noWrap/>
            <w:vAlign w:val="bottom"/>
            <w:hideMark/>
          </w:tcPr>
          <w:p w14:paraId="4F15DEFA"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8.075</w:t>
            </w:r>
          </w:p>
        </w:tc>
        <w:tc>
          <w:tcPr>
            <w:tcW w:w="401" w:type="pct"/>
            <w:tcBorders>
              <w:top w:val="nil"/>
              <w:left w:val="nil"/>
              <w:bottom w:val="single" w:sz="4" w:space="0" w:color="auto"/>
              <w:right w:val="single" w:sz="4" w:space="0" w:color="auto"/>
            </w:tcBorders>
            <w:shd w:val="clear" w:color="000000" w:fill="FFFFFF"/>
            <w:noWrap/>
            <w:vAlign w:val="bottom"/>
            <w:hideMark/>
          </w:tcPr>
          <w:p w14:paraId="1517F490"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9.575</w:t>
            </w:r>
          </w:p>
        </w:tc>
        <w:tc>
          <w:tcPr>
            <w:tcW w:w="401" w:type="pct"/>
            <w:tcBorders>
              <w:top w:val="nil"/>
              <w:left w:val="nil"/>
              <w:bottom w:val="single" w:sz="4" w:space="0" w:color="auto"/>
              <w:right w:val="single" w:sz="4" w:space="0" w:color="auto"/>
            </w:tcBorders>
            <w:shd w:val="clear" w:color="000000" w:fill="FFFFFF"/>
            <w:noWrap/>
            <w:vAlign w:val="bottom"/>
            <w:hideMark/>
          </w:tcPr>
          <w:p w14:paraId="530E06B0"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9.725</w:t>
            </w:r>
          </w:p>
        </w:tc>
        <w:tc>
          <w:tcPr>
            <w:tcW w:w="401" w:type="pct"/>
            <w:tcBorders>
              <w:top w:val="nil"/>
              <w:left w:val="nil"/>
              <w:bottom w:val="single" w:sz="4" w:space="0" w:color="auto"/>
              <w:right w:val="single" w:sz="4" w:space="0" w:color="auto"/>
            </w:tcBorders>
            <w:shd w:val="clear" w:color="000000" w:fill="FFFFFF"/>
            <w:noWrap/>
            <w:vAlign w:val="bottom"/>
            <w:hideMark/>
          </w:tcPr>
          <w:p w14:paraId="5C2367A0"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9.725</w:t>
            </w:r>
          </w:p>
        </w:tc>
        <w:tc>
          <w:tcPr>
            <w:tcW w:w="401" w:type="pct"/>
            <w:tcBorders>
              <w:top w:val="nil"/>
              <w:left w:val="nil"/>
              <w:bottom w:val="single" w:sz="4" w:space="0" w:color="auto"/>
              <w:right w:val="single" w:sz="4" w:space="0" w:color="auto"/>
            </w:tcBorders>
            <w:shd w:val="clear" w:color="000000" w:fill="FFFFFF"/>
            <w:noWrap/>
            <w:vAlign w:val="bottom"/>
            <w:hideMark/>
          </w:tcPr>
          <w:p w14:paraId="554B4F39"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10.875</w:t>
            </w:r>
          </w:p>
        </w:tc>
        <w:tc>
          <w:tcPr>
            <w:tcW w:w="401" w:type="pct"/>
            <w:tcBorders>
              <w:top w:val="nil"/>
              <w:left w:val="nil"/>
              <w:bottom w:val="single" w:sz="4" w:space="0" w:color="auto"/>
              <w:right w:val="single" w:sz="4" w:space="0" w:color="auto"/>
            </w:tcBorders>
            <w:shd w:val="clear" w:color="000000" w:fill="FFFFFF"/>
            <w:noWrap/>
            <w:vAlign w:val="bottom"/>
            <w:hideMark/>
          </w:tcPr>
          <w:p w14:paraId="452B1F57"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10.975</w:t>
            </w:r>
          </w:p>
        </w:tc>
        <w:tc>
          <w:tcPr>
            <w:tcW w:w="401" w:type="pct"/>
            <w:tcBorders>
              <w:top w:val="nil"/>
              <w:left w:val="nil"/>
              <w:bottom w:val="single" w:sz="4" w:space="0" w:color="auto"/>
              <w:right w:val="single" w:sz="4" w:space="0" w:color="auto"/>
            </w:tcBorders>
            <w:shd w:val="clear" w:color="000000" w:fill="FFFFFF"/>
            <w:noWrap/>
            <w:vAlign w:val="bottom"/>
            <w:hideMark/>
          </w:tcPr>
          <w:p w14:paraId="225E1A15"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13.010</w:t>
            </w:r>
          </w:p>
        </w:tc>
        <w:tc>
          <w:tcPr>
            <w:tcW w:w="401" w:type="pct"/>
            <w:tcBorders>
              <w:top w:val="nil"/>
              <w:left w:val="nil"/>
              <w:bottom w:val="single" w:sz="4" w:space="0" w:color="auto"/>
              <w:right w:val="single" w:sz="4" w:space="0" w:color="auto"/>
            </w:tcBorders>
            <w:shd w:val="clear" w:color="000000" w:fill="FFFFFF"/>
            <w:noWrap/>
            <w:vAlign w:val="bottom"/>
            <w:hideMark/>
          </w:tcPr>
          <w:p w14:paraId="0F1B6A6E"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13.009</w:t>
            </w:r>
          </w:p>
        </w:tc>
        <w:tc>
          <w:tcPr>
            <w:tcW w:w="401" w:type="pct"/>
            <w:tcBorders>
              <w:top w:val="nil"/>
              <w:left w:val="nil"/>
              <w:bottom w:val="single" w:sz="4" w:space="0" w:color="auto"/>
              <w:right w:val="single" w:sz="4" w:space="0" w:color="auto"/>
            </w:tcBorders>
            <w:shd w:val="clear" w:color="000000" w:fill="FFFFFF"/>
            <w:noWrap/>
            <w:vAlign w:val="bottom"/>
            <w:hideMark/>
          </w:tcPr>
          <w:p w14:paraId="29CEA66D"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12.985</w:t>
            </w:r>
          </w:p>
        </w:tc>
      </w:tr>
      <w:tr w:rsidR="0014330C" w:rsidRPr="0014330C" w14:paraId="23C4A9C8"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023EBFE3" w14:textId="77777777" w:rsidR="0014330C" w:rsidRPr="0014330C" w:rsidRDefault="0014330C" w:rsidP="0014330C">
            <w:pPr>
              <w:spacing w:after="0" w:line="240" w:lineRule="auto"/>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 xml:space="preserve">  Øst</w:t>
            </w:r>
          </w:p>
        </w:tc>
        <w:tc>
          <w:tcPr>
            <w:tcW w:w="401" w:type="pct"/>
            <w:tcBorders>
              <w:top w:val="nil"/>
              <w:left w:val="nil"/>
              <w:bottom w:val="single" w:sz="4" w:space="0" w:color="auto"/>
              <w:right w:val="single" w:sz="4" w:space="0" w:color="auto"/>
            </w:tcBorders>
            <w:shd w:val="clear" w:color="000000" w:fill="FFFFFF"/>
            <w:noWrap/>
            <w:vAlign w:val="bottom"/>
            <w:hideMark/>
          </w:tcPr>
          <w:p w14:paraId="3C542522"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5.030</w:t>
            </w:r>
          </w:p>
        </w:tc>
        <w:tc>
          <w:tcPr>
            <w:tcW w:w="401" w:type="pct"/>
            <w:tcBorders>
              <w:top w:val="nil"/>
              <w:left w:val="nil"/>
              <w:bottom w:val="single" w:sz="4" w:space="0" w:color="auto"/>
              <w:right w:val="single" w:sz="4" w:space="0" w:color="auto"/>
            </w:tcBorders>
            <w:shd w:val="clear" w:color="000000" w:fill="FFFFFF"/>
            <w:noWrap/>
            <w:vAlign w:val="bottom"/>
            <w:hideMark/>
          </w:tcPr>
          <w:p w14:paraId="03214FA4"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3.685</w:t>
            </w:r>
          </w:p>
        </w:tc>
        <w:tc>
          <w:tcPr>
            <w:tcW w:w="401" w:type="pct"/>
            <w:tcBorders>
              <w:top w:val="nil"/>
              <w:left w:val="nil"/>
              <w:bottom w:val="single" w:sz="4" w:space="0" w:color="auto"/>
              <w:right w:val="single" w:sz="4" w:space="0" w:color="auto"/>
            </w:tcBorders>
            <w:shd w:val="clear" w:color="000000" w:fill="FFFFFF"/>
            <w:noWrap/>
            <w:vAlign w:val="bottom"/>
            <w:hideMark/>
          </w:tcPr>
          <w:p w14:paraId="2FF8F93B"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2.386</w:t>
            </w:r>
          </w:p>
        </w:tc>
        <w:tc>
          <w:tcPr>
            <w:tcW w:w="401" w:type="pct"/>
            <w:tcBorders>
              <w:top w:val="nil"/>
              <w:left w:val="nil"/>
              <w:bottom w:val="single" w:sz="4" w:space="0" w:color="auto"/>
              <w:right w:val="single" w:sz="4" w:space="0" w:color="auto"/>
            </w:tcBorders>
            <w:shd w:val="clear" w:color="000000" w:fill="FFFFFF"/>
            <w:noWrap/>
            <w:vAlign w:val="bottom"/>
            <w:hideMark/>
          </w:tcPr>
          <w:p w14:paraId="7D7E1E2E"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3.803</w:t>
            </w:r>
          </w:p>
        </w:tc>
        <w:tc>
          <w:tcPr>
            <w:tcW w:w="401" w:type="pct"/>
            <w:tcBorders>
              <w:top w:val="nil"/>
              <w:left w:val="nil"/>
              <w:bottom w:val="single" w:sz="4" w:space="0" w:color="auto"/>
              <w:right w:val="single" w:sz="4" w:space="0" w:color="auto"/>
            </w:tcBorders>
            <w:shd w:val="clear" w:color="000000" w:fill="FFFFFF"/>
            <w:noWrap/>
            <w:vAlign w:val="bottom"/>
            <w:hideMark/>
          </w:tcPr>
          <w:p w14:paraId="6A58C212"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1.795</w:t>
            </w:r>
          </w:p>
        </w:tc>
        <w:tc>
          <w:tcPr>
            <w:tcW w:w="401" w:type="pct"/>
            <w:tcBorders>
              <w:top w:val="nil"/>
              <w:left w:val="nil"/>
              <w:bottom w:val="single" w:sz="4" w:space="0" w:color="auto"/>
              <w:right w:val="single" w:sz="4" w:space="0" w:color="auto"/>
            </w:tcBorders>
            <w:shd w:val="clear" w:color="000000" w:fill="FFFFFF"/>
            <w:noWrap/>
            <w:vAlign w:val="bottom"/>
            <w:hideMark/>
          </w:tcPr>
          <w:p w14:paraId="6A1A1403"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2.500</w:t>
            </w:r>
          </w:p>
        </w:tc>
        <w:tc>
          <w:tcPr>
            <w:tcW w:w="401" w:type="pct"/>
            <w:tcBorders>
              <w:top w:val="nil"/>
              <w:left w:val="nil"/>
              <w:bottom w:val="single" w:sz="4" w:space="0" w:color="auto"/>
              <w:right w:val="single" w:sz="4" w:space="0" w:color="auto"/>
            </w:tcBorders>
            <w:shd w:val="clear" w:color="000000" w:fill="FFFFFF"/>
            <w:noWrap/>
            <w:vAlign w:val="bottom"/>
            <w:hideMark/>
          </w:tcPr>
          <w:p w14:paraId="057EB160"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2.700</w:t>
            </w:r>
          </w:p>
        </w:tc>
        <w:tc>
          <w:tcPr>
            <w:tcW w:w="401" w:type="pct"/>
            <w:tcBorders>
              <w:top w:val="nil"/>
              <w:left w:val="nil"/>
              <w:bottom w:val="single" w:sz="4" w:space="0" w:color="auto"/>
              <w:right w:val="single" w:sz="4" w:space="0" w:color="auto"/>
            </w:tcBorders>
            <w:shd w:val="clear" w:color="000000" w:fill="FFFFFF"/>
            <w:noWrap/>
            <w:vAlign w:val="bottom"/>
            <w:hideMark/>
          </w:tcPr>
          <w:p w14:paraId="68677422"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2.755</w:t>
            </w:r>
          </w:p>
        </w:tc>
        <w:tc>
          <w:tcPr>
            <w:tcW w:w="401" w:type="pct"/>
            <w:tcBorders>
              <w:top w:val="nil"/>
              <w:left w:val="nil"/>
              <w:bottom w:val="single" w:sz="4" w:space="0" w:color="auto"/>
              <w:right w:val="single" w:sz="4" w:space="0" w:color="auto"/>
            </w:tcBorders>
            <w:shd w:val="clear" w:color="000000" w:fill="FFFFFF"/>
            <w:noWrap/>
            <w:vAlign w:val="bottom"/>
            <w:hideMark/>
          </w:tcPr>
          <w:p w14:paraId="63DF2865"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2.006</w:t>
            </w:r>
          </w:p>
        </w:tc>
        <w:tc>
          <w:tcPr>
            <w:tcW w:w="401" w:type="pct"/>
            <w:tcBorders>
              <w:top w:val="nil"/>
              <w:left w:val="nil"/>
              <w:bottom w:val="single" w:sz="4" w:space="0" w:color="auto"/>
              <w:right w:val="single" w:sz="4" w:space="0" w:color="auto"/>
            </w:tcBorders>
            <w:shd w:val="clear" w:color="000000" w:fill="FFFFFF"/>
            <w:noWrap/>
            <w:vAlign w:val="bottom"/>
            <w:hideMark/>
          </w:tcPr>
          <w:p w14:paraId="031DA80D"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2.847</w:t>
            </w:r>
          </w:p>
        </w:tc>
      </w:tr>
      <w:tr w:rsidR="0014330C" w:rsidRPr="0014330C" w14:paraId="68CADF92"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4AB213D5"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Torsk</w:t>
            </w:r>
          </w:p>
        </w:tc>
        <w:tc>
          <w:tcPr>
            <w:tcW w:w="401" w:type="pct"/>
            <w:tcBorders>
              <w:top w:val="nil"/>
              <w:left w:val="nil"/>
              <w:bottom w:val="single" w:sz="4" w:space="0" w:color="auto"/>
              <w:right w:val="single" w:sz="4" w:space="0" w:color="auto"/>
            </w:tcBorders>
            <w:shd w:val="clear" w:color="000000" w:fill="FFFFFF"/>
            <w:noWrap/>
            <w:vAlign w:val="bottom"/>
            <w:hideMark/>
          </w:tcPr>
          <w:p w14:paraId="2CAFA95F"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2.500</w:t>
            </w:r>
          </w:p>
        </w:tc>
        <w:tc>
          <w:tcPr>
            <w:tcW w:w="401" w:type="pct"/>
            <w:tcBorders>
              <w:top w:val="nil"/>
              <w:left w:val="nil"/>
              <w:bottom w:val="single" w:sz="4" w:space="0" w:color="auto"/>
              <w:right w:val="single" w:sz="4" w:space="0" w:color="auto"/>
            </w:tcBorders>
            <w:shd w:val="clear" w:color="000000" w:fill="FFFFFF"/>
            <w:noWrap/>
            <w:vAlign w:val="bottom"/>
            <w:hideMark/>
          </w:tcPr>
          <w:p w14:paraId="6A0176ED"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3.550</w:t>
            </w:r>
          </w:p>
        </w:tc>
        <w:tc>
          <w:tcPr>
            <w:tcW w:w="401" w:type="pct"/>
            <w:tcBorders>
              <w:top w:val="nil"/>
              <w:left w:val="nil"/>
              <w:bottom w:val="single" w:sz="4" w:space="0" w:color="auto"/>
              <w:right w:val="single" w:sz="4" w:space="0" w:color="auto"/>
            </w:tcBorders>
            <w:shd w:val="clear" w:color="000000" w:fill="FFFFFF"/>
            <w:noWrap/>
            <w:vAlign w:val="bottom"/>
            <w:hideMark/>
          </w:tcPr>
          <w:p w14:paraId="553C64FF"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6.245</w:t>
            </w:r>
          </w:p>
        </w:tc>
        <w:tc>
          <w:tcPr>
            <w:tcW w:w="401" w:type="pct"/>
            <w:tcBorders>
              <w:top w:val="nil"/>
              <w:left w:val="nil"/>
              <w:bottom w:val="single" w:sz="4" w:space="0" w:color="auto"/>
              <w:right w:val="single" w:sz="4" w:space="0" w:color="auto"/>
            </w:tcBorders>
            <w:shd w:val="clear" w:color="000000" w:fill="FFFFFF"/>
            <w:noWrap/>
            <w:vAlign w:val="bottom"/>
            <w:hideMark/>
          </w:tcPr>
          <w:p w14:paraId="08FB70FE"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16.195</w:t>
            </w:r>
          </w:p>
        </w:tc>
        <w:tc>
          <w:tcPr>
            <w:tcW w:w="401" w:type="pct"/>
            <w:tcBorders>
              <w:top w:val="nil"/>
              <w:left w:val="nil"/>
              <w:bottom w:val="single" w:sz="4" w:space="0" w:color="auto"/>
              <w:right w:val="single" w:sz="4" w:space="0" w:color="auto"/>
            </w:tcBorders>
            <w:shd w:val="clear" w:color="000000" w:fill="FFFFFF"/>
            <w:noWrap/>
            <w:vAlign w:val="bottom"/>
            <w:hideMark/>
          </w:tcPr>
          <w:p w14:paraId="312A786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16.875</w:t>
            </w:r>
          </w:p>
        </w:tc>
        <w:tc>
          <w:tcPr>
            <w:tcW w:w="401" w:type="pct"/>
            <w:tcBorders>
              <w:top w:val="nil"/>
              <w:left w:val="nil"/>
              <w:bottom w:val="single" w:sz="4" w:space="0" w:color="auto"/>
              <w:right w:val="single" w:sz="4" w:space="0" w:color="auto"/>
            </w:tcBorders>
            <w:shd w:val="clear" w:color="000000" w:fill="FFFFFF"/>
            <w:noWrap/>
            <w:vAlign w:val="bottom"/>
            <w:hideMark/>
          </w:tcPr>
          <w:p w14:paraId="4559966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16.375</w:t>
            </w:r>
          </w:p>
        </w:tc>
        <w:tc>
          <w:tcPr>
            <w:tcW w:w="401" w:type="pct"/>
            <w:tcBorders>
              <w:top w:val="nil"/>
              <w:left w:val="nil"/>
              <w:bottom w:val="single" w:sz="4" w:space="0" w:color="auto"/>
              <w:right w:val="single" w:sz="4" w:space="0" w:color="auto"/>
            </w:tcBorders>
            <w:shd w:val="clear" w:color="000000" w:fill="FFFFFF"/>
            <w:noWrap/>
            <w:vAlign w:val="bottom"/>
            <w:hideMark/>
          </w:tcPr>
          <w:p w14:paraId="18EBD3D9"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16.275</w:t>
            </w:r>
          </w:p>
        </w:tc>
        <w:tc>
          <w:tcPr>
            <w:tcW w:w="401" w:type="pct"/>
            <w:tcBorders>
              <w:top w:val="nil"/>
              <w:left w:val="nil"/>
              <w:bottom w:val="single" w:sz="4" w:space="0" w:color="auto"/>
              <w:right w:val="single" w:sz="4" w:space="0" w:color="auto"/>
            </w:tcBorders>
            <w:shd w:val="clear" w:color="000000" w:fill="FFFFFF"/>
            <w:noWrap/>
            <w:vAlign w:val="bottom"/>
            <w:hideMark/>
          </w:tcPr>
          <w:p w14:paraId="2A2AEAE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20.475</w:t>
            </w:r>
          </w:p>
        </w:tc>
        <w:tc>
          <w:tcPr>
            <w:tcW w:w="401" w:type="pct"/>
            <w:tcBorders>
              <w:top w:val="nil"/>
              <w:left w:val="nil"/>
              <w:bottom w:val="single" w:sz="4" w:space="0" w:color="auto"/>
              <w:right w:val="single" w:sz="4" w:space="0" w:color="auto"/>
            </w:tcBorders>
            <w:shd w:val="clear" w:color="000000" w:fill="FFFFFF"/>
            <w:noWrap/>
            <w:vAlign w:val="bottom"/>
            <w:hideMark/>
          </w:tcPr>
          <w:p w14:paraId="4B83375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14.024</w:t>
            </w:r>
          </w:p>
        </w:tc>
        <w:tc>
          <w:tcPr>
            <w:tcW w:w="401" w:type="pct"/>
            <w:tcBorders>
              <w:top w:val="nil"/>
              <w:left w:val="nil"/>
              <w:bottom w:val="single" w:sz="4" w:space="0" w:color="auto"/>
              <w:right w:val="single" w:sz="4" w:space="0" w:color="auto"/>
            </w:tcBorders>
            <w:shd w:val="clear" w:color="000000" w:fill="FFFFFF"/>
            <w:noWrap/>
            <w:vAlign w:val="bottom"/>
            <w:hideMark/>
          </w:tcPr>
          <w:p w14:paraId="03EE51F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20.291</w:t>
            </w:r>
          </w:p>
        </w:tc>
      </w:tr>
      <w:tr w:rsidR="0014330C" w:rsidRPr="0014330C" w14:paraId="41F5688C" w14:textId="77777777" w:rsidTr="00AE39D5">
        <w:trPr>
          <w:trHeight w:val="28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49EFCD63" w14:textId="77777777" w:rsidR="0014330C" w:rsidRPr="0014330C" w:rsidRDefault="0014330C" w:rsidP="0014330C">
            <w:pPr>
              <w:spacing w:after="0" w:line="240" w:lineRule="auto"/>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 xml:space="preserve">  Vest  - </w:t>
            </w:r>
            <w:proofErr w:type="spellStart"/>
            <w:r w:rsidRPr="0014330C">
              <w:rPr>
                <w:rFonts w:ascii="Times New Roman" w:eastAsia="Times New Roman" w:hAnsi="Times New Roman" w:cs="Times New Roman"/>
                <w:i/>
                <w:iCs/>
                <w:color w:val="000000"/>
                <w:sz w:val="20"/>
                <w:szCs w:val="20"/>
                <w:lang w:eastAsia="da-DK"/>
              </w:rPr>
              <w:t>forsøgsfiskeri</w:t>
            </w:r>
            <w:r w:rsidRPr="0014330C">
              <w:rPr>
                <w:rFonts w:ascii="Times New Roman" w:eastAsia="Times New Roman" w:hAnsi="Times New Roman" w:cs="Times New Roman"/>
                <w:i/>
                <w:iCs/>
                <w:color w:val="000000"/>
                <w:sz w:val="20"/>
                <w:szCs w:val="20"/>
                <w:vertAlign w:val="superscript"/>
                <w:lang w:eastAsia="da-DK"/>
              </w:rPr>
              <w:t>a</w:t>
            </w:r>
            <w:proofErr w:type="spellEnd"/>
          </w:p>
        </w:tc>
        <w:tc>
          <w:tcPr>
            <w:tcW w:w="401" w:type="pct"/>
            <w:tcBorders>
              <w:top w:val="nil"/>
              <w:left w:val="nil"/>
              <w:bottom w:val="single" w:sz="4" w:space="0" w:color="auto"/>
              <w:right w:val="single" w:sz="4" w:space="0" w:color="auto"/>
            </w:tcBorders>
            <w:shd w:val="clear" w:color="000000" w:fill="FFFFFF"/>
            <w:noWrap/>
            <w:vAlign w:val="bottom"/>
            <w:hideMark/>
          </w:tcPr>
          <w:p w14:paraId="0FA737A5"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0</w:t>
            </w:r>
          </w:p>
        </w:tc>
        <w:tc>
          <w:tcPr>
            <w:tcW w:w="401" w:type="pct"/>
            <w:tcBorders>
              <w:top w:val="nil"/>
              <w:left w:val="nil"/>
              <w:bottom w:val="single" w:sz="4" w:space="0" w:color="auto"/>
              <w:right w:val="single" w:sz="4" w:space="0" w:color="auto"/>
            </w:tcBorders>
            <w:shd w:val="clear" w:color="000000" w:fill="FFFFFF"/>
            <w:noWrap/>
            <w:vAlign w:val="bottom"/>
            <w:hideMark/>
          </w:tcPr>
          <w:p w14:paraId="1D0E5EE7"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0</w:t>
            </w:r>
          </w:p>
        </w:tc>
        <w:tc>
          <w:tcPr>
            <w:tcW w:w="401" w:type="pct"/>
            <w:tcBorders>
              <w:top w:val="nil"/>
              <w:left w:val="nil"/>
              <w:bottom w:val="single" w:sz="4" w:space="0" w:color="auto"/>
              <w:right w:val="single" w:sz="4" w:space="0" w:color="auto"/>
            </w:tcBorders>
            <w:shd w:val="clear" w:color="000000" w:fill="FFFFFF"/>
            <w:noWrap/>
            <w:vAlign w:val="bottom"/>
            <w:hideMark/>
          </w:tcPr>
          <w:p w14:paraId="4B5B92F8"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0</w:t>
            </w:r>
          </w:p>
        </w:tc>
        <w:tc>
          <w:tcPr>
            <w:tcW w:w="401" w:type="pct"/>
            <w:tcBorders>
              <w:top w:val="nil"/>
              <w:left w:val="nil"/>
              <w:bottom w:val="single" w:sz="4" w:space="0" w:color="auto"/>
              <w:right w:val="single" w:sz="4" w:space="0" w:color="auto"/>
            </w:tcBorders>
            <w:shd w:val="clear" w:color="000000" w:fill="FFFFFF"/>
            <w:noWrap/>
            <w:vAlign w:val="bottom"/>
            <w:hideMark/>
          </w:tcPr>
          <w:p w14:paraId="1321FFC6"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7.000</w:t>
            </w:r>
          </w:p>
        </w:tc>
        <w:tc>
          <w:tcPr>
            <w:tcW w:w="401" w:type="pct"/>
            <w:tcBorders>
              <w:top w:val="nil"/>
              <w:left w:val="nil"/>
              <w:bottom w:val="single" w:sz="4" w:space="0" w:color="auto"/>
              <w:right w:val="single" w:sz="4" w:space="0" w:color="auto"/>
            </w:tcBorders>
            <w:shd w:val="clear" w:color="000000" w:fill="FFFFFF"/>
            <w:noWrap/>
            <w:vAlign w:val="bottom"/>
            <w:hideMark/>
          </w:tcPr>
          <w:p w14:paraId="1A5E13F1"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5.000</w:t>
            </w:r>
          </w:p>
        </w:tc>
        <w:tc>
          <w:tcPr>
            <w:tcW w:w="401" w:type="pct"/>
            <w:tcBorders>
              <w:top w:val="nil"/>
              <w:left w:val="nil"/>
              <w:bottom w:val="single" w:sz="4" w:space="0" w:color="auto"/>
              <w:right w:val="single" w:sz="4" w:space="0" w:color="auto"/>
            </w:tcBorders>
            <w:shd w:val="clear" w:color="000000" w:fill="FFFFFF"/>
            <w:noWrap/>
            <w:vAlign w:val="bottom"/>
            <w:hideMark/>
          </w:tcPr>
          <w:p w14:paraId="262FC331"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5.000</w:t>
            </w:r>
          </w:p>
        </w:tc>
        <w:tc>
          <w:tcPr>
            <w:tcW w:w="401" w:type="pct"/>
            <w:tcBorders>
              <w:top w:val="nil"/>
              <w:left w:val="nil"/>
              <w:bottom w:val="single" w:sz="4" w:space="0" w:color="auto"/>
              <w:right w:val="single" w:sz="4" w:space="0" w:color="auto"/>
            </w:tcBorders>
            <w:shd w:val="clear" w:color="000000" w:fill="FFFFFF"/>
            <w:noWrap/>
            <w:vAlign w:val="bottom"/>
            <w:hideMark/>
          </w:tcPr>
          <w:p w14:paraId="116002F3"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5.000</w:t>
            </w:r>
          </w:p>
        </w:tc>
        <w:tc>
          <w:tcPr>
            <w:tcW w:w="401" w:type="pct"/>
            <w:tcBorders>
              <w:top w:val="nil"/>
              <w:left w:val="nil"/>
              <w:bottom w:val="single" w:sz="4" w:space="0" w:color="auto"/>
              <w:right w:val="single" w:sz="4" w:space="0" w:color="auto"/>
            </w:tcBorders>
            <w:shd w:val="clear" w:color="000000" w:fill="FFFFFF"/>
            <w:noWrap/>
            <w:vAlign w:val="bottom"/>
            <w:hideMark/>
          </w:tcPr>
          <w:p w14:paraId="2B5DD715"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2.200</w:t>
            </w:r>
          </w:p>
        </w:tc>
        <w:tc>
          <w:tcPr>
            <w:tcW w:w="401" w:type="pct"/>
            <w:tcBorders>
              <w:top w:val="nil"/>
              <w:left w:val="nil"/>
              <w:bottom w:val="single" w:sz="4" w:space="0" w:color="auto"/>
              <w:right w:val="single" w:sz="4" w:space="0" w:color="auto"/>
            </w:tcBorders>
            <w:shd w:val="clear" w:color="000000" w:fill="FFFFFF"/>
            <w:noWrap/>
            <w:vAlign w:val="bottom"/>
            <w:hideMark/>
          </w:tcPr>
          <w:p w14:paraId="4A10F9F3"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0</w:t>
            </w:r>
          </w:p>
        </w:tc>
        <w:tc>
          <w:tcPr>
            <w:tcW w:w="401" w:type="pct"/>
            <w:tcBorders>
              <w:top w:val="nil"/>
              <w:left w:val="nil"/>
              <w:bottom w:val="single" w:sz="4" w:space="0" w:color="auto"/>
              <w:right w:val="single" w:sz="4" w:space="0" w:color="auto"/>
            </w:tcBorders>
            <w:shd w:val="clear" w:color="000000" w:fill="FFFFFF"/>
            <w:noWrap/>
            <w:vAlign w:val="bottom"/>
            <w:hideMark/>
          </w:tcPr>
          <w:p w14:paraId="0851B766"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0</w:t>
            </w:r>
          </w:p>
        </w:tc>
      </w:tr>
      <w:tr w:rsidR="0014330C" w:rsidRPr="0014330C" w14:paraId="689321D0"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7EB887F1" w14:textId="77777777" w:rsidR="0014330C" w:rsidRPr="0014330C" w:rsidRDefault="0014330C" w:rsidP="0014330C">
            <w:pPr>
              <w:spacing w:after="0" w:line="240" w:lineRule="auto"/>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 xml:space="preserve">  </w:t>
            </w:r>
            <w:proofErr w:type="spellStart"/>
            <w:r w:rsidRPr="0014330C">
              <w:rPr>
                <w:rFonts w:ascii="Times New Roman" w:eastAsia="Times New Roman" w:hAnsi="Times New Roman" w:cs="Times New Roman"/>
                <w:i/>
                <w:iCs/>
                <w:color w:val="000000"/>
                <w:sz w:val="20"/>
                <w:szCs w:val="20"/>
                <w:lang w:eastAsia="da-DK"/>
              </w:rPr>
              <w:t>Syd-Vest</w:t>
            </w:r>
            <w:proofErr w:type="spellEnd"/>
            <w:r w:rsidRPr="0014330C">
              <w:rPr>
                <w:rFonts w:ascii="Times New Roman" w:eastAsia="Times New Roman" w:hAnsi="Times New Roman" w:cs="Times New Roman"/>
                <w:i/>
                <w:iCs/>
                <w:color w:val="000000"/>
                <w:sz w:val="20"/>
                <w:szCs w:val="20"/>
                <w:lang w:eastAsia="da-DK"/>
              </w:rPr>
              <w:t>/Øst</w:t>
            </w:r>
          </w:p>
        </w:tc>
        <w:tc>
          <w:tcPr>
            <w:tcW w:w="401" w:type="pct"/>
            <w:tcBorders>
              <w:top w:val="nil"/>
              <w:left w:val="nil"/>
              <w:bottom w:val="single" w:sz="4" w:space="0" w:color="auto"/>
              <w:right w:val="single" w:sz="4" w:space="0" w:color="auto"/>
            </w:tcBorders>
            <w:shd w:val="clear" w:color="000000" w:fill="FFFFFF"/>
            <w:noWrap/>
            <w:vAlign w:val="bottom"/>
            <w:hideMark/>
          </w:tcPr>
          <w:p w14:paraId="08441487"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2.500</w:t>
            </w:r>
          </w:p>
        </w:tc>
        <w:tc>
          <w:tcPr>
            <w:tcW w:w="401" w:type="pct"/>
            <w:tcBorders>
              <w:top w:val="nil"/>
              <w:left w:val="nil"/>
              <w:bottom w:val="single" w:sz="4" w:space="0" w:color="auto"/>
              <w:right w:val="single" w:sz="4" w:space="0" w:color="auto"/>
            </w:tcBorders>
            <w:shd w:val="clear" w:color="000000" w:fill="FFFFFF"/>
            <w:noWrap/>
            <w:vAlign w:val="bottom"/>
            <w:hideMark/>
          </w:tcPr>
          <w:p w14:paraId="36D428C7"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3.550</w:t>
            </w:r>
          </w:p>
        </w:tc>
        <w:tc>
          <w:tcPr>
            <w:tcW w:w="401" w:type="pct"/>
            <w:tcBorders>
              <w:top w:val="nil"/>
              <w:left w:val="nil"/>
              <w:bottom w:val="single" w:sz="4" w:space="0" w:color="auto"/>
              <w:right w:val="single" w:sz="4" w:space="0" w:color="auto"/>
            </w:tcBorders>
            <w:shd w:val="clear" w:color="000000" w:fill="FFFFFF"/>
            <w:noWrap/>
            <w:vAlign w:val="bottom"/>
            <w:hideMark/>
          </w:tcPr>
          <w:p w14:paraId="042D3ACE"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6.245</w:t>
            </w:r>
          </w:p>
        </w:tc>
        <w:tc>
          <w:tcPr>
            <w:tcW w:w="401" w:type="pct"/>
            <w:tcBorders>
              <w:top w:val="nil"/>
              <w:left w:val="nil"/>
              <w:bottom w:val="single" w:sz="4" w:space="0" w:color="auto"/>
              <w:right w:val="single" w:sz="4" w:space="0" w:color="auto"/>
            </w:tcBorders>
            <w:shd w:val="clear" w:color="000000" w:fill="FFFFFF"/>
            <w:noWrap/>
            <w:vAlign w:val="bottom"/>
            <w:hideMark/>
          </w:tcPr>
          <w:p w14:paraId="5635A283"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11.195</w:t>
            </w:r>
          </w:p>
        </w:tc>
        <w:tc>
          <w:tcPr>
            <w:tcW w:w="401" w:type="pct"/>
            <w:tcBorders>
              <w:top w:val="nil"/>
              <w:left w:val="nil"/>
              <w:bottom w:val="single" w:sz="4" w:space="0" w:color="auto"/>
              <w:right w:val="single" w:sz="4" w:space="0" w:color="auto"/>
            </w:tcBorders>
            <w:shd w:val="clear" w:color="000000" w:fill="FFFFFF"/>
            <w:noWrap/>
            <w:vAlign w:val="bottom"/>
            <w:hideMark/>
          </w:tcPr>
          <w:p w14:paraId="62A865D6"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11.875</w:t>
            </w:r>
          </w:p>
        </w:tc>
        <w:tc>
          <w:tcPr>
            <w:tcW w:w="401" w:type="pct"/>
            <w:tcBorders>
              <w:top w:val="nil"/>
              <w:left w:val="nil"/>
              <w:bottom w:val="single" w:sz="4" w:space="0" w:color="auto"/>
              <w:right w:val="single" w:sz="4" w:space="0" w:color="auto"/>
            </w:tcBorders>
            <w:shd w:val="clear" w:color="000000" w:fill="FFFFFF"/>
            <w:noWrap/>
            <w:vAlign w:val="bottom"/>
            <w:hideMark/>
          </w:tcPr>
          <w:p w14:paraId="7157B24F"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11.375</w:t>
            </w:r>
          </w:p>
        </w:tc>
        <w:tc>
          <w:tcPr>
            <w:tcW w:w="401" w:type="pct"/>
            <w:tcBorders>
              <w:top w:val="nil"/>
              <w:left w:val="nil"/>
              <w:bottom w:val="single" w:sz="4" w:space="0" w:color="auto"/>
              <w:right w:val="single" w:sz="4" w:space="0" w:color="auto"/>
            </w:tcBorders>
            <w:shd w:val="clear" w:color="000000" w:fill="FFFFFF"/>
            <w:noWrap/>
            <w:vAlign w:val="bottom"/>
            <w:hideMark/>
          </w:tcPr>
          <w:p w14:paraId="4C606C4C"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11.275</w:t>
            </w:r>
          </w:p>
        </w:tc>
        <w:tc>
          <w:tcPr>
            <w:tcW w:w="401" w:type="pct"/>
            <w:tcBorders>
              <w:top w:val="nil"/>
              <w:left w:val="nil"/>
              <w:bottom w:val="single" w:sz="4" w:space="0" w:color="auto"/>
              <w:right w:val="single" w:sz="4" w:space="0" w:color="auto"/>
            </w:tcBorders>
            <w:shd w:val="clear" w:color="000000" w:fill="FFFFFF"/>
            <w:noWrap/>
            <w:vAlign w:val="bottom"/>
            <w:hideMark/>
          </w:tcPr>
          <w:p w14:paraId="2A277328"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15.475</w:t>
            </w:r>
          </w:p>
        </w:tc>
        <w:tc>
          <w:tcPr>
            <w:tcW w:w="401" w:type="pct"/>
            <w:tcBorders>
              <w:top w:val="nil"/>
              <w:left w:val="nil"/>
              <w:bottom w:val="single" w:sz="4" w:space="0" w:color="auto"/>
              <w:right w:val="single" w:sz="4" w:space="0" w:color="auto"/>
            </w:tcBorders>
            <w:shd w:val="clear" w:color="000000" w:fill="FFFFFF"/>
            <w:noWrap/>
            <w:vAlign w:val="bottom"/>
            <w:hideMark/>
          </w:tcPr>
          <w:p w14:paraId="46798D50"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14.024</w:t>
            </w:r>
          </w:p>
        </w:tc>
        <w:tc>
          <w:tcPr>
            <w:tcW w:w="401" w:type="pct"/>
            <w:tcBorders>
              <w:top w:val="nil"/>
              <w:left w:val="nil"/>
              <w:bottom w:val="single" w:sz="4" w:space="0" w:color="auto"/>
              <w:right w:val="single" w:sz="4" w:space="0" w:color="auto"/>
            </w:tcBorders>
            <w:shd w:val="clear" w:color="000000" w:fill="FFFFFF"/>
            <w:noWrap/>
            <w:vAlign w:val="bottom"/>
            <w:hideMark/>
          </w:tcPr>
          <w:p w14:paraId="402F105A" w14:textId="77777777" w:rsidR="0014330C" w:rsidRPr="0014330C" w:rsidRDefault="0014330C" w:rsidP="0014330C">
            <w:pPr>
              <w:spacing w:after="0" w:line="240" w:lineRule="auto"/>
              <w:jc w:val="right"/>
              <w:rPr>
                <w:rFonts w:ascii="Times New Roman" w:eastAsia="Times New Roman" w:hAnsi="Times New Roman" w:cs="Times New Roman"/>
                <w:i/>
                <w:iCs/>
                <w:color w:val="000000"/>
                <w:sz w:val="20"/>
                <w:szCs w:val="20"/>
                <w:lang w:eastAsia="da-DK"/>
              </w:rPr>
            </w:pPr>
            <w:r w:rsidRPr="0014330C">
              <w:rPr>
                <w:rFonts w:ascii="Times New Roman" w:eastAsia="Times New Roman" w:hAnsi="Times New Roman" w:cs="Times New Roman"/>
                <w:i/>
                <w:iCs/>
                <w:color w:val="000000"/>
                <w:sz w:val="20"/>
                <w:szCs w:val="20"/>
                <w:lang w:eastAsia="da-DK"/>
              </w:rPr>
              <w:t>20.291</w:t>
            </w:r>
          </w:p>
        </w:tc>
      </w:tr>
      <w:tr w:rsidR="0014330C" w:rsidRPr="0014330C" w14:paraId="240FB27F"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6F850F96"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Rødfisk - Øst</w:t>
            </w:r>
          </w:p>
        </w:tc>
        <w:tc>
          <w:tcPr>
            <w:tcW w:w="401" w:type="pct"/>
            <w:tcBorders>
              <w:top w:val="nil"/>
              <w:left w:val="nil"/>
              <w:bottom w:val="single" w:sz="4" w:space="0" w:color="auto"/>
              <w:right w:val="single" w:sz="4" w:space="0" w:color="auto"/>
            </w:tcBorders>
            <w:shd w:val="clear" w:color="000000" w:fill="FFFFFF"/>
            <w:noWrap/>
            <w:vAlign w:val="bottom"/>
            <w:hideMark/>
          </w:tcPr>
          <w:p w14:paraId="5EB3E454"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6.300</w:t>
            </w:r>
          </w:p>
        </w:tc>
        <w:tc>
          <w:tcPr>
            <w:tcW w:w="401" w:type="pct"/>
            <w:tcBorders>
              <w:top w:val="nil"/>
              <w:left w:val="nil"/>
              <w:bottom w:val="single" w:sz="4" w:space="0" w:color="auto"/>
              <w:right w:val="single" w:sz="4" w:space="0" w:color="auto"/>
            </w:tcBorders>
            <w:shd w:val="clear" w:color="000000" w:fill="FFFFFF"/>
            <w:noWrap/>
            <w:vAlign w:val="bottom"/>
            <w:hideMark/>
          </w:tcPr>
          <w:p w14:paraId="364B47A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6.100</w:t>
            </w:r>
          </w:p>
        </w:tc>
        <w:tc>
          <w:tcPr>
            <w:tcW w:w="401" w:type="pct"/>
            <w:tcBorders>
              <w:top w:val="nil"/>
              <w:left w:val="nil"/>
              <w:bottom w:val="single" w:sz="4" w:space="0" w:color="auto"/>
              <w:right w:val="single" w:sz="4" w:space="0" w:color="auto"/>
            </w:tcBorders>
            <w:shd w:val="clear" w:color="000000" w:fill="FFFFFF"/>
            <w:noWrap/>
            <w:vAlign w:val="bottom"/>
            <w:hideMark/>
          </w:tcPr>
          <w:p w14:paraId="0108A30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5.900</w:t>
            </w:r>
          </w:p>
        </w:tc>
        <w:tc>
          <w:tcPr>
            <w:tcW w:w="401" w:type="pct"/>
            <w:tcBorders>
              <w:top w:val="nil"/>
              <w:left w:val="nil"/>
              <w:bottom w:val="single" w:sz="4" w:space="0" w:color="auto"/>
              <w:right w:val="single" w:sz="4" w:space="0" w:color="auto"/>
            </w:tcBorders>
            <w:shd w:val="clear" w:color="000000" w:fill="FFFFFF"/>
            <w:noWrap/>
            <w:vAlign w:val="bottom"/>
            <w:hideMark/>
          </w:tcPr>
          <w:p w14:paraId="43639A8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5.200</w:t>
            </w:r>
          </w:p>
        </w:tc>
        <w:tc>
          <w:tcPr>
            <w:tcW w:w="401" w:type="pct"/>
            <w:tcBorders>
              <w:top w:val="nil"/>
              <w:left w:val="nil"/>
              <w:bottom w:val="single" w:sz="4" w:space="0" w:color="auto"/>
              <w:right w:val="single" w:sz="4" w:space="0" w:color="auto"/>
            </w:tcBorders>
            <w:shd w:val="clear" w:color="000000" w:fill="FFFFFF"/>
            <w:noWrap/>
            <w:vAlign w:val="bottom"/>
            <w:hideMark/>
          </w:tcPr>
          <w:p w14:paraId="5F2B724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5.500</w:t>
            </w:r>
          </w:p>
        </w:tc>
        <w:tc>
          <w:tcPr>
            <w:tcW w:w="401" w:type="pct"/>
            <w:tcBorders>
              <w:top w:val="nil"/>
              <w:left w:val="nil"/>
              <w:bottom w:val="single" w:sz="4" w:space="0" w:color="auto"/>
              <w:right w:val="single" w:sz="4" w:space="0" w:color="auto"/>
            </w:tcBorders>
            <w:shd w:val="clear" w:color="000000" w:fill="FFFFFF"/>
            <w:noWrap/>
            <w:vAlign w:val="bottom"/>
            <w:hideMark/>
          </w:tcPr>
          <w:p w14:paraId="20CCC9B1"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4.620</w:t>
            </w:r>
          </w:p>
        </w:tc>
        <w:tc>
          <w:tcPr>
            <w:tcW w:w="401" w:type="pct"/>
            <w:tcBorders>
              <w:top w:val="nil"/>
              <w:left w:val="nil"/>
              <w:bottom w:val="single" w:sz="4" w:space="0" w:color="auto"/>
              <w:right w:val="single" w:sz="4" w:space="0" w:color="auto"/>
            </w:tcBorders>
            <w:shd w:val="clear" w:color="000000" w:fill="FFFFFF"/>
            <w:noWrap/>
            <w:vAlign w:val="bottom"/>
            <w:hideMark/>
          </w:tcPr>
          <w:p w14:paraId="6B625D58"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3.122</w:t>
            </w:r>
          </w:p>
        </w:tc>
        <w:tc>
          <w:tcPr>
            <w:tcW w:w="401" w:type="pct"/>
            <w:tcBorders>
              <w:top w:val="nil"/>
              <w:left w:val="nil"/>
              <w:bottom w:val="single" w:sz="4" w:space="0" w:color="auto"/>
              <w:right w:val="single" w:sz="4" w:space="0" w:color="auto"/>
            </w:tcBorders>
            <w:shd w:val="clear" w:color="000000" w:fill="FFFFFF"/>
            <w:noWrap/>
            <w:vAlign w:val="bottom"/>
            <w:hideMark/>
          </w:tcPr>
          <w:p w14:paraId="37A3F53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1.974</w:t>
            </w:r>
          </w:p>
        </w:tc>
        <w:tc>
          <w:tcPr>
            <w:tcW w:w="401" w:type="pct"/>
            <w:tcBorders>
              <w:top w:val="nil"/>
              <w:left w:val="nil"/>
              <w:bottom w:val="single" w:sz="4" w:space="0" w:color="auto"/>
              <w:right w:val="single" w:sz="4" w:space="0" w:color="auto"/>
            </w:tcBorders>
            <w:shd w:val="clear" w:color="000000" w:fill="FFFFFF"/>
            <w:noWrap/>
            <w:vAlign w:val="bottom"/>
            <w:hideMark/>
          </w:tcPr>
          <w:p w14:paraId="280285AA"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1.971</w:t>
            </w:r>
          </w:p>
        </w:tc>
        <w:tc>
          <w:tcPr>
            <w:tcW w:w="401" w:type="pct"/>
            <w:tcBorders>
              <w:top w:val="nil"/>
              <w:left w:val="nil"/>
              <w:bottom w:val="single" w:sz="4" w:space="0" w:color="auto"/>
              <w:right w:val="single" w:sz="4" w:space="0" w:color="auto"/>
            </w:tcBorders>
            <w:shd w:val="clear" w:color="000000" w:fill="FFFFFF"/>
            <w:noWrap/>
            <w:vAlign w:val="bottom"/>
            <w:hideMark/>
          </w:tcPr>
          <w:p w14:paraId="03CE7FF6"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1.448</w:t>
            </w:r>
          </w:p>
        </w:tc>
      </w:tr>
      <w:tr w:rsidR="0014330C" w:rsidRPr="0014330C" w14:paraId="356A740B" w14:textId="77777777" w:rsidTr="00AE39D5">
        <w:trPr>
          <w:trHeight w:val="255"/>
        </w:trPr>
        <w:tc>
          <w:tcPr>
            <w:tcW w:w="992" w:type="pct"/>
            <w:tcBorders>
              <w:top w:val="nil"/>
              <w:left w:val="single" w:sz="4" w:space="0" w:color="auto"/>
              <w:bottom w:val="nil"/>
              <w:right w:val="single" w:sz="4" w:space="0" w:color="auto"/>
            </w:tcBorders>
            <w:shd w:val="clear" w:color="000000" w:fill="FFFFFF"/>
            <w:noWrap/>
            <w:vAlign w:val="bottom"/>
            <w:hideMark/>
          </w:tcPr>
          <w:p w14:paraId="093F7979"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Brosme - Øst</w:t>
            </w:r>
          </w:p>
        </w:tc>
        <w:tc>
          <w:tcPr>
            <w:tcW w:w="401" w:type="pct"/>
            <w:tcBorders>
              <w:top w:val="nil"/>
              <w:left w:val="nil"/>
              <w:bottom w:val="nil"/>
              <w:right w:val="single" w:sz="4" w:space="0" w:color="auto"/>
            </w:tcBorders>
            <w:shd w:val="clear" w:color="000000" w:fill="FFFFFF"/>
            <w:noWrap/>
            <w:vAlign w:val="bottom"/>
            <w:hideMark/>
          </w:tcPr>
          <w:p w14:paraId="6323C76F"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nil"/>
              <w:left w:val="nil"/>
              <w:bottom w:val="nil"/>
              <w:right w:val="single" w:sz="4" w:space="0" w:color="auto"/>
            </w:tcBorders>
            <w:shd w:val="clear" w:color="000000" w:fill="FFFFFF"/>
            <w:noWrap/>
            <w:vAlign w:val="bottom"/>
            <w:hideMark/>
          </w:tcPr>
          <w:p w14:paraId="6EA6DB2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nil"/>
              <w:left w:val="nil"/>
              <w:bottom w:val="nil"/>
              <w:right w:val="single" w:sz="4" w:space="0" w:color="auto"/>
            </w:tcBorders>
            <w:shd w:val="clear" w:color="000000" w:fill="FFFFFF"/>
            <w:noWrap/>
            <w:vAlign w:val="bottom"/>
            <w:hideMark/>
          </w:tcPr>
          <w:p w14:paraId="1232E56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nil"/>
              <w:left w:val="nil"/>
              <w:bottom w:val="nil"/>
              <w:right w:val="single" w:sz="4" w:space="0" w:color="auto"/>
            </w:tcBorders>
            <w:shd w:val="clear" w:color="000000" w:fill="FFFFFF"/>
            <w:noWrap/>
            <w:vAlign w:val="bottom"/>
            <w:hideMark/>
          </w:tcPr>
          <w:p w14:paraId="45975FB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 </w:t>
            </w:r>
          </w:p>
        </w:tc>
        <w:tc>
          <w:tcPr>
            <w:tcW w:w="401" w:type="pct"/>
            <w:tcBorders>
              <w:top w:val="nil"/>
              <w:left w:val="nil"/>
              <w:bottom w:val="nil"/>
              <w:right w:val="single" w:sz="4" w:space="0" w:color="auto"/>
            </w:tcBorders>
            <w:shd w:val="clear" w:color="000000" w:fill="FFFFFF"/>
            <w:noWrap/>
            <w:vAlign w:val="bottom"/>
            <w:hideMark/>
          </w:tcPr>
          <w:p w14:paraId="5B40756E"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1.825</w:t>
            </w:r>
          </w:p>
        </w:tc>
        <w:tc>
          <w:tcPr>
            <w:tcW w:w="401" w:type="pct"/>
            <w:tcBorders>
              <w:top w:val="nil"/>
              <w:left w:val="nil"/>
              <w:bottom w:val="nil"/>
              <w:right w:val="single" w:sz="4" w:space="0" w:color="auto"/>
            </w:tcBorders>
            <w:shd w:val="clear" w:color="000000" w:fill="FFFFFF"/>
            <w:noWrap/>
            <w:vAlign w:val="bottom"/>
            <w:hideMark/>
          </w:tcPr>
          <w:p w14:paraId="52E5D766"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1.625</w:t>
            </w:r>
          </w:p>
        </w:tc>
        <w:tc>
          <w:tcPr>
            <w:tcW w:w="401" w:type="pct"/>
            <w:tcBorders>
              <w:top w:val="nil"/>
              <w:left w:val="nil"/>
              <w:bottom w:val="nil"/>
              <w:right w:val="single" w:sz="4" w:space="0" w:color="auto"/>
            </w:tcBorders>
            <w:shd w:val="clear" w:color="000000" w:fill="FFFFFF"/>
            <w:noWrap/>
            <w:vAlign w:val="bottom"/>
            <w:hideMark/>
          </w:tcPr>
          <w:p w14:paraId="5685471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685</w:t>
            </w:r>
          </w:p>
        </w:tc>
        <w:tc>
          <w:tcPr>
            <w:tcW w:w="401" w:type="pct"/>
            <w:tcBorders>
              <w:top w:val="nil"/>
              <w:left w:val="nil"/>
              <w:bottom w:val="nil"/>
              <w:right w:val="single" w:sz="4" w:space="0" w:color="auto"/>
            </w:tcBorders>
            <w:shd w:val="clear" w:color="000000" w:fill="FFFFFF"/>
            <w:noWrap/>
            <w:vAlign w:val="bottom"/>
            <w:hideMark/>
          </w:tcPr>
          <w:p w14:paraId="5205DBF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685</w:t>
            </w:r>
          </w:p>
        </w:tc>
        <w:tc>
          <w:tcPr>
            <w:tcW w:w="401" w:type="pct"/>
            <w:tcBorders>
              <w:top w:val="nil"/>
              <w:left w:val="nil"/>
              <w:bottom w:val="nil"/>
              <w:right w:val="single" w:sz="4" w:space="0" w:color="auto"/>
            </w:tcBorders>
            <w:shd w:val="clear" w:color="000000" w:fill="FFFFFF"/>
            <w:noWrap/>
            <w:vAlign w:val="bottom"/>
            <w:hideMark/>
          </w:tcPr>
          <w:p w14:paraId="45D4173A"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685</w:t>
            </w:r>
          </w:p>
        </w:tc>
        <w:tc>
          <w:tcPr>
            <w:tcW w:w="401" w:type="pct"/>
            <w:tcBorders>
              <w:top w:val="nil"/>
              <w:left w:val="nil"/>
              <w:bottom w:val="nil"/>
              <w:right w:val="single" w:sz="4" w:space="0" w:color="auto"/>
            </w:tcBorders>
            <w:shd w:val="clear" w:color="000000" w:fill="FFFFFF"/>
            <w:noWrap/>
            <w:vAlign w:val="bottom"/>
            <w:hideMark/>
          </w:tcPr>
          <w:p w14:paraId="748BE20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685</w:t>
            </w:r>
          </w:p>
        </w:tc>
      </w:tr>
      <w:tr w:rsidR="0014330C" w:rsidRPr="0014330C" w14:paraId="2817365A" w14:textId="77777777" w:rsidTr="00AE39D5">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F293A6" w14:textId="77777777" w:rsidR="0014330C" w:rsidRPr="0014330C" w:rsidRDefault="0014330C" w:rsidP="0014330C">
            <w:pPr>
              <w:spacing w:after="0" w:line="240" w:lineRule="auto"/>
              <w:jc w:val="center"/>
              <w:rPr>
                <w:rFonts w:ascii="Times New Roman" w:eastAsia="Times New Roman" w:hAnsi="Times New Roman" w:cs="Times New Roman"/>
                <w:b/>
                <w:bCs/>
                <w:color w:val="000000"/>
                <w:sz w:val="20"/>
                <w:szCs w:val="20"/>
                <w:lang w:eastAsia="da-DK"/>
              </w:rPr>
            </w:pPr>
            <w:r w:rsidRPr="0014330C">
              <w:rPr>
                <w:rFonts w:ascii="Times New Roman" w:eastAsia="Times New Roman" w:hAnsi="Times New Roman" w:cs="Times New Roman"/>
                <w:b/>
                <w:bCs/>
                <w:color w:val="000000"/>
                <w:sz w:val="20"/>
                <w:szCs w:val="20"/>
                <w:lang w:eastAsia="da-DK"/>
              </w:rPr>
              <w:t>Barentshavet</w:t>
            </w:r>
          </w:p>
        </w:tc>
      </w:tr>
      <w:tr w:rsidR="0014330C" w:rsidRPr="0014330C" w14:paraId="5AA8C4CD"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1D8CD584"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Torsk</w:t>
            </w:r>
          </w:p>
        </w:tc>
        <w:tc>
          <w:tcPr>
            <w:tcW w:w="401" w:type="pct"/>
            <w:tcBorders>
              <w:top w:val="nil"/>
              <w:left w:val="nil"/>
              <w:bottom w:val="single" w:sz="4" w:space="0" w:color="auto"/>
              <w:right w:val="single" w:sz="4" w:space="0" w:color="auto"/>
            </w:tcBorders>
            <w:shd w:val="clear" w:color="000000" w:fill="FFFFFF"/>
            <w:noWrap/>
            <w:vAlign w:val="bottom"/>
            <w:hideMark/>
          </w:tcPr>
          <w:p w14:paraId="3EE7F2F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8.500</w:t>
            </w:r>
          </w:p>
        </w:tc>
        <w:tc>
          <w:tcPr>
            <w:tcW w:w="401" w:type="pct"/>
            <w:tcBorders>
              <w:top w:val="nil"/>
              <w:left w:val="nil"/>
              <w:bottom w:val="single" w:sz="4" w:space="0" w:color="auto"/>
              <w:right w:val="single" w:sz="4" w:space="0" w:color="auto"/>
            </w:tcBorders>
            <w:shd w:val="clear" w:color="000000" w:fill="FFFFFF"/>
            <w:noWrap/>
            <w:vAlign w:val="bottom"/>
            <w:hideMark/>
          </w:tcPr>
          <w:p w14:paraId="636172B4"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9.401</w:t>
            </w:r>
          </w:p>
        </w:tc>
        <w:tc>
          <w:tcPr>
            <w:tcW w:w="401" w:type="pct"/>
            <w:tcBorders>
              <w:top w:val="nil"/>
              <w:left w:val="nil"/>
              <w:bottom w:val="single" w:sz="4" w:space="0" w:color="auto"/>
              <w:right w:val="single" w:sz="4" w:space="0" w:color="auto"/>
            </w:tcBorders>
            <w:shd w:val="clear" w:color="000000" w:fill="FFFFFF"/>
            <w:noWrap/>
            <w:vAlign w:val="bottom"/>
            <w:hideMark/>
          </w:tcPr>
          <w:p w14:paraId="2C7A565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8.825</w:t>
            </w:r>
          </w:p>
        </w:tc>
        <w:tc>
          <w:tcPr>
            <w:tcW w:w="401" w:type="pct"/>
            <w:tcBorders>
              <w:top w:val="nil"/>
              <w:left w:val="nil"/>
              <w:bottom w:val="single" w:sz="4" w:space="0" w:color="auto"/>
              <w:right w:val="single" w:sz="4" w:space="0" w:color="auto"/>
            </w:tcBorders>
            <w:shd w:val="clear" w:color="000000" w:fill="FFFFFF"/>
            <w:noWrap/>
            <w:vAlign w:val="bottom"/>
            <w:hideMark/>
          </w:tcPr>
          <w:p w14:paraId="6C4EC6C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8.600</w:t>
            </w:r>
          </w:p>
        </w:tc>
        <w:tc>
          <w:tcPr>
            <w:tcW w:w="401" w:type="pct"/>
            <w:tcBorders>
              <w:top w:val="nil"/>
              <w:left w:val="nil"/>
              <w:bottom w:val="single" w:sz="4" w:space="0" w:color="auto"/>
              <w:right w:val="single" w:sz="4" w:space="0" w:color="auto"/>
            </w:tcBorders>
            <w:shd w:val="clear" w:color="000000" w:fill="FFFFFF"/>
            <w:noWrap/>
            <w:vAlign w:val="bottom"/>
            <w:hideMark/>
          </w:tcPr>
          <w:p w14:paraId="252CC092"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8.600</w:t>
            </w:r>
          </w:p>
        </w:tc>
        <w:tc>
          <w:tcPr>
            <w:tcW w:w="401" w:type="pct"/>
            <w:tcBorders>
              <w:top w:val="nil"/>
              <w:left w:val="nil"/>
              <w:bottom w:val="single" w:sz="4" w:space="0" w:color="auto"/>
              <w:right w:val="single" w:sz="4" w:space="0" w:color="auto"/>
            </w:tcBorders>
            <w:shd w:val="clear" w:color="000000" w:fill="FFFFFF"/>
            <w:noWrap/>
            <w:vAlign w:val="bottom"/>
            <w:hideMark/>
          </w:tcPr>
          <w:p w14:paraId="40E479AE"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8.750</w:t>
            </w:r>
          </w:p>
        </w:tc>
        <w:tc>
          <w:tcPr>
            <w:tcW w:w="401" w:type="pct"/>
            <w:tcBorders>
              <w:top w:val="nil"/>
              <w:left w:val="nil"/>
              <w:bottom w:val="single" w:sz="4" w:space="0" w:color="auto"/>
              <w:right w:val="single" w:sz="4" w:space="0" w:color="auto"/>
            </w:tcBorders>
            <w:shd w:val="clear" w:color="000000" w:fill="FFFFFF"/>
            <w:noWrap/>
            <w:vAlign w:val="bottom"/>
            <w:hideMark/>
          </w:tcPr>
          <w:p w14:paraId="181CDD7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8.450</w:t>
            </w:r>
          </w:p>
        </w:tc>
        <w:tc>
          <w:tcPr>
            <w:tcW w:w="401" w:type="pct"/>
            <w:tcBorders>
              <w:top w:val="nil"/>
              <w:left w:val="nil"/>
              <w:bottom w:val="single" w:sz="4" w:space="0" w:color="auto"/>
              <w:right w:val="single" w:sz="4" w:space="0" w:color="auto"/>
            </w:tcBorders>
            <w:shd w:val="clear" w:color="000000" w:fill="FFFFFF"/>
            <w:noWrap/>
            <w:vAlign w:val="bottom"/>
            <w:hideMark/>
          </w:tcPr>
          <w:p w14:paraId="26698649"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8.166</w:t>
            </w:r>
          </w:p>
        </w:tc>
        <w:tc>
          <w:tcPr>
            <w:tcW w:w="401" w:type="pct"/>
            <w:tcBorders>
              <w:top w:val="nil"/>
              <w:left w:val="nil"/>
              <w:bottom w:val="single" w:sz="4" w:space="0" w:color="auto"/>
              <w:right w:val="single" w:sz="4" w:space="0" w:color="auto"/>
            </w:tcBorders>
            <w:shd w:val="clear" w:color="000000" w:fill="FFFFFF"/>
            <w:noWrap/>
            <w:vAlign w:val="bottom"/>
            <w:hideMark/>
          </w:tcPr>
          <w:p w14:paraId="395166C0"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8.166</w:t>
            </w:r>
          </w:p>
        </w:tc>
        <w:tc>
          <w:tcPr>
            <w:tcW w:w="401" w:type="pct"/>
            <w:tcBorders>
              <w:top w:val="nil"/>
              <w:left w:val="nil"/>
              <w:bottom w:val="single" w:sz="4" w:space="0" w:color="auto"/>
              <w:right w:val="single" w:sz="4" w:space="0" w:color="auto"/>
            </w:tcBorders>
            <w:shd w:val="clear" w:color="000000" w:fill="FFFFFF"/>
            <w:noWrap/>
            <w:vAlign w:val="bottom"/>
            <w:hideMark/>
          </w:tcPr>
          <w:p w14:paraId="02DFB17D"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8.241</w:t>
            </w:r>
          </w:p>
        </w:tc>
      </w:tr>
      <w:tr w:rsidR="0014330C" w:rsidRPr="0014330C" w14:paraId="1C52516B"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1792D5C1"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Kuller</w:t>
            </w:r>
          </w:p>
        </w:tc>
        <w:tc>
          <w:tcPr>
            <w:tcW w:w="401" w:type="pct"/>
            <w:tcBorders>
              <w:top w:val="nil"/>
              <w:left w:val="nil"/>
              <w:bottom w:val="single" w:sz="4" w:space="0" w:color="auto"/>
              <w:right w:val="single" w:sz="4" w:space="0" w:color="auto"/>
            </w:tcBorders>
            <w:shd w:val="clear" w:color="000000" w:fill="FFFFFF"/>
            <w:noWrap/>
            <w:vAlign w:val="bottom"/>
            <w:hideMark/>
          </w:tcPr>
          <w:p w14:paraId="771EF918"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2.550</w:t>
            </w:r>
          </w:p>
        </w:tc>
        <w:tc>
          <w:tcPr>
            <w:tcW w:w="401" w:type="pct"/>
            <w:tcBorders>
              <w:top w:val="nil"/>
              <w:left w:val="nil"/>
              <w:bottom w:val="single" w:sz="4" w:space="0" w:color="auto"/>
              <w:right w:val="single" w:sz="4" w:space="0" w:color="auto"/>
            </w:tcBorders>
            <w:shd w:val="clear" w:color="000000" w:fill="FFFFFF"/>
            <w:noWrap/>
            <w:vAlign w:val="bottom"/>
            <w:hideMark/>
          </w:tcPr>
          <w:p w14:paraId="7A46FF7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1.580</w:t>
            </w:r>
          </w:p>
        </w:tc>
        <w:tc>
          <w:tcPr>
            <w:tcW w:w="401" w:type="pct"/>
            <w:tcBorders>
              <w:top w:val="nil"/>
              <w:left w:val="nil"/>
              <w:bottom w:val="single" w:sz="4" w:space="0" w:color="auto"/>
              <w:right w:val="single" w:sz="4" w:space="0" w:color="auto"/>
            </w:tcBorders>
            <w:shd w:val="clear" w:color="000000" w:fill="FFFFFF"/>
            <w:noWrap/>
            <w:vAlign w:val="bottom"/>
            <w:hideMark/>
          </w:tcPr>
          <w:p w14:paraId="10C3218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1.400</w:t>
            </w:r>
          </w:p>
        </w:tc>
        <w:tc>
          <w:tcPr>
            <w:tcW w:w="401" w:type="pct"/>
            <w:tcBorders>
              <w:top w:val="nil"/>
              <w:left w:val="nil"/>
              <w:bottom w:val="single" w:sz="4" w:space="0" w:color="auto"/>
              <w:right w:val="single" w:sz="4" w:space="0" w:color="auto"/>
            </w:tcBorders>
            <w:shd w:val="clear" w:color="000000" w:fill="FFFFFF"/>
            <w:noWrap/>
            <w:vAlign w:val="bottom"/>
            <w:hideMark/>
          </w:tcPr>
          <w:p w14:paraId="28E9A21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1.400</w:t>
            </w:r>
          </w:p>
        </w:tc>
        <w:tc>
          <w:tcPr>
            <w:tcW w:w="401" w:type="pct"/>
            <w:tcBorders>
              <w:top w:val="nil"/>
              <w:left w:val="nil"/>
              <w:bottom w:val="single" w:sz="4" w:space="0" w:color="auto"/>
              <w:right w:val="single" w:sz="4" w:space="0" w:color="auto"/>
            </w:tcBorders>
            <w:shd w:val="clear" w:color="000000" w:fill="FFFFFF"/>
            <w:noWrap/>
            <w:vAlign w:val="bottom"/>
            <w:hideMark/>
          </w:tcPr>
          <w:p w14:paraId="25FC1DB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1.400</w:t>
            </w:r>
          </w:p>
        </w:tc>
        <w:tc>
          <w:tcPr>
            <w:tcW w:w="401" w:type="pct"/>
            <w:tcBorders>
              <w:top w:val="nil"/>
              <w:left w:val="nil"/>
              <w:bottom w:val="single" w:sz="4" w:space="0" w:color="auto"/>
              <w:right w:val="single" w:sz="4" w:space="0" w:color="auto"/>
            </w:tcBorders>
            <w:shd w:val="clear" w:color="000000" w:fill="FFFFFF"/>
            <w:noWrap/>
            <w:vAlign w:val="bottom"/>
            <w:hideMark/>
          </w:tcPr>
          <w:p w14:paraId="540D4C7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1.400</w:t>
            </w:r>
          </w:p>
        </w:tc>
        <w:tc>
          <w:tcPr>
            <w:tcW w:w="401" w:type="pct"/>
            <w:tcBorders>
              <w:top w:val="nil"/>
              <w:left w:val="nil"/>
              <w:bottom w:val="single" w:sz="4" w:space="0" w:color="auto"/>
              <w:right w:val="single" w:sz="4" w:space="0" w:color="auto"/>
            </w:tcBorders>
            <w:shd w:val="clear" w:color="000000" w:fill="FFFFFF"/>
            <w:noWrap/>
            <w:vAlign w:val="bottom"/>
            <w:hideMark/>
          </w:tcPr>
          <w:p w14:paraId="1D3AB67D"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1.450</w:t>
            </w:r>
          </w:p>
        </w:tc>
        <w:tc>
          <w:tcPr>
            <w:tcW w:w="401" w:type="pct"/>
            <w:tcBorders>
              <w:top w:val="nil"/>
              <w:left w:val="nil"/>
              <w:bottom w:val="single" w:sz="4" w:space="0" w:color="auto"/>
              <w:right w:val="single" w:sz="4" w:space="0" w:color="auto"/>
            </w:tcBorders>
            <w:shd w:val="clear" w:color="000000" w:fill="FFFFFF"/>
            <w:noWrap/>
            <w:vAlign w:val="bottom"/>
            <w:hideMark/>
          </w:tcPr>
          <w:p w14:paraId="7077A3A9"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1.503</w:t>
            </w:r>
          </w:p>
        </w:tc>
        <w:tc>
          <w:tcPr>
            <w:tcW w:w="401" w:type="pct"/>
            <w:tcBorders>
              <w:top w:val="nil"/>
              <w:left w:val="nil"/>
              <w:bottom w:val="single" w:sz="4" w:space="0" w:color="auto"/>
              <w:right w:val="single" w:sz="4" w:space="0" w:color="auto"/>
            </w:tcBorders>
            <w:shd w:val="clear" w:color="000000" w:fill="FFFFFF"/>
            <w:noWrap/>
            <w:vAlign w:val="bottom"/>
            <w:hideMark/>
          </w:tcPr>
          <w:p w14:paraId="38CE8AD3"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1.330</w:t>
            </w:r>
          </w:p>
        </w:tc>
        <w:tc>
          <w:tcPr>
            <w:tcW w:w="401" w:type="pct"/>
            <w:tcBorders>
              <w:top w:val="nil"/>
              <w:left w:val="nil"/>
              <w:bottom w:val="single" w:sz="4" w:space="0" w:color="auto"/>
              <w:right w:val="single" w:sz="4" w:space="0" w:color="auto"/>
            </w:tcBorders>
            <w:shd w:val="clear" w:color="000000" w:fill="FFFFFF"/>
            <w:noWrap/>
            <w:vAlign w:val="bottom"/>
            <w:hideMark/>
          </w:tcPr>
          <w:p w14:paraId="66B08104"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1.229</w:t>
            </w:r>
          </w:p>
        </w:tc>
      </w:tr>
      <w:tr w:rsidR="0014330C" w:rsidRPr="0014330C" w14:paraId="00AC7FBF" w14:textId="77777777"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14:paraId="1D0A3CFB" w14:textId="77777777" w:rsidR="0014330C" w:rsidRPr="0014330C" w:rsidRDefault="0014330C" w:rsidP="0014330C">
            <w:pPr>
              <w:spacing w:after="0" w:line="240" w:lineRule="auto"/>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Sej</w:t>
            </w:r>
          </w:p>
        </w:tc>
        <w:tc>
          <w:tcPr>
            <w:tcW w:w="401" w:type="pct"/>
            <w:tcBorders>
              <w:top w:val="nil"/>
              <w:left w:val="nil"/>
              <w:bottom w:val="single" w:sz="4" w:space="0" w:color="auto"/>
              <w:right w:val="single" w:sz="4" w:space="0" w:color="auto"/>
            </w:tcBorders>
            <w:shd w:val="clear" w:color="000000" w:fill="FFFFFF"/>
            <w:noWrap/>
            <w:vAlign w:val="bottom"/>
            <w:hideMark/>
          </w:tcPr>
          <w:p w14:paraId="2CD22B1F"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1.000</w:t>
            </w:r>
          </w:p>
        </w:tc>
        <w:tc>
          <w:tcPr>
            <w:tcW w:w="401" w:type="pct"/>
            <w:tcBorders>
              <w:top w:val="nil"/>
              <w:left w:val="nil"/>
              <w:bottom w:val="single" w:sz="4" w:space="0" w:color="auto"/>
              <w:right w:val="single" w:sz="4" w:space="0" w:color="auto"/>
            </w:tcBorders>
            <w:shd w:val="clear" w:color="000000" w:fill="FFFFFF"/>
            <w:noWrap/>
            <w:vAlign w:val="bottom"/>
            <w:hideMark/>
          </w:tcPr>
          <w:p w14:paraId="15CD181C"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1.000</w:t>
            </w:r>
          </w:p>
        </w:tc>
        <w:tc>
          <w:tcPr>
            <w:tcW w:w="401" w:type="pct"/>
            <w:tcBorders>
              <w:top w:val="nil"/>
              <w:left w:val="nil"/>
              <w:bottom w:val="single" w:sz="4" w:space="0" w:color="auto"/>
              <w:right w:val="single" w:sz="4" w:space="0" w:color="auto"/>
            </w:tcBorders>
            <w:shd w:val="clear" w:color="000000" w:fill="FFFFFF"/>
            <w:noWrap/>
            <w:vAlign w:val="bottom"/>
            <w:hideMark/>
          </w:tcPr>
          <w:p w14:paraId="7822A776"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700</w:t>
            </w:r>
          </w:p>
        </w:tc>
        <w:tc>
          <w:tcPr>
            <w:tcW w:w="401" w:type="pct"/>
            <w:tcBorders>
              <w:top w:val="nil"/>
              <w:left w:val="nil"/>
              <w:bottom w:val="single" w:sz="4" w:space="0" w:color="auto"/>
              <w:right w:val="single" w:sz="4" w:space="0" w:color="auto"/>
            </w:tcBorders>
            <w:shd w:val="clear" w:color="000000" w:fill="FFFFFF"/>
            <w:noWrap/>
            <w:vAlign w:val="bottom"/>
            <w:hideMark/>
          </w:tcPr>
          <w:p w14:paraId="647F4A08"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700</w:t>
            </w:r>
          </w:p>
        </w:tc>
        <w:tc>
          <w:tcPr>
            <w:tcW w:w="401" w:type="pct"/>
            <w:tcBorders>
              <w:top w:val="nil"/>
              <w:left w:val="nil"/>
              <w:bottom w:val="single" w:sz="4" w:space="0" w:color="auto"/>
              <w:right w:val="single" w:sz="4" w:space="0" w:color="auto"/>
            </w:tcBorders>
            <w:shd w:val="clear" w:color="000000" w:fill="FFFFFF"/>
            <w:noWrap/>
            <w:vAlign w:val="bottom"/>
            <w:hideMark/>
          </w:tcPr>
          <w:p w14:paraId="024811F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700</w:t>
            </w:r>
          </w:p>
        </w:tc>
        <w:tc>
          <w:tcPr>
            <w:tcW w:w="401" w:type="pct"/>
            <w:tcBorders>
              <w:top w:val="nil"/>
              <w:left w:val="nil"/>
              <w:bottom w:val="single" w:sz="4" w:space="0" w:color="auto"/>
              <w:right w:val="single" w:sz="4" w:space="0" w:color="auto"/>
            </w:tcBorders>
            <w:shd w:val="clear" w:color="000000" w:fill="FFFFFF"/>
            <w:noWrap/>
            <w:vAlign w:val="bottom"/>
            <w:hideMark/>
          </w:tcPr>
          <w:p w14:paraId="21E5EA47"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500</w:t>
            </w:r>
          </w:p>
        </w:tc>
        <w:tc>
          <w:tcPr>
            <w:tcW w:w="401" w:type="pct"/>
            <w:tcBorders>
              <w:top w:val="nil"/>
              <w:left w:val="nil"/>
              <w:bottom w:val="single" w:sz="4" w:space="0" w:color="auto"/>
              <w:right w:val="single" w:sz="4" w:space="0" w:color="auto"/>
            </w:tcBorders>
            <w:shd w:val="clear" w:color="000000" w:fill="FFFFFF"/>
            <w:noWrap/>
            <w:vAlign w:val="bottom"/>
            <w:hideMark/>
          </w:tcPr>
          <w:p w14:paraId="0C596C75"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500</w:t>
            </w:r>
          </w:p>
        </w:tc>
        <w:tc>
          <w:tcPr>
            <w:tcW w:w="401" w:type="pct"/>
            <w:tcBorders>
              <w:top w:val="nil"/>
              <w:left w:val="nil"/>
              <w:bottom w:val="single" w:sz="4" w:space="0" w:color="auto"/>
              <w:right w:val="single" w:sz="4" w:space="0" w:color="auto"/>
            </w:tcBorders>
            <w:shd w:val="clear" w:color="000000" w:fill="FFFFFF"/>
            <w:noWrap/>
            <w:vAlign w:val="bottom"/>
            <w:hideMark/>
          </w:tcPr>
          <w:p w14:paraId="5DA273A2"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500</w:t>
            </w:r>
          </w:p>
        </w:tc>
        <w:tc>
          <w:tcPr>
            <w:tcW w:w="401" w:type="pct"/>
            <w:tcBorders>
              <w:top w:val="nil"/>
              <w:left w:val="nil"/>
              <w:bottom w:val="single" w:sz="4" w:space="0" w:color="auto"/>
              <w:right w:val="single" w:sz="4" w:space="0" w:color="auto"/>
            </w:tcBorders>
            <w:shd w:val="clear" w:color="000000" w:fill="FFFFFF"/>
            <w:noWrap/>
            <w:vAlign w:val="bottom"/>
            <w:hideMark/>
          </w:tcPr>
          <w:p w14:paraId="3C3AF15B"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450</w:t>
            </w:r>
          </w:p>
        </w:tc>
        <w:tc>
          <w:tcPr>
            <w:tcW w:w="401" w:type="pct"/>
            <w:tcBorders>
              <w:top w:val="nil"/>
              <w:left w:val="nil"/>
              <w:bottom w:val="single" w:sz="4" w:space="0" w:color="auto"/>
              <w:right w:val="single" w:sz="4" w:space="0" w:color="auto"/>
            </w:tcBorders>
            <w:shd w:val="clear" w:color="000000" w:fill="FFFFFF"/>
            <w:noWrap/>
            <w:vAlign w:val="bottom"/>
            <w:hideMark/>
          </w:tcPr>
          <w:p w14:paraId="3C4A124A" w14:textId="77777777" w:rsidR="0014330C" w:rsidRPr="0014330C" w:rsidRDefault="0014330C" w:rsidP="0014330C">
            <w:pPr>
              <w:spacing w:after="0" w:line="240" w:lineRule="auto"/>
              <w:jc w:val="right"/>
              <w:rPr>
                <w:rFonts w:ascii="Times New Roman" w:eastAsia="Times New Roman" w:hAnsi="Times New Roman" w:cs="Times New Roman"/>
                <w:color w:val="000000"/>
                <w:sz w:val="20"/>
                <w:szCs w:val="20"/>
                <w:lang w:eastAsia="da-DK"/>
              </w:rPr>
            </w:pPr>
            <w:r w:rsidRPr="0014330C">
              <w:rPr>
                <w:rFonts w:ascii="Times New Roman" w:eastAsia="Times New Roman" w:hAnsi="Times New Roman" w:cs="Times New Roman"/>
                <w:color w:val="000000"/>
                <w:sz w:val="20"/>
                <w:szCs w:val="20"/>
                <w:lang w:eastAsia="da-DK"/>
              </w:rPr>
              <w:t>450</w:t>
            </w:r>
          </w:p>
        </w:tc>
      </w:tr>
    </w:tbl>
    <w:p w14:paraId="74AD7436" w14:textId="77777777" w:rsidR="00F62B5B" w:rsidRDefault="008D511A" w:rsidP="00A8693E">
      <w:pPr>
        <w:spacing w:after="0" w:line="276" w:lineRule="auto"/>
        <w:jc w:val="both"/>
        <w:rPr>
          <w:rFonts w:ascii="Times New Roman" w:hAnsi="Times New Roman"/>
          <w:sz w:val="20"/>
          <w:szCs w:val="20"/>
        </w:rPr>
      </w:pPr>
      <w:r w:rsidRPr="008D511A">
        <w:rPr>
          <w:rFonts w:ascii="Times New Roman" w:hAnsi="Times New Roman"/>
          <w:sz w:val="20"/>
          <w:szCs w:val="20"/>
        </w:rPr>
        <w:t>Kilde: APNN.</w:t>
      </w:r>
    </w:p>
    <w:p w14:paraId="3D5033CE" w14:textId="77777777" w:rsidR="00A6390F" w:rsidRPr="00FB15A4" w:rsidRDefault="00FB15A4" w:rsidP="00FB15A4">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 T</w:t>
      </w:r>
      <w:r w:rsidR="0014330C" w:rsidRPr="00FB15A4">
        <w:rPr>
          <w:rFonts w:ascii="Times New Roman" w:hAnsi="Times New Roman" w:cs="Times New Roman"/>
          <w:sz w:val="20"/>
          <w:szCs w:val="20"/>
        </w:rPr>
        <w:t>orskekvoten i Vestgrønland i 2019 er fordelt på 2.000 tons til forsøgsfiskeri og 200 tons til moniteringsfiskeri.</w:t>
      </w:r>
    </w:p>
    <w:p w14:paraId="48E03256" w14:textId="77777777" w:rsidR="0014330C" w:rsidRPr="0014330C" w:rsidRDefault="0014330C" w:rsidP="00424C0A">
      <w:pPr>
        <w:pStyle w:val="Listeafsnit"/>
        <w:spacing w:after="0" w:line="276" w:lineRule="auto"/>
        <w:jc w:val="both"/>
        <w:rPr>
          <w:rFonts w:ascii="Times New Roman" w:hAnsi="Times New Roman" w:cs="Times New Roman"/>
          <w:sz w:val="20"/>
          <w:szCs w:val="20"/>
        </w:rPr>
      </w:pPr>
    </w:p>
    <w:p w14:paraId="5BF7F88A" w14:textId="3E1E2BE5" w:rsidR="00E4727C" w:rsidRPr="00A6390F" w:rsidRDefault="00A6390F" w:rsidP="00A8693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 U</w:t>
      </w:r>
      <w:r w:rsidR="006253E3" w:rsidRPr="00A6390F">
        <w:rPr>
          <w:rFonts w:ascii="Times New Roman" w:hAnsi="Times New Roman" w:cs="Times New Roman"/>
          <w:b/>
          <w:sz w:val="24"/>
          <w:szCs w:val="24"/>
        </w:rPr>
        <w:t xml:space="preserve">dvikling i antal licenshavere, selskaber og fartøjer i </w:t>
      </w:r>
      <w:proofErr w:type="spellStart"/>
      <w:r w:rsidR="006253E3" w:rsidRPr="00A6390F">
        <w:rPr>
          <w:rFonts w:ascii="Times New Roman" w:hAnsi="Times New Roman" w:cs="Times New Roman"/>
          <w:b/>
          <w:sz w:val="24"/>
          <w:szCs w:val="24"/>
        </w:rPr>
        <w:t>hvidfiskfiskeriet</w:t>
      </w:r>
      <w:proofErr w:type="spellEnd"/>
    </w:p>
    <w:p w14:paraId="5306A42B" w14:textId="2686D858" w:rsidR="00E4727C" w:rsidRDefault="00E4727C" w:rsidP="00A8693E">
      <w:pPr>
        <w:spacing w:after="0" w:line="276" w:lineRule="auto"/>
        <w:jc w:val="both"/>
        <w:rPr>
          <w:rFonts w:ascii="Times New Roman" w:hAnsi="Times New Roman" w:cs="Times New Roman"/>
        </w:rPr>
      </w:pPr>
      <w:r>
        <w:rPr>
          <w:rFonts w:ascii="Times New Roman" w:hAnsi="Times New Roman" w:cs="Times New Roman"/>
        </w:rPr>
        <w:t xml:space="preserve">Figur 1 viser udviklingen i antal licenshavere i </w:t>
      </w:r>
      <w:proofErr w:type="spellStart"/>
      <w:r>
        <w:rPr>
          <w:rFonts w:ascii="Times New Roman" w:hAnsi="Times New Roman" w:cs="Times New Roman"/>
        </w:rPr>
        <w:t>hvidfiskfiskeriet</w:t>
      </w:r>
      <w:proofErr w:type="spellEnd"/>
      <w:r>
        <w:rPr>
          <w:rFonts w:ascii="Times New Roman" w:hAnsi="Times New Roman" w:cs="Times New Roman"/>
        </w:rPr>
        <w:t xml:space="preserve"> fordelt på arter og områder i perioden 2012-2020. Under figur 1 vise</w:t>
      </w:r>
      <w:r w:rsidR="00EF6CF3">
        <w:rPr>
          <w:rFonts w:ascii="Times New Roman" w:hAnsi="Times New Roman" w:cs="Times New Roman"/>
        </w:rPr>
        <w:t>r</w:t>
      </w:r>
      <w:r>
        <w:rPr>
          <w:rFonts w:ascii="Times New Roman" w:hAnsi="Times New Roman" w:cs="Times New Roman"/>
        </w:rPr>
        <w:t xml:space="preserve"> </w:t>
      </w:r>
      <w:r w:rsidR="003E42F2">
        <w:rPr>
          <w:rFonts w:ascii="Times New Roman" w:hAnsi="Times New Roman" w:cs="Times New Roman"/>
        </w:rPr>
        <w:t>en</w:t>
      </w:r>
      <w:r>
        <w:rPr>
          <w:rFonts w:ascii="Times New Roman" w:hAnsi="Times New Roman" w:cs="Times New Roman"/>
        </w:rPr>
        <w:t xml:space="preserve"> tabel udvikling</w:t>
      </w:r>
      <w:r w:rsidR="00EF6CF3">
        <w:rPr>
          <w:rFonts w:ascii="Times New Roman" w:hAnsi="Times New Roman" w:cs="Times New Roman"/>
        </w:rPr>
        <w:t>en</w:t>
      </w:r>
      <w:r>
        <w:rPr>
          <w:rFonts w:ascii="Times New Roman" w:hAnsi="Times New Roman" w:cs="Times New Roman"/>
        </w:rPr>
        <w:t xml:space="preserve"> i antal selskaber i perioden</w:t>
      </w:r>
      <w:r w:rsidR="00EF6CF3">
        <w:rPr>
          <w:rFonts w:ascii="Times New Roman" w:hAnsi="Times New Roman" w:cs="Times New Roman"/>
        </w:rPr>
        <w:t>,</w:t>
      </w:r>
      <w:r>
        <w:rPr>
          <w:rFonts w:ascii="Times New Roman" w:hAnsi="Times New Roman" w:cs="Times New Roman"/>
        </w:rPr>
        <w:t xml:space="preserve"> som har fået licenserne tildelt hvert år.</w:t>
      </w:r>
    </w:p>
    <w:p w14:paraId="40D4DDE3" w14:textId="77777777" w:rsidR="00E4727C" w:rsidRDefault="00E4727C" w:rsidP="00A8693E">
      <w:pPr>
        <w:spacing w:after="0" w:line="276" w:lineRule="auto"/>
        <w:jc w:val="both"/>
        <w:rPr>
          <w:rFonts w:ascii="Times New Roman" w:hAnsi="Times New Roman" w:cs="Times New Roman"/>
        </w:rPr>
      </w:pPr>
    </w:p>
    <w:p w14:paraId="41512641" w14:textId="77777777" w:rsidR="00E4727C" w:rsidRDefault="00E4727C" w:rsidP="00A8693E">
      <w:pPr>
        <w:spacing w:after="0" w:line="276" w:lineRule="auto"/>
        <w:jc w:val="both"/>
        <w:rPr>
          <w:rFonts w:ascii="Times New Roman" w:hAnsi="Times New Roman" w:cs="Times New Roman"/>
        </w:rPr>
      </w:pPr>
      <w:r>
        <w:rPr>
          <w:rFonts w:ascii="Times New Roman" w:hAnsi="Times New Roman" w:cs="Times New Roman"/>
        </w:rPr>
        <w:t>I 2020 var der 2 selskaber, som havde</w:t>
      </w:r>
      <w:r w:rsidRPr="001131F6">
        <w:rPr>
          <w:rFonts w:ascii="Times New Roman" w:hAnsi="Times New Roman" w:cs="Times New Roman"/>
        </w:rPr>
        <w:t xml:space="preserve"> licens til havgående fiskeri efter torsk, kuller og sej i Barentshavet.  Der </w:t>
      </w:r>
      <w:r w:rsidR="00EF49C0">
        <w:rPr>
          <w:rFonts w:ascii="Times New Roman" w:hAnsi="Times New Roman" w:cs="Times New Roman"/>
        </w:rPr>
        <w:t>var 5 selskaber, som havde</w:t>
      </w:r>
      <w:r w:rsidRPr="001131F6">
        <w:rPr>
          <w:rFonts w:ascii="Times New Roman" w:hAnsi="Times New Roman" w:cs="Times New Roman"/>
        </w:rPr>
        <w:t xml:space="preserve"> licens til havgående fiskeri efter torsk i Sydvest og Østgrønland, </w:t>
      </w:r>
      <w:r>
        <w:rPr>
          <w:rFonts w:ascii="Times New Roman" w:hAnsi="Times New Roman" w:cs="Times New Roman"/>
        </w:rPr>
        <w:t>5</w:t>
      </w:r>
      <w:r w:rsidR="00EF49C0">
        <w:rPr>
          <w:rFonts w:ascii="Times New Roman" w:hAnsi="Times New Roman" w:cs="Times New Roman"/>
        </w:rPr>
        <w:t xml:space="preserve"> som havde</w:t>
      </w:r>
      <w:r w:rsidRPr="001131F6">
        <w:rPr>
          <w:rFonts w:ascii="Times New Roman" w:hAnsi="Times New Roman" w:cs="Times New Roman"/>
        </w:rPr>
        <w:t xml:space="preserve"> licens til havgående hellefiskefiskeri i Vestgrønland og </w:t>
      </w:r>
      <w:r>
        <w:rPr>
          <w:rFonts w:ascii="Times New Roman" w:hAnsi="Times New Roman" w:cs="Times New Roman"/>
        </w:rPr>
        <w:t>6</w:t>
      </w:r>
      <w:r w:rsidRPr="001131F6">
        <w:rPr>
          <w:rFonts w:ascii="Times New Roman" w:hAnsi="Times New Roman" w:cs="Times New Roman"/>
        </w:rPr>
        <w:t xml:space="preserve"> i Øst samt </w:t>
      </w:r>
      <w:r>
        <w:rPr>
          <w:rFonts w:ascii="Times New Roman" w:hAnsi="Times New Roman" w:cs="Times New Roman"/>
        </w:rPr>
        <w:t>3</w:t>
      </w:r>
      <w:r w:rsidRPr="001131F6">
        <w:rPr>
          <w:rFonts w:ascii="Times New Roman" w:hAnsi="Times New Roman" w:cs="Times New Roman"/>
        </w:rPr>
        <w:t xml:space="preserve"> med licens til havgående fiskeri efter rødfisk.</w:t>
      </w:r>
      <w:r w:rsidR="000B3124">
        <w:rPr>
          <w:rFonts w:ascii="Times New Roman" w:hAnsi="Times New Roman" w:cs="Times New Roman"/>
        </w:rPr>
        <w:t xml:space="preserve"> Ingen kvote eller licenser blev udstedt i forbindelse med forsøgsfiskeri efter torsk i Vestgrønland i 2020.</w:t>
      </w:r>
      <w:r w:rsidRPr="001131F6">
        <w:rPr>
          <w:rFonts w:ascii="Times New Roman" w:hAnsi="Times New Roman" w:cs="Times New Roman"/>
        </w:rPr>
        <w:t xml:space="preserve">  </w:t>
      </w:r>
    </w:p>
    <w:p w14:paraId="61356ED1" w14:textId="77777777" w:rsidR="00A6390F" w:rsidRDefault="00A6390F" w:rsidP="00A8693E">
      <w:pPr>
        <w:spacing w:after="0" w:line="276" w:lineRule="auto"/>
        <w:jc w:val="both"/>
        <w:rPr>
          <w:rFonts w:ascii="Times New Roman" w:hAnsi="Times New Roman"/>
        </w:rPr>
      </w:pPr>
    </w:p>
    <w:p w14:paraId="59E934A5" w14:textId="1E266DE1" w:rsidR="00E4727C" w:rsidRPr="00821973" w:rsidRDefault="001855E8" w:rsidP="00A8693E">
      <w:pPr>
        <w:spacing w:after="0" w:line="276" w:lineRule="auto"/>
        <w:jc w:val="both"/>
        <w:rPr>
          <w:rFonts w:ascii="Times New Roman" w:hAnsi="Times New Roman"/>
        </w:rPr>
      </w:pPr>
      <w:r>
        <w:rPr>
          <w:rFonts w:ascii="Times New Roman" w:hAnsi="Times New Roman"/>
        </w:rPr>
        <w:t>Tabel 3</w:t>
      </w:r>
      <w:r w:rsidR="00E4727C" w:rsidRPr="00821973">
        <w:rPr>
          <w:rFonts w:ascii="Times New Roman" w:hAnsi="Times New Roman"/>
        </w:rPr>
        <w:t xml:space="preserve">: Udvikling i </w:t>
      </w:r>
      <w:r w:rsidR="00E4727C">
        <w:rPr>
          <w:rFonts w:ascii="Times New Roman" w:hAnsi="Times New Roman"/>
        </w:rPr>
        <w:t>antal licenshavere og selskaber</w:t>
      </w:r>
      <w:r w:rsidR="00DF3338">
        <w:rPr>
          <w:rFonts w:ascii="Times New Roman" w:hAnsi="Times New Roman"/>
        </w:rPr>
        <w:t xml:space="preserve"> i</w:t>
      </w:r>
      <w:r w:rsidR="00E4727C">
        <w:rPr>
          <w:rFonts w:ascii="Times New Roman" w:hAnsi="Times New Roman"/>
        </w:rPr>
        <w:t xml:space="preserve"> </w:t>
      </w:r>
      <w:proofErr w:type="spellStart"/>
      <w:r w:rsidR="00E4727C">
        <w:rPr>
          <w:rFonts w:ascii="Times New Roman" w:hAnsi="Times New Roman"/>
        </w:rPr>
        <w:t>hvidfiskfiskeriet</w:t>
      </w:r>
      <w:proofErr w:type="spellEnd"/>
      <w:r w:rsidR="00E4727C">
        <w:rPr>
          <w:rFonts w:ascii="Times New Roman" w:hAnsi="Times New Roman"/>
        </w:rPr>
        <w:t>, 2012-2020.</w:t>
      </w:r>
    </w:p>
    <w:tbl>
      <w:tblPr>
        <w:tblW w:w="5000" w:type="pct"/>
        <w:tblCellMar>
          <w:left w:w="70" w:type="dxa"/>
          <w:right w:w="70" w:type="dxa"/>
        </w:tblCellMar>
        <w:tblLook w:val="04A0" w:firstRow="1" w:lastRow="0" w:firstColumn="1" w:lastColumn="0" w:noHBand="0" w:noVBand="1"/>
      </w:tblPr>
      <w:tblGrid>
        <w:gridCol w:w="3236"/>
        <w:gridCol w:w="710"/>
        <w:gridCol w:w="710"/>
        <w:gridCol w:w="710"/>
        <w:gridCol w:w="711"/>
        <w:gridCol w:w="711"/>
        <w:gridCol w:w="711"/>
        <w:gridCol w:w="711"/>
        <w:gridCol w:w="711"/>
        <w:gridCol w:w="707"/>
      </w:tblGrid>
      <w:tr w:rsidR="001855E8" w:rsidRPr="001855E8" w14:paraId="3109CCC9" w14:textId="77777777" w:rsidTr="001855E8">
        <w:trPr>
          <w:trHeight w:val="315"/>
        </w:trPr>
        <w:tc>
          <w:tcPr>
            <w:tcW w:w="1681" w:type="pct"/>
            <w:tcBorders>
              <w:top w:val="single" w:sz="4" w:space="0" w:color="auto"/>
              <w:left w:val="single" w:sz="4" w:space="0" w:color="auto"/>
              <w:bottom w:val="nil"/>
              <w:right w:val="single" w:sz="4" w:space="0" w:color="auto"/>
            </w:tcBorders>
            <w:shd w:val="clear" w:color="000000" w:fill="FFFFFF"/>
            <w:noWrap/>
            <w:vAlign w:val="bottom"/>
            <w:hideMark/>
          </w:tcPr>
          <w:p w14:paraId="62958D48"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nil"/>
              <w:bottom w:val="nil"/>
              <w:right w:val="single" w:sz="4" w:space="0" w:color="auto"/>
            </w:tcBorders>
            <w:shd w:val="clear" w:color="000000" w:fill="FFFFFF"/>
            <w:noWrap/>
            <w:vAlign w:val="bottom"/>
            <w:hideMark/>
          </w:tcPr>
          <w:p w14:paraId="1E5A0037"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nil"/>
              <w:bottom w:val="nil"/>
              <w:right w:val="nil"/>
            </w:tcBorders>
            <w:shd w:val="clear" w:color="000000" w:fill="FFFFFF"/>
            <w:noWrap/>
            <w:vAlign w:val="bottom"/>
            <w:hideMark/>
          </w:tcPr>
          <w:p w14:paraId="7DC6F786"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single" w:sz="4" w:space="0" w:color="auto"/>
              <w:bottom w:val="nil"/>
              <w:right w:val="single" w:sz="4" w:space="0" w:color="auto"/>
            </w:tcBorders>
            <w:shd w:val="clear" w:color="000000" w:fill="FFFFFF"/>
            <w:noWrap/>
            <w:vAlign w:val="bottom"/>
            <w:hideMark/>
          </w:tcPr>
          <w:p w14:paraId="5512BCB3"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nil"/>
              <w:bottom w:val="nil"/>
              <w:right w:val="single" w:sz="4" w:space="0" w:color="auto"/>
            </w:tcBorders>
            <w:shd w:val="clear" w:color="000000" w:fill="FFFFFF"/>
            <w:noWrap/>
            <w:vAlign w:val="bottom"/>
            <w:hideMark/>
          </w:tcPr>
          <w:p w14:paraId="4ADE03F5"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nil"/>
              <w:bottom w:val="nil"/>
              <w:right w:val="nil"/>
            </w:tcBorders>
            <w:shd w:val="clear" w:color="000000" w:fill="FFFFFF"/>
            <w:noWrap/>
            <w:vAlign w:val="bottom"/>
            <w:hideMark/>
          </w:tcPr>
          <w:p w14:paraId="424A9B2E"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single" w:sz="4" w:space="0" w:color="auto"/>
              <w:bottom w:val="nil"/>
              <w:right w:val="single" w:sz="4" w:space="0" w:color="auto"/>
            </w:tcBorders>
            <w:shd w:val="clear" w:color="000000" w:fill="FFFFFF"/>
            <w:noWrap/>
            <w:vAlign w:val="bottom"/>
            <w:hideMark/>
          </w:tcPr>
          <w:p w14:paraId="433010FF"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nil"/>
              <w:bottom w:val="nil"/>
              <w:right w:val="nil"/>
            </w:tcBorders>
            <w:shd w:val="clear" w:color="000000" w:fill="FFFFFF"/>
            <w:noWrap/>
            <w:vAlign w:val="bottom"/>
            <w:hideMark/>
          </w:tcPr>
          <w:p w14:paraId="2608E5F3"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single" w:sz="4" w:space="0" w:color="auto"/>
              <w:bottom w:val="nil"/>
              <w:right w:val="single" w:sz="4" w:space="0" w:color="auto"/>
            </w:tcBorders>
            <w:shd w:val="clear" w:color="000000" w:fill="FFFFFF"/>
            <w:noWrap/>
            <w:vAlign w:val="bottom"/>
            <w:hideMark/>
          </w:tcPr>
          <w:p w14:paraId="3E6A508D"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single" w:sz="4" w:space="0" w:color="auto"/>
              <w:left w:val="nil"/>
              <w:bottom w:val="nil"/>
              <w:right w:val="single" w:sz="4" w:space="0" w:color="auto"/>
            </w:tcBorders>
            <w:shd w:val="clear" w:color="000000" w:fill="FFFFFF"/>
            <w:noWrap/>
            <w:vAlign w:val="bottom"/>
            <w:hideMark/>
          </w:tcPr>
          <w:p w14:paraId="0FA110AF"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r>
      <w:tr w:rsidR="001855E8" w:rsidRPr="001855E8" w14:paraId="01E581DC"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6002123C"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4A82721F"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2012</w:t>
            </w:r>
          </w:p>
        </w:tc>
        <w:tc>
          <w:tcPr>
            <w:tcW w:w="369" w:type="pct"/>
            <w:tcBorders>
              <w:top w:val="nil"/>
              <w:left w:val="nil"/>
              <w:bottom w:val="single" w:sz="4" w:space="0" w:color="auto"/>
              <w:right w:val="nil"/>
            </w:tcBorders>
            <w:shd w:val="clear" w:color="000000" w:fill="FFFFFF"/>
            <w:noWrap/>
            <w:vAlign w:val="bottom"/>
            <w:hideMark/>
          </w:tcPr>
          <w:p w14:paraId="0960DF70"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2013</w:t>
            </w:r>
          </w:p>
        </w:tc>
        <w:tc>
          <w:tcPr>
            <w:tcW w:w="369" w:type="pct"/>
            <w:tcBorders>
              <w:top w:val="nil"/>
              <w:left w:val="single" w:sz="4" w:space="0" w:color="auto"/>
              <w:bottom w:val="single" w:sz="4" w:space="0" w:color="auto"/>
              <w:right w:val="single" w:sz="4" w:space="0" w:color="auto"/>
            </w:tcBorders>
            <w:shd w:val="clear" w:color="000000" w:fill="FFFFFF"/>
            <w:noWrap/>
            <w:vAlign w:val="bottom"/>
            <w:hideMark/>
          </w:tcPr>
          <w:p w14:paraId="64688CCC"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2014</w:t>
            </w:r>
          </w:p>
        </w:tc>
        <w:tc>
          <w:tcPr>
            <w:tcW w:w="369" w:type="pct"/>
            <w:tcBorders>
              <w:top w:val="nil"/>
              <w:left w:val="nil"/>
              <w:bottom w:val="single" w:sz="4" w:space="0" w:color="auto"/>
              <w:right w:val="single" w:sz="4" w:space="0" w:color="auto"/>
            </w:tcBorders>
            <w:shd w:val="clear" w:color="000000" w:fill="FFFFFF"/>
            <w:noWrap/>
            <w:vAlign w:val="bottom"/>
            <w:hideMark/>
          </w:tcPr>
          <w:p w14:paraId="19EE6865"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2015</w:t>
            </w:r>
          </w:p>
        </w:tc>
        <w:tc>
          <w:tcPr>
            <w:tcW w:w="369" w:type="pct"/>
            <w:tcBorders>
              <w:top w:val="nil"/>
              <w:left w:val="nil"/>
              <w:bottom w:val="single" w:sz="4" w:space="0" w:color="auto"/>
              <w:right w:val="nil"/>
            </w:tcBorders>
            <w:shd w:val="clear" w:color="000000" w:fill="FFFFFF"/>
            <w:noWrap/>
            <w:vAlign w:val="bottom"/>
            <w:hideMark/>
          </w:tcPr>
          <w:p w14:paraId="6A27AEF3"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2016</w:t>
            </w:r>
          </w:p>
        </w:tc>
        <w:tc>
          <w:tcPr>
            <w:tcW w:w="369" w:type="pct"/>
            <w:tcBorders>
              <w:top w:val="nil"/>
              <w:left w:val="single" w:sz="4" w:space="0" w:color="auto"/>
              <w:bottom w:val="single" w:sz="4" w:space="0" w:color="auto"/>
              <w:right w:val="single" w:sz="4" w:space="0" w:color="auto"/>
            </w:tcBorders>
            <w:shd w:val="clear" w:color="000000" w:fill="FFFFFF"/>
            <w:noWrap/>
            <w:vAlign w:val="bottom"/>
            <w:hideMark/>
          </w:tcPr>
          <w:p w14:paraId="0F6F8C54"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2017</w:t>
            </w:r>
          </w:p>
        </w:tc>
        <w:tc>
          <w:tcPr>
            <w:tcW w:w="369" w:type="pct"/>
            <w:tcBorders>
              <w:top w:val="nil"/>
              <w:left w:val="nil"/>
              <w:bottom w:val="single" w:sz="4" w:space="0" w:color="auto"/>
              <w:right w:val="nil"/>
            </w:tcBorders>
            <w:shd w:val="clear" w:color="000000" w:fill="FFFFFF"/>
            <w:noWrap/>
            <w:vAlign w:val="bottom"/>
            <w:hideMark/>
          </w:tcPr>
          <w:p w14:paraId="45672325"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2018</w:t>
            </w:r>
          </w:p>
        </w:tc>
        <w:tc>
          <w:tcPr>
            <w:tcW w:w="369" w:type="pct"/>
            <w:tcBorders>
              <w:top w:val="nil"/>
              <w:left w:val="single" w:sz="4" w:space="0" w:color="auto"/>
              <w:bottom w:val="single" w:sz="4" w:space="0" w:color="auto"/>
              <w:right w:val="single" w:sz="4" w:space="0" w:color="auto"/>
            </w:tcBorders>
            <w:shd w:val="clear" w:color="000000" w:fill="FFFFFF"/>
            <w:noWrap/>
            <w:vAlign w:val="bottom"/>
            <w:hideMark/>
          </w:tcPr>
          <w:p w14:paraId="20BC17DD"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2019</w:t>
            </w:r>
          </w:p>
        </w:tc>
        <w:tc>
          <w:tcPr>
            <w:tcW w:w="369" w:type="pct"/>
            <w:tcBorders>
              <w:top w:val="nil"/>
              <w:left w:val="nil"/>
              <w:bottom w:val="single" w:sz="4" w:space="0" w:color="auto"/>
              <w:right w:val="single" w:sz="4" w:space="0" w:color="auto"/>
            </w:tcBorders>
            <w:shd w:val="clear" w:color="000000" w:fill="FFFFFF"/>
            <w:noWrap/>
            <w:vAlign w:val="bottom"/>
            <w:hideMark/>
          </w:tcPr>
          <w:p w14:paraId="6AEC2F75"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2020</w:t>
            </w:r>
          </w:p>
        </w:tc>
      </w:tr>
      <w:tr w:rsidR="001855E8" w:rsidRPr="001855E8" w14:paraId="7B07E60E"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5CB38D31"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Antal selskaber</w:t>
            </w:r>
          </w:p>
        </w:tc>
        <w:tc>
          <w:tcPr>
            <w:tcW w:w="369" w:type="pct"/>
            <w:tcBorders>
              <w:top w:val="nil"/>
              <w:left w:val="nil"/>
              <w:bottom w:val="single" w:sz="4" w:space="0" w:color="auto"/>
              <w:right w:val="single" w:sz="4" w:space="0" w:color="auto"/>
            </w:tcBorders>
            <w:shd w:val="clear" w:color="000000" w:fill="FFFFFF"/>
            <w:noWrap/>
            <w:vAlign w:val="bottom"/>
            <w:hideMark/>
          </w:tcPr>
          <w:p w14:paraId="6F3C7A73"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7E3282F6"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72D71ADD"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7</w:t>
            </w:r>
          </w:p>
        </w:tc>
        <w:tc>
          <w:tcPr>
            <w:tcW w:w="369" w:type="pct"/>
            <w:tcBorders>
              <w:top w:val="nil"/>
              <w:left w:val="nil"/>
              <w:bottom w:val="single" w:sz="4" w:space="0" w:color="auto"/>
              <w:right w:val="single" w:sz="4" w:space="0" w:color="auto"/>
            </w:tcBorders>
            <w:shd w:val="clear" w:color="000000" w:fill="FFFFFF"/>
            <w:noWrap/>
            <w:vAlign w:val="bottom"/>
            <w:hideMark/>
          </w:tcPr>
          <w:p w14:paraId="412E8819"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3127EBA5"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8 (1)</w:t>
            </w:r>
          </w:p>
        </w:tc>
        <w:tc>
          <w:tcPr>
            <w:tcW w:w="369" w:type="pct"/>
            <w:tcBorders>
              <w:top w:val="nil"/>
              <w:left w:val="nil"/>
              <w:bottom w:val="single" w:sz="4" w:space="0" w:color="auto"/>
              <w:right w:val="single" w:sz="4" w:space="0" w:color="auto"/>
            </w:tcBorders>
            <w:shd w:val="clear" w:color="000000" w:fill="FFFFFF"/>
            <w:noWrap/>
            <w:vAlign w:val="bottom"/>
            <w:hideMark/>
          </w:tcPr>
          <w:p w14:paraId="6387D422"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10 (1)</w:t>
            </w:r>
          </w:p>
        </w:tc>
        <w:tc>
          <w:tcPr>
            <w:tcW w:w="369" w:type="pct"/>
            <w:tcBorders>
              <w:top w:val="nil"/>
              <w:left w:val="nil"/>
              <w:bottom w:val="single" w:sz="4" w:space="0" w:color="auto"/>
              <w:right w:val="single" w:sz="4" w:space="0" w:color="auto"/>
            </w:tcBorders>
            <w:shd w:val="clear" w:color="000000" w:fill="FFFFFF"/>
            <w:noWrap/>
            <w:vAlign w:val="bottom"/>
            <w:hideMark/>
          </w:tcPr>
          <w:p w14:paraId="6CE20938"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11 (2)</w:t>
            </w:r>
          </w:p>
        </w:tc>
        <w:tc>
          <w:tcPr>
            <w:tcW w:w="369" w:type="pct"/>
            <w:tcBorders>
              <w:top w:val="nil"/>
              <w:left w:val="nil"/>
              <w:bottom w:val="single" w:sz="4" w:space="0" w:color="auto"/>
              <w:right w:val="single" w:sz="4" w:space="0" w:color="auto"/>
            </w:tcBorders>
            <w:shd w:val="clear" w:color="000000" w:fill="FFFFFF"/>
            <w:noWrap/>
            <w:vAlign w:val="bottom"/>
            <w:hideMark/>
          </w:tcPr>
          <w:p w14:paraId="3688A6A0"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8</w:t>
            </w:r>
          </w:p>
        </w:tc>
        <w:tc>
          <w:tcPr>
            <w:tcW w:w="369" w:type="pct"/>
            <w:tcBorders>
              <w:top w:val="nil"/>
              <w:left w:val="nil"/>
              <w:bottom w:val="single" w:sz="4" w:space="0" w:color="auto"/>
              <w:right w:val="single" w:sz="4" w:space="0" w:color="auto"/>
            </w:tcBorders>
            <w:shd w:val="clear" w:color="000000" w:fill="FFFFFF"/>
            <w:noWrap/>
            <w:vAlign w:val="bottom"/>
            <w:hideMark/>
          </w:tcPr>
          <w:p w14:paraId="336D1693" w14:textId="77777777" w:rsidR="001855E8" w:rsidRPr="001855E8" w:rsidRDefault="001855E8" w:rsidP="001855E8">
            <w:pPr>
              <w:spacing w:after="0" w:line="240" w:lineRule="auto"/>
              <w:jc w:val="right"/>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5</w:t>
            </w:r>
          </w:p>
        </w:tc>
      </w:tr>
      <w:tr w:rsidR="001855E8" w:rsidRPr="001855E8" w14:paraId="0B560B55"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7911B36C"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Antal licenshavere</w:t>
            </w:r>
          </w:p>
        </w:tc>
        <w:tc>
          <w:tcPr>
            <w:tcW w:w="369" w:type="pct"/>
            <w:tcBorders>
              <w:top w:val="nil"/>
              <w:left w:val="nil"/>
              <w:bottom w:val="single" w:sz="4" w:space="0" w:color="auto"/>
              <w:right w:val="single" w:sz="4" w:space="0" w:color="auto"/>
            </w:tcBorders>
            <w:shd w:val="clear" w:color="000000" w:fill="FFFFFF"/>
            <w:noWrap/>
            <w:vAlign w:val="bottom"/>
            <w:hideMark/>
          </w:tcPr>
          <w:p w14:paraId="371D3EAE"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77FA6A35"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5CC95AA7"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33A7ABFC"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427DAAEE"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6A1331C4"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7D692D14"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46F3424A"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c>
          <w:tcPr>
            <w:tcW w:w="369" w:type="pct"/>
            <w:tcBorders>
              <w:top w:val="nil"/>
              <w:left w:val="nil"/>
              <w:bottom w:val="single" w:sz="4" w:space="0" w:color="auto"/>
              <w:right w:val="single" w:sz="4" w:space="0" w:color="auto"/>
            </w:tcBorders>
            <w:shd w:val="clear" w:color="000000" w:fill="FFFFFF"/>
            <w:noWrap/>
            <w:vAlign w:val="bottom"/>
            <w:hideMark/>
          </w:tcPr>
          <w:p w14:paraId="7D42EB9E" w14:textId="77777777" w:rsidR="001855E8" w:rsidRPr="001855E8" w:rsidRDefault="001855E8" w:rsidP="001855E8">
            <w:pPr>
              <w:spacing w:after="0" w:line="240" w:lineRule="auto"/>
              <w:rPr>
                <w:rFonts w:ascii="Times New Roman" w:eastAsia="Times New Roman" w:hAnsi="Times New Roman" w:cs="Times New Roman"/>
                <w:b/>
                <w:bCs/>
                <w:color w:val="000000"/>
                <w:sz w:val="20"/>
                <w:szCs w:val="20"/>
                <w:lang w:eastAsia="da-DK"/>
              </w:rPr>
            </w:pPr>
            <w:r w:rsidRPr="001855E8">
              <w:rPr>
                <w:rFonts w:ascii="Times New Roman" w:eastAsia="Times New Roman" w:hAnsi="Times New Roman" w:cs="Times New Roman"/>
                <w:b/>
                <w:bCs/>
                <w:color w:val="000000"/>
                <w:sz w:val="20"/>
                <w:szCs w:val="20"/>
                <w:lang w:eastAsia="da-DK"/>
              </w:rPr>
              <w:t> </w:t>
            </w:r>
          </w:p>
        </w:tc>
      </w:tr>
      <w:tr w:rsidR="001855E8" w:rsidRPr="001855E8" w14:paraId="188E4AD3"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7EFD63F6"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 xml:space="preserve">  Hellefisk-Vest</w:t>
            </w:r>
          </w:p>
        </w:tc>
        <w:tc>
          <w:tcPr>
            <w:tcW w:w="369" w:type="pct"/>
            <w:tcBorders>
              <w:top w:val="nil"/>
              <w:left w:val="nil"/>
              <w:bottom w:val="single" w:sz="4" w:space="0" w:color="auto"/>
              <w:right w:val="single" w:sz="4" w:space="0" w:color="auto"/>
            </w:tcBorders>
            <w:shd w:val="clear" w:color="000000" w:fill="FFFFFF"/>
            <w:noWrap/>
            <w:vAlign w:val="bottom"/>
            <w:hideMark/>
          </w:tcPr>
          <w:p w14:paraId="59F0DB63"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081D4B19"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66D6A14C"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52F6C8AF"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607DC6E0"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54436F64"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3A153E5F"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5C06A3B1"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05C2ADB2"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r>
      <w:tr w:rsidR="001855E8" w:rsidRPr="001855E8" w14:paraId="65FE7881"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25D94D3B"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 xml:space="preserve">  Hellefisk - Øst</w:t>
            </w:r>
          </w:p>
        </w:tc>
        <w:tc>
          <w:tcPr>
            <w:tcW w:w="369" w:type="pct"/>
            <w:tcBorders>
              <w:top w:val="nil"/>
              <w:left w:val="nil"/>
              <w:bottom w:val="single" w:sz="4" w:space="0" w:color="auto"/>
              <w:right w:val="single" w:sz="4" w:space="0" w:color="auto"/>
            </w:tcBorders>
            <w:shd w:val="clear" w:color="000000" w:fill="FFFFFF"/>
            <w:noWrap/>
            <w:vAlign w:val="bottom"/>
            <w:hideMark/>
          </w:tcPr>
          <w:p w14:paraId="1C749C57"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409E692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1834FC2D"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43BAF941"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76F90136"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49B06336"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0EDAEC5B"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7FAA1B72"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3BEBF40D"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r>
      <w:tr w:rsidR="001855E8" w:rsidRPr="001855E8" w14:paraId="358007A1"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6E61C846"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 xml:space="preserve">  Torsk - Vest, forsøgsfiskeri</w:t>
            </w:r>
          </w:p>
        </w:tc>
        <w:tc>
          <w:tcPr>
            <w:tcW w:w="369" w:type="pct"/>
            <w:tcBorders>
              <w:top w:val="nil"/>
              <w:left w:val="nil"/>
              <w:bottom w:val="single" w:sz="4" w:space="0" w:color="auto"/>
              <w:right w:val="single" w:sz="4" w:space="0" w:color="auto"/>
            </w:tcBorders>
            <w:shd w:val="clear" w:color="000000" w:fill="FFFFFF"/>
            <w:noWrap/>
            <w:vAlign w:val="bottom"/>
            <w:hideMark/>
          </w:tcPr>
          <w:p w14:paraId="384D1659"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005F23FC"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5CF4313E"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1F12084B"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11D4F546"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31D2319B"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67C5E37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7</w:t>
            </w:r>
          </w:p>
        </w:tc>
        <w:tc>
          <w:tcPr>
            <w:tcW w:w="369" w:type="pct"/>
            <w:tcBorders>
              <w:top w:val="nil"/>
              <w:left w:val="nil"/>
              <w:bottom w:val="single" w:sz="4" w:space="0" w:color="auto"/>
              <w:right w:val="single" w:sz="4" w:space="0" w:color="auto"/>
            </w:tcBorders>
            <w:shd w:val="clear" w:color="000000" w:fill="FFFFFF"/>
            <w:noWrap/>
            <w:vAlign w:val="bottom"/>
            <w:hideMark/>
          </w:tcPr>
          <w:p w14:paraId="2DB45C7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7B4C3451"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r>
      <w:tr w:rsidR="001855E8" w:rsidRPr="001855E8" w14:paraId="556CB90E"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0BB17D3D"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 xml:space="preserve">  Torsk - </w:t>
            </w:r>
            <w:proofErr w:type="spellStart"/>
            <w:r w:rsidRPr="001855E8">
              <w:rPr>
                <w:rFonts w:ascii="Times New Roman" w:eastAsia="Times New Roman" w:hAnsi="Times New Roman" w:cs="Times New Roman"/>
                <w:i/>
                <w:iCs/>
                <w:color w:val="000000"/>
                <w:sz w:val="20"/>
                <w:szCs w:val="20"/>
                <w:lang w:eastAsia="da-DK"/>
              </w:rPr>
              <w:t>Syd-Vest</w:t>
            </w:r>
            <w:proofErr w:type="spellEnd"/>
            <w:r w:rsidRPr="001855E8">
              <w:rPr>
                <w:rFonts w:ascii="Times New Roman" w:eastAsia="Times New Roman" w:hAnsi="Times New Roman" w:cs="Times New Roman"/>
                <w:i/>
                <w:iCs/>
                <w:color w:val="000000"/>
                <w:sz w:val="20"/>
                <w:szCs w:val="20"/>
                <w:lang w:eastAsia="da-DK"/>
              </w:rPr>
              <w:t xml:space="preserve"> og Øst</w:t>
            </w:r>
          </w:p>
        </w:tc>
        <w:tc>
          <w:tcPr>
            <w:tcW w:w="369" w:type="pct"/>
            <w:tcBorders>
              <w:top w:val="nil"/>
              <w:left w:val="nil"/>
              <w:bottom w:val="single" w:sz="4" w:space="0" w:color="auto"/>
              <w:right w:val="single" w:sz="4" w:space="0" w:color="auto"/>
            </w:tcBorders>
            <w:shd w:val="clear" w:color="000000" w:fill="FFFFFF"/>
            <w:noWrap/>
            <w:vAlign w:val="bottom"/>
            <w:hideMark/>
          </w:tcPr>
          <w:p w14:paraId="331E472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1</w:t>
            </w:r>
          </w:p>
        </w:tc>
        <w:tc>
          <w:tcPr>
            <w:tcW w:w="369" w:type="pct"/>
            <w:tcBorders>
              <w:top w:val="nil"/>
              <w:left w:val="nil"/>
              <w:bottom w:val="single" w:sz="4" w:space="0" w:color="auto"/>
              <w:right w:val="single" w:sz="4" w:space="0" w:color="auto"/>
            </w:tcBorders>
            <w:shd w:val="clear" w:color="000000" w:fill="FFFFFF"/>
            <w:noWrap/>
            <w:vAlign w:val="bottom"/>
            <w:hideMark/>
          </w:tcPr>
          <w:p w14:paraId="2B9C93A3"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1</w:t>
            </w:r>
          </w:p>
        </w:tc>
        <w:tc>
          <w:tcPr>
            <w:tcW w:w="369" w:type="pct"/>
            <w:tcBorders>
              <w:top w:val="nil"/>
              <w:left w:val="nil"/>
              <w:bottom w:val="single" w:sz="4" w:space="0" w:color="auto"/>
              <w:right w:val="single" w:sz="4" w:space="0" w:color="auto"/>
            </w:tcBorders>
            <w:shd w:val="clear" w:color="000000" w:fill="FFFFFF"/>
            <w:noWrap/>
            <w:vAlign w:val="bottom"/>
            <w:hideMark/>
          </w:tcPr>
          <w:p w14:paraId="30D8A05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018C186E"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7691D9DF"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54603CC5"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0B08213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51EF180A"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6</w:t>
            </w:r>
          </w:p>
        </w:tc>
        <w:tc>
          <w:tcPr>
            <w:tcW w:w="369" w:type="pct"/>
            <w:tcBorders>
              <w:top w:val="nil"/>
              <w:left w:val="nil"/>
              <w:bottom w:val="single" w:sz="4" w:space="0" w:color="auto"/>
              <w:right w:val="single" w:sz="4" w:space="0" w:color="auto"/>
            </w:tcBorders>
            <w:shd w:val="clear" w:color="000000" w:fill="FFFFFF"/>
            <w:noWrap/>
            <w:vAlign w:val="bottom"/>
            <w:hideMark/>
          </w:tcPr>
          <w:p w14:paraId="5C7A2866"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r>
      <w:tr w:rsidR="001855E8" w:rsidRPr="001855E8" w14:paraId="2C7C579B"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47042C6C"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 xml:space="preserve">  Rødfisk - Øst</w:t>
            </w:r>
          </w:p>
        </w:tc>
        <w:tc>
          <w:tcPr>
            <w:tcW w:w="369" w:type="pct"/>
            <w:tcBorders>
              <w:top w:val="nil"/>
              <w:left w:val="nil"/>
              <w:bottom w:val="single" w:sz="4" w:space="0" w:color="auto"/>
              <w:right w:val="single" w:sz="4" w:space="0" w:color="auto"/>
            </w:tcBorders>
            <w:shd w:val="clear" w:color="000000" w:fill="FFFFFF"/>
            <w:noWrap/>
            <w:vAlign w:val="bottom"/>
            <w:hideMark/>
          </w:tcPr>
          <w:p w14:paraId="0628F904"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5</w:t>
            </w:r>
          </w:p>
        </w:tc>
        <w:tc>
          <w:tcPr>
            <w:tcW w:w="369" w:type="pct"/>
            <w:tcBorders>
              <w:top w:val="nil"/>
              <w:left w:val="nil"/>
              <w:bottom w:val="single" w:sz="4" w:space="0" w:color="auto"/>
              <w:right w:val="single" w:sz="4" w:space="0" w:color="auto"/>
            </w:tcBorders>
            <w:shd w:val="clear" w:color="000000" w:fill="FFFFFF"/>
            <w:noWrap/>
            <w:vAlign w:val="bottom"/>
            <w:hideMark/>
          </w:tcPr>
          <w:p w14:paraId="6CE5B065"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42ACF765"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009BBC54"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7194A5CC"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6EA987A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78C629D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4</w:t>
            </w:r>
          </w:p>
        </w:tc>
        <w:tc>
          <w:tcPr>
            <w:tcW w:w="369" w:type="pct"/>
            <w:tcBorders>
              <w:top w:val="nil"/>
              <w:left w:val="nil"/>
              <w:bottom w:val="single" w:sz="4" w:space="0" w:color="auto"/>
              <w:right w:val="single" w:sz="4" w:space="0" w:color="auto"/>
            </w:tcBorders>
            <w:shd w:val="clear" w:color="000000" w:fill="FFFFFF"/>
            <w:noWrap/>
            <w:vAlign w:val="bottom"/>
            <w:hideMark/>
          </w:tcPr>
          <w:p w14:paraId="6540405F"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6CF274EB"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r>
      <w:tr w:rsidR="001855E8" w:rsidRPr="001855E8" w14:paraId="78F000BD"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39398F14"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 xml:space="preserve">  Brosme - Øst</w:t>
            </w:r>
          </w:p>
        </w:tc>
        <w:tc>
          <w:tcPr>
            <w:tcW w:w="369" w:type="pct"/>
            <w:tcBorders>
              <w:top w:val="nil"/>
              <w:left w:val="nil"/>
              <w:bottom w:val="single" w:sz="4" w:space="0" w:color="auto"/>
              <w:right w:val="single" w:sz="4" w:space="0" w:color="auto"/>
            </w:tcBorders>
            <w:shd w:val="clear" w:color="000000" w:fill="FFFFFF"/>
            <w:noWrap/>
            <w:vAlign w:val="bottom"/>
            <w:hideMark/>
          </w:tcPr>
          <w:p w14:paraId="7032CDD3"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680F1681"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25DF40A3"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00BF64AA"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0</w:t>
            </w:r>
          </w:p>
        </w:tc>
        <w:tc>
          <w:tcPr>
            <w:tcW w:w="369" w:type="pct"/>
            <w:tcBorders>
              <w:top w:val="nil"/>
              <w:left w:val="nil"/>
              <w:bottom w:val="single" w:sz="4" w:space="0" w:color="auto"/>
              <w:right w:val="single" w:sz="4" w:space="0" w:color="auto"/>
            </w:tcBorders>
            <w:shd w:val="clear" w:color="000000" w:fill="FFFFFF"/>
            <w:noWrap/>
            <w:vAlign w:val="bottom"/>
            <w:hideMark/>
          </w:tcPr>
          <w:p w14:paraId="4985911E"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241D110E"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0A240D45"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241DD8F9"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2819982F"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1</w:t>
            </w:r>
          </w:p>
        </w:tc>
      </w:tr>
      <w:tr w:rsidR="001855E8" w:rsidRPr="001855E8" w14:paraId="0383E8D5" w14:textId="77777777"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14:paraId="2A593F4F" w14:textId="77777777" w:rsidR="001855E8" w:rsidRPr="001855E8" w:rsidRDefault="001855E8" w:rsidP="001855E8">
            <w:pPr>
              <w:spacing w:after="0" w:line="240" w:lineRule="auto"/>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lastRenderedPageBreak/>
              <w:t xml:space="preserve">  Torsk, kuller og sej - Barentshavet</w:t>
            </w:r>
          </w:p>
        </w:tc>
        <w:tc>
          <w:tcPr>
            <w:tcW w:w="369" w:type="pct"/>
            <w:tcBorders>
              <w:top w:val="nil"/>
              <w:left w:val="nil"/>
              <w:bottom w:val="single" w:sz="4" w:space="0" w:color="auto"/>
              <w:right w:val="single" w:sz="4" w:space="0" w:color="auto"/>
            </w:tcBorders>
            <w:shd w:val="clear" w:color="000000" w:fill="FFFFFF"/>
            <w:noWrap/>
            <w:vAlign w:val="bottom"/>
            <w:hideMark/>
          </w:tcPr>
          <w:p w14:paraId="3CDE7BDD"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3E428FAC"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1A8E90C7"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6A54ED38"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571D6FC2"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1F554D54"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26845FEA"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3F606A07"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3</w:t>
            </w:r>
          </w:p>
        </w:tc>
        <w:tc>
          <w:tcPr>
            <w:tcW w:w="369" w:type="pct"/>
            <w:tcBorders>
              <w:top w:val="nil"/>
              <w:left w:val="nil"/>
              <w:bottom w:val="single" w:sz="4" w:space="0" w:color="auto"/>
              <w:right w:val="single" w:sz="4" w:space="0" w:color="auto"/>
            </w:tcBorders>
            <w:shd w:val="clear" w:color="000000" w:fill="FFFFFF"/>
            <w:noWrap/>
            <w:vAlign w:val="bottom"/>
            <w:hideMark/>
          </w:tcPr>
          <w:p w14:paraId="70D05619" w14:textId="77777777" w:rsidR="001855E8" w:rsidRPr="001855E8" w:rsidRDefault="001855E8" w:rsidP="001855E8">
            <w:pPr>
              <w:spacing w:after="0" w:line="240" w:lineRule="auto"/>
              <w:jc w:val="right"/>
              <w:rPr>
                <w:rFonts w:ascii="Times New Roman" w:eastAsia="Times New Roman" w:hAnsi="Times New Roman" w:cs="Times New Roman"/>
                <w:i/>
                <w:iCs/>
                <w:color w:val="000000"/>
                <w:sz w:val="20"/>
                <w:szCs w:val="20"/>
                <w:lang w:eastAsia="da-DK"/>
              </w:rPr>
            </w:pPr>
            <w:r w:rsidRPr="001855E8">
              <w:rPr>
                <w:rFonts w:ascii="Times New Roman" w:eastAsia="Times New Roman" w:hAnsi="Times New Roman" w:cs="Times New Roman"/>
                <w:i/>
                <w:iCs/>
                <w:color w:val="000000"/>
                <w:sz w:val="20"/>
                <w:szCs w:val="20"/>
                <w:lang w:eastAsia="da-DK"/>
              </w:rPr>
              <w:t>2</w:t>
            </w:r>
          </w:p>
        </w:tc>
      </w:tr>
    </w:tbl>
    <w:p w14:paraId="7687EEA5" w14:textId="77777777" w:rsidR="00E50C97" w:rsidRPr="009D799C" w:rsidRDefault="009D799C" w:rsidP="00A8693E">
      <w:pPr>
        <w:spacing w:after="0" w:line="276" w:lineRule="auto"/>
        <w:jc w:val="both"/>
        <w:rPr>
          <w:rFonts w:ascii="Times New Roman" w:hAnsi="Times New Roman"/>
          <w:sz w:val="20"/>
          <w:szCs w:val="20"/>
        </w:rPr>
      </w:pPr>
      <w:r w:rsidRPr="009D799C">
        <w:rPr>
          <w:rFonts w:ascii="Times New Roman" w:hAnsi="Times New Roman"/>
          <w:sz w:val="20"/>
          <w:szCs w:val="20"/>
        </w:rPr>
        <w:t>Kilde: APNN.</w:t>
      </w:r>
    </w:p>
    <w:p w14:paraId="57DB23C8" w14:textId="77777777" w:rsidR="009D799C" w:rsidRPr="009D799C" w:rsidRDefault="009D799C" w:rsidP="00A8693E">
      <w:pPr>
        <w:spacing w:after="0" w:line="276" w:lineRule="auto"/>
        <w:jc w:val="both"/>
        <w:rPr>
          <w:rFonts w:ascii="Times New Roman" w:hAnsi="Times New Roman"/>
          <w:sz w:val="20"/>
          <w:szCs w:val="20"/>
        </w:rPr>
      </w:pPr>
      <w:r w:rsidRPr="009D799C">
        <w:rPr>
          <w:rFonts w:ascii="Times New Roman" w:hAnsi="Times New Roman"/>
          <w:sz w:val="20"/>
          <w:szCs w:val="20"/>
        </w:rPr>
        <w:t xml:space="preserve">Note: </w:t>
      </w:r>
      <w:r w:rsidR="003E42F2">
        <w:rPr>
          <w:rFonts w:ascii="Times New Roman" w:hAnsi="Times New Roman"/>
          <w:sz w:val="20"/>
          <w:szCs w:val="20"/>
        </w:rPr>
        <w:t xml:space="preserve">Tallene i parentes angiver antal selskaber, der udelukkende havde licens til </w:t>
      </w:r>
      <w:r w:rsidRPr="009D799C">
        <w:rPr>
          <w:rFonts w:ascii="Times New Roman" w:hAnsi="Times New Roman"/>
          <w:sz w:val="20"/>
          <w:szCs w:val="20"/>
        </w:rPr>
        <w:t>forsøgsfiskeri efter torsk.</w:t>
      </w:r>
    </w:p>
    <w:p w14:paraId="0CF8829B" w14:textId="77777777" w:rsidR="00EF49C0" w:rsidRDefault="00EF49C0" w:rsidP="00A8693E">
      <w:pPr>
        <w:spacing w:after="0" w:line="276" w:lineRule="auto"/>
        <w:jc w:val="both"/>
        <w:rPr>
          <w:rFonts w:ascii="Times New Roman" w:hAnsi="Times New Roman" w:cs="Times New Roman"/>
        </w:rPr>
      </w:pPr>
    </w:p>
    <w:p w14:paraId="34B72AB5" w14:textId="77777777" w:rsidR="00EF49C0" w:rsidRPr="001131F6" w:rsidRDefault="00EF49C0" w:rsidP="00A8693E">
      <w:pPr>
        <w:spacing w:after="0" w:line="276" w:lineRule="auto"/>
        <w:jc w:val="both"/>
        <w:rPr>
          <w:rFonts w:ascii="Times New Roman" w:hAnsi="Times New Roman" w:cs="Times New Roman"/>
        </w:rPr>
      </w:pPr>
      <w:r w:rsidRPr="001131F6">
        <w:rPr>
          <w:rFonts w:ascii="Times New Roman" w:hAnsi="Times New Roman" w:cs="Times New Roman"/>
        </w:rPr>
        <w:t>Den havgående flåde</w:t>
      </w:r>
      <w:r w:rsidR="00E63C82">
        <w:rPr>
          <w:rFonts w:ascii="Times New Roman" w:hAnsi="Times New Roman" w:cs="Times New Roman"/>
        </w:rPr>
        <w:t>,</w:t>
      </w:r>
      <w:r w:rsidRPr="001131F6">
        <w:rPr>
          <w:rFonts w:ascii="Times New Roman" w:hAnsi="Times New Roman" w:cs="Times New Roman"/>
        </w:rPr>
        <w:t xml:space="preserve"> der fisker efter andre arter end rejer, der kombinerer fiskeri af de arter i tabel 1 og producerer dem til havs, har i 2020 bestået af 6 fabrikstrawlere i størrelsen 65-87 mete</w:t>
      </w:r>
      <w:r w:rsidR="00CA0F9E">
        <w:rPr>
          <w:rFonts w:ascii="Times New Roman" w:hAnsi="Times New Roman" w:cs="Times New Roman"/>
        </w:rPr>
        <w:t>r</w:t>
      </w:r>
      <w:r w:rsidRPr="001131F6">
        <w:rPr>
          <w:rFonts w:ascii="Times New Roman" w:hAnsi="Times New Roman" w:cs="Times New Roman"/>
        </w:rPr>
        <w:t xml:space="preserve"> samt 1 langl</w:t>
      </w:r>
      <w:r>
        <w:rPr>
          <w:rFonts w:ascii="Times New Roman" w:hAnsi="Times New Roman" w:cs="Times New Roman"/>
        </w:rPr>
        <w:t xml:space="preserve">inefartøj i størrelsen 52 meter, jf. tabel </w:t>
      </w:r>
      <w:r w:rsidR="00801EFF">
        <w:rPr>
          <w:rFonts w:ascii="Times New Roman" w:hAnsi="Times New Roman" w:cs="Times New Roman"/>
        </w:rPr>
        <w:t>4</w:t>
      </w:r>
      <w:r>
        <w:rPr>
          <w:rFonts w:ascii="Times New Roman" w:hAnsi="Times New Roman" w:cs="Times New Roman"/>
        </w:rPr>
        <w:t>.</w:t>
      </w:r>
    </w:p>
    <w:p w14:paraId="71EE36A5" w14:textId="77777777" w:rsidR="00EF49C0" w:rsidRPr="001131F6" w:rsidRDefault="00EF49C0" w:rsidP="00A8693E">
      <w:pPr>
        <w:spacing w:after="0" w:line="276" w:lineRule="auto"/>
        <w:jc w:val="both"/>
        <w:rPr>
          <w:rFonts w:ascii="Times New Roman" w:hAnsi="Times New Roman" w:cs="Times New Roman"/>
        </w:rPr>
      </w:pPr>
    </w:p>
    <w:p w14:paraId="5AB3506D" w14:textId="46A926B5" w:rsidR="00200E0B" w:rsidRDefault="00EF49C0" w:rsidP="00A8693E">
      <w:pPr>
        <w:spacing w:after="0" w:line="276" w:lineRule="auto"/>
        <w:jc w:val="both"/>
        <w:rPr>
          <w:rFonts w:ascii="Times New Roman" w:hAnsi="Times New Roman" w:cs="Times New Roman"/>
        </w:rPr>
      </w:pPr>
      <w:r>
        <w:rPr>
          <w:rFonts w:ascii="Times New Roman" w:hAnsi="Times New Roman" w:cs="Times New Roman"/>
        </w:rPr>
        <w:t xml:space="preserve">Flåden fik </w:t>
      </w:r>
      <w:r w:rsidR="00E63C82">
        <w:rPr>
          <w:rFonts w:ascii="Times New Roman" w:hAnsi="Times New Roman" w:cs="Times New Roman"/>
        </w:rPr>
        <w:t xml:space="preserve">i 2020 </w:t>
      </w:r>
      <w:r>
        <w:rPr>
          <w:rFonts w:ascii="Times New Roman" w:hAnsi="Times New Roman" w:cs="Times New Roman"/>
        </w:rPr>
        <w:t>tildelt</w:t>
      </w:r>
      <w:r w:rsidRPr="001131F6">
        <w:rPr>
          <w:rFonts w:ascii="Times New Roman" w:hAnsi="Times New Roman" w:cs="Times New Roman"/>
        </w:rPr>
        <w:t xml:space="preserve"> </w:t>
      </w:r>
      <w:r>
        <w:rPr>
          <w:rFonts w:ascii="Times New Roman" w:hAnsi="Times New Roman" w:cs="Times New Roman"/>
        </w:rPr>
        <w:t xml:space="preserve">i </w:t>
      </w:r>
      <w:r w:rsidRPr="001131F6">
        <w:rPr>
          <w:rFonts w:ascii="Times New Roman" w:hAnsi="Times New Roman" w:cs="Times New Roman"/>
        </w:rPr>
        <w:t xml:space="preserve">alt </w:t>
      </w:r>
      <w:r>
        <w:rPr>
          <w:rFonts w:ascii="Times New Roman" w:hAnsi="Times New Roman" w:cs="Times New Roman"/>
        </w:rPr>
        <w:t>41.641</w:t>
      </w:r>
      <w:r w:rsidRPr="001131F6">
        <w:rPr>
          <w:rFonts w:ascii="Times New Roman" w:hAnsi="Times New Roman" w:cs="Times New Roman"/>
        </w:rPr>
        <w:t xml:space="preserve"> tons kvote, </w:t>
      </w:r>
      <w:r w:rsidR="00ED6D56">
        <w:rPr>
          <w:rFonts w:ascii="Times New Roman" w:hAnsi="Times New Roman" w:cs="Times New Roman"/>
        </w:rPr>
        <w:t>hvidfisk</w:t>
      </w:r>
      <w:r w:rsidRPr="001131F6">
        <w:rPr>
          <w:rFonts w:ascii="Times New Roman" w:hAnsi="Times New Roman" w:cs="Times New Roman"/>
        </w:rPr>
        <w:t xml:space="preserve">, jf. tabel 1. </w:t>
      </w:r>
      <w:r w:rsidR="00F42074">
        <w:rPr>
          <w:rFonts w:ascii="Times New Roman" w:hAnsi="Times New Roman" w:cs="Times New Roman"/>
        </w:rPr>
        <w:t xml:space="preserve">Fem ud af de syv fartøjer fik tildelt makrelkvote i 2020. </w:t>
      </w:r>
      <w:r w:rsidRPr="001131F6">
        <w:rPr>
          <w:rFonts w:ascii="Times New Roman" w:hAnsi="Times New Roman" w:cs="Times New Roman"/>
        </w:rPr>
        <w:t>Hvis det anslås, at fartøjerne på 65 meter og større kan fiske mellem 10-12.000 tons pr. år</w:t>
      </w:r>
      <w:r w:rsidR="00E63C82">
        <w:rPr>
          <w:rFonts w:ascii="Times New Roman" w:hAnsi="Times New Roman" w:cs="Times New Roman"/>
        </w:rPr>
        <w:t>,</w:t>
      </w:r>
      <w:r w:rsidRPr="001131F6">
        <w:rPr>
          <w:rFonts w:ascii="Times New Roman" w:hAnsi="Times New Roman" w:cs="Times New Roman"/>
        </w:rPr>
        <w:t xml:space="preserve"> svarer det til fangstkapacitet på mellem 60.000 - 72.000 tons. Anslås fartøjet på 52 meter at kunne fiske 6.000 tons pr. år, anslås den samlede fiskerikapacitet </w:t>
      </w:r>
      <w:r>
        <w:rPr>
          <w:rFonts w:ascii="Times New Roman" w:hAnsi="Times New Roman" w:cs="Times New Roman"/>
        </w:rPr>
        <w:t>i den havgående del af flåden</w:t>
      </w:r>
      <w:r w:rsidR="00E63C82">
        <w:rPr>
          <w:rFonts w:ascii="Times New Roman" w:hAnsi="Times New Roman" w:cs="Times New Roman"/>
        </w:rPr>
        <w:t>,</w:t>
      </w:r>
      <w:r w:rsidR="00200E0B">
        <w:rPr>
          <w:rFonts w:ascii="Times New Roman" w:hAnsi="Times New Roman" w:cs="Times New Roman"/>
        </w:rPr>
        <w:t xml:space="preserve"> der fisker hvidfisk</w:t>
      </w:r>
      <w:r w:rsidR="00E63C82">
        <w:rPr>
          <w:rFonts w:ascii="Times New Roman" w:hAnsi="Times New Roman" w:cs="Times New Roman"/>
        </w:rPr>
        <w:t>,</w:t>
      </w:r>
      <w:r>
        <w:rPr>
          <w:rFonts w:ascii="Times New Roman" w:hAnsi="Times New Roman" w:cs="Times New Roman"/>
        </w:rPr>
        <w:t xml:space="preserve"> </w:t>
      </w:r>
      <w:r w:rsidRPr="001131F6">
        <w:rPr>
          <w:rFonts w:ascii="Times New Roman" w:hAnsi="Times New Roman" w:cs="Times New Roman"/>
        </w:rPr>
        <w:t xml:space="preserve">at være mellem 66.000-78.000 tons. </w:t>
      </w:r>
      <w:r w:rsidR="00200E0B">
        <w:rPr>
          <w:rFonts w:ascii="Times New Roman" w:hAnsi="Times New Roman" w:cs="Times New Roman"/>
        </w:rPr>
        <w:t>Dette indikerer</w:t>
      </w:r>
      <w:r w:rsidR="00E63C82">
        <w:rPr>
          <w:rFonts w:ascii="Times New Roman" w:hAnsi="Times New Roman" w:cs="Times New Roman"/>
        </w:rPr>
        <w:t>,</w:t>
      </w:r>
      <w:r w:rsidR="00200E0B">
        <w:rPr>
          <w:rFonts w:ascii="Times New Roman" w:hAnsi="Times New Roman" w:cs="Times New Roman"/>
        </w:rPr>
        <w:t xml:space="preserve"> at det er overkapacitet i flåden i forhold til kvotegrundlaget. </w:t>
      </w:r>
    </w:p>
    <w:p w14:paraId="2C21426F" w14:textId="77777777" w:rsidR="00B4377D" w:rsidRDefault="00B4377D" w:rsidP="00A8693E">
      <w:pPr>
        <w:spacing w:after="0" w:line="276" w:lineRule="auto"/>
        <w:jc w:val="both"/>
        <w:rPr>
          <w:rFonts w:ascii="Times New Roman" w:hAnsi="Times New Roman" w:cs="Times New Roman"/>
        </w:rPr>
      </w:pPr>
    </w:p>
    <w:p w14:paraId="12FE7830" w14:textId="77777777" w:rsidR="00EF49C0" w:rsidRPr="001131F6" w:rsidRDefault="00EF49C0" w:rsidP="00A8693E">
      <w:pPr>
        <w:spacing w:after="0" w:line="276" w:lineRule="auto"/>
        <w:jc w:val="both"/>
        <w:rPr>
          <w:rFonts w:ascii="Times New Roman" w:hAnsi="Times New Roman" w:cs="Times New Roman"/>
        </w:rPr>
      </w:pPr>
      <w:r w:rsidRPr="001131F6">
        <w:rPr>
          <w:rFonts w:ascii="Times New Roman" w:hAnsi="Times New Roman" w:cs="Times New Roman"/>
        </w:rPr>
        <w:t xml:space="preserve">Tabel </w:t>
      </w:r>
      <w:r w:rsidR="00801EFF">
        <w:rPr>
          <w:rFonts w:ascii="Times New Roman" w:hAnsi="Times New Roman" w:cs="Times New Roman"/>
        </w:rPr>
        <w:t>4</w:t>
      </w:r>
      <w:r w:rsidRPr="001131F6">
        <w:rPr>
          <w:rFonts w:ascii="Times New Roman" w:hAnsi="Times New Roman" w:cs="Times New Roman"/>
        </w:rPr>
        <w:t>:</w:t>
      </w:r>
      <w:r>
        <w:rPr>
          <w:rFonts w:ascii="Times New Roman" w:hAnsi="Times New Roman" w:cs="Times New Roman"/>
        </w:rPr>
        <w:t xml:space="preserve"> Aktive fartøjer i hvidfisk fiskeriet i 2020.</w:t>
      </w:r>
    </w:p>
    <w:tbl>
      <w:tblPr>
        <w:tblW w:w="9636" w:type="dxa"/>
        <w:tblCellMar>
          <w:left w:w="70" w:type="dxa"/>
          <w:right w:w="70" w:type="dxa"/>
        </w:tblCellMar>
        <w:tblLook w:val="04A0" w:firstRow="1" w:lastRow="0" w:firstColumn="1" w:lastColumn="0" w:noHBand="0" w:noVBand="1"/>
      </w:tblPr>
      <w:tblGrid>
        <w:gridCol w:w="3138"/>
        <w:gridCol w:w="1629"/>
        <w:gridCol w:w="1398"/>
        <w:gridCol w:w="1784"/>
        <w:gridCol w:w="1687"/>
      </w:tblGrid>
      <w:tr w:rsidR="00EF49C0" w:rsidRPr="001131F6" w14:paraId="1DB0F685" w14:textId="77777777" w:rsidTr="00EF49C0">
        <w:trPr>
          <w:trHeight w:val="246"/>
        </w:trPr>
        <w:tc>
          <w:tcPr>
            <w:tcW w:w="3138" w:type="dxa"/>
            <w:tcBorders>
              <w:top w:val="single" w:sz="4" w:space="0" w:color="auto"/>
              <w:left w:val="single" w:sz="4" w:space="0" w:color="auto"/>
              <w:bottom w:val="nil"/>
              <w:right w:val="single" w:sz="4" w:space="0" w:color="auto"/>
            </w:tcBorders>
            <w:shd w:val="clear" w:color="000000" w:fill="FFFFFF"/>
            <w:noWrap/>
            <w:vAlign w:val="bottom"/>
            <w:hideMark/>
          </w:tcPr>
          <w:p w14:paraId="47559770" w14:textId="77777777" w:rsidR="00EF49C0" w:rsidRPr="005F7323" w:rsidRDefault="00EF49C0" w:rsidP="00A8693E">
            <w:pPr>
              <w:spacing w:after="0" w:line="276" w:lineRule="auto"/>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 </w:t>
            </w:r>
          </w:p>
        </w:tc>
        <w:tc>
          <w:tcPr>
            <w:tcW w:w="1629" w:type="dxa"/>
            <w:tcBorders>
              <w:top w:val="single" w:sz="4" w:space="0" w:color="auto"/>
              <w:left w:val="nil"/>
              <w:bottom w:val="nil"/>
              <w:right w:val="nil"/>
            </w:tcBorders>
            <w:shd w:val="clear" w:color="000000" w:fill="FFFFFF"/>
            <w:noWrap/>
            <w:vAlign w:val="bottom"/>
            <w:hideMark/>
          </w:tcPr>
          <w:p w14:paraId="399F80E6" w14:textId="77777777" w:rsidR="00EF49C0" w:rsidRPr="005F7323" w:rsidRDefault="00EF49C0" w:rsidP="00A8693E">
            <w:pPr>
              <w:spacing w:after="0" w:line="276" w:lineRule="auto"/>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 </w:t>
            </w:r>
          </w:p>
        </w:tc>
        <w:tc>
          <w:tcPr>
            <w:tcW w:w="1398" w:type="dxa"/>
            <w:tcBorders>
              <w:top w:val="single" w:sz="4" w:space="0" w:color="auto"/>
              <w:left w:val="single" w:sz="4" w:space="0" w:color="auto"/>
              <w:bottom w:val="nil"/>
              <w:right w:val="nil"/>
            </w:tcBorders>
            <w:shd w:val="clear" w:color="000000" w:fill="FFFFFF"/>
            <w:noWrap/>
            <w:vAlign w:val="bottom"/>
            <w:hideMark/>
          </w:tcPr>
          <w:p w14:paraId="3720CFE5" w14:textId="77777777" w:rsidR="00EF49C0" w:rsidRPr="005F7323" w:rsidRDefault="00EF49C0" w:rsidP="00A8693E">
            <w:pPr>
              <w:spacing w:after="0" w:line="276" w:lineRule="auto"/>
              <w:jc w:val="right"/>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 </w:t>
            </w:r>
          </w:p>
        </w:tc>
        <w:tc>
          <w:tcPr>
            <w:tcW w:w="1784" w:type="dxa"/>
            <w:tcBorders>
              <w:top w:val="single" w:sz="4" w:space="0" w:color="auto"/>
              <w:left w:val="single" w:sz="4" w:space="0" w:color="auto"/>
              <w:bottom w:val="nil"/>
              <w:right w:val="single" w:sz="4" w:space="0" w:color="auto"/>
            </w:tcBorders>
            <w:shd w:val="clear" w:color="000000" w:fill="FFFFFF"/>
            <w:noWrap/>
            <w:vAlign w:val="bottom"/>
            <w:hideMark/>
          </w:tcPr>
          <w:p w14:paraId="00D463F4" w14:textId="77777777" w:rsidR="00EF49C0" w:rsidRPr="005F7323" w:rsidRDefault="00EF49C0" w:rsidP="00A8693E">
            <w:pPr>
              <w:spacing w:after="0" w:line="276" w:lineRule="auto"/>
              <w:jc w:val="right"/>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 </w:t>
            </w:r>
          </w:p>
        </w:tc>
        <w:tc>
          <w:tcPr>
            <w:tcW w:w="1687" w:type="dxa"/>
            <w:tcBorders>
              <w:top w:val="single" w:sz="4" w:space="0" w:color="auto"/>
              <w:left w:val="nil"/>
              <w:bottom w:val="nil"/>
              <w:right w:val="single" w:sz="4" w:space="0" w:color="auto"/>
            </w:tcBorders>
            <w:shd w:val="clear" w:color="000000" w:fill="FFFFFF"/>
            <w:noWrap/>
            <w:vAlign w:val="bottom"/>
            <w:hideMark/>
          </w:tcPr>
          <w:p w14:paraId="6F0B405C" w14:textId="77777777" w:rsidR="00EF49C0" w:rsidRPr="005F7323" w:rsidRDefault="00EF49C0" w:rsidP="00A8693E">
            <w:pPr>
              <w:spacing w:after="0" w:line="276" w:lineRule="auto"/>
              <w:jc w:val="right"/>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 </w:t>
            </w:r>
          </w:p>
        </w:tc>
      </w:tr>
      <w:tr w:rsidR="00EF49C0" w:rsidRPr="001131F6" w14:paraId="5DE7D126" w14:textId="77777777" w:rsidTr="00EF49C0">
        <w:trPr>
          <w:trHeight w:val="246"/>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14:paraId="28EE1D51" w14:textId="77777777" w:rsidR="00EF49C0" w:rsidRPr="005F7323" w:rsidRDefault="00EF49C0" w:rsidP="00A8693E">
            <w:pPr>
              <w:spacing w:after="0" w:line="276" w:lineRule="auto"/>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Selskab</w:t>
            </w:r>
          </w:p>
        </w:tc>
        <w:tc>
          <w:tcPr>
            <w:tcW w:w="1629" w:type="dxa"/>
            <w:tcBorders>
              <w:top w:val="nil"/>
              <w:left w:val="nil"/>
              <w:bottom w:val="single" w:sz="4" w:space="0" w:color="auto"/>
              <w:right w:val="nil"/>
            </w:tcBorders>
            <w:shd w:val="clear" w:color="000000" w:fill="FFFFFF"/>
            <w:noWrap/>
            <w:vAlign w:val="bottom"/>
            <w:hideMark/>
          </w:tcPr>
          <w:p w14:paraId="51E76D76" w14:textId="77777777" w:rsidR="00EF49C0" w:rsidRPr="005F7323" w:rsidRDefault="00EF49C0" w:rsidP="00A8693E">
            <w:pPr>
              <w:spacing w:after="0" w:line="276" w:lineRule="auto"/>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Navn på fartøj</w:t>
            </w:r>
          </w:p>
        </w:tc>
        <w:tc>
          <w:tcPr>
            <w:tcW w:w="1398" w:type="dxa"/>
            <w:tcBorders>
              <w:top w:val="nil"/>
              <w:left w:val="single" w:sz="4" w:space="0" w:color="auto"/>
              <w:bottom w:val="single" w:sz="4" w:space="0" w:color="auto"/>
              <w:right w:val="nil"/>
            </w:tcBorders>
            <w:shd w:val="clear" w:color="000000" w:fill="FFFFFF"/>
            <w:noWrap/>
            <w:vAlign w:val="bottom"/>
            <w:hideMark/>
          </w:tcPr>
          <w:p w14:paraId="365F3B2F" w14:textId="77777777" w:rsidR="00EF49C0" w:rsidRPr="005F7323" w:rsidRDefault="00EF49C0" w:rsidP="00A8693E">
            <w:pPr>
              <w:spacing w:after="0" w:line="276" w:lineRule="auto"/>
              <w:jc w:val="right"/>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Byggeår</w:t>
            </w:r>
          </w:p>
        </w:tc>
        <w:tc>
          <w:tcPr>
            <w:tcW w:w="1784" w:type="dxa"/>
            <w:tcBorders>
              <w:top w:val="nil"/>
              <w:left w:val="single" w:sz="4" w:space="0" w:color="auto"/>
              <w:bottom w:val="single" w:sz="4" w:space="0" w:color="auto"/>
              <w:right w:val="single" w:sz="4" w:space="0" w:color="auto"/>
            </w:tcBorders>
            <w:shd w:val="clear" w:color="000000" w:fill="FFFFFF"/>
            <w:noWrap/>
            <w:vAlign w:val="bottom"/>
            <w:hideMark/>
          </w:tcPr>
          <w:p w14:paraId="7E6E4274" w14:textId="77777777" w:rsidR="00EF49C0" w:rsidRPr="005F7323" w:rsidRDefault="00B87CA8" w:rsidP="00A8693E">
            <w:pPr>
              <w:spacing w:after="0" w:line="276" w:lineRule="auto"/>
              <w:jc w:val="right"/>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Længde,</w:t>
            </w:r>
            <w:r w:rsidR="00424C0A">
              <w:rPr>
                <w:rFonts w:ascii="Times New Roman" w:eastAsia="Times New Roman" w:hAnsi="Times New Roman" w:cs="Times New Roman"/>
                <w:b/>
                <w:color w:val="000000"/>
                <w:sz w:val="20"/>
                <w:szCs w:val="20"/>
                <w:lang w:eastAsia="da-DK"/>
              </w:rPr>
              <w:t xml:space="preserve"> </w:t>
            </w:r>
            <w:r w:rsidRPr="005F7323">
              <w:rPr>
                <w:rFonts w:ascii="Times New Roman" w:eastAsia="Times New Roman" w:hAnsi="Times New Roman" w:cs="Times New Roman"/>
                <w:b/>
                <w:color w:val="000000"/>
                <w:sz w:val="20"/>
                <w:szCs w:val="20"/>
                <w:lang w:eastAsia="da-DK"/>
              </w:rPr>
              <w:t>meter</w:t>
            </w:r>
          </w:p>
        </w:tc>
        <w:tc>
          <w:tcPr>
            <w:tcW w:w="1687" w:type="dxa"/>
            <w:tcBorders>
              <w:top w:val="nil"/>
              <w:left w:val="nil"/>
              <w:bottom w:val="single" w:sz="4" w:space="0" w:color="auto"/>
              <w:right w:val="single" w:sz="4" w:space="0" w:color="auto"/>
            </w:tcBorders>
            <w:shd w:val="clear" w:color="000000" w:fill="FFFFFF"/>
            <w:noWrap/>
            <w:vAlign w:val="bottom"/>
            <w:hideMark/>
          </w:tcPr>
          <w:p w14:paraId="66F847CF" w14:textId="77777777" w:rsidR="00EF49C0" w:rsidRPr="005F7323" w:rsidRDefault="00EF49C0" w:rsidP="00A8693E">
            <w:pPr>
              <w:spacing w:after="0" w:line="276" w:lineRule="auto"/>
              <w:jc w:val="right"/>
              <w:rPr>
                <w:rFonts w:ascii="Times New Roman" w:eastAsia="Times New Roman" w:hAnsi="Times New Roman" w:cs="Times New Roman"/>
                <w:b/>
                <w:color w:val="000000"/>
                <w:sz w:val="20"/>
                <w:szCs w:val="20"/>
                <w:lang w:eastAsia="da-DK"/>
              </w:rPr>
            </w:pPr>
            <w:r w:rsidRPr="005F7323">
              <w:rPr>
                <w:rFonts w:ascii="Times New Roman" w:eastAsia="Times New Roman" w:hAnsi="Times New Roman" w:cs="Times New Roman"/>
                <w:b/>
                <w:color w:val="000000"/>
                <w:sz w:val="20"/>
                <w:szCs w:val="20"/>
                <w:lang w:eastAsia="da-DK"/>
              </w:rPr>
              <w:t>Bruttotons</w:t>
            </w:r>
          </w:p>
        </w:tc>
      </w:tr>
      <w:tr w:rsidR="00EF49C0" w:rsidRPr="001131F6" w14:paraId="591CA23C" w14:textId="77777777" w:rsidTr="00EF49C0">
        <w:trPr>
          <w:trHeight w:val="255"/>
        </w:trPr>
        <w:tc>
          <w:tcPr>
            <w:tcW w:w="3138" w:type="dxa"/>
            <w:tcBorders>
              <w:top w:val="nil"/>
              <w:left w:val="single" w:sz="4" w:space="0" w:color="auto"/>
              <w:bottom w:val="nil"/>
              <w:right w:val="single" w:sz="4" w:space="0" w:color="auto"/>
            </w:tcBorders>
            <w:shd w:val="clear" w:color="000000" w:fill="FFFFFF"/>
            <w:noWrap/>
            <w:vAlign w:val="bottom"/>
            <w:hideMark/>
          </w:tcPr>
          <w:p w14:paraId="214F8FCC"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val="en-US" w:eastAsia="da-DK"/>
              </w:rPr>
            </w:pPr>
            <w:proofErr w:type="spellStart"/>
            <w:r w:rsidRPr="00EA19CB">
              <w:rPr>
                <w:rFonts w:ascii="Times New Roman" w:eastAsia="Times New Roman" w:hAnsi="Times New Roman" w:cs="Times New Roman"/>
                <w:color w:val="000000"/>
                <w:sz w:val="20"/>
                <w:szCs w:val="20"/>
                <w:lang w:val="en-US" w:eastAsia="da-DK"/>
              </w:rPr>
              <w:t>Selskab</w:t>
            </w:r>
            <w:proofErr w:type="spellEnd"/>
            <w:r w:rsidRPr="00EA19CB">
              <w:rPr>
                <w:rFonts w:ascii="Times New Roman" w:eastAsia="Times New Roman" w:hAnsi="Times New Roman" w:cs="Times New Roman"/>
                <w:color w:val="000000"/>
                <w:sz w:val="20"/>
                <w:szCs w:val="20"/>
                <w:lang w:val="en-US" w:eastAsia="da-DK"/>
              </w:rPr>
              <w:t xml:space="preserve"> 1</w:t>
            </w:r>
          </w:p>
        </w:tc>
        <w:tc>
          <w:tcPr>
            <w:tcW w:w="1629" w:type="dxa"/>
            <w:tcBorders>
              <w:top w:val="nil"/>
              <w:left w:val="nil"/>
              <w:bottom w:val="single" w:sz="4" w:space="0" w:color="auto"/>
              <w:right w:val="single" w:sz="4" w:space="0" w:color="auto"/>
            </w:tcBorders>
            <w:shd w:val="clear" w:color="000000" w:fill="FFFFFF"/>
            <w:noWrap/>
            <w:vAlign w:val="bottom"/>
            <w:hideMark/>
          </w:tcPr>
          <w:p w14:paraId="044C5BA8"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1</w:t>
            </w:r>
          </w:p>
        </w:tc>
        <w:tc>
          <w:tcPr>
            <w:tcW w:w="1398" w:type="dxa"/>
            <w:tcBorders>
              <w:top w:val="nil"/>
              <w:left w:val="nil"/>
              <w:bottom w:val="single" w:sz="4" w:space="0" w:color="auto"/>
              <w:right w:val="single" w:sz="4" w:space="0" w:color="auto"/>
            </w:tcBorders>
            <w:shd w:val="clear" w:color="000000" w:fill="FFFFFF"/>
            <w:noWrap/>
            <w:vAlign w:val="bottom"/>
            <w:hideMark/>
          </w:tcPr>
          <w:p w14:paraId="0064E7A5"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2019</w:t>
            </w:r>
          </w:p>
        </w:tc>
        <w:tc>
          <w:tcPr>
            <w:tcW w:w="1784" w:type="dxa"/>
            <w:tcBorders>
              <w:top w:val="nil"/>
              <w:left w:val="nil"/>
              <w:bottom w:val="single" w:sz="4" w:space="0" w:color="auto"/>
              <w:right w:val="single" w:sz="4" w:space="0" w:color="auto"/>
            </w:tcBorders>
            <w:shd w:val="clear" w:color="000000" w:fill="FFFFFF"/>
            <w:noWrap/>
            <w:vAlign w:val="bottom"/>
            <w:hideMark/>
          </w:tcPr>
          <w:p w14:paraId="3A174D7A"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81,80</w:t>
            </w:r>
          </w:p>
        </w:tc>
        <w:tc>
          <w:tcPr>
            <w:tcW w:w="1687" w:type="dxa"/>
            <w:tcBorders>
              <w:top w:val="nil"/>
              <w:left w:val="nil"/>
              <w:bottom w:val="single" w:sz="4" w:space="0" w:color="auto"/>
              <w:right w:val="single" w:sz="4" w:space="0" w:color="auto"/>
            </w:tcBorders>
            <w:shd w:val="clear" w:color="000000" w:fill="FFFFFF"/>
            <w:noWrap/>
            <w:vAlign w:val="bottom"/>
            <w:hideMark/>
          </w:tcPr>
          <w:p w14:paraId="2B04256D"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4.741</w:t>
            </w:r>
          </w:p>
        </w:tc>
      </w:tr>
      <w:tr w:rsidR="00EF49C0" w:rsidRPr="001131F6" w14:paraId="461BB6E4" w14:textId="77777777" w:rsidTr="00EF49C0">
        <w:trPr>
          <w:trHeight w:val="246"/>
        </w:trPr>
        <w:tc>
          <w:tcPr>
            <w:tcW w:w="3138" w:type="dxa"/>
            <w:tcBorders>
              <w:top w:val="nil"/>
              <w:left w:val="single" w:sz="4" w:space="0" w:color="auto"/>
              <w:bottom w:val="nil"/>
              <w:right w:val="single" w:sz="4" w:space="0" w:color="auto"/>
            </w:tcBorders>
            <w:shd w:val="clear" w:color="000000" w:fill="FFFFFF"/>
            <w:noWrap/>
            <w:vAlign w:val="bottom"/>
            <w:hideMark/>
          </w:tcPr>
          <w:p w14:paraId="3A88B742"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 </w:t>
            </w:r>
          </w:p>
        </w:tc>
        <w:tc>
          <w:tcPr>
            <w:tcW w:w="1629" w:type="dxa"/>
            <w:tcBorders>
              <w:top w:val="nil"/>
              <w:left w:val="nil"/>
              <w:bottom w:val="single" w:sz="4" w:space="0" w:color="auto"/>
              <w:right w:val="single" w:sz="4" w:space="0" w:color="auto"/>
            </w:tcBorders>
            <w:shd w:val="clear" w:color="000000" w:fill="FFFFFF"/>
            <w:noWrap/>
            <w:vAlign w:val="bottom"/>
            <w:hideMark/>
          </w:tcPr>
          <w:p w14:paraId="29EB2230"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2</w:t>
            </w:r>
          </w:p>
        </w:tc>
        <w:tc>
          <w:tcPr>
            <w:tcW w:w="1398" w:type="dxa"/>
            <w:tcBorders>
              <w:top w:val="nil"/>
              <w:left w:val="nil"/>
              <w:bottom w:val="single" w:sz="4" w:space="0" w:color="auto"/>
              <w:right w:val="single" w:sz="4" w:space="0" w:color="auto"/>
            </w:tcBorders>
            <w:shd w:val="clear" w:color="000000" w:fill="FFFFFF"/>
            <w:noWrap/>
            <w:vAlign w:val="bottom"/>
            <w:hideMark/>
          </w:tcPr>
          <w:p w14:paraId="3C8B62A8"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1988</w:t>
            </w:r>
          </w:p>
        </w:tc>
        <w:tc>
          <w:tcPr>
            <w:tcW w:w="1784" w:type="dxa"/>
            <w:tcBorders>
              <w:top w:val="nil"/>
              <w:left w:val="nil"/>
              <w:bottom w:val="single" w:sz="4" w:space="0" w:color="auto"/>
              <w:right w:val="single" w:sz="4" w:space="0" w:color="auto"/>
            </w:tcBorders>
            <w:shd w:val="clear" w:color="000000" w:fill="FFFFFF"/>
            <w:noWrap/>
            <w:vAlign w:val="bottom"/>
            <w:hideMark/>
          </w:tcPr>
          <w:p w14:paraId="4A548AFE"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68,36</w:t>
            </w:r>
          </w:p>
        </w:tc>
        <w:tc>
          <w:tcPr>
            <w:tcW w:w="1687" w:type="dxa"/>
            <w:tcBorders>
              <w:top w:val="nil"/>
              <w:left w:val="nil"/>
              <w:bottom w:val="single" w:sz="4" w:space="0" w:color="auto"/>
              <w:right w:val="single" w:sz="4" w:space="0" w:color="auto"/>
            </w:tcBorders>
            <w:shd w:val="clear" w:color="000000" w:fill="FFFFFF"/>
            <w:noWrap/>
            <w:vAlign w:val="bottom"/>
            <w:hideMark/>
          </w:tcPr>
          <w:p w14:paraId="28650273"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2.549</w:t>
            </w:r>
          </w:p>
        </w:tc>
      </w:tr>
      <w:tr w:rsidR="00EF49C0" w:rsidRPr="001131F6" w14:paraId="3990FBB5" w14:textId="77777777" w:rsidTr="00EF49C0">
        <w:trPr>
          <w:trHeight w:val="255"/>
        </w:trPr>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41CC0"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val="en-US" w:eastAsia="da-DK"/>
              </w:rPr>
            </w:pPr>
            <w:proofErr w:type="spellStart"/>
            <w:r w:rsidRPr="00EA19CB">
              <w:rPr>
                <w:rFonts w:ascii="Times New Roman" w:eastAsia="Times New Roman" w:hAnsi="Times New Roman" w:cs="Times New Roman"/>
                <w:color w:val="000000"/>
                <w:sz w:val="20"/>
                <w:szCs w:val="20"/>
                <w:lang w:val="en-US" w:eastAsia="da-DK"/>
              </w:rPr>
              <w:t>Selskab</w:t>
            </w:r>
            <w:proofErr w:type="spellEnd"/>
            <w:r w:rsidRPr="00EA19CB">
              <w:rPr>
                <w:rFonts w:ascii="Times New Roman" w:eastAsia="Times New Roman" w:hAnsi="Times New Roman" w:cs="Times New Roman"/>
                <w:color w:val="000000"/>
                <w:sz w:val="20"/>
                <w:szCs w:val="20"/>
                <w:lang w:val="en-US" w:eastAsia="da-DK"/>
              </w:rPr>
              <w:t xml:space="preserve"> 2</w:t>
            </w:r>
          </w:p>
        </w:tc>
        <w:tc>
          <w:tcPr>
            <w:tcW w:w="1629" w:type="dxa"/>
            <w:tcBorders>
              <w:top w:val="nil"/>
              <w:left w:val="nil"/>
              <w:bottom w:val="single" w:sz="4" w:space="0" w:color="auto"/>
              <w:right w:val="single" w:sz="4" w:space="0" w:color="auto"/>
            </w:tcBorders>
            <w:shd w:val="clear" w:color="000000" w:fill="FFFFFF"/>
            <w:noWrap/>
            <w:vAlign w:val="bottom"/>
            <w:hideMark/>
          </w:tcPr>
          <w:p w14:paraId="400FB603"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3</w:t>
            </w:r>
          </w:p>
        </w:tc>
        <w:tc>
          <w:tcPr>
            <w:tcW w:w="1398" w:type="dxa"/>
            <w:tcBorders>
              <w:top w:val="nil"/>
              <w:left w:val="nil"/>
              <w:bottom w:val="single" w:sz="4" w:space="0" w:color="auto"/>
              <w:right w:val="single" w:sz="4" w:space="0" w:color="auto"/>
            </w:tcBorders>
            <w:shd w:val="clear" w:color="000000" w:fill="FFFFFF"/>
            <w:noWrap/>
            <w:vAlign w:val="bottom"/>
            <w:hideMark/>
          </w:tcPr>
          <w:p w14:paraId="35C656C6"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2000</w:t>
            </w:r>
          </w:p>
        </w:tc>
        <w:tc>
          <w:tcPr>
            <w:tcW w:w="1784" w:type="dxa"/>
            <w:tcBorders>
              <w:top w:val="nil"/>
              <w:left w:val="nil"/>
              <w:bottom w:val="single" w:sz="4" w:space="0" w:color="auto"/>
              <w:right w:val="single" w:sz="4" w:space="0" w:color="auto"/>
            </w:tcBorders>
            <w:shd w:val="clear" w:color="000000" w:fill="FFFFFF"/>
            <w:noWrap/>
            <w:vAlign w:val="bottom"/>
            <w:hideMark/>
          </w:tcPr>
          <w:p w14:paraId="14FBC0ED"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87,60</w:t>
            </w:r>
          </w:p>
        </w:tc>
        <w:tc>
          <w:tcPr>
            <w:tcW w:w="1687" w:type="dxa"/>
            <w:tcBorders>
              <w:top w:val="nil"/>
              <w:left w:val="nil"/>
              <w:bottom w:val="single" w:sz="4" w:space="0" w:color="auto"/>
              <w:right w:val="single" w:sz="4" w:space="0" w:color="auto"/>
            </w:tcBorders>
            <w:shd w:val="clear" w:color="000000" w:fill="FFFFFF"/>
            <w:noWrap/>
            <w:vAlign w:val="bottom"/>
            <w:hideMark/>
          </w:tcPr>
          <w:p w14:paraId="1924F328"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3.787</w:t>
            </w:r>
          </w:p>
        </w:tc>
      </w:tr>
      <w:tr w:rsidR="00EF49C0" w:rsidRPr="001131F6" w14:paraId="5A41FF00" w14:textId="77777777" w:rsidTr="00EF49C0">
        <w:trPr>
          <w:trHeight w:val="246"/>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14:paraId="0A150EBF"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 xml:space="preserve">Selskab 3 </w:t>
            </w:r>
          </w:p>
        </w:tc>
        <w:tc>
          <w:tcPr>
            <w:tcW w:w="1629" w:type="dxa"/>
            <w:tcBorders>
              <w:top w:val="nil"/>
              <w:left w:val="nil"/>
              <w:bottom w:val="single" w:sz="4" w:space="0" w:color="auto"/>
              <w:right w:val="single" w:sz="4" w:space="0" w:color="auto"/>
            </w:tcBorders>
            <w:shd w:val="clear" w:color="000000" w:fill="FFFFFF"/>
            <w:noWrap/>
            <w:vAlign w:val="bottom"/>
            <w:hideMark/>
          </w:tcPr>
          <w:p w14:paraId="64E36D82"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4</w:t>
            </w:r>
          </w:p>
        </w:tc>
        <w:tc>
          <w:tcPr>
            <w:tcW w:w="1398" w:type="dxa"/>
            <w:tcBorders>
              <w:top w:val="nil"/>
              <w:left w:val="nil"/>
              <w:bottom w:val="single" w:sz="4" w:space="0" w:color="auto"/>
              <w:right w:val="single" w:sz="4" w:space="0" w:color="auto"/>
            </w:tcBorders>
            <w:shd w:val="clear" w:color="000000" w:fill="FFFFFF"/>
            <w:noWrap/>
            <w:vAlign w:val="bottom"/>
            <w:hideMark/>
          </w:tcPr>
          <w:p w14:paraId="03ECEFF1"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2001</w:t>
            </w:r>
          </w:p>
        </w:tc>
        <w:tc>
          <w:tcPr>
            <w:tcW w:w="1784" w:type="dxa"/>
            <w:tcBorders>
              <w:top w:val="nil"/>
              <w:left w:val="nil"/>
              <w:bottom w:val="single" w:sz="4" w:space="0" w:color="auto"/>
              <w:right w:val="single" w:sz="4" w:space="0" w:color="auto"/>
            </w:tcBorders>
            <w:shd w:val="clear" w:color="000000" w:fill="FFFFFF"/>
            <w:noWrap/>
            <w:vAlign w:val="bottom"/>
            <w:hideMark/>
          </w:tcPr>
          <w:p w14:paraId="33BDB09E"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66,40</w:t>
            </w:r>
          </w:p>
        </w:tc>
        <w:tc>
          <w:tcPr>
            <w:tcW w:w="1687" w:type="dxa"/>
            <w:tcBorders>
              <w:top w:val="nil"/>
              <w:left w:val="nil"/>
              <w:bottom w:val="single" w:sz="4" w:space="0" w:color="auto"/>
              <w:right w:val="single" w:sz="4" w:space="0" w:color="auto"/>
            </w:tcBorders>
            <w:shd w:val="clear" w:color="000000" w:fill="FFFFFF"/>
            <w:noWrap/>
            <w:vAlign w:val="bottom"/>
            <w:hideMark/>
          </w:tcPr>
          <w:p w14:paraId="0F2D5C7E"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2.652</w:t>
            </w:r>
          </w:p>
        </w:tc>
      </w:tr>
      <w:tr w:rsidR="00EF49C0" w:rsidRPr="001131F6" w14:paraId="571AA2DC" w14:textId="77777777" w:rsidTr="00EF49C0">
        <w:trPr>
          <w:trHeight w:val="255"/>
        </w:trPr>
        <w:tc>
          <w:tcPr>
            <w:tcW w:w="3138" w:type="dxa"/>
            <w:tcBorders>
              <w:top w:val="nil"/>
              <w:left w:val="single" w:sz="4" w:space="0" w:color="auto"/>
              <w:bottom w:val="nil"/>
              <w:right w:val="single" w:sz="4" w:space="0" w:color="auto"/>
            </w:tcBorders>
            <w:shd w:val="clear" w:color="000000" w:fill="FFFFFF"/>
            <w:noWrap/>
            <w:vAlign w:val="bottom"/>
            <w:hideMark/>
          </w:tcPr>
          <w:p w14:paraId="30E089CE"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val="en-US" w:eastAsia="da-DK"/>
              </w:rPr>
            </w:pPr>
            <w:proofErr w:type="spellStart"/>
            <w:r w:rsidRPr="00EA19CB">
              <w:rPr>
                <w:rFonts w:ascii="Times New Roman" w:eastAsia="Times New Roman" w:hAnsi="Times New Roman" w:cs="Times New Roman"/>
                <w:color w:val="000000"/>
                <w:sz w:val="20"/>
                <w:szCs w:val="20"/>
                <w:lang w:val="en-US" w:eastAsia="da-DK"/>
              </w:rPr>
              <w:t>Selskab</w:t>
            </w:r>
            <w:proofErr w:type="spellEnd"/>
            <w:r w:rsidRPr="00EA19CB">
              <w:rPr>
                <w:rFonts w:ascii="Times New Roman" w:eastAsia="Times New Roman" w:hAnsi="Times New Roman" w:cs="Times New Roman"/>
                <w:color w:val="000000"/>
                <w:sz w:val="20"/>
                <w:szCs w:val="20"/>
                <w:lang w:val="en-US" w:eastAsia="da-DK"/>
              </w:rPr>
              <w:t xml:space="preserve"> 4</w:t>
            </w:r>
          </w:p>
        </w:tc>
        <w:tc>
          <w:tcPr>
            <w:tcW w:w="1629" w:type="dxa"/>
            <w:tcBorders>
              <w:top w:val="nil"/>
              <w:left w:val="nil"/>
              <w:bottom w:val="single" w:sz="4" w:space="0" w:color="auto"/>
              <w:right w:val="single" w:sz="4" w:space="0" w:color="auto"/>
            </w:tcBorders>
            <w:shd w:val="clear" w:color="000000" w:fill="FFFFFF"/>
            <w:noWrap/>
            <w:vAlign w:val="bottom"/>
            <w:hideMark/>
          </w:tcPr>
          <w:p w14:paraId="31135F68"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5</w:t>
            </w:r>
          </w:p>
        </w:tc>
        <w:tc>
          <w:tcPr>
            <w:tcW w:w="1398" w:type="dxa"/>
            <w:tcBorders>
              <w:top w:val="nil"/>
              <w:left w:val="nil"/>
              <w:bottom w:val="single" w:sz="4" w:space="0" w:color="auto"/>
              <w:right w:val="single" w:sz="4" w:space="0" w:color="auto"/>
            </w:tcBorders>
            <w:shd w:val="clear" w:color="000000" w:fill="FFFFFF"/>
            <w:noWrap/>
            <w:vAlign w:val="bottom"/>
            <w:hideMark/>
          </w:tcPr>
          <w:p w14:paraId="4F3FDBC4"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2019</w:t>
            </w:r>
          </w:p>
        </w:tc>
        <w:tc>
          <w:tcPr>
            <w:tcW w:w="1784" w:type="dxa"/>
            <w:tcBorders>
              <w:top w:val="nil"/>
              <w:left w:val="nil"/>
              <w:bottom w:val="single" w:sz="4" w:space="0" w:color="auto"/>
              <w:right w:val="single" w:sz="4" w:space="0" w:color="auto"/>
            </w:tcBorders>
            <w:shd w:val="clear" w:color="000000" w:fill="FFFFFF"/>
            <w:noWrap/>
            <w:vAlign w:val="bottom"/>
            <w:hideMark/>
          </w:tcPr>
          <w:p w14:paraId="5FDED6E0"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82,05</w:t>
            </w:r>
          </w:p>
        </w:tc>
        <w:tc>
          <w:tcPr>
            <w:tcW w:w="1687" w:type="dxa"/>
            <w:tcBorders>
              <w:top w:val="nil"/>
              <w:left w:val="nil"/>
              <w:bottom w:val="single" w:sz="4" w:space="0" w:color="auto"/>
              <w:right w:val="single" w:sz="4" w:space="0" w:color="auto"/>
            </w:tcBorders>
            <w:shd w:val="clear" w:color="000000" w:fill="FFFFFF"/>
            <w:noWrap/>
            <w:vAlign w:val="bottom"/>
            <w:hideMark/>
          </w:tcPr>
          <w:p w14:paraId="02E64611"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5.041</w:t>
            </w:r>
          </w:p>
        </w:tc>
      </w:tr>
      <w:tr w:rsidR="00EF49C0" w:rsidRPr="001131F6" w14:paraId="5D849D55" w14:textId="77777777" w:rsidTr="00EF49C0">
        <w:trPr>
          <w:trHeight w:val="246"/>
        </w:trPr>
        <w:tc>
          <w:tcPr>
            <w:tcW w:w="3138" w:type="dxa"/>
            <w:tcBorders>
              <w:top w:val="nil"/>
              <w:left w:val="single" w:sz="4" w:space="0" w:color="auto"/>
              <w:bottom w:val="nil"/>
              <w:right w:val="single" w:sz="4" w:space="0" w:color="auto"/>
            </w:tcBorders>
            <w:shd w:val="clear" w:color="000000" w:fill="FFFFFF"/>
            <w:noWrap/>
            <w:vAlign w:val="bottom"/>
            <w:hideMark/>
          </w:tcPr>
          <w:p w14:paraId="33E6C3F7"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 </w:t>
            </w:r>
          </w:p>
        </w:tc>
        <w:tc>
          <w:tcPr>
            <w:tcW w:w="1629" w:type="dxa"/>
            <w:tcBorders>
              <w:top w:val="nil"/>
              <w:left w:val="nil"/>
              <w:bottom w:val="single" w:sz="4" w:space="0" w:color="auto"/>
              <w:right w:val="single" w:sz="4" w:space="0" w:color="auto"/>
            </w:tcBorders>
            <w:shd w:val="clear" w:color="000000" w:fill="FFFFFF"/>
            <w:noWrap/>
            <w:vAlign w:val="bottom"/>
            <w:hideMark/>
          </w:tcPr>
          <w:p w14:paraId="36F8B6BE"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6</w:t>
            </w:r>
          </w:p>
        </w:tc>
        <w:tc>
          <w:tcPr>
            <w:tcW w:w="1398" w:type="dxa"/>
            <w:tcBorders>
              <w:top w:val="nil"/>
              <w:left w:val="nil"/>
              <w:bottom w:val="single" w:sz="4" w:space="0" w:color="auto"/>
              <w:right w:val="single" w:sz="4" w:space="0" w:color="auto"/>
            </w:tcBorders>
            <w:shd w:val="clear" w:color="000000" w:fill="FFFFFF"/>
            <w:noWrap/>
            <w:vAlign w:val="bottom"/>
            <w:hideMark/>
          </w:tcPr>
          <w:p w14:paraId="7E8772F5"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2001</w:t>
            </w:r>
          </w:p>
        </w:tc>
        <w:tc>
          <w:tcPr>
            <w:tcW w:w="1784" w:type="dxa"/>
            <w:tcBorders>
              <w:top w:val="nil"/>
              <w:left w:val="nil"/>
              <w:bottom w:val="single" w:sz="4" w:space="0" w:color="auto"/>
              <w:right w:val="single" w:sz="4" w:space="0" w:color="auto"/>
            </w:tcBorders>
            <w:shd w:val="clear" w:color="000000" w:fill="FFFFFF"/>
            <w:noWrap/>
            <w:vAlign w:val="bottom"/>
            <w:hideMark/>
          </w:tcPr>
          <w:p w14:paraId="2D521C56"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52,00</w:t>
            </w:r>
          </w:p>
        </w:tc>
        <w:tc>
          <w:tcPr>
            <w:tcW w:w="1687" w:type="dxa"/>
            <w:tcBorders>
              <w:top w:val="nil"/>
              <w:left w:val="nil"/>
              <w:bottom w:val="single" w:sz="4" w:space="0" w:color="auto"/>
              <w:right w:val="single" w:sz="4" w:space="0" w:color="auto"/>
            </w:tcBorders>
            <w:shd w:val="clear" w:color="000000" w:fill="FFFFFF"/>
            <w:noWrap/>
            <w:vAlign w:val="bottom"/>
            <w:hideMark/>
          </w:tcPr>
          <w:p w14:paraId="4215E87B"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1.424</w:t>
            </w:r>
          </w:p>
        </w:tc>
      </w:tr>
      <w:tr w:rsidR="00EF49C0" w:rsidRPr="001131F6" w14:paraId="17AC5FBF" w14:textId="77777777" w:rsidTr="00EF49C0">
        <w:trPr>
          <w:trHeight w:val="246"/>
        </w:trPr>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4C03D" w14:textId="77777777" w:rsidR="00EF49C0" w:rsidRPr="00EA19CB" w:rsidRDefault="00EF49C0" w:rsidP="00A8693E">
            <w:pPr>
              <w:spacing w:after="0" w:line="276" w:lineRule="auto"/>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Selskab 5</w:t>
            </w:r>
          </w:p>
        </w:tc>
        <w:tc>
          <w:tcPr>
            <w:tcW w:w="1629" w:type="dxa"/>
            <w:tcBorders>
              <w:top w:val="nil"/>
              <w:left w:val="nil"/>
              <w:bottom w:val="single" w:sz="4" w:space="0" w:color="auto"/>
              <w:right w:val="single" w:sz="4" w:space="0" w:color="auto"/>
            </w:tcBorders>
            <w:shd w:val="clear" w:color="000000" w:fill="FFFFFF"/>
            <w:noWrap/>
            <w:vAlign w:val="bottom"/>
            <w:hideMark/>
          </w:tcPr>
          <w:p w14:paraId="3C9FAF64" w14:textId="77777777" w:rsidR="00EF49C0" w:rsidRPr="00EA19CB" w:rsidRDefault="005600A4" w:rsidP="00A8693E">
            <w:pPr>
              <w:spacing w:after="0" w:line="276"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Fartøj 7</w:t>
            </w:r>
          </w:p>
        </w:tc>
        <w:tc>
          <w:tcPr>
            <w:tcW w:w="1398" w:type="dxa"/>
            <w:tcBorders>
              <w:top w:val="nil"/>
              <w:left w:val="nil"/>
              <w:bottom w:val="single" w:sz="4" w:space="0" w:color="auto"/>
              <w:right w:val="single" w:sz="4" w:space="0" w:color="auto"/>
            </w:tcBorders>
            <w:shd w:val="clear" w:color="000000" w:fill="FFFFFF"/>
            <w:noWrap/>
            <w:vAlign w:val="bottom"/>
            <w:hideMark/>
          </w:tcPr>
          <w:p w14:paraId="551850E4"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2001</w:t>
            </w:r>
          </w:p>
        </w:tc>
        <w:tc>
          <w:tcPr>
            <w:tcW w:w="1784" w:type="dxa"/>
            <w:tcBorders>
              <w:top w:val="nil"/>
              <w:left w:val="nil"/>
              <w:bottom w:val="single" w:sz="4" w:space="0" w:color="auto"/>
              <w:right w:val="single" w:sz="4" w:space="0" w:color="auto"/>
            </w:tcBorders>
            <w:shd w:val="clear" w:color="000000" w:fill="FFFFFF"/>
            <w:noWrap/>
            <w:vAlign w:val="bottom"/>
            <w:hideMark/>
          </w:tcPr>
          <w:p w14:paraId="20E41232"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65,36</w:t>
            </w:r>
          </w:p>
        </w:tc>
        <w:tc>
          <w:tcPr>
            <w:tcW w:w="1687" w:type="dxa"/>
            <w:tcBorders>
              <w:top w:val="nil"/>
              <w:left w:val="nil"/>
              <w:bottom w:val="single" w:sz="4" w:space="0" w:color="auto"/>
              <w:right w:val="single" w:sz="4" w:space="0" w:color="auto"/>
            </w:tcBorders>
            <w:shd w:val="clear" w:color="000000" w:fill="FFFFFF"/>
            <w:noWrap/>
            <w:vAlign w:val="bottom"/>
            <w:hideMark/>
          </w:tcPr>
          <w:p w14:paraId="689ADA0F" w14:textId="77777777" w:rsidR="00EF49C0" w:rsidRPr="00EA19CB" w:rsidRDefault="00EF49C0" w:rsidP="00A8693E">
            <w:pPr>
              <w:spacing w:after="0" w:line="276" w:lineRule="auto"/>
              <w:jc w:val="right"/>
              <w:rPr>
                <w:rFonts w:ascii="Times New Roman" w:eastAsia="Times New Roman" w:hAnsi="Times New Roman" w:cs="Times New Roman"/>
                <w:color w:val="000000"/>
                <w:sz w:val="20"/>
                <w:szCs w:val="20"/>
                <w:lang w:eastAsia="da-DK"/>
              </w:rPr>
            </w:pPr>
            <w:r w:rsidRPr="00EA19CB">
              <w:rPr>
                <w:rFonts w:ascii="Times New Roman" w:eastAsia="Times New Roman" w:hAnsi="Times New Roman" w:cs="Times New Roman"/>
                <w:color w:val="000000"/>
                <w:sz w:val="20"/>
                <w:szCs w:val="20"/>
                <w:lang w:eastAsia="da-DK"/>
              </w:rPr>
              <w:t>2.525</w:t>
            </w:r>
          </w:p>
        </w:tc>
      </w:tr>
    </w:tbl>
    <w:p w14:paraId="4AE1E440" w14:textId="77777777" w:rsidR="00EF49C0" w:rsidRPr="009D3DD3" w:rsidRDefault="009D3DD3" w:rsidP="00A8693E">
      <w:pPr>
        <w:spacing w:after="0" w:line="276" w:lineRule="auto"/>
        <w:jc w:val="both"/>
        <w:rPr>
          <w:rFonts w:ascii="Times New Roman" w:hAnsi="Times New Roman" w:cs="Times New Roman"/>
          <w:sz w:val="20"/>
          <w:szCs w:val="20"/>
        </w:rPr>
      </w:pPr>
      <w:r w:rsidRPr="009D3DD3">
        <w:rPr>
          <w:rFonts w:ascii="Times New Roman" w:hAnsi="Times New Roman" w:cs="Times New Roman"/>
          <w:sz w:val="20"/>
          <w:szCs w:val="20"/>
        </w:rPr>
        <w:t>Kilde: GFLK.</w:t>
      </w:r>
    </w:p>
    <w:p w14:paraId="56FE3820" w14:textId="77777777" w:rsidR="00EF49C0" w:rsidRDefault="00EF49C0" w:rsidP="00A8693E">
      <w:pPr>
        <w:spacing w:after="0" w:line="276" w:lineRule="auto"/>
        <w:jc w:val="both"/>
        <w:rPr>
          <w:rFonts w:ascii="Times New Roman" w:hAnsi="Times New Roman" w:cs="Times New Roman"/>
        </w:rPr>
      </w:pPr>
    </w:p>
    <w:p w14:paraId="71BC0B66" w14:textId="623EC98A" w:rsidR="00B87CA8" w:rsidRDefault="00B87CA8" w:rsidP="00A8693E">
      <w:pPr>
        <w:spacing w:after="0" w:line="276" w:lineRule="auto"/>
        <w:jc w:val="both"/>
        <w:rPr>
          <w:rFonts w:ascii="Times New Roman" w:hAnsi="Times New Roman" w:cs="Times New Roman"/>
        </w:rPr>
      </w:pPr>
      <w:r>
        <w:rPr>
          <w:rFonts w:ascii="Times New Roman" w:hAnsi="Times New Roman" w:cs="Times New Roman"/>
        </w:rPr>
        <w:t>Figur</w:t>
      </w:r>
      <w:r w:rsidR="00801EFF">
        <w:rPr>
          <w:rFonts w:ascii="Times New Roman" w:hAnsi="Times New Roman" w:cs="Times New Roman"/>
        </w:rPr>
        <w:t>1</w:t>
      </w:r>
      <w:r>
        <w:rPr>
          <w:rFonts w:ascii="Times New Roman" w:hAnsi="Times New Roman" w:cs="Times New Roman"/>
        </w:rPr>
        <w:t xml:space="preserve"> viser udviklingen i det samlede antal fartøjer i </w:t>
      </w:r>
      <w:proofErr w:type="spellStart"/>
      <w:r>
        <w:rPr>
          <w:rFonts w:ascii="Times New Roman" w:hAnsi="Times New Roman" w:cs="Times New Roman"/>
        </w:rPr>
        <w:t>hvidfiskfiskeriet</w:t>
      </w:r>
      <w:proofErr w:type="spellEnd"/>
      <w:r w:rsidR="00E63C82">
        <w:rPr>
          <w:rFonts w:ascii="Times New Roman" w:hAnsi="Times New Roman" w:cs="Times New Roman"/>
        </w:rPr>
        <w:t>,</w:t>
      </w:r>
      <w:r>
        <w:rPr>
          <w:rFonts w:ascii="Times New Roman" w:hAnsi="Times New Roman" w:cs="Times New Roman"/>
        </w:rPr>
        <w:t xml:space="preserve"> samt hvor mange fartøjer </w:t>
      </w:r>
      <w:r w:rsidR="00E63C82">
        <w:rPr>
          <w:rFonts w:ascii="Times New Roman" w:hAnsi="Times New Roman" w:cs="Times New Roman"/>
        </w:rPr>
        <w:t xml:space="preserve">der </w:t>
      </w:r>
      <w:r>
        <w:rPr>
          <w:rFonts w:ascii="Times New Roman" w:hAnsi="Times New Roman" w:cs="Times New Roman"/>
        </w:rPr>
        <w:t>fiskede efter de enkelte arter i perioden 2012-2020. En del af fartøjerne fiskede i perioden flere arter og tværs af områder. Derfor kan antallet i søjlerne ikke summeres til antallet af fartøjer i de enkelte år. Det samlede antal fremgår af kurven fartøjer i alt.</w:t>
      </w:r>
    </w:p>
    <w:p w14:paraId="560E37D9" w14:textId="77777777" w:rsidR="00B87CA8" w:rsidRDefault="00B87CA8" w:rsidP="00A8693E">
      <w:pPr>
        <w:spacing w:after="0" w:line="276" w:lineRule="auto"/>
        <w:jc w:val="both"/>
        <w:rPr>
          <w:rFonts w:ascii="Times New Roman" w:hAnsi="Times New Roman" w:cs="Times New Roman"/>
        </w:rPr>
      </w:pPr>
    </w:p>
    <w:p w14:paraId="7A8159F8" w14:textId="77777777" w:rsidR="00801EFF" w:rsidRDefault="00801EFF" w:rsidP="00A8693E">
      <w:pPr>
        <w:spacing w:after="0" w:line="276" w:lineRule="auto"/>
        <w:jc w:val="both"/>
        <w:rPr>
          <w:rFonts w:ascii="Times New Roman" w:hAnsi="Times New Roman" w:cs="Times New Roman"/>
        </w:rPr>
      </w:pPr>
    </w:p>
    <w:p w14:paraId="4F656CA3" w14:textId="77777777" w:rsidR="00AE39D5" w:rsidRDefault="00AE39D5" w:rsidP="00A8693E">
      <w:pPr>
        <w:spacing w:after="0" w:line="276" w:lineRule="auto"/>
        <w:jc w:val="both"/>
        <w:rPr>
          <w:rFonts w:ascii="Times New Roman" w:hAnsi="Times New Roman" w:cs="Times New Roman"/>
        </w:rPr>
      </w:pPr>
    </w:p>
    <w:p w14:paraId="010598A3" w14:textId="77777777" w:rsidR="00AE39D5" w:rsidRDefault="00AE39D5" w:rsidP="00A8693E">
      <w:pPr>
        <w:spacing w:after="0" w:line="276" w:lineRule="auto"/>
        <w:jc w:val="both"/>
        <w:rPr>
          <w:rFonts w:ascii="Times New Roman" w:hAnsi="Times New Roman" w:cs="Times New Roman"/>
        </w:rPr>
      </w:pPr>
    </w:p>
    <w:p w14:paraId="4EBD5C83" w14:textId="77777777" w:rsidR="00AE39D5" w:rsidRDefault="00AE39D5" w:rsidP="00A8693E">
      <w:pPr>
        <w:spacing w:after="0" w:line="276" w:lineRule="auto"/>
        <w:jc w:val="both"/>
        <w:rPr>
          <w:rFonts w:ascii="Times New Roman" w:hAnsi="Times New Roman" w:cs="Times New Roman"/>
        </w:rPr>
      </w:pPr>
    </w:p>
    <w:p w14:paraId="5192E961" w14:textId="77777777" w:rsidR="00AE39D5" w:rsidRDefault="00AE39D5" w:rsidP="00A8693E">
      <w:pPr>
        <w:spacing w:after="0" w:line="276" w:lineRule="auto"/>
        <w:jc w:val="both"/>
        <w:rPr>
          <w:rFonts w:ascii="Times New Roman" w:hAnsi="Times New Roman" w:cs="Times New Roman"/>
        </w:rPr>
      </w:pPr>
    </w:p>
    <w:p w14:paraId="0C1000BD" w14:textId="77777777" w:rsidR="00AE39D5" w:rsidRDefault="00AE39D5" w:rsidP="00A8693E">
      <w:pPr>
        <w:spacing w:after="0" w:line="276" w:lineRule="auto"/>
        <w:jc w:val="both"/>
        <w:rPr>
          <w:rFonts w:ascii="Times New Roman" w:hAnsi="Times New Roman" w:cs="Times New Roman"/>
        </w:rPr>
      </w:pPr>
    </w:p>
    <w:p w14:paraId="5CF9059C" w14:textId="77777777" w:rsidR="00AE39D5" w:rsidRDefault="00AE39D5" w:rsidP="00A8693E">
      <w:pPr>
        <w:spacing w:after="0" w:line="276" w:lineRule="auto"/>
        <w:jc w:val="both"/>
        <w:rPr>
          <w:rFonts w:ascii="Times New Roman" w:hAnsi="Times New Roman" w:cs="Times New Roman"/>
        </w:rPr>
      </w:pPr>
    </w:p>
    <w:p w14:paraId="58591F4A" w14:textId="77777777" w:rsidR="00AE39D5" w:rsidRDefault="00AE39D5" w:rsidP="00A8693E">
      <w:pPr>
        <w:spacing w:after="0" w:line="276" w:lineRule="auto"/>
        <w:jc w:val="both"/>
        <w:rPr>
          <w:rFonts w:ascii="Times New Roman" w:hAnsi="Times New Roman" w:cs="Times New Roman"/>
        </w:rPr>
      </w:pPr>
    </w:p>
    <w:p w14:paraId="6E12501E" w14:textId="77777777" w:rsidR="00AE39D5" w:rsidRDefault="00AE39D5" w:rsidP="00A8693E">
      <w:pPr>
        <w:spacing w:after="0" w:line="276" w:lineRule="auto"/>
        <w:jc w:val="both"/>
        <w:rPr>
          <w:rFonts w:ascii="Times New Roman" w:hAnsi="Times New Roman" w:cs="Times New Roman"/>
        </w:rPr>
      </w:pPr>
    </w:p>
    <w:p w14:paraId="4F9880DD" w14:textId="77777777" w:rsidR="00AE39D5" w:rsidRDefault="00AE39D5" w:rsidP="00A8693E">
      <w:pPr>
        <w:spacing w:after="0" w:line="276" w:lineRule="auto"/>
        <w:jc w:val="both"/>
        <w:rPr>
          <w:rFonts w:ascii="Times New Roman" w:hAnsi="Times New Roman" w:cs="Times New Roman"/>
        </w:rPr>
      </w:pPr>
    </w:p>
    <w:p w14:paraId="289482C4" w14:textId="77777777" w:rsidR="00AE39D5" w:rsidRDefault="00AE39D5" w:rsidP="00A8693E">
      <w:pPr>
        <w:spacing w:after="0" w:line="276" w:lineRule="auto"/>
        <w:jc w:val="both"/>
        <w:rPr>
          <w:rFonts w:ascii="Times New Roman" w:hAnsi="Times New Roman" w:cs="Times New Roman"/>
        </w:rPr>
      </w:pPr>
    </w:p>
    <w:p w14:paraId="646962EE" w14:textId="77777777" w:rsidR="00AE39D5" w:rsidRDefault="00AE39D5" w:rsidP="00A8693E">
      <w:pPr>
        <w:spacing w:after="0" w:line="276" w:lineRule="auto"/>
        <w:jc w:val="both"/>
        <w:rPr>
          <w:rFonts w:ascii="Times New Roman" w:hAnsi="Times New Roman" w:cs="Times New Roman"/>
        </w:rPr>
      </w:pPr>
    </w:p>
    <w:p w14:paraId="3A053A79" w14:textId="77777777" w:rsidR="00AE39D5" w:rsidRDefault="00AE39D5" w:rsidP="00A8693E">
      <w:pPr>
        <w:spacing w:after="0" w:line="276" w:lineRule="auto"/>
        <w:jc w:val="both"/>
        <w:rPr>
          <w:rFonts w:ascii="Times New Roman" w:hAnsi="Times New Roman" w:cs="Times New Roman"/>
        </w:rPr>
      </w:pPr>
    </w:p>
    <w:p w14:paraId="75A11104" w14:textId="77777777" w:rsidR="00AE39D5" w:rsidRDefault="00AE39D5" w:rsidP="00A8693E">
      <w:pPr>
        <w:spacing w:after="0" w:line="276" w:lineRule="auto"/>
        <w:jc w:val="both"/>
        <w:rPr>
          <w:rFonts w:ascii="Times New Roman" w:hAnsi="Times New Roman" w:cs="Times New Roman"/>
        </w:rPr>
      </w:pPr>
    </w:p>
    <w:p w14:paraId="3F16B738" w14:textId="77777777" w:rsidR="00AE39D5" w:rsidRDefault="00AE39D5" w:rsidP="00A8693E">
      <w:pPr>
        <w:spacing w:after="0" w:line="276" w:lineRule="auto"/>
        <w:jc w:val="both"/>
        <w:rPr>
          <w:rFonts w:ascii="Times New Roman" w:hAnsi="Times New Roman" w:cs="Times New Roman"/>
        </w:rPr>
      </w:pPr>
    </w:p>
    <w:p w14:paraId="657FC76B" w14:textId="77777777" w:rsidR="00AE39D5" w:rsidRDefault="00AE39D5" w:rsidP="00A8693E">
      <w:pPr>
        <w:spacing w:after="0" w:line="276" w:lineRule="auto"/>
        <w:jc w:val="both"/>
        <w:rPr>
          <w:rFonts w:ascii="Times New Roman" w:hAnsi="Times New Roman" w:cs="Times New Roman"/>
        </w:rPr>
      </w:pPr>
    </w:p>
    <w:p w14:paraId="7212392C" w14:textId="77777777" w:rsidR="00AE39D5" w:rsidRDefault="00AE39D5" w:rsidP="00A8693E">
      <w:pPr>
        <w:spacing w:after="0" w:line="276" w:lineRule="auto"/>
        <w:jc w:val="both"/>
        <w:rPr>
          <w:rFonts w:ascii="Times New Roman" w:hAnsi="Times New Roman" w:cs="Times New Roman"/>
        </w:rPr>
      </w:pPr>
    </w:p>
    <w:p w14:paraId="40283D01" w14:textId="77777777" w:rsidR="00AE39D5" w:rsidRDefault="00AE39D5" w:rsidP="00A8693E">
      <w:pPr>
        <w:spacing w:after="0" w:line="276" w:lineRule="auto"/>
        <w:jc w:val="both"/>
        <w:rPr>
          <w:rFonts w:ascii="Times New Roman" w:hAnsi="Times New Roman" w:cs="Times New Roman"/>
        </w:rPr>
      </w:pPr>
    </w:p>
    <w:p w14:paraId="62B9181E" w14:textId="1DC6A088" w:rsidR="00B87CA8" w:rsidRPr="00821973" w:rsidRDefault="00B87CA8" w:rsidP="00A8693E">
      <w:pPr>
        <w:spacing w:after="0" w:line="276" w:lineRule="auto"/>
        <w:jc w:val="both"/>
        <w:rPr>
          <w:rFonts w:ascii="Times New Roman" w:hAnsi="Times New Roman"/>
        </w:rPr>
      </w:pPr>
      <w:r>
        <w:rPr>
          <w:rFonts w:ascii="Times New Roman" w:hAnsi="Times New Roman"/>
        </w:rPr>
        <w:t xml:space="preserve">Figur </w:t>
      </w:r>
      <w:r w:rsidR="00801EFF">
        <w:rPr>
          <w:rFonts w:ascii="Times New Roman" w:hAnsi="Times New Roman"/>
        </w:rPr>
        <w:t>1</w:t>
      </w:r>
      <w:r w:rsidRPr="00821973">
        <w:rPr>
          <w:rFonts w:ascii="Times New Roman" w:hAnsi="Times New Roman"/>
        </w:rPr>
        <w:t xml:space="preserve">: Udvikling </w:t>
      </w:r>
      <w:r>
        <w:rPr>
          <w:rFonts w:ascii="Times New Roman" w:hAnsi="Times New Roman"/>
        </w:rPr>
        <w:t xml:space="preserve">i antal fartøjer i </w:t>
      </w:r>
      <w:proofErr w:type="spellStart"/>
      <w:r>
        <w:rPr>
          <w:rFonts w:ascii="Times New Roman" w:hAnsi="Times New Roman"/>
        </w:rPr>
        <w:t>hvidfiskfiskeriet</w:t>
      </w:r>
      <w:proofErr w:type="spellEnd"/>
      <w:r>
        <w:rPr>
          <w:rFonts w:ascii="Times New Roman" w:hAnsi="Times New Roman"/>
        </w:rPr>
        <w:t>, 2012-2020.</w:t>
      </w:r>
    </w:p>
    <w:p w14:paraId="71DF1F0C" w14:textId="77777777" w:rsidR="00B87CA8" w:rsidRDefault="00B87CA8" w:rsidP="00A8693E">
      <w:pPr>
        <w:spacing w:after="0" w:line="276" w:lineRule="auto"/>
        <w:jc w:val="both"/>
        <w:rPr>
          <w:rFonts w:ascii="Times New Roman" w:hAnsi="Times New Roman" w:cs="Times New Roman"/>
        </w:rPr>
      </w:pPr>
    </w:p>
    <w:p w14:paraId="17B6FBA2" w14:textId="77777777" w:rsidR="00EF49C0" w:rsidRDefault="00B4377D" w:rsidP="00A8693E">
      <w:pPr>
        <w:spacing w:after="0" w:line="276" w:lineRule="auto"/>
        <w:jc w:val="both"/>
        <w:rPr>
          <w:rFonts w:ascii="Times New Roman" w:hAnsi="Times New Roman" w:cs="Times New Roman"/>
        </w:rPr>
      </w:pPr>
      <w:r>
        <w:rPr>
          <w:noProof/>
          <w:lang w:eastAsia="da-DK"/>
        </w:rPr>
        <w:drawing>
          <wp:inline distT="0" distB="0" distL="0" distR="0" wp14:anchorId="069B8CC9" wp14:editId="1874C128">
            <wp:extent cx="6120130" cy="371983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E03B75" w14:textId="77777777" w:rsidR="00EF49C0" w:rsidRDefault="00B87CA8" w:rsidP="00A8693E">
      <w:pPr>
        <w:spacing w:after="0" w:line="276" w:lineRule="auto"/>
        <w:jc w:val="both"/>
        <w:rPr>
          <w:rFonts w:ascii="Times New Roman" w:hAnsi="Times New Roman" w:cs="Times New Roman"/>
          <w:sz w:val="20"/>
          <w:szCs w:val="20"/>
        </w:rPr>
      </w:pPr>
      <w:r w:rsidRPr="00B87CA8">
        <w:rPr>
          <w:rFonts w:ascii="Times New Roman" w:hAnsi="Times New Roman" w:cs="Times New Roman"/>
          <w:sz w:val="20"/>
          <w:szCs w:val="20"/>
        </w:rPr>
        <w:t>Kilde: APNN.</w:t>
      </w:r>
    </w:p>
    <w:p w14:paraId="7255EDE3" w14:textId="77777777" w:rsidR="00B87CA8" w:rsidRPr="00B87CA8" w:rsidRDefault="00B87CA8" w:rsidP="00A8693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Note: I årene 2015, 2016, 2017, 2018 og 2019 var det hhv. 3, 2, 2, 3 og 1 af fartøjerne</w:t>
      </w:r>
      <w:r w:rsidR="00E63C82">
        <w:rPr>
          <w:rFonts w:ascii="Times New Roman" w:hAnsi="Times New Roman" w:cs="Times New Roman"/>
          <w:sz w:val="20"/>
          <w:szCs w:val="20"/>
        </w:rPr>
        <w:t>,</w:t>
      </w:r>
      <w:r>
        <w:rPr>
          <w:rFonts w:ascii="Times New Roman" w:hAnsi="Times New Roman" w:cs="Times New Roman"/>
          <w:sz w:val="20"/>
          <w:szCs w:val="20"/>
        </w:rPr>
        <w:t xml:space="preserve"> som udelukkende </w:t>
      </w:r>
      <w:r w:rsidR="00CA0F9E">
        <w:rPr>
          <w:rFonts w:ascii="Times New Roman" w:hAnsi="Times New Roman" w:cs="Times New Roman"/>
          <w:sz w:val="20"/>
          <w:szCs w:val="20"/>
        </w:rPr>
        <w:t xml:space="preserve">fiskede </w:t>
      </w:r>
      <w:r>
        <w:rPr>
          <w:rFonts w:ascii="Times New Roman" w:hAnsi="Times New Roman" w:cs="Times New Roman"/>
          <w:sz w:val="20"/>
          <w:szCs w:val="20"/>
        </w:rPr>
        <w:t>på forsøgskvoten på torsk i Vestgrønland. Nogen af fartøjerne i perioden 2015-2019 fiskede også efter rejer. I 2014 var der fire udenlandske fartøjer</w:t>
      </w:r>
      <w:r w:rsidR="00E63C82">
        <w:rPr>
          <w:rFonts w:ascii="Times New Roman" w:hAnsi="Times New Roman" w:cs="Times New Roman"/>
          <w:sz w:val="20"/>
          <w:szCs w:val="20"/>
        </w:rPr>
        <w:t>,</w:t>
      </w:r>
      <w:r>
        <w:rPr>
          <w:rFonts w:ascii="Times New Roman" w:hAnsi="Times New Roman" w:cs="Times New Roman"/>
          <w:sz w:val="20"/>
          <w:szCs w:val="20"/>
        </w:rPr>
        <w:t xml:space="preserve"> som deltog i fiskeriet ud over de 14 fartøjer i figuren. </w:t>
      </w:r>
      <w:r w:rsidR="00CA0F9E">
        <w:rPr>
          <w:rFonts w:ascii="Times New Roman" w:hAnsi="Times New Roman" w:cs="Times New Roman"/>
          <w:sz w:val="20"/>
          <w:szCs w:val="20"/>
        </w:rPr>
        <w:t xml:space="preserve">I 2015 </w:t>
      </w:r>
      <w:r>
        <w:rPr>
          <w:rFonts w:ascii="Times New Roman" w:hAnsi="Times New Roman" w:cs="Times New Roman"/>
          <w:sz w:val="20"/>
          <w:szCs w:val="20"/>
        </w:rPr>
        <w:t>var de</w:t>
      </w:r>
      <w:r w:rsidR="00CA0F9E">
        <w:rPr>
          <w:rFonts w:ascii="Times New Roman" w:hAnsi="Times New Roman" w:cs="Times New Roman"/>
          <w:sz w:val="20"/>
          <w:szCs w:val="20"/>
        </w:rPr>
        <w:t>r</w:t>
      </w:r>
      <w:r>
        <w:rPr>
          <w:rFonts w:ascii="Times New Roman" w:hAnsi="Times New Roman" w:cs="Times New Roman"/>
          <w:sz w:val="20"/>
          <w:szCs w:val="20"/>
        </w:rPr>
        <w:t xml:space="preserve"> et udenlandsk fartøj</w:t>
      </w:r>
      <w:r w:rsidR="00E63C82">
        <w:rPr>
          <w:rFonts w:ascii="Times New Roman" w:hAnsi="Times New Roman" w:cs="Times New Roman"/>
          <w:sz w:val="20"/>
          <w:szCs w:val="20"/>
        </w:rPr>
        <w:t>,</w:t>
      </w:r>
      <w:r>
        <w:rPr>
          <w:rFonts w:ascii="Times New Roman" w:hAnsi="Times New Roman" w:cs="Times New Roman"/>
          <w:sz w:val="20"/>
          <w:szCs w:val="20"/>
        </w:rPr>
        <w:t xml:space="preserve"> som deltog i fiskeriet.</w:t>
      </w:r>
    </w:p>
    <w:p w14:paraId="65941D5E" w14:textId="77777777" w:rsidR="009539E5" w:rsidRDefault="009539E5" w:rsidP="00A8693E">
      <w:pPr>
        <w:spacing w:after="0" w:line="276" w:lineRule="auto"/>
        <w:jc w:val="both"/>
        <w:rPr>
          <w:rFonts w:ascii="Times New Roman" w:hAnsi="Times New Roman" w:cs="Times New Roman"/>
          <w:b/>
          <w:sz w:val="24"/>
          <w:szCs w:val="24"/>
        </w:rPr>
      </w:pPr>
    </w:p>
    <w:p w14:paraId="7E377B62" w14:textId="68093C5F" w:rsidR="001F67EE" w:rsidRPr="001E660A" w:rsidRDefault="00A6390F" w:rsidP="00A8693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980EB4">
        <w:rPr>
          <w:rFonts w:ascii="Times New Roman" w:hAnsi="Times New Roman" w:cs="Times New Roman"/>
          <w:b/>
          <w:sz w:val="24"/>
          <w:szCs w:val="24"/>
        </w:rPr>
        <w:t xml:space="preserve"> </w:t>
      </w:r>
      <w:r w:rsidR="001F67EE">
        <w:rPr>
          <w:rFonts w:ascii="Times New Roman" w:hAnsi="Times New Roman" w:cs="Times New Roman"/>
          <w:b/>
          <w:sz w:val="24"/>
          <w:szCs w:val="24"/>
        </w:rPr>
        <w:t xml:space="preserve">Udvikling i fangstmængder og indhandlingsmængder i </w:t>
      </w:r>
      <w:proofErr w:type="spellStart"/>
      <w:r w:rsidR="001F67EE">
        <w:rPr>
          <w:rFonts w:ascii="Times New Roman" w:hAnsi="Times New Roman" w:cs="Times New Roman"/>
          <w:b/>
          <w:sz w:val="24"/>
          <w:szCs w:val="24"/>
        </w:rPr>
        <w:t>hvidfiskfiskeriet</w:t>
      </w:r>
      <w:proofErr w:type="spellEnd"/>
    </w:p>
    <w:p w14:paraId="31854F72" w14:textId="455E06D7" w:rsidR="003C4B3B" w:rsidRDefault="003C4B3B" w:rsidP="00A8693E">
      <w:pPr>
        <w:spacing w:after="0" w:line="276" w:lineRule="auto"/>
        <w:jc w:val="both"/>
        <w:rPr>
          <w:rFonts w:ascii="Times New Roman" w:hAnsi="Times New Roman"/>
        </w:rPr>
      </w:pPr>
      <w:r>
        <w:rPr>
          <w:rFonts w:ascii="Times New Roman" w:hAnsi="Times New Roman"/>
        </w:rPr>
        <w:t xml:space="preserve">Tabel </w:t>
      </w:r>
      <w:r w:rsidR="00801EFF">
        <w:rPr>
          <w:rFonts w:ascii="Times New Roman" w:hAnsi="Times New Roman"/>
        </w:rPr>
        <w:t>5</w:t>
      </w:r>
      <w:r>
        <w:rPr>
          <w:rFonts w:ascii="Times New Roman" w:hAnsi="Times New Roman"/>
        </w:rPr>
        <w:t xml:space="preserve"> viser de samlede fangstmængder i </w:t>
      </w:r>
      <w:proofErr w:type="spellStart"/>
      <w:r>
        <w:rPr>
          <w:rFonts w:ascii="Times New Roman" w:hAnsi="Times New Roman"/>
        </w:rPr>
        <w:t>hvidfiskfiskeriet</w:t>
      </w:r>
      <w:proofErr w:type="spellEnd"/>
      <w:r>
        <w:rPr>
          <w:rFonts w:ascii="Times New Roman" w:hAnsi="Times New Roman"/>
        </w:rPr>
        <w:t xml:space="preserve"> fordelt på arter og områder for perioden 2012-2020.</w:t>
      </w:r>
      <w:r w:rsidR="00F73649">
        <w:rPr>
          <w:rFonts w:ascii="Times New Roman" w:hAnsi="Times New Roman"/>
        </w:rPr>
        <w:t xml:space="preserve"> Kvoteudnyttelsen af kvoter fordelt på arter og områder fremgår af tabel 6.</w:t>
      </w:r>
    </w:p>
    <w:p w14:paraId="6245912B" w14:textId="77777777" w:rsidR="00A8019C" w:rsidRDefault="00A8019C" w:rsidP="00A8693E">
      <w:pPr>
        <w:spacing w:after="0" w:line="276" w:lineRule="auto"/>
        <w:jc w:val="both"/>
        <w:rPr>
          <w:rFonts w:ascii="Times New Roman" w:hAnsi="Times New Roman"/>
        </w:rPr>
      </w:pPr>
    </w:p>
    <w:p w14:paraId="21DF06C6" w14:textId="77777777" w:rsidR="00A8019C" w:rsidRDefault="00A8019C" w:rsidP="00A8693E">
      <w:pPr>
        <w:spacing w:after="0" w:line="276" w:lineRule="auto"/>
        <w:jc w:val="both"/>
        <w:rPr>
          <w:rFonts w:ascii="Times New Roman" w:hAnsi="Times New Roman"/>
        </w:rPr>
      </w:pPr>
      <w:r>
        <w:rPr>
          <w:rFonts w:ascii="Times New Roman" w:hAnsi="Times New Roman"/>
        </w:rPr>
        <w:t xml:space="preserve">De samlede fangstmængder i det havgående fiskeri efter hellefisk </w:t>
      </w:r>
      <w:r w:rsidR="001A695E">
        <w:rPr>
          <w:rFonts w:ascii="Times New Roman" w:hAnsi="Times New Roman"/>
        </w:rPr>
        <w:t xml:space="preserve">i Vest og Øst </w:t>
      </w:r>
      <w:r w:rsidR="00163A22">
        <w:rPr>
          <w:rFonts w:ascii="Times New Roman" w:hAnsi="Times New Roman"/>
        </w:rPr>
        <w:t xml:space="preserve">er </w:t>
      </w:r>
      <w:r>
        <w:rPr>
          <w:rFonts w:ascii="Times New Roman" w:hAnsi="Times New Roman"/>
        </w:rPr>
        <w:t>steget fra 13.060 tons i 2012 til 15.007 tons i 2020, svarende til en stigning på ca. 15 pct.</w:t>
      </w:r>
      <w:r w:rsidR="00F73649">
        <w:rPr>
          <w:rFonts w:ascii="Times New Roman" w:hAnsi="Times New Roman"/>
        </w:rPr>
        <w:t>, jf. tabel 5.</w:t>
      </w:r>
      <w:r w:rsidR="00C86774">
        <w:rPr>
          <w:rFonts w:ascii="Times New Roman" w:hAnsi="Times New Roman"/>
        </w:rPr>
        <w:t xml:space="preserve"> TAC´en i både Vest og Øst er fastsat i overensstemmelse med den biologiske rådgivning.</w:t>
      </w:r>
      <w:r>
        <w:rPr>
          <w:rFonts w:ascii="Times New Roman" w:hAnsi="Times New Roman"/>
        </w:rPr>
        <w:t xml:space="preserve"> </w:t>
      </w:r>
      <w:r w:rsidR="00F73649">
        <w:rPr>
          <w:rFonts w:ascii="Times New Roman" w:hAnsi="Times New Roman"/>
        </w:rPr>
        <w:t>Hellefiskekvoten</w:t>
      </w:r>
      <w:r>
        <w:rPr>
          <w:rFonts w:ascii="Times New Roman" w:hAnsi="Times New Roman"/>
        </w:rPr>
        <w:t xml:space="preserve"> i Vest</w:t>
      </w:r>
      <w:r w:rsidR="00F73649">
        <w:rPr>
          <w:rFonts w:ascii="Times New Roman" w:hAnsi="Times New Roman"/>
        </w:rPr>
        <w:t>grønland h</w:t>
      </w:r>
      <w:r>
        <w:rPr>
          <w:rFonts w:ascii="Times New Roman" w:hAnsi="Times New Roman"/>
        </w:rPr>
        <w:t>ar i alle år</w:t>
      </w:r>
      <w:r w:rsidR="00F73649">
        <w:rPr>
          <w:rFonts w:ascii="Times New Roman" w:hAnsi="Times New Roman"/>
        </w:rPr>
        <w:t xml:space="preserve"> i perioden</w:t>
      </w:r>
      <w:r>
        <w:rPr>
          <w:rFonts w:ascii="Times New Roman" w:hAnsi="Times New Roman"/>
        </w:rPr>
        <w:t xml:space="preserve"> været fuldt udnyttet</w:t>
      </w:r>
      <w:r w:rsidR="00F73649">
        <w:rPr>
          <w:rFonts w:ascii="Times New Roman" w:hAnsi="Times New Roman"/>
        </w:rPr>
        <w:t xml:space="preserve">, jf. tabel 6. </w:t>
      </w:r>
      <w:r>
        <w:rPr>
          <w:rFonts w:ascii="Times New Roman" w:hAnsi="Times New Roman"/>
        </w:rPr>
        <w:t xml:space="preserve"> </w:t>
      </w:r>
      <w:r w:rsidR="00F73649">
        <w:rPr>
          <w:rFonts w:ascii="Times New Roman" w:hAnsi="Times New Roman"/>
        </w:rPr>
        <w:t>Hellefiskekvoten i Østgrønland har været udnyttet i alle år i perioden med undtagen</w:t>
      </w:r>
      <w:r>
        <w:rPr>
          <w:rFonts w:ascii="Times New Roman" w:hAnsi="Times New Roman"/>
        </w:rPr>
        <w:t xml:space="preserve"> i 2013</w:t>
      </w:r>
      <w:r w:rsidR="00F73649">
        <w:rPr>
          <w:rFonts w:ascii="Times New Roman" w:hAnsi="Times New Roman"/>
        </w:rPr>
        <w:t xml:space="preserve"> og 2014,</w:t>
      </w:r>
      <w:r>
        <w:rPr>
          <w:rFonts w:ascii="Times New Roman" w:hAnsi="Times New Roman"/>
        </w:rPr>
        <w:t xml:space="preserve"> hvor udnyttelsesgraden var på hhv. ca. </w:t>
      </w:r>
      <w:r w:rsidR="00F73649">
        <w:rPr>
          <w:rFonts w:ascii="Times New Roman" w:hAnsi="Times New Roman"/>
        </w:rPr>
        <w:t>88 pct. og</w:t>
      </w:r>
      <w:r>
        <w:rPr>
          <w:rFonts w:ascii="Times New Roman" w:hAnsi="Times New Roman"/>
        </w:rPr>
        <w:t xml:space="preserve"> </w:t>
      </w:r>
      <w:r w:rsidR="00F73649">
        <w:rPr>
          <w:rFonts w:ascii="Times New Roman" w:hAnsi="Times New Roman"/>
        </w:rPr>
        <w:t>79</w:t>
      </w:r>
      <w:r>
        <w:rPr>
          <w:rFonts w:ascii="Times New Roman" w:hAnsi="Times New Roman"/>
        </w:rPr>
        <w:t xml:space="preserve"> pct.</w:t>
      </w:r>
      <w:r w:rsidR="006A13CC">
        <w:rPr>
          <w:rFonts w:ascii="Times New Roman" w:hAnsi="Times New Roman"/>
        </w:rPr>
        <w:t>, jf. tabel 6.</w:t>
      </w:r>
    </w:p>
    <w:p w14:paraId="04139FD7" w14:textId="77777777" w:rsidR="00406DA9" w:rsidRDefault="00406DA9" w:rsidP="00A8693E">
      <w:pPr>
        <w:spacing w:after="0" w:line="276" w:lineRule="auto"/>
        <w:jc w:val="both"/>
        <w:rPr>
          <w:rFonts w:ascii="Times New Roman" w:hAnsi="Times New Roman"/>
        </w:rPr>
      </w:pPr>
    </w:p>
    <w:p w14:paraId="7FE7C0A3" w14:textId="77777777" w:rsidR="006A13CC" w:rsidRDefault="006A13CC" w:rsidP="00A8693E">
      <w:pPr>
        <w:spacing w:after="0" w:line="276" w:lineRule="auto"/>
        <w:jc w:val="both"/>
        <w:rPr>
          <w:rFonts w:ascii="Times New Roman" w:hAnsi="Times New Roman"/>
        </w:rPr>
      </w:pPr>
      <w:r>
        <w:rPr>
          <w:rFonts w:ascii="Times New Roman" w:hAnsi="Times New Roman"/>
        </w:rPr>
        <w:t xml:space="preserve">De </w:t>
      </w:r>
      <w:r w:rsidR="00406DA9">
        <w:rPr>
          <w:rFonts w:ascii="Times New Roman" w:hAnsi="Times New Roman"/>
        </w:rPr>
        <w:t xml:space="preserve">årlige </w:t>
      </w:r>
      <w:r>
        <w:rPr>
          <w:rFonts w:ascii="Times New Roman" w:hAnsi="Times New Roman"/>
        </w:rPr>
        <w:t xml:space="preserve">fangstmængder på </w:t>
      </w:r>
      <w:r w:rsidR="00406DA9">
        <w:rPr>
          <w:rFonts w:ascii="Times New Roman" w:hAnsi="Times New Roman"/>
        </w:rPr>
        <w:t>forsøgskvote</w:t>
      </w:r>
      <w:r>
        <w:rPr>
          <w:rFonts w:ascii="Times New Roman" w:hAnsi="Times New Roman"/>
        </w:rPr>
        <w:t>n</w:t>
      </w:r>
      <w:r w:rsidR="00406DA9">
        <w:rPr>
          <w:rFonts w:ascii="Times New Roman" w:hAnsi="Times New Roman"/>
        </w:rPr>
        <w:t xml:space="preserve"> på torsk i Vestgrønland </w:t>
      </w:r>
      <w:r>
        <w:rPr>
          <w:rFonts w:ascii="Times New Roman" w:hAnsi="Times New Roman"/>
        </w:rPr>
        <w:t>var i 2015 på ca. 5.000 tons</w:t>
      </w:r>
      <w:r w:rsidR="00406DA9">
        <w:rPr>
          <w:rFonts w:ascii="Times New Roman" w:hAnsi="Times New Roman"/>
        </w:rPr>
        <w:t xml:space="preserve"> </w:t>
      </w:r>
      <w:r>
        <w:rPr>
          <w:rFonts w:ascii="Times New Roman" w:hAnsi="Times New Roman"/>
        </w:rPr>
        <w:t>men fangsterne faldt i perioden 2016-2018 til mellem ca. 2.400-3.500 tons, jf. tabel 5. I 2019 blev der kun fanget beskeden mængde på 387 tons torsk i Vestgrønland. I ingen af årene blev den fastsatte TAC i Vestgrønland udnyttet. Den højeste udnyttelsesgrad på torskekvoten i Vest var i 2015 og 2018 på ca. 70 pct. mens den lavest var i 2019 på ca. 18 pct.</w:t>
      </w:r>
      <w:r w:rsidR="0013717B">
        <w:rPr>
          <w:rFonts w:ascii="Times New Roman" w:hAnsi="Times New Roman"/>
        </w:rPr>
        <w:t>, jf. tabel 6.</w:t>
      </w:r>
    </w:p>
    <w:p w14:paraId="78D61CA1" w14:textId="77777777" w:rsidR="006A13CC" w:rsidRDefault="006A13CC" w:rsidP="00A8693E">
      <w:pPr>
        <w:spacing w:after="0" w:line="276" w:lineRule="auto"/>
        <w:jc w:val="both"/>
        <w:rPr>
          <w:rFonts w:ascii="Times New Roman" w:hAnsi="Times New Roman"/>
        </w:rPr>
      </w:pPr>
    </w:p>
    <w:p w14:paraId="49155096" w14:textId="77777777" w:rsidR="00406DA9" w:rsidRPr="001A695E" w:rsidRDefault="00406DA9" w:rsidP="00A8693E">
      <w:pPr>
        <w:spacing w:after="0" w:line="276" w:lineRule="auto"/>
        <w:jc w:val="both"/>
        <w:rPr>
          <w:rFonts w:ascii="Times New Roman" w:hAnsi="Times New Roman"/>
          <w:lang w:val="is-IS"/>
        </w:rPr>
      </w:pPr>
      <w:r>
        <w:rPr>
          <w:rFonts w:ascii="Times New Roman" w:hAnsi="Times New Roman"/>
        </w:rPr>
        <w:t xml:space="preserve">De samlede </w:t>
      </w:r>
      <w:r w:rsidR="00590510">
        <w:rPr>
          <w:rFonts w:ascii="Times New Roman" w:hAnsi="Times New Roman"/>
        </w:rPr>
        <w:t>fangst</w:t>
      </w:r>
      <w:r>
        <w:rPr>
          <w:rFonts w:ascii="Times New Roman" w:hAnsi="Times New Roman"/>
        </w:rPr>
        <w:t xml:space="preserve">mængder i det havgående fiskeri efter torsk i området </w:t>
      </w:r>
      <w:proofErr w:type="spellStart"/>
      <w:r>
        <w:rPr>
          <w:rFonts w:ascii="Times New Roman" w:hAnsi="Times New Roman"/>
        </w:rPr>
        <w:t>Syd-Vest</w:t>
      </w:r>
      <w:proofErr w:type="spellEnd"/>
      <w:r>
        <w:rPr>
          <w:rFonts w:ascii="Times New Roman" w:hAnsi="Times New Roman"/>
        </w:rPr>
        <w:t xml:space="preserve"> og Østgrønland </w:t>
      </w:r>
      <w:r w:rsidR="00AC580A">
        <w:rPr>
          <w:rFonts w:ascii="Times New Roman" w:hAnsi="Times New Roman"/>
        </w:rPr>
        <w:t>er</w:t>
      </w:r>
      <w:r>
        <w:rPr>
          <w:rFonts w:ascii="Times New Roman" w:hAnsi="Times New Roman"/>
        </w:rPr>
        <w:t xml:space="preserve"> steget betydeligt fra 2.508 tons i 2012 til 13.889 tons i 2019, svarende til en stigning på ca.</w:t>
      </w:r>
      <w:r w:rsidR="00163A22">
        <w:rPr>
          <w:rFonts w:ascii="Times New Roman" w:hAnsi="Times New Roman"/>
        </w:rPr>
        <w:t xml:space="preserve"> </w:t>
      </w:r>
      <w:r>
        <w:rPr>
          <w:rFonts w:ascii="Times New Roman" w:hAnsi="Times New Roman"/>
        </w:rPr>
        <w:t xml:space="preserve">454 pct. Den samlede fangst i 2020 faldt til 11.156 tons. </w:t>
      </w:r>
      <w:r w:rsidR="0013717B">
        <w:rPr>
          <w:rFonts w:ascii="Times New Roman" w:hAnsi="Times New Roman"/>
        </w:rPr>
        <w:t xml:space="preserve">Kvoteudnyttelsen har ligget mellem 80-90 pct. i perioden 2015-2020, jf. tabel 6. Det bemærkes </w:t>
      </w:r>
      <w:r w:rsidR="009D63C5">
        <w:rPr>
          <w:rFonts w:ascii="Times New Roman" w:hAnsi="Times New Roman"/>
        </w:rPr>
        <w:t xml:space="preserve">trods kvoten har ikke været udnyttet </w:t>
      </w:r>
      <w:r w:rsidR="0013717B">
        <w:rPr>
          <w:rFonts w:ascii="Times New Roman" w:hAnsi="Times New Roman"/>
        </w:rPr>
        <w:t xml:space="preserve">har både TAC´en og </w:t>
      </w:r>
      <w:r>
        <w:rPr>
          <w:rFonts w:ascii="Times New Roman" w:hAnsi="Times New Roman"/>
        </w:rPr>
        <w:t>fangstmængderne</w:t>
      </w:r>
      <w:r w:rsidR="009D63C5">
        <w:rPr>
          <w:rFonts w:ascii="Times New Roman" w:hAnsi="Times New Roman"/>
        </w:rPr>
        <w:t xml:space="preserve"> i alle år i perioden</w:t>
      </w:r>
      <w:r>
        <w:rPr>
          <w:rFonts w:ascii="Times New Roman" w:hAnsi="Times New Roman"/>
        </w:rPr>
        <w:t xml:space="preserve"> </w:t>
      </w:r>
      <w:r w:rsidR="0013717B">
        <w:rPr>
          <w:rFonts w:ascii="Times New Roman" w:hAnsi="Times New Roman"/>
        </w:rPr>
        <w:t xml:space="preserve">oversteget </w:t>
      </w:r>
      <w:r>
        <w:rPr>
          <w:rFonts w:ascii="Times New Roman" w:hAnsi="Times New Roman"/>
        </w:rPr>
        <w:t>den biologiske rådgivning.</w:t>
      </w:r>
    </w:p>
    <w:p w14:paraId="51C16D52" w14:textId="77777777" w:rsidR="00590510" w:rsidRDefault="00590510" w:rsidP="00A8693E">
      <w:pPr>
        <w:spacing w:after="0" w:line="276" w:lineRule="auto"/>
        <w:jc w:val="both"/>
        <w:rPr>
          <w:rFonts w:ascii="Times New Roman" w:hAnsi="Times New Roman"/>
        </w:rPr>
      </w:pPr>
    </w:p>
    <w:p w14:paraId="048BD309" w14:textId="77777777" w:rsidR="00590510" w:rsidRDefault="00590510" w:rsidP="00A8693E">
      <w:pPr>
        <w:spacing w:after="0" w:line="276" w:lineRule="auto"/>
        <w:jc w:val="both"/>
        <w:rPr>
          <w:rFonts w:ascii="Times New Roman" w:hAnsi="Times New Roman"/>
        </w:rPr>
      </w:pPr>
      <w:r>
        <w:rPr>
          <w:rFonts w:ascii="Times New Roman" w:hAnsi="Times New Roman"/>
        </w:rPr>
        <w:t xml:space="preserve">Den samlede rødfiskefangst i det havgående fiskeri i Østgrønland </w:t>
      </w:r>
      <w:r w:rsidR="00163A22">
        <w:rPr>
          <w:rFonts w:ascii="Times New Roman" w:hAnsi="Times New Roman"/>
        </w:rPr>
        <w:t xml:space="preserve">er </w:t>
      </w:r>
      <w:r>
        <w:rPr>
          <w:rFonts w:ascii="Times New Roman" w:hAnsi="Times New Roman"/>
        </w:rPr>
        <w:t xml:space="preserve">faldet fra 6.068 tons i 2012 til </w:t>
      </w:r>
      <w:r w:rsidR="001A695E">
        <w:rPr>
          <w:rFonts w:ascii="Times New Roman" w:hAnsi="Times New Roman"/>
        </w:rPr>
        <w:t>2.452</w:t>
      </w:r>
      <w:r>
        <w:rPr>
          <w:rFonts w:ascii="Times New Roman" w:hAnsi="Times New Roman"/>
        </w:rPr>
        <w:t xml:space="preserve"> tons i 2020, svarende til et fald på ca. 63 pct.</w:t>
      </w:r>
      <w:r w:rsidR="00B273D7">
        <w:rPr>
          <w:rFonts w:ascii="Times New Roman" w:hAnsi="Times New Roman"/>
        </w:rPr>
        <w:t>, jf. tabel 5.</w:t>
      </w:r>
      <w:r>
        <w:rPr>
          <w:rFonts w:ascii="Times New Roman" w:hAnsi="Times New Roman"/>
        </w:rPr>
        <w:t xml:space="preserve"> </w:t>
      </w:r>
      <w:r w:rsidR="00163A22">
        <w:rPr>
          <w:rFonts w:ascii="Times New Roman" w:hAnsi="Times New Roman"/>
        </w:rPr>
        <w:t>F</w:t>
      </w:r>
      <w:r>
        <w:rPr>
          <w:rFonts w:ascii="Times New Roman" w:hAnsi="Times New Roman"/>
        </w:rPr>
        <w:t>ald</w:t>
      </w:r>
      <w:r w:rsidR="00163A22">
        <w:rPr>
          <w:rFonts w:ascii="Times New Roman" w:hAnsi="Times New Roman"/>
        </w:rPr>
        <w:t>et</w:t>
      </w:r>
      <w:r>
        <w:rPr>
          <w:rFonts w:ascii="Times New Roman" w:hAnsi="Times New Roman"/>
        </w:rPr>
        <w:t xml:space="preserve"> skyldes hovedsagligt fald i den biologiske rådgivning i perioden. Rødfiskekvoten har været fuldt udnyttet i alle år undtagen i 2012, 2013, 2014 og 2015</w:t>
      </w:r>
      <w:r w:rsidR="00AC580A">
        <w:rPr>
          <w:rFonts w:ascii="Times New Roman" w:hAnsi="Times New Roman"/>
        </w:rPr>
        <w:t>,</w:t>
      </w:r>
      <w:r>
        <w:rPr>
          <w:rFonts w:ascii="Times New Roman" w:hAnsi="Times New Roman"/>
        </w:rPr>
        <w:t xml:space="preserve"> hvor udnytt</w:t>
      </w:r>
      <w:r w:rsidR="001A695E">
        <w:rPr>
          <w:rFonts w:ascii="Times New Roman" w:hAnsi="Times New Roman"/>
        </w:rPr>
        <w:t>elsesgraden var på hhv. ca. 96 pct., 96 pct. 80 pct. og 95</w:t>
      </w:r>
      <w:r>
        <w:rPr>
          <w:rFonts w:ascii="Times New Roman" w:hAnsi="Times New Roman"/>
        </w:rPr>
        <w:t xml:space="preserve"> pct.</w:t>
      </w:r>
      <w:r w:rsidR="00B273D7">
        <w:rPr>
          <w:rFonts w:ascii="Times New Roman" w:hAnsi="Times New Roman"/>
        </w:rPr>
        <w:t>, jf. tabel 6.</w:t>
      </w:r>
    </w:p>
    <w:p w14:paraId="032BB77F" w14:textId="77777777" w:rsidR="00590510" w:rsidRDefault="00590510" w:rsidP="00A8693E">
      <w:pPr>
        <w:spacing w:after="0" w:line="276" w:lineRule="auto"/>
        <w:jc w:val="both"/>
        <w:rPr>
          <w:rFonts w:ascii="Times New Roman" w:hAnsi="Times New Roman"/>
        </w:rPr>
      </w:pPr>
    </w:p>
    <w:p w14:paraId="3F2B3198" w14:textId="77777777" w:rsidR="00590510" w:rsidRDefault="00E91E52" w:rsidP="00A8693E">
      <w:pPr>
        <w:spacing w:after="0" w:line="276" w:lineRule="auto"/>
        <w:jc w:val="both"/>
        <w:rPr>
          <w:rFonts w:ascii="Times New Roman" w:hAnsi="Times New Roman"/>
        </w:rPr>
      </w:pPr>
      <w:r>
        <w:rPr>
          <w:rFonts w:ascii="Times New Roman" w:hAnsi="Times New Roman"/>
        </w:rPr>
        <w:t>Siden de</w:t>
      </w:r>
      <w:r w:rsidR="00AC580A">
        <w:rPr>
          <w:rFonts w:ascii="Times New Roman" w:hAnsi="Times New Roman"/>
        </w:rPr>
        <w:t>r</w:t>
      </w:r>
      <w:r>
        <w:rPr>
          <w:rFonts w:ascii="Times New Roman" w:hAnsi="Times New Roman"/>
        </w:rPr>
        <w:t xml:space="preserve"> blev fastsat kvote for brosme i 2016</w:t>
      </w:r>
      <w:r w:rsidR="00AC580A">
        <w:rPr>
          <w:rFonts w:ascii="Times New Roman" w:hAnsi="Times New Roman"/>
        </w:rPr>
        <w:t>,</w:t>
      </w:r>
      <w:r>
        <w:rPr>
          <w:rFonts w:ascii="Times New Roman" w:hAnsi="Times New Roman"/>
        </w:rPr>
        <w:t xml:space="preserve"> er de</w:t>
      </w:r>
      <w:r w:rsidR="00AC580A">
        <w:rPr>
          <w:rFonts w:ascii="Times New Roman" w:hAnsi="Times New Roman"/>
        </w:rPr>
        <w:t>r</w:t>
      </w:r>
      <w:r>
        <w:rPr>
          <w:rFonts w:ascii="Times New Roman" w:hAnsi="Times New Roman"/>
        </w:rPr>
        <w:t xml:space="preserve"> kun blevet fisket relativ</w:t>
      </w:r>
      <w:r w:rsidR="00AC580A">
        <w:rPr>
          <w:rFonts w:ascii="Times New Roman" w:hAnsi="Times New Roman"/>
        </w:rPr>
        <w:t>t</w:t>
      </w:r>
      <w:r>
        <w:rPr>
          <w:rFonts w:ascii="Times New Roman" w:hAnsi="Times New Roman"/>
        </w:rPr>
        <w:t xml:space="preserve"> beskedne m</w:t>
      </w:r>
      <w:r w:rsidR="00AC580A">
        <w:rPr>
          <w:rFonts w:ascii="Times New Roman" w:hAnsi="Times New Roman"/>
        </w:rPr>
        <w:t>æ</w:t>
      </w:r>
      <w:r>
        <w:rPr>
          <w:rFonts w:ascii="Times New Roman" w:hAnsi="Times New Roman"/>
        </w:rPr>
        <w:t>ngder. I 2016 blev der fisket 180 tons. De</w:t>
      </w:r>
      <w:r w:rsidR="00AC580A">
        <w:rPr>
          <w:rFonts w:ascii="Times New Roman" w:hAnsi="Times New Roman"/>
        </w:rPr>
        <w:t>n</w:t>
      </w:r>
      <w:r>
        <w:rPr>
          <w:rFonts w:ascii="Times New Roman" w:hAnsi="Times New Roman"/>
        </w:rPr>
        <w:t xml:space="preserve"> samlede fangstmængde steg til 350 tons i 2017</w:t>
      </w:r>
      <w:r w:rsidR="00AC580A">
        <w:rPr>
          <w:rFonts w:ascii="Times New Roman" w:hAnsi="Times New Roman"/>
        </w:rPr>
        <w:t>,</w:t>
      </w:r>
      <w:r>
        <w:rPr>
          <w:rFonts w:ascii="Times New Roman" w:hAnsi="Times New Roman"/>
        </w:rPr>
        <w:t xml:space="preserve"> men </w:t>
      </w:r>
      <w:r w:rsidR="00AC580A">
        <w:rPr>
          <w:rFonts w:ascii="Times New Roman" w:hAnsi="Times New Roman"/>
        </w:rPr>
        <w:t>er</w:t>
      </w:r>
      <w:r>
        <w:rPr>
          <w:rFonts w:ascii="Times New Roman" w:hAnsi="Times New Roman"/>
        </w:rPr>
        <w:t xml:space="preserve"> så faldet helt ned til 44 tons i 2020. Den gennemsnitlige udnyttelsesgrad på kvoten pr. år var ca. 13 pct. i perioden 2016 til 2020.</w:t>
      </w:r>
    </w:p>
    <w:p w14:paraId="771A5F5F" w14:textId="77777777" w:rsidR="00801EFF" w:rsidRDefault="00801EFF" w:rsidP="00A8693E">
      <w:pPr>
        <w:spacing w:after="0" w:line="276" w:lineRule="auto"/>
        <w:jc w:val="both"/>
        <w:rPr>
          <w:rFonts w:ascii="Times New Roman" w:hAnsi="Times New Roman"/>
        </w:rPr>
      </w:pPr>
    </w:p>
    <w:p w14:paraId="49C9B779" w14:textId="77777777" w:rsidR="00801EFF" w:rsidRDefault="00801EFF" w:rsidP="00801EFF">
      <w:pPr>
        <w:spacing w:after="0" w:line="276" w:lineRule="auto"/>
        <w:jc w:val="both"/>
        <w:rPr>
          <w:rFonts w:ascii="Times New Roman" w:hAnsi="Times New Roman"/>
        </w:rPr>
      </w:pPr>
      <w:r>
        <w:rPr>
          <w:rFonts w:ascii="Times New Roman" w:hAnsi="Times New Roman"/>
        </w:rPr>
        <w:t xml:space="preserve">Torskekvoten, som blev tildelt den grønlandske flåde i perioden 2012-2020 i Barentshavet, jf. tabel 5, har hovedsagligt været fisket af to fabrikstrawlere. </w:t>
      </w:r>
      <w:r w:rsidR="00B273D7">
        <w:rPr>
          <w:rFonts w:ascii="Times New Roman" w:hAnsi="Times New Roman"/>
        </w:rPr>
        <w:t>Kvoten i Barentshavet er en del af en større TAC for torsk, kuller og sej i området. Torskek</w:t>
      </w:r>
      <w:r>
        <w:rPr>
          <w:rFonts w:ascii="Times New Roman" w:hAnsi="Times New Roman"/>
        </w:rPr>
        <w:t>voten har i alle år været fuldt udnyttet undtagen i 2015 og 2019, hvor udnyttelsesgraden var hhv. 94 pct. og 95 pct.</w:t>
      </w:r>
      <w:r w:rsidR="00B273D7">
        <w:rPr>
          <w:rFonts w:ascii="Times New Roman" w:hAnsi="Times New Roman"/>
        </w:rPr>
        <w:t>, jf. tabel 6.</w:t>
      </w:r>
      <w:r>
        <w:rPr>
          <w:rFonts w:ascii="Times New Roman" w:hAnsi="Times New Roman"/>
        </w:rPr>
        <w:t xml:space="preserve"> Det har været forskelligt fra år til år, hvor meget kvoten for kuller og sej i Barentshavet har været udnyttet. Det skyldes, at de arter er bifangster i torskefiskeri</w:t>
      </w:r>
      <w:r w:rsidR="00B273D7">
        <w:rPr>
          <w:rFonts w:ascii="Times New Roman" w:hAnsi="Times New Roman"/>
        </w:rPr>
        <w:t>et</w:t>
      </w:r>
      <w:r>
        <w:rPr>
          <w:rFonts w:ascii="Times New Roman" w:hAnsi="Times New Roman"/>
        </w:rPr>
        <w:t>, hvorfor fartøjerne ikke fisker direkte på arterne.</w:t>
      </w:r>
    </w:p>
    <w:p w14:paraId="5A906F74" w14:textId="77777777" w:rsidR="003C4B3B" w:rsidRPr="003C4B3B" w:rsidRDefault="003C4B3B" w:rsidP="00A8693E">
      <w:pPr>
        <w:spacing w:after="0" w:line="276" w:lineRule="auto"/>
        <w:jc w:val="both"/>
        <w:rPr>
          <w:rFonts w:ascii="Times New Roman" w:hAnsi="Times New Roman"/>
        </w:rPr>
      </w:pPr>
    </w:p>
    <w:p w14:paraId="72108E74" w14:textId="7535E1C2" w:rsidR="00E50C97" w:rsidRDefault="00E50C97" w:rsidP="00A8693E">
      <w:pPr>
        <w:spacing w:after="0" w:line="276" w:lineRule="auto"/>
        <w:jc w:val="both"/>
        <w:rPr>
          <w:rFonts w:ascii="Times New Roman" w:hAnsi="Times New Roman"/>
        </w:rPr>
      </w:pPr>
      <w:r w:rsidRPr="00821973">
        <w:rPr>
          <w:rFonts w:ascii="Times New Roman" w:hAnsi="Times New Roman"/>
        </w:rPr>
        <w:t>Tabel</w:t>
      </w:r>
      <w:r w:rsidR="001F67EE">
        <w:rPr>
          <w:rFonts w:ascii="Times New Roman" w:hAnsi="Times New Roman"/>
        </w:rPr>
        <w:t xml:space="preserve"> </w:t>
      </w:r>
      <w:r w:rsidR="00801EFF">
        <w:rPr>
          <w:rFonts w:ascii="Times New Roman" w:hAnsi="Times New Roman"/>
        </w:rPr>
        <w:t>5</w:t>
      </w:r>
      <w:r w:rsidRPr="00821973">
        <w:rPr>
          <w:rFonts w:ascii="Times New Roman" w:hAnsi="Times New Roman"/>
        </w:rPr>
        <w:t xml:space="preserve">: Udvikling i </w:t>
      </w:r>
      <w:r w:rsidR="002D65BF" w:rsidRPr="00821973">
        <w:rPr>
          <w:rFonts w:ascii="Times New Roman" w:hAnsi="Times New Roman"/>
        </w:rPr>
        <w:t>fangstmængder</w:t>
      </w:r>
      <w:r w:rsidRPr="00821973">
        <w:rPr>
          <w:rFonts w:ascii="Times New Roman" w:hAnsi="Times New Roman"/>
        </w:rPr>
        <w:t xml:space="preserve"> </w:t>
      </w:r>
      <w:r w:rsidR="00170CAE">
        <w:rPr>
          <w:rFonts w:ascii="Times New Roman" w:hAnsi="Times New Roman"/>
        </w:rPr>
        <w:t xml:space="preserve">i det havgående </w:t>
      </w:r>
      <w:proofErr w:type="spellStart"/>
      <w:proofErr w:type="gramStart"/>
      <w:r w:rsidR="00170CAE">
        <w:rPr>
          <w:rFonts w:ascii="Times New Roman" w:hAnsi="Times New Roman"/>
        </w:rPr>
        <w:t>hvidfiskfiskeri</w:t>
      </w:r>
      <w:proofErr w:type="spellEnd"/>
      <w:r w:rsidR="00170CAE">
        <w:rPr>
          <w:rFonts w:ascii="Times New Roman" w:hAnsi="Times New Roman"/>
        </w:rPr>
        <w:t xml:space="preserve"> </w:t>
      </w:r>
      <w:r w:rsidRPr="00821973">
        <w:rPr>
          <w:rFonts w:ascii="Times New Roman" w:hAnsi="Times New Roman"/>
        </w:rPr>
        <w:t>,</w:t>
      </w:r>
      <w:proofErr w:type="gramEnd"/>
      <w:r w:rsidRPr="00821973">
        <w:rPr>
          <w:rFonts w:ascii="Times New Roman" w:hAnsi="Times New Roman"/>
        </w:rPr>
        <w:t xml:space="preserve"> 2012-2</w:t>
      </w:r>
      <w:r w:rsidR="00724F30" w:rsidRPr="00821973">
        <w:rPr>
          <w:rFonts w:ascii="Times New Roman" w:hAnsi="Times New Roman"/>
        </w:rPr>
        <w:t>020.</w:t>
      </w:r>
    </w:p>
    <w:tbl>
      <w:tblPr>
        <w:tblW w:w="5000" w:type="pct"/>
        <w:tblCellMar>
          <w:left w:w="70" w:type="dxa"/>
          <w:right w:w="70" w:type="dxa"/>
        </w:tblCellMar>
        <w:tblLook w:val="04A0" w:firstRow="1" w:lastRow="0" w:firstColumn="1" w:lastColumn="0" w:noHBand="0" w:noVBand="1"/>
      </w:tblPr>
      <w:tblGrid>
        <w:gridCol w:w="2075"/>
        <w:gridCol w:w="839"/>
        <w:gridCol w:w="839"/>
        <w:gridCol w:w="839"/>
        <w:gridCol w:w="840"/>
        <w:gridCol w:w="840"/>
        <w:gridCol w:w="840"/>
        <w:gridCol w:w="840"/>
        <w:gridCol w:w="840"/>
        <w:gridCol w:w="836"/>
      </w:tblGrid>
      <w:tr w:rsidR="00A330C3" w:rsidRPr="00A330C3" w14:paraId="06399387" w14:textId="77777777" w:rsidTr="00A330C3">
        <w:trPr>
          <w:trHeight w:val="255"/>
        </w:trPr>
        <w:tc>
          <w:tcPr>
            <w:tcW w:w="1078" w:type="pct"/>
            <w:tcBorders>
              <w:top w:val="single" w:sz="4" w:space="0" w:color="auto"/>
              <w:left w:val="single" w:sz="4" w:space="0" w:color="auto"/>
              <w:bottom w:val="nil"/>
              <w:right w:val="nil"/>
            </w:tcBorders>
            <w:shd w:val="clear" w:color="000000" w:fill="FFFFFF"/>
            <w:noWrap/>
            <w:vAlign w:val="bottom"/>
            <w:hideMark/>
          </w:tcPr>
          <w:p w14:paraId="0035E5C4"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14:paraId="2EBC39C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nil"/>
              <w:bottom w:val="nil"/>
              <w:right w:val="nil"/>
            </w:tcBorders>
            <w:shd w:val="clear" w:color="000000" w:fill="FFFFFF"/>
            <w:noWrap/>
            <w:vAlign w:val="bottom"/>
            <w:hideMark/>
          </w:tcPr>
          <w:p w14:paraId="0601CCF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14:paraId="0E209B50"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nil"/>
              <w:bottom w:val="nil"/>
              <w:right w:val="single" w:sz="4" w:space="0" w:color="auto"/>
            </w:tcBorders>
            <w:shd w:val="clear" w:color="000000" w:fill="FFFFFF"/>
            <w:noWrap/>
            <w:vAlign w:val="bottom"/>
            <w:hideMark/>
          </w:tcPr>
          <w:p w14:paraId="13F30A68"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nil"/>
              <w:bottom w:val="nil"/>
              <w:right w:val="nil"/>
            </w:tcBorders>
            <w:shd w:val="clear" w:color="000000" w:fill="FFFFFF"/>
            <w:noWrap/>
            <w:vAlign w:val="bottom"/>
            <w:hideMark/>
          </w:tcPr>
          <w:p w14:paraId="6DE2F00D"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14:paraId="36200C5F"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nil"/>
              <w:bottom w:val="nil"/>
              <w:right w:val="nil"/>
            </w:tcBorders>
            <w:shd w:val="clear" w:color="000000" w:fill="FFFFFF"/>
            <w:noWrap/>
            <w:vAlign w:val="bottom"/>
            <w:hideMark/>
          </w:tcPr>
          <w:p w14:paraId="068776D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single" w:sz="4" w:space="0" w:color="auto"/>
              <w:bottom w:val="nil"/>
              <w:right w:val="nil"/>
            </w:tcBorders>
            <w:shd w:val="clear" w:color="000000" w:fill="FFFFFF"/>
            <w:noWrap/>
            <w:vAlign w:val="bottom"/>
            <w:hideMark/>
          </w:tcPr>
          <w:p w14:paraId="15E7309C"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14:paraId="614098F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r>
      <w:tr w:rsidR="00A330C3" w:rsidRPr="00A330C3" w14:paraId="52768AC7" w14:textId="77777777" w:rsidTr="00A330C3">
        <w:trPr>
          <w:trHeight w:val="300"/>
        </w:trPr>
        <w:tc>
          <w:tcPr>
            <w:tcW w:w="1078" w:type="pct"/>
            <w:tcBorders>
              <w:top w:val="nil"/>
              <w:left w:val="single" w:sz="4" w:space="0" w:color="auto"/>
              <w:bottom w:val="nil"/>
              <w:right w:val="nil"/>
            </w:tcBorders>
            <w:shd w:val="clear" w:color="000000" w:fill="FFFFFF"/>
            <w:noWrap/>
            <w:vAlign w:val="bottom"/>
            <w:hideMark/>
          </w:tcPr>
          <w:p w14:paraId="69DD5A50"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Tons</w:t>
            </w:r>
          </w:p>
        </w:tc>
        <w:tc>
          <w:tcPr>
            <w:tcW w:w="436" w:type="pct"/>
            <w:tcBorders>
              <w:top w:val="nil"/>
              <w:left w:val="single" w:sz="4" w:space="0" w:color="auto"/>
              <w:bottom w:val="nil"/>
              <w:right w:val="single" w:sz="4" w:space="0" w:color="auto"/>
            </w:tcBorders>
            <w:shd w:val="clear" w:color="000000" w:fill="FFFFFF"/>
            <w:noWrap/>
            <w:vAlign w:val="bottom"/>
            <w:hideMark/>
          </w:tcPr>
          <w:p w14:paraId="6BDE98B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2012</w:t>
            </w:r>
          </w:p>
        </w:tc>
        <w:tc>
          <w:tcPr>
            <w:tcW w:w="436" w:type="pct"/>
            <w:tcBorders>
              <w:top w:val="nil"/>
              <w:left w:val="nil"/>
              <w:bottom w:val="nil"/>
              <w:right w:val="nil"/>
            </w:tcBorders>
            <w:shd w:val="clear" w:color="000000" w:fill="FFFFFF"/>
            <w:noWrap/>
            <w:vAlign w:val="bottom"/>
            <w:hideMark/>
          </w:tcPr>
          <w:p w14:paraId="55955C4D"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2013</w:t>
            </w:r>
          </w:p>
        </w:tc>
        <w:tc>
          <w:tcPr>
            <w:tcW w:w="436" w:type="pct"/>
            <w:tcBorders>
              <w:top w:val="nil"/>
              <w:left w:val="single" w:sz="4" w:space="0" w:color="auto"/>
              <w:bottom w:val="nil"/>
              <w:right w:val="single" w:sz="4" w:space="0" w:color="auto"/>
            </w:tcBorders>
            <w:shd w:val="clear" w:color="000000" w:fill="FFFFFF"/>
            <w:noWrap/>
            <w:vAlign w:val="bottom"/>
            <w:hideMark/>
          </w:tcPr>
          <w:p w14:paraId="5E02DC40"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2014</w:t>
            </w:r>
          </w:p>
        </w:tc>
        <w:tc>
          <w:tcPr>
            <w:tcW w:w="436" w:type="pct"/>
            <w:tcBorders>
              <w:top w:val="nil"/>
              <w:left w:val="nil"/>
              <w:bottom w:val="nil"/>
              <w:right w:val="single" w:sz="4" w:space="0" w:color="auto"/>
            </w:tcBorders>
            <w:shd w:val="clear" w:color="000000" w:fill="FFFFFF"/>
            <w:noWrap/>
            <w:vAlign w:val="bottom"/>
            <w:hideMark/>
          </w:tcPr>
          <w:p w14:paraId="2EC85AC5"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2015</w:t>
            </w:r>
          </w:p>
        </w:tc>
        <w:tc>
          <w:tcPr>
            <w:tcW w:w="436" w:type="pct"/>
            <w:tcBorders>
              <w:top w:val="nil"/>
              <w:left w:val="nil"/>
              <w:bottom w:val="nil"/>
              <w:right w:val="nil"/>
            </w:tcBorders>
            <w:shd w:val="clear" w:color="000000" w:fill="FFFFFF"/>
            <w:noWrap/>
            <w:vAlign w:val="bottom"/>
            <w:hideMark/>
          </w:tcPr>
          <w:p w14:paraId="574EF10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2016</w:t>
            </w:r>
          </w:p>
        </w:tc>
        <w:tc>
          <w:tcPr>
            <w:tcW w:w="436" w:type="pct"/>
            <w:tcBorders>
              <w:top w:val="nil"/>
              <w:left w:val="single" w:sz="4" w:space="0" w:color="auto"/>
              <w:bottom w:val="nil"/>
              <w:right w:val="single" w:sz="4" w:space="0" w:color="auto"/>
            </w:tcBorders>
            <w:shd w:val="clear" w:color="000000" w:fill="FFFFFF"/>
            <w:noWrap/>
            <w:vAlign w:val="bottom"/>
            <w:hideMark/>
          </w:tcPr>
          <w:p w14:paraId="0A81CC53"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2017</w:t>
            </w:r>
          </w:p>
        </w:tc>
        <w:tc>
          <w:tcPr>
            <w:tcW w:w="436" w:type="pct"/>
            <w:tcBorders>
              <w:top w:val="nil"/>
              <w:left w:val="nil"/>
              <w:bottom w:val="nil"/>
              <w:right w:val="nil"/>
            </w:tcBorders>
            <w:shd w:val="clear" w:color="000000" w:fill="FFFFFF"/>
            <w:noWrap/>
            <w:vAlign w:val="bottom"/>
            <w:hideMark/>
          </w:tcPr>
          <w:p w14:paraId="30884EC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2018</w:t>
            </w:r>
          </w:p>
        </w:tc>
        <w:tc>
          <w:tcPr>
            <w:tcW w:w="436" w:type="pct"/>
            <w:tcBorders>
              <w:top w:val="nil"/>
              <w:left w:val="single" w:sz="4" w:space="0" w:color="auto"/>
              <w:bottom w:val="nil"/>
              <w:right w:val="nil"/>
            </w:tcBorders>
            <w:shd w:val="clear" w:color="000000" w:fill="FFFFFF"/>
            <w:noWrap/>
            <w:vAlign w:val="bottom"/>
            <w:hideMark/>
          </w:tcPr>
          <w:p w14:paraId="78427B08"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2019</w:t>
            </w:r>
          </w:p>
        </w:tc>
        <w:tc>
          <w:tcPr>
            <w:tcW w:w="436" w:type="pct"/>
            <w:tcBorders>
              <w:top w:val="nil"/>
              <w:left w:val="single" w:sz="4" w:space="0" w:color="auto"/>
              <w:bottom w:val="nil"/>
              <w:right w:val="single" w:sz="4" w:space="0" w:color="auto"/>
            </w:tcBorders>
            <w:shd w:val="clear" w:color="000000" w:fill="FFFFFF"/>
            <w:noWrap/>
            <w:vAlign w:val="bottom"/>
            <w:hideMark/>
          </w:tcPr>
          <w:p w14:paraId="2976ED33"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2020</w:t>
            </w:r>
          </w:p>
        </w:tc>
      </w:tr>
      <w:tr w:rsidR="00A330C3" w:rsidRPr="00A330C3" w14:paraId="099E4E0D" w14:textId="77777777" w:rsidTr="00A330C3">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B6D88C" w14:textId="77777777" w:rsidR="00A330C3" w:rsidRPr="00A330C3" w:rsidRDefault="00A330C3" w:rsidP="00A330C3">
            <w:pPr>
              <w:spacing w:after="0" w:line="240" w:lineRule="auto"/>
              <w:jc w:val="center"/>
              <w:rPr>
                <w:rFonts w:ascii="Times New Roman" w:eastAsia="Times New Roman" w:hAnsi="Times New Roman" w:cs="Times New Roman"/>
                <w:b/>
                <w:bCs/>
                <w:color w:val="000000"/>
                <w:sz w:val="20"/>
                <w:szCs w:val="20"/>
                <w:lang w:eastAsia="da-DK"/>
              </w:rPr>
            </w:pPr>
            <w:r w:rsidRPr="00A330C3">
              <w:rPr>
                <w:rFonts w:ascii="Times New Roman" w:eastAsia="Times New Roman" w:hAnsi="Times New Roman" w:cs="Times New Roman"/>
                <w:b/>
                <w:bCs/>
                <w:color w:val="000000"/>
                <w:sz w:val="20"/>
                <w:szCs w:val="20"/>
                <w:lang w:eastAsia="da-DK"/>
              </w:rPr>
              <w:t>Grønland</w:t>
            </w:r>
          </w:p>
        </w:tc>
      </w:tr>
      <w:tr w:rsidR="00A330C3" w:rsidRPr="00A330C3" w14:paraId="6C4C39EE"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1924FE60"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Hellefisk</w:t>
            </w:r>
          </w:p>
        </w:tc>
        <w:tc>
          <w:tcPr>
            <w:tcW w:w="436" w:type="pct"/>
            <w:tcBorders>
              <w:top w:val="nil"/>
              <w:left w:val="nil"/>
              <w:bottom w:val="single" w:sz="4" w:space="0" w:color="auto"/>
              <w:right w:val="single" w:sz="4" w:space="0" w:color="auto"/>
            </w:tcBorders>
            <w:shd w:val="clear" w:color="000000" w:fill="FFFFFF"/>
            <w:noWrap/>
            <w:vAlign w:val="bottom"/>
            <w:hideMark/>
          </w:tcPr>
          <w:p w14:paraId="3B3F5E73"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13.062</w:t>
            </w:r>
          </w:p>
        </w:tc>
        <w:tc>
          <w:tcPr>
            <w:tcW w:w="436" w:type="pct"/>
            <w:tcBorders>
              <w:top w:val="nil"/>
              <w:left w:val="nil"/>
              <w:bottom w:val="single" w:sz="4" w:space="0" w:color="auto"/>
              <w:right w:val="single" w:sz="4" w:space="0" w:color="auto"/>
            </w:tcBorders>
            <w:shd w:val="clear" w:color="000000" w:fill="FFFFFF"/>
            <w:noWrap/>
            <w:vAlign w:val="bottom"/>
            <w:hideMark/>
          </w:tcPr>
          <w:p w14:paraId="091736C0"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11.348</w:t>
            </w:r>
          </w:p>
        </w:tc>
        <w:tc>
          <w:tcPr>
            <w:tcW w:w="436" w:type="pct"/>
            <w:tcBorders>
              <w:top w:val="nil"/>
              <w:left w:val="nil"/>
              <w:bottom w:val="single" w:sz="4" w:space="0" w:color="auto"/>
              <w:right w:val="single" w:sz="4" w:space="0" w:color="auto"/>
            </w:tcBorders>
            <w:shd w:val="clear" w:color="000000" w:fill="FFFFFF"/>
            <w:noWrap/>
            <w:vAlign w:val="bottom"/>
            <w:hideMark/>
          </w:tcPr>
          <w:p w14:paraId="5A9C167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11.464</w:t>
            </w:r>
          </w:p>
        </w:tc>
        <w:tc>
          <w:tcPr>
            <w:tcW w:w="436" w:type="pct"/>
            <w:tcBorders>
              <w:top w:val="nil"/>
              <w:left w:val="nil"/>
              <w:bottom w:val="single" w:sz="4" w:space="0" w:color="auto"/>
              <w:right w:val="single" w:sz="4" w:space="0" w:color="auto"/>
            </w:tcBorders>
            <w:shd w:val="clear" w:color="000000" w:fill="FFFFFF"/>
            <w:noWrap/>
            <w:vAlign w:val="bottom"/>
            <w:hideMark/>
          </w:tcPr>
          <w:p w14:paraId="31171F0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13.318</w:t>
            </w:r>
          </w:p>
        </w:tc>
        <w:tc>
          <w:tcPr>
            <w:tcW w:w="436" w:type="pct"/>
            <w:tcBorders>
              <w:top w:val="nil"/>
              <w:left w:val="nil"/>
              <w:bottom w:val="single" w:sz="4" w:space="0" w:color="auto"/>
              <w:right w:val="single" w:sz="4" w:space="0" w:color="auto"/>
            </w:tcBorders>
            <w:shd w:val="clear" w:color="000000" w:fill="FFFFFF"/>
            <w:noWrap/>
            <w:vAlign w:val="bottom"/>
            <w:hideMark/>
          </w:tcPr>
          <w:p w14:paraId="5F0E7881"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11.564</w:t>
            </w:r>
          </w:p>
        </w:tc>
        <w:tc>
          <w:tcPr>
            <w:tcW w:w="436" w:type="pct"/>
            <w:tcBorders>
              <w:top w:val="nil"/>
              <w:left w:val="nil"/>
              <w:bottom w:val="single" w:sz="4" w:space="0" w:color="auto"/>
              <w:right w:val="single" w:sz="4" w:space="0" w:color="auto"/>
            </w:tcBorders>
            <w:shd w:val="clear" w:color="000000" w:fill="FFFFFF"/>
            <w:noWrap/>
            <w:vAlign w:val="bottom"/>
            <w:hideMark/>
          </w:tcPr>
          <w:p w14:paraId="4931DDB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13.402</w:t>
            </w:r>
          </w:p>
        </w:tc>
        <w:tc>
          <w:tcPr>
            <w:tcW w:w="436" w:type="pct"/>
            <w:tcBorders>
              <w:top w:val="nil"/>
              <w:left w:val="nil"/>
              <w:bottom w:val="single" w:sz="4" w:space="0" w:color="auto"/>
              <w:right w:val="single" w:sz="4" w:space="0" w:color="auto"/>
            </w:tcBorders>
            <w:shd w:val="clear" w:color="000000" w:fill="FFFFFF"/>
            <w:noWrap/>
            <w:vAlign w:val="bottom"/>
            <w:hideMark/>
          </w:tcPr>
          <w:p w14:paraId="1913315D"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13.724</w:t>
            </w:r>
          </w:p>
        </w:tc>
        <w:tc>
          <w:tcPr>
            <w:tcW w:w="436" w:type="pct"/>
            <w:tcBorders>
              <w:top w:val="nil"/>
              <w:left w:val="nil"/>
              <w:bottom w:val="single" w:sz="4" w:space="0" w:color="auto"/>
              <w:right w:val="nil"/>
            </w:tcBorders>
            <w:shd w:val="clear" w:color="000000" w:fill="FFFFFF"/>
            <w:noWrap/>
            <w:vAlign w:val="bottom"/>
            <w:hideMark/>
          </w:tcPr>
          <w:p w14:paraId="105970A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15.819</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5242EB5D"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15.007</w:t>
            </w:r>
          </w:p>
        </w:tc>
      </w:tr>
      <w:tr w:rsidR="00A330C3" w:rsidRPr="00A330C3" w14:paraId="0ACD050E"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435755EC" w14:textId="77777777" w:rsidR="00A330C3" w:rsidRPr="00A330C3" w:rsidRDefault="00A330C3" w:rsidP="00A330C3">
            <w:pPr>
              <w:spacing w:after="0" w:line="240" w:lineRule="auto"/>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xml:space="preserve">  Vest</w:t>
            </w:r>
          </w:p>
        </w:tc>
        <w:tc>
          <w:tcPr>
            <w:tcW w:w="436" w:type="pct"/>
            <w:tcBorders>
              <w:top w:val="nil"/>
              <w:left w:val="nil"/>
              <w:bottom w:val="single" w:sz="4" w:space="0" w:color="auto"/>
              <w:right w:val="single" w:sz="4" w:space="0" w:color="auto"/>
            </w:tcBorders>
            <w:shd w:val="clear" w:color="000000" w:fill="FFFFFF"/>
            <w:noWrap/>
            <w:vAlign w:val="bottom"/>
            <w:hideMark/>
          </w:tcPr>
          <w:p w14:paraId="08881F52"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8.083</w:t>
            </w:r>
          </w:p>
        </w:tc>
        <w:tc>
          <w:tcPr>
            <w:tcW w:w="436" w:type="pct"/>
            <w:tcBorders>
              <w:top w:val="nil"/>
              <w:left w:val="nil"/>
              <w:bottom w:val="single" w:sz="4" w:space="0" w:color="auto"/>
              <w:right w:val="single" w:sz="4" w:space="0" w:color="auto"/>
            </w:tcBorders>
            <w:shd w:val="clear" w:color="000000" w:fill="FFFFFF"/>
            <w:noWrap/>
            <w:vAlign w:val="bottom"/>
            <w:hideMark/>
          </w:tcPr>
          <w:p w14:paraId="6926456F"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8.095</w:t>
            </w:r>
          </w:p>
        </w:tc>
        <w:tc>
          <w:tcPr>
            <w:tcW w:w="436" w:type="pct"/>
            <w:tcBorders>
              <w:top w:val="nil"/>
              <w:left w:val="nil"/>
              <w:bottom w:val="nil"/>
              <w:right w:val="nil"/>
            </w:tcBorders>
            <w:shd w:val="clear" w:color="000000" w:fill="FFFFFF"/>
            <w:noWrap/>
            <w:vAlign w:val="bottom"/>
            <w:hideMark/>
          </w:tcPr>
          <w:p w14:paraId="7C429973"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9.580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2205C0B9"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9.595</w:t>
            </w:r>
          </w:p>
        </w:tc>
        <w:tc>
          <w:tcPr>
            <w:tcW w:w="436" w:type="pct"/>
            <w:tcBorders>
              <w:top w:val="nil"/>
              <w:left w:val="nil"/>
              <w:bottom w:val="single" w:sz="4" w:space="0" w:color="auto"/>
              <w:right w:val="single" w:sz="4" w:space="0" w:color="auto"/>
            </w:tcBorders>
            <w:shd w:val="clear" w:color="000000" w:fill="FFFFFF"/>
            <w:noWrap/>
            <w:vAlign w:val="bottom"/>
            <w:hideMark/>
          </w:tcPr>
          <w:p w14:paraId="51BF3B11"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9.737</w:t>
            </w:r>
          </w:p>
        </w:tc>
        <w:tc>
          <w:tcPr>
            <w:tcW w:w="436" w:type="pct"/>
            <w:tcBorders>
              <w:top w:val="nil"/>
              <w:left w:val="nil"/>
              <w:bottom w:val="single" w:sz="4" w:space="0" w:color="auto"/>
              <w:right w:val="single" w:sz="4" w:space="0" w:color="auto"/>
            </w:tcBorders>
            <w:shd w:val="clear" w:color="000000" w:fill="FFFFFF"/>
            <w:noWrap/>
            <w:vAlign w:val="bottom"/>
            <w:hideMark/>
          </w:tcPr>
          <w:p w14:paraId="3049EE6B"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10.892</w:t>
            </w:r>
          </w:p>
        </w:tc>
        <w:tc>
          <w:tcPr>
            <w:tcW w:w="436" w:type="pct"/>
            <w:tcBorders>
              <w:top w:val="nil"/>
              <w:left w:val="nil"/>
              <w:bottom w:val="single" w:sz="4" w:space="0" w:color="auto"/>
              <w:right w:val="single" w:sz="4" w:space="0" w:color="auto"/>
            </w:tcBorders>
            <w:shd w:val="clear" w:color="000000" w:fill="FFFFFF"/>
            <w:noWrap/>
            <w:vAlign w:val="bottom"/>
            <w:hideMark/>
          </w:tcPr>
          <w:p w14:paraId="1F4C4049"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11.032</w:t>
            </w:r>
          </w:p>
        </w:tc>
        <w:tc>
          <w:tcPr>
            <w:tcW w:w="436" w:type="pct"/>
            <w:tcBorders>
              <w:top w:val="nil"/>
              <w:left w:val="nil"/>
              <w:bottom w:val="single" w:sz="4" w:space="0" w:color="auto"/>
              <w:right w:val="nil"/>
            </w:tcBorders>
            <w:shd w:val="clear" w:color="000000" w:fill="FFFFFF"/>
            <w:noWrap/>
            <w:vAlign w:val="bottom"/>
            <w:hideMark/>
          </w:tcPr>
          <w:p w14:paraId="4B4AF9F3"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13.021</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1663B96B"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13.040</w:t>
            </w:r>
          </w:p>
        </w:tc>
      </w:tr>
      <w:tr w:rsidR="00A330C3" w:rsidRPr="00A330C3" w14:paraId="26BC5ADC"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7647B2FD" w14:textId="77777777" w:rsidR="00A330C3" w:rsidRPr="00A330C3" w:rsidRDefault="00A330C3" w:rsidP="00A330C3">
            <w:pPr>
              <w:spacing w:after="0" w:line="240" w:lineRule="auto"/>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xml:space="preserve">  Øst</w:t>
            </w:r>
          </w:p>
        </w:tc>
        <w:tc>
          <w:tcPr>
            <w:tcW w:w="436" w:type="pct"/>
            <w:tcBorders>
              <w:top w:val="nil"/>
              <w:left w:val="nil"/>
              <w:bottom w:val="single" w:sz="4" w:space="0" w:color="auto"/>
              <w:right w:val="single" w:sz="4" w:space="0" w:color="auto"/>
            </w:tcBorders>
            <w:shd w:val="clear" w:color="000000" w:fill="FFFFFF"/>
            <w:noWrap/>
            <w:vAlign w:val="bottom"/>
            <w:hideMark/>
          </w:tcPr>
          <w:p w14:paraId="37AA89FF"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4.979</w:t>
            </w:r>
          </w:p>
        </w:tc>
        <w:tc>
          <w:tcPr>
            <w:tcW w:w="436" w:type="pct"/>
            <w:tcBorders>
              <w:top w:val="nil"/>
              <w:left w:val="nil"/>
              <w:bottom w:val="single" w:sz="4" w:space="0" w:color="auto"/>
              <w:right w:val="single" w:sz="4" w:space="0" w:color="auto"/>
            </w:tcBorders>
            <w:shd w:val="clear" w:color="000000" w:fill="FFFFFF"/>
            <w:noWrap/>
            <w:vAlign w:val="bottom"/>
            <w:hideMark/>
          </w:tcPr>
          <w:p w14:paraId="247CDFAB"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3.253</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14:paraId="659D6967"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1.883</w:t>
            </w:r>
          </w:p>
        </w:tc>
        <w:tc>
          <w:tcPr>
            <w:tcW w:w="436" w:type="pct"/>
            <w:tcBorders>
              <w:top w:val="nil"/>
              <w:left w:val="nil"/>
              <w:bottom w:val="single" w:sz="4" w:space="0" w:color="auto"/>
              <w:right w:val="single" w:sz="4" w:space="0" w:color="auto"/>
            </w:tcBorders>
            <w:shd w:val="clear" w:color="000000" w:fill="FFFFFF"/>
            <w:noWrap/>
            <w:vAlign w:val="bottom"/>
            <w:hideMark/>
          </w:tcPr>
          <w:p w14:paraId="62E17CCB"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3.722</w:t>
            </w:r>
          </w:p>
        </w:tc>
        <w:tc>
          <w:tcPr>
            <w:tcW w:w="436" w:type="pct"/>
            <w:tcBorders>
              <w:top w:val="nil"/>
              <w:left w:val="nil"/>
              <w:bottom w:val="single" w:sz="4" w:space="0" w:color="auto"/>
              <w:right w:val="single" w:sz="4" w:space="0" w:color="auto"/>
            </w:tcBorders>
            <w:shd w:val="clear" w:color="000000" w:fill="FFFFFF"/>
            <w:noWrap/>
            <w:vAlign w:val="bottom"/>
            <w:hideMark/>
          </w:tcPr>
          <w:p w14:paraId="7F7D528E"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1.827</w:t>
            </w:r>
          </w:p>
        </w:tc>
        <w:tc>
          <w:tcPr>
            <w:tcW w:w="436" w:type="pct"/>
            <w:tcBorders>
              <w:top w:val="nil"/>
              <w:left w:val="nil"/>
              <w:bottom w:val="single" w:sz="4" w:space="0" w:color="auto"/>
              <w:right w:val="single" w:sz="4" w:space="0" w:color="auto"/>
            </w:tcBorders>
            <w:shd w:val="clear" w:color="000000" w:fill="FFFFFF"/>
            <w:noWrap/>
            <w:vAlign w:val="bottom"/>
            <w:hideMark/>
          </w:tcPr>
          <w:p w14:paraId="05D5177D"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2.510</w:t>
            </w:r>
          </w:p>
        </w:tc>
        <w:tc>
          <w:tcPr>
            <w:tcW w:w="436" w:type="pct"/>
            <w:tcBorders>
              <w:top w:val="nil"/>
              <w:left w:val="nil"/>
              <w:bottom w:val="single" w:sz="4" w:space="0" w:color="auto"/>
              <w:right w:val="single" w:sz="4" w:space="0" w:color="auto"/>
            </w:tcBorders>
            <w:shd w:val="clear" w:color="000000" w:fill="FFFFFF"/>
            <w:noWrap/>
            <w:vAlign w:val="bottom"/>
            <w:hideMark/>
          </w:tcPr>
          <w:p w14:paraId="5AF2BA4D"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2.692</w:t>
            </w:r>
          </w:p>
        </w:tc>
        <w:tc>
          <w:tcPr>
            <w:tcW w:w="436" w:type="pct"/>
            <w:tcBorders>
              <w:top w:val="nil"/>
              <w:left w:val="nil"/>
              <w:bottom w:val="single" w:sz="4" w:space="0" w:color="auto"/>
              <w:right w:val="nil"/>
            </w:tcBorders>
            <w:shd w:val="clear" w:color="000000" w:fill="FFFFFF"/>
            <w:noWrap/>
            <w:vAlign w:val="bottom"/>
            <w:hideMark/>
          </w:tcPr>
          <w:p w14:paraId="2CE1F60A"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2.798</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73A89DD8"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1.967</w:t>
            </w:r>
          </w:p>
        </w:tc>
      </w:tr>
      <w:tr w:rsidR="00A330C3" w:rsidRPr="00A330C3" w14:paraId="6384C1F5"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22F67946"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Torsk</w:t>
            </w:r>
          </w:p>
        </w:tc>
        <w:tc>
          <w:tcPr>
            <w:tcW w:w="436" w:type="pct"/>
            <w:tcBorders>
              <w:top w:val="nil"/>
              <w:left w:val="nil"/>
              <w:bottom w:val="single" w:sz="4" w:space="0" w:color="auto"/>
              <w:right w:val="single" w:sz="4" w:space="0" w:color="auto"/>
            </w:tcBorders>
            <w:shd w:val="clear" w:color="000000" w:fill="FFFFFF"/>
            <w:noWrap/>
            <w:vAlign w:val="bottom"/>
            <w:hideMark/>
          </w:tcPr>
          <w:p w14:paraId="6497339E"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2.508</w:t>
            </w:r>
          </w:p>
        </w:tc>
        <w:tc>
          <w:tcPr>
            <w:tcW w:w="436" w:type="pct"/>
            <w:tcBorders>
              <w:top w:val="nil"/>
              <w:left w:val="nil"/>
              <w:bottom w:val="single" w:sz="4" w:space="0" w:color="auto"/>
              <w:right w:val="single" w:sz="4" w:space="0" w:color="auto"/>
            </w:tcBorders>
            <w:shd w:val="clear" w:color="000000" w:fill="FFFFFF"/>
            <w:noWrap/>
            <w:vAlign w:val="bottom"/>
            <w:hideMark/>
          </w:tcPr>
          <w:p w14:paraId="17A40F4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2.573</w:t>
            </w:r>
          </w:p>
        </w:tc>
        <w:tc>
          <w:tcPr>
            <w:tcW w:w="436" w:type="pct"/>
            <w:tcBorders>
              <w:top w:val="nil"/>
              <w:left w:val="nil"/>
              <w:bottom w:val="single" w:sz="4" w:space="0" w:color="auto"/>
              <w:right w:val="single" w:sz="4" w:space="0" w:color="auto"/>
            </w:tcBorders>
            <w:shd w:val="clear" w:color="000000" w:fill="FFFFFF"/>
            <w:noWrap/>
            <w:vAlign w:val="bottom"/>
            <w:hideMark/>
          </w:tcPr>
          <w:p w14:paraId="0BEB4A0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3.784</w:t>
            </w:r>
          </w:p>
        </w:tc>
        <w:tc>
          <w:tcPr>
            <w:tcW w:w="436" w:type="pct"/>
            <w:tcBorders>
              <w:top w:val="nil"/>
              <w:left w:val="nil"/>
              <w:bottom w:val="single" w:sz="4" w:space="0" w:color="auto"/>
              <w:right w:val="single" w:sz="4" w:space="0" w:color="auto"/>
            </w:tcBorders>
            <w:shd w:val="clear" w:color="000000" w:fill="FFFFFF"/>
            <w:noWrap/>
            <w:vAlign w:val="bottom"/>
            <w:hideMark/>
          </w:tcPr>
          <w:p w14:paraId="5C838E3C"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14.534</w:t>
            </w:r>
          </w:p>
        </w:tc>
        <w:tc>
          <w:tcPr>
            <w:tcW w:w="436" w:type="pct"/>
            <w:tcBorders>
              <w:top w:val="nil"/>
              <w:left w:val="nil"/>
              <w:bottom w:val="single" w:sz="4" w:space="0" w:color="auto"/>
              <w:right w:val="single" w:sz="4" w:space="0" w:color="auto"/>
            </w:tcBorders>
            <w:shd w:val="clear" w:color="000000" w:fill="FFFFFF"/>
            <w:noWrap/>
            <w:vAlign w:val="bottom"/>
            <w:hideMark/>
          </w:tcPr>
          <w:p w14:paraId="3DF48DA1"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13.143</w:t>
            </w:r>
          </w:p>
        </w:tc>
        <w:tc>
          <w:tcPr>
            <w:tcW w:w="436" w:type="pct"/>
            <w:tcBorders>
              <w:top w:val="nil"/>
              <w:left w:val="nil"/>
              <w:bottom w:val="single" w:sz="4" w:space="0" w:color="auto"/>
              <w:right w:val="single" w:sz="4" w:space="0" w:color="auto"/>
            </w:tcBorders>
            <w:shd w:val="clear" w:color="000000" w:fill="FFFFFF"/>
            <w:noWrap/>
            <w:vAlign w:val="bottom"/>
            <w:hideMark/>
          </w:tcPr>
          <w:p w14:paraId="69EA40A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13.587</w:t>
            </w:r>
          </w:p>
        </w:tc>
        <w:tc>
          <w:tcPr>
            <w:tcW w:w="436" w:type="pct"/>
            <w:tcBorders>
              <w:top w:val="nil"/>
              <w:left w:val="nil"/>
              <w:bottom w:val="single" w:sz="4" w:space="0" w:color="auto"/>
              <w:right w:val="single" w:sz="4" w:space="0" w:color="auto"/>
            </w:tcBorders>
            <w:shd w:val="clear" w:color="000000" w:fill="FFFFFF"/>
            <w:noWrap/>
            <w:vAlign w:val="bottom"/>
            <w:hideMark/>
          </w:tcPr>
          <w:p w14:paraId="5ABF982B"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13.160</w:t>
            </w:r>
          </w:p>
        </w:tc>
        <w:tc>
          <w:tcPr>
            <w:tcW w:w="436" w:type="pct"/>
            <w:tcBorders>
              <w:top w:val="nil"/>
              <w:left w:val="nil"/>
              <w:bottom w:val="single" w:sz="4" w:space="0" w:color="auto"/>
              <w:right w:val="nil"/>
            </w:tcBorders>
            <w:shd w:val="clear" w:color="000000" w:fill="FFFFFF"/>
            <w:noWrap/>
            <w:vAlign w:val="bottom"/>
            <w:hideMark/>
          </w:tcPr>
          <w:p w14:paraId="033D7E5E"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14.276</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6925A055"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11.156</w:t>
            </w:r>
          </w:p>
        </w:tc>
      </w:tr>
      <w:tr w:rsidR="00A330C3" w:rsidRPr="00A330C3" w14:paraId="223428D5"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7711C61E" w14:textId="77777777" w:rsidR="00A330C3" w:rsidRPr="00A330C3" w:rsidRDefault="00A330C3" w:rsidP="00A330C3">
            <w:pPr>
              <w:spacing w:after="0" w:line="240" w:lineRule="auto"/>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xml:space="preserve">  Vest  - forsøgsfiskeri</w:t>
            </w:r>
          </w:p>
        </w:tc>
        <w:tc>
          <w:tcPr>
            <w:tcW w:w="436" w:type="pct"/>
            <w:tcBorders>
              <w:top w:val="nil"/>
              <w:left w:val="nil"/>
              <w:bottom w:val="single" w:sz="4" w:space="0" w:color="auto"/>
              <w:right w:val="single" w:sz="4" w:space="0" w:color="auto"/>
            </w:tcBorders>
            <w:shd w:val="clear" w:color="000000" w:fill="FFFFFF"/>
            <w:noWrap/>
            <w:vAlign w:val="bottom"/>
            <w:hideMark/>
          </w:tcPr>
          <w:p w14:paraId="7FEA5F3C"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w:t>
            </w:r>
          </w:p>
        </w:tc>
        <w:tc>
          <w:tcPr>
            <w:tcW w:w="436" w:type="pct"/>
            <w:tcBorders>
              <w:top w:val="nil"/>
              <w:left w:val="nil"/>
              <w:bottom w:val="single" w:sz="4" w:space="0" w:color="auto"/>
              <w:right w:val="single" w:sz="4" w:space="0" w:color="auto"/>
            </w:tcBorders>
            <w:shd w:val="clear" w:color="000000" w:fill="FFFFFF"/>
            <w:noWrap/>
            <w:vAlign w:val="bottom"/>
            <w:hideMark/>
          </w:tcPr>
          <w:p w14:paraId="5D548831"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w:t>
            </w:r>
          </w:p>
        </w:tc>
        <w:tc>
          <w:tcPr>
            <w:tcW w:w="436" w:type="pct"/>
            <w:tcBorders>
              <w:top w:val="nil"/>
              <w:left w:val="nil"/>
              <w:bottom w:val="single" w:sz="4" w:space="0" w:color="auto"/>
              <w:right w:val="single" w:sz="4" w:space="0" w:color="auto"/>
            </w:tcBorders>
            <w:shd w:val="clear" w:color="000000" w:fill="FFFFFF"/>
            <w:noWrap/>
            <w:vAlign w:val="bottom"/>
            <w:hideMark/>
          </w:tcPr>
          <w:p w14:paraId="0EF9A256"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w:t>
            </w:r>
          </w:p>
        </w:tc>
        <w:tc>
          <w:tcPr>
            <w:tcW w:w="436" w:type="pct"/>
            <w:tcBorders>
              <w:top w:val="nil"/>
              <w:left w:val="nil"/>
              <w:bottom w:val="single" w:sz="4" w:space="0" w:color="auto"/>
              <w:right w:val="single" w:sz="4" w:space="0" w:color="auto"/>
            </w:tcBorders>
            <w:shd w:val="clear" w:color="000000" w:fill="FFFFFF"/>
            <w:noWrap/>
            <w:vAlign w:val="bottom"/>
            <w:hideMark/>
          </w:tcPr>
          <w:p w14:paraId="19D56B40"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5.044</w:t>
            </w:r>
          </w:p>
        </w:tc>
        <w:tc>
          <w:tcPr>
            <w:tcW w:w="436" w:type="pct"/>
            <w:tcBorders>
              <w:top w:val="nil"/>
              <w:left w:val="nil"/>
              <w:bottom w:val="single" w:sz="4" w:space="0" w:color="auto"/>
              <w:right w:val="single" w:sz="4" w:space="0" w:color="auto"/>
            </w:tcBorders>
            <w:shd w:val="clear" w:color="000000" w:fill="FFFFFF"/>
            <w:noWrap/>
            <w:vAlign w:val="bottom"/>
            <w:hideMark/>
          </w:tcPr>
          <w:p w14:paraId="2B803DF5"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3.273</w:t>
            </w:r>
          </w:p>
        </w:tc>
        <w:tc>
          <w:tcPr>
            <w:tcW w:w="436" w:type="pct"/>
            <w:tcBorders>
              <w:top w:val="nil"/>
              <w:left w:val="nil"/>
              <w:bottom w:val="single" w:sz="4" w:space="0" w:color="auto"/>
              <w:right w:val="single" w:sz="4" w:space="0" w:color="auto"/>
            </w:tcBorders>
            <w:shd w:val="clear" w:color="000000" w:fill="FFFFFF"/>
            <w:noWrap/>
            <w:vAlign w:val="bottom"/>
            <w:hideMark/>
          </w:tcPr>
          <w:p w14:paraId="71D5B352"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2.430</w:t>
            </w:r>
          </w:p>
        </w:tc>
        <w:tc>
          <w:tcPr>
            <w:tcW w:w="436" w:type="pct"/>
            <w:tcBorders>
              <w:top w:val="nil"/>
              <w:left w:val="nil"/>
              <w:bottom w:val="single" w:sz="4" w:space="0" w:color="auto"/>
              <w:right w:val="single" w:sz="4" w:space="0" w:color="auto"/>
            </w:tcBorders>
            <w:shd w:val="clear" w:color="000000" w:fill="FFFFFF"/>
            <w:noWrap/>
            <w:vAlign w:val="bottom"/>
            <w:hideMark/>
          </w:tcPr>
          <w:p w14:paraId="2E4D5065"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3.532</w:t>
            </w:r>
          </w:p>
        </w:tc>
        <w:tc>
          <w:tcPr>
            <w:tcW w:w="436" w:type="pct"/>
            <w:tcBorders>
              <w:top w:val="nil"/>
              <w:left w:val="nil"/>
              <w:bottom w:val="single" w:sz="4" w:space="0" w:color="auto"/>
              <w:right w:val="nil"/>
            </w:tcBorders>
            <w:shd w:val="clear" w:color="000000" w:fill="FFFFFF"/>
            <w:noWrap/>
            <w:vAlign w:val="bottom"/>
            <w:hideMark/>
          </w:tcPr>
          <w:p w14:paraId="6711F30E"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387</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36A63B0D"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w:t>
            </w:r>
          </w:p>
        </w:tc>
      </w:tr>
      <w:tr w:rsidR="00A330C3" w:rsidRPr="00A330C3" w14:paraId="25DB4635"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460F3551" w14:textId="77777777" w:rsidR="00A330C3" w:rsidRPr="00A330C3" w:rsidRDefault="00A330C3" w:rsidP="00A330C3">
            <w:pPr>
              <w:spacing w:after="0" w:line="240" w:lineRule="auto"/>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 xml:space="preserve">  </w:t>
            </w:r>
            <w:proofErr w:type="spellStart"/>
            <w:r w:rsidRPr="00A330C3">
              <w:rPr>
                <w:rFonts w:ascii="Times New Roman" w:eastAsia="Times New Roman" w:hAnsi="Times New Roman" w:cs="Times New Roman"/>
                <w:i/>
                <w:iCs/>
                <w:color w:val="000000"/>
                <w:sz w:val="20"/>
                <w:szCs w:val="20"/>
                <w:lang w:eastAsia="da-DK"/>
              </w:rPr>
              <w:t>Syd-Vest</w:t>
            </w:r>
            <w:proofErr w:type="spellEnd"/>
            <w:r w:rsidRPr="00A330C3">
              <w:rPr>
                <w:rFonts w:ascii="Times New Roman" w:eastAsia="Times New Roman" w:hAnsi="Times New Roman" w:cs="Times New Roman"/>
                <w:i/>
                <w:iCs/>
                <w:color w:val="000000"/>
                <w:sz w:val="20"/>
                <w:szCs w:val="20"/>
                <w:lang w:eastAsia="da-DK"/>
              </w:rPr>
              <w:t>/Øst</w:t>
            </w:r>
          </w:p>
        </w:tc>
        <w:tc>
          <w:tcPr>
            <w:tcW w:w="436" w:type="pct"/>
            <w:tcBorders>
              <w:top w:val="nil"/>
              <w:left w:val="nil"/>
              <w:bottom w:val="single" w:sz="4" w:space="0" w:color="auto"/>
              <w:right w:val="single" w:sz="4" w:space="0" w:color="auto"/>
            </w:tcBorders>
            <w:shd w:val="clear" w:color="000000" w:fill="FFFFFF"/>
            <w:noWrap/>
            <w:vAlign w:val="bottom"/>
            <w:hideMark/>
          </w:tcPr>
          <w:p w14:paraId="507D3845"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2.508</w:t>
            </w:r>
          </w:p>
        </w:tc>
        <w:tc>
          <w:tcPr>
            <w:tcW w:w="436" w:type="pct"/>
            <w:tcBorders>
              <w:top w:val="nil"/>
              <w:left w:val="nil"/>
              <w:bottom w:val="single" w:sz="4" w:space="0" w:color="auto"/>
              <w:right w:val="single" w:sz="4" w:space="0" w:color="auto"/>
            </w:tcBorders>
            <w:shd w:val="clear" w:color="000000" w:fill="FFFFFF"/>
            <w:noWrap/>
            <w:vAlign w:val="bottom"/>
            <w:hideMark/>
          </w:tcPr>
          <w:p w14:paraId="6EE492B8"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2.573</w:t>
            </w:r>
          </w:p>
        </w:tc>
        <w:tc>
          <w:tcPr>
            <w:tcW w:w="436" w:type="pct"/>
            <w:tcBorders>
              <w:top w:val="nil"/>
              <w:left w:val="nil"/>
              <w:bottom w:val="single" w:sz="4" w:space="0" w:color="auto"/>
              <w:right w:val="single" w:sz="4" w:space="0" w:color="auto"/>
            </w:tcBorders>
            <w:shd w:val="clear" w:color="000000" w:fill="FFFFFF"/>
            <w:noWrap/>
            <w:vAlign w:val="bottom"/>
            <w:hideMark/>
          </w:tcPr>
          <w:p w14:paraId="51DD8D03"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3.784</w:t>
            </w:r>
          </w:p>
        </w:tc>
        <w:tc>
          <w:tcPr>
            <w:tcW w:w="436" w:type="pct"/>
            <w:tcBorders>
              <w:top w:val="nil"/>
              <w:left w:val="nil"/>
              <w:bottom w:val="single" w:sz="4" w:space="0" w:color="auto"/>
              <w:right w:val="single" w:sz="4" w:space="0" w:color="auto"/>
            </w:tcBorders>
            <w:shd w:val="clear" w:color="000000" w:fill="FFFFFF"/>
            <w:noWrap/>
            <w:vAlign w:val="bottom"/>
            <w:hideMark/>
          </w:tcPr>
          <w:p w14:paraId="3B7782C8"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10.109</w:t>
            </w:r>
          </w:p>
        </w:tc>
        <w:tc>
          <w:tcPr>
            <w:tcW w:w="436" w:type="pct"/>
            <w:tcBorders>
              <w:top w:val="nil"/>
              <w:left w:val="nil"/>
              <w:bottom w:val="single" w:sz="4" w:space="0" w:color="auto"/>
              <w:right w:val="single" w:sz="4" w:space="0" w:color="auto"/>
            </w:tcBorders>
            <w:shd w:val="clear" w:color="000000" w:fill="FFFFFF"/>
            <w:noWrap/>
            <w:vAlign w:val="bottom"/>
            <w:hideMark/>
          </w:tcPr>
          <w:p w14:paraId="72E11290"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9.868</w:t>
            </w:r>
          </w:p>
        </w:tc>
        <w:tc>
          <w:tcPr>
            <w:tcW w:w="436" w:type="pct"/>
            <w:tcBorders>
              <w:top w:val="nil"/>
              <w:left w:val="nil"/>
              <w:bottom w:val="single" w:sz="4" w:space="0" w:color="auto"/>
              <w:right w:val="single" w:sz="4" w:space="0" w:color="auto"/>
            </w:tcBorders>
            <w:shd w:val="clear" w:color="000000" w:fill="FFFFFF"/>
            <w:noWrap/>
            <w:vAlign w:val="bottom"/>
            <w:hideMark/>
          </w:tcPr>
          <w:p w14:paraId="3F920B55"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11.157</w:t>
            </w:r>
          </w:p>
        </w:tc>
        <w:tc>
          <w:tcPr>
            <w:tcW w:w="436" w:type="pct"/>
            <w:tcBorders>
              <w:top w:val="nil"/>
              <w:left w:val="nil"/>
              <w:bottom w:val="single" w:sz="4" w:space="0" w:color="auto"/>
              <w:right w:val="single" w:sz="4" w:space="0" w:color="auto"/>
            </w:tcBorders>
            <w:shd w:val="clear" w:color="000000" w:fill="FFFFFF"/>
            <w:noWrap/>
            <w:vAlign w:val="bottom"/>
            <w:hideMark/>
          </w:tcPr>
          <w:p w14:paraId="60C9A0CE"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9.628</w:t>
            </w:r>
          </w:p>
        </w:tc>
        <w:tc>
          <w:tcPr>
            <w:tcW w:w="436" w:type="pct"/>
            <w:tcBorders>
              <w:top w:val="nil"/>
              <w:left w:val="nil"/>
              <w:bottom w:val="single" w:sz="4" w:space="0" w:color="auto"/>
              <w:right w:val="nil"/>
            </w:tcBorders>
            <w:shd w:val="clear" w:color="000000" w:fill="FFFFFF"/>
            <w:noWrap/>
            <w:vAlign w:val="bottom"/>
            <w:hideMark/>
          </w:tcPr>
          <w:p w14:paraId="322AF260"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13.890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34A12A29" w14:textId="77777777" w:rsidR="00A330C3" w:rsidRPr="00A330C3" w:rsidRDefault="00A330C3" w:rsidP="00A330C3">
            <w:pPr>
              <w:spacing w:after="0" w:line="240" w:lineRule="auto"/>
              <w:jc w:val="right"/>
              <w:rPr>
                <w:rFonts w:ascii="Times New Roman" w:eastAsia="Times New Roman" w:hAnsi="Times New Roman" w:cs="Times New Roman"/>
                <w:i/>
                <w:iCs/>
                <w:color w:val="000000"/>
                <w:sz w:val="20"/>
                <w:szCs w:val="20"/>
                <w:lang w:eastAsia="da-DK"/>
              </w:rPr>
            </w:pPr>
            <w:r w:rsidRPr="00A330C3">
              <w:rPr>
                <w:rFonts w:ascii="Times New Roman" w:eastAsia="Times New Roman" w:hAnsi="Times New Roman" w:cs="Times New Roman"/>
                <w:i/>
                <w:iCs/>
                <w:color w:val="000000"/>
                <w:sz w:val="20"/>
                <w:szCs w:val="20"/>
                <w:lang w:eastAsia="da-DK"/>
              </w:rPr>
              <w:t>11.156</w:t>
            </w:r>
          </w:p>
        </w:tc>
      </w:tr>
      <w:tr w:rsidR="00A330C3" w:rsidRPr="00A330C3" w14:paraId="6FD6B28D" w14:textId="77777777" w:rsidTr="00A330C3">
        <w:trPr>
          <w:trHeight w:val="255"/>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68211487"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Rødfisk - Øst</w:t>
            </w:r>
          </w:p>
        </w:tc>
        <w:tc>
          <w:tcPr>
            <w:tcW w:w="436" w:type="pct"/>
            <w:tcBorders>
              <w:top w:val="nil"/>
              <w:left w:val="nil"/>
              <w:bottom w:val="single" w:sz="4" w:space="0" w:color="auto"/>
              <w:right w:val="single" w:sz="4" w:space="0" w:color="auto"/>
            </w:tcBorders>
            <w:shd w:val="clear" w:color="000000" w:fill="FFFFFF"/>
            <w:noWrap/>
            <w:vAlign w:val="bottom"/>
            <w:hideMark/>
          </w:tcPr>
          <w:p w14:paraId="581D5E80"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6.068</w:t>
            </w:r>
          </w:p>
        </w:tc>
        <w:tc>
          <w:tcPr>
            <w:tcW w:w="436" w:type="pct"/>
            <w:tcBorders>
              <w:top w:val="nil"/>
              <w:left w:val="nil"/>
              <w:bottom w:val="single" w:sz="4" w:space="0" w:color="auto"/>
              <w:right w:val="single" w:sz="4" w:space="0" w:color="auto"/>
            </w:tcBorders>
            <w:shd w:val="clear" w:color="000000" w:fill="FFFFFF"/>
            <w:noWrap/>
            <w:vAlign w:val="bottom"/>
            <w:hideMark/>
          </w:tcPr>
          <w:p w14:paraId="79BF3E12"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5.835</w:t>
            </w:r>
          </w:p>
        </w:tc>
        <w:tc>
          <w:tcPr>
            <w:tcW w:w="436" w:type="pct"/>
            <w:tcBorders>
              <w:top w:val="nil"/>
              <w:left w:val="nil"/>
              <w:bottom w:val="single" w:sz="4" w:space="0" w:color="auto"/>
              <w:right w:val="single" w:sz="4" w:space="0" w:color="auto"/>
            </w:tcBorders>
            <w:shd w:val="clear" w:color="000000" w:fill="FFFFFF"/>
            <w:noWrap/>
            <w:vAlign w:val="bottom"/>
            <w:hideMark/>
          </w:tcPr>
          <w:p w14:paraId="38BD361F"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4.743</w:t>
            </w:r>
          </w:p>
        </w:tc>
        <w:tc>
          <w:tcPr>
            <w:tcW w:w="436" w:type="pct"/>
            <w:tcBorders>
              <w:top w:val="nil"/>
              <w:left w:val="nil"/>
              <w:bottom w:val="single" w:sz="4" w:space="0" w:color="auto"/>
              <w:right w:val="single" w:sz="4" w:space="0" w:color="auto"/>
            </w:tcBorders>
            <w:shd w:val="clear" w:color="000000" w:fill="FFFFFF"/>
            <w:noWrap/>
            <w:vAlign w:val="bottom"/>
            <w:hideMark/>
          </w:tcPr>
          <w:p w14:paraId="4DD2073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4.943</w:t>
            </w:r>
          </w:p>
        </w:tc>
        <w:tc>
          <w:tcPr>
            <w:tcW w:w="436" w:type="pct"/>
            <w:tcBorders>
              <w:top w:val="nil"/>
              <w:left w:val="nil"/>
              <w:bottom w:val="single" w:sz="4" w:space="0" w:color="auto"/>
              <w:right w:val="single" w:sz="4" w:space="0" w:color="auto"/>
            </w:tcBorders>
            <w:shd w:val="clear" w:color="000000" w:fill="FFFFFF"/>
            <w:noWrap/>
            <w:vAlign w:val="bottom"/>
            <w:hideMark/>
          </w:tcPr>
          <w:p w14:paraId="0D6BE5E2"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5.534</w:t>
            </w:r>
          </w:p>
        </w:tc>
        <w:tc>
          <w:tcPr>
            <w:tcW w:w="436" w:type="pct"/>
            <w:tcBorders>
              <w:top w:val="nil"/>
              <w:left w:val="nil"/>
              <w:bottom w:val="single" w:sz="4" w:space="0" w:color="auto"/>
              <w:right w:val="single" w:sz="4" w:space="0" w:color="auto"/>
            </w:tcBorders>
            <w:shd w:val="clear" w:color="000000" w:fill="FFFFFF"/>
            <w:noWrap/>
            <w:vAlign w:val="bottom"/>
            <w:hideMark/>
          </w:tcPr>
          <w:p w14:paraId="7F5ED03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4.702</w:t>
            </w:r>
          </w:p>
        </w:tc>
        <w:tc>
          <w:tcPr>
            <w:tcW w:w="436" w:type="pct"/>
            <w:tcBorders>
              <w:top w:val="nil"/>
              <w:left w:val="nil"/>
              <w:bottom w:val="single" w:sz="4" w:space="0" w:color="auto"/>
              <w:right w:val="single" w:sz="4" w:space="0" w:color="auto"/>
            </w:tcBorders>
            <w:shd w:val="clear" w:color="000000" w:fill="FFFFFF"/>
            <w:noWrap/>
            <w:vAlign w:val="bottom"/>
            <w:hideMark/>
          </w:tcPr>
          <w:p w14:paraId="7366A1E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3.155</w:t>
            </w:r>
          </w:p>
        </w:tc>
        <w:tc>
          <w:tcPr>
            <w:tcW w:w="436" w:type="pct"/>
            <w:tcBorders>
              <w:top w:val="nil"/>
              <w:left w:val="nil"/>
              <w:bottom w:val="single" w:sz="4" w:space="0" w:color="auto"/>
              <w:right w:val="nil"/>
            </w:tcBorders>
            <w:shd w:val="clear" w:color="000000" w:fill="FFFFFF"/>
            <w:noWrap/>
            <w:vAlign w:val="bottom"/>
            <w:hideMark/>
          </w:tcPr>
          <w:p w14:paraId="435DDF2E"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1.990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0347AD7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9307E">
              <w:rPr>
                <w:rFonts w:ascii="Times New Roman" w:eastAsia="Times New Roman" w:hAnsi="Times New Roman" w:cs="Times New Roman"/>
                <w:color w:val="000000"/>
                <w:sz w:val="20"/>
                <w:szCs w:val="20"/>
                <w:lang w:eastAsia="da-DK"/>
              </w:rPr>
              <w:t>2.452</w:t>
            </w:r>
          </w:p>
        </w:tc>
      </w:tr>
      <w:tr w:rsidR="00A330C3" w:rsidRPr="00A330C3" w14:paraId="234CD527" w14:textId="77777777" w:rsidTr="00A330C3">
        <w:trPr>
          <w:trHeight w:val="300"/>
        </w:trPr>
        <w:tc>
          <w:tcPr>
            <w:tcW w:w="1078" w:type="pct"/>
            <w:tcBorders>
              <w:top w:val="nil"/>
              <w:left w:val="single" w:sz="4" w:space="0" w:color="auto"/>
              <w:bottom w:val="nil"/>
              <w:right w:val="single" w:sz="4" w:space="0" w:color="auto"/>
            </w:tcBorders>
            <w:shd w:val="clear" w:color="000000" w:fill="FFFFFF"/>
            <w:noWrap/>
            <w:vAlign w:val="bottom"/>
            <w:hideMark/>
          </w:tcPr>
          <w:p w14:paraId="1A8CC2E3"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Brosme - Øst</w:t>
            </w:r>
          </w:p>
        </w:tc>
        <w:tc>
          <w:tcPr>
            <w:tcW w:w="436" w:type="pct"/>
            <w:tcBorders>
              <w:top w:val="nil"/>
              <w:left w:val="nil"/>
              <w:bottom w:val="nil"/>
              <w:right w:val="single" w:sz="4" w:space="0" w:color="auto"/>
            </w:tcBorders>
            <w:shd w:val="clear" w:color="000000" w:fill="FFFFFF"/>
            <w:noWrap/>
            <w:vAlign w:val="bottom"/>
            <w:hideMark/>
          </w:tcPr>
          <w:p w14:paraId="251D4C05"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nil"/>
              <w:left w:val="nil"/>
              <w:bottom w:val="nil"/>
              <w:right w:val="single" w:sz="4" w:space="0" w:color="auto"/>
            </w:tcBorders>
            <w:shd w:val="clear" w:color="000000" w:fill="FFFFFF"/>
            <w:noWrap/>
            <w:vAlign w:val="bottom"/>
            <w:hideMark/>
          </w:tcPr>
          <w:p w14:paraId="6FFA0F37"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nil"/>
              <w:left w:val="nil"/>
              <w:bottom w:val="nil"/>
              <w:right w:val="single" w:sz="4" w:space="0" w:color="auto"/>
            </w:tcBorders>
            <w:shd w:val="clear" w:color="000000" w:fill="FFFFFF"/>
            <w:noWrap/>
            <w:vAlign w:val="bottom"/>
            <w:hideMark/>
          </w:tcPr>
          <w:p w14:paraId="6726A20C"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nil"/>
              <w:left w:val="nil"/>
              <w:bottom w:val="nil"/>
              <w:right w:val="single" w:sz="4" w:space="0" w:color="auto"/>
            </w:tcBorders>
            <w:shd w:val="clear" w:color="000000" w:fill="FFFFFF"/>
            <w:noWrap/>
            <w:vAlign w:val="bottom"/>
            <w:hideMark/>
          </w:tcPr>
          <w:p w14:paraId="502383F2"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 </w:t>
            </w:r>
          </w:p>
        </w:tc>
        <w:tc>
          <w:tcPr>
            <w:tcW w:w="436" w:type="pct"/>
            <w:tcBorders>
              <w:top w:val="nil"/>
              <w:left w:val="nil"/>
              <w:bottom w:val="nil"/>
              <w:right w:val="single" w:sz="4" w:space="0" w:color="auto"/>
            </w:tcBorders>
            <w:shd w:val="clear" w:color="000000" w:fill="FFFFFF"/>
            <w:noWrap/>
            <w:vAlign w:val="bottom"/>
            <w:hideMark/>
          </w:tcPr>
          <w:p w14:paraId="7D89AFBB"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180</w:t>
            </w:r>
          </w:p>
        </w:tc>
        <w:tc>
          <w:tcPr>
            <w:tcW w:w="436" w:type="pct"/>
            <w:tcBorders>
              <w:top w:val="nil"/>
              <w:left w:val="nil"/>
              <w:bottom w:val="nil"/>
              <w:right w:val="single" w:sz="4" w:space="0" w:color="auto"/>
            </w:tcBorders>
            <w:shd w:val="clear" w:color="000000" w:fill="FFFFFF"/>
            <w:noWrap/>
            <w:vAlign w:val="bottom"/>
            <w:hideMark/>
          </w:tcPr>
          <w:p w14:paraId="26278A7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350</w:t>
            </w:r>
          </w:p>
        </w:tc>
        <w:tc>
          <w:tcPr>
            <w:tcW w:w="436" w:type="pct"/>
            <w:tcBorders>
              <w:top w:val="nil"/>
              <w:left w:val="nil"/>
              <w:bottom w:val="nil"/>
              <w:right w:val="single" w:sz="4" w:space="0" w:color="auto"/>
            </w:tcBorders>
            <w:shd w:val="clear" w:color="000000" w:fill="FFFFFF"/>
            <w:noWrap/>
            <w:vAlign w:val="bottom"/>
            <w:hideMark/>
          </w:tcPr>
          <w:p w14:paraId="55F73ECF"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93</w:t>
            </w:r>
          </w:p>
        </w:tc>
        <w:tc>
          <w:tcPr>
            <w:tcW w:w="436" w:type="pct"/>
            <w:tcBorders>
              <w:top w:val="nil"/>
              <w:left w:val="nil"/>
              <w:bottom w:val="nil"/>
              <w:right w:val="nil"/>
            </w:tcBorders>
            <w:shd w:val="clear" w:color="000000" w:fill="FFFFFF"/>
            <w:noWrap/>
            <w:vAlign w:val="bottom"/>
            <w:hideMark/>
          </w:tcPr>
          <w:p w14:paraId="09316DA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63</w:t>
            </w:r>
          </w:p>
        </w:tc>
        <w:tc>
          <w:tcPr>
            <w:tcW w:w="436" w:type="pct"/>
            <w:tcBorders>
              <w:top w:val="nil"/>
              <w:left w:val="single" w:sz="4" w:space="0" w:color="auto"/>
              <w:bottom w:val="nil"/>
              <w:right w:val="single" w:sz="4" w:space="0" w:color="auto"/>
            </w:tcBorders>
            <w:shd w:val="clear" w:color="000000" w:fill="FFFFFF"/>
            <w:noWrap/>
            <w:vAlign w:val="bottom"/>
            <w:hideMark/>
          </w:tcPr>
          <w:p w14:paraId="4848936F"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44</w:t>
            </w:r>
          </w:p>
        </w:tc>
      </w:tr>
      <w:tr w:rsidR="00A330C3" w:rsidRPr="00A330C3" w14:paraId="11CF914D" w14:textId="77777777" w:rsidTr="00A330C3">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9A0C1D" w14:textId="77777777" w:rsidR="00A330C3" w:rsidRPr="00A330C3" w:rsidRDefault="00A330C3" w:rsidP="00A330C3">
            <w:pPr>
              <w:spacing w:after="0" w:line="240" w:lineRule="auto"/>
              <w:jc w:val="center"/>
              <w:rPr>
                <w:rFonts w:ascii="Times New Roman" w:eastAsia="Times New Roman" w:hAnsi="Times New Roman" w:cs="Times New Roman"/>
                <w:b/>
                <w:bCs/>
                <w:color w:val="000000"/>
                <w:sz w:val="20"/>
                <w:szCs w:val="20"/>
                <w:lang w:eastAsia="da-DK"/>
              </w:rPr>
            </w:pPr>
            <w:r w:rsidRPr="00A330C3">
              <w:rPr>
                <w:rFonts w:ascii="Times New Roman" w:eastAsia="Times New Roman" w:hAnsi="Times New Roman" w:cs="Times New Roman"/>
                <w:b/>
                <w:bCs/>
                <w:color w:val="000000"/>
                <w:sz w:val="20"/>
                <w:szCs w:val="20"/>
                <w:lang w:eastAsia="da-DK"/>
              </w:rPr>
              <w:t>Barentshavet</w:t>
            </w:r>
          </w:p>
        </w:tc>
      </w:tr>
      <w:tr w:rsidR="00A330C3" w:rsidRPr="00A330C3" w14:paraId="37572EE4" w14:textId="77777777"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6305E580"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Torsk</w:t>
            </w:r>
          </w:p>
        </w:tc>
        <w:tc>
          <w:tcPr>
            <w:tcW w:w="436" w:type="pct"/>
            <w:tcBorders>
              <w:top w:val="nil"/>
              <w:left w:val="nil"/>
              <w:bottom w:val="single" w:sz="4" w:space="0" w:color="auto"/>
              <w:right w:val="single" w:sz="4" w:space="0" w:color="auto"/>
            </w:tcBorders>
            <w:shd w:val="clear" w:color="000000" w:fill="FFFFFF"/>
            <w:noWrap/>
            <w:vAlign w:val="bottom"/>
            <w:hideMark/>
          </w:tcPr>
          <w:p w14:paraId="744257FB"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8.502</w:t>
            </w:r>
          </w:p>
        </w:tc>
        <w:tc>
          <w:tcPr>
            <w:tcW w:w="436" w:type="pct"/>
            <w:tcBorders>
              <w:top w:val="nil"/>
              <w:left w:val="nil"/>
              <w:bottom w:val="single" w:sz="4" w:space="0" w:color="auto"/>
              <w:right w:val="single" w:sz="4" w:space="0" w:color="auto"/>
            </w:tcBorders>
            <w:shd w:val="clear" w:color="000000" w:fill="FFFFFF"/>
            <w:noWrap/>
            <w:vAlign w:val="bottom"/>
            <w:hideMark/>
          </w:tcPr>
          <w:p w14:paraId="30363B62"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9.403</w:t>
            </w:r>
          </w:p>
        </w:tc>
        <w:tc>
          <w:tcPr>
            <w:tcW w:w="436" w:type="pct"/>
            <w:tcBorders>
              <w:top w:val="nil"/>
              <w:left w:val="nil"/>
              <w:bottom w:val="single" w:sz="4" w:space="0" w:color="auto"/>
              <w:right w:val="single" w:sz="4" w:space="0" w:color="auto"/>
            </w:tcBorders>
            <w:shd w:val="clear" w:color="000000" w:fill="FFFFFF"/>
            <w:noWrap/>
            <w:vAlign w:val="bottom"/>
            <w:hideMark/>
          </w:tcPr>
          <w:p w14:paraId="2B90FA8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8.835</w:t>
            </w:r>
          </w:p>
        </w:tc>
        <w:tc>
          <w:tcPr>
            <w:tcW w:w="436" w:type="pct"/>
            <w:tcBorders>
              <w:top w:val="nil"/>
              <w:left w:val="nil"/>
              <w:bottom w:val="single" w:sz="4" w:space="0" w:color="auto"/>
              <w:right w:val="single" w:sz="4" w:space="0" w:color="auto"/>
            </w:tcBorders>
            <w:shd w:val="clear" w:color="000000" w:fill="FFFFFF"/>
            <w:noWrap/>
            <w:vAlign w:val="bottom"/>
            <w:hideMark/>
          </w:tcPr>
          <w:p w14:paraId="73E8551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8.061</w:t>
            </w:r>
          </w:p>
        </w:tc>
        <w:tc>
          <w:tcPr>
            <w:tcW w:w="436" w:type="pct"/>
            <w:tcBorders>
              <w:top w:val="nil"/>
              <w:left w:val="nil"/>
              <w:bottom w:val="single" w:sz="4" w:space="0" w:color="auto"/>
              <w:right w:val="single" w:sz="4" w:space="0" w:color="auto"/>
            </w:tcBorders>
            <w:shd w:val="clear" w:color="000000" w:fill="FFFFFF"/>
            <w:noWrap/>
            <w:vAlign w:val="bottom"/>
            <w:hideMark/>
          </w:tcPr>
          <w:p w14:paraId="33159F89"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8.605</w:t>
            </w:r>
          </w:p>
        </w:tc>
        <w:tc>
          <w:tcPr>
            <w:tcW w:w="436" w:type="pct"/>
            <w:tcBorders>
              <w:top w:val="nil"/>
              <w:left w:val="nil"/>
              <w:bottom w:val="single" w:sz="4" w:space="0" w:color="auto"/>
              <w:right w:val="single" w:sz="4" w:space="0" w:color="auto"/>
            </w:tcBorders>
            <w:shd w:val="clear" w:color="000000" w:fill="FFFFFF"/>
            <w:noWrap/>
            <w:vAlign w:val="bottom"/>
            <w:hideMark/>
          </w:tcPr>
          <w:p w14:paraId="5F96238F"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8.742</w:t>
            </w:r>
          </w:p>
        </w:tc>
        <w:tc>
          <w:tcPr>
            <w:tcW w:w="436" w:type="pct"/>
            <w:tcBorders>
              <w:top w:val="nil"/>
              <w:left w:val="nil"/>
              <w:bottom w:val="single" w:sz="4" w:space="0" w:color="auto"/>
              <w:right w:val="single" w:sz="4" w:space="0" w:color="auto"/>
            </w:tcBorders>
            <w:shd w:val="clear" w:color="000000" w:fill="FFFFFF"/>
            <w:noWrap/>
            <w:vAlign w:val="bottom"/>
            <w:hideMark/>
          </w:tcPr>
          <w:p w14:paraId="1DDF0828"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8.450</w:t>
            </w:r>
          </w:p>
        </w:tc>
        <w:tc>
          <w:tcPr>
            <w:tcW w:w="436" w:type="pct"/>
            <w:tcBorders>
              <w:top w:val="nil"/>
              <w:left w:val="nil"/>
              <w:bottom w:val="single" w:sz="4" w:space="0" w:color="auto"/>
              <w:right w:val="nil"/>
            </w:tcBorders>
            <w:shd w:val="clear" w:color="000000" w:fill="FFFFFF"/>
            <w:noWrap/>
            <w:vAlign w:val="bottom"/>
            <w:hideMark/>
          </w:tcPr>
          <w:p w14:paraId="1048ACE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7.723</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4F1D6FCF"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8.159</w:t>
            </w:r>
          </w:p>
        </w:tc>
      </w:tr>
      <w:tr w:rsidR="00A330C3" w:rsidRPr="00A330C3" w14:paraId="0F45558D" w14:textId="77777777" w:rsidTr="00A330C3">
        <w:trPr>
          <w:trHeight w:val="255"/>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26AEC0BD"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Kuller</w:t>
            </w:r>
          </w:p>
        </w:tc>
        <w:tc>
          <w:tcPr>
            <w:tcW w:w="436" w:type="pct"/>
            <w:tcBorders>
              <w:top w:val="nil"/>
              <w:left w:val="nil"/>
              <w:bottom w:val="single" w:sz="4" w:space="0" w:color="auto"/>
              <w:right w:val="single" w:sz="4" w:space="0" w:color="auto"/>
            </w:tcBorders>
            <w:shd w:val="clear" w:color="000000" w:fill="FFFFFF"/>
            <w:noWrap/>
            <w:vAlign w:val="bottom"/>
            <w:hideMark/>
          </w:tcPr>
          <w:p w14:paraId="1924D952"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2.551</w:t>
            </w:r>
          </w:p>
        </w:tc>
        <w:tc>
          <w:tcPr>
            <w:tcW w:w="436" w:type="pct"/>
            <w:tcBorders>
              <w:top w:val="nil"/>
              <w:left w:val="nil"/>
              <w:bottom w:val="single" w:sz="4" w:space="0" w:color="auto"/>
              <w:right w:val="single" w:sz="4" w:space="0" w:color="auto"/>
            </w:tcBorders>
            <w:shd w:val="clear" w:color="000000" w:fill="FFFFFF"/>
            <w:noWrap/>
            <w:vAlign w:val="bottom"/>
            <w:hideMark/>
          </w:tcPr>
          <w:p w14:paraId="35B1DD48"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1.578</w:t>
            </w:r>
          </w:p>
        </w:tc>
        <w:tc>
          <w:tcPr>
            <w:tcW w:w="436" w:type="pct"/>
            <w:tcBorders>
              <w:top w:val="nil"/>
              <w:left w:val="nil"/>
              <w:bottom w:val="single" w:sz="4" w:space="0" w:color="auto"/>
              <w:right w:val="single" w:sz="4" w:space="0" w:color="auto"/>
            </w:tcBorders>
            <w:shd w:val="clear" w:color="000000" w:fill="FFFFFF"/>
            <w:noWrap/>
            <w:vAlign w:val="bottom"/>
            <w:hideMark/>
          </w:tcPr>
          <w:p w14:paraId="0382D95E"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1.148</w:t>
            </w:r>
          </w:p>
        </w:tc>
        <w:tc>
          <w:tcPr>
            <w:tcW w:w="436" w:type="pct"/>
            <w:tcBorders>
              <w:top w:val="nil"/>
              <w:left w:val="nil"/>
              <w:bottom w:val="single" w:sz="4" w:space="0" w:color="auto"/>
              <w:right w:val="single" w:sz="4" w:space="0" w:color="auto"/>
            </w:tcBorders>
            <w:shd w:val="clear" w:color="000000" w:fill="FFFFFF"/>
            <w:noWrap/>
            <w:vAlign w:val="bottom"/>
            <w:hideMark/>
          </w:tcPr>
          <w:p w14:paraId="4DD9A631"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1.124</w:t>
            </w:r>
          </w:p>
        </w:tc>
        <w:tc>
          <w:tcPr>
            <w:tcW w:w="436" w:type="pct"/>
            <w:tcBorders>
              <w:top w:val="nil"/>
              <w:left w:val="nil"/>
              <w:bottom w:val="single" w:sz="4" w:space="0" w:color="auto"/>
              <w:right w:val="single" w:sz="4" w:space="0" w:color="auto"/>
            </w:tcBorders>
            <w:shd w:val="clear" w:color="000000" w:fill="FFFFFF"/>
            <w:noWrap/>
            <w:vAlign w:val="bottom"/>
            <w:hideMark/>
          </w:tcPr>
          <w:p w14:paraId="31C984BC"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1.402</w:t>
            </w:r>
          </w:p>
        </w:tc>
        <w:tc>
          <w:tcPr>
            <w:tcW w:w="436" w:type="pct"/>
            <w:tcBorders>
              <w:top w:val="nil"/>
              <w:left w:val="nil"/>
              <w:bottom w:val="single" w:sz="4" w:space="0" w:color="auto"/>
              <w:right w:val="single" w:sz="4" w:space="0" w:color="auto"/>
            </w:tcBorders>
            <w:shd w:val="clear" w:color="000000" w:fill="FFFFFF"/>
            <w:noWrap/>
            <w:vAlign w:val="bottom"/>
            <w:hideMark/>
          </w:tcPr>
          <w:p w14:paraId="1AF5FF75"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1.391</w:t>
            </w:r>
          </w:p>
        </w:tc>
        <w:tc>
          <w:tcPr>
            <w:tcW w:w="436" w:type="pct"/>
            <w:tcBorders>
              <w:top w:val="nil"/>
              <w:left w:val="nil"/>
              <w:bottom w:val="single" w:sz="4" w:space="0" w:color="auto"/>
              <w:right w:val="single" w:sz="4" w:space="0" w:color="auto"/>
            </w:tcBorders>
            <w:shd w:val="clear" w:color="000000" w:fill="FFFFFF"/>
            <w:noWrap/>
            <w:vAlign w:val="bottom"/>
            <w:hideMark/>
          </w:tcPr>
          <w:p w14:paraId="6A55F93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1.228</w:t>
            </w:r>
          </w:p>
        </w:tc>
        <w:tc>
          <w:tcPr>
            <w:tcW w:w="436" w:type="pct"/>
            <w:tcBorders>
              <w:top w:val="nil"/>
              <w:left w:val="nil"/>
              <w:bottom w:val="single" w:sz="4" w:space="0" w:color="auto"/>
              <w:right w:val="nil"/>
            </w:tcBorders>
            <w:shd w:val="clear" w:color="000000" w:fill="FFFFFF"/>
            <w:noWrap/>
            <w:vAlign w:val="bottom"/>
            <w:hideMark/>
          </w:tcPr>
          <w:p w14:paraId="7F46279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1.009</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4169B4AE"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945</w:t>
            </w:r>
          </w:p>
        </w:tc>
      </w:tr>
      <w:tr w:rsidR="00A330C3" w:rsidRPr="00A330C3" w14:paraId="69C7A610" w14:textId="77777777" w:rsidTr="00A330C3">
        <w:trPr>
          <w:trHeight w:val="255"/>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14:paraId="71EFA9A2" w14:textId="77777777" w:rsidR="00A330C3" w:rsidRPr="00A330C3" w:rsidRDefault="00A330C3" w:rsidP="00A330C3">
            <w:pPr>
              <w:spacing w:after="0" w:line="240" w:lineRule="auto"/>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Sej</w:t>
            </w:r>
          </w:p>
        </w:tc>
        <w:tc>
          <w:tcPr>
            <w:tcW w:w="436" w:type="pct"/>
            <w:tcBorders>
              <w:top w:val="nil"/>
              <w:left w:val="nil"/>
              <w:bottom w:val="single" w:sz="4" w:space="0" w:color="auto"/>
              <w:right w:val="single" w:sz="4" w:space="0" w:color="auto"/>
            </w:tcBorders>
            <w:shd w:val="clear" w:color="000000" w:fill="FFFFFF"/>
            <w:noWrap/>
            <w:vAlign w:val="bottom"/>
            <w:hideMark/>
          </w:tcPr>
          <w:p w14:paraId="124B9A8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679</w:t>
            </w:r>
          </w:p>
        </w:tc>
        <w:tc>
          <w:tcPr>
            <w:tcW w:w="436" w:type="pct"/>
            <w:tcBorders>
              <w:top w:val="nil"/>
              <w:left w:val="nil"/>
              <w:bottom w:val="single" w:sz="4" w:space="0" w:color="auto"/>
              <w:right w:val="single" w:sz="4" w:space="0" w:color="auto"/>
            </w:tcBorders>
            <w:shd w:val="clear" w:color="000000" w:fill="FFFFFF"/>
            <w:noWrap/>
            <w:vAlign w:val="bottom"/>
            <w:hideMark/>
          </w:tcPr>
          <w:p w14:paraId="7973C517"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972</w:t>
            </w:r>
          </w:p>
        </w:tc>
        <w:tc>
          <w:tcPr>
            <w:tcW w:w="436" w:type="pct"/>
            <w:tcBorders>
              <w:top w:val="nil"/>
              <w:left w:val="nil"/>
              <w:bottom w:val="single" w:sz="4" w:space="0" w:color="auto"/>
              <w:right w:val="single" w:sz="4" w:space="0" w:color="auto"/>
            </w:tcBorders>
            <w:shd w:val="clear" w:color="000000" w:fill="FFFFFF"/>
            <w:noWrap/>
            <w:vAlign w:val="bottom"/>
            <w:hideMark/>
          </w:tcPr>
          <w:p w14:paraId="695D0F52"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407</w:t>
            </w:r>
          </w:p>
        </w:tc>
        <w:tc>
          <w:tcPr>
            <w:tcW w:w="436" w:type="pct"/>
            <w:tcBorders>
              <w:top w:val="nil"/>
              <w:left w:val="nil"/>
              <w:bottom w:val="single" w:sz="4" w:space="0" w:color="auto"/>
              <w:right w:val="single" w:sz="4" w:space="0" w:color="auto"/>
            </w:tcBorders>
            <w:shd w:val="clear" w:color="000000" w:fill="FFFFFF"/>
            <w:noWrap/>
            <w:vAlign w:val="bottom"/>
            <w:hideMark/>
          </w:tcPr>
          <w:p w14:paraId="3221A251"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437</w:t>
            </w:r>
          </w:p>
        </w:tc>
        <w:tc>
          <w:tcPr>
            <w:tcW w:w="436" w:type="pct"/>
            <w:tcBorders>
              <w:top w:val="nil"/>
              <w:left w:val="nil"/>
              <w:bottom w:val="single" w:sz="4" w:space="0" w:color="auto"/>
              <w:right w:val="single" w:sz="4" w:space="0" w:color="auto"/>
            </w:tcBorders>
            <w:shd w:val="clear" w:color="000000" w:fill="FFFFFF"/>
            <w:noWrap/>
            <w:vAlign w:val="bottom"/>
            <w:hideMark/>
          </w:tcPr>
          <w:p w14:paraId="4F5CDBFC"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613</w:t>
            </w:r>
          </w:p>
        </w:tc>
        <w:tc>
          <w:tcPr>
            <w:tcW w:w="436" w:type="pct"/>
            <w:tcBorders>
              <w:top w:val="nil"/>
              <w:left w:val="nil"/>
              <w:bottom w:val="single" w:sz="4" w:space="0" w:color="auto"/>
              <w:right w:val="single" w:sz="4" w:space="0" w:color="auto"/>
            </w:tcBorders>
            <w:shd w:val="clear" w:color="000000" w:fill="FFFFFF"/>
            <w:noWrap/>
            <w:vAlign w:val="bottom"/>
            <w:hideMark/>
          </w:tcPr>
          <w:p w14:paraId="3870353A"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407</w:t>
            </w:r>
          </w:p>
        </w:tc>
        <w:tc>
          <w:tcPr>
            <w:tcW w:w="436" w:type="pct"/>
            <w:tcBorders>
              <w:top w:val="nil"/>
              <w:left w:val="nil"/>
              <w:bottom w:val="single" w:sz="4" w:space="0" w:color="auto"/>
              <w:right w:val="single" w:sz="4" w:space="0" w:color="auto"/>
            </w:tcBorders>
            <w:shd w:val="clear" w:color="000000" w:fill="FFFFFF"/>
            <w:noWrap/>
            <w:vAlign w:val="bottom"/>
            <w:hideMark/>
          </w:tcPr>
          <w:p w14:paraId="43B6D460"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464</w:t>
            </w:r>
          </w:p>
        </w:tc>
        <w:tc>
          <w:tcPr>
            <w:tcW w:w="436" w:type="pct"/>
            <w:tcBorders>
              <w:top w:val="nil"/>
              <w:left w:val="nil"/>
              <w:bottom w:val="single" w:sz="4" w:space="0" w:color="auto"/>
              <w:right w:val="nil"/>
            </w:tcBorders>
            <w:shd w:val="clear" w:color="000000" w:fill="FFFFFF"/>
            <w:noWrap/>
            <w:vAlign w:val="bottom"/>
            <w:hideMark/>
          </w:tcPr>
          <w:p w14:paraId="57FE4CB4"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420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14:paraId="51D16976" w14:textId="77777777" w:rsidR="00A330C3" w:rsidRPr="00A330C3" w:rsidRDefault="00A330C3" w:rsidP="00A330C3">
            <w:pPr>
              <w:spacing w:after="0" w:line="240" w:lineRule="auto"/>
              <w:jc w:val="right"/>
              <w:rPr>
                <w:rFonts w:ascii="Times New Roman" w:eastAsia="Times New Roman" w:hAnsi="Times New Roman" w:cs="Times New Roman"/>
                <w:color w:val="000000"/>
                <w:sz w:val="20"/>
                <w:szCs w:val="20"/>
                <w:lang w:eastAsia="da-DK"/>
              </w:rPr>
            </w:pPr>
            <w:r w:rsidRPr="00A330C3">
              <w:rPr>
                <w:rFonts w:ascii="Times New Roman" w:eastAsia="Times New Roman" w:hAnsi="Times New Roman" w:cs="Times New Roman"/>
                <w:color w:val="000000"/>
                <w:sz w:val="20"/>
                <w:szCs w:val="20"/>
                <w:lang w:eastAsia="da-DK"/>
              </w:rPr>
              <w:t>451</w:t>
            </w:r>
          </w:p>
        </w:tc>
      </w:tr>
    </w:tbl>
    <w:p w14:paraId="2B3A979E" w14:textId="77777777" w:rsidR="00724F30" w:rsidRPr="001F67EE" w:rsidRDefault="001F67EE" w:rsidP="00A8693E">
      <w:pPr>
        <w:spacing w:after="0" w:line="276" w:lineRule="auto"/>
        <w:jc w:val="both"/>
        <w:rPr>
          <w:rFonts w:ascii="Times New Roman" w:hAnsi="Times New Roman"/>
          <w:sz w:val="20"/>
          <w:szCs w:val="20"/>
        </w:rPr>
      </w:pPr>
      <w:r w:rsidRPr="001F67EE">
        <w:rPr>
          <w:rFonts w:ascii="Times New Roman" w:hAnsi="Times New Roman"/>
          <w:sz w:val="20"/>
          <w:szCs w:val="20"/>
        </w:rPr>
        <w:t>Kilde: APNN.</w:t>
      </w:r>
    </w:p>
    <w:p w14:paraId="01D76025" w14:textId="77777777" w:rsidR="00724F30" w:rsidRDefault="00724F30" w:rsidP="00A8693E">
      <w:pPr>
        <w:spacing w:after="0" w:line="276" w:lineRule="auto"/>
        <w:jc w:val="both"/>
        <w:rPr>
          <w:rFonts w:ascii="Times New Roman" w:hAnsi="Times New Roman"/>
          <w:b/>
          <w:sz w:val="24"/>
          <w:szCs w:val="24"/>
        </w:rPr>
      </w:pPr>
    </w:p>
    <w:p w14:paraId="3E901374" w14:textId="77777777" w:rsidR="00D6124A" w:rsidRDefault="00D6124A" w:rsidP="00A8693E">
      <w:pPr>
        <w:spacing w:after="0" w:line="276" w:lineRule="auto"/>
        <w:jc w:val="both"/>
        <w:rPr>
          <w:rFonts w:ascii="Times New Roman" w:hAnsi="Times New Roman"/>
          <w:b/>
          <w:sz w:val="24"/>
          <w:szCs w:val="24"/>
        </w:rPr>
      </w:pPr>
    </w:p>
    <w:p w14:paraId="384722D5" w14:textId="77777777" w:rsidR="00D6124A" w:rsidRDefault="00D6124A" w:rsidP="00A8693E">
      <w:pPr>
        <w:spacing w:after="0" w:line="276" w:lineRule="auto"/>
        <w:jc w:val="both"/>
        <w:rPr>
          <w:rFonts w:ascii="Times New Roman" w:hAnsi="Times New Roman"/>
          <w:b/>
          <w:sz w:val="24"/>
          <w:szCs w:val="24"/>
        </w:rPr>
      </w:pPr>
    </w:p>
    <w:p w14:paraId="1C10201F" w14:textId="77777777" w:rsidR="00D6124A" w:rsidRDefault="00D6124A" w:rsidP="00A8693E">
      <w:pPr>
        <w:spacing w:after="0" w:line="276" w:lineRule="auto"/>
        <w:jc w:val="both"/>
        <w:rPr>
          <w:rFonts w:ascii="Times New Roman" w:hAnsi="Times New Roman"/>
          <w:b/>
          <w:sz w:val="24"/>
          <w:szCs w:val="24"/>
        </w:rPr>
      </w:pPr>
    </w:p>
    <w:p w14:paraId="31ACF777" w14:textId="77777777" w:rsidR="00D6124A" w:rsidRDefault="00D6124A" w:rsidP="00A8693E">
      <w:pPr>
        <w:spacing w:after="0" w:line="276" w:lineRule="auto"/>
        <w:jc w:val="both"/>
        <w:rPr>
          <w:rFonts w:ascii="Times New Roman" w:hAnsi="Times New Roman"/>
          <w:b/>
          <w:sz w:val="24"/>
          <w:szCs w:val="24"/>
        </w:rPr>
      </w:pPr>
    </w:p>
    <w:p w14:paraId="539E5E88" w14:textId="77777777" w:rsidR="00D6124A" w:rsidRDefault="00D6124A" w:rsidP="00A8693E">
      <w:pPr>
        <w:spacing w:after="0" w:line="276" w:lineRule="auto"/>
        <w:jc w:val="both"/>
        <w:rPr>
          <w:rFonts w:ascii="Times New Roman" w:hAnsi="Times New Roman"/>
          <w:b/>
          <w:sz w:val="24"/>
          <w:szCs w:val="24"/>
        </w:rPr>
      </w:pPr>
    </w:p>
    <w:p w14:paraId="7D9D5A20" w14:textId="77777777" w:rsidR="00D6124A" w:rsidRDefault="00D6124A" w:rsidP="00A8693E">
      <w:pPr>
        <w:spacing w:after="0" w:line="276" w:lineRule="auto"/>
        <w:jc w:val="both"/>
        <w:rPr>
          <w:rFonts w:ascii="Times New Roman" w:hAnsi="Times New Roman"/>
          <w:b/>
          <w:sz w:val="24"/>
          <w:szCs w:val="24"/>
        </w:rPr>
      </w:pPr>
    </w:p>
    <w:p w14:paraId="18976BD9" w14:textId="77777777" w:rsidR="00D6124A" w:rsidRDefault="00D6124A" w:rsidP="00A8693E">
      <w:pPr>
        <w:spacing w:after="0" w:line="276" w:lineRule="auto"/>
        <w:jc w:val="both"/>
        <w:rPr>
          <w:rFonts w:ascii="Times New Roman" w:hAnsi="Times New Roman"/>
          <w:b/>
          <w:sz w:val="24"/>
          <w:szCs w:val="24"/>
        </w:rPr>
      </w:pPr>
    </w:p>
    <w:p w14:paraId="04111ECE" w14:textId="09DB4626" w:rsidR="00EF1D96" w:rsidRDefault="00EF1D96" w:rsidP="00EF1D96">
      <w:pPr>
        <w:spacing w:after="0" w:line="276" w:lineRule="auto"/>
        <w:jc w:val="both"/>
        <w:rPr>
          <w:rFonts w:ascii="Times New Roman" w:hAnsi="Times New Roman"/>
        </w:rPr>
      </w:pPr>
      <w:r w:rsidRPr="00821973">
        <w:rPr>
          <w:rFonts w:ascii="Times New Roman" w:hAnsi="Times New Roman"/>
        </w:rPr>
        <w:t>Tabel</w:t>
      </w:r>
      <w:r>
        <w:rPr>
          <w:rFonts w:ascii="Times New Roman" w:hAnsi="Times New Roman"/>
        </w:rPr>
        <w:t xml:space="preserve"> 6</w:t>
      </w:r>
      <w:r w:rsidRPr="00821973">
        <w:rPr>
          <w:rFonts w:ascii="Times New Roman" w:hAnsi="Times New Roman"/>
        </w:rPr>
        <w:t xml:space="preserve">: </w:t>
      </w:r>
      <w:r>
        <w:rPr>
          <w:rFonts w:ascii="Times New Roman" w:hAnsi="Times New Roman"/>
        </w:rPr>
        <w:t>Kvoteudnyttelse</w:t>
      </w:r>
      <w:r w:rsidRPr="00821973">
        <w:rPr>
          <w:rFonts w:ascii="Times New Roman" w:hAnsi="Times New Roman"/>
        </w:rPr>
        <w:t xml:space="preserve"> af havgående h</w:t>
      </w:r>
      <w:r w:rsidR="00170CAE">
        <w:rPr>
          <w:rFonts w:ascii="Times New Roman" w:hAnsi="Times New Roman"/>
        </w:rPr>
        <w:t>vidfisk</w:t>
      </w:r>
      <w:r>
        <w:rPr>
          <w:rFonts w:ascii="Times New Roman" w:hAnsi="Times New Roman"/>
        </w:rPr>
        <w:t xml:space="preserve">, </w:t>
      </w:r>
      <w:r w:rsidRPr="00821973">
        <w:rPr>
          <w:rFonts w:ascii="Times New Roman" w:hAnsi="Times New Roman"/>
        </w:rPr>
        <w:t>2012-2020.</w:t>
      </w:r>
    </w:p>
    <w:tbl>
      <w:tblPr>
        <w:tblW w:w="5051" w:type="pct"/>
        <w:tblCellMar>
          <w:left w:w="70" w:type="dxa"/>
          <w:right w:w="70" w:type="dxa"/>
        </w:tblCellMar>
        <w:tblLook w:val="04A0" w:firstRow="1" w:lastRow="0" w:firstColumn="1" w:lastColumn="0" w:noHBand="0" w:noVBand="1"/>
      </w:tblPr>
      <w:tblGrid>
        <w:gridCol w:w="2580"/>
        <w:gridCol w:w="794"/>
        <w:gridCol w:w="794"/>
        <w:gridCol w:w="794"/>
        <w:gridCol w:w="794"/>
        <w:gridCol w:w="794"/>
        <w:gridCol w:w="794"/>
        <w:gridCol w:w="794"/>
        <w:gridCol w:w="794"/>
        <w:gridCol w:w="794"/>
      </w:tblGrid>
      <w:tr w:rsidR="008F34DA" w:rsidRPr="008F34DA" w14:paraId="39C8A2CD" w14:textId="77777777" w:rsidTr="009313E5">
        <w:trPr>
          <w:trHeight w:val="485"/>
        </w:trPr>
        <w:tc>
          <w:tcPr>
            <w:tcW w:w="13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77671"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27E789F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2012</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78A4BC6B"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2013</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62DD401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2014</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5CF0AFD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2015</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18976E4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2016</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046E6E1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2017</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1B82291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2018</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6B6F552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2019</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2922DEC3"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2020</w:t>
            </w:r>
          </w:p>
        </w:tc>
      </w:tr>
      <w:tr w:rsidR="008F34DA" w:rsidRPr="008F34DA" w14:paraId="03E9CDDC"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14:paraId="611A62A5"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xml:space="preserve">Hellefisk - Vest </w:t>
            </w:r>
          </w:p>
        </w:tc>
        <w:tc>
          <w:tcPr>
            <w:tcW w:w="408" w:type="pct"/>
            <w:tcBorders>
              <w:top w:val="nil"/>
              <w:left w:val="nil"/>
              <w:bottom w:val="single" w:sz="4" w:space="0" w:color="auto"/>
              <w:right w:val="single" w:sz="4" w:space="0" w:color="auto"/>
            </w:tcBorders>
            <w:shd w:val="clear" w:color="000000" w:fill="F2F2F2"/>
            <w:noWrap/>
            <w:vAlign w:val="bottom"/>
            <w:hideMark/>
          </w:tcPr>
          <w:p w14:paraId="4C473B6B"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63BF4BC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3CCB6F02"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636E656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99%</w:t>
            </w:r>
          </w:p>
        </w:tc>
        <w:tc>
          <w:tcPr>
            <w:tcW w:w="408" w:type="pct"/>
            <w:tcBorders>
              <w:top w:val="nil"/>
              <w:left w:val="nil"/>
              <w:bottom w:val="single" w:sz="4" w:space="0" w:color="auto"/>
              <w:right w:val="single" w:sz="4" w:space="0" w:color="auto"/>
            </w:tcBorders>
            <w:shd w:val="clear" w:color="000000" w:fill="F2F2F2"/>
            <w:noWrap/>
            <w:vAlign w:val="bottom"/>
            <w:hideMark/>
          </w:tcPr>
          <w:p w14:paraId="1D354424"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1F83C823"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1DA19CE4"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101%</w:t>
            </w:r>
          </w:p>
        </w:tc>
        <w:tc>
          <w:tcPr>
            <w:tcW w:w="408" w:type="pct"/>
            <w:tcBorders>
              <w:top w:val="nil"/>
              <w:left w:val="nil"/>
              <w:bottom w:val="single" w:sz="4" w:space="0" w:color="auto"/>
              <w:right w:val="single" w:sz="4" w:space="0" w:color="auto"/>
            </w:tcBorders>
            <w:shd w:val="clear" w:color="000000" w:fill="F2F2F2"/>
            <w:noWrap/>
            <w:vAlign w:val="bottom"/>
            <w:hideMark/>
          </w:tcPr>
          <w:p w14:paraId="5C0C96D1"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6A02AE6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r>
      <w:tr w:rsidR="008F34DA" w:rsidRPr="008F34DA" w14:paraId="1E41FFA9"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14:paraId="3B8B30FC"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Hellefisk - Øst</w:t>
            </w:r>
          </w:p>
        </w:tc>
        <w:tc>
          <w:tcPr>
            <w:tcW w:w="408" w:type="pct"/>
            <w:tcBorders>
              <w:top w:val="nil"/>
              <w:left w:val="nil"/>
              <w:bottom w:val="single" w:sz="4" w:space="0" w:color="auto"/>
              <w:right w:val="single" w:sz="4" w:space="0" w:color="auto"/>
            </w:tcBorders>
            <w:shd w:val="clear" w:color="000000" w:fill="FFFFFF"/>
            <w:noWrap/>
            <w:vAlign w:val="bottom"/>
            <w:hideMark/>
          </w:tcPr>
          <w:p w14:paraId="65E318FF"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99%</w:t>
            </w:r>
          </w:p>
        </w:tc>
        <w:tc>
          <w:tcPr>
            <w:tcW w:w="408" w:type="pct"/>
            <w:tcBorders>
              <w:top w:val="nil"/>
              <w:left w:val="nil"/>
              <w:bottom w:val="single" w:sz="4" w:space="0" w:color="auto"/>
              <w:right w:val="single" w:sz="4" w:space="0" w:color="auto"/>
            </w:tcBorders>
            <w:shd w:val="clear" w:color="000000" w:fill="FFFFFF"/>
            <w:noWrap/>
            <w:vAlign w:val="bottom"/>
            <w:hideMark/>
          </w:tcPr>
          <w:p w14:paraId="5442EC9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88%</w:t>
            </w:r>
          </w:p>
        </w:tc>
        <w:tc>
          <w:tcPr>
            <w:tcW w:w="408" w:type="pct"/>
            <w:tcBorders>
              <w:top w:val="nil"/>
              <w:left w:val="nil"/>
              <w:bottom w:val="single" w:sz="4" w:space="0" w:color="auto"/>
              <w:right w:val="single" w:sz="4" w:space="0" w:color="auto"/>
            </w:tcBorders>
            <w:shd w:val="clear" w:color="000000" w:fill="FFFFFF"/>
            <w:noWrap/>
            <w:vAlign w:val="bottom"/>
            <w:hideMark/>
          </w:tcPr>
          <w:p w14:paraId="267B43A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79%</w:t>
            </w:r>
          </w:p>
        </w:tc>
        <w:tc>
          <w:tcPr>
            <w:tcW w:w="408" w:type="pct"/>
            <w:tcBorders>
              <w:top w:val="nil"/>
              <w:left w:val="nil"/>
              <w:bottom w:val="single" w:sz="4" w:space="0" w:color="auto"/>
              <w:right w:val="single" w:sz="4" w:space="0" w:color="auto"/>
            </w:tcBorders>
            <w:shd w:val="clear" w:color="000000" w:fill="FFFFFF"/>
            <w:noWrap/>
            <w:vAlign w:val="bottom"/>
            <w:hideMark/>
          </w:tcPr>
          <w:p w14:paraId="61DF65F6"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98%</w:t>
            </w:r>
          </w:p>
        </w:tc>
        <w:tc>
          <w:tcPr>
            <w:tcW w:w="408" w:type="pct"/>
            <w:tcBorders>
              <w:top w:val="nil"/>
              <w:left w:val="nil"/>
              <w:bottom w:val="single" w:sz="4" w:space="0" w:color="auto"/>
              <w:right w:val="single" w:sz="4" w:space="0" w:color="auto"/>
            </w:tcBorders>
            <w:shd w:val="clear" w:color="000000" w:fill="FFFFFF"/>
            <w:noWrap/>
            <w:vAlign w:val="bottom"/>
            <w:hideMark/>
          </w:tcPr>
          <w:p w14:paraId="525777B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102%</w:t>
            </w:r>
          </w:p>
        </w:tc>
        <w:tc>
          <w:tcPr>
            <w:tcW w:w="408" w:type="pct"/>
            <w:tcBorders>
              <w:top w:val="nil"/>
              <w:left w:val="nil"/>
              <w:bottom w:val="single" w:sz="4" w:space="0" w:color="auto"/>
              <w:right w:val="single" w:sz="4" w:space="0" w:color="auto"/>
            </w:tcBorders>
            <w:shd w:val="clear" w:color="000000" w:fill="FFFFFF"/>
            <w:noWrap/>
            <w:vAlign w:val="bottom"/>
            <w:hideMark/>
          </w:tcPr>
          <w:p w14:paraId="0098902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FFFFF"/>
            <w:noWrap/>
            <w:vAlign w:val="bottom"/>
            <w:hideMark/>
          </w:tcPr>
          <w:p w14:paraId="77DF1ED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FFFFF"/>
            <w:noWrap/>
            <w:vAlign w:val="bottom"/>
            <w:hideMark/>
          </w:tcPr>
          <w:p w14:paraId="45AF869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102%</w:t>
            </w:r>
          </w:p>
        </w:tc>
        <w:tc>
          <w:tcPr>
            <w:tcW w:w="408" w:type="pct"/>
            <w:tcBorders>
              <w:top w:val="nil"/>
              <w:left w:val="nil"/>
              <w:bottom w:val="single" w:sz="4" w:space="0" w:color="auto"/>
              <w:right w:val="single" w:sz="4" w:space="0" w:color="auto"/>
            </w:tcBorders>
            <w:shd w:val="clear" w:color="000000" w:fill="FFFFFF"/>
            <w:noWrap/>
            <w:vAlign w:val="bottom"/>
            <w:hideMark/>
          </w:tcPr>
          <w:p w14:paraId="79CBE5F6"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98%</w:t>
            </w:r>
          </w:p>
        </w:tc>
      </w:tr>
      <w:tr w:rsidR="008F34DA" w:rsidRPr="008F34DA" w14:paraId="427AB9C8"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14:paraId="64F9C272"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Torsk-Vest-forsøgsfiskeri</w:t>
            </w:r>
          </w:p>
        </w:tc>
        <w:tc>
          <w:tcPr>
            <w:tcW w:w="408" w:type="pct"/>
            <w:tcBorders>
              <w:top w:val="nil"/>
              <w:left w:val="nil"/>
              <w:bottom w:val="single" w:sz="4" w:space="0" w:color="auto"/>
              <w:right w:val="single" w:sz="4" w:space="0" w:color="auto"/>
            </w:tcBorders>
            <w:shd w:val="clear" w:color="000000" w:fill="F2F2F2"/>
            <w:noWrap/>
            <w:vAlign w:val="bottom"/>
            <w:hideMark/>
          </w:tcPr>
          <w:p w14:paraId="5CA57743"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2F2F2"/>
            <w:noWrap/>
            <w:vAlign w:val="bottom"/>
            <w:hideMark/>
          </w:tcPr>
          <w:p w14:paraId="52DD3C1A"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2F2F2"/>
            <w:noWrap/>
            <w:vAlign w:val="bottom"/>
            <w:hideMark/>
          </w:tcPr>
          <w:p w14:paraId="0C578777"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2F2F2"/>
            <w:noWrap/>
            <w:vAlign w:val="bottom"/>
            <w:hideMark/>
          </w:tcPr>
          <w:p w14:paraId="14F4A7C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72%</w:t>
            </w:r>
          </w:p>
        </w:tc>
        <w:tc>
          <w:tcPr>
            <w:tcW w:w="408" w:type="pct"/>
            <w:tcBorders>
              <w:top w:val="nil"/>
              <w:left w:val="nil"/>
              <w:bottom w:val="single" w:sz="4" w:space="0" w:color="auto"/>
              <w:right w:val="single" w:sz="4" w:space="0" w:color="auto"/>
            </w:tcBorders>
            <w:shd w:val="clear" w:color="000000" w:fill="F2F2F2"/>
            <w:noWrap/>
            <w:vAlign w:val="bottom"/>
            <w:hideMark/>
          </w:tcPr>
          <w:p w14:paraId="08D5B5C5"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65%</w:t>
            </w:r>
          </w:p>
        </w:tc>
        <w:tc>
          <w:tcPr>
            <w:tcW w:w="408" w:type="pct"/>
            <w:tcBorders>
              <w:top w:val="nil"/>
              <w:left w:val="nil"/>
              <w:bottom w:val="single" w:sz="4" w:space="0" w:color="auto"/>
              <w:right w:val="single" w:sz="4" w:space="0" w:color="auto"/>
            </w:tcBorders>
            <w:shd w:val="clear" w:color="000000" w:fill="F2F2F2"/>
            <w:noWrap/>
            <w:vAlign w:val="bottom"/>
            <w:hideMark/>
          </w:tcPr>
          <w:p w14:paraId="09AB01B0"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49%</w:t>
            </w:r>
          </w:p>
        </w:tc>
        <w:tc>
          <w:tcPr>
            <w:tcW w:w="408" w:type="pct"/>
            <w:tcBorders>
              <w:top w:val="nil"/>
              <w:left w:val="nil"/>
              <w:bottom w:val="single" w:sz="4" w:space="0" w:color="auto"/>
              <w:right w:val="single" w:sz="4" w:space="0" w:color="auto"/>
            </w:tcBorders>
            <w:shd w:val="clear" w:color="000000" w:fill="F2F2F2"/>
            <w:noWrap/>
            <w:vAlign w:val="bottom"/>
            <w:hideMark/>
          </w:tcPr>
          <w:p w14:paraId="006C7C7B"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71%</w:t>
            </w:r>
          </w:p>
        </w:tc>
        <w:tc>
          <w:tcPr>
            <w:tcW w:w="408" w:type="pct"/>
            <w:tcBorders>
              <w:top w:val="nil"/>
              <w:left w:val="nil"/>
              <w:bottom w:val="single" w:sz="4" w:space="0" w:color="auto"/>
              <w:right w:val="single" w:sz="4" w:space="0" w:color="auto"/>
            </w:tcBorders>
            <w:shd w:val="clear" w:color="000000" w:fill="F2F2F2"/>
            <w:noWrap/>
            <w:vAlign w:val="bottom"/>
            <w:hideMark/>
          </w:tcPr>
          <w:p w14:paraId="5CF02F5B"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18%</w:t>
            </w:r>
          </w:p>
        </w:tc>
        <w:tc>
          <w:tcPr>
            <w:tcW w:w="408" w:type="pct"/>
            <w:tcBorders>
              <w:top w:val="nil"/>
              <w:left w:val="nil"/>
              <w:bottom w:val="single" w:sz="4" w:space="0" w:color="auto"/>
              <w:right w:val="single" w:sz="4" w:space="0" w:color="auto"/>
            </w:tcBorders>
            <w:shd w:val="clear" w:color="000000" w:fill="F2F2F2"/>
            <w:noWrap/>
            <w:vAlign w:val="bottom"/>
            <w:hideMark/>
          </w:tcPr>
          <w:p w14:paraId="0555AA81"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r>
      <w:tr w:rsidR="008F34DA" w:rsidRPr="008F34DA" w14:paraId="3C89DFEC"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14:paraId="7935F9DB"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xml:space="preserve">Torsk - </w:t>
            </w:r>
            <w:proofErr w:type="spellStart"/>
            <w:r w:rsidRPr="008F34DA">
              <w:rPr>
                <w:rFonts w:ascii="Times New Roman" w:eastAsia="Times New Roman" w:hAnsi="Times New Roman" w:cs="Times New Roman"/>
                <w:color w:val="000000"/>
                <w:sz w:val="20"/>
                <w:szCs w:val="20"/>
                <w:lang w:eastAsia="da-DK"/>
              </w:rPr>
              <w:t>Syd-Vest</w:t>
            </w:r>
            <w:proofErr w:type="spellEnd"/>
            <w:r w:rsidRPr="008F34DA">
              <w:rPr>
                <w:rFonts w:ascii="Times New Roman" w:eastAsia="Times New Roman" w:hAnsi="Times New Roman" w:cs="Times New Roman"/>
                <w:color w:val="000000"/>
                <w:sz w:val="20"/>
                <w:szCs w:val="20"/>
                <w:lang w:eastAsia="da-DK"/>
              </w:rPr>
              <w:t xml:space="preserve"> og Øst</w:t>
            </w:r>
          </w:p>
        </w:tc>
        <w:tc>
          <w:tcPr>
            <w:tcW w:w="408" w:type="pct"/>
            <w:tcBorders>
              <w:top w:val="nil"/>
              <w:left w:val="nil"/>
              <w:bottom w:val="single" w:sz="4" w:space="0" w:color="auto"/>
              <w:right w:val="single" w:sz="4" w:space="0" w:color="auto"/>
            </w:tcBorders>
            <w:shd w:val="clear" w:color="000000" w:fill="FFFFFF"/>
            <w:noWrap/>
            <w:vAlign w:val="bottom"/>
            <w:hideMark/>
          </w:tcPr>
          <w:p w14:paraId="26BF3C5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FFFFF"/>
            <w:noWrap/>
            <w:vAlign w:val="bottom"/>
            <w:hideMark/>
          </w:tcPr>
          <w:p w14:paraId="117AEA7E"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72%</w:t>
            </w:r>
          </w:p>
        </w:tc>
        <w:tc>
          <w:tcPr>
            <w:tcW w:w="408" w:type="pct"/>
            <w:tcBorders>
              <w:top w:val="nil"/>
              <w:left w:val="nil"/>
              <w:bottom w:val="single" w:sz="4" w:space="0" w:color="auto"/>
              <w:right w:val="single" w:sz="4" w:space="0" w:color="auto"/>
            </w:tcBorders>
            <w:shd w:val="clear" w:color="000000" w:fill="FFFFFF"/>
            <w:noWrap/>
            <w:vAlign w:val="bottom"/>
            <w:hideMark/>
          </w:tcPr>
          <w:p w14:paraId="3382942E"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61%</w:t>
            </w:r>
          </w:p>
        </w:tc>
        <w:tc>
          <w:tcPr>
            <w:tcW w:w="408" w:type="pct"/>
            <w:tcBorders>
              <w:top w:val="nil"/>
              <w:left w:val="nil"/>
              <w:bottom w:val="single" w:sz="4" w:space="0" w:color="auto"/>
              <w:right w:val="single" w:sz="4" w:space="0" w:color="auto"/>
            </w:tcBorders>
            <w:shd w:val="clear" w:color="000000" w:fill="FFFFFF"/>
            <w:noWrap/>
            <w:vAlign w:val="bottom"/>
            <w:hideMark/>
          </w:tcPr>
          <w:p w14:paraId="337B693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90%</w:t>
            </w:r>
          </w:p>
        </w:tc>
        <w:tc>
          <w:tcPr>
            <w:tcW w:w="408" w:type="pct"/>
            <w:tcBorders>
              <w:top w:val="nil"/>
              <w:left w:val="nil"/>
              <w:bottom w:val="single" w:sz="4" w:space="0" w:color="auto"/>
              <w:right w:val="single" w:sz="4" w:space="0" w:color="auto"/>
            </w:tcBorders>
            <w:shd w:val="clear" w:color="000000" w:fill="FFFFFF"/>
            <w:noWrap/>
            <w:vAlign w:val="bottom"/>
            <w:hideMark/>
          </w:tcPr>
          <w:p w14:paraId="2080989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83%</w:t>
            </w:r>
          </w:p>
        </w:tc>
        <w:tc>
          <w:tcPr>
            <w:tcW w:w="408" w:type="pct"/>
            <w:tcBorders>
              <w:top w:val="nil"/>
              <w:left w:val="nil"/>
              <w:bottom w:val="single" w:sz="4" w:space="0" w:color="auto"/>
              <w:right w:val="single" w:sz="4" w:space="0" w:color="auto"/>
            </w:tcBorders>
            <w:shd w:val="clear" w:color="000000" w:fill="FFFFFF"/>
            <w:noWrap/>
            <w:vAlign w:val="bottom"/>
            <w:hideMark/>
          </w:tcPr>
          <w:p w14:paraId="006B578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98%</w:t>
            </w:r>
          </w:p>
        </w:tc>
        <w:tc>
          <w:tcPr>
            <w:tcW w:w="408" w:type="pct"/>
            <w:tcBorders>
              <w:top w:val="nil"/>
              <w:left w:val="nil"/>
              <w:bottom w:val="single" w:sz="4" w:space="0" w:color="auto"/>
              <w:right w:val="single" w:sz="4" w:space="0" w:color="auto"/>
            </w:tcBorders>
            <w:shd w:val="clear" w:color="000000" w:fill="FFFFFF"/>
            <w:noWrap/>
            <w:vAlign w:val="bottom"/>
            <w:hideMark/>
          </w:tcPr>
          <w:p w14:paraId="310A0BD2"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85%</w:t>
            </w:r>
          </w:p>
        </w:tc>
        <w:tc>
          <w:tcPr>
            <w:tcW w:w="408" w:type="pct"/>
            <w:tcBorders>
              <w:top w:val="nil"/>
              <w:left w:val="nil"/>
              <w:bottom w:val="single" w:sz="4" w:space="0" w:color="auto"/>
              <w:right w:val="single" w:sz="4" w:space="0" w:color="auto"/>
            </w:tcBorders>
            <w:shd w:val="clear" w:color="000000" w:fill="FFFFFF"/>
            <w:noWrap/>
            <w:vAlign w:val="bottom"/>
            <w:hideMark/>
          </w:tcPr>
          <w:p w14:paraId="6974441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90%</w:t>
            </w:r>
          </w:p>
        </w:tc>
        <w:tc>
          <w:tcPr>
            <w:tcW w:w="408" w:type="pct"/>
            <w:tcBorders>
              <w:top w:val="nil"/>
              <w:left w:val="nil"/>
              <w:bottom w:val="single" w:sz="4" w:space="0" w:color="auto"/>
              <w:right w:val="single" w:sz="4" w:space="0" w:color="auto"/>
            </w:tcBorders>
            <w:shd w:val="clear" w:color="000000" w:fill="FFFFFF"/>
            <w:noWrap/>
            <w:vAlign w:val="bottom"/>
            <w:hideMark/>
          </w:tcPr>
          <w:p w14:paraId="2C6512A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80%</w:t>
            </w:r>
          </w:p>
        </w:tc>
      </w:tr>
      <w:tr w:rsidR="008F34DA" w:rsidRPr="008F34DA" w14:paraId="1C60BE9C"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14:paraId="1060243F"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Rødfisk - Øst</w:t>
            </w:r>
          </w:p>
        </w:tc>
        <w:tc>
          <w:tcPr>
            <w:tcW w:w="408" w:type="pct"/>
            <w:tcBorders>
              <w:top w:val="nil"/>
              <w:left w:val="nil"/>
              <w:bottom w:val="single" w:sz="4" w:space="0" w:color="auto"/>
              <w:right w:val="single" w:sz="4" w:space="0" w:color="auto"/>
            </w:tcBorders>
            <w:shd w:val="clear" w:color="000000" w:fill="F2F2F2"/>
            <w:noWrap/>
            <w:vAlign w:val="bottom"/>
            <w:hideMark/>
          </w:tcPr>
          <w:p w14:paraId="535B519D"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96%</w:t>
            </w:r>
          </w:p>
        </w:tc>
        <w:tc>
          <w:tcPr>
            <w:tcW w:w="408" w:type="pct"/>
            <w:tcBorders>
              <w:top w:val="nil"/>
              <w:left w:val="nil"/>
              <w:bottom w:val="single" w:sz="4" w:space="0" w:color="auto"/>
              <w:right w:val="single" w:sz="4" w:space="0" w:color="auto"/>
            </w:tcBorders>
            <w:shd w:val="clear" w:color="000000" w:fill="F2F2F2"/>
            <w:noWrap/>
            <w:vAlign w:val="bottom"/>
            <w:hideMark/>
          </w:tcPr>
          <w:p w14:paraId="7156CDDF"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96%</w:t>
            </w:r>
          </w:p>
        </w:tc>
        <w:tc>
          <w:tcPr>
            <w:tcW w:w="408" w:type="pct"/>
            <w:tcBorders>
              <w:top w:val="nil"/>
              <w:left w:val="nil"/>
              <w:bottom w:val="single" w:sz="4" w:space="0" w:color="auto"/>
              <w:right w:val="single" w:sz="4" w:space="0" w:color="auto"/>
            </w:tcBorders>
            <w:shd w:val="clear" w:color="000000" w:fill="F2F2F2"/>
            <w:noWrap/>
            <w:vAlign w:val="bottom"/>
            <w:hideMark/>
          </w:tcPr>
          <w:p w14:paraId="2A24DC0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80%</w:t>
            </w:r>
          </w:p>
        </w:tc>
        <w:tc>
          <w:tcPr>
            <w:tcW w:w="408" w:type="pct"/>
            <w:tcBorders>
              <w:top w:val="nil"/>
              <w:left w:val="nil"/>
              <w:bottom w:val="single" w:sz="4" w:space="0" w:color="auto"/>
              <w:right w:val="single" w:sz="4" w:space="0" w:color="auto"/>
            </w:tcBorders>
            <w:shd w:val="clear" w:color="000000" w:fill="F2F2F2"/>
            <w:noWrap/>
            <w:vAlign w:val="bottom"/>
            <w:hideMark/>
          </w:tcPr>
          <w:p w14:paraId="631A91E6"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95%</w:t>
            </w:r>
          </w:p>
        </w:tc>
        <w:tc>
          <w:tcPr>
            <w:tcW w:w="408" w:type="pct"/>
            <w:tcBorders>
              <w:top w:val="nil"/>
              <w:left w:val="nil"/>
              <w:bottom w:val="single" w:sz="4" w:space="0" w:color="auto"/>
              <w:right w:val="single" w:sz="4" w:space="0" w:color="auto"/>
            </w:tcBorders>
            <w:shd w:val="clear" w:color="000000" w:fill="F2F2F2"/>
            <w:noWrap/>
            <w:vAlign w:val="bottom"/>
            <w:hideMark/>
          </w:tcPr>
          <w:p w14:paraId="0D5C00B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101%</w:t>
            </w:r>
          </w:p>
        </w:tc>
        <w:tc>
          <w:tcPr>
            <w:tcW w:w="408" w:type="pct"/>
            <w:tcBorders>
              <w:top w:val="nil"/>
              <w:left w:val="nil"/>
              <w:bottom w:val="single" w:sz="4" w:space="0" w:color="auto"/>
              <w:right w:val="single" w:sz="4" w:space="0" w:color="auto"/>
            </w:tcBorders>
            <w:shd w:val="clear" w:color="000000" w:fill="F2F2F2"/>
            <w:noWrap/>
            <w:vAlign w:val="bottom"/>
            <w:hideMark/>
          </w:tcPr>
          <w:p w14:paraId="1D94565B"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102%</w:t>
            </w:r>
          </w:p>
        </w:tc>
        <w:tc>
          <w:tcPr>
            <w:tcW w:w="408" w:type="pct"/>
            <w:tcBorders>
              <w:top w:val="nil"/>
              <w:left w:val="nil"/>
              <w:bottom w:val="single" w:sz="4" w:space="0" w:color="auto"/>
              <w:right w:val="single" w:sz="4" w:space="0" w:color="auto"/>
            </w:tcBorders>
            <w:shd w:val="clear" w:color="000000" w:fill="F2F2F2"/>
            <w:noWrap/>
            <w:vAlign w:val="bottom"/>
            <w:hideMark/>
          </w:tcPr>
          <w:p w14:paraId="5EC1ADC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101%</w:t>
            </w:r>
          </w:p>
        </w:tc>
        <w:tc>
          <w:tcPr>
            <w:tcW w:w="408" w:type="pct"/>
            <w:tcBorders>
              <w:top w:val="nil"/>
              <w:left w:val="nil"/>
              <w:bottom w:val="single" w:sz="4" w:space="0" w:color="auto"/>
              <w:right w:val="single" w:sz="4" w:space="0" w:color="auto"/>
            </w:tcBorders>
            <w:shd w:val="clear" w:color="000000" w:fill="F2F2F2"/>
            <w:noWrap/>
            <w:vAlign w:val="bottom"/>
            <w:hideMark/>
          </w:tcPr>
          <w:p w14:paraId="4734D1D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101%</w:t>
            </w:r>
          </w:p>
        </w:tc>
        <w:tc>
          <w:tcPr>
            <w:tcW w:w="408" w:type="pct"/>
            <w:tcBorders>
              <w:top w:val="nil"/>
              <w:left w:val="nil"/>
              <w:bottom w:val="single" w:sz="4" w:space="0" w:color="auto"/>
              <w:right w:val="single" w:sz="4" w:space="0" w:color="auto"/>
            </w:tcBorders>
            <w:shd w:val="clear" w:color="000000" w:fill="F2F2F2"/>
            <w:noWrap/>
            <w:vAlign w:val="bottom"/>
            <w:hideMark/>
          </w:tcPr>
          <w:p w14:paraId="5063B69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124%</w:t>
            </w:r>
          </w:p>
        </w:tc>
      </w:tr>
      <w:tr w:rsidR="008F34DA" w:rsidRPr="008F34DA" w14:paraId="60F035B0"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14:paraId="467D34E6"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Brosme - Øst</w:t>
            </w:r>
          </w:p>
        </w:tc>
        <w:tc>
          <w:tcPr>
            <w:tcW w:w="408" w:type="pct"/>
            <w:tcBorders>
              <w:top w:val="nil"/>
              <w:left w:val="nil"/>
              <w:bottom w:val="single" w:sz="4" w:space="0" w:color="auto"/>
              <w:right w:val="single" w:sz="4" w:space="0" w:color="auto"/>
            </w:tcBorders>
            <w:shd w:val="clear" w:color="000000" w:fill="FFFFFF"/>
            <w:noWrap/>
            <w:vAlign w:val="bottom"/>
            <w:hideMark/>
          </w:tcPr>
          <w:p w14:paraId="4C63274F"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FFFFF"/>
            <w:noWrap/>
            <w:vAlign w:val="bottom"/>
            <w:hideMark/>
          </w:tcPr>
          <w:p w14:paraId="12E7CDAE"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FFFFF"/>
            <w:noWrap/>
            <w:vAlign w:val="bottom"/>
            <w:hideMark/>
          </w:tcPr>
          <w:p w14:paraId="61CA46B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FFFFF"/>
            <w:noWrap/>
            <w:vAlign w:val="bottom"/>
            <w:hideMark/>
          </w:tcPr>
          <w:p w14:paraId="28084874"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 </w:t>
            </w:r>
          </w:p>
        </w:tc>
        <w:tc>
          <w:tcPr>
            <w:tcW w:w="408" w:type="pct"/>
            <w:tcBorders>
              <w:top w:val="nil"/>
              <w:left w:val="nil"/>
              <w:bottom w:val="single" w:sz="4" w:space="0" w:color="auto"/>
              <w:right w:val="single" w:sz="4" w:space="0" w:color="auto"/>
            </w:tcBorders>
            <w:shd w:val="clear" w:color="000000" w:fill="FFFFFF"/>
            <w:noWrap/>
            <w:vAlign w:val="bottom"/>
            <w:hideMark/>
          </w:tcPr>
          <w:p w14:paraId="60D05FC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w:t>
            </w:r>
          </w:p>
        </w:tc>
        <w:tc>
          <w:tcPr>
            <w:tcW w:w="408" w:type="pct"/>
            <w:tcBorders>
              <w:top w:val="nil"/>
              <w:left w:val="nil"/>
              <w:bottom w:val="single" w:sz="4" w:space="0" w:color="auto"/>
              <w:right w:val="single" w:sz="4" w:space="0" w:color="auto"/>
            </w:tcBorders>
            <w:shd w:val="clear" w:color="000000" w:fill="FFFFFF"/>
            <w:noWrap/>
            <w:vAlign w:val="bottom"/>
            <w:hideMark/>
          </w:tcPr>
          <w:p w14:paraId="34F76D1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22%</w:t>
            </w:r>
          </w:p>
        </w:tc>
        <w:tc>
          <w:tcPr>
            <w:tcW w:w="408" w:type="pct"/>
            <w:tcBorders>
              <w:top w:val="nil"/>
              <w:left w:val="nil"/>
              <w:bottom w:val="single" w:sz="4" w:space="0" w:color="auto"/>
              <w:right w:val="single" w:sz="4" w:space="0" w:color="auto"/>
            </w:tcBorders>
            <w:shd w:val="clear" w:color="000000" w:fill="FFFFFF"/>
            <w:noWrap/>
            <w:vAlign w:val="bottom"/>
            <w:hideMark/>
          </w:tcPr>
          <w:p w14:paraId="13213213"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14%</w:t>
            </w:r>
          </w:p>
        </w:tc>
        <w:tc>
          <w:tcPr>
            <w:tcW w:w="408" w:type="pct"/>
            <w:tcBorders>
              <w:top w:val="nil"/>
              <w:left w:val="nil"/>
              <w:bottom w:val="single" w:sz="4" w:space="0" w:color="auto"/>
              <w:right w:val="single" w:sz="4" w:space="0" w:color="auto"/>
            </w:tcBorders>
            <w:shd w:val="clear" w:color="000000" w:fill="FFFFFF"/>
            <w:noWrap/>
            <w:vAlign w:val="bottom"/>
            <w:hideMark/>
          </w:tcPr>
          <w:p w14:paraId="7B8ABC25"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w:t>
            </w:r>
          </w:p>
        </w:tc>
        <w:tc>
          <w:tcPr>
            <w:tcW w:w="408" w:type="pct"/>
            <w:tcBorders>
              <w:top w:val="nil"/>
              <w:left w:val="nil"/>
              <w:bottom w:val="single" w:sz="4" w:space="0" w:color="auto"/>
              <w:right w:val="single" w:sz="4" w:space="0" w:color="auto"/>
            </w:tcBorders>
            <w:shd w:val="clear" w:color="000000" w:fill="FFFFFF"/>
            <w:noWrap/>
            <w:vAlign w:val="bottom"/>
            <w:hideMark/>
          </w:tcPr>
          <w:p w14:paraId="1460CEF4"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6%</w:t>
            </w:r>
          </w:p>
        </w:tc>
      </w:tr>
      <w:tr w:rsidR="008F34DA" w:rsidRPr="008F34DA" w14:paraId="06399E30"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14:paraId="7A4892FA"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Torsk - Barentshavet</w:t>
            </w:r>
          </w:p>
        </w:tc>
        <w:tc>
          <w:tcPr>
            <w:tcW w:w="408" w:type="pct"/>
            <w:tcBorders>
              <w:top w:val="nil"/>
              <w:left w:val="nil"/>
              <w:bottom w:val="single" w:sz="4" w:space="0" w:color="auto"/>
              <w:right w:val="single" w:sz="4" w:space="0" w:color="auto"/>
            </w:tcBorders>
            <w:shd w:val="clear" w:color="000000" w:fill="F2F2F2"/>
            <w:noWrap/>
            <w:vAlign w:val="bottom"/>
            <w:hideMark/>
          </w:tcPr>
          <w:p w14:paraId="4D3B6C31"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7BB278E0"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08D42ADB"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4E7CC23D"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94%</w:t>
            </w:r>
          </w:p>
        </w:tc>
        <w:tc>
          <w:tcPr>
            <w:tcW w:w="408" w:type="pct"/>
            <w:tcBorders>
              <w:top w:val="nil"/>
              <w:left w:val="nil"/>
              <w:bottom w:val="single" w:sz="4" w:space="0" w:color="auto"/>
              <w:right w:val="single" w:sz="4" w:space="0" w:color="auto"/>
            </w:tcBorders>
            <w:shd w:val="clear" w:color="000000" w:fill="F2F2F2"/>
            <w:noWrap/>
            <w:vAlign w:val="bottom"/>
            <w:hideMark/>
          </w:tcPr>
          <w:p w14:paraId="23347E3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2FDAFEF0"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7F7319C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2F2F2"/>
            <w:noWrap/>
            <w:vAlign w:val="bottom"/>
            <w:hideMark/>
          </w:tcPr>
          <w:p w14:paraId="7DB1946D"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95%</w:t>
            </w:r>
          </w:p>
        </w:tc>
        <w:tc>
          <w:tcPr>
            <w:tcW w:w="408" w:type="pct"/>
            <w:tcBorders>
              <w:top w:val="nil"/>
              <w:left w:val="nil"/>
              <w:bottom w:val="single" w:sz="4" w:space="0" w:color="auto"/>
              <w:right w:val="single" w:sz="4" w:space="0" w:color="auto"/>
            </w:tcBorders>
            <w:shd w:val="clear" w:color="000000" w:fill="F2F2F2"/>
            <w:noWrap/>
            <w:vAlign w:val="bottom"/>
            <w:hideMark/>
          </w:tcPr>
          <w:p w14:paraId="20981A6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r>
      <w:tr w:rsidR="008F34DA" w:rsidRPr="008F34DA" w14:paraId="6B756797"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14:paraId="6B7656D3"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Kuller - Barentshavet</w:t>
            </w:r>
          </w:p>
        </w:tc>
        <w:tc>
          <w:tcPr>
            <w:tcW w:w="408" w:type="pct"/>
            <w:tcBorders>
              <w:top w:val="nil"/>
              <w:left w:val="nil"/>
              <w:bottom w:val="single" w:sz="4" w:space="0" w:color="auto"/>
              <w:right w:val="single" w:sz="4" w:space="0" w:color="auto"/>
            </w:tcBorders>
            <w:shd w:val="clear" w:color="000000" w:fill="FFFFFF"/>
            <w:noWrap/>
            <w:vAlign w:val="bottom"/>
            <w:hideMark/>
          </w:tcPr>
          <w:p w14:paraId="35EDD01E"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FFFFF"/>
            <w:noWrap/>
            <w:vAlign w:val="bottom"/>
            <w:hideMark/>
          </w:tcPr>
          <w:p w14:paraId="7F55E54A"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FFFFF"/>
            <w:noWrap/>
            <w:vAlign w:val="bottom"/>
            <w:hideMark/>
          </w:tcPr>
          <w:p w14:paraId="1D4A324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82%</w:t>
            </w:r>
          </w:p>
        </w:tc>
        <w:tc>
          <w:tcPr>
            <w:tcW w:w="408" w:type="pct"/>
            <w:tcBorders>
              <w:top w:val="nil"/>
              <w:left w:val="nil"/>
              <w:bottom w:val="single" w:sz="4" w:space="0" w:color="auto"/>
              <w:right w:val="single" w:sz="4" w:space="0" w:color="auto"/>
            </w:tcBorders>
            <w:shd w:val="clear" w:color="000000" w:fill="FFFFFF"/>
            <w:noWrap/>
            <w:vAlign w:val="bottom"/>
            <w:hideMark/>
          </w:tcPr>
          <w:p w14:paraId="4277CB4C"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80%</w:t>
            </w:r>
          </w:p>
        </w:tc>
        <w:tc>
          <w:tcPr>
            <w:tcW w:w="408" w:type="pct"/>
            <w:tcBorders>
              <w:top w:val="nil"/>
              <w:left w:val="nil"/>
              <w:bottom w:val="single" w:sz="4" w:space="0" w:color="auto"/>
              <w:right w:val="single" w:sz="4" w:space="0" w:color="auto"/>
            </w:tcBorders>
            <w:shd w:val="clear" w:color="000000" w:fill="FFFFFF"/>
            <w:noWrap/>
            <w:vAlign w:val="bottom"/>
            <w:hideMark/>
          </w:tcPr>
          <w:p w14:paraId="08BF05F8"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c>
          <w:tcPr>
            <w:tcW w:w="408" w:type="pct"/>
            <w:tcBorders>
              <w:top w:val="nil"/>
              <w:left w:val="nil"/>
              <w:bottom w:val="single" w:sz="4" w:space="0" w:color="auto"/>
              <w:right w:val="single" w:sz="4" w:space="0" w:color="auto"/>
            </w:tcBorders>
            <w:shd w:val="clear" w:color="000000" w:fill="FFFFFF"/>
            <w:noWrap/>
            <w:vAlign w:val="bottom"/>
            <w:hideMark/>
          </w:tcPr>
          <w:p w14:paraId="2354A90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99%</w:t>
            </w:r>
          </w:p>
        </w:tc>
        <w:tc>
          <w:tcPr>
            <w:tcW w:w="408" w:type="pct"/>
            <w:tcBorders>
              <w:top w:val="nil"/>
              <w:left w:val="nil"/>
              <w:bottom w:val="single" w:sz="4" w:space="0" w:color="auto"/>
              <w:right w:val="single" w:sz="4" w:space="0" w:color="auto"/>
            </w:tcBorders>
            <w:shd w:val="clear" w:color="000000" w:fill="FFFFFF"/>
            <w:noWrap/>
            <w:vAlign w:val="bottom"/>
            <w:hideMark/>
          </w:tcPr>
          <w:p w14:paraId="01E5324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85%</w:t>
            </w:r>
          </w:p>
        </w:tc>
        <w:tc>
          <w:tcPr>
            <w:tcW w:w="408" w:type="pct"/>
            <w:tcBorders>
              <w:top w:val="nil"/>
              <w:left w:val="nil"/>
              <w:bottom w:val="single" w:sz="4" w:space="0" w:color="auto"/>
              <w:right w:val="single" w:sz="4" w:space="0" w:color="auto"/>
            </w:tcBorders>
            <w:shd w:val="clear" w:color="000000" w:fill="FFFFFF"/>
            <w:noWrap/>
            <w:vAlign w:val="bottom"/>
            <w:hideMark/>
          </w:tcPr>
          <w:p w14:paraId="50C6CB99"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67%</w:t>
            </w:r>
          </w:p>
        </w:tc>
        <w:tc>
          <w:tcPr>
            <w:tcW w:w="408" w:type="pct"/>
            <w:tcBorders>
              <w:top w:val="nil"/>
              <w:left w:val="nil"/>
              <w:bottom w:val="single" w:sz="4" w:space="0" w:color="auto"/>
              <w:right w:val="single" w:sz="4" w:space="0" w:color="auto"/>
            </w:tcBorders>
            <w:shd w:val="clear" w:color="000000" w:fill="FFFFFF"/>
            <w:noWrap/>
            <w:vAlign w:val="bottom"/>
            <w:hideMark/>
          </w:tcPr>
          <w:p w14:paraId="757D8572"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71%</w:t>
            </w:r>
          </w:p>
        </w:tc>
      </w:tr>
      <w:tr w:rsidR="008F34DA" w:rsidRPr="008F34DA" w14:paraId="109EAFCA" w14:textId="77777777"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14:paraId="1213EB64" w14:textId="77777777" w:rsidR="008F34DA" w:rsidRPr="008F34DA" w:rsidRDefault="008F34DA" w:rsidP="008F34DA">
            <w:pPr>
              <w:spacing w:after="0" w:line="240" w:lineRule="auto"/>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Sej - Barentshavet</w:t>
            </w:r>
          </w:p>
        </w:tc>
        <w:tc>
          <w:tcPr>
            <w:tcW w:w="408" w:type="pct"/>
            <w:tcBorders>
              <w:top w:val="nil"/>
              <w:left w:val="nil"/>
              <w:bottom w:val="single" w:sz="4" w:space="0" w:color="auto"/>
              <w:right w:val="single" w:sz="4" w:space="0" w:color="auto"/>
            </w:tcBorders>
            <w:shd w:val="clear" w:color="000000" w:fill="F2F2F2"/>
            <w:noWrap/>
            <w:vAlign w:val="bottom"/>
            <w:hideMark/>
          </w:tcPr>
          <w:p w14:paraId="213A2596"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68%</w:t>
            </w:r>
          </w:p>
        </w:tc>
        <w:tc>
          <w:tcPr>
            <w:tcW w:w="408" w:type="pct"/>
            <w:tcBorders>
              <w:top w:val="nil"/>
              <w:left w:val="nil"/>
              <w:bottom w:val="single" w:sz="4" w:space="0" w:color="auto"/>
              <w:right w:val="single" w:sz="4" w:space="0" w:color="auto"/>
            </w:tcBorders>
            <w:shd w:val="clear" w:color="000000" w:fill="F2F2F2"/>
            <w:noWrap/>
            <w:vAlign w:val="bottom"/>
            <w:hideMark/>
          </w:tcPr>
          <w:p w14:paraId="4EC09F31"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97%</w:t>
            </w:r>
          </w:p>
        </w:tc>
        <w:tc>
          <w:tcPr>
            <w:tcW w:w="408" w:type="pct"/>
            <w:tcBorders>
              <w:top w:val="nil"/>
              <w:left w:val="nil"/>
              <w:bottom w:val="single" w:sz="4" w:space="0" w:color="auto"/>
              <w:right w:val="single" w:sz="4" w:space="0" w:color="auto"/>
            </w:tcBorders>
            <w:shd w:val="clear" w:color="000000" w:fill="F2F2F2"/>
            <w:noWrap/>
            <w:vAlign w:val="bottom"/>
            <w:hideMark/>
          </w:tcPr>
          <w:p w14:paraId="4EA80161"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58%</w:t>
            </w:r>
          </w:p>
        </w:tc>
        <w:tc>
          <w:tcPr>
            <w:tcW w:w="408" w:type="pct"/>
            <w:tcBorders>
              <w:top w:val="nil"/>
              <w:left w:val="nil"/>
              <w:bottom w:val="single" w:sz="4" w:space="0" w:color="auto"/>
              <w:right w:val="single" w:sz="4" w:space="0" w:color="auto"/>
            </w:tcBorders>
            <w:shd w:val="clear" w:color="000000" w:fill="F2F2F2"/>
            <w:noWrap/>
            <w:vAlign w:val="bottom"/>
            <w:hideMark/>
          </w:tcPr>
          <w:p w14:paraId="1E49B344"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62%</w:t>
            </w:r>
          </w:p>
        </w:tc>
        <w:tc>
          <w:tcPr>
            <w:tcW w:w="408" w:type="pct"/>
            <w:tcBorders>
              <w:top w:val="nil"/>
              <w:left w:val="nil"/>
              <w:bottom w:val="single" w:sz="4" w:space="0" w:color="auto"/>
              <w:right w:val="single" w:sz="4" w:space="0" w:color="auto"/>
            </w:tcBorders>
            <w:shd w:val="clear" w:color="000000" w:fill="F2F2F2"/>
            <w:noWrap/>
            <w:vAlign w:val="bottom"/>
            <w:hideMark/>
          </w:tcPr>
          <w:p w14:paraId="0C6F070E"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88%</w:t>
            </w:r>
          </w:p>
        </w:tc>
        <w:tc>
          <w:tcPr>
            <w:tcW w:w="408" w:type="pct"/>
            <w:tcBorders>
              <w:top w:val="nil"/>
              <w:left w:val="nil"/>
              <w:bottom w:val="single" w:sz="4" w:space="0" w:color="auto"/>
              <w:right w:val="single" w:sz="4" w:space="0" w:color="auto"/>
            </w:tcBorders>
            <w:shd w:val="clear" w:color="000000" w:fill="F2F2F2"/>
            <w:noWrap/>
            <w:vAlign w:val="bottom"/>
            <w:hideMark/>
          </w:tcPr>
          <w:p w14:paraId="1A6E6547"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81%</w:t>
            </w:r>
          </w:p>
        </w:tc>
        <w:tc>
          <w:tcPr>
            <w:tcW w:w="408" w:type="pct"/>
            <w:tcBorders>
              <w:top w:val="nil"/>
              <w:left w:val="nil"/>
              <w:bottom w:val="single" w:sz="4" w:space="0" w:color="auto"/>
              <w:right w:val="single" w:sz="4" w:space="0" w:color="auto"/>
            </w:tcBorders>
            <w:shd w:val="clear" w:color="000000" w:fill="F2F2F2"/>
            <w:noWrap/>
            <w:vAlign w:val="bottom"/>
            <w:hideMark/>
          </w:tcPr>
          <w:p w14:paraId="18300952"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93%</w:t>
            </w:r>
          </w:p>
        </w:tc>
        <w:tc>
          <w:tcPr>
            <w:tcW w:w="408" w:type="pct"/>
            <w:tcBorders>
              <w:top w:val="nil"/>
              <w:left w:val="nil"/>
              <w:bottom w:val="single" w:sz="4" w:space="0" w:color="auto"/>
              <w:right w:val="single" w:sz="4" w:space="0" w:color="auto"/>
            </w:tcBorders>
            <w:shd w:val="clear" w:color="000000" w:fill="F2F2F2"/>
            <w:noWrap/>
            <w:vAlign w:val="bottom"/>
            <w:hideMark/>
          </w:tcPr>
          <w:p w14:paraId="05E24EEE"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84%</w:t>
            </w:r>
          </w:p>
        </w:tc>
        <w:tc>
          <w:tcPr>
            <w:tcW w:w="408" w:type="pct"/>
            <w:tcBorders>
              <w:top w:val="nil"/>
              <w:left w:val="nil"/>
              <w:bottom w:val="single" w:sz="4" w:space="0" w:color="auto"/>
              <w:right w:val="single" w:sz="4" w:space="0" w:color="auto"/>
            </w:tcBorders>
            <w:shd w:val="clear" w:color="000000" w:fill="F2F2F2"/>
            <w:noWrap/>
            <w:vAlign w:val="bottom"/>
            <w:hideMark/>
          </w:tcPr>
          <w:p w14:paraId="55FAC685" w14:textId="77777777" w:rsidR="008F34DA" w:rsidRPr="008F34DA" w:rsidRDefault="008F34DA" w:rsidP="008F34DA">
            <w:pPr>
              <w:spacing w:after="0" w:line="240" w:lineRule="auto"/>
              <w:jc w:val="right"/>
              <w:rPr>
                <w:rFonts w:ascii="Times New Roman" w:eastAsia="Times New Roman" w:hAnsi="Times New Roman" w:cs="Times New Roman"/>
                <w:color w:val="000000"/>
                <w:sz w:val="20"/>
                <w:szCs w:val="20"/>
                <w:lang w:eastAsia="da-DK"/>
              </w:rPr>
            </w:pPr>
            <w:r w:rsidRPr="008F34DA">
              <w:rPr>
                <w:rFonts w:ascii="Times New Roman" w:eastAsia="Times New Roman" w:hAnsi="Times New Roman" w:cs="Times New Roman"/>
                <w:color w:val="000000"/>
                <w:sz w:val="20"/>
                <w:szCs w:val="20"/>
                <w:lang w:eastAsia="da-DK"/>
              </w:rPr>
              <w:t>100%</w:t>
            </w:r>
          </w:p>
        </w:tc>
      </w:tr>
    </w:tbl>
    <w:p w14:paraId="32CA9932" w14:textId="77777777" w:rsidR="006C19B3" w:rsidRPr="008F34DA" w:rsidRDefault="00A26870" w:rsidP="00A8693E">
      <w:pPr>
        <w:spacing w:after="0" w:line="276" w:lineRule="auto"/>
        <w:jc w:val="both"/>
        <w:rPr>
          <w:rFonts w:ascii="Times New Roman" w:hAnsi="Times New Roman" w:cs="Times New Roman"/>
          <w:lang w:val="is-IS"/>
        </w:rPr>
      </w:pPr>
      <w:r>
        <w:rPr>
          <w:rFonts w:ascii="Times New Roman" w:hAnsi="Times New Roman" w:cs="Times New Roman"/>
          <w:lang w:val="is-IS"/>
        </w:rPr>
        <w:t>Kilde: Egne beregninger p</w:t>
      </w:r>
      <w:r>
        <w:rPr>
          <w:rFonts w:ascii="Times New Roman" w:hAnsi="Times New Roman" w:cs="Times New Roman"/>
        </w:rPr>
        <w:t>å grundlag af tabel 5 og tabel 2</w:t>
      </w:r>
      <w:r>
        <w:rPr>
          <w:rFonts w:ascii="Times New Roman" w:hAnsi="Times New Roman" w:cs="Times New Roman"/>
          <w:lang w:val="is-IS"/>
        </w:rPr>
        <w:t>.</w:t>
      </w:r>
    </w:p>
    <w:p w14:paraId="2163F193" w14:textId="77777777" w:rsidR="00EF1D96" w:rsidRDefault="00EF1D96" w:rsidP="00A8693E">
      <w:pPr>
        <w:spacing w:after="0" w:line="276" w:lineRule="auto"/>
        <w:jc w:val="both"/>
        <w:rPr>
          <w:rFonts w:ascii="Times New Roman" w:hAnsi="Times New Roman" w:cs="Times New Roman"/>
        </w:rPr>
      </w:pPr>
    </w:p>
    <w:p w14:paraId="12376926" w14:textId="77777777" w:rsidR="00EF1D96" w:rsidRDefault="00EF1D96" w:rsidP="00EF1D96">
      <w:pPr>
        <w:spacing w:after="0" w:line="276" w:lineRule="auto"/>
        <w:jc w:val="both"/>
        <w:rPr>
          <w:rFonts w:ascii="Times New Roman" w:hAnsi="Times New Roman" w:cs="Times New Roman"/>
        </w:rPr>
      </w:pPr>
      <w:r>
        <w:rPr>
          <w:rFonts w:ascii="Times New Roman" w:hAnsi="Times New Roman" w:cs="Times New Roman"/>
        </w:rPr>
        <w:t xml:space="preserve">Som tidligere nævnt i afsnit 1 i notatet, er der kun landingspligt på havgående kvoter for hellefisk i Vestgrønland samt for torskefiskeriet i Sydvest og Østgrønland. </w:t>
      </w:r>
    </w:p>
    <w:p w14:paraId="72C99AFD" w14:textId="77777777" w:rsidR="00380089" w:rsidRDefault="00380089" w:rsidP="00A8693E">
      <w:pPr>
        <w:spacing w:after="0" w:line="276" w:lineRule="auto"/>
        <w:jc w:val="both"/>
        <w:rPr>
          <w:rFonts w:ascii="Times New Roman" w:hAnsi="Times New Roman" w:cs="Times New Roman"/>
        </w:rPr>
      </w:pPr>
    </w:p>
    <w:p w14:paraId="3B4BC0FD" w14:textId="77777777" w:rsidR="00B14B6E" w:rsidRDefault="00380089" w:rsidP="00A8693E">
      <w:pPr>
        <w:spacing w:after="0" w:line="276" w:lineRule="auto"/>
        <w:jc w:val="both"/>
        <w:rPr>
          <w:rFonts w:ascii="Times New Roman" w:hAnsi="Times New Roman" w:cs="Times New Roman"/>
        </w:rPr>
      </w:pPr>
      <w:r>
        <w:rPr>
          <w:rFonts w:ascii="Times New Roman" w:hAnsi="Times New Roman" w:cs="Times New Roman"/>
        </w:rPr>
        <w:t xml:space="preserve">Tabel </w:t>
      </w:r>
      <w:r w:rsidR="00CE3D43">
        <w:rPr>
          <w:rFonts w:ascii="Times New Roman" w:hAnsi="Times New Roman" w:cs="Times New Roman"/>
        </w:rPr>
        <w:t>7</w:t>
      </w:r>
      <w:r>
        <w:rPr>
          <w:rFonts w:ascii="Times New Roman" w:hAnsi="Times New Roman" w:cs="Times New Roman"/>
        </w:rPr>
        <w:t xml:space="preserve"> viser</w:t>
      </w:r>
      <w:r w:rsidR="00AC580A">
        <w:rPr>
          <w:rFonts w:ascii="Times New Roman" w:hAnsi="Times New Roman" w:cs="Times New Roman"/>
        </w:rPr>
        <w:t>,</w:t>
      </w:r>
      <w:r>
        <w:rPr>
          <w:rFonts w:ascii="Times New Roman" w:hAnsi="Times New Roman" w:cs="Times New Roman"/>
        </w:rPr>
        <w:t xml:space="preserve"> at de</w:t>
      </w:r>
      <w:r w:rsidR="00AC580A">
        <w:rPr>
          <w:rFonts w:ascii="Times New Roman" w:hAnsi="Times New Roman" w:cs="Times New Roman"/>
        </w:rPr>
        <w:t>r</w:t>
      </w:r>
      <w:r>
        <w:rPr>
          <w:rFonts w:ascii="Times New Roman" w:hAnsi="Times New Roman" w:cs="Times New Roman"/>
        </w:rPr>
        <w:t xml:space="preserve"> er sket en stor stigning i indhandlede mængder fra den havgående hellefiskeflåde siden 2012. I 2012 var det indhandlet i alt 2.106 tons til kun en enkelt by. I 2019 var indhandlingen steget til 6.160 tons fordelt på fire byer. Årsagen til den stigende indhandling skyldes stigning i kvoterne</w:t>
      </w:r>
      <w:r w:rsidR="00AC580A">
        <w:rPr>
          <w:rFonts w:ascii="Times New Roman" w:hAnsi="Times New Roman" w:cs="Times New Roman"/>
        </w:rPr>
        <w:t>,</w:t>
      </w:r>
      <w:r>
        <w:rPr>
          <w:rFonts w:ascii="Times New Roman" w:hAnsi="Times New Roman" w:cs="Times New Roman"/>
        </w:rPr>
        <w:t xml:space="preserve"> samt ud over den generel landingspligt på 25 pct. i Vestgrønland </w:t>
      </w:r>
      <w:r w:rsidR="00AC580A">
        <w:rPr>
          <w:rFonts w:ascii="Times New Roman" w:hAnsi="Times New Roman" w:cs="Times New Roman"/>
        </w:rPr>
        <w:t>at en</w:t>
      </w:r>
      <w:r>
        <w:rPr>
          <w:rFonts w:ascii="Times New Roman" w:hAnsi="Times New Roman" w:cs="Times New Roman"/>
        </w:rPr>
        <w:t xml:space="preserve"> del af kvoterne er blevet pålagt 100 pct. landingspligt. Fald i de indhandlede mængder i 2020 skyldes</w:t>
      </w:r>
      <w:r w:rsidR="00AC580A">
        <w:rPr>
          <w:rFonts w:ascii="Times New Roman" w:hAnsi="Times New Roman" w:cs="Times New Roman"/>
        </w:rPr>
        <w:t>,</w:t>
      </w:r>
      <w:r>
        <w:rPr>
          <w:rFonts w:ascii="Times New Roman" w:hAnsi="Times New Roman" w:cs="Times New Roman"/>
        </w:rPr>
        <w:t xml:space="preserve"> at </w:t>
      </w:r>
      <w:proofErr w:type="spellStart"/>
      <w:r>
        <w:rPr>
          <w:rFonts w:ascii="Times New Roman" w:hAnsi="Times New Roman" w:cs="Times New Roman"/>
        </w:rPr>
        <w:t>Naalakkersuisut</w:t>
      </w:r>
      <w:proofErr w:type="spellEnd"/>
      <w:r>
        <w:rPr>
          <w:rFonts w:ascii="Times New Roman" w:hAnsi="Times New Roman" w:cs="Times New Roman"/>
        </w:rPr>
        <w:t xml:space="preserve"> gav dispensation på grund af </w:t>
      </w:r>
      <w:r w:rsidR="001C34AF">
        <w:rPr>
          <w:rFonts w:ascii="Times New Roman" w:hAnsi="Times New Roman" w:cs="Times New Roman"/>
        </w:rPr>
        <w:t>COVID-pandemien</w:t>
      </w:r>
      <w:r w:rsidR="00AC580A">
        <w:rPr>
          <w:rFonts w:ascii="Times New Roman" w:hAnsi="Times New Roman" w:cs="Times New Roman"/>
        </w:rPr>
        <w:t xml:space="preserve"> til</w:t>
      </w:r>
      <w:r>
        <w:rPr>
          <w:rFonts w:ascii="Times New Roman" w:hAnsi="Times New Roman" w:cs="Times New Roman"/>
        </w:rPr>
        <w:t xml:space="preserve"> at nedsætte landingspligten hos den havgående flåde</w:t>
      </w:r>
      <w:r w:rsidR="00AC580A">
        <w:rPr>
          <w:rFonts w:ascii="Times New Roman" w:hAnsi="Times New Roman" w:cs="Times New Roman"/>
        </w:rPr>
        <w:t>,</w:t>
      </w:r>
      <w:r>
        <w:rPr>
          <w:rFonts w:ascii="Times New Roman" w:hAnsi="Times New Roman" w:cs="Times New Roman"/>
        </w:rPr>
        <w:t xml:space="preserve"> så </w:t>
      </w:r>
      <w:r w:rsidR="00AC580A">
        <w:rPr>
          <w:rFonts w:ascii="Times New Roman" w:hAnsi="Times New Roman" w:cs="Times New Roman"/>
        </w:rPr>
        <w:t xml:space="preserve">en </w:t>
      </w:r>
      <w:r>
        <w:rPr>
          <w:rFonts w:ascii="Times New Roman" w:hAnsi="Times New Roman" w:cs="Times New Roman"/>
        </w:rPr>
        <w:t xml:space="preserve">højere andel kunne produceres til havs til direkte eksport. </w:t>
      </w:r>
    </w:p>
    <w:p w14:paraId="64378519" w14:textId="77777777" w:rsidR="00A330C3" w:rsidRDefault="00A330C3" w:rsidP="00A8693E">
      <w:pPr>
        <w:spacing w:after="0" w:line="276" w:lineRule="auto"/>
        <w:jc w:val="both"/>
        <w:rPr>
          <w:rFonts w:ascii="Times New Roman" w:hAnsi="Times New Roman" w:cs="Times New Roman"/>
        </w:rPr>
      </w:pPr>
    </w:p>
    <w:p w14:paraId="40F9EC18" w14:textId="77777777" w:rsidR="0010356B" w:rsidRPr="00821973" w:rsidRDefault="0010356B" w:rsidP="00A8693E">
      <w:pPr>
        <w:spacing w:after="0" w:line="276" w:lineRule="auto"/>
        <w:jc w:val="both"/>
        <w:rPr>
          <w:rFonts w:ascii="Times New Roman" w:hAnsi="Times New Roman"/>
        </w:rPr>
      </w:pPr>
      <w:r w:rsidRPr="00821973">
        <w:rPr>
          <w:rFonts w:ascii="Times New Roman" w:hAnsi="Times New Roman"/>
        </w:rPr>
        <w:t>Tabel</w:t>
      </w:r>
      <w:r>
        <w:rPr>
          <w:rFonts w:ascii="Times New Roman" w:hAnsi="Times New Roman"/>
        </w:rPr>
        <w:t xml:space="preserve"> </w:t>
      </w:r>
      <w:r w:rsidR="00CE3D43">
        <w:rPr>
          <w:rFonts w:ascii="Times New Roman" w:hAnsi="Times New Roman"/>
        </w:rPr>
        <w:t>7</w:t>
      </w:r>
      <w:r w:rsidRPr="00821973">
        <w:rPr>
          <w:rFonts w:ascii="Times New Roman" w:hAnsi="Times New Roman"/>
        </w:rPr>
        <w:t xml:space="preserve">: Udvikling i </w:t>
      </w:r>
      <w:r>
        <w:rPr>
          <w:rFonts w:ascii="Times New Roman" w:hAnsi="Times New Roman"/>
        </w:rPr>
        <w:t>indhandlings</w:t>
      </w:r>
      <w:r w:rsidRPr="00821973">
        <w:rPr>
          <w:rFonts w:ascii="Times New Roman" w:hAnsi="Times New Roman"/>
        </w:rPr>
        <w:t xml:space="preserve">mængder af </w:t>
      </w:r>
      <w:r>
        <w:rPr>
          <w:rFonts w:ascii="Times New Roman" w:hAnsi="Times New Roman"/>
        </w:rPr>
        <w:t>havgående hellefisk i tons,</w:t>
      </w:r>
      <w:r w:rsidRPr="00821973">
        <w:rPr>
          <w:rFonts w:ascii="Times New Roman" w:hAnsi="Times New Roman"/>
        </w:rPr>
        <w:t xml:space="preserve"> 2012-2020.</w:t>
      </w:r>
    </w:p>
    <w:tbl>
      <w:tblPr>
        <w:tblW w:w="9625" w:type="dxa"/>
        <w:tblInd w:w="-5" w:type="dxa"/>
        <w:tblCellMar>
          <w:left w:w="70" w:type="dxa"/>
          <w:right w:w="70" w:type="dxa"/>
        </w:tblCellMar>
        <w:tblLook w:val="04A0" w:firstRow="1" w:lastRow="0" w:firstColumn="1" w:lastColumn="0" w:noHBand="0" w:noVBand="1"/>
      </w:tblPr>
      <w:tblGrid>
        <w:gridCol w:w="1498"/>
        <w:gridCol w:w="903"/>
        <w:gridCol w:w="903"/>
        <w:gridCol w:w="903"/>
        <w:gridCol w:w="903"/>
        <w:gridCol w:w="903"/>
        <w:gridCol w:w="903"/>
        <w:gridCol w:w="903"/>
        <w:gridCol w:w="903"/>
        <w:gridCol w:w="903"/>
      </w:tblGrid>
      <w:tr w:rsidR="0010356B" w:rsidRPr="0010356B" w14:paraId="4F988995" w14:textId="77777777" w:rsidTr="0010356B">
        <w:trPr>
          <w:trHeight w:val="352"/>
        </w:trPr>
        <w:tc>
          <w:tcPr>
            <w:tcW w:w="1498" w:type="dxa"/>
            <w:tcBorders>
              <w:top w:val="single" w:sz="4" w:space="0" w:color="auto"/>
              <w:left w:val="single" w:sz="4" w:space="0" w:color="auto"/>
              <w:bottom w:val="nil"/>
              <w:right w:val="nil"/>
            </w:tcBorders>
            <w:shd w:val="clear" w:color="000000" w:fill="FFFFFF"/>
            <w:noWrap/>
            <w:vAlign w:val="bottom"/>
            <w:hideMark/>
          </w:tcPr>
          <w:p w14:paraId="4EE330A8"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7CCE71FF"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16F84318"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4D32A225"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2A8348A6"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0986CEAA"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13B318BE"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58C8E15A"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2D7A199B"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403515F7"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r>
      <w:tr w:rsidR="0010356B" w:rsidRPr="0010356B" w14:paraId="4ABF4617" w14:textId="77777777" w:rsidTr="0010356B">
        <w:trPr>
          <w:trHeight w:val="352"/>
        </w:trPr>
        <w:tc>
          <w:tcPr>
            <w:tcW w:w="1498" w:type="dxa"/>
            <w:tcBorders>
              <w:top w:val="nil"/>
              <w:left w:val="single" w:sz="4" w:space="0" w:color="auto"/>
              <w:bottom w:val="single" w:sz="4" w:space="0" w:color="auto"/>
              <w:right w:val="nil"/>
            </w:tcBorders>
            <w:shd w:val="clear" w:color="000000" w:fill="FFFFFF"/>
            <w:noWrap/>
            <w:vAlign w:val="bottom"/>
            <w:hideMark/>
          </w:tcPr>
          <w:p w14:paraId="29E305B4"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By / Tons</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055E8570"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2012</w:t>
            </w:r>
          </w:p>
        </w:tc>
        <w:tc>
          <w:tcPr>
            <w:tcW w:w="903" w:type="dxa"/>
            <w:tcBorders>
              <w:top w:val="nil"/>
              <w:left w:val="nil"/>
              <w:bottom w:val="single" w:sz="4" w:space="0" w:color="auto"/>
              <w:right w:val="nil"/>
            </w:tcBorders>
            <w:shd w:val="clear" w:color="000000" w:fill="FFFFFF"/>
            <w:noWrap/>
            <w:vAlign w:val="bottom"/>
            <w:hideMark/>
          </w:tcPr>
          <w:p w14:paraId="1631D243"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2013</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105C0D24"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2014</w:t>
            </w:r>
          </w:p>
        </w:tc>
        <w:tc>
          <w:tcPr>
            <w:tcW w:w="903" w:type="dxa"/>
            <w:tcBorders>
              <w:top w:val="nil"/>
              <w:left w:val="nil"/>
              <w:bottom w:val="single" w:sz="4" w:space="0" w:color="auto"/>
              <w:right w:val="nil"/>
            </w:tcBorders>
            <w:shd w:val="clear" w:color="000000" w:fill="FFFFFF"/>
            <w:noWrap/>
            <w:vAlign w:val="bottom"/>
            <w:hideMark/>
          </w:tcPr>
          <w:p w14:paraId="3670C56B"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2015</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1F525B36"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2016</w:t>
            </w:r>
          </w:p>
        </w:tc>
        <w:tc>
          <w:tcPr>
            <w:tcW w:w="903" w:type="dxa"/>
            <w:tcBorders>
              <w:top w:val="nil"/>
              <w:left w:val="nil"/>
              <w:bottom w:val="single" w:sz="4" w:space="0" w:color="auto"/>
              <w:right w:val="nil"/>
            </w:tcBorders>
            <w:shd w:val="clear" w:color="000000" w:fill="FFFFFF"/>
            <w:noWrap/>
            <w:vAlign w:val="bottom"/>
            <w:hideMark/>
          </w:tcPr>
          <w:p w14:paraId="3581E914"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2017</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53D78286"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2018</w:t>
            </w:r>
          </w:p>
        </w:tc>
        <w:tc>
          <w:tcPr>
            <w:tcW w:w="903" w:type="dxa"/>
            <w:tcBorders>
              <w:top w:val="nil"/>
              <w:left w:val="nil"/>
              <w:bottom w:val="single" w:sz="4" w:space="0" w:color="auto"/>
              <w:right w:val="nil"/>
            </w:tcBorders>
            <w:shd w:val="clear" w:color="000000" w:fill="FFFFFF"/>
            <w:noWrap/>
            <w:vAlign w:val="bottom"/>
            <w:hideMark/>
          </w:tcPr>
          <w:p w14:paraId="0DB73BDB"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2019</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497FE69F"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2020</w:t>
            </w:r>
          </w:p>
        </w:tc>
      </w:tr>
      <w:tr w:rsidR="0010356B" w:rsidRPr="0010356B" w14:paraId="24860F32"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26F0C283"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Maniitsoq</w:t>
            </w:r>
          </w:p>
        </w:tc>
        <w:tc>
          <w:tcPr>
            <w:tcW w:w="903" w:type="dxa"/>
            <w:tcBorders>
              <w:top w:val="nil"/>
              <w:left w:val="nil"/>
              <w:bottom w:val="single" w:sz="4" w:space="0" w:color="auto"/>
              <w:right w:val="single" w:sz="4" w:space="0" w:color="auto"/>
            </w:tcBorders>
            <w:shd w:val="clear" w:color="000000" w:fill="FFFFFF"/>
            <w:noWrap/>
            <w:vAlign w:val="bottom"/>
            <w:hideMark/>
          </w:tcPr>
          <w:p w14:paraId="7D62F37A"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582391FE"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67A4B515"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1.599 </w:t>
            </w:r>
          </w:p>
        </w:tc>
        <w:tc>
          <w:tcPr>
            <w:tcW w:w="903" w:type="dxa"/>
            <w:tcBorders>
              <w:top w:val="nil"/>
              <w:left w:val="nil"/>
              <w:bottom w:val="single" w:sz="4" w:space="0" w:color="auto"/>
              <w:right w:val="single" w:sz="4" w:space="0" w:color="auto"/>
            </w:tcBorders>
            <w:shd w:val="clear" w:color="000000" w:fill="FFFFFF"/>
            <w:noWrap/>
            <w:vAlign w:val="bottom"/>
            <w:hideMark/>
          </w:tcPr>
          <w:p w14:paraId="34C3D17A"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1.213 </w:t>
            </w:r>
          </w:p>
        </w:tc>
        <w:tc>
          <w:tcPr>
            <w:tcW w:w="903" w:type="dxa"/>
            <w:tcBorders>
              <w:top w:val="nil"/>
              <w:left w:val="nil"/>
              <w:bottom w:val="single" w:sz="4" w:space="0" w:color="auto"/>
              <w:right w:val="single" w:sz="4" w:space="0" w:color="auto"/>
            </w:tcBorders>
            <w:shd w:val="clear" w:color="000000" w:fill="FFFFFF"/>
            <w:noWrap/>
            <w:vAlign w:val="bottom"/>
            <w:hideMark/>
          </w:tcPr>
          <w:p w14:paraId="57480FE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1.829 </w:t>
            </w:r>
          </w:p>
        </w:tc>
        <w:tc>
          <w:tcPr>
            <w:tcW w:w="903" w:type="dxa"/>
            <w:tcBorders>
              <w:top w:val="nil"/>
              <w:left w:val="nil"/>
              <w:bottom w:val="single" w:sz="4" w:space="0" w:color="auto"/>
              <w:right w:val="single" w:sz="4" w:space="0" w:color="auto"/>
            </w:tcBorders>
            <w:shd w:val="clear" w:color="000000" w:fill="FFFFFF"/>
            <w:noWrap/>
            <w:vAlign w:val="bottom"/>
            <w:hideMark/>
          </w:tcPr>
          <w:p w14:paraId="02972847"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1.326 </w:t>
            </w:r>
          </w:p>
        </w:tc>
        <w:tc>
          <w:tcPr>
            <w:tcW w:w="903" w:type="dxa"/>
            <w:tcBorders>
              <w:top w:val="nil"/>
              <w:left w:val="nil"/>
              <w:bottom w:val="single" w:sz="4" w:space="0" w:color="auto"/>
              <w:right w:val="single" w:sz="4" w:space="0" w:color="auto"/>
            </w:tcBorders>
            <w:shd w:val="clear" w:color="000000" w:fill="FFFFFF"/>
            <w:noWrap/>
            <w:vAlign w:val="bottom"/>
            <w:hideMark/>
          </w:tcPr>
          <w:p w14:paraId="7BF0DBF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1.447 </w:t>
            </w:r>
          </w:p>
        </w:tc>
        <w:tc>
          <w:tcPr>
            <w:tcW w:w="903" w:type="dxa"/>
            <w:tcBorders>
              <w:top w:val="nil"/>
              <w:left w:val="nil"/>
              <w:bottom w:val="single" w:sz="4" w:space="0" w:color="auto"/>
              <w:right w:val="single" w:sz="4" w:space="0" w:color="auto"/>
            </w:tcBorders>
            <w:shd w:val="clear" w:color="000000" w:fill="FFFFFF"/>
            <w:noWrap/>
            <w:vAlign w:val="bottom"/>
            <w:hideMark/>
          </w:tcPr>
          <w:p w14:paraId="6233B16E"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3.243 </w:t>
            </w:r>
          </w:p>
        </w:tc>
        <w:tc>
          <w:tcPr>
            <w:tcW w:w="903" w:type="dxa"/>
            <w:tcBorders>
              <w:top w:val="nil"/>
              <w:left w:val="nil"/>
              <w:bottom w:val="single" w:sz="4" w:space="0" w:color="auto"/>
              <w:right w:val="single" w:sz="4" w:space="0" w:color="auto"/>
            </w:tcBorders>
            <w:shd w:val="clear" w:color="000000" w:fill="FFFFFF"/>
            <w:noWrap/>
            <w:vAlign w:val="bottom"/>
            <w:hideMark/>
          </w:tcPr>
          <w:p w14:paraId="742AAEEF"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1.611 </w:t>
            </w:r>
          </w:p>
        </w:tc>
      </w:tr>
      <w:tr w:rsidR="0010356B" w:rsidRPr="0010356B" w14:paraId="1D657AAF"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4601BB1E"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Paamiut</w:t>
            </w:r>
          </w:p>
        </w:tc>
        <w:tc>
          <w:tcPr>
            <w:tcW w:w="903" w:type="dxa"/>
            <w:tcBorders>
              <w:top w:val="nil"/>
              <w:left w:val="nil"/>
              <w:bottom w:val="single" w:sz="4" w:space="0" w:color="auto"/>
              <w:right w:val="single" w:sz="4" w:space="0" w:color="auto"/>
            </w:tcBorders>
            <w:shd w:val="clear" w:color="000000" w:fill="FFFFFF"/>
            <w:noWrap/>
            <w:vAlign w:val="bottom"/>
            <w:hideMark/>
          </w:tcPr>
          <w:p w14:paraId="4B745274"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488BFCD7"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3D6F8FA2"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7BE61749"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451838C4"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4D468ABF"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2645AF8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5A6BCEB2"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553 </w:t>
            </w:r>
          </w:p>
        </w:tc>
        <w:tc>
          <w:tcPr>
            <w:tcW w:w="903" w:type="dxa"/>
            <w:tcBorders>
              <w:top w:val="nil"/>
              <w:left w:val="nil"/>
              <w:bottom w:val="single" w:sz="4" w:space="0" w:color="auto"/>
              <w:right w:val="single" w:sz="4" w:space="0" w:color="auto"/>
            </w:tcBorders>
            <w:shd w:val="clear" w:color="000000" w:fill="FFFFFF"/>
            <w:noWrap/>
            <w:vAlign w:val="bottom"/>
            <w:hideMark/>
          </w:tcPr>
          <w:p w14:paraId="74E557C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326 </w:t>
            </w:r>
          </w:p>
        </w:tc>
      </w:tr>
      <w:tr w:rsidR="0010356B" w:rsidRPr="0010356B" w14:paraId="2E8DB4C1"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59205C1F"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Qasigiannguit</w:t>
            </w:r>
          </w:p>
        </w:tc>
        <w:tc>
          <w:tcPr>
            <w:tcW w:w="903" w:type="dxa"/>
            <w:tcBorders>
              <w:top w:val="nil"/>
              <w:left w:val="nil"/>
              <w:bottom w:val="single" w:sz="4" w:space="0" w:color="auto"/>
              <w:right w:val="single" w:sz="4" w:space="0" w:color="auto"/>
            </w:tcBorders>
            <w:shd w:val="clear" w:color="000000" w:fill="FFFFFF"/>
            <w:noWrap/>
            <w:vAlign w:val="bottom"/>
            <w:hideMark/>
          </w:tcPr>
          <w:p w14:paraId="497AF537"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2.106 </w:t>
            </w:r>
          </w:p>
        </w:tc>
        <w:tc>
          <w:tcPr>
            <w:tcW w:w="903" w:type="dxa"/>
            <w:tcBorders>
              <w:top w:val="nil"/>
              <w:left w:val="nil"/>
              <w:bottom w:val="single" w:sz="4" w:space="0" w:color="auto"/>
              <w:right w:val="single" w:sz="4" w:space="0" w:color="auto"/>
            </w:tcBorders>
            <w:shd w:val="clear" w:color="000000" w:fill="FFFFFF"/>
            <w:noWrap/>
            <w:vAlign w:val="bottom"/>
            <w:hideMark/>
          </w:tcPr>
          <w:p w14:paraId="0D1E24A9"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2.037 </w:t>
            </w:r>
          </w:p>
        </w:tc>
        <w:tc>
          <w:tcPr>
            <w:tcW w:w="903" w:type="dxa"/>
            <w:tcBorders>
              <w:top w:val="nil"/>
              <w:left w:val="nil"/>
              <w:bottom w:val="single" w:sz="4" w:space="0" w:color="auto"/>
              <w:right w:val="single" w:sz="4" w:space="0" w:color="auto"/>
            </w:tcBorders>
            <w:shd w:val="clear" w:color="000000" w:fill="FFFFFF"/>
            <w:noWrap/>
            <w:vAlign w:val="bottom"/>
            <w:hideMark/>
          </w:tcPr>
          <w:p w14:paraId="58712D87"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1.016 </w:t>
            </w:r>
          </w:p>
        </w:tc>
        <w:tc>
          <w:tcPr>
            <w:tcW w:w="903" w:type="dxa"/>
            <w:tcBorders>
              <w:top w:val="nil"/>
              <w:left w:val="nil"/>
              <w:bottom w:val="single" w:sz="4" w:space="0" w:color="auto"/>
              <w:right w:val="single" w:sz="4" w:space="0" w:color="auto"/>
            </w:tcBorders>
            <w:shd w:val="clear" w:color="000000" w:fill="FFFFFF"/>
            <w:noWrap/>
            <w:vAlign w:val="bottom"/>
            <w:hideMark/>
          </w:tcPr>
          <w:p w14:paraId="08EC6E7C"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1.104 </w:t>
            </w:r>
          </w:p>
        </w:tc>
        <w:tc>
          <w:tcPr>
            <w:tcW w:w="903" w:type="dxa"/>
            <w:tcBorders>
              <w:top w:val="nil"/>
              <w:left w:val="nil"/>
              <w:bottom w:val="single" w:sz="4" w:space="0" w:color="auto"/>
              <w:right w:val="single" w:sz="4" w:space="0" w:color="auto"/>
            </w:tcBorders>
            <w:shd w:val="clear" w:color="000000" w:fill="FFFFFF"/>
            <w:noWrap/>
            <w:vAlign w:val="bottom"/>
            <w:hideMark/>
          </w:tcPr>
          <w:p w14:paraId="715747BC"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1.168 </w:t>
            </w:r>
          </w:p>
        </w:tc>
        <w:tc>
          <w:tcPr>
            <w:tcW w:w="903" w:type="dxa"/>
            <w:tcBorders>
              <w:top w:val="nil"/>
              <w:left w:val="nil"/>
              <w:bottom w:val="single" w:sz="4" w:space="0" w:color="auto"/>
              <w:right w:val="single" w:sz="4" w:space="0" w:color="auto"/>
            </w:tcBorders>
            <w:shd w:val="clear" w:color="000000" w:fill="FFFFFF"/>
            <w:noWrap/>
            <w:vAlign w:val="bottom"/>
            <w:hideMark/>
          </w:tcPr>
          <w:p w14:paraId="3C67FC72"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332 </w:t>
            </w:r>
          </w:p>
        </w:tc>
        <w:tc>
          <w:tcPr>
            <w:tcW w:w="903" w:type="dxa"/>
            <w:tcBorders>
              <w:top w:val="nil"/>
              <w:left w:val="nil"/>
              <w:bottom w:val="single" w:sz="4" w:space="0" w:color="auto"/>
              <w:right w:val="single" w:sz="4" w:space="0" w:color="auto"/>
            </w:tcBorders>
            <w:shd w:val="clear" w:color="000000" w:fill="FFFFFF"/>
            <w:noWrap/>
            <w:vAlign w:val="bottom"/>
            <w:hideMark/>
          </w:tcPr>
          <w:p w14:paraId="7C4C72B5"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1.920 </w:t>
            </w:r>
          </w:p>
        </w:tc>
        <w:tc>
          <w:tcPr>
            <w:tcW w:w="903" w:type="dxa"/>
            <w:tcBorders>
              <w:top w:val="nil"/>
              <w:left w:val="nil"/>
              <w:bottom w:val="single" w:sz="4" w:space="0" w:color="auto"/>
              <w:right w:val="single" w:sz="4" w:space="0" w:color="auto"/>
            </w:tcBorders>
            <w:shd w:val="clear" w:color="000000" w:fill="FFFFFF"/>
            <w:noWrap/>
            <w:vAlign w:val="bottom"/>
            <w:hideMark/>
          </w:tcPr>
          <w:p w14:paraId="1BD98D0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1.171 </w:t>
            </w:r>
          </w:p>
        </w:tc>
        <w:tc>
          <w:tcPr>
            <w:tcW w:w="903" w:type="dxa"/>
            <w:tcBorders>
              <w:top w:val="nil"/>
              <w:left w:val="nil"/>
              <w:bottom w:val="single" w:sz="4" w:space="0" w:color="auto"/>
              <w:right w:val="single" w:sz="4" w:space="0" w:color="auto"/>
            </w:tcBorders>
            <w:shd w:val="clear" w:color="000000" w:fill="FFFFFF"/>
            <w:noWrap/>
            <w:vAlign w:val="bottom"/>
            <w:hideMark/>
          </w:tcPr>
          <w:p w14:paraId="04042861"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970 </w:t>
            </w:r>
          </w:p>
        </w:tc>
      </w:tr>
      <w:tr w:rsidR="0010356B" w:rsidRPr="0010356B" w14:paraId="3AD751BC"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0D5C2DB4"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Aasiaat</w:t>
            </w:r>
          </w:p>
        </w:tc>
        <w:tc>
          <w:tcPr>
            <w:tcW w:w="903" w:type="dxa"/>
            <w:tcBorders>
              <w:top w:val="nil"/>
              <w:left w:val="nil"/>
              <w:bottom w:val="single" w:sz="4" w:space="0" w:color="auto"/>
              <w:right w:val="single" w:sz="4" w:space="0" w:color="auto"/>
            </w:tcBorders>
            <w:shd w:val="clear" w:color="000000" w:fill="FFFFFF"/>
            <w:noWrap/>
            <w:vAlign w:val="bottom"/>
            <w:hideMark/>
          </w:tcPr>
          <w:p w14:paraId="245200D9"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w:t>
            </w:r>
          </w:p>
        </w:tc>
        <w:tc>
          <w:tcPr>
            <w:tcW w:w="903" w:type="dxa"/>
            <w:tcBorders>
              <w:top w:val="nil"/>
              <w:left w:val="nil"/>
              <w:bottom w:val="single" w:sz="4" w:space="0" w:color="auto"/>
              <w:right w:val="single" w:sz="4" w:space="0" w:color="auto"/>
            </w:tcBorders>
            <w:shd w:val="clear" w:color="000000" w:fill="FFFFFF"/>
            <w:noWrap/>
            <w:vAlign w:val="bottom"/>
            <w:hideMark/>
          </w:tcPr>
          <w:p w14:paraId="78F74FFB"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   </w:t>
            </w:r>
          </w:p>
        </w:tc>
        <w:tc>
          <w:tcPr>
            <w:tcW w:w="903" w:type="dxa"/>
            <w:tcBorders>
              <w:top w:val="nil"/>
              <w:left w:val="nil"/>
              <w:bottom w:val="single" w:sz="4" w:space="0" w:color="auto"/>
              <w:right w:val="single" w:sz="4" w:space="0" w:color="auto"/>
            </w:tcBorders>
            <w:shd w:val="clear" w:color="000000" w:fill="FFFFFF"/>
            <w:noWrap/>
            <w:vAlign w:val="bottom"/>
            <w:hideMark/>
          </w:tcPr>
          <w:p w14:paraId="42C45781"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895 </w:t>
            </w:r>
          </w:p>
        </w:tc>
        <w:tc>
          <w:tcPr>
            <w:tcW w:w="903" w:type="dxa"/>
            <w:tcBorders>
              <w:top w:val="nil"/>
              <w:left w:val="nil"/>
              <w:bottom w:val="single" w:sz="4" w:space="0" w:color="auto"/>
              <w:right w:val="single" w:sz="4" w:space="0" w:color="auto"/>
            </w:tcBorders>
            <w:shd w:val="clear" w:color="000000" w:fill="FFFFFF"/>
            <w:noWrap/>
            <w:vAlign w:val="bottom"/>
            <w:hideMark/>
          </w:tcPr>
          <w:p w14:paraId="015DCB81"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845 </w:t>
            </w:r>
          </w:p>
        </w:tc>
        <w:tc>
          <w:tcPr>
            <w:tcW w:w="903" w:type="dxa"/>
            <w:tcBorders>
              <w:top w:val="nil"/>
              <w:left w:val="nil"/>
              <w:bottom w:val="single" w:sz="4" w:space="0" w:color="auto"/>
              <w:right w:val="single" w:sz="4" w:space="0" w:color="auto"/>
            </w:tcBorders>
            <w:shd w:val="clear" w:color="000000" w:fill="FFFFFF"/>
            <w:noWrap/>
            <w:vAlign w:val="bottom"/>
            <w:hideMark/>
          </w:tcPr>
          <w:p w14:paraId="0654CCF6"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1.010 </w:t>
            </w:r>
          </w:p>
        </w:tc>
        <w:tc>
          <w:tcPr>
            <w:tcW w:w="903" w:type="dxa"/>
            <w:tcBorders>
              <w:top w:val="nil"/>
              <w:left w:val="nil"/>
              <w:bottom w:val="single" w:sz="4" w:space="0" w:color="auto"/>
              <w:right w:val="single" w:sz="4" w:space="0" w:color="auto"/>
            </w:tcBorders>
            <w:shd w:val="clear" w:color="000000" w:fill="FFFFFF"/>
            <w:noWrap/>
            <w:vAlign w:val="bottom"/>
            <w:hideMark/>
          </w:tcPr>
          <w:p w14:paraId="7E47BC93"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1.045 </w:t>
            </w:r>
          </w:p>
        </w:tc>
        <w:tc>
          <w:tcPr>
            <w:tcW w:w="903" w:type="dxa"/>
            <w:tcBorders>
              <w:top w:val="nil"/>
              <w:left w:val="nil"/>
              <w:bottom w:val="single" w:sz="4" w:space="0" w:color="auto"/>
              <w:right w:val="single" w:sz="4" w:space="0" w:color="auto"/>
            </w:tcBorders>
            <w:shd w:val="clear" w:color="000000" w:fill="FFFFFF"/>
            <w:noWrap/>
            <w:vAlign w:val="bottom"/>
            <w:hideMark/>
          </w:tcPr>
          <w:p w14:paraId="211A5C7B"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1.145 </w:t>
            </w:r>
          </w:p>
        </w:tc>
        <w:tc>
          <w:tcPr>
            <w:tcW w:w="903" w:type="dxa"/>
            <w:tcBorders>
              <w:top w:val="nil"/>
              <w:left w:val="nil"/>
              <w:bottom w:val="single" w:sz="4" w:space="0" w:color="auto"/>
              <w:right w:val="single" w:sz="4" w:space="0" w:color="auto"/>
            </w:tcBorders>
            <w:shd w:val="clear" w:color="000000" w:fill="FFFFFF"/>
            <w:noWrap/>
            <w:vAlign w:val="bottom"/>
            <w:hideMark/>
          </w:tcPr>
          <w:p w14:paraId="0B5AA5B1"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1.192 </w:t>
            </w:r>
          </w:p>
        </w:tc>
        <w:tc>
          <w:tcPr>
            <w:tcW w:w="903" w:type="dxa"/>
            <w:tcBorders>
              <w:top w:val="nil"/>
              <w:left w:val="nil"/>
              <w:bottom w:val="single" w:sz="4" w:space="0" w:color="auto"/>
              <w:right w:val="single" w:sz="4" w:space="0" w:color="auto"/>
            </w:tcBorders>
            <w:shd w:val="clear" w:color="000000" w:fill="FFFFFF"/>
            <w:noWrap/>
            <w:vAlign w:val="bottom"/>
            <w:hideMark/>
          </w:tcPr>
          <w:p w14:paraId="2F9323F6"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10356B">
              <w:rPr>
                <w:rFonts w:ascii="Times New Roman" w:eastAsia="Times New Roman" w:hAnsi="Times New Roman" w:cs="Times New Roman"/>
                <w:color w:val="000000"/>
                <w:sz w:val="20"/>
                <w:szCs w:val="20"/>
                <w:lang w:eastAsia="da-DK"/>
              </w:rPr>
              <w:t xml:space="preserve">         220 </w:t>
            </w:r>
          </w:p>
        </w:tc>
      </w:tr>
      <w:tr w:rsidR="0010356B" w:rsidRPr="0010356B" w14:paraId="053B9140"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71676A11"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I alt</w:t>
            </w:r>
          </w:p>
        </w:tc>
        <w:tc>
          <w:tcPr>
            <w:tcW w:w="903" w:type="dxa"/>
            <w:tcBorders>
              <w:top w:val="nil"/>
              <w:left w:val="nil"/>
              <w:bottom w:val="single" w:sz="4" w:space="0" w:color="auto"/>
              <w:right w:val="single" w:sz="4" w:space="0" w:color="auto"/>
            </w:tcBorders>
            <w:shd w:val="clear" w:color="000000" w:fill="FFFFFF"/>
            <w:noWrap/>
            <w:vAlign w:val="bottom"/>
            <w:hideMark/>
          </w:tcPr>
          <w:p w14:paraId="275D0709"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2.106 </w:t>
            </w:r>
          </w:p>
        </w:tc>
        <w:tc>
          <w:tcPr>
            <w:tcW w:w="903" w:type="dxa"/>
            <w:tcBorders>
              <w:top w:val="nil"/>
              <w:left w:val="nil"/>
              <w:bottom w:val="single" w:sz="4" w:space="0" w:color="auto"/>
              <w:right w:val="single" w:sz="4" w:space="0" w:color="auto"/>
            </w:tcBorders>
            <w:shd w:val="clear" w:color="000000" w:fill="FFFFFF"/>
            <w:noWrap/>
            <w:vAlign w:val="bottom"/>
            <w:hideMark/>
          </w:tcPr>
          <w:p w14:paraId="36E3BDA9"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2.037 </w:t>
            </w:r>
          </w:p>
        </w:tc>
        <w:tc>
          <w:tcPr>
            <w:tcW w:w="903" w:type="dxa"/>
            <w:tcBorders>
              <w:top w:val="nil"/>
              <w:left w:val="nil"/>
              <w:bottom w:val="single" w:sz="4" w:space="0" w:color="auto"/>
              <w:right w:val="single" w:sz="4" w:space="0" w:color="auto"/>
            </w:tcBorders>
            <w:shd w:val="clear" w:color="000000" w:fill="FFFFFF"/>
            <w:noWrap/>
            <w:vAlign w:val="bottom"/>
            <w:hideMark/>
          </w:tcPr>
          <w:p w14:paraId="59EFCA9E"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3.510 </w:t>
            </w:r>
          </w:p>
        </w:tc>
        <w:tc>
          <w:tcPr>
            <w:tcW w:w="903" w:type="dxa"/>
            <w:tcBorders>
              <w:top w:val="nil"/>
              <w:left w:val="nil"/>
              <w:bottom w:val="single" w:sz="4" w:space="0" w:color="auto"/>
              <w:right w:val="single" w:sz="4" w:space="0" w:color="auto"/>
            </w:tcBorders>
            <w:shd w:val="clear" w:color="000000" w:fill="FFFFFF"/>
            <w:noWrap/>
            <w:vAlign w:val="bottom"/>
            <w:hideMark/>
          </w:tcPr>
          <w:p w14:paraId="5F3D0183"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3.162 </w:t>
            </w:r>
          </w:p>
        </w:tc>
        <w:tc>
          <w:tcPr>
            <w:tcW w:w="903" w:type="dxa"/>
            <w:tcBorders>
              <w:top w:val="nil"/>
              <w:left w:val="nil"/>
              <w:bottom w:val="single" w:sz="4" w:space="0" w:color="auto"/>
              <w:right w:val="single" w:sz="4" w:space="0" w:color="auto"/>
            </w:tcBorders>
            <w:shd w:val="clear" w:color="000000" w:fill="FFFFFF"/>
            <w:noWrap/>
            <w:vAlign w:val="bottom"/>
            <w:hideMark/>
          </w:tcPr>
          <w:p w14:paraId="426FF0EE"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4.006 </w:t>
            </w:r>
          </w:p>
        </w:tc>
        <w:tc>
          <w:tcPr>
            <w:tcW w:w="903" w:type="dxa"/>
            <w:tcBorders>
              <w:top w:val="nil"/>
              <w:left w:val="nil"/>
              <w:bottom w:val="single" w:sz="4" w:space="0" w:color="auto"/>
              <w:right w:val="single" w:sz="4" w:space="0" w:color="auto"/>
            </w:tcBorders>
            <w:shd w:val="clear" w:color="000000" w:fill="FFFFFF"/>
            <w:noWrap/>
            <w:vAlign w:val="bottom"/>
            <w:hideMark/>
          </w:tcPr>
          <w:p w14:paraId="5B7ABB58"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2.703 </w:t>
            </w:r>
          </w:p>
        </w:tc>
        <w:tc>
          <w:tcPr>
            <w:tcW w:w="903" w:type="dxa"/>
            <w:tcBorders>
              <w:top w:val="nil"/>
              <w:left w:val="nil"/>
              <w:bottom w:val="single" w:sz="4" w:space="0" w:color="auto"/>
              <w:right w:val="single" w:sz="4" w:space="0" w:color="auto"/>
            </w:tcBorders>
            <w:shd w:val="clear" w:color="000000" w:fill="FFFFFF"/>
            <w:noWrap/>
            <w:vAlign w:val="bottom"/>
            <w:hideMark/>
          </w:tcPr>
          <w:p w14:paraId="0E71F37E"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4.51</w:t>
            </w:r>
            <w:r w:rsidR="00572F2D">
              <w:rPr>
                <w:rFonts w:ascii="Times New Roman" w:eastAsia="Times New Roman" w:hAnsi="Times New Roman" w:cs="Times New Roman"/>
                <w:b/>
                <w:bCs/>
                <w:color w:val="000000"/>
                <w:sz w:val="20"/>
                <w:szCs w:val="20"/>
                <w:lang w:eastAsia="da-DK"/>
              </w:rPr>
              <w:t>2</w:t>
            </w:r>
            <w:r w:rsidRPr="0010356B">
              <w:rPr>
                <w:rFonts w:ascii="Times New Roman" w:eastAsia="Times New Roman" w:hAnsi="Times New Roman" w:cs="Times New Roman"/>
                <w:b/>
                <w:bCs/>
                <w:color w:val="000000"/>
                <w:sz w:val="20"/>
                <w:szCs w:val="20"/>
                <w:lang w:eastAsia="da-DK"/>
              </w:rPr>
              <w:t xml:space="preserve"> </w:t>
            </w:r>
          </w:p>
        </w:tc>
        <w:tc>
          <w:tcPr>
            <w:tcW w:w="903" w:type="dxa"/>
            <w:tcBorders>
              <w:top w:val="nil"/>
              <w:left w:val="nil"/>
              <w:bottom w:val="single" w:sz="4" w:space="0" w:color="auto"/>
              <w:right w:val="single" w:sz="4" w:space="0" w:color="auto"/>
            </w:tcBorders>
            <w:shd w:val="clear" w:color="000000" w:fill="FFFFFF"/>
            <w:noWrap/>
            <w:vAlign w:val="bottom"/>
            <w:hideMark/>
          </w:tcPr>
          <w:p w14:paraId="4496D80E"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6.160 </w:t>
            </w:r>
          </w:p>
        </w:tc>
        <w:tc>
          <w:tcPr>
            <w:tcW w:w="903" w:type="dxa"/>
            <w:tcBorders>
              <w:top w:val="nil"/>
              <w:left w:val="nil"/>
              <w:bottom w:val="single" w:sz="4" w:space="0" w:color="auto"/>
              <w:right w:val="single" w:sz="4" w:space="0" w:color="auto"/>
            </w:tcBorders>
            <w:shd w:val="clear" w:color="000000" w:fill="FFFFFF"/>
            <w:noWrap/>
            <w:vAlign w:val="bottom"/>
            <w:hideMark/>
          </w:tcPr>
          <w:p w14:paraId="69EB5C29"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 xml:space="preserve">     3.127 </w:t>
            </w:r>
          </w:p>
        </w:tc>
      </w:tr>
    </w:tbl>
    <w:p w14:paraId="593FFD7E" w14:textId="77777777" w:rsidR="0010356B" w:rsidRDefault="0010356B" w:rsidP="00A8693E">
      <w:pPr>
        <w:spacing w:after="0" w:line="276" w:lineRule="auto"/>
        <w:jc w:val="both"/>
        <w:rPr>
          <w:rFonts w:ascii="Times New Roman" w:hAnsi="Times New Roman"/>
        </w:rPr>
      </w:pPr>
    </w:p>
    <w:p w14:paraId="06ECC24A" w14:textId="77777777" w:rsidR="004138EE" w:rsidRDefault="004138EE" w:rsidP="004138EE">
      <w:pPr>
        <w:spacing w:after="0" w:line="276" w:lineRule="auto"/>
        <w:jc w:val="both"/>
        <w:rPr>
          <w:rFonts w:ascii="Times New Roman" w:hAnsi="Times New Roman" w:cs="Times New Roman"/>
        </w:rPr>
      </w:pPr>
      <w:r>
        <w:rPr>
          <w:rFonts w:ascii="Times New Roman" w:hAnsi="Times New Roman" w:cs="Times New Roman"/>
        </w:rPr>
        <w:t xml:space="preserve">Tabel </w:t>
      </w:r>
      <w:r w:rsidR="00CE3D43">
        <w:rPr>
          <w:rFonts w:ascii="Times New Roman" w:hAnsi="Times New Roman" w:cs="Times New Roman"/>
        </w:rPr>
        <w:t>8</w:t>
      </w:r>
      <w:r>
        <w:rPr>
          <w:rFonts w:ascii="Times New Roman" w:hAnsi="Times New Roman" w:cs="Times New Roman"/>
        </w:rPr>
        <w:t xml:space="preserve"> viser</w:t>
      </w:r>
      <w:r w:rsidR="00AC580A">
        <w:rPr>
          <w:rFonts w:ascii="Times New Roman" w:hAnsi="Times New Roman" w:cs="Times New Roman"/>
        </w:rPr>
        <w:t>,</w:t>
      </w:r>
      <w:r>
        <w:rPr>
          <w:rFonts w:ascii="Times New Roman" w:hAnsi="Times New Roman" w:cs="Times New Roman"/>
        </w:rPr>
        <w:t xml:space="preserve"> at de</w:t>
      </w:r>
      <w:r w:rsidR="00AC580A">
        <w:rPr>
          <w:rFonts w:ascii="Times New Roman" w:hAnsi="Times New Roman" w:cs="Times New Roman"/>
        </w:rPr>
        <w:t>r</w:t>
      </w:r>
      <w:r>
        <w:rPr>
          <w:rFonts w:ascii="Times New Roman" w:hAnsi="Times New Roman" w:cs="Times New Roman"/>
        </w:rPr>
        <w:t xml:space="preserve"> er sket en </w:t>
      </w:r>
      <w:r w:rsidR="003301FE">
        <w:rPr>
          <w:rFonts w:ascii="Times New Roman" w:hAnsi="Times New Roman" w:cs="Times New Roman"/>
        </w:rPr>
        <w:t xml:space="preserve">meget </w:t>
      </w:r>
      <w:r>
        <w:rPr>
          <w:rFonts w:ascii="Times New Roman" w:hAnsi="Times New Roman" w:cs="Times New Roman"/>
        </w:rPr>
        <w:t xml:space="preserve">stor stigning i indhandlede mængder fra den havgående </w:t>
      </w:r>
      <w:r w:rsidR="003301FE">
        <w:rPr>
          <w:rFonts w:ascii="Times New Roman" w:hAnsi="Times New Roman" w:cs="Times New Roman"/>
        </w:rPr>
        <w:t>torske</w:t>
      </w:r>
      <w:r>
        <w:rPr>
          <w:rFonts w:ascii="Times New Roman" w:hAnsi="Times New Roman" w:cs="Times New Roman"/>
        </w:rPr>
        <w:t xml:space="preserve">flåde siden 2012. I 2012 </w:t>
      </w:r>
      <w:r w:rsidR="00AC580A">
        <w:rPr>
          <w:rFonts w:ascii="Times New Roman" w:hAnsi="Times New Roman" w:cs="Times New Roman"/>
        </w:rPr>
        <w:t>blev der</w:t>
      </w:r>
      <w:r>
        <w:rPr>
          <w:rFonts w:ascii="Times New Roman" w:hAnsi="Times New Roman" w:cs="Times New Roman"/>
        </w:rPr>
        <w:t xml:space="preserve"> indhandlet i alt </w:t>
      </w:r>
      <w:r w:rsidR="003301FE">
        <w:rPr>
          <w:rFonts w:ascii="Times New Roman" w:hAnsi="Times New Roman" w:cs="Times New Roman"/>
        </w:rPr>
        <w:t>593</w:t>
      </w:r>
      <w:r>
        <w:rPr>
          <w:rFonts w:ascii="Times New Roman" w:hAnsi="Times New Roman" w:cs="Times New Roman"/>
        </w:rPr>
        <w:t xml:space="preserve"> tons til kun en enkelt by. </w:t>
      </w:r>
      <w:r w:rsidR="003301FE">
        <w:rPr>
          <w:rFonts w:ascii="Times New Roman" w:hAnsi="Times New Roman" w:cs="Times New Roman"/>
        </w:rPr>
        <w:t>I 2015</w:t>
      </w:r>
      <w:r>
        <w:rPr>
          <w:rFonts w:ascii="Times New Roman" w:hAnsi="Times New Roman" w:cs="Times New Roman"/>
        </w:rPr>
        <w:t xml:space="preserve"> var indhandlingen steget til </w:t>
      </w:r>
      <w:r w:rsidR="003301FE">
        <w:rPr>
          <w:rFonts w:ascii="Times New Roman" w:hAnsi="Times New Roman" w:cs="Times New Roman"/>
        </w:rPr>
        <w:t xml:space="preserve">hele 8.520 </w:t>
      </w:r>
      <w:r>
        <w:rPr>
          <w:rFonts w:ascii="Times New Roman" w:hAnsi="Times New Roman" w:cs="Times New Roman"/>
        </w:rPr>
        <w:t xml:space="preserve">tons fordelt på </w:t>
      </w:r>
      <w:r w:rsidR="003301FE">
        <w:rPr>
          <w:rFonts w:ascii="Times New Roman" w:hAnsi="Times New Roman" w:cs="Times New Roman"/>
        </w:rPr>
        <w:t>otte</w:t>
      </w:r>
      <w:r>
        <w:rPr>
          <w:rFonts w:ascii="Times New Roman" w:hAnsi="Times New Roman" w:cs="Times New Roman"/>
        </w:rPr>
        <w:t xml:space="preserve"> byer. </w:t>
      </w:r>
      <w:r w:rsidR="00462380">
        <w:rPr>
          <w:rFonts w:ascii="Times New Roman" w:hAnsi="Times New Roman" w:cs="Times New Roman"/>
        </w:rPr>
        <w:t>Indhandlingen faldt til 5.817 tons i 2016</w:t>
      </w:r>
      <w:r w:rsidR="00AC580A">
        <w:rPr>
          <w:rFonts w:ascii="Times New Roman" w:hAnsi="Times New Roman" w:cs="Times New Roman"/>
        </w:rPr>
        <w:t>,</w:t>
      </w:r>
      <w:r w:rsidR="00462380">
        <w:rPr>
          <w:rFonts w:ascii="Times New Roman" w:hAnsi="Times New Roman" w:cs="Times New Roman"/>
        </w:rPr>
        <w:t xml:space="preserve"> men var nogenlunde konstant fra 2017-2019 på ca. 4.300 – 4.600 tons pr. år. </w:t>
      </w:r>
      <w:r>
        <w:rPr>
          <w:rFonts w:ascii="Times New Roman" w:hAnsi="Times New Roman" w:cs="Times New Roman"/>
        </w:rPr>
        <w:t xml:space="preserve">Årsagen til den stigende indhandling </w:t>
      </w:r>
      <w:r w:rsidR="003301FE">
        <w:rPr>
          <w:rFonts w:ascii="Times New Roman" w:hAnsi="Times New Roman" w:cs="Times New Roman"/>
        </w:rPr>
        <w:t xml:space="preserve">har hovedsagligt været </w:t>
      </w:r>
      <w:r>
        <w:rPr>
          <w:rFonts w:ascii="Times New Roman" w:hAnsi="Times New Roman" w:cs="Times New Roman"/>
        </w:rPr>
        <w:t>stigning</w:t>
      </w:r>
      <w:r w:rsidR="00AC580A">
        <w:rPr>
          <w:rFonts w:ascii="Times New Roman" w:hAnsi="Times New Roman" w:cs="Times New Roman"/>
        </w:rPr>
        <w:t>en</w:t>
      </w:r>
      <w:r>
        <w:rPr>
          <w:rFonts w:ascii="Times New Roman" w:hAnsi="Times New Roman" w:cs="Times New Roman"/>
        </w:rPr>
        <w:t xml:space="preserve"> i </w:t>
      </w:r>
      <w:r w:rsidR="003301FE">
        <w:rPr>
          <w:rFonts w:ascii="Times New Roman" w:hAnsi="Times New Roman" w:cs="Times New Roman"/>
        </w:rPr>
        <w:t>de</w:t>
      </w:r>
      <w:r w:rsidR="00AC580A">
        <w:rPr>
          <w:rFonts w:ascii="Times New Roman" w:hAnsi="Times New Roman" w:cs="Times New Roman"/>
        </w:rPr>
        <w:t>n</w:t>
      </w:r>
      <w:r w:rsidR="003301FE">
        <w:rPr>
          <w:rFonts w:ascii="Times New Roman" w:hAnsi="Times New Roman" w:cs="Times New Roman"/>
        </w:rPr>
        <w:t xml:space="preserve"> havgående torskekvote i Sydvest og Østgrønland</w:t>
      </w:r>
      <w:r w:rsidR="00AC580A">
        <w:rPr>
          <w:rFonts w:ascii="Times New Roman" w:hAnsi="Times New Roman" w:cs="Times New Roman"/>
        </w:rPr>
        <w:t>,</w:t>
      </w:r>
      <w:r w:rsidR="003301FE">
        <w:rPr>
          <w:rFonts w:ascii="Times New Roman" w:hAnsi="Times New Roman" w:cs="Times New Roman"/>
        </w:rPr>
        <w:t xml:space="preserve"> samt </w:t>
      </w:r>
      <w:r w:rsidR="00AC580A">
        <w:rPr>
          <w:rFonts w:ascii="Times New Roman" w:hAnsi="Times New Roman" w:cs="Times New Roman"/>
        </w:rPr>
        <w:t xml:space="preserve">at </w:t>
      </w:r>
      <w:r w:rsidR="003301FE">
        <w:rPr>
          <w:rFonts w:ascii="Times New Roman" w:hAnsi="Times New Roman" w:cs="Times New Roman"/>
        </w:rPr>
        <w:t>de</w:t>
      </w:r>
      <w:r w:rsidR="00AC580A">
        <w:rPr>
          <w:rFonts w:ascii="Times New Roman" w:hAnsi="Times New Roman" w:cs="Times New Roman"/>
        </w:rPr>
        <w:t>r</w:t>
      </w:r>
      <w:r w:rsidR="003301FE">
        <w:rPr>
          <w:rFonts w:ascii="Times New Roman" w:hAnsi="Times New Roman" w:cs="Times New Roman"/>
        </w:rPr>
        <w:t xml:space="preserve"> blev fastsat </w:t>
      </w:r>
      <w:r w:rsidR="00384529">
        <w:rPr>
          <w:rFonts w:ascii="Times New Roman" w:hAnsi="Times New Roman" w:cs="Times New Roman"/>
        </w:rPr>
        <w:t xml:space="preserve">en </w:t>
      </w:r>
      <w:r w:rsidR="003301FE">
        <w:rPr>
          <w:rFonts w:ascii="Times New Roman" w:hAnsi="Times New Roman" w:cs="Times New Roman"/>
        </w:rPr>
        <w:t>havgående forsøgskvote for torsk i Vestgrønland.</w:t>
      </w:r>
      <w:r w:rsidR="00462380">
        <w:rPr>
          <w:rFonts w:ascii="Times New Roman" w:hAnsi="Times New Roman" w:cs="Times New Roman"/>
        </w:rPr>
        <w:t xml:space="preserve"> </w:t>
      </w:r>
      <w:r>
        <w:rPr>
          <w:rFonts w:ascii="Times New Roman" w:hAnsi="Times New Roman" w:cs="Times New Roman"/>
        </w:rPr>
        <w:t>Fald</w:t>
      </w:r>
      <w:r w:rsidR="00462380">
        <w:rPr>
          <w:rFonts w:ascii="Times New Roman" w:hAnsi="Times New Roman" w:cs="Times New Roman"/>
        </w:rPr>
        <w:t xml:space="preserve">et </w:t>
      </w:r>
      <w:r w:rsidR="00384529">
        <w:rPr>
          <w:rFonts w:ascii="Times New Roman" w:hAnsi="Times New Roman" w:cs="Times New Roman"/>
        </w:rPr>
        <w:t xml:space="preserve">i </w:t>
      </w:r>
      <w:r>
        <w:rPr>
          <w:rFonts w:ascii="Times New Roman" w:hAnsi="Times New Roman" w:cs="Times New Roman"/>
        </w:rPr>
        <w:t>de indhandlede mængder i 2020 skyldes</w:t>
      </w:r>
      <w:r w:rsidR="00384529">
        <w:rPr>
          <w:rFonts w:ascii="Times New Roman" w:hAnsi="Times New Roman" w:cs="Times New Roman"/>
        </w:rPr>
        <w:t>,</w:t>
      </w:r>
      <w:r>
        <w:rPr>
          <w:rFonts w:ascii="Times New Roman" w:hAnsi="Times New Roman" w:cs="Times New Roman"/>
        </w:rPr>
        <w:t xml:space="preserve"> at </w:t>
      </w:r>
      <w:proofErr w:type="spellStart"/>
      <w:r>
        <w:rPr>
          <w:rFonts w:ascii="Times New Roman" w:hAnsi="Times New Roman" w:cs="Times New Roman"/>
        </w:rPr>
        <w:t>Naalakkersuisut</w:t>
      </w:r>
      <w:proofErr w:type="spellEnd"/>
      <w:r>
        <w:rPr>
          <w:rFonts w:ascii="Times New Roman" w:hAnsi="Times New Roman" w:cs="Times New Roman"/>
        </w:rPr>
        <w:t xml:space="preserve"> </w:t>
      </w:r>
      <w:r>
        <w:rPr>
          <w:rFonts w:ascii="Times New Roman" w:hAnsi="Times New Roman" w:cs="Times New Roman"/>
        </w:rPr>
        <w:lastRenderedPageBreak/>
        <w:t xml:space="preserve">gav dispensation på grund af </w:t>
      </w:r>
      <w:r w:rsidR="001C34AF">
        <w:rPr>
          <w:rFonts w:ascii="Times New Roman" w:hAnsi="Times New Roman" w:cs="Times New Roman"/>
        </w:rPr>
        <w:t>COVID-pandemien</w:t>
      </w:r>
      <w:r w:rsidR="00384529">
        <w:rPr>
          <w:rFonts w:ascii="Times New Roman" w:hAnsi="Times New Roman" w:cs="Times New Roman"/>
        </w:rPr>
        <w:t xml:space="preserve"> til </w:t>
      </w:r>
      <w:r>
        <w:rPr>
          <w:rFonts w:ascii="Times New Roman" w:hAnsi="Times New Roman" w:cs="Times New Roman"/>
        </w:rPr>
        <w:t>at nedsætte landingspligten hos den havgående flåde</w:t>
      </w:r>
      <w:r w:rsidR="00384529">
        <w:rPr>
          <w:rFonts w:ascii="Times New Roman" w:hAnsi="Times New Roman" w:cs="Times New Roman"/>
        </w:rPr>
        <w:t>,</w:t>
      </w:r>
      <w:r>
        <w:rPr>
          <w:rFonts w:ascii="Times New Roman" w:hAnsi="Times New Roman" w:cs="Times New Roman"/>
        </w:rPr>
        <w:t xml:space="preserve"> så </w:t>
      </w:r>
      <w:r w:rsidR="00384529">
        <w:rPr>
          <w:rFonts w:ascii="Times New Roman" w:hAnsi="Times New Roman" w:cs="Times New Roman"/>
        </w:rPr>
        <w:t xml:space="preserve">en </w:t>
      </w:r>
      <w:r>
        <w:rPr>
          <w:rFonts w:ascii="Times New Roman" w:hAnsi="Times New Roman" w:cs="Times New Roman"/>
        </w:rPr>
        <w:t xml:space="preserve">højere andel kunne produceres til havs til direkte eksport. </w:t>
      </w:r>
    </w:p>
    <w:p w14:paraId="43E6397E" w14:textId="77777777" w:rsidR="00380089" w:rsidRDefault="00380089" w:rsidP="00A8693E">
      <w:pPr>
        <w:spacing w:after="0" w:line="276" w:lineRule="auto"/>
        <w:jc w:val="both"/>
        <w:rPr>
          <w:rFonts w:ascii="Times New Roman" w:hAnsi="Times New Roman"/>
        </w:rPr>
      </w:pPr>
    </w:p>
    <w:p w14:paraId="723881D8" w14:textId="77777777" w:rsidR="0010356B" w:rsidRPr="00821973" w:rsidRDefault="0010356B" w:rsidP="00A8693E">
      <w:pPr>
        <w:spacing w:after="0" w:line="276" w:lineRule="auto"/>
        <w:jc w:val="both"/>
        <w:rPr>
          <w:rFonts w:ascii="Times New Roman" w:hAnsi="Times New Roman"/>
        </w:rPr>
      </w:pPr>
      <w:r w:rsidRPr="00821973">
        <w:rPr>
          <w:rFonts w:ascii="Times New Roman" w:hAnsi="Times New Roman"/>
        </w:rPr>
        <w:t>Tabel</w:t>
      </w:r>
      <w:r>
        <w:rPr>
          <w:rFonts w:ascii="Times New Roman" w:hAnsi="Times New Roman"/>
        </w:rPr>
        <w:t xml:space="preserve"> </w:t>
      </w:r>
      <w:r w:rsidR="00CE3D43">
        <w:rPr>
          <w:rFonts w:ascii="Times New Roman" w:hAnsi="Times New Roman"/>
        </w:rPr>
        <w:t>8</w:t>
      </w:r>
      <w:r w:rsidRPr="00821973">
        <w:rPr>
          <w:rFonts w:ascii="Times New Roman" w:hAnsi="Times New Roman"/>
        </w:rPr>
        <w:t xml:space="preserve">: Udvikling i </w:t>
      </w:r>
      <w:r>
        <w:rPr>
          <w:rFonts w:ascii="Times New Roman" w:hAnsi="Times New Roman"/>
        </w:rPr>
        <w:t>indhandlings</w:t>
      </w:r>
      <w:r w:rsidRPr="00821973">
        <w:rPr>
          <w:rFonts w:ascii="Times New Roman" w:hAnsi="Times New Roman"/>
        </w:rPr>
        <w:t xml:space="preserve">mængder af </w:t>
      </w:r>
      <w:r>
        <w:rPr>
          <w:rFonts w:ascii="Times New Roman" w:hAnsi="Times New Roman"/>
        </w:rPr>
        <w:t>havgående torsk (inkl. forsøgsfiskeri) i tons,</w:t>
      </w:r>
      <w:r w:rsidRPr="00821973">
        <w:rPr>
          <w:rFonts w:ascii="Times New Roman" w:hAnsi="Times New Roman"/>
        </w:rPr>
        <w:t xml:space="preserve"> 2012-2020.</w:t>
      </w:r>
    </w:p>
    <w:tbl>
      <w:tblPr>
        <w:tblW w:w="9625" w:type="dxa"/>
        <w:tblInd w:w="-5" w:type="dxa"/>
        <w:tblCellMar>
          <w:left w:w="70" w:type="dxa"/>
          <w:right w:w="70" w:type="dxa"/>
        </w:tblCellMar>
        <w:tblLook w:val="04A0" w:firstRow="1" w:lastRow="0" w:firstColumn="1" w:lastColumn="0" w:noHBand="0" w:noVBand="1"/>
      </w:tblPr>
      <w:tblGrid>
        <w:gridCol w:w="1498"/>
        <w:gridCol w:w="903"/>
        <w:gridCol w:w="903"/>
        <w:gridCol w:w="903"/>
        <w:gridCol w:w="903"/>
        <w:gridCol w:w="903"/>
        <w:gridCol w:w="903"/>
        <w:gridCol w:w="903"/>
        <w:gridCol w:w="903"/>
        <w:gridCol w:w="903"/>
      </w:tblGrid>
      <w:tr w:rsidR="0010356B" w:rsidRPr="0010356B" w14:paraId="0D8C65D1" w14:textId="77777777" w:rsidTr="0010356B">
        <w:trPr>
          <w:trHeight w:val="352"/>
        </w:trPr>
        <w:tc>
          <w:tcPr>
            <w:tcW w:w="1498" w:type="dxa"/>
            <w:tcBorders>
              <w:top w:val="single" w:sz="4" w:space="0" w:color="auto"/>
              <w:left w:val="single" w:sz="4" w:space="0" w:color="auto"/>
              <w:bottom w:val="nil"/>
              <w:right w:val="nil"/>
            </w:tcBorders>
            <w:shd w:val="clear" w:color="000000" w:fill="FFFFFF"/>
            <w:noWrap/>
            <w:vAlign w:val="bottom"/>
            <w:hideMark/>
          </w:tcPr>
          <w:p w14:paraId="7CDA2AF5"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58AF03FF"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4D392561"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245BC89E"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702C08B9"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64578B4E"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0D8810F9"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37FFC792"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nil"/>
              <w:bottom w:val="nil"/>
              <w:right w:val="nil"/>
            </w:tcBorders>
            <w:shd w:val="clear" w:color="000000" w:fill="FFFFFF"/>
            <w:noWrap/>
            <w:vAlign w:val="bottom"/>
            <w:hideMark/>
          </w:tcPr>
          <w:p w14:paraId="6A97FED5"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14:paraId="64182691" w14:textId="77777777" w:rsidR="0010356B" w:rsidRPr="0010356B" w:rsidRDefault="0010356B" w:rsidP="00A8693E">
            <w:pPr>
              <w:spacing w:after="0" w:line="276" w:lineRule="auto"/>
              <w:rPr>
                <w:rFonts w:ascii="Times New Roman" w:eastAsia="Times New Roman" w:hAnsi="Times New Roman" w:cs="Times New Roman"/>
                <w:color w:val="000000"/>
                <w:lang w:eastAsia="da-DK"/>
              </w:rPr>
            </w:pPr>
            <w:r w:rsidRPr="0010356B">
              <w:rPr>
                <w:rFonts w:ascii="Times New Roman" w:eastAsia="Times New Roman" w:hAnsi="Times New Roman" w:cs="Times New Roman"/>
                <w:color w:val="000000"/>
                <w:lang w:eastAsia="da-DK"/>
              </w:rPr>
              <w:t> </w:t>
            </w:r>
          </w:p>
        </w:tc>
      </w:tr>
      <w:tr w:rsidR="0010356B" w:rsidRPr="0010356B" w14:paraId="2E6A6DC2" w14:textId="77777777" w:rsidTr="0010356B">
        <w:trPr>
          <w:trHeight w:val="352"/>
        </w:trPr>
        <w:tc>
          <w:tcPr>
            <w:tcW w:w="1498" w:type="dxa"/>
            <w:tcBorders>
              <w:top w:val="nil"/>
              <w:left w:val="single" w:sz="4" w:space="0" w:color="auto"/>
              <w:bottom w:val="single" w:sz="4" w:space="0" w:color="auto"/>
              <w:right w:val="nil"/>
            </w:tcBorders>
            <w:shd w:val="clear" w:color="000000" w:fill="FFFFFF"/>
            <w:noWrap/>
            <w:vAlign w:val="bottom"/>
            <w:hideMark/>
          </w:tcPr>
          <w:p w14:paraId="5E2AADEF"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By / Tons</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265F8DB5"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2012</w:t>
            </w:r>
          </w:p>
        </w:tc>
        <w:tc>
          <w:tcPr>
            <w:tcW w:w="903" w:type="dxa"/>
            <w:tcBorders>
              <w:top w:val="nil"/>
              <w:left w:val="nil"/>
              <w:bottom w:val="single" w:sz="4" w:space="0" w:color="auto"/>
              <w:right w:val="nil"/>
            </w:tcBorders>
            <w:shd w:val="clear" w:color="000000" w:fill="FFFFFF"/>
            <w:noWrap/>
            <w:vAlign w:val="bottom"/>
            <w:hideMark/>
          </w:tcPr>
          <w:p w14:paraId="3ACC111A"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2013</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41B8DCB3"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2014</w:t>
            </w:r>
          </w:p>
        </w:tc>
        <w:tc>
          <w:tcPr>
            <w:tcW w:w="903" w:type="dxa"/>
            <w:tcBorders>
              <w:top w:val="nil"/>
              <w:left w:val="nil"/>
              <w:bottom w:val="single" w:sz="4" w:space="0" w:color="auto"/>
              <w:right w:val="nil"/>
            </w:tcBorders>
            <w:shd w:val="clear" w:color="000000" w:fill="FFFFFF"/>
            <w:noWrap/>
            <w:vAlign w:val="bottom"/>
            <w:hideMark/>
          </w:tcPr>
          <w:p w14:paraId="6BF79917"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2015</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14B8EDEF"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2016</w:t>
            </w:r>
          </w:p>
        </w:tc>
        <w:tc>
          <w:tcPr>
            <w:tcW w:w="903" w:type="dxa"/>
            <w:tcBorders>
              <w:top w:val="nil"/>
              <w:left w:val="nil"/>
              <w:bottom w:val="single" w:sz="4" w:space="0" w:color="auto"/>
              <w:right w:val="nil"/>
            </w:tcBorders>
            <w:shd w:val="clear" w:color="000000" w:fill="FFFFFF"/>
            <w:noWrap/>
            <w:vAlign w:val="bottom"/>
            <w:hideMark/>
          </w:tcPr>
          <w:p w14:paraId="158CB6EE"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2017</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5252786A"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2018</w:t>
            </w:r>
          </w:p>
        </w:tc>
        <w:tc>
          <w:tcPr>
            <w:tcW w:w="903" w:type="dxa"/>
            <w:tcBorders>
              <w:top w:val="nil"/>
              <w:left w:val="nil"/>
              <w:bottom w:val="single" w:sz="4" w:space="0" w:color="auto"/>
              <w:right w:val="nil"/>
            </w:tcBorders>
            <w:shd w:val="clear" w:color="000000" w:fill="FFFFFF"/>
            <w:noWrap/>
            <w:vAlign w:val="bottom"/>
            <w:hideMark/>
          </w:tcPr>
          <w:p w14:paraId="40E25DF0"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2019</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14:paraId="473A9B73"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2020</w:t>
            </w:r>
          </w:p>
        </w:tc>
      </w:tr>
      <w:tr w:rsidR="0010356B" w:rsidRPr="0010356B" w14:paraId="2969A078"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4401834B"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proofErr w:type="spellStart"/>
            <w:r w:rsidRPr="00046707">
              <w:rPr>
                <w:rFonts w:ascii="Times New Roman" w:eastAsia="Times New Roman" w:hAnsi="Times New Roman" w:cs="Times New Roman"/>
                <w:color w:val="000000"/>
                <w:sz w:val="20"/>
                <w:szCs w:val="20"/>
                <w:lang w:eastAsia="da-DK"/>
              </w:rPr>
              <w:t>Alluitsup</w:t>
            </w:r>
            <w:proofErr w:type="spellEnd"/>
            <w:r w:rsidRPr="00046707">
              <w:rPr>
                <w:rFonts w:ascii="Times New Roman" w:eastAsia="Times New Roman" w:hAnsi="Times New Roman" w:cs="Times New Roman"/>
                <w:color w:val="000000"/>
                <w:sz w:val="20"/>
                <w:szCs w:val="20"/>
                <w:lang w:eastAsia="da-DK"/>
              </w:rPr>
              <w:t xml:space="preserve"> </w:t>
            </w:r>
            <w:proofErr w:type="spellStart"/>
            <w:r w:rsidRPr="00046707">
              <w:rPr>
                <w:rFonts w:ascii="Times New Roman" w:eastAsia="Times New Roman" w:hAnsi="Times New Roman" w:cs="Times New Roman"/>
                <w:color w:val="000000"/>
                <w:sz w:val="20"/>
                <w:szCs w:val="20"/>
                <w:lang w:eastAsia="da-DK"/>
              </w:rPr>
              <w:t>Paa</w:t>
            </w:r>
            <w:proofErr w:type="spellEnd"/>
          </w:p>
        </w:tc>
        <w:tc>
          <w:tcPr>
            <w:tcW w:w="903" w:type="dxa"/>
            <w:tcBorders>
              <w:top w:val="nil"/>
              <w:left w:val="nil"/>
              <w:bottom w:val="single" w:sz="4" w:space="0" w:color="auto"/>
              <w:right w:val="single" w:sz="4" w:space="0" w:color="auto"/>
            </w:tcBorders>
            <w:shd w:val="clear" w:color="000000" w:fill="FFFFFF"/>
            <w:noWrap/>
            <w:vAlign w:val="bottom"/>
          </w:tcPr>
          <w:p w14:paraId="0916A998"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4574DB6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F12A8B5"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173</w:t>
            </w:r>
          </w:p>
        </w:tc>
        <w:tc>
          <w:tcPr>
            <w:tcW w:w="903" w:type="dxa"/>
            <w:tcBorders>
              <w:top w:val="nil"/>
              <w:left w:val="nil"/>
              <w:bottom w:val="single" w:sz="4" w:space="0" w:color="auto"/>
              <w:right w:val="single" w:sz="4" w:space="0" w:color="auto"/>
            </w:tcBorders>
            <w:shd w:val="clear" w:color="000000" w:fill="FFFFFF"/>
            <w:noWrap/>
            <w:vAlign w:val="bottom"/>
          </w:tcPr>
          <w:p w14:paraId="79DF05D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684</w:t>
            </w:r>
          </w:p>
        </w:tc>
        <w:tc>
          <w:tcPr>
            <w:tcW w:w="903" w:type="dxa"/>
            <w:tcBorders>
              <w:top w:val="nil"/>
              <w:left w:val="nil"/>
              <w:bottom w:val="single" w:sz="4" w:space="0" w:color="auto"/>
              <w:right w:val="single" w:sz="4" w:space="0" w:color="auto"/>
            </w:tcBorders>
            <w:shd w:val="clear" w:color="000000" w:fill="FFFFFF"/>
            <w:noWrap/>
            <w:vAlign w:val="bottom"/>
          </w:tcPr>
          <w:p w14:paraId="7BF0CE84"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145</w:t>
            </w:r>
          </w:p>
        </w:tc>
        <w:tc>
          <w:tcPr>
            <w:tcW w:w="903" w:type="dxa"/>
            <w:tcBorders>
              <w:top w:val="nil"/>
              <w:left w:val="nil"/>
              <w:bottom w:val="single" w:sz="4" w:space="0" w:color="auto"/>
              <w:right w:val="single" w:sz="4" w:space="0" w:color="auto"/>
            </w:tcBorders>
            <w:shd w:val="clear" w:color="000000" w:fill="FFFFFF"/>
            <w:noWrap/>
            <w:vAlign w:val="bottom"/>
          </w:tcPr>
          <w:p w14:paraId="602F990F"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1D0FBF13"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00220197"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33A3AE7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r>
      <w:tr w:rsidR="0010356B" w:rsidRPr="0010356B" w14:paraId="4FF694C5"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543DE027"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046707">
              <w:rPr>
                <w:rFonts w:ascii="Times New Roman" w:eastAsia="Times New Roman" w:hAnsi="Times New Roman" w:cs="Times New Roman"/>
                <w:color w:val="000000"/>
                <w:sz w:val="20"/>
                <w:szCs w:val="20"/>
                <w:lang w:eastAsia="da-DK"/>
              </w:rPr>
              <w:t>Maniitsoq</w:t>
            </w:r>
          </w:p>
        </w:tc>
        <w:tc>
          <w:tcPr>
            <w:tcW w:w="903" w:type="dxa"/>
            <w:tcBorders>
              <w:top w:val="nil"/>
              <w:left w:val="nil"/>
              <w:bottom w:val="single" w:sz="4" w:space="0" w:color="auto"/>
              <w:right w:val="single" w:sz="4" w:space="0" w:color="auto"/>
            </w:tcBorders>
            <w:shd w:val="clear" w:color="000000" w:fill="FFFFFF"/>
            <w:noWrap/>
            <w:vAlign w:val="bottom"/>
          </w:tcPr>
          <w:p w14:paraId="64CD19B9"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B60BB14"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38F5C52F"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479A6A86"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217</w:t>
            </w:r>
          </w:p>
        </w:tc>
        <w:tc>
          <w:tcPr>
            <w:tcW w:w="903" w:type="dxa"/>
            <w:tcBorders>
              <w:top w:val="nil"/>
              <w:left w:val="nil"/>
              <w:bottom w:val="single" w:sz="4" w:space="0" w:color="auto"/>
              <w:right w:val="single" w:sz="4" w:space="0" w:color="auto"/>
            </w:tcBorders>
            <w:shd w:val="clear" w:color="000000" w:fill="FFFFFF"/>
            <w:noWrap/>
            <w:vAlign w:val="bottom"/>
          </w:tcPr>
          <w:p w14:paraId="09F57757"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8F00439"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1ADEBA5A"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191</w:t>
            </w:r>
          </w:p>
        </w:tc>
        <w:tc>
          <w:tcPr>
            <w:tcW w:w="903" w:type="dxa"/>
            <w:tcBorders>
              <w:top w:val="nil"/>
              <w:left w:val="nil"/>
              <w:bottom w:val="single" w:sz="4" w:space="0" w:color="auto"/>
              <w:right w:val="single" w:sz="4" w:space="0" w:color="auto"/>
            </w:tcBorders>
            <w:shd w:val="clear" w:color="000000" w:fill="FFFFFF"/>
            <w:noWrap/>
            <w:vAlign w:val="bottom"/>
          </w:tcPr>
          <w:p w14:paraId="6D9FD8A6"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218</w:t>
            </w:r>
          </w:p>
        </w:tc>
        <w:tc>
          <w:tcPr>
            <w:tcW w:w="903" w:type="dxa"/>
            <w:tcBorders>
              <w:top w:val="nil"/>
              <w:left w:val="nil"/>
              <w:bottom w:val="single" w:sz="4" w:space="0" w:color="auto"/>
              <w:right w:val="single" w:sz="4" w:space="0" w:color="auto"/>
            </w:tcBorders>
            <w:shd w:val="clear" w:color="000000" w:fill="FFFFFF"/>
            <w:noWrap/>
            <w:vAlign w:val="bottom"/>
          </w:tcPr>
          <w:p w14:paraId="28473CD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r>
      <w:tr w:rsidR="0010356B" w:rsidRPr="0010356B" w14:paraId="3BF9355A"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41B6230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046707">
              <w:rPr>
                <w:rFonts w:ascii="Times New Roman" w:eastAsia="Times New Roman" w:hAnsi="Times New Roman" w:cs="Times New Roman"/>
                <w:color w:val="000000"/>
                <w:sz w:val="20"/>
                <w:szCs w:val="20"/>
                <w:lang w:eastAsia="da-DK"/>
              </w:rPr>
              <w:t>Nanortalik</w:t>
            </w:r>
          </w:p>
        </w:tc>
        <w:tc>
          <w:tcPr>
            <w:tcW w:w="903" w:type="dxa"/>
            <w:tcBorders>
              <w:top w:val="nil"/>
              <w:left w:val="nil"/>
              <w:bottom w:val="single" w:sz="4" w:space="0" w:color="auto"/>
              <w:right w:val="single" w:sz="4" w:space="0" w:color="auto"/>
            </w:tcBorders>
            <w:shd w:val="clear" w:color="000000" w:fill="FFFFFF"/>
            <w:noWrap/>
            <w:vAlign w:val="bottom"/>
          </w:tcPr>
          <w:p w14:paraId="036ABF1B"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593</w:t>
            </w:r>
          </w:p>
        </w:tc>
        <w:tc>
          <w:tcPr>
            <w:tcW w:w="903" w:type="dxa"/>
            <w:tcBorders>
              <w:top w:val="nil"/>
              <w:left w:val="nil"/>
              <w:bottom w:val="single" w:sz="4" w:space="0" w:color="auto"/>
              <w:right w:val="single" w:sz="4" w:space="0" w:color="auto"/>
            </w:tcBorders>
            <w:shd w:val="clear" w:color="000000" w:fill="FFFFFF"/>
            <w:noWrap/>
            <w:vAlign w:val="bottom"/>
          </w:tcPr>
          <w:p w14:paraId="31321014"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1.058</w:t>
            </w:r>
          </w:p>
        </w:tc>
        <w:tc>
          <w:tcPr>
            <w:tcW w:w="903" w:type="dxa"/>
            <w:tcBorders>
              <w:top w:val="nil"/>
              <w:left w:val="nil"/>
              <w:bottom w:val="single" w:sz="4" w:space="0" w:color="auto"/>
              <w:right w:val="single" w:sz="4" w:space="0" w:color="auto"/>
            </w:tcBorders>
            <w:shd w:val="clear" w:color="000000" w:fill="FFFFFF"/>
            <w:noWrap/>
            <w:vAlign w:val="bottom"/>
          </w:tcPr>
          <w:p w14:paraId="689F9B9E"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1.171</w:t>
            </w:r>
          </w:p>
        </w:tc>
        <w:tc>
          <w:tcPr>
            <w:tcW w:w="903" w:type="dxa"/>
            <w:tcBorders>
              <w:top w:val="nil"/>
              <w:left w:val="nil"/>
              <w:bottom w:val="single" w:sz="4" w:space="0" w:color="auto"/>
              <w:right w:val="single" w:sz="4" w:space="0" w:color="auto"/>
            </w:tcBorders>
            <w:shd w:val="clear" w:color="000000" w:fill="FFFFFF"/>
            <w:noWrap/>
            <w:vAlign w:val="bottom"/>
          </w:tcPr>
          <w:p w14:paraId="4E21D9C2"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2.665</w:t>
            </w:r>
          </w:p>
        </w:tc>
        <w:tc>
          <w:tcPr>
            <w:tcW w:w="903" w:type="dxa"/>
            <w:tcBorders>
              <w:top w:val="nil"/>
              <w:left w:val="nil"/>
              <w:bottom w:val="single" w:sz="4" w:space="0" w:color="auto"/>
              <w:right w:val="single" w:sz="4" w:space="0" w:color="auto"/>
            </w:tcBorders>
            <w:shd w:val="clear" w:color="000000" w:fill="FFFFFF"/>
            <w:noWrap/>
            <w:vAlign w:val="bottom"/>
          </w:tcPr>
          <w:p w14:paraId="03ABCDC2"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2.934</w:t>
            </w:r>
          </w:p>
        </w:tc>
        <w:tc>
          <w:tcPr>
            <w:tcW w:w="903" w:type="dxa"/>
            <w:tcBorders>
              <w:top w:val="nil"/>
              <w:left w:val="nil"/>
              <w:bottom w:val="single" w:sz="4" w:space="0" w:color="auto"/>
              <w:right w:val="single" w:sz="4" w:space="0" w:color="auto"/>
            </w:tcBorders>
            <w:shd w:val="clear" w:color="000000" w:fill="FFFFFF"/>
            <w:noWrap/>
            <w:vAlign w:val="bottom"/>
          </w:tcPr>
          <w:p w14:paraId="71013CA0"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1.954</w:t>
            </w:r>
          </w:p>
        </w:tc>
        <w:tc>
          <w:tcPr>
            <w:tcW w:w="903" w:type="dxa"/>
            <w:tcBorders>
              <w:top w:val="nil"/>
              <w:left w:val="nil"/>
              <w:bottom w:val="single" w:sz="4" w:space="0" w:color="auto"/>
              <w:right w:val="single" w:sz="4" w:space="0" w:color="auto"/>
            </w:tcBorders>
            <w:shd w:val="clear" w:color="000000" w:fill="FFFFFF"/>
            <w:noWrap/>
            <w:vAlign w:val="bottom"/>
          </w:tcPr>
          <w:p w14:paraId="577FCC52"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1.794</w:t>
            </w:r>
          </w:p>
        </w:tc>
        <w:tc>
          <w:tcPr>
            <w:tcW w:w="903" w:type="dxa"/>
            <w:tcBorders>
              <w:top w:val="nil"/>
              <w:left w:val="nil"/>
              <w:bottom w:val="single" w:sz="4" w:space="0" w:color="auto"/>
              <w:right w:val="single" w:sz="4" w:space="0" w:color="auto"/>
            </w:tcBorders>
            <w:shd w:val="clear" w:color="000000" w:fill="FFFFFF"/>
            <w:noWrap/>
            <w:vAlign w:val="bottom"/>
          </w:tcPr>
          <w:p w14:paraId="5CCE4BEA"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3.356</w:t>
            </w:r>
          </w:p>
        </w:tc>
        <w:tc>
          <w:tcPr>
            <w:tcW w:w="903" w:type="dxa"/>
            <w:tcBorders>
              <w:top w:val="nil"/>
              <w:left w:val="nil"/>
              <w:bottom w:val="single" w:sz="4" w:space="0" w:color="auto"/>
              <w:right w:val="single" w:sz="4" w:space="0" w:color="auto"/>
            </w:tcBorders>
            <w:shd w:val="clear" w:color="000000" w:fill="FFFFFF"/>
            <w:noWrap/>
            <w:vAlign w:val="bottom"/>
          </w:tcPr>
          <w:p w14:paraId="71433FF3"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698</w:t>
            </w:r>
          </w:p>
        </w:tc>
      </w:tr>
      <w:tr w:rsidR="0010356B" w:rsidRPr="0010356B" w14:paraId="1B83C067"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6280A312"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proofErr w:type="spellStart"/>
            <w:r w:rsidRPr="00046707">
              <w:rPr>
                <w:rFonts w:ascii="Times New Roman" w:eastAsia="Times New Roman" w:hAnsi="Times New Roman" w:cs="Times New Roman"/>
                <w:color w:val="000000"/>
                <w:sz w:val="20"/>
                <w:szCs w:val="20"/>
                <w:lang w:eastAsia="da-DK"/>
              </w:rPr>
              <w:t>Narsaq</w:t>
            </w:r>
            <w:proofErr w:type="spellEnd"/>
          </w:p>
        </w:tc>
        <w:tc>
          <w:tcPr>
            <w:tcW w:w="903" w:type="dxa"/>
            <w:tcBorders>
              <w:top w:val="nil"/>
              <w:left w:val="nil"/>
              <w:bottom w:val="single" w:sz="4" w:space="0" w:color="auto"/>
              <w:right w:val="single" w:sz="4" w:space="0" w:color="auto"/>
            </w:tcBorders>
            <w:shd w:val="clear" w:color="000000" w:fill="FFFFFF"/>
            <w:noWrap/>
            <w:vAlign w:val="bottom"/>
          </w:tcPr>
          <w:p w14:paraId="7BFCE086"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F3E5F9B"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06E67895"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80</w:t>
            </w:r>
          </w:p>
        </w:tc>
        <w:tc>
          <w:tcPr>
            <w:tcW w:w="903" w:type="dxa"/>
            <w:tcBorders>
              <w:top w:val="nil"/>
              <w:left w:val="nil"/>
              <w:bottom w:val="single" w:sz="4" w:space="0" w:color="auto"/>
              <w:right w:val="single" w:sz="4" w:space="0" w:color="auto"/>
            </w:tcBorders>
            <w:shd w:val="clear" w:color="000000" w:fill="FFFFFF"/>
            <w:noWrap/>
            <w:vAlign w:val="bottom"/>
          </w:tcPr>
          <w:p w14:paraId="52AC933E"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533</w:t>
            </w:r>
          </w:p>
        </w:tc>
        <w:tc>
          <w:tcPr>
            <w:tcW w:w="903" w:type="dxa"/>
            <w:tcBorders>
              <w:top w:val="nil"/>
              <w:left w:val="nil"/>
              <w:bottom w:val="single" w:sz="4" w:space="0" w:color="auto"/>
              <w:right w:val="single" w:sz="4" w:space="0" w:color="auto"/>
            </w:tcBorders>
            <w:shd w:val="clear" w:color="000000" w:fill="FFFFFF"/>
            <w:noWrap/>
            <w:vAlign w:val="bottom"/>
          </w:tcPr>
          <w:p w14:paraId="41998452"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30</w:t>
            </w:r>
          </w:p>
        </w:tc>
        <w:tc>
          <w:tcPr>
            <w:tcW w:w="903" w:type="dxa"/>
            <w:tcBorders>
              <w:top w:val="nil"/>
              <w:left w:val="nil"/>
              <w:bottom w:val="single" w:sz="4" w:space="0" w:color="auto"/>
              <w:right w:val="single" w:sz="4" w:space="0" w:color="auto"/>
            </w:tcBorders>
            <w:shd w:val="clear" w:color="000000" w:fill="FFFFFF"/>
            <w:noWrap/>
            <w:vAlign w:val="bottom"/>
          </w:tcPr>
          <w:p w14:paraId="39760C9D"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00CEC02D"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145</w:t>
            </w:r>
          </w:p>
        </w:tc>
        <w:tc>
          <w:tcPr>
            <w:tcW w:w="903" w:type="dxa"/>
            <w:tcBorders>
              <w:top w:val="nil"/>
              <w:left w:val="nil"/>
              <w:bottom w:val="single" w:sz="4" w:space="0" w:color="auto"/>
              <w:right w:val="single" w:sz="4" w:space="0" w:color="auto"/>
            </w:tcBorders>
            <w:shd w:val="clear" w:color="000000" w:fill="FFFFFF"/>
            <w:noWrap/>
            <w:vAlign w:val="bottom"/>
          </w:tcPr>
          <w:p w14:paraId="16AF295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58D26BF0"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r>
      <w:tr w:rsidR="0010356B" w:rsidRPr="0010356B" w14:paraId="113A9E94"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2878E1EC"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046707">
              <w:rPr>
                <w:rFonts w:ascii="Times New Roman" w:eastAsia="Times New Roman" w:hAnsi="Times New Roman" w:cs="Times New Roman"/>
                <w:color w:val="000000"/>
                <w:sz w:val="20"/>
                <w:szCs w:val="20"/>
                <w:lang w:eastAsia="da-DK"/>
              </w:rPr>
              <w:t>Nuuk</w:t>
            </w:r>
          </w:p>
        </w:tc>
        <w:tc>
          <w:tcPr>
            <w:tcW w:w="903" w:type="dxa"/>
            <w:tcBorders>
              <w:top w:val="nil"/>
              <w:left w:val="nil"/>
              <w:bottom w:val="single" w:sz="4" w:space="0" w:color="auto"/>
              <w:right w:val="single" w:sz="4" w:space="0" w:color="auto"/>
            </w:tcBorders>
            <w:shd w:val="clear" w:color="000000" w:fill="FFFFFF"/>
            <w:noWrap/>
            <w:vAlign w:val="bottom"/>
          </w:tcPr>
          <w:p w14:paraId="407FDE8B"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0489631A"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5AB7F70"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3F44BED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385</w:t>
            </w:r>
          </w:p>
        </w:tc>
        <w:tc>
          <w:tcPr>
            <w:tcW w:w="903" w:type="dxa"/>
            <w:tcBorders>
              <w:top w:val="nil"/>
              <w:left w:val="nil"/>
              <w:bottom w:val="single" w:sz="4" w:space="0" w:color="auto"/>
              <w:right w:val="single" w:sz="4" w:space="0" w:color="auto"/>
            </w:tcBorders>
            <w:shd w:val="clear" w:color="000000" w:fill="FFFFFF"/>
            <w:noWrap/>
            <w:vAlign w:val="bottom"/>
          </w:tcPr>
          <w:p w14:paraId="4B5AC939"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230</w:t>
            </w:r>
          </w:p>
        </w:tc>
        <w:tc>
          <w:tcPr>
            <w:tcW w:w="903" w:type="dxa"/>
            <w:tcBorders>
              <w:top w:val="nil"/>
              <w:left w:val="nil"/>
              <w:bottom w:val="single" w:sz="4" w:space="0" w:color="auto"/>
              <w:right w:val="single" w:sz="4" w:space="0" w:color="auto"/>
            </w:tcBorders>
            <w:shd w:val="clear" w:color="000000" w:fill="FFFFFF"/>
            <w:noWrap/>
            <w:vAlign w:val="bottom"/>
          </w:tcPr>
          <w:p w14:paraId="74E67E99"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34</w:t>
            </w:r>
          </w:p>
        </w:tc>
        <w:tc>
          <w:tcPr>
            <w:tcW w:w="903" w:type="dxa"/>
            <w:tcBorders>
              <w:top w:val="nil"/>
              <w:left w:val="nil"/>
              <w:bottom w:val="single" w:sz="4" w:space="0" w:color="auto"/>
              <w:right w:val="single" w:sz="4" w:space="0" w:color="auto"/>
            </w:tcBorders>
            <w:shd w:val="clear" w:color="000000" w:fill="FFFFFF"/>
            <w:noWrap/>
            <w:vAlign w:val="bottom"/>
          </w:tcPr>
          <w:p w14:paraId="4993AD31"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246</w:t>
            </w:r>
          </w:p>
        </w:tc>
        <w:tc>
          <w:tcPr>
            <w:tcW w:w="903" w:type="dxa"/>
            <w:tcBorders>
              <w:top w:val="nil"/>
              <w:left w:val="nil"/>
              <w:bottom w:val="single" w:sz="4" w:space="0" w:color="auto"/>
              <w:right w:val="single" w:sz="4" w:space="0" w:color="auto"/>
            </w:tcBorders>
            <w:shd w:val="clear" w:color="000000" w:fill="FFFFFF"/>
            <w:noWrap/>
            <w:vAlign w:val="bottom"/>
          </w:tcPr>
          <w:p w14:paraId="41680326"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4E4D942F"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r>
      <w:tr w:rsidR="0010356B" w:rsidRPr="0010356B" w14:paraId="4C33A563"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10E23C88"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046707">
              <w:rPr>
                <w:rFonts w:ascii="Times New Roman" w:eastAsia="Times New Roman" w:hAnsi="Times New Roman" w:cs="Times New Roman"/>
                <w:color w:val="000000"/>
                <w:sz w:val="20"/>
                <w:szCs w:val="20"/>
                <w:lang w:eastAsia="da-DK"/>
              </w:rPr>
              <w:t>Paamiut</w:t>
            </w:r>
          </w:p>
        </w:tc>
        <w:tc>
          <w:tcPr>
            <w:tcW w:w="903" w:type="dxa"/>
            <w:tcBorders>
              <w:top w:val="nil"/>
              <w:left w:val="nil"/>
              <w:bottom w:val="single" w:sz="4" w:space="0" w:color="auto"/>
              <w:right w:val="single" w:sz="4" w:space="0" w:color="auto"/>
            </w:tcBorders>
            <w:shd w:val="clear" w:color="000000" w:fill="FFFFFF"/>
            <w:noWrap/>
            <w:vAlign w:val="bottom"/>
          </w:tcPr>
          <w:p w14:paraId="5238D9B0"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6A041C30"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3ABA42D1"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43</w:t>
            </w:r>
          </w:p>
        </w:tc>
        <w:tc>
          <w:tcPr>
            <w:tcW w:w="903" w:type="dxa"/>
            <w:tcBorders>
              <w:top w:val="nil"/>
              <w:left w:val="nil"/>
              <w:bottom w:val="single" w:sz="4" w:space="0" w:color="auto"/>
              <w:right w:val="single" w:sz="4" w:space="0" w:color="auto"/>
            </w:tcBorders>
            <w:shd w:val="clear" w:color="000000" w:fill="FFFFFF"/>
            <w:noWrap/>
            <w:vAlign w:val="bottom"/>
          </w:tcPr>
          <w:p w14:paraId="16A21C8D"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1.772</w:t>
            </w:r>
          </w:p>
        </w:tc>
        <w:tc>
          <w:tcPr>
            <w:tcW w:w="903" w:type="dxa"/>
            <w:tcBorders>
              <w:top w:val="nil"/>
              <w:left w:val="nil"/>
              <w:bottom w:val="single" w:sz="4" w:space="0" w:color="auto"/>
              <w:right w:val="single" w:sz="4" w:space="0" w:color="auto"/>
            </w:tcBorders>
            <w:shd w:val="clear" w:color="000000" w:fill="FFFFFF"/>
            <w:noWrap/>
            <w:vAlign w:val="bottom"/>
          </w:tcPr>
          <w:p w14:paraId="642E11C8"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1.020</w:t>
            </w:r>
          </w:p>
        </w:tc>
        <w:tc>
          <w:tcPr>
            <w:tcW w:w="903" w:type="dxa"/>
            <w:tcBorders>
              <w:top w:val="nil"/>
              <w:left w:val="nil"/>
              <w:bottom w:val="single" w:sz="4" w:space="0" w:color="auto"/>
              <w:right w:val="single" w:sz="4" w:space="0" w:color="auto"/>
            </w:tcBorders>
            <w:shd w:val="clear" w:color="000000" w:fill="FFFFFF"/>
            <w:noWrap/>
            <w:vAlign w:val="bottom"/>
          </w:tcPr>
          <w:p w14:paraId="566D0736"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786</w:t>
            </w:r>
          </w:p>
        </w:tc>
        <w:tc>
          <w:tcPr>
            <w:tcW w:w="903" w:type="dxa"/>
            <w:tcBorders>
              <w:top w:val="nil"/>
              <w:left w:val="nil"/>
              <w:bottom w:val="single" w:sz="4" w:space="0" w:color="auto"/>
              <w:right w:val="single" w:sz="4" w:space="0" w:color="auto"/>
            </w:tcBorders>
            <w:shd w:val="clear" w:color="000000" w:fill="FFFFFF"/>
            <w:noWrap/>
            <w:vAlign w:val="bottom"/>
          </w:tcPr>
          <w:p w14:paraId="2FBA8F7D"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629</w:t>
            </w:r>
          </w:p>
        </w:tc>
        <w:tc>
          <w:tcPr>
            <w:tcW w:w="903" w:type="dxa"/>
            <w:tcBorders>
              <w:top w:val="nil"/>
              <w:left w:val="nil"/>
              <w:bottom w:val="single" w:sz="4" w:space="0" w:color="auto"/>
              <w:right w:val="single" w:sz="4" w:space="0" w:color="auto"/>
            </w:tcBorders>
            <w:shd w:val="clear" w:color="000000" w:fill="FFFFFF"/>
            <w:noWrap/>
            <w:vAlign w:val="bottom"/>
          </w:tcPr>
          <w:p w14:paraId="231F8554"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w:t>
            </w:r>
          </w:p>
        </w:tc>
        <w:tc>
          <w:tcPr>
            <w:tcW w:w="903" w:type="dxa"/>
            <w:tcBorders>
              <w:top w:val="nil"/>
              <w:left w:val="nil"/>
              <w:bottom w:val="single" w:sz="4" w:space="0" w:color="auto"/>
              <w:right w:val="single" w:sz="4" w:space="0" w:color="auto"/>
            </w:tcBorders>
            <w:shd w:val="clear" w:color="000000" w:fill="FFFFFF"/>
            <w:noWrap/>
            <w:vAlign w:val="bottom"/>
          </w:tcPr>
          <w:p w14:paraId="0B4AB5F8"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r>
      <w:tr w:rsidR="0010356B" w:rsidRPr="0010356B" w14:paraId="0E131C54"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745CACF0"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046707">
              <w:rPr>
                <w:rFonts w:ascii="Times New Roman" w:eastAsia="Times New Roman" w:hAnsi="Times New Roman" w:cs="Times New Roman"/>
                <w:color w:val="000000"/>
                <w:sz w:val="20"/>
                <w:szCs w:val="20"/>
                <w:lang w:eastAsia="da-DK"/>
              </w:rPr>
              <w:t>Qaqortoq</w:t>
            </w:r>
          </w:p>
        </w:tc>
        <w:tc>
          <w:tcPr>
            <w:tcW w:w="903" w:type="dxa"/>
            <w:tcBorders>
              <w:top w:val="nil"/>
              <w:left w:val="nil"/>
              <w:bottom w:val="single" w:sz="4" w:space="0" w:color="auto"/>
              <w:right w:val="single" w:sz="4" w:space="0" w:color="auto"/>
            </w:tcBorders>
            <w:shd w:val="clear" w:color="000000" w:fill="FFFFFF"/>
            <w:noWrap/>
            <w:vAlign w:val="bottom"/>
          </w:tcPr>
          <w:p w14:paraId="22637B8F"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5D87E6E7"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225</w:t>
            </w:r>
          </w:p>
        </w:tc>
        <w:tc>
          <w:tcPr>
            <w:tcW w:w="903" w:type="dxa"/>
            <w:tcBorders>
              <w:top w:val="nil"/>
              <w:left w:val="nil"/>
              <w:bottom w:val="single" w:sz="4" w:space="0" w:color="auto"/>
              <w:right w:val="single" w:sz="4" w:space="0" w:color="auto"/>
            </w:tcBorders>
            <w:shd w:val="clear" w:color="000000" w:fill="FFFFFF"/>
            <w:noWrap/>
            <w:vAlign w:val="bottom"/>
          </w:tcPr>
          <w:p w14:paraId="41B21079"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1.153</w:t>
            </w:r>
          </w:p>
        </w:tc>
        <w:tc>
          <w:tcPr>
            <w:tcW w:w="903" w:type="dxa"/>
            <w:tcBorders>
              <w:top w:val="nil"/>
              <w:left w:val="nil"/>
              <w:bottom w:val="single" w:sz="4" w:space="0" w:color="auto"/>
              <w:right w:val="single" w:sz="4" w:space="0" w:color="auto"/>
            </w:tcBorders>
            <w:shd w:val="clear" w:color="000000" w:fill="FFFFFF"/>
            <w:noWrap/>
            <w:vAlign w:val="bottom"/>
          </w:tcPr>
          <w:p w14:paraId="672EC2A7"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2.131</w:t>
            </w:r>
          </w:p>
        </w:tc>
        <w:tc>
          <w:tcPr>
            <w:tcW w:w="903" w:type="dxa"/>
            <w:tcBorders>
              <w:top w:val="nil"/>
              <w:left w:val="nil"/>
              <w:bottom w:val="single" w:sz="4" w:space="0" w:color="auto"/>
              <w:right w:val="single" w:sz="4" w:space="0" w:color="auto"/>
            </w:tcBorders>
            <w:shd w:val="clear" w:color="000000" w:fill="FFFFFF"/>
            <w:noWrap/>
            <w:vAlign w:val="bottom"/>
          </w:tcPr>
          <w:p w14:paraId="07EE7290"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1.459</w:t>
            </w:r>
          </w:p>
        </w:tc>
        <w:tc>
          <w:tcPr>
            <w:tcW w:w="903" w:type="dxa"/>
            <w:tcBorders>
              <w:top w:val="nil"/>
              <w:left w:val="nil"/>
              <w:bottom w:val="single" w:sz="4" w:space="0" w:color="auto"/>
              <w:right w:val="single" w:sz="4" w:space="0" w:color="auto"/>
            </w:tcBorders>
            <w:shd w:val="clear" w:color="000000" w:fill="FFFFFF"/>
            <w:noWrap/>
            <w:vAlign w:val="bottom"/>
          </w:tcPr>
          <w:p w14:paraId="61ADB562"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1.568</w:t>
            </w:r>
          </w:p>
        </w:tc>
        <w:tc>
          <w:tcPr>
            <w:tcW w:w="903" w:type="dxa"/>
            <w:tcBorders>
              <w:top w:val="nil"/>
              <w:left w:val="nil"/>
              <w:bottom w:val="single" w:sz="4" w:space="0" w:color="auto"/>
              <w:right w:val="single" w:sz="4" w:space="0" w:color="auto"/>
            </w:tcBorders>
            <w:shd w:val="clear" w:color="000000" w:fill="FFFFFF"/>
            <w:noWrap/>
            <w:vAlign w:val="bottom"/>
          </w:tcPr>
          <w:p w14:paraId="60145DD8"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1.609</w:t>
            </w:r>
          </w:p>
        </w:tc>
        <w:tc>
          <w:tcPr>
            <w:tcW w:w="903" w:type="dxa"/>
            <w:tcBorders>
              <w:top w:val="nil"/>
              <w:left w:val="nil"/>
              <w:bottom w:val="single" w:sz="4" w:space="0" w:color="auto"/>
              <w:right w:val="single" w:sz="4" w:space="0" w:color="auto"/>
            </w:tcBorders>
            <w:shd w:val="clear" w:color="000000" w:fill="FFFFFF"/>
            <w:noWrap/>
            <w:vAlign w:val="bottom"/>
          </w:tcPr>
          <w:p w14:paraId="0861213B"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886</w:t>
            </w:r>
          </w:p>
        </w:tc>
        <w:tc>
          <w:tcPr>
            <w:tcW w:w="903" w:type="dxa"/>
            <w:tcBorders>
              <w:top w:val="nil"/>
              <w:left w:val="nil"/>
              <w:bottom w:val="single" w:sz="4" w:space="0" w:color="auto"/>
              <w:right w:val="single" w:sz="4" w:space="0" w:color="auto"/>
            </w:tcBorders>
            <w:shd w:val="clear" w:color="000000" w:fill="FFFFFF"/>
            <w:noWrap/>
            <w:vAlign w:val="bottom"/>
          </w:tcPr>
          <w:p w14:paraId="11448E48"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536</w:t>
            </w:r>
          </w:p>
        </w:tc>
      </w:tr>
      <w:tr w:rsidR="0010356B" w:rsidRPr="0010356B" w14:paraId="08816892"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tcPr>
          <w:p w14:paraId="0E327086" w14:textId="77777777" w:rsidR="0010356B" w:rsidRPr="0010356B" w:rsidRDefault="0010356B" w:rsidP="00A8693E">
            <w:pPr>
              <w:spacing w:after="0" w:line="276" w:lineRule="auto"/>
              <w:rPr>
                <w:rFonts w:ascii="Times New Roman" w:eastAsia="Times New Roman" w:hAnsi="Times New Roman" w:cs="Times New Roman"/>
                <w:color w:val="000000"/>
                <w:sz w:val="20"/>
                <w:szCs w:val="20"/>
                <w:lang w:eastAsia="da-DK"/>
              </w:rPr>
            </w:pPr>
            <w:r w:rsidRPr="00046707">
              <w:rPr>
                <w:rFonts w:ascii="Times New Roman" w:eastAsia="Times New Roman" w:hAnsi="Times New Roman" w:cs="Times New Roman"/>
                <w:color w:val="000000"/>
                <w:sz w:val="20"/>
                <w:szCs w:val="20"/>
                <w:lang w:eastAsia="da-DK"/>
              </w:rPr>
              <w:t>Sisimiut</w:t>
            </w:r>
          </w:p>
        </w:tc>
        <w:tc>
          <w:tcPr>
            <w:tcW w:w="903" w:type="dxa"/>
            <w:tcBorders>
              <w:top w:val="nil"/>
              <w:left w:val="nil"/>
              <w:bottom w:val="single" w:sz="4" w:space="0" w:color="auto"/>
              <w:right w:val="single" w:sz="4" w:space="0" w:color="auto"/>
            </w:tcBorders>
            <w:shd w:val="clear" w:color="000000" w:fill="FFFFFF"/>
            <w:noWrap/>
            <w:vAlign w:val="bottom"/>
          </w:tcPr>
          <w:p w14:paraId="40138C63"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48FD8549"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40EF1AC2"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FE26B21"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132</w:t>
            </w:r>
          </w:p>
        </w:tc>
        <w:tc>
          <w:tcPr>
            <w:tcW w:w="903" w:type="dxa"/>
            <w:tcBorders>
              <w:top w:val="nil"/>
              <w:left w:val="nil"/>
              <w:bottom w:val="single" w:sz="4" w:space="0" w:color="auto"/>
              <w:right w:val="single" w:sz="4" w:space="0" w:color="auto"/>
            </w:tcBorders>
            <w:shd w:val="clear" w:color="000000" w:fill="FFFFFF"/>
            <w:noWrap/>
            <w:vAlign w:val="bottom"/>
          </w:tcPr>
          <w:p w14:paraId="1C34A4FC"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2AAA22C7"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5C04EDDB"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4425C1ED"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c>
          <w:tcPr>
            <w:tcW w:w="903" w:type="dxa"/>
            <w:tcBorders>
              <w:top w:val="nil"/>
              <w:left w:val="nil"/>
              <w:bottom w:val="single" w:sz="4" w:space="0" w:color="auto"/>
              <w:right w:val="single" w:sz="4" w:space="0" w:color="auto"/>
            </w:tcBorders>
            <w:shd w:val="clear" w:color="000000" w:fill="FFFFFF"/>
            <w:noWrap/>
            <w:vAlign w:val="bottom"/>
          </w:tcPr>
          <w:p w14:paraId="778D72FE" w14:textId="77777777" w:rsidR="0010356B" w:rsidRPr="0010356B" w:rsidRDefault="0010356B" w:rsidP="00A8693E">
            <w:pPr>
              <w:spacing w:after="0" w:line="276" w:lineRule="auto"/>
              <w:jc w:val="right"/>
              <w:rPr>
                <w:rFonts w:ascii="Times New Roman" w:eastAsia="Times New Roman" w:hAnsi="Times New Roman" w:cs="Times New Roman"/>
                <w:color w:val="000000"/>
                <w:sz w:val="20"/>
                <w:szCs w:val="20"/>
                <w:lang w:eastAsia="da-DK"/>
              </w:rPr>
            </w:pPr>
          </w:p>
        </w:tc>
      </w:tr>
      <w:tr w:rsidR="0010356B" w:rsidRPr="0010356B" w14:paraId="1FA1646F" w14:textId="77777777"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14:paraId="67956AE6" w14:textId="77777777" w:rsidR="0010356B" w:rsidRPr="0010356B" w:rsidRDefault="0010356B" w:rsidP="00A8693E">
            <w:pPr>
              <w:spacing w:after="0" w:line="276" w:lineRule="auto"/>
              <w:rPr>
                <w:rFonts w:ascii="Times New Roman" w:eastAsia="Times New Roman" w:hAnsi="Times New Roman" w:cs="Times New Roman"/>
                <w:b/>
                <w:bCs/>
                <w:color w:val="000000"/>
                <w:sz w:val="20"/>
                <w:szCs w:val="20"/>
                <w:lang w:eastAsia="da-DK"/>
              </w:rPr>
            </w:pPr>
            <w:r w:rsidRPr="0010356B">
              <w:rPr>
                <w:rFonts w:ascii="Times New Roman" w:eastAsia="Times New Roman" w:hAnsi="Times New Roman" w:cs="Times New Roman"/>
                <w:b/>
                <w:bCs/>
                <w:color w:val="000000"/>
                <w:sz w:val="20"/>
                <w:szCs w:val="20"/>
                <w:lang w:eastAsia="da-DK"/>
              </w:rPr>
              <w:t>I alt</w:t>
            </w:r>
          </w:p>
        </w:tc>
        <w:tc>
          <w:tcPr>
            <w:tcW w:w="903" w:type="dxa"/>
            <w:tcBorders>
              <w:top w:val="nil"/>
              <w:left w:val="nil"/>
              <w:bottom w:val="single" w:sz="4" w:space="0" w:color="auto"/>
              <w:right w:val="single" w:sz="4" w:space="0" w:color="auto"/>
            </w:tcBorders>
            <w:shd w:val="clear" w:color="000000" w:fill="FFFFFF"/>
            <w:noWrap/>
            <w:vAlign w:val="bottom"/>
          </w:tcPr>
          <w:p w14:paraId="6A32ECCB"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593</w:t>
            </w:r>
          </w:p>
        </w:tc>
        <w:tc>
          <w:tcPr>
            <w:tcW w:w="903" w:type="dxa"/>
            <w:tcBorders>
              <w:top w:val="nil"/>
              <w:left w:val="nil"/>
              <w:bottom w:val="single" w:sz="4" w:space="0" w:color="auto"/>
              <w:right w:val="single" w:sz="4" w:space="0" w:color="auto"/>
            </w:tcBorders>
            <w:shd w:val="clear" w:color="000000" w:fill="FFFFFF"/>
            <w:noWrap/>
            <w:vAlign w:val="bottom"/>
          </w:tcPr>
          <w:p w14:paraId="3EB30F86"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1.282</w:t>
            </w:r>
          </w:p>
        </w:tc>
        <w:tc>
          <w:tcPr>
            <w:tcW w:w="903" w:type="dxa"/>
            <w:tcBorders>
              <w:top w:val="nil"/>
              <w:left w:val="nil"/>
              <w:bottom w:val="single" w:sz="4" w:space="0" w:color="auto"/>
              <w:right w:val="single" w:sz="4" w:space="0" w:color="auto"/>
            </w:tcBorders>
            <w:shd w:val="clear" w:color="000000" w:fill="FFFFFF"/>
            <w:noWrap/>
            <w:vAlign w:val="bottom"/>
          </w:tcPr>
          <w:p w14:paraId="7667511B"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2.620</w:t>
            </w:r>
          </w:p>
        </w:tc>
        <w:tc>
          <w:tcPr>
            <w:tcW w:w="903" w:type="dxa"/>
            <w:tcBorders>
              <w:top w:val="nil"/>
              <w:left w:val="nil"/>
              <w:bottom w:val="single" w:sz="4" w:space="0" w:color="auto"/>
              <w:right w:val="single" w:sz="4" w:space="0" w:color="auto"/>
            </w:tcBorders>
            <w:shd w:val="clear" w:color="000000" w:fill="FFFFFF"/>
            <w:noWrap/>
            <w:vAlign w:val="bottom"/>
          </w:tcPr>
          <w:p w14:paraId="749F794F"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8.520</w:t>
            </w:r>
          </w:p>
        </w:tc>
        <w:tc>
          <w:tcPr>
            <w:tcW w:w="903" w:type="dxa"/>
            <w:tcBorders>
              <w:top w:val="nil"/>
              <w:left w:val="nil"/>
              <w:bottom w:val="single" w:sz="4" w:space="0" w:color="auto"/>
              <w:right w:val="single" w:sz="4" w:space="0" w:color="auto"/>
            </w:tcBorders>
            <w:shd w:val="clear" w:color="000000" w:fill="FFFFFF"/>
            <w:noWrap/>
            <w:vAlign w:val="bottom"/>
          </w:tcPr>
          <w:p w14:paraId="24FDB952"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5.817</w:t>
            </w:r>
          </w:p>
        </w:tc>
        <w:tc>
          <w:tcPr>
            <w:tcW w:w="903" w:type="dxa"/>
            <w:tcBorders>
              <w:top w:val="nil"/>
              <w:left w:val="nil"/>
              <w:bottom w:val="single" w:sz="4" w:space="0" w:color="auto"/>
              <w:right w:val="single" w:sz="4" w:space="0" w:color="auto"/>
            </w:tcBorders>
            <w:shd w:val="clear" w:color="000000" w:fill="FFFFFF"/>
            <w:noWrap/>
            <w:vAlign w:val="bottom"/>
          </w:tcPr>
          <w:p w14:paraId="34BB4EBD"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4.342</w:t>
            </w:r>
          </w:p>
        </w:tc>
        <w:tc>
          <w:tcPr>
            <w:tcW w:w="903" w:type="dxa"/>
            <w:tcBorders>
              <w:top w:val="nil"/>
              <w:left w:val="nil"/>
              <w:bottom w:val="single" w:sz="4" w:space="0" w:color="auto"/>
              <w:right w:val="single" w:sz="4" w:space="0" w:color="auto"/>
            </w:tcBorders>
            <w:shd w:val="clear" w:color="000000" w:fill="FFFFFF"/>
            <w:noWrap/>
            <w:vAlign w:val="bottom"/>
          </w:tcPr>
          <w:p w14:paraId="10C87B3C"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4.614</w:t>
            </w:r>
          </w:p>
        </w:tc>
        <w:tc>
          <w:tcPr>
            <w:tcW w:w="903" w:type="dxa"/>
            <w:tcBorders>
              <w:top w:val="nil"/>
              <w:left w:val="nil"/>
              <w:bottom w:val="single" w:sz="4" w:space="0" w:color="auto"/>
              <w:right w:val="single" w:sz="4" w:space="0" w:color="auto"/>
            </w:tcBorders>
            <w:shd w:val="clear" w:color="000000" w:fill="FFFFFF"/>
            <w:noWrap/>
            <w:vAlign w:val="bottom"/>
          </w:tcPr>
          <w:p w14:paraId="762C66B7"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4.466</w:t>
            </w:r>
          </w:p>
        </w:tc>
        <w:tc>
          <w:tcPr>
            <w:tcW w:w="903" w:type="dxa"/>
            <w:tcBorders>
              <w:top w:val="nil"/>
              <w:left w:val="nil"/>
              <w:bottom w:val="single" w:sz="4" w:space="0" w:color="auto"/>
              <w:right w:val="single" w:sz="4" w:space="0" w:color="auto"/>
            </w:tcBorders>
            <w:shd w:val="clear" w:color="000000" w:fill="FFFFFF"/>
            <w:noWrap/>
            <w:vAlign w:val="bottom"/>
          </w:tcPr>
          <w:p w14:paraId="206D63FB" w14:textId="77777777" w:rsidR="0010356B" w:rsidRPr="0010356B" w:rsidRDefault="0010356B" w:rsidP="00A8693E">
            <w:pPr>
              <w:spacing w:after="0" w:line="276"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1.234</w:t>
            </w:r>
          </w:p>
        </w:tc>
      </w:tr>
    </w:tbl>
    <w:p w14:paraId="0D96BE69" w14:textId="77777777" w:rsidR="00B14B6E" w:rsidRPr="0010356B" w:rsidRDefault="0010356B" w:rsidP="00A8693E">
      <w:pPr>
        <w:spacing w:after="0" w:line="276" w:lineRule="auto"/>
        <w:jc w:val="both"/>
        <w:rPr>
          <w:rFonts w:ascii="Times New Roman" w:hAnsi="Times New Roman" w:cs="Times New Roman"/>
          <w:sz w:val="20"/>
          <w:szCs w:val="20"/>
        </w:rPr>
      </w:pPr>
      <w:r w:rsidRPr="0010356B">
        <w:rPr>
          <w:rFonts w:ascii="Times New Roman" w:hAnsi="Times New Roman" w:cs="Times New Roman"/>
          <w:sz w:val="20"/>
          <w:szCs w:val="20"/>
        </w:rPr>
        <w:t>Kilde: APNN.</w:t>
      </w:r>
    </w:p>
    <w:p w14:paraId="6B136B94" w14:textId="77777777" w:rsidR="00A6390F" w:rsidRDefault="00A6390F" w:rsidP="00A8693E">
      <w:pPr>
        <w:spacing w:after="0" w:line="276" w:lineRule="auto"/>
        <w:jc w:val="both"/>
        <w:rPr>
          <w:rFonts w:ascii="Times New Roman" w:hAnsi="Times New Roman" w:cs="Times New Roman"/>
        </w:rPr>
      </w:pPr>
    </w:p>
    <w:p w14:paraId="6312F7C3" w14:textId="3C1EE1BE" w:rsidR="001E660A" w:rsidRPr="007211CA" w:rsidRDefault="00A6390F" w:rsidP="00A8693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7211CA" w:rsidRPr="007211CA">
        <w:rPr>
          <w:rFonts w:ascii="Times New Roman" w:hAnsi="Times New Roman" w:cs="Times New Roman"/>
          <w:b/>
          <w:sz w:val="24"/>
          <w:szCs w:val="24"/>
        </w:rPr>
        <w:t xml:space="preserve"> Nye aktører i </w:t>
      </w:r>
      <w:proofErr w:type="spellStart"/>
      <w:r w:rsidR="007211CA" w:rsidRPr="007211CA">
        <w:rPr>
          <w:rFonts w:ascii="Times New Roman" w:hAnsi="Times New Roman" w:cs="Times New Roman"/>
          <w:b/>
          <w:sz w:val="24"/>
          <w:szCs w:val="24"/>
        </w:rPr>
        <w:t>hvidfiskfiskeriet</w:t>
      </w:r>
      <w:proofErr w:type="spellEnd"/>
      <w:r w:rsidR="007211CA" w:rsidRPr="007211CA">
        <w:rPr>
          <w:rFonts w:ascii="Times New Roman" w:hAnsi="Times New Roman" w:cs="Times New Roman"/>
          <w:b/>
          <w:sz w:val="24"/>
          <w:szCs w:val="24"/>
        </w:rPr>
        <w:t xml:space="preserve"> og spredning af kvoterne</w:t>
      </w:r>
    </w:p>
    <w:p w14:paraId="69B7DC5D" w14:textId="07C709DF" w:rsidR="0069668B" w:rsidRPr="00884416" w:rsidRDefault="0069668B" w:rsidP="00A8693E">
      <w:pPr>
        <w:spacing w:after="0" w:line="276" w:lineRule="auto"/>
        <w:contextualSpacing/>
        <w:jc w:val="both"/>
        <w:rPr>
          <w:rFonts w:ascii="Times New Roman" w:hAnsi="Times New Roman" w:cs="Times New Roman"/>
        </w:rPr>
      </w:pPr>
      <w:r w:rsidRPr="00884416">
        <w:rPr>
          <w:rFonts w:ascii="Times New Roman" w:hAnsi="Times New Roman" w:cs="Times New Roman"/>
        </w:rPr>
        <w:t xml:space="preserve">I 2017 besluttede </w:t>
      </w:r>
      <w:proofErr w:type="spellStart"/>
      <w:r w:rsidRPr="00884416">
        <w:rPr>
          <w:rFonts w:ascii="Times New Roman" w:hAnsi="Times New Roman" w:cs="Times New Roman"/>
        </w:rPr>
        <w:t>Naalakkersuisut</w:t>
      </w:r>
      <w:proofErr w:type="spellEnd"/>
      <w:r w:rsidR="00C736A2">
        <w:rPr>
          <w:rFonts w:ascii="Times New Roman" w:hAnsi="Times New Roman" w:cs="Times New Roman"/>
        </w:rPr>
        <w:t>,</w:t>
      </w:r>
      <w:r w:rsidRPr="00884416">
        <w:rPr>
          <w:rFonts w:ascii="Times New Roman" w:hAnsi="Times New Roman" w:cs="Times New Roman"/>
        </w:rPr>
        <w:t xml:space="preserve"> at det skulle være muligt for nye aktører at etablere sig i det havgående </w:t>
      </w:r>
      <w:proofErr w:type="spellStart"/>
      <w:r w:rsidR="00170CAE">
        <w:rPr>
          <w:rFonts w:ascii="Times New Roman" w:hAnsi="Times New Roman" w:cs="Times New Roman"/>
        </w:rPr>
        <w:t>hvidfiskfiskeri</w:t>
      </w:r>
      <w:proofErr w:type="spellEnd"/>
      <w:r w:rsidRPr="00884416">
        <w:rPr>
          <w:rFonts w:ascii="Times New Roman" w:hAnsi="Times New Roman" w:cs="Times New Roman"/>
        </w:rPr>
        <w:t xml:space="preserve">. Dette resulterede i, når </w:t>
      </w:r>
      <w:proofErr w:type="spellStart"/>
      <w:r w:rsidRPr="00884416">
        <w:rPr>
          <w:rFonts w:ascii="Times New Roman" w:hAnsi="Times New Roman" w:cs="Times New Roman"/>
        </w:rPr>
        <w:t>Naalakkersuisut</w:t>
      </w:r>
      <w:proofErr w:type="spellEnd"/>
      <w:r w:rsidRPr="00884416">
        <w:rPr>
          <w:rFonts w:ascii="Times New Roman" w:hAnsi="Times New Roman" w:cs="Times New Roman"/>
        </w:rPr>
        <w:t xml:space="preserve"> fordelte de havgående kvoter for 2017, </w:t>
      </w:r>
      <w:r w:rsidR="00AE39D5">
        <w:rPr>
          <w:rFonts w:ascii="Times New Roman" w:hAnsi="Times New Roman" w:cs="Times New Roman"/>
        </w:rPr>
        <w:t xml:space="preserve">at </w:t>
      </w:r>
      <w:r w:rsidR="00AE39D5" w:rsidRPr="00884416">
        <w:rPr>
          <w:rFonts w:ascii="Times New Roman" w:hAnsi="Times New Roman" w:cs="Times New Roman"/>
        </w:rPr>
        <w:t>10</w:t>
      </w:r>
      <w:r w:rsidR="00AE39D5">
        <w:rPr>
          <w:rFonts w:ascii="Times New Roman" w:hAnsi="Times New Roman" w:cs="Times New Roman"/>
        </w:rPr>
        <w:t xml:space="preserve"> pct.</w:t>
      </w:r>
      <w:r w:rsidRPr="00884416">
        <w:rPr>
          <w:rFonts w:ascii="Times New Roman" w:hAnsi="Times New Roman" w:cs="Times New Roman"/>
        </w:rPr>
        <w:t xml:space="preserve"> af de havgående kvoter på hellefisk, torsk og rødfisk </w:t>
      </w:r>
      <w:r w:rsidR="00C736A2">
        <w:rPr>
          <w:rFonts w:ascii="Times New Roman" w:hAnsi="Times New Roman" w:cs="Times New Roman"/>
        </w:rPr>
        <w:t xml:space="preserve">blev </w:t>
      </w:r>
      <w:r w:rsidRPr="00884416">
        <w:rPr>
          <w:rFonts w:ascii="Times New Roman" w:hAnsi="Times New Roman" w:cs="Times New Roman"/>
        </w:rPr>
        <w:t xml:space="preserve">stillet til </w:t>
      </w:r>
      <w:r w:rsidR="00C736A2">
        <w:rPr>
          <w:rFonts w:ascii="Times New Roman" w:hAnsi="Times New Roman" w:cs="Times New Roman"/>
        </w:rPr>
        <w:t xml:space="preserve">rådighed for </w:t>
      </w:r>
      <w:r w:rsidRPr="00884416">
        <w:rPr>
          <w:rFonts w:ascii="Times New Roman" w:hAnsi="Times New Roman" w:cs="Times New Roman"/>
        </w:rPr>
        <w:t xml:space="preserve">nye aktører. Det svarede i 2017 til en mængde på 1.338 tons hellefisk, 1.138 tons torsk og 462 tons rødfisk. </w:t>
      </w:r>
    </w:p>
    <w:p w14:paraId="4D8DC489" w14:textId="77777777" w:rsidR="0069668B" w:rsidRPr="00884416" w:rsidRDefault="0069668B" w:rsidP="00A8693E">
      <w:pPr>
        <w:spacing w:after="0" w:line="276" w:lineRule="auto"/>
        <w:contextualSpacing/>
        <w:jc w:val="both"/>
        <w:rPr>
          <w:rFonts w:ascii="Times New Roman" w:hAnsi="Times New Roman" w:cs="Times New Roman"/>
        </w:rPr>
      </w:pPr>
    </w:p>
    <w:p w14:paraId="52B9930F" w14:textId="77777777" w:rsidR="0069668B" w:rsidRPr="00884416" w:rsidRDefault="0069668B" w:rsidP="00A8693E">
      <w:pPr>
        <w:spacing w:after="0" w:line="276" w:lineRule="auto"/>
        <w:contextualSpacing/>
        <w:jc w:val="both"/>
        <w:rPr>
          <w:rFonts w:ascii="Times New Roman" w:hAnsi="Times New Roman" w:cs="Times New Roman"/>
          <w:bCs/>
        </w:rPr>
      </w:pPr>
      <w:proofErr w:type="spellStart"/>
      <w:r w:rsidRPr="00884416">
        <w:rPr>
          <w:rFonts w:ascii="Times New Roman" w:hAnsi="Times New Roman" w:cs="Times New Roman"/>
          <w:bCs/>
        </w:rPr>
        <w:t>Naalakkersuisut</w:t>
      </w:r>
      <w:proofErr w:type="spellEnd"/>
      <w:r w:rsidRPr="00884416">
        <w:rPr>
          <w:rFonts w:ascii="Times New Roman" w:hAnsi="Times New Roman" w:cs="Times New Roman"/>
          <w:bCs/>
        </w:rPr>
        <w:t xml:space="preserve"> besluttede, at disse </w:t>
      </w:r>
      <w:r>
        <w:rPr>
          <w:rFonts w:ascii="Times New Roman" w:hAnsi="Times New Roman" w:cs="Times New Roman"/>
          <w:bCs/>
        </w:rPr>
        <w:t>kvote</w:t>
      </w:r>
      <w:r w:rsidRPr="00884416">
        <w:rPr>
          <w:rFonts w:ascii="Times New Roman" w:hAnsi="Times New Roman" w:cs="Times New Roman"/>
          <w:bCs/>
        </w:rPr>
        <w:t>mængder på et senere tidspunkt i offentligt udbud</w:t>
      </w:r>
      <w:r w:rsidR="00601DF6">
        <w:rPr>
          <w:rFonts w:ascii="Times New Roman" w:hAnsi="Times New Roman" w:cs="Times New Roman"/>
          <w:bCs/>
        </w:rPr>
        <w:t xml:space="preserve"> </w:t>
      </w:r>
      <w:r w:rsidR="00601DF6" w:rsidRPr="00884416">
        <w:rPr>
          <w:rFonts w:ascii="Times New Roman" w:hAnsi="Times New Roman" w:cs="Times New Roman"/>
          <w:bCs/>
        </w:rPr>
        <w:t>skulle komme</w:t>
      </w:r>
      <w:r w:rsidRPr="00884416">
        <w:rPr>
          <w:rFonts w:ascii="Times New Roman" w:hAnsi="Times New Roman" w:cs="Times New Roman"/>
          <w:bCs/>
        </w:rPr>
        <w:t xml:space="preserve">, hvor personer eller selskaber uden kvoter på disse </w:t>
      </w:r>
      <w:r w:rsidR="00B77308">
        <w:rPr>
          <w:rFonts w:ascii="Times New Roman" w:hAnsi="Times New Roman" w:cs="Times New Roman"/>
          <w:bCs/>
        </w:rPr>
        <w:t xml:space="preserve">skulle kunne </w:t>
      </w:r>
      <w:r w:rsidRPr="00884416">
        <w:rPr>
          <w:rFonts w:ascii="Times New Roman" w:hAnsi="Times New Roman" w:cs="Times New Roman"/>
          <w:bCs/>
        </w:rPr>
        <w:t>søge disse kvoter.</w:t>
      </w:r>
    </w:p>
    <w:p w14:paraId="344B97BE" w14:textId="77777777" w:rsidR="0069668B" w:rsidRPr="00884416" w:rsidRDefault="0069668B" w:rsidP="00A8693E">
      <w:pPr>
        <w:spacing w:after="0" w:line="276" w:lineRule="auto"/>
        <w:contextualSpacing/>
        <w:jc w:val="both"/>
        <w:rPr>
          <w:rFonts w:ascii="Times New Roman" w:hAnsi="Times New Roman" w:cs="Times New Roman"/>
          <w:bCs/>
        </w:rPr>
      </w:pPr>
    </w:p>
    <w:p w14:paraId="53092013" w14:textId="79D26D4D" w:rsidR="0069668B" w:rsidRPr="00884416" w:rsidRDefault="0069668B" w:rsidP="00A8693E">
      <w:pPr>
        <w:spacing w:after="0" w:line="276" w:lineRule="auto"/>
        <w:contextualSpacing/>
        <w:jc w:val="both"/>
        <w:rPr>
          <w:rFonts w:ascii="Times New Roman" w:hAnsi="Times New Roman" w:cs="Times New Roman"/>
        </w:rPr>
      </w:pPr>
      <w:r w:rsidRPr="00884416">
        <w:rPr>
          <w:rFonts w:ascii="Times New Roman" w:hAnsi="Times New Roman" w:cs="Times New Roman"/>
          <w:bCs/>
        </w:rPr>
        <w:t xml:space="preserve">Medio 2017 besluttede </w:t>
      </w:r>
      <w:r w:rsidR="00B77308">
        <w:rPr>
          <w:rFonts w:ascii="Times New Roman" w:hAnsi="Times New Roman" w:cs="Times New Roman"/>
          <w:bCs/>
        </w:rPr>
        <w:t xml:space="preserve">den </w:t>
      </w:r>
      <w:r w:rsidRPr="00884416">
        <w:rPr>
          <w:rFonts w:ascii="Times New Roman" w:hAnsi="Times New Roman" w:cs="Times New Roman"/>
          <w:bCs/>
        </w:rPr>
        <w:t xml:space="preserve">daværende </w:t>
      </w:r>
      <w:proofErr w:type="spellStart"/>
      <w:r w:rsidRPr="00884416">
        <w:rPr>
          <w:rFonts w:ascii="Times New Roman" w:hAnsi="Times New Roman" w:cs="Times New Roman"/>
          <w:bCs/>
        </w:rPr>
        <w:t>Naalakkersuisoq</w:t>
      </w:r>
      <w:proofErr w:type="spellEnd"/>
      <w:r w:rsidRPr="00884416">
        <w:rPr>
          <w:rFonts w:ascii="Times New Roman" w:hAnsi="Times New Roman" w:cs="Times New Roman"/>
          <w:bCs/>
        </w:rPr>
        <w:t xml:space="preserve"> for Fiskeri og </w:t>
      </w:r>
      <w:r w:rsidR="003462B0">
        <w:rPr>
          <w:rFonts w:ascii="Times New Roman" w:hAnsi="Times New Roman" w:cs="Times New Roman"/>
          <w:bCs/>
        </w:rPr>
        <w:t>F</w:t>
      </w:r>
      <w:r w:rsidRPr="00884416">
        <w:rPr>
          <w:rFonts w:ascii="Times New Roman" w:hAnsi="Times New Roman" w:cs="Times New Roman"/>
          <w:bCs/>
        </w:rPr>
        <w:t>angst</w:t>
      </w:r>
      <w:r w:rsidR="00512221">
        <w:rPr>
          <w:rFonts w:ascii="Times New Roman" w:hAnsi="Times New Roman" w:cs="Times New Roman"/>
          <w:bCs/>
        </w:rPr>
        <w:t>,</w:t>
      </w:r>
      <w:r w:rsidRPr="00884416">
        <w:rPr>
          <w:rFonts w:ascii="Times New Roman" w:hAnsi="Times New Roman" w:cs="Times New Roman"/>
        </w:rPr>
        <w:t xml:space="preserve"> at de 10 </w:t>
      </w:r>
      <w:r w:rsidR="00AE39D5">
        <w:rPr>
          <w:rFonts w:ascii="Times New Roman" w:hAnsi="Times New Roman" w:cs="Times New Roman"/>
        </w:rPr>
        <w:t>pct.</w:t>
      </w:r>
      <w:r w:rsidRPr="00884416">
        <w:rPr>
          <w:rFonts w:ascii="Times New Roman" w:hAnsi="Times New Roman" w:cs="Times New Roman"/>
        </w:rPr>
        <w:t xml:space="preserve"> af de havgående kvoter skulle tildeles til tre selskaber. Samtlige selskaber skaffede sig farøjer i samme år 29 år gamle</w:t>
      </w:r>
      <w:r w:rsidR="00512221">
        <w:rPr>
          <w:rFonts w:ascii="Times New Roman" w:hAnsi="Times New Roman" w:cs="Times New Roman"/>
        </w:rPr>
        <w:t xml:space="preserve"> fartøjer</w:t>
      </w:r>
      <w:r w:rsidRPr="00884416">
        <w:rPr>
          <w:rFonts w:ascii="Times New Roman" w:hAnsi="Times New Roman" w:cs="Times New Roman"/>
        </w:rPr>
        <w:t xml:space="preserve"> (byggeår 1988). </w:t>
      </w:r>
      <w:r>
        <w:rPr>
          <w:rFonts w:ascii="Times New Roman" w:hAnsi="Times New Roman" w:cs="Times New Roman"/>
        </w:rPr>
        <w:t>Det bemærkes</w:t>
      </w:r>
      <w:r w:rsidR="00512221">
        <w:rPr>
          <w:rFonts w:ascii="Times New Roman" w:hAnsi="Times New Roman" w:cs="Times New Roman"/>
        </w:rPr>
        <w:t>,</w:t>
      </w:r>
      <w:r>
        <w:rPr>
          <w:rFonts w:ascii="Times New Roman" w:hAnsi="Times New Roman" w:cs="Times New Roman"/>
        </w:rPr>
        <w:t xml:space="preserve"> </w:t>
      </w:r>
      <w:r w:rsidR="00ED6D56">
        <w:rPr>
          <w:rFonts w:ascii="Times New Roman" w:hAnsi="Times New Roman" w:cs="Times New Roman"/>
        </w:rPr>
        <w:t>to af</w:t>
      </w:r>
      <w:r>
        <w:rPr>
          <w:rFonts w:ascii="Times New Roman" w:hAnsi="Times New Roman" w:cs="Times New Roman"/>
        </w:rPr>
        <w:t xml:space="preserve"> de nye selskaber blev medfinansieret af eksisterende aktører i fiskeriet.</w:t>
      </w:r>
    </w:p>
    <w:p w14:paraId="202060C1" w14:textId="77777777" w:rsidR="0069668B" w:rsidRPr="00884416" w:rsidRDefault="0069668B" w:rsidP="00A8693E">
      <w:pPr>
        <w:spacing w:after="0" w:line="276" w:lineRule="auto"/>
        <w:contextualSpacing/>
        <w:jc w:val="both"/>
        <w:rPr>
          <w:rFonts w:ascii="Times New Roman" w:hAnsi="Times New Roman" w:cs="Times New Roman"/>
        </w:rPr>
      </w:pPr>
    </w:p>
    <w:p w14:paraId="152C9C84" w14:textId="77777777" w:rsidR="0069668B" w:rsidRPr="00884416" w:rsidRDefault="0069668B" w:rsidP="00A8693E">
      <w:pPr>
        <w:spacing w:after="0" w:line="276" w:lineRule="auto"/>
        <w:contextualSpacing/>
        <w:jc w:val="both"/>
        <w:rPr>
          <w:rFonts w:ascii="Times New Roman" w:hAnsi="Times New Roman" w:cs="Times New Roman"/>
        </w:rPr>
      </w:pPr>
      <w:r w:rsidRPr="00884416">
        <w:rPr>
          <w:rFonts w:ascii="Times New Roman" w:hAnsi="Times New Roman" w:cs="Times New Roman"/>
        </w:rPr>
        <w:t xml:space="preserve">Tabel </w:t>
      </w:r>
      <w:r w:rsidR="00CE3D43">
        <w:rPr>
          <w:rFonts w:ascii="Times New Roman" w:hAnsi="Times New Roman" w:cs="Times New Roman"/>
        </w:rPr>
        <w:t>9</w:t>
      </w:r>
      <w:r w:rsidRPr="00884416">
        <w:rPr>
          <w:rFonts w:ascii="Times New Roman" w:hAnsi="Times New Roman" w:cs="Times New Roman"/>
        </w:rPr>
        <w:t xml:space="preserve"> viser de samlede kvoter hellefisk, torsk og rødfisk</w:t>
      </w:r>
      <w:r w:rsidR="00512221">
        <w:rPr>
          <w:rFonts w:ascii="Times New Roman" w:hAnsi="Times New Roman" w:cs="Times New Roman"/>
        </w:rPr>
        <w:t>,</w:t>
      </w:r>
      <w:r w:rsidRPr="00884416">
        <w:rPr>
          <w:rFonts w:ascii="Times New Roman" w:hAnsi="Times New Roman" w:cs="Times New Roman"/>
        </w:rPr>
        <w:t xml:space="preserve"> som selskaberne var tildelt 2017-2020.</w:t>
      </w:r>
    </w:p>
    <w:p w14:paraId="6B7D239B" w14:textId="77777777" w:rsidR="0069668B" w:rsidRDefault="0069668B" w:rsidP="00A8693E">
      <w:pPr>
        <w:spacing w:after="0" w:line="276" w:lineRule="auto"/>
        <w:contextualSpacing/>
        <w:jc w:val="both"/>
        <w:rPr>
          <w:rFonts w:ascii="Times New Roman" w:hAnsi="Times New Roman" w:cs="Times New Roman"/>
        </w:rPr>
      </w:pPr>
    </w:p>
    <w:p w14:paraId="3ACBDF3B" w14:textId="77777777" w:rsidR="0069668B" w:rsidRPr="00884416" w:rsidRDefault="0069668B" w:rsidP="00A8693E">
      <w:pPr>
        <w:spacing w:after="0" w:line="276" w:lineRule="auto"/>
        <w:contextualSpacing/>
        <w:jc w:val="both"/>
        <w:rPr>
          <w:rFonts w:ascii="Times New Roman" w:hAnsi="Times New Roman" w:cs="Times New Roman"/>
        </w:rPr>
      </w:pPr>
      <w:r>
        <w:rPr>
          <w:rFonts w:ascii="Times New Roman" w:hAnsi="Times New Roman" w:cs="Times New Roman"/>
        </w:rPr>
        <w:t>Det fremgår af tabel</w:t>
      </w:r>
      <w:r w:rsidR="00CE3D43">
        <w:rPr>
          <w:rFonts w:ascii="Times New Roman" w:hAnsi="Times New Roman" w:cs="Times New Roman"/>
        </w:rPr>
        <w:t xml:space="preserve"> 9</w:t>
      </w:r>
      <w:r w:rsidRPr="00884416">
        <w:rPr>
          <w:rFonts w:ascii="Times New Roman" w:hAnsi="Times New Roman" w:cs="Times New Roman"/>
        </w:rPr>
        <w:t xml:space="preserve">, at det </w:t>
      </w:r>
      <w:r w:rsidR="00512221">
        <w:rPr>
          <w:rFonts w:ascii="Times New Roman" w:hAnsi="Times New Roman" w:cs="Times New Roman"/>
        </w:rPr>
        <w:t xml:space="preserve">kun </w:t>
      </w:r>
      <w:r w:rsidRPr="00884416">
        <w:rPr>
          <w:rFonts w:ascii="Times New Roman" w:hAnsi="Times New Roman" w:cs="Times New Roman"/>
        </w:rPr>
        <w:t xml:space="preserve">er </w:t>
      </w:r>
      <w:r>
        <w:rPr>
          <w:rFonts w:ascii="Times New Roman" w:hAnsi="Times New Roman" w:cs="Times New Roman"/>
        </w:rPr>
        <w:t>selskabet S.1 som det eneste ud</w:t>
      </w:r>
      <w:r w:rsidRPr="00884416">
        <w:rPr>
          <w:rFonts w:ascii="Times New Roman" w:hAnsi="Times New Roman" w:cs="Times New Roman"/>
        </w:rPr>
        <w:t xml:space="preserve"> af de tre selskaber, </w:t>
      </w:r>
      <w:r w:rsidR="00512221">
        <w:rPr>
          <w:rFonts w:ascii="Times New Roman" w:hAnsi="Times New Roman" w:cs="Times New Roman"/>
        </w:rPr>
        <w:t xml:space="preserve">der </w:t>
      </w:r>
      <w:r>
        <w:rPr>
          <w:rFonts w:ascii="Times New Roman" w:hAnsi="Times New Roman" w:cs="Times New Roman"/>
        </w:rPr>
        <w:t>havde</w:t>
      </w:r>
      <w:r w:rsidRPr="00884416">
        <w:rPr>
          <w:rFonts w:ascii="Times New Roman" w:hAnsi="Times New Roman" w:cs="Times New Roman"/>
        </w:rPr>
        <w:t xml:space="preserve"> </w:t>
      </w:r>
      <w:r w:rsidR="00512221">
        <w:rPr>
          <w:rFonts w:ascii="Times New Roman" w:hAnsi="Times New Roman" w:cs="Times New Roman"/>
        </w:rPr>
        <w:t xml:space="preserve">en </w:t>
      </w:r>
      <w:r>
        <w:rPr>
          <w:rFonts w:ascii="Times New Roman" w:hAnsi="Times New Roman" w:cs="Times New Roman"/>
        </w:rPr>
        <w:t xml:space="preserve">god udnyttelse af kvoterne. De andre to selskaber </w:t>
      </w:r>
      <w:r w:rsidRPr="00884416">
        <w:rPr>
          <w:rFonts w:ascii="Times New Roman" w:hAnsi="Times New Roman" w:cs="Times New Roman"/>
        </w:rPr>
        <w:t>havde lave fangster</w:t>
      </w:r>
      <w:r w:rsidR="00512221">
        <w:rPr>
          <w:rFonts w:ascii="Times New Roman" w:hAnsi="Times New Roman" w:cs="Times New Roman"/>
        </w:rPr>
        <w:t xml:space="preserve"> og udnyttede ikke de </w:t>
      </w:r>
      <w:r>
        <w:rPr>
          <w:rFonts w:ascii="Times New Roman" w:hAnsi="Times New Roman" w:cs="Times New Roman"/>
        </w:rPr>
        <w:t>tildelte kvoter.</w:t>
      </w:r>
    </w:p>
    <w:p w14:paraId="3A3F9FE5" w14:textId="77777777" w:rsidR="0069668B" w:rsidRDefault="0069668B" w:rsidP="00A8693E">
      <w:pPr>
        <w:spacing w:after="0" w:line="276" w:lineRule="auto"/>
        <w:contextualSpacing/>
        <w:jc w:val="both"/>
        <w:rPr>
          <w:rFonts w:ascii="Times New Roman" w:hAnsi="Times New Roman" w:cs="Times New Roman"/>
        </w:rPr>
      </w:pPr>
    </w:p>
    <w:p w14:paraId="35E5D647" w14:textId="18B81325" w:rsidR="0069668B" w:rsidRPr="00884416" w:rsidRDefault="0069668B" w:rsidP="00A8693E">
      <w:pPr>
        <w:spacing w:after="0" w:line="276" w:lineRule="auto"/>
        <w:contextualSpacing/>
        <w:jc w:val="both"/>
        <w:rPr>
          <w:rFonts w:ascii="Times New Roman" w:hAnsi="Times New Roman" w:cs="Times New Roman"/>
        </w:rPr>
      </w:pPr>
      <w:r>
        <w:rPr>
          <w:rFonts w:ascii="Times New Roman" w:hAnsi="Times New Roman" w:cs="Times New Roman"/>
        </w:rPr>
        <w:t>Tabel</w:t>
      </w:r>
      <w:r w:rsidR="00D511D8">
        <w:rPr>
          <w:rFonts w:ascii="Times New Roman" w:hAnsi="Times New Roman" w:cs="Times New Roman"/>
        </w:rPr>
        <w:t xml:space="preserve"> </w:t>
      </w:r>
      <w:r w:rsidR="00CE3D43">
        <w:rPr>
          <w:rFonts w:ascii="Times New Roman" w:hAnsi="Times New Roman" w:cs="Times New Roman"/>
        </w:rPr>
        <w:t>9</w:t>
      </w:r>
      <w:r>
        <w:rPr>
          <w:rFonts w:ascii="Times New Roman" w:hAnsi="Times New Roman" w:cs="Times New Roman"/>
        </w:rPr>
        <w:t xml:space="preserve">: Udvikling i kvoter tildelt de nye selskaber i det havgående </w:t>
      </w:r>
      <w:proofErr w:type="spellStart"/>
      <w:proofErr w:type="gramStart"/>
      <w:r w:rsidR="00170CAE">
        <w:rPr>
          <w:rFonts w:ascii="Times New Roman" w:hAnsi="Times New Roman" w:cs="Times New Roman"/>
        </w:rPr>
        <w:t>hvidfisk</w:t>
      </w:r>
      <w:r>
        <w:rPr>
          <w:rFonts w:ascii="Times New Roman" w:hAnsi="Times New Roman" w:cs="Times New Roman"/>
        </w:rPr>
        <w:t>fiskeri</w:t>
      </w:r>
      <w:proofErr w:type="spellEnd"/>
      <w:r>
        <w:rPr>
          <w:rFonts w:ascii="Times New Roman" w:hAnsi="Times New Roman" w:cs="Times New Roman"/>
        </w:rPr>
        <w:t xml:space="preserve"> ,</w:t>
      </w:r>
      <w:proofErr w:type="gramEnd"/>
      <w:r>
        <w:rPr>
          <w:rFonts w:ascii="Times New Roman" w:hAnsi="Times New Roman" w:cs="Times New Roman"/>
        </w:rPr>
        <w:t xml:space="preserve"> 2017-2020.</w:t>
      </w:r>
    </w:p>
    <w:tbl>
      <w:tblPr>
        <w:tblW w:w="9694" w:type="dxa"/>
        <w:tblInd w:w="-5" w:type="dxa"/>
        <w:tblCellMar>
          <w:left w:w="70" w:type="dxa"/>
          <w:right w:w="70" w:type="dxa"/>
        </w:tblCellMar>
        <w:tblLook w:val="04A0" w:firstRow="1" w:lastRow="0" w:firstColumn="1" w:lastColumn="0" w:noHBand="0" w:noVBand="1"/>
      </w:tblPr>
      <w:tblGrid>
        <w:gridCol w:w="1318"/>
        <w:gridCol w:w="976"/>
        <w:gridCol w:w="976"/>
        <w:gridCol w:w="976"/>
        <w:gridCol w:w="976"/>
        <w:gridCol w:w="1142"/>
        <w:gridCol w:w="1142"/>
        <w:gridCol w:w="1142"/>
        <w:gridCol w:w="1046"/>
      </w:tblGrid>
      <w:tr w:rsidR="0069668B" w:rsidRPr="00884416" w14:paraId="73A62B41" w14:textId="77777777" w:rsidTr="0069668B">
        <w:trPr>
          <w:trHeight w:val="324"/>
        </w:trPr>
        <w:tc>
          <w:tcPr>
            <w:tcW w:w="0" w:type="auto"/>
            <w:tcBorders>
              <w:top w:val="single" w:sz="4" w:space="0" w:color="auto"/>
              <w:left w:val="single" w:sz="4" w:space="0" w:color="auto"/>
              <w:bottom w:val="nil"/>
              <w:right w:val="single" w:sz="4" w:space="0" w:color="auto"/>
            </w:tcBorders>
            <w:shd w:val="clear" w:color="000000" w:fill="FFFFFF"/>
            <w:noWrap/>
            <w:vAlign w:val="bottom"/>
            <w:hideMark/>
          </w:tcPr>
          <w:p w14:paraId="4D5A4393" w14:textId="77777777" w:rsidR="0069668B" w:rsidRPr="00884416" w:rsidRDefault="0069668B" w:rsidP="00A8693E">
            <w:pPr>
              <w:spacing w:after="0" w:line="276" w:lineRule="auto"/>
              <w:jc w:val="both"/>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 </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bottom"/>
            <w:hideMark/>
          </w:tcPr>
          <w:p w14:paraId="1ADF39D1" w14:textId="77777777" w:rsidR="0069668B" w:rsidRPr="00884416" w:rsidRDefault="0069668B" w:rsidP="00A8693E">
            <w:pPr>
              <w:spacing w:after="0" w:line="276" w:lineRule="auto"/>
              <w:jc w:val="both"/>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Samlet kvote, tons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bottom"/>
            <w:hideMark/>
          </w:tcPr>
          <w:p w14:paraId="00B9D17C" w14:textId="77777777" w:rsidR="0069668B" w:rsidRPr="00884416" w:rsidRDefault="0069668B" w:rsidP="00A8693E">
            <w:pPr>
              <w:spacing w:after="0" w:line="276" w:lineRule="auto"/>
              <w:jc w:val="both"/>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Samlede fangstmængder, tons</w:t>
            </w:r>
          </w:p>
        </w:tc>
      </w:tr>
      <w:tr w:rsidR="0069668B" w:rsidRPr="00884416" w14:paraId="67F1F19E" w14:textId="77777777"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8D65912" w14:textId="77777777" w:rsidR="0069668B" w:rsidRPr="00884416" w:rsidRDefault="0069668B" w:rsidP="00A8693E">
            <w:pPr>
              <w:spacing w:after="0" w:line="276" w:lineRule="auto"/>
              <w:jc w:val="both"/>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Selskab</w:t>
            </w:r>
          </w:p>
        </w:tc>
        <w:tc>
          <w:tcPr>
            <w:tcW w:w="0" w:type="auto"/>
            <w:tcBorders>
              <w:top w:val="nil"/>
              <w:left w:val="nil"/>
              <w:bottom w:val="single" w:sz="4" w:space="0" w:color="auto"/>
              <w:right w:val="single" w:sz="4" w:space="0" w:color="auto"/>
            </w:tcBorders>
            <w:shd w:val="clear" w:color="000000" w:fill="FFFFFF"/>
            <w:noWrap/>
            <w:vAlign w:val="bottom"/>
            <w:hideMark/>
          </w:tcPr>
          <w:p w14:paraId="6223E1AD"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2017</w:t>
            </w:r>
          </w:p>
        </w:tc>
        <w:tc>
          <w:tcPr>
            <w:tcW w:w="0" w:type="auto"/>
            <w:tcBorders>
              <w:top w:val="nil"/>
              <w:left w:val="nil"/>
              <w:bottom w:val="single" w:sz="4" w:space="0" w:color="auto"/>
              <w:right w:val="single" w:sz="4" w:space="0" w:color="auto"/>
            </w:tcBorders>
            <w:shd w:val="clear" w:color="000000" w:fill="FFFFFF"/>
            <w:noWrap/>
            <w:vAlign w:val="bottom"/>
            <w:hideMark/>
          </w:tcPr>
          <w:p w14:paraId="15959765"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2018</w:t>
            </w:r>
          </w:p>
        </w:tc>
        <w:tc>
          <w:tcPr>
            <w:tcW w:w="0" w:type="auto"/>
            <w:tcBorders>
              <w:top w:val="nil"/>
              <w:left w:val="nil"/>
              <w:bottom w:val="single" w:sz="4" w:space="0" w:color="auto"/>
              <w:right w:val="single" w:sz="4" w:space="0" w:color="auto"/>
            </w:tcBorders>
            <w:shd w:val="clear" w:color="000000" w:fill="FFFFFF"/>
            <w:noWrap/>
            <w:vAlign w:val="bottom"/>
            <w:hideMark/>
          </w:tcPr>
          <w:p w14:paraId="26DDC699"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2019</w:t>
            </w:r>
          </w:p>
        </w:tc>
        <w:tc>
          <w:tcPr>
            <w:tcW w:w="0" w:type="auto"/>
            <w:tcBorders>
              <w:top w:val="nil"/>
              <w:left w:val="nil"/>
              <w:bottom w:val="single" w:sz="4" w:space="0" w:color="auto"/>
              <w:right w:val="single" w:sz="4" w:space="0" w:color="auto"/>
            </w:tcBorders>
            <w:shd w:val="clear" w:color="000000" w:fill="FFFFFF"/>
            <w:noWrap/>
            <w:vAlign w:val="bottom"/>
            <w:hideMark/>
          </w:tcPr>
          <w:p w14:paraId="2518AB4F"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2020</w:t>
            </w:r>
          </w:p>
        </w:tc>
        <w:tc>
          <w:tcPr>
            <w:tcW w:w="0" w:type="auto"/>
            <w:tcBorders>
              <w:top w:val="nil"/>
              <w:left w:val="nil"/>
              <w:bottom w:val="single" w:sz="4" w:space="0" w:color="auto"/>
              <w:right w:val="single" w:sz="4" w:space="0" w:color="auto"/>
            </w:tcBorders>
            <w:shd w:val="clear" w:color="000000" w:fill="FFFFFF"/>
            <w:noWrap/>
            <w:vAlign w:val="bottom"/>
            <w:hideMark/>
          </w:tcPr>
          <w:p w14:paraId="3E70B35E"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2017</w:t>
            </w:r>
          </w:p>
        </w:tc>
        <w:tc>
          <w:tcPr>
            <w:tcW w:w="0" w:type="auto"/>
            <w:tcBorders>
              <w:top w:val="nil"/>
              <w:left w:val="nil"/>
              <w:bottom w:val="single" w:sz="4" w:space="0" w:color="auto"/>
              <w:right w:val="single" w:sz="4" w:space="0" w:color="auto"/>
            </w:tcBorders>
            <w:shd w:val="clear" w:color="000000" w:fill="FFFFFF"/>
            <w:noWrap/>
            <w:vAlign w:val="bottom"/>
            <w:hideMark/>
          </w:tcPr>
          <w:p w14:paraId="049DE36F"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2018</w:t>
            </w:r>
          </w:p>
        </w:tc>
        <w:tc>
          <w:tcPr>
            <w:tcW w:w="0" w:type="auto"/>
            <w:tcBorders>
              <w:top w:val="nil"/>
              <w:left w:val="nil"/>
              <w:bottom w:val="single" w:sz="4" w:space="0" w:color="auto"/>
              <w:right w:val="single" w:sz="4" w:space="0" w:color="auto"/>
            </w:tcBorders>
            <w:shd w:val="clear" w:color="000000" w:fill="FFFFFF"/>
            <w:noWrap/>
            <w:vAlign w:val="bottom"/>
            <w:hideMark/>
          </w:tcPr>
          <w:p w14:paraId="382ADB56"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2019</w:t>
            </w:r>
          </w:p>
        </w:tc>
        <w:tc>
          <w:tcPr>
            <w:tcW w:w="0" w:type="auto"/>
            <w:tcBorders>
              <w:top w:val="nil"/>
              <w:left w:val="nil"/>
              <w:bottom w:val="single" w:sz="4" w:space="0" w:color="auto"/>
              <w:right w:val="single" w:sz="4" w:space="0" w:color="auto"/>
            </w:tcBorders>
            <w:shd w:val="clear" w:color="000000" w:fill="FFFFFF"/>
            <w:noWrap/>
            <w:vAlign w:val="bottom"/>
            <w:hideMark/>
          </w:tcPr>
          <w:p w14:paraId="5F2D4D0E"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2020</w:t>
            </w:r>
          </w:p>
        </w:tc>
      </w:tr>
      <w:tr w:rsidR="0069668B" w:rsidRPr="00884416" w14:paraId="5207213F" w14:textId="77777777"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7CF2AF1" w14:textId="77777777" w:rsidR="0069668B" w:rsidRPr="00884416" w:rsidRDefault="0069668B" w:rsidP="00A8693E">
            <w:pPr>
              <w:spacing w:after="0" w:line="276" w:lineRule="auto"/>
              <w:jc w:val="both"/>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S.1</w:t>
            </w:r>
          </w:p>
        </w:tc>
        <w:tc>
          <w:tcPr>
            <w:tcW w:w="0" w:type="auto"/>
            <w:tcBorders>
              <w:top w:val="nil"/>
              <w:left w:val="nil"/>
              <w:bottom w:val="single" w:sz="4" w:space="0" w:color="auto"/>
              <w:right w:val="single" w:sz="4" w:space="0" w:color="auto"/>
            </w:tcBorders>
            <w:shd w:val="clear" w:color="000000" w:fill="FFFFFF"/>
            <w:noWrap/>
            <w:vAlign w:val="bottom"/>
            <w:hideMark/>
          </w:tcPr>
          <w:p w14:paraId="71AF32A5"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1.012</w:t>
            </w:r>
          </w:p>
        </w:tc>
        <w:tc>
          <w:tcPr>
            <w:tcW w:w="0" w:type="auto"/>
            <w:tcBorders>
              <w:top w:val="nil"/>
              <w:left w:val="nil"/>
              <w:bottom w:val="single" w:sz="4" w:space="0" w:color="auto"/>
              <w:right w:val="single" w:sz="4" w:space="0" w:color="auto"/>
            </w:tcBorders>
            <w:shd w:val="clear" w:color="000000" w:fill="FFFFFF"/>
            <w:noWrap/>
            <w:vAlign w:val="bottom"/>
            <w:hideMark/>
          </w:tcPr>
          <w:p w14:paraId="6936CEA3"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867</w:t>
            </w:r>
          </w:p>
        </w:tc>
        <w:tc>
          <w:tcPr>
            <w:tcW w:w="0" w:type="auto"/>
            <w:tcBorders>
              <w:top w:val="nil"/>
              <w:left w:val="nil"/>
              <w:bottom w:val="single" w:sz="4" w:space="0" w:color="auto"/>
              <w:right w:val="single" w:sz="4" w:space="0" w:color="auto"/>
            </w:tcBorders>
            <w:shd w:val="clear" w:color="000000" w:fill="FFFFFF"/>
            <w:noWrap/>
            <w:vAlign w:val="bottom"/>
            <w:hideMark/>
          </w:tcPr>
          <w:p w14:paraId="76A2363A"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975</w:t>
            </w:r>
          </w:p>
        </w:tc>
        <w:tc>
          <w:tcPr>
            <w:tcW w:w="0" w:type="auto"/>
            <w:tcBorders>
              <w:top w:val="nil"/>
              <w:left w:val="nil"/>
              <w:bottom w:val="single" w:sz="4" w:space="0" w:color="auto"/>
              <w:right w:val="single" w:sz="4" w:space="0" w:color="auto"/>
            </w:tcBorders>
            <w:shd w:val="clear" w:color="000000" w:fill="FFFFFF"/>
            <w:noWrap/>
            <w:vAlign w:val="bottom"/>
            <w:hideMark/>
          </w:tcPr>
          <w:p w14:paraId="4807484E"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853</w:t>
            </w:r>
          </w:p>
        </w:tc>
        <w:tc>
          <w:tcPr>
            <w:tcW w:w="0" w:type="auto"/>
            <w:tcBorders>
              <w:top w:val="nil"/>
              <w:left w:val="nil"/>
              <w:bottom w:val="single" w:sz="4" w:space="0" w:color="auto"/>
              <w:right w:val="single" w:sz="4" w:space="0" w:color="auto"/>
            </w:tcBorders>
            <w:shd w:val="clear" w:color="000000" w:fill="FFFFFF"/>
            <w:noWrap/>
            <w:vAlign w:val="bottom"/>
            <w:hideMark/>
          </w:tcPr>
          <w:p w14:paraId="5A6DAE47"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911</w:t>
            </w:r>
          </w:p>
        </w:tc>
        <w:tc>
          <w:tcPr>
            <w:tcW w:w="0" w:type="auto"/>
            <w:tcBorders>
              <w:top w:val="nil"/>
              <w:left w:val="nil"/>
              <w:bottom w:val="single" w:sz="4" w:space="0" w:color="auto"/>
              <w:right w:val="single" w:sz="4" w:space="0" w:color="auto"/>
            </w:tcBorders>
            <w:shd w:val="clear" w:color="000000" w:fill="FFFFFF"/>
            <w:noWrap/>
            <w:vAlign w:val="bottom"/>
            <w:hideMark/>
          </w:tcPr>
          <w:p w14:paraId="3CC3C0BF"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944</w:t>
            </w:r>
          </w:p>
        </w:tc>
        <w:tc>
          <w:tcPr>
            <w:tcW w:w="0" w:type="auto"/>
            <w:tcBorders>
              <w:top w:val="nil"/>
              <w:left w:val="nil"/>
              <w:bottom w:val="single" w:sz="4" w:space="0" w:color="auto"/>
              <w:right w:val="single" w:sz="4" w:space="0" w:color="auto"/>
            </w:tcBorders>
            <w:shd w:val="clear" w:color="000000" w:fill="FFFFFF"/>
            <w:noWrap/>
            <w:vAlign w:val="bottom"/>
            <w:hideMark/>
          </w:tcPr>
          <w:p w14:paraId="3CC628E4"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2.544</w:t>
            </w:r>
          </w:p>
        </w:tc>
        <w:tc>
          <w:tcPr>
            <w:tcW w:w="0" w:type="auto"/>
            <w:tcBorders>
              <w:top w:val="nil"/>
              <w:left w:val="nil"/>
              <w:bottom w:val="single" w:sz="4" w:space="0" w:color="auto"/>
              <w:right w:val="single" w:sz="4" w:space="0" w:color="auto"/>
            </w:tcBorders>
            <w:shd w:val="clear" w:color="000000" w:fill="FFFFFF"/>
            <w:noWrap/>
            <w:vAlign w:val="bottom"/>
            <w:hideMark/>
          </w:tcPr>
          <w:p w14:paraId="191B93F0"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476</w:t>
            </w:r>
          </w:p>
        </w:tc>
      </w:tr>
      <w:tr w:rsidR="0069668B" w:rsidRPr="00884416" w14:paraId="659E862B" w14:textId="77777777"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935D87" w14:textId="77777777" w:rsidR="0069668B" w:rsidRPr="00884416" w:rsidRDefault="0069668B" w:rsidP="00A8693E">
            <w:pPr>
              <w:spacing w:after="0" w:line="276" w:lineRule="auto"/>
              <w:jc w:val="both"/>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S.2</w:t>
            </w:r>
          </w:p>
        </w:tc>
        <w:tc>
          <w:tcPr>
            <w:tcW w:w="0" w:type="auto"/>
            <w:tcBorders>
              <w:top w:val="nil"/>
              <w:left w:val="nil"/>
              <w:bottom w:val="single" w:sz="4" w:space="0" w:color="auto"/>
              <w:right w:val="single" w:sz="4" w:space="0" w:color="auto"/>
            </w:tcBorders>
            <w:shd w:val="clear" w:color="000000" w:fill="FFFFFF"/>
            <w:noWrap/>
            <w:vAlign w:val="bottom"/>
            <w:hideMark/>
          </w:tcPr>
          <w:p w14:paraId="0E77F69D"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793</w:t>
            </w:r>
          </w:p>
        </w:tc>
        <w:tc>
          <w:tcPr>
            <w:tcW w:w="0" w:type="auto"/>
            <w:tcBorders>
              <w:top w:val="nil"/>
              <w:left w:val="nil"/>
              <w:bottom w:val="single" w:sz="4" w:space="0" w:color="auto"/>
              <w:right w:val="single" w:sz="4" w:space="0" w:color="auto"/>
            </w:tcBorders>
            <w:shd w:val="clear" w:color="000000" w:fill="FFFFFF"/>
            <w:noWrap/>
            <w:vAlign w:val="bottom"/>
            <w:hideMark/>
          </w:tcPr>
          <w:p w14:paraId="2B3C8E2C"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793</w:t>
            </w:r>
          </w:p>
        </w:tc>
        <w:tc>
          <w:tcPr>
            <w:tcW w:w="0" w:type="auto"/>
            <w:tcBorders>
              <w:top w:val="nil"/>
              <w:left w:val="nil"/>
              <w:bottom w:val="single" w:sz="4" w:space="0" w:color="auto"/>
              <w:right w:val="single" w:sz="4" w:space="0" w:color="auto"/>
            </w:tcBorders>
            <w:shd w:val="clear" w:color="000000" w:fill="FFFFFF"/>
            <w:noWrap/>
            <w:vAlign w:val="bottom"/>
            <w:hideMark/>
          </w:tcPr>
          <w:p w14:paraId="4D26FD1C"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926</w:t>
            </w:r>
          </w:p>
        </w:tc>
        <w:tc>
          <w:tcPr>
            <w:tcW w:w="0" w:type="auto"/>
            <w:tcBorders>
              <w:top w:val="nil"/>
              <w:left w:val="nil"/>
              <w:bottom w:val="single" w:sz="4" w:space="0" w:color="auto"/>
              <w:right w:val="single" w:sz="4" w:space="0" w:color="auto"/>
            </w:tcBorders>
            <w:shd w:val="clear" w:color="000000" w:fill="FFFFFF"/>
            <w:noWrap/>
            <w:vAlign w:val="bottom"/>
            <w:hideMark/>
          </w:tcPr>
          <w:p w14:paraId="6BC8EDD1"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916</w:t>
            </w:r>
          </w:p>
        </w:tc>
        <w:tc>
          <w:tcPr>
            <w:tcW w:w="0" w:type="auto"/>
            <w:tcBorders>
              <w:top w:val="nil"/>
              <w:left w:val="nil"/>
              <w:bottom w:val="single" w:sz="4" w:space="0" w:color="auto"/>
              <w:right w:val="single" w:sz="4" w:space="0" w:color="auto"/>
            </w:tcBorders>
            <w:shd w:val="clear" w:color="000000" w:fill="FFFFFF"/>
            <w:noWrap/>
            <w:vAlign w:val="bottom"/>
            <w:hideMark/>
          </w:tcPr>
          <w:p w14:paraId="1658522E"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120</w:t>
            </w:r>
          </w:p>
        </w:tc>
        <w:tc>
          <w:tcPr>
            <w:tcW w:w="0" w:type="auto"/>
            <w:tcBorders>
              <w:top w:val="nil"/>
              <w:left w:val="nil"/>
              <w:bottom w:val="single" w:sz="4" w:space="0" w:color="auto"/>
              <w:right w:val="single" w:sz="4" w:space="0" w:color="auto"/>
            </w:tcBorders>
            <w:shd w:val="clear" w:color="000000" w:fill="FFFFFF"/>
            <w:noWrap/>
            <w:vAlign w:val="bottom"/>
            <w:hideMark/>
          </w:tcPr>
          <w:p w14:paraId="55556DE0"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281</w:t>
            </w:r>
          </w:p>
        </w:tc>
        <w:tc>
          <w:tcPr>
            <w:tcW w:w="0" w:type="auto"/>
            <w:tcBorders>
              <w:top w:val="nil"/>
              <w:left w:val="nil"/>
              <w:bottom w:val="single" w:sz="4" w:space="0" w:color="auto"/>
              <w:right w:val="single" w:sz="4" w:space="0" w:color="auto"/>
            </w:tcBorders>
            <w:shd w:val="clear" w:color="000000" w:fill="FFFFFF"/>
            <w:noWrap/>
            <w:vAlign w:val="bottom"/>
            <w:hideMark/>
          </w:tcPr>
          <w:p w14:paraId="496508EF"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44149B81"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0</w:t>
            </w:r>
          </w:p>
        </w:tc>
      </w:tr>
      <w:tr w:rsidR="0069668B" w:rsidRPr="00884416" w14:paraId="0D6009A9" w14:textId="77777777"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D8E0574" w14:textId="77777777" w:rsidR="0069668B" w:rsidRPr="00884416" w:rsidRDefault="0069668B" w:rsidP="00A8693E">
            <w:pPr>
              <w:spacing w:after="0" w:line="276" w:lineRule="auto"/>
              <w:jc w:val="both"/>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S.3</w:t>
            </w:r>
          </w:p>
        </w:tc>
        <w:tc>
          <w:tcPr>
            <w:tcW w:w="0" w:type="auto"/>
            <w:tcBorders>
              <w:top w:val="nil"/>
              <w:left w:val="nil"/>
              <w:bottom w:val="single" w:sz="4" w:space="0" w:color="auto"/>
              <w:right w:val="single" w:sz="4" w:space="0" w:color="auto"/>
            </w:tcBorders>
            <w:shd w:val="clear" w:color="000000" w:fill="FFFFFF"/>
            <w:noWrap/>
            <w:vAlign w:val="center"/>
            <w:hideMark/>
          </w:tcPr>
          <w:p w14:paraId="1C73E0D9"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1.133</w:t>
            </w:r>
          </w:p>
        </w:tc>
        <w:tc>
          <w:tcPr>
            <w:tcW w:w="0" w:type="auto"/>
            <w:tcBorders>
              <w:top w:val="nil"/>
              <w:left w:val="nil"/>
              <w:bottom w:val="single" w:sz="4" w:space="0" w:color="auto"/>
              <w:right w:val="single" w:sz="4" w:space="0" w:color="auto"/>
            </w:tcBorders>
            <w:shd w:val="clear" w:color="000000" w:fill="FFFFFF"/>
            <w:noWrap/>
            <w:vAlign w:val="center"/>
            <w:hideMark/>
          </w:tcPr>
          <w:p w14:paraId="2485B708"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1.133</w:t>
            </w:r>
          </w:p>
        </w:tc>
        <w:tc>
          <w:tcPr>
            <w:tcW w:w="0" w:type="auto"/>
            <w:tcBorders>
              <w:top w:val="nil"/>
              <w:left w:val="nil"/>
              <w:bottom w:val="single" w:sz="4" w:space="0" w:color="auto"/>
              <w:right w:val="single" w:sz="4" w:space="0" w:color="auto"/>
            </w:tcBorders>
            <w:shd w:val="clear" w:color="000000" w:fill="FFFFFF"/>
            <w:noWrap/>
            <w:vAlign w:val="center"/>
            <w:hideMark/>
          </w:tcPr>
          <w:p w14:paraId="38CB6B59"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6EE20D12"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eastAsia="da-DK"/>
              </w:rPr>
              <w:t>906</w:t>
            </w:r>
          </w:p>
        </w:tc>
        <w:tc>
          <w:tcPr>
            <w:tcW w:w="0" w:type="auto"/>
            <w:tcBorders>
              <w:top w:val="nil"/>
              <w:left w:val="nil"/>
              <w:bottom w:val="single" w:sz="4" w:space="0" w:color="auto"/>
              <w:right w:val="single" w:sz="4" w:space="0" w:color="auto"/>
            </w:tcBorders>
            <w:shd w:val="clear" w:color="000000" w:fill="FFFFFF"/>
            <w:noWrap/>
            <w:vAlign w:val="center"/>
            <w:hideMark/>
          </w:tcPr>
          <w:p w14:paraId="711C6046"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A65DA1"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5162E199"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116</w:t>
            </w:r>
          </w:p>
        </w:tc>
        <w:tc>
          <w:tcPr>
            <w:tcW w:w="0" w:type="auto"/>
            <w:tcBorders>
              <w:top w:val="nil"/>
              <w:left w:val="nil"/>
              <w:bottom w:val="single" w:sz="4" w:space="0" w:color="auto"/>
              <w:right w:val="single" w:sz="4" w:space="0" w:color="auto"/>
            </w:tcBorders>
            <w:shd w:val="clear" w:color="000000" w:fill="FFFFFF"/>
            <w:noWrap/>
            <w:vAlign w:val="center"/>
            <w:hideMark/>
          </w:tcPr>
          <w:p w14:paraId="59758AF0" w14:textId="77777777" w:rsidR="0069668B" w:rsidRPr="00884416" w:rsidRDefault="0069668B" w:rsidP="006C19B3">
            <w:pPr>
              <w:spacing w:after="0" w:line="276" w:lineRule="auto"/>
              <w:jc w:val="right"/>
              <w:rPr>
                <w:rFonts w:ascii="Times New Roman" w:eastAsia="Times New Roman" w:hAnsi="Times New Roman" w:cs="Times New Roman"/>
                <w:color w:val="000000"/>
                <w:sz w:val="20"/>
                <w:szCs w:val="20"/>
                <w:lang w:eastAsia="da-DK"/>
              </w:rPr>
            </w:pPr>
            <w:r w:rsidRPr="00884416">
              <w:rPr>
                <w:rFonts w:ascii="Times New Roman" w:eastAsia="Times New Roman" w:hAnsi="Times New Roman" w:cs="Times New Roman"/>
                <w:color w:val="000000"/>
                <w:sz w:val="20"/>
                <w:szCs w:val="20"/>
                <w:lang w:val="kl-GL" w:eastAsia="da-DK"/>
              </w:rPr>
              <w:t>0</w:t>
            </w:r>
          </w:p>
        </w:tc>
      </w:tr>
      <w:tr w:rsidR="0069668B" w:rsidRPr="00884416" w14:paraId="54F57158" w14:textId="77777777"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5F3E29" w14:textId="77777777" w:rsidR="0069668B" w:rsidRPr="00884416" w:rsidRDefault="0069668B" w:rsidP="00A8693E">
            <w:pPr>
              <w:spacing w:after="0" w:line="276" w:lineRule="auto"/>
              <w:jc w:val="both"/>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I alt</w:t>
            </w:r>
          </w:p>
        </w:tc>
        <w:tc>
          <w:tcPr>
            <w:tcW w:w="0" w:type="auto"/>
            <w:tcBorders>
              <w:top w:val="nil"/>
              <w:left w:val="nil"/>
              <w:bottom w:val="single" w:sz="4" w:space="0" w:color="auto"/>
              <w:right w:val="single" w:sz="4" w:space="0" w:color="auto"/>
            </w:tcBorders>
            <w:shd w:val="clear" w:color="000000" w:fill="FFFFFF"/>
            <w:noWrap/>
            <w:vAlign w:val="bottom"/>
            <w:hideMark/>
          </w:tcPr>
          <w:p w14:paraId="38E0735A"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2.938</w:t>
            </w:r>
          </w:p>
        </w:tc>
        <w:tc>
          <w:tcPr>
            <w:tcW w:w="0" w:type="auto"/>
            <w:tcBorders>
              <w:top w:val="nil"/>
              <w:left w:val="nil"/>
              <w:bottom w:val="single" w:sz="4" w:space="0" w:color="auto"/>
              <w:right w:val="single" w:sz="4" w:space="0" w:color="auto"/>
            </w:tcBorders>
            <w:shd w:val="clear" w:color="000000" w:fill="FFFFFF"/>
            <w:noWrap/>
            <w:vAlign w:val="bottom"/>
            <w:hideMark/>
          </w:tcPr>
          <w:p w14:paraId="15B60FFA"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2.793</w:t>
            </w:r>
          </w:p>
        </w:tc>
        <w:tc>
          <w:tcPr>
            <w:tcW w:w="0" w:type="auto"/>
            <w:tcBorders>
              <w:top w:val="nil"/>
              <w:left w:val="nil"/>
              <w:bottom w:val="single" w:sz="4" w:space="0" w:color="auto"/>
              <w:right w:val="single" w:sz="4" w:space="0" w:color="auto"/>
            </w:tcBorders>
            <w:shd w:val="clear" w:color="000000" w:fill="FFFFFF"/>
            <w:noWrap/>
            <w:vAlign w:val="bottom"/>
            <w:hideMark/>
          </w:tcPr>
          <w:p w14:paraId="048F99DA"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2.901</w:t>
            </w:r>
          </w:p>
        </w:tc>
        <w:tc>
          <w:tcPr>
            <w:tcW w:w="0" w:type="auto"/>
            <w:tcBorders>
              <w:top w:val="nil"/>
              <w:left w:val="nil"/>
              <w:bottom w:val="single" w:sz="4" w:space="0" w:color="auto"/>
              <w:right w:val="single" w:sz="4" w:space="0" w:color="auto"/>
            </w:tcBorders>
            <w:shd w:val="clear" w:color="000000" w:fill="FFFFFF"/>
            <w:noWrap/>
            <w:vAlign w:val="bottom"/>
            <w:hideMark/>
          </w:tcPr>
          <w:p w14:paraId="140E043C"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2.675</w:t>
            </w:r>
          </w:p>
        </w:tc>
        <w:tc>
          <w:tcPr>
            <w:tcW w:w="0" w:type="auto"/>
            <w:tcBorders>
              <w:top w:val="nil"/>
              <w:left w:val="nil"/>
              <w:bottom w:val="single" w:sz="4" w:space="0" w:color="auto"/>
              <w:right w:val="single" w:sz="4" w:space="0" w:color="auto"/>
            </w:tcBorders>
            <w:shd w:val="clear" w:color="000000" w:fill="FFFFFF"/>
            <w:noWrap/>
            <w:vAlign w:val="bottom"/>
            <w:hideMark/>
          </w:tcPr>
          <w:p w14:paraId="78C52292"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1.031</w:t>
            </w:r>
          </w:p>
        </w:tc>
        <w:tc>
          <w:tcPr>
            <w:tcW w:w="0" w:type="auto"/>
            <w:tcBorders>
              <w:top w:val="nil"/>
              <w:left w:val="nil"/>
              <w:bottom w:val="single" w:sz="4" w:space="0" w:color="auto"/>
              <w:right w:val="single" w:sz="4" w:space="0" w:color="auto"/>
            </w:tcBorders>
            <w:shd w:val="clear" w:color="000000" w:fill="FFFFFF"/>
            <w:noWrap/>
            <w:vAlign w:val="bottom"/>
            <w:hideMark/>
          </w:tcPr>
          <w:p w14:paraId="3DCC44C2"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1.395</w:t>
            </w:r>
          </w:p>
        </w:tc>
        <w:tc>
          <w:tcPr>
            <w:tcW w:w="0" w:type="auto"/>
            <w:tcBorders>
              <w:top w:val="nil"/>
              <w:left w:val="nil"/>
              <w:bottom w:val="single" w:sz="4" w:space="0" w:color="auto"/>
              <w:right w:val="single" w:sz="4" w:space="0" w:color="auto"/>
            </w:tcBorders>
            <w:shd w:val="clear" w:color="000000" w:fill="FFFFFF"/>
            <w:noWrap/>
            <w:vAlign w:val="bottom"/>
            <w:hideMark/>
          </w:tcPr>
          <w:p w14:paraId="60769AEB"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2.660</w:t>
            </w:r>
          </w:p>
        </w:tc>
        <w:tc>
          <w:tcPr>
            <w:tcW w:w="0" w:type="auto"/>
            <w:tcBorders>
              <w:top w:val="nil"/>
              <w:left w:val="nil"/>
              <w:bottom w:val="single" w:sz="4" w:space="0" w:color="auto"/>
              <w:right w:val="single" w:sz="4" w:space="0" w:color="auto"/>
            </w:tcBorders>
            <w:shd w:val="clear" w:color="000000" w:fill="FFFFFF"/>
            <w:noWrap/>
            <w:vAlign w:val="bottom"/>
            <w:hideMark/>
          </w:tcPr>
          <w:p w14:paraId="41221E69" w14:textId="77777777" w:rsidR="0069668B" w:rsidRPr="00884416" w:rsidRDefault="0069668B" w:rsidP="006C19B3">
            <w:pPr>
              <w:spacing w:after="0" w:line="276" w:lineRule="auto"/>
              <w:jc w:val="right"/>
              <w:rPr>
                <w:rFonts w:ascii="Times New Roman" w:eastAsia="Times New Roman" w:hAnsi="Times New Roman" w:cs="Times New Roman"/>
                <w:b/>
                <w:bCs/>
                <w:color w:val="000000"/>
                <w:sz w:val="20"/>
                <w:szCs w:val="20"/>
                <w:lang w:eastAsia="da-DK"/>
              </w:rPr>
            </w:pPr>
            <w:r w:rsidRPr="00884416">
              <w:rPr>
                <w:rFonts w:ascii="Times New Roman" w:eastAsia="Times New Roman" w:hAnsi="Times New Roman" w:cs="Times New Roman"/>
                <w:b/>
                <w:bCs/>
                <w:color w:val="000000"/>
                <w:sz w:val="20"/>
                <w:szCs w:val="20"/>
                <w:lang w:eastAsia="da-DK"/>
              </w:rPr>
              <w:t>476</w:t>
            </w:r>
          </w:p>
        </w:tc>
      </w:tr>
    </w:tbl>
    <w:p w14:paraId="670A1695" w14:textId="77777777" w:rsidR="0069668B" w:rsidRPr="006C19B3" w:rsidRDefault="006C19B3" w:rsidP="00A8693E">
      <w:pPr>
        <w:spacing w:after="0" w:line="276" w:lineRule="auto"/>
        <w:contextualSpacing/>
        <w:jc w:val="both"/>
        <w:rPr>
          <w:rFonts w:ascii="Times New Roman" w:hAnsi="Times New Roman" w:cs="Times New Roman"/>
          <w:sz w:val="20"/>
          <w:szCs w:val="20"/>
        </w:rPr>
      </w:pPr>
      <w:r w:rsidRPr="006C19B3">
        <w:rPr>
          <w:rFonts w:ascii="Times New Roman" w:hAnsi="Times New Roman" w:cs="Times New Roman"/>
          <w:sz w:val="20"/>
          <w:szCs w:val="20"/>
        </w:rPr>
        <w:lastRenderedPageBreak/>
        <w:t>Kilde: APNN.</w:t>
      </w:r>
    </w:p>
    <w:p w14:paraId="09113543" w14:textId="77777777" w:rsidR="006C19B3" w:rsidRDefault="006C19B3" w:rsidP="00A8693E">
      <w:pPr>
        <w:spacing w:after="0" w:line="276" w:lineRule="auto"/>
        <w:contextualSpacing/>
        <w:jc w:val="both"/>
        <w:rPr>
          <w:rFonts w:ascii="Times New Roman" w:hAnsi="Times New Roman" w:cs="Times New Roman"/>
        </w:rPr>
      </w:pPr>
    </w:p>
    <w:p w14:paraId="74350ABA" w14:textId="77777777" w:rsidR="006C19B3" w:rsidRDefault="006C19B3" w:rsidP="00A8693E">
      <w:pPr>
        <w:spacing w:after="0" w:line="276" w:lineRule="auto"/>
        <w:contextualSpacing/>
        <w:jc w:val="both"/>
        <w:rPr>
          <w:rFonts w:ascii="Times New Roman" w:hAnsi="Times New Roman" w:cs="Times New Roman"/>
        </w:rPr>
      </w:pPr>
    </w:p>
    <w:p w14:paraId="31E97509" w14:textId="77777777" w:rsidR="0069668B" w:rsidRDefault="0069668B" w:rsidP="00A8693E">
      <w:pPr>
        <w:spacing w:after="0" w:line="276" w:lineRule="auto"/>
        <w:contextualSpacing/>
        <w:jc w:val="both"/>
        <w:rPr>
          <w:rFonts w:ascii="Times New Roman" w:hAnsi="Times New Roman" w:cs="Times New Roman"/>
        </w:rPr>
      </w:pPr>
      <w:r>
        <w:rPr>
          <w:rFonts w:ascii="Times New Roman" w:hAnsi="Times New Roman" w:cs="Times New Roman"/>
        </w:rPr>
        <w:t xml:space="preserve">Årsagen </w:t>
      </w:r>
      <w:r w:rsidR="00512221">
        <w:rPr>
          <w:rFonts w:ascii="Times New Roman" w:hAnsi="Times New Roman" w:cs="Times New Roman"/>
        </w:rPr>
        <w:t>til,</w:t>
      </w:r>
      <w:r>
        <w:rPr>
          <w:rFonts w:ascii="Times New Roman" w:hAnsi="Times New Roman" w:cs="Times New Roman"/>
        </w:rPr>
        <w:t xml:space="preserve"> at selskab S.1 i 2018 og 2019 </w:t>
      </w:r>
      <w:r w:rsidR="00512221">
        <w:rPr>
          <w:rFonts w:ascii="Times New Roman" w:hAnsi="Times New Roman" w:cs="Times New Roman"/>
        </w:rPr>
        <w:t xml:space="preserve">havde </w:t>
      </w:r>
      <w:r>
        <w:rPr>
          <w:rFonts w:ascii="Times New Roman" w:hAnsi="Times New Roman" w:cs="Times New Roman"/>
        </w:rPr>
        <w:t>højere fangstmængder end kvoter</w:t>
      </w:r>
      <w:r w:rsidR="00512221">
        <w:rPr>
          <w:rFonts w:ascii="Times New Roman" w:hAnsi="Times New Roman" w:cs="Times New Roman"/>
        </w:rPr>
        <w:t>,</w:t>
      </w:r>
      <w:r>
        <w:rPr>
          <w:rFonts w:ascii="Times New Roman" w:hAnsi="Times New Roman" w:cs="Times New Roman"/>
        </w:rPr>
        <w:t xml:space="preserve"> skyldes</w:t>
      </w:r>
      <w:r w:rsidR="00512221">
        <w:rPr>
          <w:rFonts w:ascii="Times New Roman" w:hAnsi="Times New Roman" w:cs="Times New Roman"/>
        </w:rPr>
        <w:t>,</w:t>
      </w:r>
      <w:r>
        <w:rPr>
          <w:rFonts w:ascii="Times New Roman" w:hAnsi="Times New Roman" w:cs="Times New Roman"/>
        </w:rPr>
        <w:t xml:space="preserve"> at de fik hævet deres kvoter i løbet af disse år</w:t>
      </w:r>
      <w:r w:rsidR="00B77308">
        <w:rPr>
          <w:rFonts w:ascii="Times New Roman" w:hAnsi="Times New Roman" w:cs="Times New Roman"/>
        </w:rPr>
        <w:t xml:space="preserve"> </w:t>
      </w:r>
      <w:r w:rsidR="00AE39D5">
        <w:rPr>
          <w:rFonts w:ascii="Times New Roman" w:hAnsi="Times New Roman" w:cs="Times New Roman"/>
        </w:rPr>
        <w:t>som led</w:t>
      </w:r>
      <w:r w:rsidR="00B77308">
        <w:rPr>
          <w:rFonts w:ascii="Times New Roman" w:hAnsi="Times New Roman" w:cs="Times New Roman"/>
        </w:rPr>
        <w:t xml:space="preserve"> i en re</w:t>
      </w:r>
      <w:r w:rsidR="00AE39D5">
        <w:rPr>
          <w:rFonts w:ascii="Times New Roman" w:hAnsi="Times New Roman" w:cs="Times New Roman"/>
        </w:rPr>
        <w:t>-</w:t>
      </w:r>
      <w:r w:rsidR="00B77308">
        <w:rPr>
          <w:rFonts w:ascii="Times New Roman" w:hAnsi="Times New Roman" w:cs="Times New Roman"/>
        </w:rPr>
        <w:t xml:space="preserve">fordeling af </w:t>
      </w:r>
      <w:r w:rsidRPr="00884416">
        <w:rPr>
          <w:rFonts w:ascii="Times New Roman" w:hAnsi="Times New Roman" w:cs="Times New Roman"/>
        </w:rPr>
        <w:t xml:space="preserve">kvoterne. </w:t>
      </w:r>
      <w:r>
        <w:rPr>
          <w:rFonts w:ascii="Times New Roman" w:hAnsi="Times New Roman" w:cs="Times New Roman"/>
        </w:rPr>
        <w:t>Re-fordeling af kvoter i det havgående fiskeri efter andre arter end rejer</w:t>
      </w:r>
      <w:r w:rsidRPr="00884416">
        <w:rPr>
          <w:rFonts w:ascii="Times New Roman" w:hAnsi="Times New Roman" w:cs="Times New Roman"/>
        </w:rPr>
        <w:t xml:space="preserve"> gøres for at sikre, at </w:t>
      </w:r>
      <w:r>
        <w:rPr>
          <w:rFonts w:ascii="Times New Roman" w:hAnsi="Times New Roman" w:cs="Times New Roman"/>
        </w:rPr>
        <w:t>det offentlige ikke unødvendigt</w:t>
      </w:r>
      <w:r w:rsidRPr="00884416">
        <w:rPr>
          <w:rFonts w:ascii="Times New Roman" w:hAnsi="Times New Roman" w:cs="Times New Roman"/>
        </w:rPr>
        <w:t xml:space="preserve"> </w:t>
      </w:r>
      <w:r w:rsidR="00B77308">
        <w:rPr>
          <w:rFonts w:ascii="Times New Roman" w:hAnsi="Times New Roman" w:cs="Times New Roman"/>
        </w:rPr>
        <w:t xml:space="preserve">mister </w:t>
      </w:r>
      <w:r w:rsidRPr="00884416">
        <w:rPr>
          <w:rFonts w:ascii="Times New Roman" w:hAnsi="Times New Roman" w:cs="Times New Roman"/>
        </w:rPr>
        <w:t xml:space="preserve">indtægter </w:t>
      </w:r>
      <w:r>
        <w:rPr>
          <w:rFonts w:ascii="Times New Roman" w:hAnsi="Times New Roman" w:cs="Times New Roman"/>
        </w:rPr>
        <w:t xml:space="preserve">fra skatter og afgifter </w:t>
      </w:r>
      <w:r w:rsidRPr="00884416">
        <w:rPr>
          <w:rFonts w:ascii="Times New Roman" w:hAnsi="Times New Roman" w:cs="Times New Roman"/>
        </w:rPr>
        <w:t>på grund af selskaber, der ikke er i stand til at fiske sine kvoter op.</w:t>
      </w:r>
    </w:p>
    <w:p w14:paraId="643BB0A9" w14:textId="77777777" w:rsidR="00D511D8" w:rsidRDefault="00D511D8" w:rsidP="00A8693E">
      <w:pPr>
        <w:spacing w:after="0" w:line="276" w:lineRule="auto"/>
        <w:contextualSpacing/>
        <w:jc w:val="both"/>
        <w:rPr>
          <w:rFonts w:ascii="Times New Roman" w:hAnsi="Times New Roman" w:cs="Times New Roman"/>
        </w:rPr>
      </w:pPr>
    </w:p>
    <w:p w14:paraId="60F52DCB" w14:textId="77777777" w:rsidR="00D511D8" w:rsidRDefault="00D511D8" w:rsidP="00A8693E">
      <w:pPr>
        <w:spacing w:after="0" w:line="276" w:lineRule="auto"/>
        <w:contextualSpacing/>
        <w:jc w:val="both"/>
        <w:rPr>
          <w:rFonts w:ascii="Times New Roman" w:hAnsi="Times New Roman" w:cs="Times New Roman"/>
        </w:rPr>
      </w:pPr>
      <w:r>
        <w:rPr>
          <w:rFonts w:ascii="Times New Roman" w:hAnsi="Times New Roman" w:cs="Times New Roman"/>
        </w:rPr>
        <w:t>Spredning af de havgående kvoter for hellefisk, torsk og rødfisk til de nye aktører blev ikke e</w:t>
      </w:r>
      <w:r w:rsidR="00B77308">
        <w:rPr>
          <w:rFonts w:ascii="Times New Roman" w:hAnsi="Times New Roman" w:cs="Times New Roman"/>
        </w:rPr>
        <w:t>n</w:t>
      </w:r>
      <w:r>
        <w:rPr>
          <w:rFonts w:ascii="Times New Roman" w:hAnsi="Times New Roman" w:cs="Times New Roman"/>
        </w:rPr>
        <w:t xml:space="preserve"> økonomisk succes. De 10 pct. kvoter blev frataget det eksisterende fiskeri</w:t>
      </w:r>
      <w:r w:rsidR="00512221">
        <w:rPr>
          <w:rFonts w:ascii="Times New Roman" w:hAnsi="Times New Roman" w:cs="Times New Roman"/>
        </w:rPr>
        <w:t>,</w:t>
      </w:r>
      <w:r>
        <w:rPr>
          <w:rFonts w:ascii="Times New Roman" w:hAnsi="Times New Roman" w:cs="Times New Roman"/>
        </w:rPr>
        <w:t xml:space="preserve"> som bet</w:t>
      </w:r>
      <w:r w:rsidR="00512221">
        <w:rPr>
          <w:rFonts w:ascii="Times New Roman" w:hAnsi="Times New Roman" w:cs="Times New Roman"/>
        </w:rPr>
        <w:t>ø</w:t>
      </w:r>
      <w:r>
        <w:rPr>
          <w:rFonts w:ascii="Times New Roman" w:hAnsi="Times New Roman" w:cs="Times New Roman"/>
        </w:rPr>
        <w:t>d en reduktion af kvotegrundlag</w:t>
      </w:r>
      <w:r w:rsidR="00512221">
        <w:rPr>
          <w:rFonts w:ascii="Times New Roman" w:hAnsi="Times New Roman" w:cs="Times New Roman"/>
        </w:rPr>
        <w:t>et</w:t>
      </w:r>
      <w:r>
        <w:rPr>
          <w:rFonts w:ascii="Times New Roman" w:hAnsi="Times New Roman" w:cs="Times New Roman"/>
        </w:rPr>
        <w:t xml:space="preserve"> til de havgående fartøjer</w:t>
      </w:r>
      <w:r w:rsidR="00512221">
        <w:rPr>
          <w:rFonts w:ascii="Times New Roman" w:hAnsi="Times New Roman" w:cs="Times New Roman"/>
        </w:rPr>
        <w:t>,</w:t>
      </w:r>
      <w:r>
        <w:rPr>
          <w:rFonts w:ascii="Times New Roman" w:hAnsi="Times New Roman" w:cs="Times New Roman"/>
        </w:rPr>
        <w:t xml:space="preserve"> som i forvejen havde overkapacitet. Det bidrog blot til at reducere </w:t>
      </w:r>
      <w:r w:rsidR="00B77308">
        <w:rPr>
          <w:rFonts w:ascii="Times New Roman" w:hAnsi="Times New Roman" w:cs="Times New Roman"/>
        </w:rPr>
        <w:t xml:space="preserve">de </w:t>
      </w:r>
      <w:r>
        <w:rPr>
          <w:rFonts w:ascii="Times New Roman" w:hAnsi="Times New Roman" w:cs="Times New Roman"/>
        </w:rPr>
        <w:t>eksisterende fartøjers økonomi og rentabilitet. De nye selskaber kunne ikke generer</w:t>
      </w:r>
      <w:r w:rsidR="00512221">
        <w:rPr>
          <w:rFonts w:ascii="Times New Roman" w:hAnsi="Times New Roman" w:cs="Times New Roman"/>
        </w:rPr>
        <w:t>e</w:t>
      </w:r>
      <w:r>
        <w:rPr>
          <w:rFonts w:ascii="Times New Roman" w:hAnsi="Times New Roman" w:cs="Times New Roman"/>
        </w:rPr>
        <w:t xml:space="preserve"> overskud i nogen af de år. </w:t>
      </w:r>
      <w:r w:rsidR="004B49C6">
        <w:rPr>
          <w:rFonts w:ascii="Times New Roman" w:hAnsi="Times New Roman" w:cs="Times New Roman"/>
        </w:rPr>
        <w:t>Ligeledes var alle selskaberne med negativ egenkapital i alle de år</w:t>
      </w:r>
      <w:r w:rsidR="00512221">
        <w:rPr>
          <w:rFonts w:ascii="Times New Roman" w:hAnsi="Times New Roman" w:cs="Times New Roman"/>
        </w:rPr>
        <w:t>,</w:t>
      </w:r>
      <w:r w:rsidR="004B49C6">
        <w:rPr>
          <w:rFonts w:ascii="Times New Roman" w:hAnsi="Times New Roman" w:cs="Times New Roman"/>
        </w:rPr>
        <w:t xml:space="preserve"> de var i drift. </w:t>
      </w:r>
      <w:r>
        <w:rPr>
          <w:rFonts w:ascii="Times New Roman" w:hAnsi="Times New Roman" w:cs="Times New Roman"/>
        </w:rPr>
        <w:t>Det skyldes hovedsagligt</w:t>
      </w:r>
      <w:r w:rsidR="00512221">
        <w:rPr>
          <w:rFonts w:ascii="Times New Roman" w:hAnsi="Times New Roman" w:cs="Times New Roman"/>
        </w:rPr>
        <w:t>,</w:t>
      </w:r>
      <w:r>
        <w:rPr>
          <w:rFonts w:ascii="Times New Roman" w:hAnsi="Times New Roman" w:cs="Times New Roman"/>
        </w:rPr>
        <w:t xml:space="preserve"> at deres kvotegrundlag var for lavt </w:t>
      </w:r>
      <w:r w:rsidR="00A733D8">
        <w:rPr>
          <w:rFonts w:ascii="Times New Roman" w:hAnsi="Times New Roman" w:cs="Times New Roman"/>
        </w:rPr>
        <w:t>til</w:t>
      </w:r>
      <w:r>
        <w:rPr>
          <w:rFonts w:ascii="Times New Roman" w:hAnsi="Times New Roman" w:cs="Times New Roman"/>
        </w:rPr>
        <w:t xml:space="preserve"> at drive deres fiskeri rentabelt. </w:t>
      </w:r>
      <w:r w:rsidR="004B49C6">
        <w:rPr>
          <w:rFonts w:ascii="Times New Roman" w:hAnsi="Times New Roman" w:cs="Times New Roman"/>
        </w:rPr>
        <w:t>Ud over</w:t>
      </w:r>
      <w:r>
        <w:rPr>
          <w:rFonts w:ascii="Times New Roman" w:hAnsi="Times New Roman" w:cs="Times New Roman"/>
        </w:rPr>
        <w:t xml:space="preserve"> det blev de kun tildelt kvoterne på årsbasis med tilhørende usikkerhed</w:t>
      </w:r>
      <w:r w:rsidR="00A733D8">
        <w:rPr>
          <w:rFonts w:ascii="Times New Roman" w:hAnsi="Times New Roman" w:cs="Times New Roman"/>
        </w:rPr>
        <w:t>,</w:t>
      </w:r>
      <w:r>
        <w:rPr>
          <w:rFonts w:ascii="Times New Roman" w:hAnsi="Times New Roman" w:cs="Times New Roman"/>
        </w:rPr>
        <w:t xml:space="preserve"> om de </w:t>
      </w:r>
      <w:r w:rsidR="00A733D8">
        <w:rPr>
          <w:rFonts w:ascii="Times New Roman" w:hAnsi="Times New Roman" w:cs="Times New Roman"/>
        </w:rPr>
        <w:t>ville få</w:t>
      </w:r>
      <w:r>
        <w:rPr>
          <w:rFonts w:ascii="Times New Roman" w:hAnsi="Times New Roman" w:cs="Times New Roman"/>
        </w:rPr>
        <w:t xml:space="preserve"> kvoter det følgende år. Dette gjorde det umuligt for de nye selskaber at planlægge og udvikle sit fiskeri.</w:t>
      </w:r>
    </w:p>
    <w:p w14:paraId="38EA9BE3" w14:textId="77777777" w:rsidR="00D511D8" w:rsidRDefault="00D511D8" w:rsidP="00A8693E">
      <w:pPr>
        <w:spacing w:after="0" w:line="276" w:lineRule="auto"/>
        <w:contextualSpacing/>
        <w:jc w:val="both"/>
        <w:rPr>
          <w:rFonts w:ascii="Times New Roman" w:hAnsi="Times New Roman" w:cs="Times New Roman"/>
        </w:rPr>
      </w:pPr>
    </w:p>
    <w:p w14:paraId="1B6B36D3" w14:textId="77777777" w:rsidR="00D511D8" w:rsidRPr="00884416" w:rsidRDefault="00D511D8" w:rsidP="00A8693E">
      <w:pPr>
        <w:spacing w:after="0" w:line="276" w:lineRule="auto"/>
        <w:contextualSpacing/>
        <w:jc w:val="both"/>
        <w:rPr>
          <w:rFonts w:ascii="Times New Roman" w:hAnsi="Times New Roman" w:cs="Times New Roman"/>
        </w:rPr>
      </w:pPr>
      <w:r w:rsidRPr="00884416">
        <w:rPr>
          <w:rFonts w:ascii="Times New Roman" w:hAnsi="Times New Roman" w:cs="Times New Roman"/>
        </w:rPr>
        <w:t xml:space="preserve">Medio 2019 godkendte </w:t>
      </w:r>
      <w:proofErr w:type="spellStart"/>
      <w:r w:rsidRPr="00884416">
        <w:rPr>
          <w:rFonts w:ascii="Times New Roman" w:hAnsi="Times New Roman" w:cs="Times New Roman"/>
        </w:rPr>
        <w:t>Naalakkersuisut</w:t>
      </w:r>
      <w:proofErr w:type="spellEnd"/>
      <w:r w:rsidRPr="00884416">
        <w:rPr>
          <w:rFonts w:ascii="Times New Roman" w:hAnsi="Times New Roman" w:cs="Times New Roman"/>
        </w:rPr>
        <w:t xml:space="preserve">, at </w:t>
      </w:r>
      <w:r>
        <w:rPr>
          <w:rFonts w:ascii="Times New Roman" w:hAnsi="Times New Roman" w:cs="Times New Roman"/>
        </w:rPr>
        <w:t>de tre nye selskaber</w:t>
      </w:r>
      <w:r w:rsidRPr="00884416">
        <w:rPr>
          <w:rFonts w:ascii="Times New Roman" w:hAnsi="Times New Roman" w:cs="Times New Roman"/>
        </w:rPr>
        <w:t xml:space="preserve"> </w:t>
      </w:r>
      <w:r>
        <w:rPr>
          <w:rFonts w:ascii="Times New Roman" w:hAnsi="Times New Roman" w:cs="Times New Roman"/>
        </w:rPr>
        <w:t>fik lov til at</w:t>
      </w:r>
      <w:r w:rsidRPr="00884416">
        <w:rPr>
          <w:rFonts w:ascii="Times New Roman" w:hAnsi="Times New Roman" w:cs="Times New Roman"/>
        </w:rPr>
        <w:t xml:space="preserve"> fusionere med etablerede </w:t>
      </w:r>
      <w:r>
        <w:rPr>
          <w:rFonts w:ascii="Times New Roman" w:hAnsi="Times New Roman" w:cs="Times New Roman"/>
        </w:rPr>
        <w:t>selskaber i det havgående fiskeri efter andre arter end rejer</w:t>
      </w:r>
      <w:r w:rsidR="00A733D8">
        <w:rPr>
          <w:rFonts w:ascii="Times New Roman" w:hAnsi="Times New Roman" w:cs="Times New Roman"/>
        </w:rPr>
        <w:t>,</w:t>
      </w:r>
      <w:r w:rsidRPr="00884416">
        <w:rPr>
          <w:rFonts w:ascii="Times New Roman" w:hAnsi="Times New Roman" w:cs="Times New Roman"/>
        </w:rPr>
        <w:t xml:space="preserve"> og de</w:t>
      </w:r>
      <w:r>
        <w:rPr>
          <w:rFonts w:ascii="Times New Roman" w:hAnsi="Times New Roman" w:cs="Times New Roman"/>
        </w:rPr>
        <w:t xml:space="preserve"> nye aktørers</w:t>
      </w:r>
      <w:r w:rsidRPr="00884416">
        <w:rPr>
          <w:rFonts w:ascii="Times New Roman" w:hAnsi="Times New Roman" w:cs="Times New Roman"/>
        </w:rPr>
        <w:t xml:space="preserve"> kvoter ville blive overført til de etablerede </w:t>
      </w:r>
      <w:r>
        <w:rPr>
          <w:rFonts w:ascii="Times New Roman" w:hAnsi="Times New Roman" w:cs="Times New Roman"/>
        </w:rPr>
        <w:t>selskaber</w:t>
      </w:r>
      <w:r w:rsidRPr="00884416">
        <w:rPr>
          <w:rFonts w:ascii="Times New Roman" w:hAnsi="Times New Roman" w:cs="Times New Roman"/>
        </w:rPr>
        <w:t xml:space="preserve">. Fusionerne blev først gennemførte i 2020, og overførsel af kvoterne </w:t>
      </w:r>
      <w:r w:rsidR="00A733D8">
        <w:rPr>
          <w:rFonts w:ascii="Times New Roman" w:hAnsi="Times New Roman" w:cs="Times New Roman"/>
        </w:rPr>
        <w:t>blev</w:t>
      </w:r>
      <w:r w:rsidRPr="00884416">
        <w:rPr>
          <w:rFonts w:ascii="Times New Roman" w:hAnsi="Times New Roman" w:cs="Times New Roman"/>
        </w:rPr>
        <w:t xml:space="preserve"> gennemført i 2020. </w:t>
      </w:r>
    </w:p>
    <w:p w14:paraId="7B22EA95" w14:textId="77777777" w:rsidR="00EF49C0" w:rsidRDefault="00EF49C0" w:rsidP="00A8693E">
      <w:pPr>
        <w:spacing w:after="0" w:line="276" w:lineRule="auto"/>
        <w:jc w:val="both"/>
        <w:rPr>
          <w:rFonts w:ascii="Times New Roman" w:hAnsi="Times New Roman" w:cs="Times New Roman"/>
        </w:rPr>
      </w:pPr>
    </w:p>
    <w:p w14:paraId="058E3D3C" w14:textId="77777777" w:rsidR="003C4B3B" w:rsidRPr="006C19B3" w:rsidRDefault="006C19B3" w:rsidP="006C19B3">
      <w:pPr>
        <w:spacing w:after="0" w:line="276" w:lineRule="auto"/>
        <w:rPr>
          <w:rFonts w:ascii="Times New Roman" w:hAnsi="Times New Roman" w:cs="Times New Roman"/>
          <w:b/>
          <w:sz w:val="24"/>
          <w:szCs w:val="24"/>
        </w:rPr>
      </w:pPr>
      <w:r>
        <w:rPr>
          <w:rFonts w:ascii="Times New Roman" w:hAnsi="Times New Roman" w:cs="Times New Roman"/>
          <w:b/>
          <w:sz w:val="24"/>
          <w:szCs w:val="24"/>
        </w:rPr>
        <w:t>5. Ø</w:t>
      </w:r>
      <w:r w:rsidR="00285BBF" w:rsidRPr="006C19B3">
        <w:rPr>
          <w:rFonts w:ascii="Times New Roman" w:hAnsi="Times New Roman" w:cs="Times New Roman"/>
          <w:b/>
          <w:sz w:val="24"/>
          <w:szCs w:val="24"/>
        </w:rPr>
        <w:t xml:space="preserve">konomien i flåden </w:t>
      </w:r>
    </w:p>
    <w:p w14:paraId="3CCFD7E0" w14:textId="68C322C5" w:rsidR="00506878" w:rsidRDefault="00E822F1" w:rsidP="00E822F1">
      <w:pPr>
        <w:spacing w:after="0" w:line="276" w:lineRule="auto"/>
        <w:jc w:val="both"/>
        <w:rPr>
          <w:rFonts w:ascii="Times New Roman" w:hAnsi="Times New Roman" w:cs="Times New Roman"/>
        </w:rPr>
      </w:pPr>
      <w:r w:rsidRPr="00E822F1">
        <w:rPr>
          <w:rFonts w:ascii="Times New Roman" w:hAnsi="Times New Roman" w:cs="Times New Roman"/>
        </w:rPr>
        <w:t xml:space="preserve">Grønlands Statistik producerer og offentliggør statistik for eksport af fiskeprodukter fra Grønland for </w:t>
      </w:r>
      <w:r w:rsidR="00A733D8">
        <w:rPr>
          <w:rFonts w:ascii="Times New Roman" w:hAnsi="Times New Roman" w:cs="Times New Roman"/>
        </w:rPr>
        <w:t>hvert</w:t>
      </w:r>
      <w:r w:rsidRPr="00E822F1">
        <w:rPr>
          <w:rFonts w:ascii="Times New Roman" w:hAnsi="Times New Roman" w:cs="Times New Roman"/>
        </w:rPr>
        <w:t xml:space="preserve"> måned, kvartal og samlet pr. år. Det er dog ikke muligt at opdele statistik</w:t>
      </w:r>
      <w:r w:rsidR="00A733D8">
        <w:rPr>
          <w:rFonts w:ascii="Times New Roman" w:hAnsi="Times New Roman" w:cs="Times New Roman"/>
        </w:rPr>
        <w:t>ken</w:t>
      </w:r>
      <w:r w:rsidRPr="00E822F1">
        <w:rPr>
          <w:rFonts w:ascii="Times New Roman" w:hAnsi="Times New Roman" w:cs="Times New Roman"/>
        </w:rPr>
        <w:t xml:space="preserve"> på</w:t>
      </w:r>
      <w:r w:rsidR="00A733D8">
        <w:rPr>
          <w:rFonts w:ascii="Times New Roman" w:hAnsi="Times New Roman" w:cs="Times New Roman"/>
        </w:rPr>
        <w:t>,</w:t>
      </w:r>
      <w:r w:rsidRPr="00E822F1">
        <w:rPr>
          <w:rFonts w:ascii="Times New Roman" w:hAnsi="Times New Roman" w:cs="Times New Roman"/>
        </w:rPr>
        <w:t xml:space="preserve"> hvor meget af den enkelte art og produkt </w:t>
      </w:r>
      <w:r w:rsidR="00A733D8">
        <w:rPr>
          <w:rFonts w:ascii="Times New Roman" w:hAnsi="Times New Roman" w:cs="Times New Roman"/>
        </w:rPr>
        <w:t xml:space="preserve">der </w:t>
      </w:r>
      <w:r w:rsidRPr="00E822F1">
        <w:rPr>
          <w:rFonts w:ascii="Times New Roman" w:hAnsi="Times New Roman" w:cs="Times New Roman"/>
        </w:rPr>
        <w:t xml:space="preserve">er eksporterer direkte fra hhv. flåden og fabrikkerne. I forbindelse med </w:t>
      </w:r>
      <w:r w:rsidR="00A733D8">
        <w:rPr>
          <w:rFonts w:ascii="Times New Roman" w:hAnsi="Times New Roman" w:cs="Times New Roman"/>
        </w:rPr>
        <w:t xml:space="preserve">den </w:t>
      </w:r>
      <w:r w:rsidRPr="00E822F1">
        <w:rPr>
          <w:rFonts w:ascii="Times New Roman" w:hAnsi="Times New Roman" w:cs="Times New Roman"/>
        </w:rPr>
        <w:t>ny</w:t>
      </w:r>
      <w:r w:rsidR="00A733D8">
        <w:rPr>
          <w:rFonts w:ascii="Times New Roman" w:hAnsi="Times New Roman" w:cs="Times New Roman"/>
        </w:rPr>
        <w:t>e</w:t>
      </w:r>
      <w:r w:rsidRPr="00E822F1">
        <w:rPr>
          <w:rFonts w:ascii="Times New Roman" w:hAnsi="Times New Roman" w:cs="Times New Roman"/>
        </w:rPr>
        <w:t xml:space="preserve"> ressourceafgiftsmodel</w:t>
      </w:r>
      <w:r w:rsidR="00A733D8">
        <w:rPr>
          <w:rFonts w:ascii="Times New Roman" w:hAnsi="Times New Roman" w:cs="Times New Roman"/>
        </w:rPr>
        <w:t>,</w:t>
      </w:r>
      <w:r w:rsidR="00D5156C">
        <w:rPr>
          <w:rFonts w:ascii="Times New Roman" w:hAnsi="Times New Roman" w:cs="Times New Roman"/>
        </w:rPr>
        <w:t xml:space="preserve"> som trådte i kraft i 2018</w:t>
      </w:r>
      <w:r w:rsidR="00A733D8">
        <w:rPr>
          <w:rFonts w:ascii="Times New Roman" w:hAnsi="Times New Roman" w:cs="Times New Roman"/>
        </w:rPr>
        <w:t>,</w:t>
      </w:r>
      <w:r w:rsidRPr="00E822F1">
        <w:rPr>
          <w:rFonts w:ascii="Times New Roman" w:hAnsi="Times New Roman" w:cs="Times New Roman"/>
        </w:rPr>
        <w:t xml:space="preserve"> har selskaberne været forpligtig</w:t>
      </w:r>
      <w:r w:rsidR="00B77308">
        <w:rPr>
          <w:rFonts w:ascii="Times New Roman" w:hAnsi="Times New Roman" w:cs="Times New Roman"/>
        </w:rPr>
        <w:t>e</w:t>
      </w:r>
      <w:r w:rsidR="00A733D8">
        <w:rPr>
          <w:rFonts w:ascii="Times New Roman" w:hAnsi="Times New Roman" w:cs="Times New Roman"/>
        </w:rPr>
        <w:t>t</w:t>
      </w:r>
      <w:r w:rsidRPr="00E822F1">
        <w:rPr>
          <w:rFonts w:ascii="Times New Roman" w:hAnsi="Times New Roman" w:cs="Times New Roman"/>
        </w:rPr>
        <w:t xml:space="preserve"> til at opgive deres afgiftsgrundlag fra hhv. eksport og indhandling. Tallene for eksportværdierne fra det havgående </w:t>
      </w:r>
      <w:proofErr w:type="spellStart"/>
      <w:r w:rsidRPr="00E822F1">
        <w:rPr>
          <w:rFonts w:ascii="Times New Roman" w:hAnsi="Times New Roman" w:cs="Times New Roman"/>
        </w:rPr>
        <w:t>hvidfiskfiskeri</w:t>
      </w:r>
      <w:proofErr w:type="spellEnd"/>
      <w:r w:rsidR="00A733D8">
        <w:rPr>
          <w:rFonts w:ascii="Times New Roman" w:hAnsi="Times New Roman" w:cs="Times New Roman"/>
        </w:rPr>
        <w:t>,</w:t>
      </w:r>
      <w:r w:rsidRPr="00E822F1">
        <w:rPr>
          <w:rFonts w:ascii="Times New Roman" w:hAnsi="Times New Roman" w:cs="Times New Roman"/>
        </w:rPr>
        <w:t xml:space="preserve"> som vises i tabel </w:t>
      </w:r>
      <w:r w:rsidR="00CE3D43">
        <w:rPr>
          <w:rFonts w:ascii="Times New Roman" w:hAnsi="Times New Roman" w:cs="Times New Roman"/>
        </w:rPr>
        <w:t>10</w:t>
      </w:r>
      <w:r w:rsidR="00A733D8">
        <w:rPr>
          <w:rFonts w:ascii="Times New Roman" w:hAnsi="Times New Roman" w:cs="Times New Roman"/>
        </w:rPr>
        <w:t>, er</w:t>
      </w:r>
      <w:r w:rsidRPr="00E822F1">
        <w:rPr>
          <w:rFonts w:ascii="Times New Roman" w:hAnsi="Times New Roman" w:cs="Times New Roman"/>
        </w:rPr>
        <w:t xml:space="preserve"> fordelt på arter er opgjort på grundlag af data fra Skattestyrelsen.</w:t>
      </w:r>
    </w:p>
    <w:p w14:paraId="0C99853E" w14:textId="77777777" w:rsidR="00CF66BE" w:rsidRDefault="00CF66BE" w:rsidP="00E822F1">
      <w:pPr>
        <w:spacing w:after="0" w:line="276" w:lineRule="auto"/>
        <w:jc w:val="both"/>
        <w:rPr>
          <w:rFonts w:ascii="Times New Roman" w:hAnsi="Times New Roman" w:cs="Times New Roman"/>
        </w:rPr>
      </w:pPr>
    </w:p>
    <w:p w14:paraId="78995F55" w14:textId="77777777" w:rsidR="00AE39D5" w:rsidRDefault="00CF66BE" w:rsidP="00E822F1">
      <w:pPr>
        <w:spacing w:after="0" w:line="276" w:lineRule="auto"/>
        <w:jc w:val="both"/>
        <w:rPr>
          <w:rFonts w:ascii="Times New Roman" w:hAnsi="Times New Roman" w:cs="Times New Roman"/>
        </w:rPr>
      </w:pPr>
      <w:r>
        <w:rPr>
          <w:rFonts w:ascii="Times New Roman" w:hAnsi="Times New Roman" w:cs="Times New Roman"/>
        </w:rPr>
        <w:t xml:space="preserve">Det fremgår af tabel </w:t>
      </w:r>
      <w:r w:rsidR="00CE3D43">
        <w:rPr>
          <w:rFonts w:ascii="Times New Roman" w:hAnsi="Times New Roman" w:cs="Times New Roman"/>
        </w:rPr>
        <w:t>10</w:t>
      </w:r>
      <w:r w:rsidR="00A733D8">
        <w:rPr>
          <w:rFonts w:ascii="Times New Roman" w:hAnsi="Times New Roman" w:cs="Times New Roman"/>
        </w:rPr>
        <w:t>,</w:t>
      </w:r>
      <w:r>
        <w:rPr>
          <w:rFonts w:ascii="Times New Roman" w:hAnsi="Times New Roman" w:cs="Times New Roman"/>
        </w:rPr>
        <w:t xml:space="preserve"> at eksportværdien af hellefisk fanget af den havgående flåde var på ca. 372 mio.kr. i 2018. Eksportværdien steg til ca. 392 mio.kr. i 2019</w:t>
      </w:r>
      <w:r w:rsidR="00A733D8">
        <w:rPr>
          <w:rFonts w:ascii="Times New Roman" w:hAnsi="Times New Roman" w:cs="Times New Roman"/>
        </w:rPr>
        <w:t>,</w:t>
      </w:r>
      <w:r>
        <w:rPr>
          <w:rFonts w:ascii="Times New Roman" w:hAnsi="Times New Roman" w:cs="Times New Roman"/>
        </w:rPr>
        <w:t xml:space="preserve"> men på grund af fald i priserne i 2020 </w:t>
      </w:r>
      <w:r w:rsidR="00A733D8">
        <w:rPr>
          <w:rFonts w:ascii="Times New Roman" w:hAnsi="Times New Roman" w:cs="Times New Roman"/>
        </w:rPr>
        <w:t xml:space="preserve">som </w:t>
      </w:r>
      <w:r>
        <w:rPr>
          <w:rFonts w:ascii="Times New Roman" w:hAnsi="Times New Roman" w:cs="Times New Roman"/>
        </w:rPr>
        <w:t xml:space="preserve">følge </w:t>
      </w:r>
      <w:r w:rsidR="00A733D8">
        <w:rPr>
          <w:rFonts w:ascii="Times New Roman" w:hAnsi="Times New Roman" w:cs="Times New Roman"/>
        </w:rPr>
        <w:t xml:space="preserve">af </w:t>
      </w:r>
      <w:r>
        <w:rPr>
          <w:rFonts w:ascii="Times New Roman" w:hAnsi="Times New Roman" w:cs="Times New Roman"/>
        </w:rPr>
        <w:t>COVID-pandemien</w:t>
      </w:r>
      <w:r w:rsidR="00A733D8">
        <w:rPr>
          <w:rFonts w:ascii="Times New Roman" w:hAnsi="Times New Roman" w:cs="Times New Roman"/>
        </w:rPr>
        <w:t>,</w:t>
      </w:r>
      <w:r>
        <w:rPr>
          <w:rFonts w:ascii="Times New Roman" w:hAnsi="Times New Roman" w:cs="Times New Roman"/>
        </w:rPr>
        <w:t xml:space="preserve"> blev den reduceret til ca. 356 mio.kr. Eksportværdien af torsk var på ca. 265 mio.kr. i 2018 og steg til 295,8 mio.kr. i 2019. Eksportværdien af torsk faldt i 2020 til 280,3 mio.kr. på grund af lavere fangstmængder. </w:t>
      </w:r>
    </w:p>
    <w:p w14:paraId="2EEB287B" w14:textId="77777777" w:rsidR="00AE39D5" w:rsidRDefault="00AE39D5" w:rsidP="00E822F1">
      <w:pPr>
        <w:spacing w:after="0" w:line="276" w:lineRule="auto"/>
        <w:jc w:val="both"/>
        <w:rPr>
          <w:rFonts w:ascii="Times New Roman" w:hAnsi="Times New Roman" w:cs="Times New Roman"/>
        </w:rPr>
      </w:pPr>
    </w:p>
    <w:p w14:paraId="0E7CC00B" w14:textId="77777777" w:rsidR="00CF66BE" w:rsidRDefault="00CF66BE" w:rsidP="00E822F1">
      <w:pPr>
        <w:spacing w:after="0" w:line="276" w:lineRule="auto"/>
        <w:jc w:val="both"/>
        <w:rPr>
          <w:rFonts w:ascii="Times New Roman" w:hAnsi="Times New Roman" w:cs="Times New Roman"/>
        </w:rPr>
      </w:pPr>
      <w:r>
        <w:rPr>
          <w:rFonts w:ascii="Times New Roman" w:hAnsi="Times New Roman" w:cs="Times New Roman"/>
        </w:rPr>
        <w:t xml:space="preserve">Trods COVID-pandemien steg den gennemsnitlige eksportpris pr.kg. hos den havgående flåde fra 16,8 kr.kg. i 2019 til 16,9 kr.kg. i 2020. De samlede fangstmængder rødfisk, kuller og sej er relative </w:t>
      </w:r>
      <w:r w:rsidR="00A733D8">
        <w:rPr>
          <w:rFonts w:ascii="Times New Roman" w:hAnsi="Times New Roman" w:cs="Times New Roman"/>
        </w:rPr>
        <w:t>små</w:t>
      </w:r>
      <w:r>
        <w:rPr>
          <w:rFonts w:ascii="Times New Roman" w:hAnsi="Times New Roman" w:cs="Times New Roman"/>
        </w:rPr>
        <w:t xml:space="preserve"> i forhold til fangstmængder af hellefisk og torsk. Den samlede eksportværdi fra disse arter lå i perioden 2018 til 2020 mellem 36,6 mio.kr. til 46 mio.kr.</w:t>
      </w:r>
    </w:p>
    <w:p w14:paraId="62E012CD" w14:textId="77777777" w:rsidR="00CF66BE" w:rsidRDefault="00CF66BE" w:rsidP="00E822F1">
      <w:pPr>
        <w:spacing w:after="0" w:line="276" w:lineRule="auto"/>
        <w:jc w:val="both"/>
        <w:rPr>
          <w:rFonts w:ascii="Times New Roman" w:hAnsi="Times New Roman" w:cs="Times New Roman"/>
        </w:rPr>
      </w:pPr>
    </w:p>
    <w:p w14:paraId="493E3423" w14:textId="77777777" w:rsidR="00AE39D5" w:rsidRDefault="00AE39D5" w:rsidP="00E822F1">
      <w:pPr>
        <w:spacing w:after="0" w:line="276" w:lineRule="auto"/>
        <w:jc w:val="both"/>
        <w:rPr>
          <w:rFonts w:ascii="Times New Roman" w:hAnsi="Times New Roman" w:cs="Times New Roman"/>
        </w:rPr>
      </w:pPr>
    </w:p>
    <w:p w14:paraId="7263119B" w14:textId="77777777" w:rsidR="00AE39D5" w:rsidRDefault="00AE39D5" w:rsidP="00E822F1">
      <w:pPr>
        <w:spacing w:after="0" w:line="276" w:lineRule="auto"/>
        <w:jc w:val="both"/>
        <w:rPr>
          <w:rFonts w:ascii="Times New Roman" w:hAnsi="Times New Roman" w:cs="Times New Roman"/>
        </w:rPr>
      </w:pPr>
    </w:p>
    <w:p w14:paraId="5DA760EA" w14:textId="77777777" w:rsidR="00AE39D5" w:rsidRDefault="00AE39D5" w:rsidP="00E822F1">
      <w:pPr>
        <w:spacing w:after="0" w:line="276" w:lineRule="auto"/>
        <w:jc w:val="both"/>
        <w:rPr>
          <w:rFonts w:ascii="Times New Roman" w:hAnsi="Times New Roman" w:cs="Times New Roman"/>
        </w:rPr>
      </w:pPr>
    </w:p>
    <w:p w14:paraId="793DE9B7" w14:textId="77777777" w:rsidR="00AE39D5" w:rsidRDefault="00AE39D5" w:rsidP="00E822F1">
      <w:pPr>
        <w:spacing w:after="0" w:line="276" w:lineRule="auto"/>
        <w:jc w:val="both"/>
        <w:rPr>
          <w:rFonts w:ascii="Times New Roman" w:hAnsi="Times New Roman" w:cs="Times New Roman"/>
        </w:rPr>
      </w:pPr>
    </w:p>
    <w:p w14:paraId="573C0338" w14:textId="77777777" w:rsidR="00AE39D5" w:rsidRDefault="00AE39D5" w:rsidP="00E822F1">
      <w:pPr>
        <w:spacing w:after="0" w:line="276" w:lineRule="auto"/>
        <w:jc w:val="both"/>
        <w:rPr>
          <w:rFonts w:ascii="Times New Roman" w:hAnsi="Times New Roman" w:cs="Times New Roman"/>
        </w:rPr>
      </w:pPr>
    </w:p>
    <w:p w14:paraId="3454715B" w14:textId="77777777" w:rsidR="00AE39D5" w:rsidRDefault="00AE39D5" w:rsidP="00E822F1">
      <w:pPr>
        <w:spacing w:after="0" w:line="276" w:lineRule="auto"/>
        <w:jc w:val="both"/>
        <w:rPr>
          <w:rFonts w:ascii="Times New Roman" w:hAnsi="Times New Roman" w:cs="Times New Roman"/>
        </w:rPr>
      </w:pPr>
    </w:p>
    <w:p w14:paraId="268D8D1F" w14:textId="77777777" w:rsidR="00AE39D5" w:rsidRDefault="00AE39D5" w:rsidP="00E822F1">
      <w:pPr>
        <w:spacing w:after="0" w:line="276" w:lineRule="auto"/>
        <w:jc w:val="both"/>
        <w:rPr>
          <w:rFonts w:ascii="Times New Roman" w:hAnsi="Times New Roman" w:cs="Times New Roman"/>
        </w:rPr>
      </w:pPr>
    </w:p>
    <w:p w14:paraId="1F6BA8AB" w14:textId="77777777" w:rsidR="00AE39D5" w:rsidRDefault="00AE39D5" w:rsidP="00E822F1">
      <w:pPr>
        <w:spacing w:after="0" w:line="276" w:lineRule="auto"/>
        <w:jc w:val="both"/>
        <w:rPr>
          <w:rFonts w:ascii="Times New Roman" w:hAnsi="Times New Roman" w:cs="Times New Roman"/>
        </w:rPr>
      </w:pPr>
    </w:p>
    <w:p w14:paraId="003269C3" w14:textId="77777777" w:rsidR="00AE39D5" w:rsidRDefault="00AE39D5" w:rsidP="00E822F1">
      <w:pPr>
        <w:spacing w:after="0" w:line="276" w:lineRule="auto"/>
        <w:jc w:val="both"/>
        <w:rPr>
          <w:rFonts w:ascii="Times New Roman" w:hAnsi="Times New Roman" w:cs="Times New Roman"/>
        </w:rPr>
      </w:pPr>
    </w:p>
    <w:p w14:paraId="291015D0" w14:textId="2119BF7A" w:rsidR="00D5156C" w:rsidRDefault="00D5156C" w:rsidP="00D5156C">
      <w:pPr>
        <w:spacing w:after="0" w:line="276" w:lineRule="auto"/>
        <w:contextualSpacing/>
        <w:jc w:val="both"/>
        <w:rPr>
          <w:rFonts w:ascii="Times New Roman" w:hAnsi="Times New Roman" w:cs="Times New Roman"/>
        </w:rPr>
      </w:pPr>
      <w:r>
        <w:rPr>
          <w:rFonts w:ascii="Times New Roman" w:hAnsi="Times New Roman" w:cs="Times New Roman"/>
        </w:rPr>
        <w:t xml:space="preserve">Tabel </w:t>
      </w:r>
      <w:r w:rsidR="00CE3D43">
        <w:rPr>
          <w:rFonts w:ascii="Times New Roman" w:hAnsi="Times New Roman" w:cs="Times New Roman"/>
        </w:rPr>
        <w:t>10</w:t>
      </w:r>
      <w:r>
        <w:rPr>
          <w:rFonts w:ascii="Times New Roman" w:hAnsi="Times New Roman" w:cs="Times New Roman"/>
        </w:rPr>
        <w:t xml:space="preserve">: Udvikling i eksportværdi </w:t>
      </w:r>
      <w:r w:rsidR="009265D8">
        <w:rPr>
          <w:rFonts w:ascii="Times New Roman" w:hAnsi="Times New Roman" w:cs="Times New Roman"/>
        </w:rPr>
        <w:t xml:space="preserve">og priser </w:t>
      </w:r>
      <w:r>
        <w:rPr>
          <w:rFonts w:ascii="Times New Roman" w:hAnsi="Times New Roman" w:cs="Times New Roman"/>
        </w:rPr>
        <w:t xml:space="preserve">fra det havgående </w:t>
      </w:r>
      <w:proofErr w:type="spellStart"/>
      <w:r>
        <w:rPr>
          <w:rFonts w:ascii="Times New Roman" w:hAnsi="Times New Roman" w:cs="Times New Roman"/>
        </w:rPr>
        <w:t>hvidfiskfiskeri</w:t>
      </w:r>
      <w:proofErr w:type="spellEnd"/>
      <w:r>
        <w:rPr>
          <w:rFonts w:ascii="Times New Roman" w:hAnsi="Times New Roman" w:cs="Times New Roman"/>
        </w:rPr>
        <w:t xml:space="preserve"> fordelt på arter, 2018-2020.</w:t>
      </w:r>
    </w:p>
    <w:tbl>
      <w:tblPr>
        <w:tblW w:w="5000" w:type="pct"/>
        <w:tblCellMar>
          <w:left w:w="70" w:type="dxa"/>
          <w:right w:w="70" w:type="dxa"/>
        </w:tblCellMar>
        <w:tblLook w:val="04A0" w:firstRow="1" w:lastRow="0" w:firstColumn="1" w:lastColumn="0" w:noHBand="0" w:noVBand="1"/>
      </w:tblPr>
      <w:tblGrid>
        <w:gridCol w:w="3719"/>
        <w:gridCol w:w="2303"/>
        <w:gridCol w:w="1804"/>
        <w:gridCol w:w="1802"/>
      </w:tblGrid>
      <w:tr w:rsidR="00DC6D6D" w:rsidRPr="00DC6D6D" w14:paraId="75354E4F" w14:textId="77777777" w:rsidTr="00EA105A">
        <w:trPr>
          <w:trHeight w:val="301"/>
        </w:trPr>
        <w:tc>
          <w:tcPr>
            <w:tcW w:w="1931" w:type="pct"/>
            <w:tcBorders>
              <w:top w:val="single" w:sz="4" w:space="0" w:color="auto"/>
              <w:left w:val="single" w:sz="4" w:space="0" w:color="auto"/>
              <w:bottom w:val="nil"/>
              <w:right w:val="nil"/>
            </w:tcBorders>
            <w:shd w:val="clear" w:color="000000" w:fill="FFFFFF"/>
            <w:noWrap/>
            <w:vAlign w:val="bottom"/>
            <w:hideMark/>
          </w:tcPr>
          <w:p w14:paraId="69219A56"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1196" w:type="pct"/>
            <w:tcBorders>
              <w:top w:val="single" w:sz="4" w:space="0" w:color="auto"/>
              <w:left w:val="single" w:sz="4" w:space="0" w:color="auto"/>
              <w:bottom w:val="nil"/>
              <w:right w:val="single" w:sz="4" w:space="0" w:color="auto"/>
            </w:tcBorders>
            <w:shd w:val="clear" w:color="000000" w:fill="FFFFFF"/>
            <w:noWrap/>
            <w:vAlign w:val="bottom"/>
            <w:hideMark/>
          </w:tcPr>
          <w:p w14:paraId="492AD24C"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937" w:type="pct"/>
            <w:tcBorders>
              <w:top w:val="single" w:sz="4" w:space="0" w:color="auto"/>
              <w:left w:val="nil"/>
              <w:bottom w:val="nil"/>
              <w:right w:val="nil"/>
            </w:tcBorders>
            <w:shd w:val="clear" w:color="000000" w:fill="FFFFFF"/>
            <w:noWrap/>
            <w:vAlign w:val="bottom"/>
            <w:hideMark/>
          </w:tcPr>
          <w:p w14:paraId="0AD28D85"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937" w:type="pct"/>
            <w:tcBorders>
              <w:top w:val="single" w:sz="4" w:space="0" w:color="auto"/>
              <w:left w:val="single" w:sz="4" w:space="0" w:color="auto"/>
              <w:bottom w:val="nil"/>
              <w:right w:val="single" w:sz="4" w:space="0" w:color="auto"/>
            </w:tcBorders>
            <w:shd w:val="clear" w:color="000000" w:fill="FFFFFF"/>
            <w:noWrap/>
            <w:vAlign w:val="bottom"/>
            <w:hideMark/>
          </w:tcPr>
          <w:p w14:paraId="4A8BEDF9"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r>
      <w:tr w:rsidR="00DC6D6D" w:rsidRPr="00DC6D6D" w14:paraId="1CC3CDD1" w14:textId="77777777" w:rsidTr="00EA105A">
        <w:trPr>
          <w:trHeight w:val="301"/>
        </w:trPr>
        <w:tc>
          <w:tcPr>
            <w:tcW w:w="1931" w:type="pct"/>
            <w:tcBorders>
              <w:top w:val="nil"/>
              <w:left w:val="single" w:sz="4" w:space="0" w:color="auto"/>
              <w:bottom w:val="single" w:sz="4" w:space="0" w:color="auto"/>
              <w:right w:val="nil"/>
            </w:tcBorders>
            <w:shd w:val="clear" w:color="000000" w:fill="FFFFFF"/>
            <w:noWrap/>
            <w:vAlign w:val="bottom"/>
            <w:hideMark/>
          </w:tcPr>
          <w:p w14:paraId="190A1946"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1196" w:type="pct"/>
            <w:tcBorders>
              <w:top w:val="nil"/>
              <w:left w:val="single" w:sz="4" w:space="0" w:color="auto"/>
              <w:bottom w:val="single" w:sz="4" w:space="0" w:color="auto"/>
              <w:right w:val="single" w:sz="4" w:space="0" w:color="auto"/>
            </w:tcBorders>
            <w:shd w:val="clear" w:color="000000" w:fill="FFFFFF"/>
            <w:noWrap/>
            <w:vAlign w:val="bottom"/>
            <w:hideMark/>
          </w:tcPr>
          <w:p w14:paraId="33784D8D" w14:textId="77777777" w:rsidR="00DC6D6D" w:rsidRPr="00DC6D6D" w:rsidRDefault="00DC6D6D" w:rsidP="00DC6D6D">
            <w:pPr>
              <w:spacing w:after="0" w:line="240" w:lineRule="auto"/>
              <w:jc w:val="right"/>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2018</w:t>
            </w:r>
          </w:p>
        </w:tc>
        <w:tc>
          <w:tcPr>
            <w:tcW w:w="937" w:type="pct"/>
            <w:tcBorders>
              <w:top w:val="nil"/>
              <w:left w:val="nil"/>
              <w:bottom w:val="single" w:sz="4" w:space="0" w:color="auto"/>
              <w:right w:val="nil"/>
            </w:tcBorders>
            <w:shd w:val="clear" w:color="000000" w:fill="FFFFFF"/>
            <w:noWrap/>
            <w:vAlign w:val="bottom"/>
            <w:hideMark/>
          </w:tcPr>
          <w:p w14:paraId="2943D9C3" w14:textId="77777777" w:rsidR="00DC6D6D" w:rsidRPr="00DC6D6D" w:rsidRDefault="00DC6D6D" w:rsidP="00DC6D6D">
            <w:pPr>
              <w:spacing w:after="0" w:line="240" w:lineRule="auto"/>
              <w:jc w:val="right"/>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2019</w:t>
            </w:r>
          </w:p>
        </w:tc>
        <w:tc>
          <w:tcPr>
            <w:tcW w:w="937" w:type="pct"/>
            <w:tcBorders>
              <w:top w:val="nil"/>
              <w:left w:val="single" w:sz="4" w:space="0" w:color="auto"/>
              <w:bottom w:val="single" w:sz="4" w:space="0" w:color="auto"/>
              <w:right w:val="single" w:sz="4" w:space="0" w:color="auto"/>
            </w:tcBorders>
            <w:shd w:val="clear" w:color="000000" w:fill="FFFFFF"/>
            <w:noWrap/>
            <w:vAlign w:val="bottom"/>
            <w:hideMark/>
          </w:tcPr>
          <w:p w14:paraId="2B05E8E1" w14:textId="77777777" w:rsidR="00DC6D6D" w:rsidRPr="00DC6D6D" w:rsidRDefault="00DC6D6D" w:rsidP="00DC6D6D">
            <w:pPr>
              <w:spacing w:after="0" w:line="240" w:lineRule="auto"/>
              <w:jc w:val="right"/>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2020</w:t>
            </w:r>
          </w:p>
        </w:tc>
      </w:tr>
      <w:tr w:rsidR="00DC6D6D" w:rsidRPr="00DC6D6D" w14:paraId="62560AB5" w14:textId="77777777" w:rsidTr="00EA105A">
        <w:trPr>
          <w:trHeight w:val="301"/>
        </w:trPr>
        <w:tc>
          <w:tcPr>
            <w:tcW w:w="1931" w:type="pct"/>
            <w:tcBorders>
              <w:top w:val="nil"/>
              <w:left w:val="single" w:sz="4" w:space="0" w:color="auto"/>
              <w:bottom w:val="single" w:sz="4" w:space="0" w:color="auto"/>
              <w:right w:val="nil"/>
            </w:tcBorders>
            <w:shd w:val="clear" w:color="000000" w:fill="F2F2F2"/>
            <w:noWrap/>
            <w:vAlign w:val="bottom"/>
            <w:hideMark/>
          </w:tcPr>
          <w:p w14:paraId="1EBB88BE"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Eksportværdi, mio.kr.</w:t>
            </w:r>
          </w:p>
        </w:tc>
        <w:tc>
          <w:tcPr>
            <w:tcW w:w="1196" w:type="pct"/>
            <w:tcBorders>
              <w:top w:val="nil"/>
              <w:left w:val="single" w:sz="4" w:space="0" w:color="auto"/>
              <w:bottom w:val="single" w:sz="4" w:space="0" w:color="auto"/>
              <w:right w:val="single" w:sz="4" w:space="0" w:color="auto"/>
            </w:tcBorders>
            <w:shd w:val="clear" w:color="000000" w:fill="F2F2F2"/>
            <w:noWrap/>
            <w:vAlign w:val="bottom"/>
            <w:hideMark/>
          </w:tcPr>
          <w:p w14:paraId="1B79B53F"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937" w:type="pct"/>
            <w:tcBorders>
              <w:top w:val="nil"/>
              <w:left w:val="nil"/>
              <w:bottom w:val="single" w:sz="4" w:space="0" w:color="auto"/>
              <w:right w:val="nil"/>
            </w:tcBorders>
            <w:shd w:val="clear" w:color="000000" w:fill="F2F2F2"/>
            <w:noWrap/>
            <w:vAlign w:val="bottom"/>
            <w:hideMark/>
          </w:tcPr>
          <w:p w14:paraId="272AEBA9"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937" w:type="pct"/>
            <w:tcBorders>
              <w:top w:val="nil"/>
              <w:left w:val="single" w:sz="4" w:space="0" w:color="auto"/>
              <w:bottom w:val="single" w:sz="4" w:space="0" w:color="auto"/>
              <w:right w:val="single" w:sz="4" w:space="0" w:color="auto"/>
            </w:tcBorders>
            <w:shd w:val="clear" w:color="000000" w:fill="F2F2F2"/>
            <w:noWrap/>
            <w:vAlign w:val="bottom"/>
            <w:hideMark/>
          </w:tcPr>
          <w:p w14:paraId="349F6798"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r>
      <w:tr w:rsidR="00DC6D6D" w:rsidRPr="00DC6D6D" w14:paraId="01E16E94"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19E5AF74" w14:textId="77777777" w:rsidR="00DC6D6D" w:rsidRPr="00DC6D6D" w:rsidRDefault="00DC6D6D" w:rsidP="00DC6D6D">
            <w:pPr>
              <w:spacing w:after="0" w:line="240" w:lineRule="auto"/>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Hellefisk</w:t>
            </w:r>
          </w:p>
        </w:tc>
        <w:tc>
          <w:tcPr>
            <w:tcW w:w="1196" w:type="pct"/>
            <w:tcBorders>
              <w:top w:val="nil"/>
              <w:left w:val="nil"/>
              <w:bottom w:val="single" w:sz="4" w:space="0" w:color="auto"/>
              <w:right w:val="single" w:sz="4" w:space="0" w:color="auto"/>
            </w:tcBorders>
            <w:shd w:val="clear" w:color="000000" w:fill="FFFFFF"/>
            <w:noWrap/>
            <w:vAlign w:val="bottom"/>
            <w:hideMark/>
          </w:tcPr>
          <w:p w14:paraId="1B88A59F"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371,7</w:t>
            </w:r>
          </w:p>
        </w:tc>
        <w:tc>
          <w:tcPr>
            <w:tcW w:w="937" w:type="pct"/>
            <w:tcBorders>
              <w:top w:val="nil"/>
              <w:left w:val="nil"/>
              <w:bottom w:val="single" w:sz="4" w:space="0" w:color="auto"/>
              <w:right w:val="single" w:sz="4" w:space="0" w:color="auto"/>
            </w:tcBorders>
            <w:shd w:val="clear" w:color="000000" w:fill="FFFFFF"/>
            <w:noWrap/>
            <w:vAlign w:val="bottom"/>
            <w:hideMark/>
          </w:tcPr>
          <w:p w14:paraId="64468C3E"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391,8</w:t>
            </w:r>
          </w:p>
        </w:tc>
        <w:tc>
          <w:tcPr>
            <w:tcW w:w="937" w:type="pct"/>
            <w:tcBorders>
              <w:top w:val="nil"/>
              <w:left w:val="nil"/>
              <w:bottom w:val="single" w:sz="4" w:space="0" w:color="auto"/>
              <w:right w:val="single" w:sz="4" w:space="0" w:color="auto"/>
            </w:tcBorders>
            <w:shd w:val="clear" w:color="000000" w:fill="FFFFFF"/>
            <w:noWrap/>
            <w:vAlign w:val="bottom"/>
            <w:hideMark/>
          </w:tcPr>
          <w:p w14:paraId="017F0B4E"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356,1</w:t>
            </w:r>
          </w:p>
        </w:tc>
      </w:tr>
      <w:tr w:rsidR="00DC6D6D" w:rsidRPr="00DC6D6D" w14:paraId="32A08784"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405BE2EF" w14:textId="77777777" w:rsidR="00DC6D6D" w:rsidRPr="00DC6D6D" w:rsidRDefault="00DC6D6D" w:rsidP="00DC6D6D">
            <w:pPr>
              <w:spacing w:after="0" w:line="240" w:lineRule="auto"/>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Torsk</w:t>
            </w:r>
          </w:p>
        </w:tc>
        <w:tc>
          <w:tcPr>
            <w:tcW w:w="1196" w:type="pct"/>
            <w:tcBorders>
              <w:top w:val="nil"/>
              <w:left w:val="nil"/>
              <w:bottom w:val="single" w:sz="4" w:space="0" w:color="auto"/>
              <w:right w:val="single" w:sz="4" w:space="0" w:color="auto"/>
            </w:tcBorders>
            <w:shd w:val="clear" w:color="000000" w:fill="FFFFFF"/>
            <w:noWrap/>
            <w:vAlign w:val="bottom"/>
            <w:hideMark/>
          </w:tcPr>
          <w:p w14:paraId="201DAE86"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265,3</w:t>
            </w:r>
          </w:p>
        </w:tc>
        <w:tc>
          <w:tcPr>
            <w:tcW w:w="937" w:type="pct"/>
            <w:tcBorders>
              <w:top w:val="nil"/>
              <w:left w:val="nil"/>
              <w:bottom w:val="single" w:sz="4" w:space="0" w:color="auto"/>
              <w:right w:val="single" w:sz="4" w:space="0" w:color="auto"/>
            </w:tcBorders>
            <w:shd w:val="clear" w:color="000000" w:fill="FFFFFF"/>
            <w:noWrap/>
            <w:vAlign w:val="bottom"/>
            <w:hideMark/>
          </w:tcPr>
          <w:p w14:paraId="2DBCFEAE"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295,8</w:t>
            </w:r>
          </w:p>
        </w:tc>
        <w:tc>
          <w:tcPr>
            <w:tcW w:w="937" w:type="pct"/>
            <w:tcBorders>
              <w:top w:val="nil"/>
              <w:left w:val="nil"/>
              <w:bottom w:val="single" w:sz="4" w:space="0" w:color="auto"/>
              <w:right w:val="single" w:sz="4" w:space="0" w:color="auto"/>
            </w:tcBorders>
            <w:shd w:val="clear" w:color="000000" w:fill="FFFFFF"/>
            <w:noWrap/>
            <w:vAlign w:val="bottom"/>
            <w:hideMark/>
          </w:tcPr>
          <w:p w14:paraId="4683354C"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280,3</w:t>
            </w:r>
          </w:p>
        </w:tc>
      </w:tr>
      <w:tr w:rsidR="00DC6D6D" w:rsidRPr="00DC6D6D" w14:paraId="764D1925"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537BA3CD" w14:textId="77777777" w:rsidR="00DC6D6D" w:rsidRPr="00DC6D6D" w:rsidRDefault="00DC6D6D" w:rsidP="00DC6D6D">
            <w:pPr>
              <w:spacing w:after="0" w:line="240" w:lineRule="auto"/>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Rødfisk, kuller og sej</w:t>
            </w:r>
          </w:p>
        </w:tc>
        <w:tc>
          <w:tcPr>
            <w:tcW w:w="1196" w:type="pct"/>
            <w:tcBorders>
              <w:top w:val="nil"/>
              <w:left w:val="nil"/>
              <w:bottom w:val="single" w:sz="4" w:space="0" w:color="auto"/>
              <w:right w:val="single" w:sz="4" w:space="0" w:color="auto"/>
            </w:tcBorders>
            <w:shd w:val="clear" w:color="000000" w:fill="FFFFFF"/>
            <w:noWrap/>
            <w:vAlign w:val="bottom"/>
            <w:hideMark/>
          </w:tcPr>
          <w:p w14:paraId="4947C8F0"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46,0</w:t>
            </w:r>
          </w:p>
        </w:tc>
        <w:tc>
          <w:tcPr>
            <w:tcW w:w="937" w:type="pct"/>
            <w:tcBorders>
              <w:top w:val="nil"/>
              <w:left w:val="nil"/>
              <w:bottom w:val="single" w:sz="4" w:space="0" w:color="auto"/>
              <w:right w:val="single" w:sz="4" w:space="0" w:color="auto"/>
            </w:tcBorders>
            <w:shd w:val="clear" w:color="000000" w:fill="FFFFFF"/>
            <w:noWrap/>
            <w:vAlign w:val="bottom"/>
            <w:hideMark/>
          </w:tcPr>
          <w:p w14:paraId="61F47461"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41,5</w:t>
            </w:r>
          </w:p>
        </w:tc>
        <w:tc>
          <w:tcPr>
            <w:tcW w:w="937" w:type="pct"/>
            <w:tcBorders>
              <w:top w:val="nil"/>
              <w:left w:val="nil"/>
              <w:bottom w:val="single" w:sz="4" w:space="0" w:color="auto"/>
              <w:right w:val="single" w:sz="4" w:space="0" w:color="auto"/>
            </w:tcBorders>
            <w:shd w:val="clear" w:color="000000" w:fill="FFFFFF"/>
            <w:noWrap/>
            <w:vAlign w:val="bottom"/>
            <w:hideMark/>
          </w:tcPr>
          <w:p w14:paraId="7A219B3B"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36,6</w:t>
            </w:r>
          </w:p>
        </w:tc>
      </w:tr>
      <w:tr w:rsidR="00DC6D6D" w:rsidRPr="00DC6D6D" w14:paraId="52F88A52"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06CAA43E"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I alt</w:t>
            </w:r>
          </w:p>
        </w:tc>
        <w:tc>
          <w:tcPr>
            <w:tcW w:w="1196" w:type="pct"/>
            <w:tcBorders>
              <w:top w:val="nil"/>
              <w:left w:val="nil"/>
              <w:bottom w:val="single" w:sz="4" w:space="0" w:color="auto"/>
              <w:right w:val="single" w:sz="4" w:space="0" w:color="auto"/>
            </w:tcBorders>
            <w:shd w:val="clear" w:color="000000" w:fill="FFFFFF"/>
            <w:noWrap/>
            <w:vAlign w:val="bottom"/>
            <w:hideMark/>
          </w:tcPr>
          <w:p w14:paraId="270BA57B" w14:textId="77777777" w:rsidR="00DC6D6D" w:rsidRPr="00DC6D6D" w:rsidRDefault="00DC6D6D" w:rsidP="00DC6D6D">
            <w:pPr>
              <w:spacing w:after="0" w:line="240" w:lineRule="auto"/>
              <w:jc w:val="right"/>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683,0</w:t>
            </w:r>
          </w:p>
        </w:tc>
        <w:tc>
          <w:tcPr>
            <w:tcW w:w="937" w:type="pct"/>
            <w:tcBorders>
              <w:top w:val="nil"/>
              <w:left w:val="nil"/>
              <w:bottom w:val="single" w:sz="4" w:space="0" w:color="auto"/>
              <w:right w:val="single" w:sz="4" w:space="0" w:color="auto"/>
            </w:tcBorders>
            <w:shd w:val="clear" w:color="000000" w:fill="FFFFFF"/>
            <w:noWrap/>
            <w:vAlign w:val="bottom"/>
            <w:hideMark/>
          </w:tcPr>
          <w:p w14:paraId="04D83A0D" w14:textId="77777777" w:rsidR="00DC6D6D" w:rsidRPr="00DC6D6D" w:rsidRDefault="00DC6D6D" w:rsidP="00DC6D6D">
            <w:pPr>
              <w:spacing w:after="0" w:line="240" w:lineRule="auto"/>
              <w:jc w:val="right"/>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729,2</w:t>
            </w:r>
          </w:p>
        </w:tc>
        <w:tc>
          <w:tcPr>
            <w:tcW w:w="937" w:type="pct"/>
            <w:tcBorders>
              <w:top w:val="nil"/>
              <w:left w:val="nil"/>
              <w:bottom w:val="single" w:sz="4" w:space="0" w:color="auto"/>
              <w:right w:val="single" w:sz="4" w:space="0" w:color="auto"/>
            </w:tcBorders>
            <w:shd w:val="clear" w:color="000000" w:fill="FFFFFF"/>
            <w:noWrap/>
            <w:vAlign w:val="bottom"/>
            <w:hideMark/>
          </w:tcPr>
          <w:p w14:paraId="7637BA71" w14:textId="77777777" w:rsidR="00DC6D6D" w:rsidRPr="00DC6D6D" w:rsidRDefault="00DC6D6D" w:rsidP="00DC6D6D">
            <w:pPr>
              <w:spacing w:after="0" w:line="240" w:lineRule="auto"/>
              <w:jc w:val="right"/>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673,0</w:t>
            </w:r>
          </w:p>
        </w:tc>
      </w:tr>
      <w:tr w:rsidR="00DC6D6D" w:rsidRPr="00DC6D6D" w14:paraId="3FDAF9DC"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2F2F2"/>
            <w:noWrap/>
            <w:vAlign w:val="bottom"/>
            <w:hideMark/>
          </w:tcPr>
          <w:p w14:paraId="23DF3CA4"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proofErr w:type="spellStart"/>
            <w:r w:rsidRPr="00DC6D6D">
              <w:rPr>
                <w:rFonts w:ascii="Times New Roman" w:eastAsia="Times New Roman" w:hAnsi="Times New Roman" w:cs="Times New Roman"/>
                <w:b/>
                <w:bCs/>
                <w:color w:val="000000"/>
                <w:sz w:val="20"/>
                <w:szCs w:val="20"/>
                <w:lang w:eastAsia="da-DK"/>
              </w:rPr>
              <w:t>Gns.eksportpriser</w:t>
            </w:r>
            <w:proofErr w:type="spellEnd"/>
            <w:r w:rsidRPr="00DC6D6D">
              <w:rPr>
                <w:rFonts w:ascii="Times New Roman" w:eastAsia="Times New Roman" w:hAnsi="Times New Roman" w:cs="Times New Roman"/>
                <w:b/>
                <w:bCs/>
                <w:color w:val="000000"/>
                <w:sz w:val="20"/>
                <w:szCs w:val="20"/>
                <w:lang w:eastAsia="da-DK"/>
              </w:rPr>
              <w:t>, kr.pr.kg.</w:t>
            </w:r>
          </w:p>
        </w:tc>
        <w:tc>
          <w:tcPr>
            <w:tcW w:w="1196" w:type="pct"/>
            <w:tcBorders>
              <w:top w:val="nil"/>
              <w:left w:val="nil"/>
              <w:bottom w:val="single" w:sz="4" w:space="0" w:color="auto"/>
              <w:right w:val="single" w:sz="4" w:space="0" w:color="auto"/>
            </w:tcBorders>
            <w:shd w:val="clear" w:color="000000" w:fill="F2F2F2"/>
            <w:noWrap/>
            <w:vAlign w:val="bottom"/>
            <w:hideMark/>
          </w:tcPr>
          <w:p w14:paraId="462612AE"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937" w:type="pct"/>
            <w:tcBorders>
              <w:top w:val="nil"/>
              <w:left w:val="nil"/>
              <w:bottom w:val="single" w:sz="4" w:space="0" w:color="auto"/>
              <w:right w:val="single" w:sz="4" w:space="0" w:color="auto"/>
            </w:tcBorders>
            <w:shd w:val="clear" w:color="000000" w:fill="F2F2F2"/>
            <w:noWrap/>
            <w:vAlign w:val="bottom"/>
            <w:hideMark/>
          </w:tcPr>
          <w:p w14:paraId="3DA77268"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c>
          <w:tcPr>
            <w:tcW w:w="937" w:type="pct"/>
            <w:tcBorders>
              <w:top w:val="nil"/>
              <w:left w:val="nil"/>
              <w:bottom w:val="single" w:sz="4" w:space="0" w:color="auto"/>
              <w:right w:val="single" w:sz="4" w:space="0" w:color="auto"/>
            </w:tcBorders>
            <w:shd w:val="clear" w:color="000000" w:fill="F2F2F2"/>
            <w:noWrap/>
            <w:vAlign w:val="bottom"/>
            <w:hideMark/>
          </w:tcPr>
          <w:p w14:paraId="5BDCC769" w14:textId="77777777" w:rsidR="00DC6D6D" w:rsidRPr="00DC6D6D" w:rsidRDefault="00DC6D6D" w:rsidP="00DC6D6D">
            <w:pPr>
              <w:spacing w:after="0" w:line="240" w:lineRule="auto"/>
              <w:rPr>
                <w:rFonts w:ascii="Times New Roman" w:eastAsia="Times New Roman" w:hAnsi="Times New Roman" w:cs="Times New Roman"/>
                <w:b/>
                <w:bCs/>
                <w:color w:val="000000"/>
                <w:sz w:val="20"/>
                <w:szCs w:val="20"/>
                <w:lang w:eastAsia="da-DK"/>
              </w:rPr>
            </w:pPr>
            <w:r w:rsidRPr="00DC6D6D">
              <w:rPr>
                <w:rFonts w:ascii="Times New Roman" w:eastAsia="Times New Roman" w:hAnsi="Times New Roman" w:cs="Times New Roman"/>
                <w:b/>
                <w:bCs/>
                <w:color w:val="000000"/>
                <w:sz w:val="20"/>
                <w:szCs w:val="20"/>
                <w:lang w:eastAsia="da-DK"/>
              </w:rPr>
              <w:t> </w:t>
            </w:r>
          </w:p>
        </w:tc>
      </w:tr>
      <w:tr w:rsidR="00DC6D6D" w:rsidRPr="00DC6D6D" w14:paraId="041E133E"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4EB04A48" w14:textId="77777777" w:rsidR="00DC6D6D" w:rsidRPr="00DC6D6D" w:rsidRDefault="00DC6D6D" w:rsidP="00DC6D6D">
            <w:pPr>
              <w:spacing w:after="0" w:line="240" w:lineRule="auto"/>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Hellefisk</w:t>
            </w:r>
          </w:p>
        </w:tc>
        <w:tc>
          <w:tcPr>
            <w:tcW w:w="1196" w:type="pct"/>
            <w:tcBorders>
              <w:top w:val="nil"/>
              <w:left w:val="nil"/>
              <w:bottom w:val="single" w:sz="4" w:space="0" w:color="auto"/>
              <w:right w:val="single" w:sz="4" w:space="0" w:color="auto"/>
            </w:tcBorders>
            <w:shd w:val="clear" w:color="000000" w:fill="FFFFFF"/>
            <w:noWrap/>
            <w:vAlign w:val="bottom"/>
            <w:hideMark/>
          </w:tcPr>
          <w:p w14:paraId="5C1E926F"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w:t>
            </w:r>
          </w:p>
        </w:tc>
        <w:tc>
          <w:tcPr>
            <w:tcW w:w="937" w:type="pct"/>
            <w:tcBorders>
              <w:top w:val="nil"/>
              <w:left w:val="nil"/>
              <w:bottom w:val="single" w:sz="4" w:space="0" w:color="auto"/>
              <w:right w:val="single" w:sz="4" w:space="0" w:color="auto"/>
            </w:tcBorders>
            <w:shd w:val="clear" w:color="000000" w:fill="FFFFFF"/>
            <w:noWrap/>
            <w:vAlign w:val="bottom"/>
            <w:hideMark/>
          </w:tcPr>
          <w:p w14:paraId="1BE483D8"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36,3</w:t>
            </w:r>
          </w:p>
        </w:tc>
        <w:tc>
          <w:tcPr>
            <w:tcW w:w="937" w:type="pct"/>
            <w:tcBorders>
              <w:top w:val="nil"/>
              <w:left w:val="nil"/>
              <w:bottom w:val="single" w:sz="4" w:space="0" w:color="auto"/>
              <w:right w:val="single" w:sz="4" w:space="0" w:color="auto"/>
            </w:tcBorders>
            <w:shd w:val="clear" w:color="000000" w:fill="FFFFFF"/>
            <w:noWrap/>
            <w:vAlign w:val="bottom"/>
            <w:hideMark/>
          </w:tcPr>
          <w:p w14:paraId="28A2AEF1"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29,0</w:t>
            </w:r>
          </w:p>
        </w:tc>
      </w:tr>
      <w:tr w:rsidR="00DC6D6D" w:rsidRPr="00DC6D6D" w14:paraId="6130343C"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10D4F423" w14:textId="77777777" w:rsidR="00DC6D6D" w:rsidRPr="00DC6D6D" w:rsidRDefault="00DC6D6D" w:rsidP="00DC6D6D">
            <w:pPr>
              <w:spacing w:after="0" w:line="240" w:lineRule="auto"/>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Torsk</w:t>
            </w:r>
          </w:p>
        </w:tc>
        <w:tc>
          <w:tcPr>
            <w:tcW w:w="1196" w:type="pct"/>
            <w:tcBorders>
              <w:top w:val="nil"/>
              <w:left w:val="nil"/>
              <w:bottom w:val="single" w:sz="4" w:space="0" w:color="auto"/>
              <w:right w:val="single" w:sz="4" w:space="0" w:color="auto"/>
            </w:tcBorders>
            <w:shd w:val="clear" w:color="000000" w:fill="FFFFFF"/>
            <w:noWrap/>
            <w:vAlign w:val="bottom"/>
            <w:hideMark/>
          </w:tcPr>
          <w:p w14:paraId="54A6A88C"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w:t>
            </w:r>
          </w:p>
        </w:tc>
        <w:tc>
          <w:tcPr>
            <w:tcW w:w="937" w:type="pct"/>
            <w:tcBorders>
              <w:top w:val="nil"/>
              <w:left w:val="nil"/>
              <w:bottom w:val="single" w:sz="4" w:space="0" w:color="auto"/>
              <w:right w:val="single" w:sz="4" w:space="0" w:color="auto"/>
            </w:tcBorders>
            <w:shd w:val="clear" w:color="000000" w:fill="FFFFFF"/>
            <w:noWrap/>
            <w:vAlign w:val="bottom"/>
            <w:hideMark/>
          </w:tcPr>
          <w:p w14:paraId="189CE7CA"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16,8</w:t>
            </w:r>
          </w:p>
        </w:tc>
        <w:tc>
          <w:tcPr>
            <w:tcW w:w="937" w:type="pct"/>
            <w:tcBorders>
              <w:top w:val="nil"/>
              <w:left w:val="nil"/>
              <w:bottom w:val="single" w:sz="4" w:space="0" w:color="auto"/>
              <w:right w:val="single" w:sz="4" w:space="0" w:color="auto"/>
            </w:tcBorders>
            <w:shd w:val="clear" w:color="000000" w:fill="FFFFFF"/>
            <w:noWrap/>
            <w:vAlign w:val="bottom"/>
            <w:hideMark/>
          </w:tcPr>
          <w:p w14:paraId="5674FD8F"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16,9</w:t>
            </w:r>
          </w:p>
        </w:tc>
      </w:tr>
      <w:tr w:rsidR="00DC6D6D" w:rsidRPr="00DC6D6D" w14:paraId="30797DB6" w14:textId="77777777"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14:paraId="1150C11C" w14:textId="77777777" w:rsidR="00DC6D6D" w:rsidRPr="00DC6D6D" w:rsidRDefault="00DC6D6D" w:rsidP="00DC6D6D">
            <w:pPr>
              <w:spacing w:after="0" w:line="240" w:lineRule="auto"/>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Rødfisk, kuller og sej</w:t>
            </w:r>
          </w:p>
        </w:tc>
        <w:tc>
          <w:tcPr>
            <w:tcW w:w="1196" w:type="pct"/>
            <w:tcBorders>
              <w:top w:val="nil"/>
              <w:left w:val="nil"/>
              <w:bottom w:val="single" w:sz="4" w:space="0" w:color="auto"/>
              <w:right w:val="single" w:sz="4" w:space="0" w:color="auto"/>
            </w:tcBorders>
            <w:shd w:val="clear" w:color="000000" w:fill="FFFFFF"/>
            <w:noWrap/>
            <w:vAlign w:val="bottom"/>
            <w:hideMark/>
          </w:tcPr>
          <w:p w14:paraId="620D0472"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w:t>
            </w:r>
          </w:p>
        </w:tc>
        <w:tc>
          <w:tcPr>
            <w:tcW w:w="937" w:type="pct"/>
            <w:tcBorders>
              <w:top w:val="nil"/>
              <w:left w:val="nil"/>
              <w:bottom w:val="single" w:sz="4" w:space="0" w:color="auto"/>
              <w:right w:val="single" w:sz="4" w:space="0" w:color="auto"/>
            </w:tcBorders>
            <w:shd w:val="clear" w:color="000000" w:fill="FFFFFF"/>
            <w:noWrap/>
            <w:vAlign w:val="bottom"/>
            <w:hideMark/>
          </w:tcPr>
          <w:p w14:paraId="287068E0"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9,2</w:t>
            </w:r>
          </w:p>
        </w:tc>
        <w:tc>
          <w:tcPr>
            <w:tcW w:w="937" w:type="pct"/>
            <w:tcBorders>
              <w:top w:val="nil"/>
              <w:left w:val="nil"/>
              <w:bottom w:val="single" w:sz="4" w:space="0" w:color="auto"/>
              <w:right w:val="single" w:sz="4" w:space="0" w:color="auto"/>
            </w:tcBorders>
            <w:shd w:val="clear" w:color="000000" w:fill="FFFFFF"/>
            <w:noWrap/>
            <w:vAlign w:val="bottom"/>
            <w:hideMark/>
          </w:tcPr>
          <w:p w14:paraId="7B741C95" w14:textId="77777777" w:rsidR="00DC6D6D" w:rsidRPr="00DC6D6D" w:rsidRDefault="00DC6D6D" w:rsidP="00DC6D6D">
            <w:pPr>
              <w:spacing w:after="0" w:line="240" w:lineRule="auto"/>
              <w:jc w:val="right"/>
              <w:rPr>
                <w:rFonts w:ascii="Times New Roman" w:eastAsia="Times New Roman" w:hAnsi="Times New Roman" w:cs="Times New Roman"/>
                <w:color w:val="000000"/>
                <w:sz w:val="20"/>
                <w:szCs w:val="20"/>
                <w:lang w:eastAsia="da-DK"/>
              </w:rPr>
            </w:pPr>
            <w:r w:rsidRPr="00DC6D6D">
              <w:rPr>
                <w:rFonts w:ascii="Times New Roman" w:eastAsia="Times New Roman" w:hAnsi="Times New Roman" w:cs="Times New Roman"/>
                <w:color w:val="000000"/>
                <w:sz w:val="20"/>
                <w:szCs w:val="20"/>
                <w:lang w:eastAsia="da-DK"/>
              </w:rPr>
              <w:t>9,6</w:t>
            </w:r>
          </w:p>
        </w:tc>
      </w:tr>
    </w:tbl>
    <w:p w14:paraId="3FD87314" w14:textId="77777777" w:rsidR="00DC6D6D" w:rsidRPr="00EA105A" w:rsidRDefault="00EA105A" w:rsidP="00D5156C">
      <w:pPr>
        <w:spacing w:after="0" w:line="276" w:lineRule="auto"/>
        <w:contextualSpacing/>
        <w:jc w:val="both"/>
        <w:rPr>
          <w:rFonts w:ascii="Times New Roman" w:hAnsi="Times New Roman" w:cs="Times New Roman"/>
          <w:sz w:val="20"/>
          <w:szCs w:val="20"/>
        </w:rPr>
      </w:pPr>
      <w:r w:rsidRPr="00EA105A">
        <w:rPr>
          <w:rFonts w:ascii="Times New Roman" w:hAnsi="Times New Roman" w:cs="Times New Roman"/>
          <w:sz w:val="20"/>
          <w:szCs w:val="20"/>
        </w:rPr>
        <w:t>Kilde: Skattestyrelsen.</w:t>
      </w:r>
    </w:p>
    <w:p w14:paraId="6DC39670" w14:textId="77777777" w:rsidR="00EA105A" w:rsidRPr="00EA105A" w:rsidRDefault="00EA105A" w:rsidP="00D5156C">
      <w:pPr>
        <w:spacing w:after="0" w:line="276" w:lineRule="auto"/>
        <w:contextualSpacing/>
        <w:jc w:val="both"/>
        <w:rPr>
          <w:rFonts w:ascii="Times New Roman" w:hAnsi="Times New Roman" w:cs="Times New Roman"/>
          <w:sz w:val="20"/>
          <w:szCs w:val="20"/>
        </w:rPr>
      </w:pPr>
      <w:r w:rsidRPr="00EA105A">
        <w:rPr>
          <w:rFonts w:ascii="Times New Roman" w:hAnsi="Times New Roman" w:cs="Times New Roman"/>
          <w:sz w:val="20"/>
          <w:szCs w:val="20"/>
        </w:rPr>
        <w:t>Note: De gennemsnitlige eksportpriser pr.kg. er opgjort i levende vægt. Erhvervet var først forpligtig til at levere eksportmængder omregnet til levende vægt i 2019</w:t>
      </w:r>
      <w:r w:rsidR="009E4728">
        <w:rPr>
          <w:rFonts w:ascii="Times New Roman" w:hAnsi="Times New Roman" w:cs="Times New Roman"/>
          <w:sz w:val="20"/>
          <w:szCs w:val="20"/>
        </w:rPr>
        <w:t>,</w:t>
      </w:r>
      <w:r w:rsidRPr="00EA105A">
        <w:rPr>
          <w:rFonts w:ascii="Times New Roman" w:hAnsi="Times New Roman" w:cs="Times New Roman"/>
          <w:sz w:val="20"/>
          <w:szCs w:val="20"/>
        </w:rPr>
        <w:t xml:space="preserve"> hvorfor priser i 2018 ikke </w:t>
      </w:r>
      <w:r w:rsidR="009E4728">
        <w:rPr>
          <w:rFonts w:ascii="Times New Roman" w:hAnsi="Times New Roman" w:cs="Times New Roman"/>
          <w:sz w:val="20"/>
          <w:szCs w:val="20"/>
        </w:rPr>
        <w:t xml:space="preserve">er </w:t>
      </w:r>
      <w:r w:rsidRPr="00EA105A">
        <w:rPr>
          <w:rFonts w:ascii="Times New Roman" w:hAnsi="Times New Roman" w:cs="Times New Roman"/>
          <w:sz w:val="20"/>
          <w:szCs w:val="20"/>
        </w:rPr>
        <w:t xml:space="preserve">beregnet. Priser omregnet til levende vægt giver </w:t>
      </w:r>
      <w:r w:rsidR="009E4728">
        <w:rPr>
          <w:rFonts w:ascii="Times New Roman" w:hAnsi="Times New Roman" w:cs="Times New Roman"/>
          <w:sz w:val="20"/>
          <w:szCs w:val="20"/>
        </w:rPr>
        <w:t xml:space="preserve">et </w:t>
      </w:r>
      <w:r w:rsidRPr="00EA105A">
        <w:rPr>
          <w:rFonts w:ascii="Times New Roman" w:hAnsi="Times New Roman" w:cs="Times New Roman"/>
          <w:sz w:val="20"/>
          <w:szCs w:val="20"/>
        </w:rPr>
        <w:t>mere retvisende billede af værdien af fiske</w:t>
      </w:r>
      <w:r w:rsidR="009E4728">
        <w:rPr>
          <w:rFonts w:ascii="Times New Roman" w:hAnsi="Times New Roman" w:cs="Times New Roman"/>
          <w:sz w:val="20"/>
          <w:szCs w:val="20"/>
        </w:rPr>
        <w:t>,</w:t>
      </w:r>
      <w:r w:rsidRPr="00EA105A">
        <w:rPr>
          <w:rFonts w:ascii="Times New Roman" w:hAnsi="Times New Roman" w:cs="Times New Roman"/>
          <w:sz w:val="20"/>
          <w:szCs w:val="20"/>
        </w:rPr>
        <w:t xml:space="preserve"> fordi det er prisen pr. kg </w:t>
      </w:r>
      <w:r w:rsidR="009E4728">
        <w:rPr>
          <w:rFonts w:ascii="Times New Roman" w:hAnsi="Times New Roman" w:cs="Times New Roman"/>
          <w:sz w:val="20"/>
          <w:szCs w:val="20"/>
        </w:rPr>
        <w:t>levende</w:t>
      </w:r>
      <w:r w:rsidRPr="00EA105A">
        <w:rPr>
          <w:rFonts w:ascii="Times New Roman" w:hAnsi="Times New Roman" w:cs="Times New Roman"/>
          <w:sz w:val="20"/>
          <w:szCs w:val="20"/>
        </w:rPr>
        <w:t xml:space="preserve"> fisk</w:t>
      </w:r>
      <w:r w:rsidR="009E4728">
        <w:rPr>
          <w:rFonts w:ascii="Times New Roman" w:hAnsi="Times New Roman" w:cs="Times New Roman"/>
          <w:sz w:val="20"/>
          <w:szCs w:val="20"/>
        </w:rPr>
        <w:t>.</w:t>
      </w:r>
    </w:p>
    <w:p w14:paraId="036F2E2B" w14:textId="77777777" w:rsidR="00DC6D6D" w:rsidRDefault="00DC6D6D" w:rsidP="00D5156C">
      <w:pPr>
        <w:spacing w:after="0" w:line="276" w:lineRule="auto"/>
        <w:contextualSpacing/>
        <w:jc w:val="both"/>
        <w:rPr>
          <w:rFonts w:ascii="Times New Roman" w:hAnsi="Times New Roman" w:cs="Times New Roman"/>
        </w:rPr>
      </w:pPr>
    </w:p>
    <w:p w14:paraId="5B4AD540" w14:textId="77777777" w:rsidR="00D867B2" w:rsidRDefault="00D867B2" w:rsidP="00D5156C">
      <w:pPr>
        <w:spacing w:after="0" w:line="276" w:lineRule="auto"/>
        <w:contextualSpacing/>
        <w:jc w:val="both"/>
        <w:rPr>
          <w:rFonts w:ascii="Times New Roman" w:hAnsi="Times New Roman" w:cs="Times New Roman"/>
        </w:rPr>
      </w:pPr>
      <w:r>
        <w:rPr>
          <w:rFonts w:ascii="Times New Roman" w:hAnsi="Times New Roman" w:cs="Times New Roman"/>
        </w:rPr>
        <w:t xml:space="preserve">Indhandlingsværdien hos den havgående hvidfisk flåde fra indhandling af hellefisk og torsk vises i hhv. tabel </w:t>
      </w:r>
      <w:r w:rsidR="00CE3D43">
        <w:rPr>
          <w:rFonts w:ascii="Times New Roman" w:hAnsi="Times New Roman" w:cs="Times New Roman"/>
        </w:rPr>
        <w:t>11</w:t>
      </w:r>
      <w:r>
        <w:rPr>
          <w:rFonts w:ascii="Times New Roman" w:hAnsi="Times New Roman" w:cs="Times New Roman"/>
        </w:rPr>
        <w:t xml:space="preserve"> og tabel 1</w:t>
      </w:r>
      <w:r w:rsidR="00CE3D43">
        <w:rPr>
          <w:rFonts w:ascii="Times New Roman" w:hAnsi="Times New Roman" w:cs="Times New Roman"/>
        </w:rPr>
        <w:t>2</w:t>
      </w:r>
      <w:r>
        <w:rPr>
          <w:rFonts w:ascii="Times New Roman" w:hAnsi="Times New Roman" w:cs="Times New Roman"/>
        </w:rPr>
        <w:t>. Den havgående flåde har lov til at producere hele kvoten for rødfisk, kuller og sej til havs</w:t>
      </w:r>
      <w:r w:rsidR="001656BB">
        <w:rPr>
          <w:rFonts w:ascii="Times New Roman" w:hAnsi="Times New Roman" w:cs="Times New Roman"/>
        </w:rPr>
        <w:t>,</w:t>
      </w:r>
      <w:r>
        <w:rPr>
          <w:rFonts w:ascii="Times New Roman" w:hAnsi="Times New Roman" w:cs="Times New Roman"/>
        </w:rPr>
        <w:t xml:space="preserve"> hvorfor de arter </w:t>
      </w:r>
      <w:r w:rsidR="001656BB">
        <w:rPr>
          <w:rFonts w:ascii="Times New Roman" w:hAnsi="Times New Roman" w:cs="Times New Roman"/>
        </w:rPr>
        <w:t xml:space="preserve">ikke </w:t>
      </w:r>
      <w:r>
        <w:rPr>
          <w:rFonts w:ascii="Times New Roman" w:hAnsi="Times New Roman" w:cs="Times New Roman"/>
        </w:rPr>
        <w:t>indhandles.</w:t>
      </w:r>
    </w:p>
    <w:p w14:paraId="60E3E9D7" w14:textId="77777777" w:rsidR="00D867B2" w:rsidRDefault="00D867B2" w:rsidP="00D5156C">
      <w:pPr>
        <w:spacing w:after="0" w:line="276" w:lineRule="auto"/>
        <w:contextualSpacing/>
        <w:jc w:val="both"/>
        <w:rPr>
          <w:rFonts w:ascii="Times New Roman" w:hAnsi="Times New Roman" w:cs="Times New Roman"/>
        </w:rPr>
      </w:pPr>
    </w:p>
    <w:p w14:paraId="228EC508" w14:textId="77777777" w:rsidR="00D867B2" w:rsidRDefault="00D867B2" w:rsidP="00D5156C">
      <w:pPr>
        <w:spacing w:after="0" w:line="276" w:lineRule="auto"/>
        <w:contextualSpacing/>
        <w:jc w:val="both"/>
        <w:rPr>
          <w:rFonts w:ascii="Times New Roman" w:hAnsi="Times New Roman" w:cs="Times New Roman"/>
        </w:rPr>
      </w:pPr>
      <w:r>
        <w:rPr>
          <w:rFonts w:ascii="Times New Roman" w:hAnsi="Times New Roman" w:cs="Times New Roman"/>
        </w:rPr>
        <w:t>Den havgående flåde indhandlede hellefisk for ca. 69 mio.kr. i 2018</w:t>
      </w:r>
      <w:r w:rsidR="005F7323">
        <w:rPr>
          <w:rFonts w:ascii="Times New Roman" w:hAnsi="Times New Roman" w:cs="Times New Roman"/>
        </w:rPr>
        <w:t xml:space="preserve">, jf. tabel </w:t>
      </w:r>
      <w:r w:rsidR="00801EFF">
        <w:rPr>
          <w:rFonts w:ascii="Times New Roman" w:hAnsi="Times New Roman" w:cs="Times New Roman"/>
        </w:rPr>
        <w:t>1</w:t>
      </w:r>
      <w:r w:rsidR="00CE3D43">
        <w:rPr>
          <w:rFonts w:ascii="Times New Roman" w:hAnsi="Times New Roman" w:cs="Times New Roman"/>
        </w:rPr>
        <w:t>1</w:t>
      </w:r>
      <w:r>
        <w:rPr>
          <w:rFonts w:ascii="Times New Roman" w:hAnsi="Times New Roman" w:cs="Times New Roman"/>
        </w:rPr>
        <w:t>. Indhandlingsværdien steg til ca. 90 mio.kr. i 2019</w:t>
      </w:r>
      <w:r w:rsidR="001656BB">
        <w:rPr>
          <w:rFonts w:ascii="Times New Roman" w:hAnsi="Times New Roman" w:cs="Times New Roman"/>
        </w:rPr>
        <w:t>,</w:t>
      </w:r>
      <w:r>
        <w:rPr>
          <w:rFonts w:ascii="Times New Roman" w:hAnsi="Times New Roman" w:cs="Times New Roman"/>
        </w:rPr>
        <w:t xml:space="preserve"> som hovedsagligt skyldes mængdestigning</w:t>
      </w:r>
      <w:r w:rsidR="001656BB">
        <w:rPr>
          <w:rFonts w:ascii="Times New Roman" w:hAnsi="Times New Roman" w:cs="Times New Roman"/>
        </w:rPr>
        <w:t>,</w:t>
      </w:r>
      <w:r>
        <w:rPr>
          <w:rFonts w:ascii="Times New Roman" w:hAnsi="Times New Roman" w:cs="Times New Roman"/>
        </w:rPr>
        <w:t xml:space="preserve"> fordi den gennemsnitlige indhandlingspris faldt fra 2018 til 2019. Indhandlingsværdien af hellefisken fald </w:t>
      </w:r>
      <w:r w:rsidR="002D28D7">
        <w:rPr>
          <w:rFonts w:ascii="Times New Roman" w:hAnsi="Times New Roman" w:cs="Times New Roman"/>
        </w:rPr>
        <w:t>kraftigt i 2020 i forhold til 2018 og 2019. Dette skyldes nedgang i indhandlingsmængderne</w:t>
      </w:r>
      <w:r w:rsidR="001656BB">
        <w:rPr>
          <w:rFonts w:ascii="Times New Roman" w:hAnsi="Times New Roman" w:cs="Times New Roman"/>
        </w:rPr>
        <w:t>,</w:t>
      </w:r>
      <w:r w:rsidR="002D28D7">
        <w:rPr>
          <w:rFonts w:ascii="Times New Roman" w:hAnsi="Times New Roman" w:cs="Times New Roman"/>
        </w:rPr>
        <w:t xml:space="preserve"> fordi fartøjerne fik dispensation følge COVID-pandemien til at reducere landingspligten og producere større mængder til havs</w:t>
      </w:r>
      <w:r w:rsidR="001656BB">
        <w:rPr>
          <w:rFonts w:ascii="Times New Roman" w:hAnsi="Times New Roman" w:cs="Times New Roman"/>
        </w:rPr>
        <w:t>,</w:t>
      </w:r>
      <w:r w:rsidR="002D28D7">
        <w:rPr>
          <w:rFonts w:ascii="Times New Roman" w:hAnsi="Times New Roman" w:cs="Times New Roman"/>
        </w:rPr>
        <w:t xml:space="preserve"> samt </w:t>
      </w:r>
      <w:r w:rsidR="001656BB">
        <w:rPr>
          <w:rFonts w:ascii="Times New Roman" w:hAnsi="Times New Roman" w:cs="Times New Roman"/>
        </w:rPr>
        <w:t xml:space="preserve">at </w:t>
      </w:r>
      <w:r w:rsidR="002D28D7">
        <w:rPr>
          <w:rFonts w:ascii="Times New Roman" w:hAnsi="Times New Roman" w:cs="Times New Roman"/>
        </w:rPr>
        <w:t>den gennemsnitlige indhandlingspris faldt.</w:t>
      </w:r>
    </w:p>
    <w:p w14:paraId="5A299B45" w14:textId="77777777" w:rsidR="00D867B2" w:rsidRDefault="00D867B2" w:rsidP="00D5156C">
      <w:pPr>
        <w:spacing w:after="0" w:line="276" w:lineRule="auto"/>
        <w:contextualSpacing/>
        <w:jc w:val="both"/>
        <w:rPr>
          <w:rFonts w:ascii="Times New Roman" w:hAnsi="Times New Roman" w:cs="Times New Roman"/>
        </w:rPr>
      </w:pPr>
    </w:p>
    <w:p w14:paraId="09369E54" w14:textId="77777777" w:rsidR="00F3159B" w:rsidRDefault="00F3159B" w:rsidP="00F3159B">
      <w:pPr>
        <w:spacing w:after="0" w:line="276" w:lineRule="auto"/>
        <w:contextualSpacing/>
        <w:jc w:val="both"/>
        <w:rPr>
          <w:rFonts w:ascii="Times New Roman" w:hAnsi="Times New Roman" w:cs="Times New Roman"/>
        </w:rPr>
      </w:pPr>
      <w:r>
        <w:rPr>
          <w:rFonts w:ascii="Times New Roman" w:hAnsi="Times New Roman" w:cs="Times New Roman"/>
        </w:rPr>
        <w:t xml:space="preserve">Tabel </w:t>
      </w:r>
      <w:r w:rsidR="00801EFF">
        <w:rPr>
          <w:rFonts w:ascii="Times New Roman" w:hAnsi="Times New Roman" w:cs="Times New Roman"/>
        </w:rPr>
        <w:t>1</w:t>
      </w:r>
      <w:r w:rsidR="00CE3D43">
        <w:rPr>
          <w:rFonts w:ascii="Times New Roman" w:hAnsi="Times New Roman" w:cs="Times New Roman"/>
        </w:rPr>
        <w:t>1</w:t>
      </w:r>
      <w:r>
        <w:rPr>
          <w:rFonts w:ascii="Times New Roman" w:hAnsi="Times New Roman" w:cs="Times New Roman"/>
        </w:rPr>
        <w:t xml:space="preserve">: Udvikling i indhandlingsværdier </w:t>
      </w:r>
      <w:r w:rsidR="00A36610">
        <w:rPr>
          <w:rFonts w:ascii="Times New Roman" w:hAnsi="Times New Roman" w:cs="Times New Roman"/>
        </w:rPr>
        <w:t>fra havgående hellefiskefiskeri</w:t>
      </w:r>
      <w:r>
        <w:rPr>
          <w:rFonts w:ascii="Times New Roman" w:hAnsi="Times New Roman" w:cs="Times New Roman"/>
        </w:rPr>
        <w:t>, 2018-2020.</w:t>
      </w:r>
    </w:p>
    <w:tbl>
      <w:tblPr>
        <w:tblW w:w="5000" w:type="pct"/>
        <w:tblCellMar>
          <w:left w:w="70" w:type="dxa"/>
          <w:right w:w="70" w:type="dxa"/>
        </w:tblCellMar>
        <w:tblLook w:val="04A0" w:firstRow="1" w:lastRow="0" w:firstColumn="1" w:lastColumn="0" w:noHBand="0" w:noVBand="1"/>
      </w:tblPr>
      <w:tblGrid>
        <w:gridCol w:w="4068"/>
        <w:gridCol w:w="1854"/>
        <w:gridCol w:w="1854"/>
        <w:gridCol w:w="1852"/>
      </w:tblGrid>
      <w:tr w:rsidR="00F3159B" w:rsidRPr="00F3159B" w14:paraId="149CDACE" w14:textId="77777777" w:rsidTr="00F3159B">
        <w:trPr>
          <w:trHeight w:val="300"/>
        </w:trPr>
        <w:tc>
          <w:tcPr>
            <w:tcW w:w="2112" w:type="pct"/>
            <w:tcBorders>
              <w:top w:val="single" w:sz="4" w:space="0" w:color="auto"/>
              <w:left w:val="single" w:sz="4" w:space="0" w:color="auto"/>
              <w:bottom w:val="nil"/>
              <w:right w:val="nil"/>
            </w:tcBorders>
            <w:shd w:val="clear" w:color="000000" w:fill="FFFFFF"/>
            <w:noWrap/>
            <w:vAlign w:val="bottom"/>
            <w:hideMark/>
          </w:tcPr>
          <w:p w14:paraId="0F64C473"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 </w:t>
            </w:r>
          </w:p>
        </w:tc>
        <w:tc>
          <w:tcPr>
            <w:tcW w:w="963" w:type="pct"/>
            <w:tcBorders>
              <w:top w:val="single" w:sz="4" w:space="0" w:color="auto"/>
              <w:left w:val="single" w:sz="4" w:space="0" w:color="auto"/>
              <w:bottom w:val="nil"/>
              <w:right w:val="single" w:sz="4" w:space="0" w:color="auto"/>
            </w:tcBorders>
            <w:shd w:val="clear" w:color="000000" w:fill="FFFFFF"/>
            <w:noWrap/>
            <w:vAlign w:val="bottom"/>
            <w:hideMark/>
          </w:tcPr>
          <w:p w14:paraId="27D131A4"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 </w:t>
            </w:r>
          </w:p>
        </w:tc>
        <w:tc>
          <w:tcPr>
            <w:tcW w:w="963" w:type="pct"/>
            <w:tcBorders>
              <w:top w:val="single" w:sz="4" w:space="0" w:color="auto"/>
              <w:left w:val="nil"/>
              <w:bottom w:val="nil"/>
              <w:right w:val="nil"/>
            </w:tcBorders>
            <w:shd w:val="clear" w:color="000000" w:fill="FFFFFF"/>
            <w:noWrap/>
            <w:vAlign w:val="bottom"/>
            <w:hideMark/>
          </w:tcPr>
          <w:p w14:paraId="1F6A2D75"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 </w:t>
            </w:r>
          </w:p>
        </w:tc>
        <w:tc>
          <w:tcPr>
            <w:tcW w:w="963" w:type="pct"/>
            <w:tcBorders>
              <w:top w:val="single" w:sz="4" w:space="0" w:color="auto"/>
              <w:left w:val="single" w:sz="4" w:space="0" w:color="auto"/>
              <w:bottom w:val="nil"/>
              <w:right w:val="single" w:sz="4" w:space="0" w:color="auto"/>
            </w:tcBorders>
            <w:shd w:val="clear" w:color="000000" w:fill="FFFFFF"/>
            <w:noWrap/>
            <w:vAlign w:val="bottom"/>
            <w:hideMark/>
          </w:tcPr>
          <w:p w14:paraId="475EA2EB"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 </w:t>
            </w:r>
          </w:p>
        </w:tc>
      </w:tr>
      <w:tr w:rsidR="00F3159B" w:rsidRPr="00F3159B" w14:paraId="5496217C" w14:textId="77777777" w:rsidTr="00F3159B">
        <w:trPr>
          <w:trHeight w:val="300"/>
        </w:trPr>
        <w:tc>
          <w:tcPr>
            <w:tcW w:w="2112" w:type="pct"/>
            <w:tcBorders>
              <w:top w:val="nil"/>
              <w:left w:val="single" w:sz="4" w:space="0" w:color="auto"/>
              <w:bottom w:val="single" w:sz="4" w:space="0" w:color="auto"/>
              <w:right w:val="nil"/>
            </w:tcBorders>
            <w:shd w:val="clear" w:color="000000" w:fill="FFFFFF"/>
            <w:noWrap/>
            <w:vAlign w:val="center"/>
            <w:hideMark/>
          </w:tcPr>
          <w:p w14:paraId="6082C49C" w14:textId="77777777" w:rsidR="00F3159B" w:rsidRPr="00F3159B" w:rsidRDefault="00F3159B" w:rsidP="00F3159B">
            <w:pPr>
              <w:spacing w:after="0" w:line="240" w:lineRule="auto"/>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By / mio.kr.</w:t>
            </w:r>
          </w:p>
        </w:tc>
        <w:tc>
          <w:tcPr>
            <w:tcW w:w="963" w:type="pct"/>
            <w:tcBorders>
              <w:top w:val="nil"/>
              <w:left w:val="single" w:sz="4" w:space="0" w:color="auto"/>
              <w:bottom w:val="single" w:sz="4" w:space="0" w:color="auto"/>
              <w:right w:val="single" w:sz="4" w:space="0" w:color="auto"/>
            </w:tcBorders>
            <w:shd w:val="clear" w:color="000000" w:fill="FFFFFF"/>
            <w:noWrap/>
            <w:vAlign w:val="center"/>
            <w:hideMark/>
          </w:tcPr>
          <w:p w14:paraId="13BD8238"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2018</w:t>
            </w:r>
          </w:p>
        </w:tc>
        <w:tc>
          <w:tcPr>
            <w:tcW w:w="963" w:type="pct"/>
            <w:tcBorders>
              <w:top w:val="nil"/>
              <w:left w:val="nil"/>
              <w:bottom w:val="single" w:sz="4" w:space="0" w:color="auto"/>
              <w:right w:val="nil"/>
            </w:tcBorders>
            <w:shd w:val="clear" w:color="000000" w:fill="FFFFFF"/>
            <w:noWrap/>
            <w:vAlign w:val="center"/>
            <w:hideMark/>
          </w:tcPr>
          <w:p w14:paraId="6839673F"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2019</w:t>
            </w:r>
          </w:p>
        </w:tc>
        <w:tc>
          <w:tcPr>
            <w:tcW w:w="963" w:type="pct"/>
            <w:tcBorders>
              <w:top w:val="nil"/>
              <w:left w:val="single" w:sz="4" w:space="0" w:color="auto"/>
              <w:bottom w:val="single" w:sz="4" w:space="0" w:color="auto"/>
              <w:right w:val="single" w:sz="4" w:space="0" w:color="auto"/>
            </w:tcBorders>
            <w:shd w:val="clear" w:color="000000" w:fill="FFFFFF"/>
            <w:noWrap/>
            <w:vAlign w:val="center"/>
            <w:hideMark/>
          </w:tcPr>
          <w:p w14:paraId="7D3AD1F8"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2020</w:t>
            </w:r>
          </w:p>
        </w:tc>
      </w:tr>
      <w:tr w:rsidR="00F3159B" w:rsidRPr="00F3159B" w14:paraId="0407D004" w14:textId="77777777"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14:paraId="1E8F7EC5"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Maniitsoq</w:t>
            </w:r>
          </w:p>
        </w:tc>
        <w:tc>
          <w:tcPr>
            <w:tcW w:w="963" w:type="pct"/>
            <w:tcBorders>
              <w:top w:val="nil"/>
              <w:left w:val="nil"/>
              <w:bottom w:val="single" w:sz="4" w:space="0" w:color="auto"/>
              <w:right w:val="single" w:sz="4" w:space="0" w:color="auto"/>
            </w:tcBorders>
            <w:shd w:val="clear" w:color="000000" w:fill="FFFFFF"/>
            <w:noWrap/>
            <w:vAlign w:val="center"/>
            <w:hideMark/>
          </w:tcPr>
          <w:p w14:paraId="01FF148D"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18,6</w:t>
            </w:r>
          </w:p>
        </w:tc>
        <w:tc>
          <w:tcPr>
            <w:tcW w:w="963" w:type="pct"/>
            <w:tcBorders>
              <w:top w:val="nil"/>
              <w:left w:val="nil"/>
              <w:bottom w:val="single" w:sz="4" w:space="0" w:color="auto"/>
              <w:right w:val="single" w:sz="4" w:space="0" w:color="auto"/>
            </w:tcBorders>
            <w:shd w:val="clear" w:color="000000" w:fill="FFFFFF"/>
            <w:noWrap/>
            <w:vAlign w:val="center"/>
            <w:hideMark/>
          </w:tcPr>
          <w:p w14:paraId="31C4158D"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45,3</w:t>
            </w:r>
          </w:p>
        </w:tc>
        <w:tc>
          <w:tcPr>
            <w:tcW w:w="963" w:type="pct"/>
            <w:tcBorders>
              <w:top w:val="nil"/>
              <w:left w:val="nil"/>
              <w:bottom w:val="single" w:sz="4" w:space="0" w:color="auto"/>
              <w:right w:val="single" w:sz="4" w:space="0" w:color="auto"/>
            </w:tcBorders>
            <w:shd w:val="clear" w:color="000000" w:fill="FFFFFF"/>
            <w:noWrap/>
            <w:vAlign w:val="center"/>
            <w:hideMark/>
          </w:tcPr>
          <w:p w14:paraId="4A7BA222"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20,4</w:t>
            </w:r>
          </w:p>
        </w:tc>
      </w:tr>
      <w:tr w:rsidR="00F3159B" w:rsidRPr="00F3159B" w14:paraId="79354E98" w14:textId="77777777"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14:paraId="3AC3DEE1"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Paamiut</w:t>
            </w:r>
          </w:p>
        </w:tc>
        <w:tc>
          <w:tcPr>
            <w:tcW w:w="963" w:type="pct"/>
            <w:tcBorders>
              <w:top w:val="nil"/>
              <w:left w:val="nil"/>
              <w:bottom w:val="single" w:sz="4" w:space="0" w:color="auto"/>
              <w:right w:val="single" w:sz="4" w:space="0" w:color="auto"/>
            </w:tcBorders>
            <w:shd w:val="clear" w:color="000000" w:fill="FFFFFF"/>
            <w:noWrap/>
            <w:vAlign w:val="center"/>
            <w:hideMark/>
          </w:tcPr>
          <w:p w14:paraId="074A24C6"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0,0</w:t>
            </w:r>
          </w:p>
        </w:tc>
        <w:tc>
          <w:tcPr>
            <w:tcW w:w="963" w:type="pct"/>
            <w:tcBorders>
              <w:top w:val="nil"/>
              <w:left w:val="nil"/>
              <w:bottom w:val="single" w:sz="4" w:space="0" w:color="auto"/>
              <w:right w:val="single" w:sz="4" w:space="0" w:color="auto"/>
            </w:tcBorders>
            <w:shd w:val="clear" w:color="000000" w:fill="FFFFFF"/>
            <w:noWrap/>
            <w:vAlign w:val="center"/>
            <w:hideMark/>
          </w:tcPr>
          <w:p w14:paraId="42717AE6"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7,9</w:t>
            </w:r>
          </w:p>
        </w:tc>
        <w:tc>
          <w:tcPr>
            <w:tcW w:w="963" w:type="pct"/>
            <w:tcBorders>
              <w:top w:val="nil"/>
              <w:left w:val="nil"/>
              <w:bottom w:val="single" w:sz="4" w:space="0" w:color="auto"/>
              <w:right w:val="single" w:sz="4" w:space="0" w:color="auto"/>
            </w:tcBorders>
            <w:shd w:val="clear" w:color="000000" w:fill="FFFFFF"/>
            <w:noWrap/>
            <w:vAlign w:val="center"/>
            <w:hideMark/>
          </w:tcPr>
          <w:p w14:paraId="1684A186"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3,4</w:t>
            </w:r>
          </w:p>
        </w:tc>
      </w:tr>
      <w:tr w:rsidR="00F3159B" w:rsidRPr="00F3159B" w14:paraId="7E0108FC" w14:textId="77777777"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14:paraId="0D1510E9"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Qasigiannguit</w:t>
            </w:r>
          </w:p>
        </w:tc>
        <w:tc>
          <w:tcPr>
            <w:tcW w:w="963" w:type="pct"/>
            <w:tcBorders>
              <w:top w:val="nil"/>
              <w:left w:val="nil"/>
              <w:bottom w:val="single" w:sz="4" w:space="0" w:color="auto"/>
              <w:right w:val="single" w:sz="4" w:space="0" w:color="auto"/>
            </w:tcBorders>
            <w:shd w:val="clear" w:color="000000" w:fill="FFFFFF"/>
            <w:noWrap/>
            <w:vAlign w:val="center"/>
            <w:hideMark/>
          </w:tcPr>
          <w:p w14:paraId="7C367F80"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33,1</w:t>
            </w:r>
          </w:p>
        </w:tc>
        <w:tc>
          <w:tcPr>
            <w:tcW w:w="963" w:type="pct"/>
            <w:tcBorders>
              <w:top w:val="nil"/>
              <w:left w:val="nil"/>
              <w:bottom w:val="single" w:sz="4" w:space="0" w:color="auto"/>
              <w:right w:val="single" w:sz="4" w:space="0" w:color="auto"/>
            </w:tcBorders>
            <w:shd w:val="clear" w:color="000000" w:fill="FFFFFF"/>
            <w:noWrap/>
            <w:vAlign w:val="center"/>
            <w:hideMark/>
          </w:tcPr>
          <w:p w14:paraId="51C64EEE"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19,4</w:t>
            </w:r>
          </w:p>
        </w:tc>
        <w:tc>
          <w:tcPr>
            <w:tcW w:w="963" w:type="pct"/>
            <w:tcBorders>
              <w:top w:val="nil"/>
              <w:left w:val="nil"/>
              <w:bottom w:val="single" w:sz="4" w:space="0" w:color="auto"/>
              <w:right w:val="single" w:sz="4" w:space="0" w:color="auto"/>
            </w:tcBorders>
            <w:shd w:val="clear" w:color="000000" w:fill="FFFFFF"/>
            <w:noWrap/>
            <w:vAlign w:val="center"/>
            <w:hideMark/>
          </w:tcPr>
          <w:p w14:paraId="3FCEDCFF"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13,5</w:t>
            </w:r>
          </w:p>
        </w:tc>
      </w:tr>
      <w:tr w:rsidR="00F3159B" w:rsidRPr="00F3159B" w14:paraId="109D3F88" w14:textId="77777777"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14:paraId="08C2B066" w14:textId="77777777" w:rsidR="00F3159B" w:rsidRPr="00F3159B" w:rsidRDefault="00F3159B" w:rsidP="00F3159B">
            <w:pPr>
              <w:spacing w:after="0" w:line="240" w:lineRule="auto"/>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Aasiaat</w:t>
            </w:r>
          </w:p>
        </w:tc>
        <w:tc>
          <w:tcPr>
            <w:tcW w:w="963" w:type="pct"/>
            <w:tcBorders>
              <w:top w:val="nil"/>
              <w:left w:val="nil"/>
              <w:bottom w:val="single" w:sz="4" w:space="0" w:color="auto"/>
              <w:right w:val="single" w:sz="4" w:space="0" w:color="auto"/>
            </w:tcBorders>
            <w:shd w:val="clear" w:color="000000" w:fill="FFFFFF"/>
            <w:noWrap/>
            <w:vAlign w:val="center"/>
            <w:hideMark/>
          </w:tcPr>
          <w:p w14:paraId="2FF5EE7B"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17,1</w:t>
            </w:r>
          </w:p>
        </w:tc>
        <w:tc>
          <w:tcPr>
            <w:tcW w:w="963" w:type="pct"/>
            <w:tcBorders>
              <w:top w:val="nil"/>
              <w:left w:val="nil"/>
              <w:bottom w:val="single" w:sz="4" w:space="0" w:color="auto"/>
              <w:right w:val="single" w:sz="4" w:space="0" w:color="auto"/>
            </w:tcBorders>
            <w:shd w:val="clear" w:color="000000" w:fill="FFFFFF"/>
            <w:noWrap/>
            <w:vAlign w:val="center"/>
            <w:hideMark/>
          </w:tcPr>
          <w:p w14:paraId="08CAABB8"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17,7</w:t>
            </w:r>
          </w:p>
        </w:tc>
        <w:tc>
          <w:tcPr>
            <w:tcW w:w="963" w:type="pct"/>
            <w:tcBorders>
              <w:top w:val="nil"/>
              <w:left w:val="nil"/>
              <w:bottom w:val="single" w:sz="4" w:space="0" w:color="auto"/>
              <w:right w:val="single" w:sz="4" w:space="0" w:color="auto"/>
            </w:tcBorders>
            <w:shd w:val="clear" w:color="000000" w:fill="FFFFFF"/>
            <w:noWrap/>
            <w:vAlign w:val="center"/>
            <w:hideMark/>
          </w:tcPr>
          <w:p w14:paraId="622A6CD0" w14:textId="77777777" w:rsidR="00F3159B" w:rsidRPr="00F3159B" w:rsidRDefault="00F3159B" w:rsidP="00F3159B">
            <w:pPr>
              <w:spacing w:after="0" w:line="240" w:lineRule="auto"/>
              <w:jc w:val="right"/>
              <w:rPr>
                <w:rFonts w:ascii="Times New Roman" w:eastAsia="Times New Roman" w:hAnsi="Times New Roman" w:cs="Times New Roman"/>
                <w:color w:val="000000"/>
                <w:sz w:val="20"/>
                <w:szCs w:val="20"/>
                <w:lang w:eastAsia="da-DK"/>
              </w:rPr>
            </w:pPr>
            <w:r w:rsidRPr="00F3159B">
              <w:rPr>
                <w:rFonts w:ascii="Times New Roman" w:eastAsia="Times New Roman" w:hAnsi="Times New Roman" w:cs="Times New Roman"/>
                <w:color w:val="000000"/>
                <w:sz w:val="20"/>
                <w:szCs w:val="20"/>
                <w:lang w:eastAsia="da-DK"/>
              </w:rPr>
              <w:t>2,6</w:t>
            </w:r>
          </w:p>
        </w:tc>
      </w:tr>
      <w:tr w:rsidR="00F3159B" w:rsidRPr="00F3159B" w14:paraId="43FE9CD9" w14:textId="77777777"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14:paraId="7B9B0152" w14:textId="77777777" w:rsidR="00F3159B" w:rsidRPr="00F3159B" w:rsidRDefault="00F3159B" w:rsidP="00F3159B">
            <w:pPr>
              <w:spacing w:after="0" w:line="240" w:lineRule="auto"/>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I alt</w:t>
            </w:r>
          </w:p>
        </w:tc>
        <w:tc>
          <w:tcPr>
            <w:tcW w:w="963" w:type="pct"/>
            <w:tcBorders>
              <w:top w:val="nil"/>
              <w:left w:val="nil"/>
              <w:bottom w:val="single" w:sz="4" w:space="0" w:color="auto"/>
              <w:right w:val="single" w:sz="4" w:space="0" w:color="auto"/>
            </w:tcBorders>
            <w:shd w:val="clear" w:color="000000" w:fill="FFFFFF"/>
            <w:noWrap/>
            <w:vAlign w:val="center"/>
            <w:hideMark/>
          </w:tcPr>
          <w:p w14:paraId="048E9A7B"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68,8</w:t>
            </w:r>
          </w:p>
        </w:tc>
        <w:tc>
          <w:tcPr>
            <w:tcW w:w="963" w:type="pct"/>
            <w:tcBorders>
              <w:top w:val="nil"/>
              <w:left w:val="nil"/>
              <w:bottom w:val="single" w:sz="4" w:space="0" w:color="auto"/>
              <w:right w:val="single" w:sz="4" w:space="0" w:color="auto"/>
            </w:tcBorders>
            <w:shd w:val="clear" w:color="000000" w:fill="FFFFFF"/>
            <w:noWrap/>
            <w:vAlign w:val="center"/>
            <w:hideMark/>
          </w:tcPr>
          <w:p w14:paraId="6DC9258A"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90,3</w:t>
            </w:r>
          </w:p>
        </w:tc>
        <w:tc>
          <w:tcPr>
            <w:tcW w:w="963" w:type="pct"/>
            <w:tcBorders>
              <w:top w:val="nil"/>
              <w:left w:val="nil"/>
              <w:bottom w:val="single" w:sz="4" w:space="0" w:color="auto"/>
              <w:right w:val="single" w:sz="4" w:space="0" w:color="auto"/>
            </w:tcBorders>
            <w:shd w:val="clear" w:color="000000" w:fill="FFFFFF"/>
            <w:noWrap/>
            <w:vAlign w:val="center"/>
            <w:hideMark/>
          </w:tcPr>
          <w:p w14:paraId="58B21C90"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40,1</w:t>
            </w:r>
          </w:p>
        </w:tc>
      </w:tr>
      <w:tr w:rsidR="00F3159B" w:rsidRPr="00F3159B" w14:paraId="2528B7D2" w14:textId="77777777"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bottom"/>
            <w:hideMark/>
          </w:tcPr>
          <w:p w14:paraId="19D41730" w14:textId="77777777" w:rsidR="00F3159B" w:rsidRPr="00F3159B" w:rsidRDefault="00F3159B" w:rsidP="00F3159B">
            <w:pPr>
              <w:spacing w:after="0" w:line="240" w:lineRule="auto"/>
              <w:rPr>
                <w:rFonts w:ascii="Times New Roman" w:eastAsia="Times New Roman" w:hAnsi="Times New Roman" w:cs="Times New Roman"/>
                <w:b/>
                <w:bCs/>
                <w:color w:val="000000"/>
                <w:sz w:val="20"/>
                <w:szCs w:val="20"/>
                <w:lang w:eastAsia="da-DK"/>
              </w:rPr>
            </w:pPr>
            <w:proofErr w:type="spellStart"/>
            <w:r w:rsidRPr="00F3159B">
              <w:rPr>
                <w:rFonts w:ascii="Times New Roman" w:eastAsia="Times New Roman" w:hAnsi="Times New Roman" w:cs="Times New Roman"/>
                <w:b/>
                <w:bCs/>
                <w:color w:val="000000"/>
                <w:sz w:val="20"/>
                <w:szCs w:val="20"/>
                <w:lang w:eastAsia="da-DK"/>
              </w:rPr>
              <w:t>Gns.indhandlingspris</w:t>
            </w:r>
            <w:proofErr w:type="spellEnd"/>
            <w:r w:rsidRPr="00F3159B">
              <w:rPr>
                <w:rFonts w:ascii="Times New Roman" w:eastAsia="Times New Roman" w:hAnsi="Times New Roman" w:cs="Times New Roman"/>
                <w:b/>
                <w:bCs/>
                <w:color w:val="000000"/>
                <w:sz w:val="20"/>
                <w:szCs w:val="20"/>
                <w:lang w:eastAsia="da-DK"/>
              </w:rPr>
              <w:t>, kr.kg.</w:t>
            </w:r>
            <w:r w:rsidR="00D82392">
              <w:rPr>
                <w:rFonts w:ascii="Times New Roman" w:eastAsia="Times New Roman" w:hAnsi="Times New Roman" w:cs="Times New Roman"/>
                <w:b/>
                <w:bCs/>
                <w:color w:val="000000"/>
                <w:sz w:val="20"/>
                <w:szCs w:val="20"/>
                <w:lang w:eastAsia="da-DK"/>
              </w:rPr>
              <w:t xml:space="preserve"> levende vægt</w:t>
            </w:r>
          </w:p>
        </w:tc>
        <w:tc>
          <w:tcPr>
            <w:tcW w:w="963" w:type="pct"/>
            <w:tcBorders>
              <w:top w:val="nil"/>
              <w:left w:val="nil"/>
              <w:bottom w:val="single" w:sz="4" w:space="0" w:color="auto"/>
              <w:right w:val="single" w:sz="4" w:space="0" w:color="auto"/>
            </w:tcBorders>
            <w:shd w:val="clear" w:color="000000" w:fill="FFFFFF"/>
            <w:noWrap/>
            <w:vAlign w:val="bottom"/>
            <w:hideMark/>
          </w:tcPr>
          <w:p w14:paraId="788A448E"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15,3</w:t>
            </w:r>
          </w:p>
        </w:tc>
        <w:tc>
          <w:tcPr>
            <w:tcW w:w="963" w:type="pct"/>
            <w:tcBorders>
              <w:top w:val="nil"/>
              <w:left w:val="nil"/>
              <w:bottom w:val="single" w:sz="4" w:space="0" w:color="auto"/>
              <w:right w:val="single" w:sz="4" w:space="0" w:color="auto"/>
            </w:tcBorders>
            <w:shd w:val="clear" w:color="000000" w:fill="FFFFFF"/>
            <w:noWrap/>
            <w:vAlign w:val="bottom"/>
            <w:hideMark/>
          </w:tcPr>
          <w:p w14:paraId="6B74FDA9"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14,7</w:t>
            </w:r>
          </w:p>
        </w:tc>
        <w:tc>
          <w:tcPr>
            <w:tcW w:w="963" w:type="pct"/>
            <w:tcBorders>
              <w:top w:val="nil"/>
              <w:left w:val="nil"/>
              <w:bottom w:val="single" w:sz="4" w:space="0" w:color="auto"/>
              <w:right w:val="single" w:sz="4" w:space="0" w:color="auto"/>
            </w:tcBorders>
            <w:shd w:val="clear" w:color="000000" w:fill="FFFFFF"/>
            <w:noWrap/>
            <w:vAlign w:val="bottom"/>
            <w:hideMark/>
          </w:tcPr>
          <w:p w14:paraId="023422D3" w14:textId="77777777" w:rsidR="00F3159B" w:rsidRPr="00F3159B" w:rsidRDefault="00F3159B" w:rsidP="00F3159B">
            <w:pPr>
              <w:spacing w:after="0" w:line="240" w:lineRule="auto"/>
              <w:jc w:val="right"/>
              <w:rPr>
                <w:rFonts w:ascii="Times New Roman" w:eastAsia="Times New Roman" w:hAnsi="Times New Roman" w:cs="Times New Roman"/>
                <w:b/>
                <w:bCs/>
                <w:color w:val="000000"/>
                <w:sz w:val="20"/>
                <w:szCs w:val="20"/>
                <w:lang w:eastAsia="da-DK"/>
              </w:rPr>
            </w:pPr>
            <w:r w:rsidRPr="00F3159B">
              <w:rPr>
                <w:rFonts w:ascii="Times New Roman" w:eastAsia="Times New Roman" w:hAnsi="Times New Roman" w:cs="Times New Roman"/>
                <w:b/>
                <w:bCs/>
                <w:color w:val="000000"/>
                <w:sz w:val="20"/>
                <w:szCs w:val="20"/>
                <w:lang w:eastAsia="da-DK"/>
              </w:rPr>
              <w:t>12,8</w:t>
            </w:r>
          </w:p>
        </w:tc>
      </w:tr>
    </w:tbl>
    <w:p w14:paraId="2620AB7D" w14:textId="77777777" w:rsidR="00D5156C" w:rsidRPr="00F3159B" w:rsidRDefault="00F3159B" w:rsidP="00506878">
      <w:pPr>
        <w:spacing w:after="0" w:line="276" w:lineRule="auto"/>
        <w:rPr>
          <w:rFonts w:ascii="Times New Roman" w:hAnsi="Times New Roman" w:cs="Times New Roman"/>
          <w:sz w:val="20"/>
          <w:szCs w:val="20"/>
        </w:rPr>
      </w:pPr>
      <w:r w:rsidRPr="00F3159B">
        <w:rPr>
          <w:rFonts w:ascii="Times New Roman" w:hAnsi="Times New Roman" w:cs="Times New Roman"/>
          <w:sz w:val="20"/>
          <w:szCs w:val="20"/>
        </w:rPr>
        <w:t>Kilde: APNN.</w:t>
      </w:r>
    </w:p>
    <w:p w14:paraId="4E5FADBB" w14:textId="77777777" w:rsidR="00F3159B" w:rsidRDefault="00F3159B" w:rsidP="00506878">
      <w:pPr>
        <w:spacing w:after="0" w:line="276" w:lineRule="auto"/>
        <w:rPr>
          <w:rFonts w:ascii="Times New Roman" w:hAnsi="Times New Roman" w:cs="Times New Roman"/>
          <w:sz w:val="24"/>
          <w:szCs w:val="24"/>
        </w:rPr>
      </w:pPr>
    </w:p>
    <w:p w14:paraId="4798B82C" w14:textId="77777777" w:rsidR="005F7323" w:rsidRDefault="005F7323" w:rsidP="005F7323">
      <w:pPr>
        <w:spacing w:after="0" w:line="276" w:lineRule="auto"/>
        <w:contextualSpacing/>
        <w:jc w:val="both"/>
        <w:rPr>
          <w:rFonts w:ascii="Times New Roman" w:hAnsi="Times New Roman" w:cs="Times New Roman"/>
        </w:rPr>
      </w:pPr>
      <w:r>
        <w:rPr>
          <w:rFonts w:ascii="Times New Roman" w:hAnsi="Times New Roman" w:cs="Times New Roman"/>
        </w:rPr>
        <w:t>Den havgående flåde indhandlede torsk for ca. 33 mio.kr. i 2018, jf. tabel 1</w:t>
      </w:r>
      <w:r w:rsidR="00CE3D43">
        <w:rPr>
          <w:rFonts w:ascii="Times New Roman" w:hAnsi="Times New Roman" w:cs="Times New Roman"/>
        </w:rPr>
        <w:t>2</w:t>
      </w:r>
      <w:r>
        <w:rPr>
          <w:rFonts w:ascii="Times New Roman" w:hAnsi="Times New Roman" w:cs="Times New Roman"/>
        </w:rPr>
        <w:t>. Indhandlingsværdien steg til ca. 36 mio.kr. i 2019</w:t>
      </w:r>
      <w:r w:rsidR="001656BB">
        <w:rPr>
          <w:rFonts w:ascii="Times New Roman" w:hAnsi="Times New Roman" w:cs="Times New Roman"/>
        </w:rPr>
        <w:t>,</w:t>
      </w:r>
      <w:r>
        <w:rPr>
          <w:rFonts w:ascii="Times New Roman" w:hAnsi="Times New Roman" w:cs="Times New Roman"/>
        </w:rPr>
        <w:t xml:space="preserve"> som udelukkende skyldes en stigning i den gennemsnitlige indhandlingspris. Indhandlingsværdien af torsk fald kraftigt i 2020 i forhold til 2018 og 2019. Dette skyldes en stor nedgang i </w:t>
      </w:r>
      <w:r>
        <w:rPr>
          <w:rFonts w:ascii="Times New Roman" w:hAnsi="Times New Roman" w:cs="Times New Roman"/>
        </w:rPr>
        <w:lastRenderedPageBreak/>
        <w:t>indhandlingsmængderne</w:t>
      </w:r>
      <w:r w:rsidR="001656BB">
        <w:rPr>
          <w:rFonts w:ascii="Times New Roman" w:hAnsi="Times New Roman" w:cs="Times New Roman"/>
        </w:rPr>
        <w:t>,</w:t>
      </w:r>
      <w:r>
        <w:rPr>
          <w:rFonts w:ascii="Times New Roman" w:hAnsi="Times New Roman" w:cs="Times New Roman"/>
        </w:rPr>
        <w:t xml:space="preserve"> fordi fartøjerne fik dispensation følge COVID-pandemien til at reducere landingspligten og producere større mængder til havs.</w:t>
      </w:r>
    </w:p>
    <w:p w14:paraId="48DE56A3" w14:textId="77777777" w:rsidR="005F7323" w:rsidRDefault="005F7323" w:rsidP="00506878">
      <w:pPr>
        <w:spacing w:after="0" w:line="276" w:lineRule="auto"/>
        <w:rPr>
          <w:rFonts w:ascii="Times New Roman" w:hAnsi="Times New Roman" w:cs="Times New Roman"/>
          <w:sz w:val="24"/>
          <w:szCs w:val="24"/>
        </w:rPr>
      </w:pPr>
    </w:p>
    <w:p w14:paraId="14AE7F36" w14:textId="77777777" w:rsidR="00542DBD" w:rsidRDefault="00542DBD" w:rsidP="00542DBD">
      <w:pPr>
        <w:spacing w:after="0" w:line="276" w:lineRule="auto"/>
        <w:contextualSpacing/>
        <w:jc w:val="both"/>
        <w:rPr>
          <w:rFonts w:ascii="Times New Roman" w:hAnsi="Times New Roman" w:cs="Times New Roman"/>
        </w:rPr>
      </w:pPr>
      <w:r>
        <w:rPr>
          <w:rFonts w:ascii="Times New Roman" w:hAnsi="Times New Roman" w:cs="Times New Roman"/>
        </w:rPr>
        <w:t>Tabel 1</w:t>
      </w:r>
      <w:r w:rsidR="00CE3D43">
        <w:rPr>
          <w:rFonts w:ascii="Times New Roman" w:hAnsi="Times New Roman" w:cs="Times New Roman"/>
        </w:rPr>
        <w:t>2</w:t>
      </w:r>
      <w:r>
        <w:rPr>
          <w:rFonts w:ascii="Times New Roman" w:hAnsi="Times New Roman" w:cs="Times New Roman"/>
        </w:rPr>
        <w:t xml:space="preserve">: Udvikling i indhandlingsværdier fra det havgående </w:t>
      </w:r>
      <w:r w:rsidR="00A36610">
        <w:rPr>
          <w:rFonts w:ascii="Times New Roman" w:hAnsi="Times New Roman" w:cs="Times New Roman"/>
        </w:rPr>
        <w:t>torskefiskeri</w:t>
      </w:r>
      <w:r>
        <w:rPr>
          <w:rFonts w:ascii="Times New Roman" w:hAnsi="Times New Roman" w:cs="Times New Roman"/>
        </w:rPr>
        <w:t>, 2018-2020.</w:t>
      </w:r>
    </w:p>
    <w:tbl>
      <w:tblPr>
        <w:tblW w:w="9715" w:type="dxa"/>
        <w:tblCellMar>
          <w:left w:w="70" w:type="dxa"/>
          <w:right w:w="70" w:type="dxa"/>
        </w:tblCellMar>
        <w:tblLook w:val="04A0" w:firstRow="1" w:lastRow="0" w:firstColumn="1" w:lastColumn="0" w:noHBand="0" w:noVBand="1"/>
      </w:tblPr>
      <w:tblGrid>
        <w:gridCol w:w="4309"/>
        <w:gridCol w:w="1802"/>
        <w:gridCol w:w="1802"/>
        <w:gridCol w:w="1802"/>
      </w:tblGrid>
      <w:tr w:rsidR="00A36610" w:rsidRPr="00A36610" w14:paraId="1AFF0844" w14:textId="77777777" w:rsidTr="00A36610">
        <w:trPr>
          <w:trHeight w:val="282"/>
        </w:trPr>
        <w:tc>
          <w:tcPr>
            <w:tcW w:w="4309" w:type="dxa"/>
            <w:tcBorders>
              <w:top w:val="single" w:sz="4" w:space="0" w:color="auto"/>
              <w:left w:val="single" w:sz="4" w:space="0" w:color="auto"/>
              <w:bottom w:val="nil"/>
              <w:right w:val="single" w:sz="4" w:space="0" w:color="auto"/>
            </w:tcBorders>
            <w:shd w:val="clear" w:color="000000" w:fill="FFFFFF"/>
            <w:noWrap/>
            <w:vAlign w:val="bottom"/>
            <w:hideMark/>
          </w:tcPr>
          <w:p w14:paraId="055305D9"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w:t>
            </w:r>
          </w:p>
        </w:tc>
        <w:tc>
          <w:tcPr>
            <w:tcW w:w="1802" w:type="dxa"/>
            <w:tcBorders>
              <w:top w:val="single" w:sz="4" w:space="0" w:color="auto"/>
              <w:left w:val="nil"/>
              <w:bottom w:val="nil"/>
              <w:right w:val="single" w:sz="4" w:space="0" w:color="auto"/>
            </w:tcBorders>
            <w:shd w:val="clear" w:color="000000" w:fill="FFFFFF"/>
            <w:noWrap/>
            <w:vAlign w:val="bottom"/>
            <w:hideMark/>
          </w:tcPr>
          <w:p w14:paraId="5D141765"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w:t>
            </w:r>
          </w:p>
        </w:tc>
        <w:tc>
          <w:tcPr>
            <w:tcW w:w="1802" w:type="dxa"/>
            <w:tcBorders>
              <w:top w:val="single" w:sz="4" w:space="0" w:color="auto"/>
              <w:left w:val="nil"/>
              <w:bottom w:val="nil"/>
              <w:right w:val="nil"/>
            </w:tcBorders>
            <w:shd w:val="clear" w:color="000000" w:fill="FFFFFF"/>
            <w:noWrap/>
            <w:vAlign w:val="bottom"/>
            <w:hideMark/>
          </w:tcPr>
          <w:p w14:paraId="66D2550E"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w:t>
            </w:r>
          </w:p>
        </w:tc>
        <w:tc>
          <w:tcPr>
            <w:tcW w:w="1802" w:type="dxa"/>
            <w:tcBorders>
              <w:top w:val="single" w:sz="4" w:space="0" w:color="auto"/>
              <w:left w:val="single" w:sz="4" w:space="0" w:color="auto"/>
              <w:bottom w:val="nil"/>
              <w:right w:val="single" w:sz="4" w:space="0" w:color="auto"/>
            </w:tcBorders>
            <w:shd w:val="clear" w:color="000000" w:fill="FFFFFF"/>
            <w:noWrap/>
            <w:vAlign w:val="bottom"/>
            <w:hideMark/>
          </w:tcPr>
          <w:p w14:paraId="2E15F259"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w:t>
            </w:r>
          </w:p>
        </w:tc>
      </w:tr>
      <w:tr w:rsidR="00A36610" w:rsidRPr="00A36610" w14:paraId="112F091A"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44ECDA91" w14:textId="77777777" w:rsidR="00A36610" w:rsidRPr="00A36610" w:rsidRDefault="00A36610" w:rsidP="00A36610">
            <w:pPr>
              <w:spacing w:after="0" w:line="240" w:lineRule="auto"/>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By / mio.kr.</w:t>
            </w:r>
          </w:p>
        </w:tc>
        <w:tc>
          <w:tcPr>
            <w:tcW w:w="1802" w:type="dxa"/>
            <w:tcBorders>
              <w:top w:val="nil"/>
              <w:left w:val="nil"/>
              <w:bottom w:val="single" w:sz="4" w:space="0" w:color="auto"/>
              <w:right w:val="single" w:sz="4" w:space="0" w:color="auto"/>
            </w:tcBorders>
            <w:shd w:val="clear" w:color="000000" w:fill="FFFFFF"/>
            <w:noWrap/>
            <w:vAlign w:val="center"/>
            <w:hideMark/>
          </w:tcPr>
          <w:p w14:paraId="4D89B98D"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2018</w:t>
            </w:r>
          </w:p>
        </w:tc>
        <w:tc>
          <w:tcPr>
            <w:tcW w:w="1802" w:type="dxa"/>
            <w:tcBorders>
              <w:top w:val="nil"/>
              <w:left w:val="nil"/>
              <w:bottom w:val="single" w:sz="4" w:space="0" w:color="auto"/>
              <w:right w:val="nil"/>
            </w:tcBorders>
            <w:shd w:val="clear" w:color="000000" w:fill="FFFFFF"/>
            <w:noWrap/>
            <w:vAlign w:val="center"/>
            <w:hideMark/>
          </w:tcPr>
          <w:p w14:paraId="37A03E00"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2019</w:t>
            </w:r>
          </w:p>
        </w:tc>
        <w:tc>
          <w:tcPr>
            <w:tcW w:w="1802" w:type="dxa"/>
            <w:tcBorders>
              <w:top w:val="nil"/>
              <w:left w:val="single" w:sz="4" w:space="0" w:color="auto"/>
              <w:bottom w:val="single" w:sz="4" w:space="0" w:color="auto"/>
              <w:right w:val="single" w:sz="4" w:space="0" w:color="auto"/>
            </w:tcBorders>
            <w:shd w:val="clear" w:color="000000" w:fill="FFFFFF"/>
            <w:noWrap/>
            <w:vAlign w:val="center"/>
            <w:hideMark/>
          </w:tcPr>
          <w:p w14:paraId="19774F6F"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2020</w:t>
            </w:r>
          </w:p>
        </w:tc>
      </w:tr>
      <w:tr w:rsidR="00A36610" w:rsidRPr="00A36610" w14:paraId="7A4CB26A"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547CF1A0"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Maniitsoq</w:t>
            </w:r>
          </w:p>
        </w:tc>
        <w:tc>
          <w:tcPr>
            <w:tcW w:w="1802" w:type="dxa"/>
            <w:tcBorders>
              <w:top w:val="nil"/>
              <w:left w:val="nil"/>
              <w:bottom w:val="single" w:sz="4" w:space="0" w:color="auto"/>
              <w:right w:val="single" w:sz="4" w:space="0" w:color="auto"/>
            </w:tcBorders>
            <w:shd w:val="clear" w:color="000000" w:fill="FFFFFF"/>
            <w:noWrap/>
            <w:vAlign w:val="center"/>
            <w:hideMark/>
          </w:tcPr>
          <w:p w14:paraId="584E7664"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1,3 </w:t>
            </w:r>
          </w:p>
        </w:tc>
        <w:tc>
          <w:tcPr>
            <w:tcW w:w="1802" w:type="dxa"/>
            <w:tcBorders>
              <w:top w:val="nil"/>
              <w:left w:val="nil"/>
              <w:bottom w:val="single" w:sz="4" w:space="0" w:color="auto"/>
              <w:right w:val="single" w:sz="4" w:space="0" w:color="auto"/>
            </w:tcBorders>
            <w:shd w:val="clear" w:color="000000" w:fill="FFFFFF"/>
            <w:noWrap/>
            <w:vAlign w:val="center"/>
            <w:hideMark/>
          </w:tcPr>
          <w:p w14:paraId="5520D06A"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1,5 </w:t>
            </w:r>
          </w:p>
        </w:tc>
        <w:tc>
          <w:tcPr>
            <w:tcW w:w="1802" w:type="dxa"/>
            <w:tcBorders>
              <w:top w:val="nil"/>
              <w:left w:val="nil"/>
              <w:bottom w:val="single" w:sz="4" w:space="0" w:color="auto"/>
              <w:right w:val="single" w:sz="4" w:space="0" w:color="auto"/>
            </w:tcBorders>
            <w:shd w:val="clear" w:color="000000" w:fill="FFFFFF"/>
            <w:noWrap/>
            <w:vAlign w:val="center"/>
            <w:hideMark/>
          </w:tcPr>
          <w:p w14:paraId="66E85689"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   </w:t>
            </w:r>
          </w:p>
        </w:tc>
      </w:tr>
      <w:tr w:rsidR="00A36610" w:rsidRPr="00A36610" w14:paraId="61609C09"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6B6574E1"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Nanortalik</w:t>
            </w:r>
          </w:p>
        </w:tc>
        <w:tc>
          <w:tcPr>
            <w:tcW w:w="1802" w:type="dxa"/>
            <w:tcBorders>
              <w:top w:val="nil"/>
              <w:left w:val="nil"/>
              <w:bottom w:val="single" w:sz="4" w:space="0" w:color="auto"/>
              <w:right w:val="single" w:sz="4" w:space="0" w:color="auto"/>
            </w:tcBorders>
            <w:shd w:val="clear" w:color="000000" w:fill="FFFFFF"/>
            <w:noWrap/>
            <w:vAlign w:val="center"/>
            <w:hideMark/>
          </w:tcPr>
          <w:p w14:paraId="2E41DCFE"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12,0 </w:t>
            </w:r>
          </w:p>
        </w:tc>
        <w:tc>
          <w:tcPr>
            <w:tcW w:w="1802" w:type="dxa"/>
            <w:tcBorders>
              <w:top w:val="nil"/>
              <w:left w:val="nil"/>
              <w:bottom w:val="single" w:sz="4" w:space="0" w:color="auto"/>
              <w:right w:val="single" w:sz="4" w:space="0" w:color="auto"/>
            </w:tcBorders>
            <w:shd w:val="clear" w:color="000000" w:fill="FFFFFF"/>
            <w:noWrap/>
            <w:vAlign w:val="center"/>
            <w:hideMark/>
          </w:tcPr>
          <w:p w14:paraId="2FC7BC7D"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29,5 </w:t>
            </w:r>
          </w:p>
        </w:tc>
        <w:tc>
          <w:tcPr>
            <w:tcW w:w="1802" w:type="dxa"/>
            <w:tcBorders>
              <w:top w:val="nil"/>
              <w:left w:val="nil"/>
              <w:bottom w:val="single" w:sz="4" w:space="0" w:color="auto"/>
              <w:right w:val="single" w:sz="4" w:space="0" w:color="auto"/>
            </w:tcBorders>
            <w:shd w:val="clear" w:color="000000" w:fill="FFFFFF"/>
            <w:noWrap/>
            <w:vAlign w:val="center"/>
            <w:hideMark/>
          </w:tcPr>
          <w:p w14:paraId="1C96D470"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7,5 </w:t>
            </w:r>
          </w:p>
        </w:tc>
      </w:tr>
      <w:tr w:rsidR="00A36610" w:rsidRPr="00A36610" w14:paraId="5CF6AD15"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524EECD2"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proofErr w:type="spellStart"/>
            <w:r w:rsidRPr="00A36610">
              <w:rPr>
                <w:rFonts w:ascii="Times New Roman" w:eastAsia="Times New Roman" w:hAnsi="Times New Roman" w:cs="Times New Roman"/>
                <w:color w:val="000000"/>
                <w:sz w:val="20"/>
                <w:szCs w:val="20"/>
                <w:lang w:eastAsia="da-DK"/>
              </w:rPr>
              <w:t>Narsaq</w:t>
            </w:r>
            <w:proofErr w:type="spellEnd"/>
          </w:p>
        </w:tc>
        <w:tc>
          <w:tcPr>
            <w:tcW w:w="1802" w:type="dxa"/>
            <w:tcBorders>
              <w:top w:val="nil"/>
              <w:left w:val="nil"/>
              <w:bottom w:val="single" w:sz="4" w:space="0" w:color="auto"/>
              <w:right w:val="single" w:sz="4" w:space="0" w:color="auto"/>
            </w:tcBorders>
            <w:shd w:val="clear" w:color="000000" w:fill="FFFFFF"/>
            <w:noWrap/>
            <w:vAlign w:val="center"/>
            <w:hideMark/>
          </w:tcPr>
          <w:p w14:paraId="38E00F2E"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1,0 </w:t>
            </w:r>
          </w:p>
        </w:tc>
        <w:tc>
          <w:tcPr>
            <w:tcW w:w="1802" w:type="dxa"/>
            <w:tcBorders>
              <w:top w:val="nil"/>
              <w:left w:val="nil"/>
              <w:bottom w:val="single" w:sz="4" w:space="0" w:color="auto"/>
              <w:right w:val="single" w:sz="4" w:space="0" w:color="auto"/>
            </w:tcBorders>
            <w:shd w:val="clear" w:color="000000" w:fill="FFFFFF"/>
            <w:noWrap/>
            <w:vAlign w:val="center"/>
            <w:hideMark/>
          </w:tcPr>
          <w:p w14:paraId="06B317DA"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   </w:t>
            </w:r>
          </w:p>
        </w:tc>
        <w:tc>
          <w:tcPr>
            <w:tcW w:w="1802" w:type="dxa"/>
            <w:tcBorders>
              <w:top w:val="nil"/>
              <w:left w:val="nil"/>
              <w:bottom w:val="single" w:sz="4" w:space="0" w:color="auto"/>
              <w:right w:val="single" w:sz="4" w:space="0" w:color="auto"/>
            </w:tcBorders>
            <w:shd w:val="clear" w:color="000000" w:fill="FFFFFF"/>
            <w:noWrap/>
            <w:vAlign w:val="center"/>
            <w:hideMark/>
          </w:tcPr>
          <w:p w14:paraId="1FA6CC41"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   </w:t>
            </w:r>
          </w:p>
        </w:tc>
      </w:tr>
      <w:tr w:rsidR="00A36610" w:rsidRPr="00A36610" w14:paraId="7C6D1EBB"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7E5AE5CD"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Nuuk</w:t>
            </w:r>
          </w:p>
        </w:tc>
        <w:tc>
          <w:tcPr>
            <w:tcW w:w="1802" w:type="dxa"/>
            <w:tcBorders>
              <w:top w:val="nil"/>
              <w:left w:val="nil"/>
              <w:bottom w:val="single" w:sz="4" w:space="0" w:color="auto"/>
              <w:right w:val="single" w:sz="4" w:space="0" w:color="auto"/>
            </w:tcBorders>
            <w:shd w:val="clear" w:color="000000" w:fill="FFFFFF"/>
            <w:noWrap/>
            <w:vAlign w:val="center"/>
            <w:hideMark/>
          </w:tcPr>
          <w:p w14:paraId="002EEE40"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1,6 </w:t>
            </w:r>
          </w:p>
        </w:tc>
        <w:tc>
          <w:tcPr>
            <w:tcW w:w="1802" w:type="dxa"/>
            <w:tcBorders>
              <w:top w:val="nil"/>
              <w:left w:val="nil"/>
              <w:bottom w:val="single" w:sz="4" w:space="0" w:color="auto"/>
              <w:right w:val="single" w:sz="4" w:space="0" w:color="auto"/>
            </w:tcBorders>
            <w:shd w:val="clear" w:color="000000" w:fill="FFFFFF"/>
            <w:noWrap/>
            <w:vAlign w:val="center"/>
            <w:hideMark/>
          </w:tcPr>
          <w:p w14:paraId="2376BBA2"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   </w:t>
            </w:r>
          </w:p>
        </w:tc>
        <w:tc>
          <w:tcPr>
            <w:tcW w:w="1802" w:type="dxa"/>
            <w:tcBorders>
              <w:top w:val="nil"/>
              <w:left w:val="nil"/>
              <w:bottom w:val="single" w:sz="4" w:space="0" w:color="auto"/>
              <w:right w:val="single" w:sz="4" w:space="0" w:color="auto"/>
            </w:tcBorders>
            <w:shd w:val="clear" w:color="000000" w:fill="FFFFFF"/>
            <w:noWrap/>
            <w:vAlign w:val="center"/>
            <w:hideMark/>
          </w:tcPr>
          <w:p w14:paraId="1D08FA0A"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   </w:t>
            </w:r>
          </w:p>
        </w:tc>
      </w:tr>
      <w:tr w:rsidR="00A36610" w:rsidRPr="00A36610" w14:paraId="6D68DE1D"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0140E89E"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Paamiut</w:t>
            </w:r>
          </w:p>
        </w:tc>
        <w:tc>
          <w:tcPr>
            <w:tcW w:w="1802" w:type="dxa"/>
            <w:tcBorders>
              <w:top w:val="nil"/>
              <w:left w:val="nil"/>
              <w:bottom w:val="single" w:sz="4" w:space="0" w:color="auto"/>
              <w:right w:val="single" w:sz="4" w:space="0" w:color="auto"/>
            </w:tcBorders>
            <w:shd w:val="clear" w:color="000000" w:fill="FFFFFF"/>
            <w:noWrap/>
            <w:vAlign w:val="center"/>
            <w:hideMark/>
          </w:tcPr>
          <w:p w14:paraId="3228B277"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4,3 </w:t>
            </w:r>
          </w:p>
        </w:tc>
        <w:tc>
          <w:tcPr>
            <w:tcW w:w="1802" w:type="dxa"/>
            <w:tcBorders>
              <w:top w:val="nil"/>
              <w:left w:val="nil"/>
              <w:bottom w:val="single" w:sz="4" w:space="0" w:color="auto"/>
              <w:right w:val="single" w:sz="4" w:space="0" w:color="auto"/>
            </w:tcBorders>
            <w:shd w:val="clear" w:color="000000" w:fill="FFFFFF"/>
            <w:noWrap/>
            <w:vAlign w:val="center"/>
            <w:hideMark/>
          </w:tcPr>
          <w:p w14:paraId="5E535A7E"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0,0 </w:t>
            </w:r>
          </w:p>
        </w:tc>
        <w:tc>
          <w:tcPr>
            <w:tcW w:w="1802" w:type="dxa"/>
            <w:tcBorders>
              <w:top w:val="nil"/>
              <w:left w:val="nil"/>
              <w:bottom w:val="single" w:sz="4" w:space="0" w:color="auto"/>
              <w:right w:val="single" w:sz="4" w:space="0" w:color="auto"/>
            </w:tcBorders>
            <w:shd w:val="clear" w:color="000000" w:fill="FFFFFF"/>
            <w:noWrap/>
            <w:vAlign w:val="center"/>
            <w:hideMark/>
          </w:tcPr>
          <w:p w14:paraId="3EC38241"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   </w:t>
            </w:r>
          </w:p>
        </w:tc>
      </w:tr>
      <w:tr w:rsidR="00A36610" w:rsidRPr="00A36610" w14:paraId="2F26D28D"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6B1DEAF4" w14:textId="77777777" w:rsidR="00A36610" w:rsidRPr="00A36610" w:rsidRDefault="00A36610" w:rsidP="00A36610">
            <w:pPr>
              <w:spacing w:after="0" w:line="240" w:lineRule="auto"/>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Qaqortoq</w:t>
            </w:r>
          </w:p>
        </w:tc>
        <w:tc>
          <w:tcPr>
            <w:tcW w:w="1802" w:type="dxa"/>
            <w:tcBorders>
              <w:top w:val="nil"/>
              <w:left w:val="nil"/>
              <w:bottom w:val="single" w:sz="4" w:space="0" w:color="auto"/>
              <w:right w:val="single" w:sz="4" w:space="0" w:color="auto"/>
            </w:tcBorders>
            <w:shd w:val="clear" w:color="000000" w:fill="FFFFFF"/>
            <w:noWrap/>
            <w:vAlign w:val="center"/>
            <w:hideMark/>
          </w:tcPr>
          <w:p w14:paraId="75CB8C8C"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12,5 </w:t>
            </w:r>
          </w:p>
        </w:tc>
        <w:tc>
          <w:tcPr>
            <w:tcW w:w="1802" w:type="dxa"/>
            <w:tcBorders>
              <w:top w:val="nil"/>
              <w:left w:val="nil"/>
              <w:bottom w:val="single" w:sz="4" w:space="0" w:color="auto"/>
              <w:right w:val="single" w:sz="4" w:space="0" w:color="auto"/>
            </w:tcBorders>
            <w:shd w:val="clear" w:color="000000" w:fill="FFFFFF"/>
            <w:noWrap/>
            <w:vAlign w:val="center"/>
            <w:hideMark/>
          </w:tcPr>
          <w:p w14:paraId="1CDBC515"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5,1 </w:t>
            </w:r>
          </w:p>
        </w:tc>
        <w:tc>
          <w:tcPr>
            <w:tcW w:w="1802" w:type="dxa"/>
            <w:tcBorders>
              <w:top w:val="nil"/>
              <w:left w:val="nil"/>
              <w:bottom w:val="single" w:sz="4" w:space="0" w:color="auto"/>
              <w:right w:val="single" w:sz="4" w:space="0" w:color="auto"/>
            </w:tcBorders>
            <w:shd w:val="clear" w:color="000000" w:fill="FFFFFF"/>
            <w:noWrap/>
            <w:vAlign w:val="center"/>
            <w:hideMark/>
          </w:tcPr>
          <w:p w14:paraId="36247199" w14:textId="77777777" w:rsidR="00A36610" w:rsidRPr="00A36610" w:rsidRDefault="00A36610" w:rsidP="00A36610">
            <w:pPr>
              <w:spacing w:after="0" w:line="240" w:lineRule="auto"/>
              <w:jc w:val="right"/>
              <w:rPr>
                <w:rFonts w:ascii="Times New Roman" w:eastAsia="Times New Roman" w:hAnsi="Times New Roman" w:cs="Times New Roman"/>
                <w:color w:val="000000"/>
                <w:sz w:val="20"/>
                <w:szCs w:val="20"/>
                <w:lang w:eastAsia="da-DK"/>
              </w:rPr>
            </w:pPr>
            <w:r w:rsidRPr="00A36610">
              <w:rPr>
                <w:rFonts w:ascii="Times New Roman" w:eastAsia="Times New Roman" w:hAnsi="Times New Roman" w:cs="Times New Roman"/>
                <w:color w:val="000000"/>
                <w:sz w:val="20"/>
                <w:szCs w:val="20"/>
                <w:lang w:eastAsia="da-DK"/>
              </w:rPr>
              <w:t xml:space="preserve">                   2,8 </w:t>
            </w:r>
          </w:p>
        </w:tc>
      </w:tr>
      <w:tr w:rsidR="00A36610" w:rsidRPr="00A36610" w14:paraId="43B96454"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14:paraId="7F682823" w14:textId="77777777" w:rsidR="00A36610" w:rsidRPr="00A36610" w:rsidRDefault="00A36610" w:rsidP="00A36610">
            <w:pPr>
              <w:spacing w:after="0" w:line="240" w:lineRule="auto"/>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I alt</w:t>
            </w:r>
          </w:p>
        </w:tc>
        <w:tc>
          <w:tcPr>
            <w:tcW w:w="1802" w:type="dxa"/>
            <w:tcBorders>
              <w:top w:val="nil"/>
              <w:left w:val="nil"/>
              <w:bottom w:val="single" w:sz="4" w:space="0" w:color="auto"/>
              <w:right w:val="single" w:sz="4" w:space="0" w:color="auto"/>
            </w:tcBorders>
            <w:shd w:val="clear" w:color="000000" w:fill="FFFFFF"/>
            <w:noWrap/>
            <w:vAlign w:val="center"/>
            <w:hideMark/>
          </w:tcPr>
          <w:p w14:paraId="59D8BA67"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 xml:space="preserve">                32,7 </w:t>
            </w:r>
          </w:p>
        </w:tc>
        <w:tc>
          <w:tcPr>
            <w:tcW w:w="1802" w:type="dxa"/>
            <w:tcBorders>
              <w:top w:val="nil"/>
              <w:left w:val="nil"/>
              <w:bottom w:val="single" w:sz="4" w:space="0" w:color="auto"/>
              <w:right w:val="single" w:sz="4" w:space="0" w:color="auto"/>
            </w:tcBorders>
            <w:shd w:val="clear" w:color="000000" w:fill="FFFFFF"/>
            <w:noWrap/>
            <w:vAlign w:val="center"/>
            <w:hideMark/>
          </w:tcPr>
          <w:p w14:paraId="6A73ECA3"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 xml:space="preserve">                36,1 </w:t>
            </w:r>
          </w:p>
        </w:tc>
        <w:tc>
          <w:tcPr>
            <w:tcW w:w="1802" w:type="dxa"/>
            <w:tcBorders>
              <w:top w:val="nil"/>
              <w:left w:val="nil"/>
              <w:bottom w:val="single" w:sz="4" w:space="0" w:color="auto"/>
              <w:right w:val="single" w:sz="4" w:space="0" w:color="auto"/>
            </w:tcBorders>
            <w:shd w:val="clear" w:color="000000" w:fill="FFFFFF"/>
            <w:noWrap/>
            <w:vAlign w:val="center"/>
            <w:hideMark/>
          </w:tcPr>
          <w:p w14:paraId="7C4A26A4"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 xml:space="preserve">                10,3 </w:t>
            </w:r>
          </w:p>
        </w:tc>
      </w:tr>
      <w:tr w:rsidR="00A36610" w:rsidRPr="00A36610" w14:paraId="15F0155A" w14:textId="77777777"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bottom"/>
            <w:hideMark/>
          </w:tcPr>
          <w:p w14:paraId="3A4AC302" w14:textId="77777777" w:rsidR="00A36610" w:rsidRPr="00A36610" w:rsidRDefault="00A36610" w:rsidP="00A36610">
            <w:pPr>
              <w:spacing w:after="0" w:line="240" w:lineRule="auto"/>
              <w:rPr>
                <w:rFonts w:ascii="Times New Roman" w:eastAsia="Times New Roman" w:hAnsi="Times New Roman" w:cs="Times New Roman"/>
                <w:b/>
                <w:bCs/>
                <w:color w:val="000000"/>
                <w:sz w:val="20"/>
                <w:szCs w:val="20"/>
                <w:lang w:eastAsia="da-DK"/>
              </w:rPr>
            </w:pPr>
            <w:proofErr w:type="spellStart"/>
            <w:r w:rsidRPr="00A36610">
              <w:rPr>
                <w:rFonts w:ascii="Times New Roman" w:eastAsia="Times New Roman" w:hAnsi="Times New Roman" w:cs="Times New Roman"/>
                <w:b/>
                <w:bCs/>
                <w:color w:val="000000"/>
                <w:sz w:val="20"/>
                <w:szCs w:val="20"/>
                <w:lang w:eastAsia="da-DK"/>
              </w:rPr>
              <w:t>Gns.indhandlingspris</w:t>
            </w:r>
            <w:proofErr w:type="spellEnd"/>
            <w:r w:rsidRPr="00A36610">
              <w:rPr>
                <w:rFonts w:ascii="Times New Roman" w:eastAsia="Times New Roman" w:hAnsi="Times New Roman" w:cs="Times New Roman"/>
                <w:b/>
                <w:bCs/>
                <w:color w:val="000000"/>
                <w:sz w:val="20"/>
                <w:szCs w:val="20"/>
                <w:lang w:eastAsia="da-DK"/>
              </w:rPr>
              <w:t>, kr.kg.</w:t>
            </w:r>
            <w:r w:rsidR="001C4149">
              <w:rPr>
                <w:rFonts w:ascii="Times New Roman" w:eastAsia="Times New Roman" w:hAnsi="Times New Roman" w:cs="Times New Roman"/>
                <w:b/>
                <w:bCs/>
                <w:color w:val="000000"/>
                <w:sz w:val="20"/>
                <w:szCs w:val="20"/>
                <w:lang w:eastAsia="da-DK"/>
              </w:rPr>
              <w:t xml:space="preserve"> levende vægt</w:t>
            </w:r>
          </w:p>
        </w:tc>
        <w:tc>
          <w:tcPr>
            <w:tcW w:w="1802" w:type="dxa"/>
            <w:tcBorders>
              <w:top w:val="nil"/>
              <w:left w:val="nil"/>
              <w:bottom w:val="single" w:sz="4" w:space="0" w:color="auto"/>
              <w:right w:val="single" w:sz="4" w:space="0" w:color="auto"/>
            </w:tcBorders>
            <w:shd w:val="clear" w:color="000000" w:fill="FFFFFF"/>
            <w:noWrap/>
            <w:vAlign w:val="bottom"/>
            <w:hideMark/>
          </w:tcPr>
          <w:p w14:paraId="6127EB0E"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 xml:space="preserve">                  7,1 </w:t>
            </w:r>
          </w:p>
        </w:tc>
        <w:tc>
          <w:tcPr>
            <w:tcW w:w="1802" w:type="dxa"/>
            <w:tcBorders>
              <w:top w:val="nil"/>
              <w:left w:val="nil"/>
              <w:bottom w:val="single" w:sz="4" w:space="0" w:color="auto"/>
              <w:right w:val="single" w:sz="4" w:space="0" w:color="auto"/>
            </w:tcBorders>
            <w:shd w:val="clear" w:color="000000" w:fill="FFFFFF"/>
            <w:noWrap/>
            <w:vAlign w:val="bottom"/>
            <w:hideMark/>
          </w:tcPr>
          <w:p w14:paraId="5371754A"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 xml:space="preserve">                  8,1 </w:t>
            </w:r>
          </w:p>
        </w:tc>
        <w:tc>
          <w:tcPr>
            <w:tcW w:w="1802" w:type="dxa"/>
            <w:tcBorders>
              <w:top w:val="nil"/>
              <w:left w:val="nil"/>
              <w:bottom w:val="single" w:sz="4" w:space="0" w:color="auto"/>
              <w:right w:val="single" w:sz="4" w:space="0" w:color="auto"/>
            </w:tcBorders>
            <w:shd w:val="clear" w:color="000000" w:fill="FFFFFF"/>
            <w:noWrap/>
            <w:vAlign w:val="bottom"/>
            <w:hideMark/>
          </w:tcPr>
          <w:p w14:paraId="42AD85BA" w14:textId="77777777" w:rsidR="00A36610" w:rsidRPr="00A36610" w:rsidRDefault="00A36610" w:rsidP="00A36610">
            <w:pPr>
              <w:spacing w:after="0" w:line="240" w:lineRule="auto"/>
              <w:jc w:val="right"/>
              <w:rPr>
                <w:rFonts w:ascii="Times New Roman" w:eastAsia="Times New Roman" w:hAnsi="Times New Roman" w:cs="Times New Roman"/>
                <w:b/>
                <w:bCs/>
                <w:color w:val="000000"/>
                <w:sz w:val="20"/>
                <w:szCs w:val="20"/>
                <w:lang w:eastAsia="da-DK"/>
              </w:rPr>
            </w:pPr>
            <w:r w:rsidRPr="00A36610">
              <w:rPr>
                <w:rFonts w:ascii="Times New Roman" w:eastAsia="Times New Roman" w:hAnsi="Times New Roman" w:cs="Times New Roman"/>
                <w:b/>
                <w:bCs/>
                <w:color w:val="000000"/>
                <w:sz w:val="20"/>
                <w:szCs w:val="20"/>
                <w:lang w:eastAsia="da-DK"/>
              </w:rPr>
              <w:t xml:space="preserve">                  8,4 </w:t>
            </w:r>
          </w:p>
        </w:tc>
      </w:tr>
    </w:tbl>
    <w:p w14:paraId="366FDCF0" w14:textId="77777777" w:rsidR="00A36610" w:rsidRPr="008F7BB1" w:rsidRDefault="003462B0" w:rsidP="00506878">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Kilde: APNN.</w:t>
      </w:r>
    </w:p>
    <w:p w14:paraId="7C7BA259" w14:textId="77777777" w:rsidR="003462B0" w:rsidRDefault="003462B0" w:rsidP="00506878">
      <w:pPr>
        <w:spacing w:after="0" w:line="276" w:lineRule="auto"/>
        <w:jc w:val="both"/>
        <w:rPr>
          <w:rFonts w:ascii="Times New Roman" w:hAnsi="Times New Roman" w:cs="Times New Roman"/>
          <w:i/>
          <w:color w:val="000000" w:themeColor="text1"/>
          <w:sz w:val="24"/>
          <w:szCs w:val="24"/>
        </w:rPr>
      </w:pPr>
    </w:p>
    <w:p w14:paraId="2E103542" w14:textId="73D371FA" w:rsidR="00506878" w:rsidRPr="004F6005" w:rsidRDefault="00506878" w:rsidP="00506878">
      <w:pPr>
        <w:spacing w:after="0" w:line="276" w:lineRule="auto"/>
        <w:jc w:val="both"/>
        <w:rPr>
          <w:rFonts w:ascii="Times New Roman" w:hAnsi="Times New Roman" w:cs="Times New Roman"/>
          <w:b/>
          <w:i/>
          <w:color w:val="000000" w:themeColor="text1"/>
        </w:rPr>
      </w:pPr>
      <w:r w:rsidRPr="004F6005">
        <w:rPr>
          <w:rFonts w:ascii="Times New Roman" w:hAnsi="Times New Roman" w:cs="Times New Roman"/>
          <w:b/>
          <w:i/>
          <w:color w:val="000000" w:themeColor="text1"/>
        </w:rPr>
        <w:t xml:space="preserve">Økonomien i </w:t>
      </w:r>
      <w:r w:rsidR="006452C4" w:rsidRPr="004F6005">
        <w:rPr>
          <w:rFonts w:ascii="Times New Roman" w:hAnsi="Times New Roman" w:cs="Times New Roman"/>
          <w:b/>
          <w:i/>
          <w:color w:val="000000" w:themeColor="text1"/>
        </w:rPr>
        <w:t xml:space="preserve">det havgående </w:t>
      </w:r>
      <w:proofErr w:type="spellStart"/>
      <w:r w:rsidR="006452C4" w:rsidRPr="004F6005">
        <w:rPr>
          <w:rFonts w:ascii="Times New Roman" w:hAnsi="Times New Roman" w:cs="Times New Roman"/>
          <w:b/>
          <w:i/>
          <w:color w:val="000000" w:themeColor="text1"/>
        </w:rPr>
        <w:t>hvidfiskfiskeri</w:t>
      </w:r>
      <w:proofErr w:type="spellEnd"/>
    </w:p>
    <w:p w14:paraId="3ED7E172" w14:textId="11C868AD" w:rsidR="00506878" w:rsidRDefault="00506878" w:rsidP="00506878">
      <w:pPr>
        <w:spacing w:after="0" w:line="276" w:lineRule="auto"/>
        <w:jc w:val="both"/>
        <w:rPr>
          <w:rFonts w:ascii="Times New Roman" w:hAnsi="Times New Roman" w:cs="Times New Roman"/>
        </w:rPr>
      </w:pPr>
      <w:r w:rsidRPr="00506878">
        <w:rPr>
          <w:rFonts w:ascii="Times New Roman" w:hAnsi="Times New Roman" w:cs="Times New Roman"/>
        </w:rPr>
        <w:t>Der er manglende histori</w:t>
      </w:r>
      <w:r>
        <w:rPr>
          <w:rFonts w:ascii="Times New Roman" w:hAnsi="Times New Roman" w:cs="Times New Roman"/>
        </w:rPr>
        <w:t>ske informationer om i økonomi for de enkelte fartøjer</w:t>
      </w:r>
      <w:r w:rsidRPr="00506878">
        <w:rPr>
          <w:rFonts w:ascii="Times New Roman" w:hAnsi="Times New Roman" w:cs="Times New Roman"/>
        </w:rPr>
        <w:t xml:space="preserve"> i </w:t>
      </w:r>
      <w:r>
        <w:rPr>
          <w:rFonts w:ascii="Times New Roman" w:hAnsi="Times New Roman" w:cs="Times New Roman"/>
        </w:rPr>
        <w:t>den havgående flåde</w:t>
      </w:r>
      <w:r w:rsidR="001656BB">
        <w:rPr>
          <w:rFonts w:ascii="Times New Roman" w:hAnsi="Times New Roman" w:cs="Times New Roman"/>
        </w:rPr>
        <w:t>,</w:t>
      </w:r>
      <w:r>
        <w:rPr>
          <w:rFonts w:ascii="Times New Roman" w:hAnsi="Times New Roman" w:cs="Times New Roman"/>
        </w:rPr>
        <w:t xml:space="preserve"> der fisker efter hvidfisk</w:t>
      </w:r>
      <w:r w:rsidRPr="00506878">
        <w:rPr>
          <w:rFonts w:ascii="Times New Roman" w:hAnsi="Times New Roman" w:cs="Times New Roman"/>
        </w:rPr>
        <w:t xml:space="preserve">, hvorfor der </w:t>
      </w:r>
      <w:r w:rsidR="001656BB">
        <w:rPr>
          <w:rFonts w:ascii="Times New Roman" w:hAnsi="Times New Roman" w:cs="Times New Roman"/>
        </w:rPr>
        <w:t xml:space="preserve">ikke </w:t>
      </w:r>
      <w:r w:rsidRPr="00506878">
        <w:rPr>
          <w:rFonts w:ascii="Times New Roman" w:hAnsi="Times New Roman" w:cs="Times New Roman"/>
        </w:rPr>
        <w:t xml:space="preserve">kan fremstilles en sammenhængende tidsserie over udviklingen i flådens rentabilitet. </w:t>
      </w:r>
      <w:r>
        <w:rPr>
          <w:rFonts w:ascii="Times New Roman" w:hAnsi="Times New Roman" w:cs="Times New Roman"/>
        </w:rPr>
        <w:t xml:space="preserve">På </w:t>
      </w:r>
      <w:r w:rsidRPr="00506878">
        <w:rPr>
          <w:rFonts w:ascii="Times New Roman" w:hAnsi="Times New Roman" w:cs="Times New Roman"/>
        </w:rPr>
        <w:t>grundlag af økonomiske oplysninger</w:t>
      </w:r>
      <w:r w:rsidR="001656BB">
        <w:rPr>
          <w:rFonts w:ascii="Times New Roman" w:hAnsi="Times New Roman" w:cs="Times New Roman"/>
        </w:rPr>
        <w:t>,</w:t>
      </w:r>
      <w:r w:rsidRPr="00506878">
        <w:rPr>
          <w:rFonts w:ascii="Times New Roman" w:hAnsi="Times New Roman" w:cs="Times New Roman"/>
        </w:rPr>
        <w:t xml:space="preserve"> som </w:t>
      </w:r>
      <w:r>
        <w:rPr>
          <w:rFonts w:ascii="Times New Roman" w:hAnsi="Times New Roman" w:cs="Times New Roman"/>
        </w:rPr>
        <w:t>selskaberne</w:t>
      </w:r>
      <w:r w:rsidRPr="00506878">
        <w:rPr>
          <w:rFonts w:ascii="Times New Roman" w:hAnsi="Times New Roman" w:cs="Times New Roman"/>
        </w:rPr>
        <w:t xml:space="preserve"> er forpligtige</w:t>
      </w:r>
      <w:r w:rsidR="00B77308">
        <w:rPr>
          <w:rFonts w:ascii="Times New Roman" w:hAnsi="Times New Roman" w:cs="Times New Roman"/>
        </w:rPr>
        <w:t>t</w:t>
      </w:r>
      <w:r w:rsidRPr="00506878">
        <w:rPr>
          <w:rFonts w:ascii="Times New Roman" w:hAnsi="Times New Roman" w:cs="Times New Roman"/>
        </w:rPr>
        <w:t xml:space="preserve"> til at indberette til GFLK pr. driftsenhed (fartøjer og fabrikker) pr. år</w:t>
      </w:r>
      <w:r w:rsidR="001656BB">
        <w:rPr>
          <w:rFonts w:ascii="Times New Roman" w:hAnsi="Times New Roman" w:cs="Times New Roman"/>
        </w:rPr>
        <w:t>,</w:t>
      </w:r>
      <w:r>
        <w:rPr>
          <w:rFonts w:ascii="Times New Roman" w:hAnsi="Times New Roman" w:cs="Times New Roman"/>
        </w:rPr>
        <w:t xml:space="preserve"> er der </w:t>
      </w:r>
      <w:r w:rsidR="00B77308">
        <w:rPr>
          <w:rFonts w:ascii="Times New Roman" w:hAnsi="Times New Roman" w:cs="Times New Roman"/>
        </w:rPr>
        <w:t>i tabel 1</w:t>
      </w:r>
      <w:r w:rsidR="00CE3D43">
        <w:rPr>
          <w:rFonts w:ascii="Times New Roman" w:hAnsi="Times New Roman" w:cs="Times New Roman"/>
        </w:rPr>
        <w:t>3</w:t>
      </w:r>
      <w:r w:rsidR="00B77308">
        <w:rPr>
          <w:rFonts w:ascii="Times New Roman" w:hAnsi="Times New Roman" w:cs="Times New Roman"/>
        </w:rPr>
        <w:t xml:space="preserve"> </w:t>
      </w:r>
      <w:r>
        <w:rPr>
          <w:rFonts w:ascii="Times New Roman" w:hAnsi="Times New Roman" w:cs="Times New Roman"/>
        </w:rPr>
        <w:t>dog udarbejdet økonomien for de fem</w:t>
      </w:r>
      <w:r w:rsidR="006452C4">
        <w:rPr>
          <w:rFonts w:ascii="Times New Roman" w:hAnsi="Times New Roman" w:cs="Times New Roman"/>
        </w:rPr>
        <w:t xml:space="preserve"> bedste</w:t>
      </w:r>
      <w:r>
        <w:rPr>
          <w:rFonts w:ascii="Times New Roman" w:hAnsi="Times New Roman" w:cs="Times New Roman"/>
        </w:rPr>
        <w:t xml:space="preserve"> fabrikstrawlere</w:t>
      </w:r>
      <w:r w:rsidR="001656BB">
        <w:rPr>
          <w:rFonts w:ascii="Times New Roman" w:hAnsi="Times New Roman" w:cs="Times New Roman"/>
        </w:rPr>
        <w:t>,</w:t>
      </w:r>
      <w:r>
        <w:rPr>
          <w:rFonts w:ascii="Times New Roman" w:hAnsi="Times New Roman" w:cs="Times New Roman"/>
        </w:rPr>
        <w:t xml:space="preserve"> vist i tabel </w:t>
      </w:r>
      <w:r w:rsidR="00801EFF">
        <w:rPr>
          <w:rFonts w:ascii="Times New Roman" w:hAnsi="Times New Roman" w:cs="Times New Roman"/>
        </w:rPr>
        <w:t>4</w:t>
      </w:r>
      <w:r w:rsidR="005600A4">
        <w:rPr>
          <w:rFonts w:ascii="Times New Roman" w:hAnsi="Times New Roman" w:cs="Times New Roman"/>
        </w:rPr>
        <w:t xml:space="preserve"> (fartøjer 1, 3, 4, 5 og 7)</w:t>
      </w:r>
      <w:r w:rsidR="00117178">
        <w:rPr>
          <w:rFonts w:ascii="Times New Roman" w:hAnsi="Times New Roman" w:cs="Times New Roman"/>
        </w:rPr>
        <w:t xml:space="preserve"> ud af de 7 fartøjer i 2020</w:t>
      </w:r>
      <w:r>
        <w:rPr>
          <w:rFonts w:ascii="Times New Roman" w:hAnsi="Times New Roman" w:cs="Times New Roman"/>
        </w:rPr>
        <w:t xml:space="preserve">. Fordi indhandlingen af hellefisk og torsk til fiskefabrikkerne kun </w:t>
      </w:r>
      <w:r w:rsidR="001656BB">
        <w:rPr>
          <w:rFonts w:ascii="Times New Roman" w:hAnsi="Times New Roman" w:cs="Times New Roman"/>
        </w:rPr>
        <w:t xml:space="preserve">er </w:t>
      </w:r>
      <w:r>
        <w:rPr>
          <w:rFonts w:ascii="Times New Roman" w:hAnsi="Times New Roman" w:cs="Times New Roman"/>
        </w:rPr>
        <w:t>en del af deres råvaregrundlag ud over indhandlingen fra den kystnære flåde</w:t>
      </w:r>
      <w:r w:rsidR="001656BB">
        <w:rPr>
          <w:rFonts w:ascii="Times New Roman" w:hAnsi="Times New Roman" w:cs="Times New Roman"/>
        </w:rPr>
        <w:t>,</w:t>
      </w:r>
      <w:r>
        <w:rPr>
          <w:rFonts w:ascii="Times New Roman" w:hAnsi="Times New Roman" w:cs="Times New Roman"/>
        </w:rPr>
        <w:t xml:space="preserve"> er det ikke muligt at vise økonomien for fabrikke</w:t>
      </w:r>
      <w:r w:rsidR="006452C4">
        <w:rPr>
          <w:rFonts w:ascii="Times New Roman" w:hAnsi="Times New Roman" w:cs="Times New Roman"/>
        </w:rPr>
        <w:t xml:space="preserve">rne som særskilt </w:t>
      </w:r>
      <w:r w:rsidR="00C17765">
        <w:rPr>
          <w:rFonts w:ascii="Times New Roman" w:hAnsi="Times New Roman" w:cs="Times New Roman"/>
        </w:rPr>
        <w:t xml:space="preserve">for </w:t>
      </w:r>
      <w:r w:rsidR="006452C4">
        <w:rPr>
          <w:rFonts w:ascii="Times New Roman" w:hAnsi="Times New Roman" w:cs="Times New Roman"/>
        </w:rPr>
        <w:t xml:space="preserve">det havgående </w:t>
      </w:r>
      <w:proofErr w:type="spellStart"/>
      <w:r w:rsidR="00C17765">
        <w:rPr>
          <w:rFonts w:ascii="Times New Roman" w:hAnsi="Times New Roman" w:cs="Times New Roman"/>
        </w:rPr>
        <w:t>hvidfisk</w:t>
      </w:r>
      <w:r w:rsidR="006452C4">
        <w:rPr>
          <w:rFonts w:ascii="Times New Roman" w:hAnsi="Times New Roman" w:cs="Times New Roman"/>
        </w:rPr>
        <w:t>fiskeri</w:t>
      </w:r>
      <w:proofErr w:type="spellEnd"/>
      <w:r w:rsidR="006452C4">
        <w:rPr>
          <w:rFonts w:ascii="Times New Roman" w:hAnsi="Times New Roman" w:cs="Times New Roman"/>
        </w:rPr>
        <w:t>.</w:t>
      </w:r>
    </w:p>
    <w:p w14:paraId="7AF09C4A" w14:textId="77777777" w:rsidR="006452C4" w:rsidRDefault="006452C4" w:rsidP="00506878">
      <w:pPr>
        <w:spacing w:after="0" w:line="276" w:lineRule="auto"/>
        <w:jc w:val="both"/>
        <w:rPr>
          <w:rFonts w:ascii="Times New Roman" w:hAnsi="Times New Roman" w:cs="Times New Roman"/>
        </w:rPr>
      </w:pPr>
    </w:p>
    <w:p w14:paraId="7BA8C6D4" w14:textId="50647B34" w:rsidR="006452C4" w:rsidRPr="00884416" w:rsidRDefault="006452C4" w:rsidP="006452C4">
      <w:pPr>
        <w:spacing w:after="0" w:line="276" w:lineRule="auto"/>
        <w:contextualSpacing/>
        <w:jc w:val="both"/>
        <w:rPr>
          <w:rFonts w:ascii="Times New Roman" w:hAnsi="Times New Roman" w:cs="Times New Roman"/>
        </w:rPr>
      </w:pPr>
      <w:r>
        <w:rPr>
          <w:rFonts w:ascii="Times New Roman" w:hAnsi="Times New Roman" w:cs="Times New Roman"/>
        </w:rPr>
        <w:t xml:space="preserve">Tabel </w:t>
      </w:r>
      <w:r w:rsidR="005600A4">
        <w:rPr>
          <w:rFonts w:ascii="Times New Roman" w:hAnsi="Times New Roman" w:cs="Times New Roman"/>
        </w:rPr>
        <w:t>1</w:t>
      </w:r>
      <w:r w:rsidR="00CE3D43">
        <w:rPr>
          <w:rFonts w:ascii="Times New Roman" w:hAnsi="Times New Roman" w:cs="Times New Roman"/>
        </w:rPr>
        <w:t>3</w:t>
      </w:r>
      <w:r>
        <w:rPr>
          <w:rFonts w:ascii="Times New Roman" w:hAnsi="Times New Roman" w:cs="Times New Roman"/>
        </w:rPr>
        <w:t xml:space="preserve">: Udvikling i </w:t>
      </w:r>
      <w:r w:rsidR="00D835F1">
        <w:rPr>
          <w:rFonts w:ascii="Times New Roman" w:hAnsi="Times New Roman" w:cs="Times New Roman"/>
        </w:rPr>
        <w:t xml:space="preserve">økonomien </w:t>
      </w:r>
      <w:r>
        <w:rPr>
          <w:rFonts w:ascii="Times New Roman" w:hAnsi="Times New Roman" w:cs="Times New Roman"/>
        </w:rPr>
        <w:t xml:space="preserve">i det havgående </w:t>
      </w:r>
      <w:proofErr w:type="spellStart"/>
      <w:r>
        <w:rPr>
          <w:rFonts w:ascii="Times New Roman" w:hAnsi="Times New Roman" w:cs="Times New Roman"/>
        </w:rPr>
        <w:t>hvidfiskfiskeri</w:t>
      </w:r>
      <w:proofErr w:type="spellEnd"/>
      <w:r w:rsidR="00D835F1">
        <w:rPr>
          <w:rFonts w:ascii="Times New Roman" w:hAnsi="Times New Roman" w:cs="Times New Roman"/>
        </w:rPr>
        <w:t xml:space="preserve"> (de fem bedste fabrikstrawlere)</w:t>
      </w:r>
      <w:r>
        <w:rPr>
          <w:rFonts w:ascii="Times New Roman" w:hAnsi="Times New Roman" w:cs="Times New Roman"/>
        </w:rPr>
        <w:t>, 2017-2019.</w:t>
      </w:r>
    </w:p>
    <w:tbl>
      <w:tblPr>
        <w:tblW w:w="5000" w:type="pct"/>
        <w:tblCellMar>
          <w:left w:w="70" w:type="dxa"/>
          <w:right w:w="70" w:type="dxa"/>
        </w:tblCellMar>
        <w:tblLook w:val="04A0" w:firstRow="1" w:lastRow="0" w:firstColumn="1" w:lastColumn="0" w:noHBand="0" w:noVBand="1"/>
      </w:tblPr>
      <w:tblGrid>
        <w:gridCol w:w="5314"/>
        <w:gridCol w:w="1438"/>
        <w:gridCol w:w="1438"/>
        <w:gridCol w:w="1438"/>
      </w:tblGrid>
      <w:tr w:rsidR="009B6D70" w:rsidRPr="009B6D70" w14:paraId="24B6F158" w14:textId="77777777" w:rsidTr="009B6D70">
        <w:trPr>
          <w:trHeight w:val="300"/>
        </w:trPr>
        <w:tc>
          <w:tcPr>
            <w:tcW w:w="2759" w:type="pct"/>
            <w:tcBorders>
              <w:top w:val="single" w:sz="4" w:space="0" w:color="auto"/>
              <w:left w:val="single" w:sz="4" w:space="0" w:color="auto"/>
              <w:bottom w:val="nil"/>
              <w:right w:val="nil"/>
            </w:tcBorders>
            <w:shd w:val="clear" w:color="000000" w:fill="FFFFFF"/>
            <w:noWrap/>
            <w:vAlign w:val="bottom"/>
            <w:hideMark/>
          </w:tcPr>
          <w:p w14:paraId="14E0AE47"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 </w:t>
            </w: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14:paraId="0A8A85A1"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 </w:t>
            </w:r>
          </w:p>
        </w:tc>
        <w:tc>
          <w:tcPr>
            <w:tcW w:w="747" w:type="pct"/>
            <w:tcBorders>
              <w:top w:val="single" w:sz="4" w:space="0" w:color="auto"/>
              <w:left w:val="nil"/>
              <w:bottom w:val="nil"/>
              <w:right w:val="nil"/>
            </w:tcBorders>
            <w:shd w:val="clear" w:color="000000" w:fill="FFFFFF"/>
            <w:noWrap/>
            <w:vAlign w:val="bottom"/>
            <w:hideMark/>
          </w:tcPr>
          <w:p w14:paraId="7F352EED"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 </w:t>
            </w: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14:paraId="36563834"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 </w:t>
            </w:r>
          </w:p>
        </w:tc>
      </w:tr>
      <w:tr w:rsidR="009B6D70" w:rsidRPr="009B6D70" w14:paraId="01BF885A" w14:textId="77777777" w:rsidTr="009B6D70">
        <w:trPr>
          <w:trHeight w:val="300"/>
        </w:trPr>
        <w:tc>
          <w:tcPr>
            <w:tcW w:w="2759" w:type="pct"/>
            <w:tcBorders>
              <w:top w:val="nil"/>
              <w:left w:val="single" w:sz="4" w:space="0" w:color="auto"/>
              <w:bottom w:val="single" w:sz="4" w:space="0" w:color="auto"/>
              <w:right w:val="nil"/>
            </w:tcBorders>
            <w:shd w:val="clear" w:color="000000" w:fill="FFFFFF"/>
            <w:noWrap/>
            <w:vAlign w:val="bottom"/>
            <w:hideMark/>
          </w:tcPr>
          <w:p w14:paraId="19557744"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Mio.kr.</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14:paraId="7ECD2B50"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2017</w:t>
            </w:r>
          </w:p>
        </w:tc>
        <w:tc>
          <w:tcPr>
            <w:tcW w:w="747" w:type="pct"/>
            <w:tcBorders>
              <w:top w:val="nil"/>
              <w:left w:val="nil"/>
              <w:bottom w:val="single" w:sz="4" w:space="0" w:color="auto"/>
              <w:right w:val="nil"/>
            </w:tcBorders>
            <w:shd w:val="clear" w:color="000000" w:fill="FFFFFF"/>
            <w:noWrap/>
            <w:vAlign w:val="bottom"/>
            <w:hideMark/>
          </w:tcPr>
          <w:p w14:paraId="2003A46F"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2018</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14:paraId="46C80047"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2019</w:t>
            </w:r>
          </w:p>
        </w:tc>
      </w:tr>
      <w:tr w:rsidR="009B6D70" w:rsidRPr="009B6D70" w14:paraId="5192981C"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2BDE8F08"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Omsætning</w:t>
            </w:r>
          </w:p>
        </w:tc>
        <w:tc>
          <w:tcPr>
            <w:tcW w:w="747" w:type="pct"/>
            <w:tcBorders>
              <w:top w:val="nil"/>
              <w:left w:val="nil"/>
              <w:bottom w:val="single" w:sz="4" w:space="0" w:color="auto"/>
              <w:right w:val="single" w:sz="4" w:space="0" w:color="auto"/>
            </w:tcBorders>
            <w:shd w:val="clear" w:color="000000" w:fill="FFFFFF"/>
            <w:noWrap/>
            <w:vAlign w:val="bottom"/>
            <w:hideMark/>
          </w:tcPr>
          <w:p w14:paraId="1421F170"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765,6</w:t>
            </w:r>
          </w:p>
        </w:tc>
        <w:tc>
          <w:tcPr>
            <w:tcW w:w="747" w:type="pct"/>
            <w:tcBorders>
              <w:top w:val="nil"/>
              <w:left w:val="nil"/>
              <w:bottom w:val="single" w:sz="4" w:space="0" w:color="auto"/>
              <w:right w:val="single" w:sz="4" w:space="0" w:color="auto"/>
            </w:tcBorders>
            <w:shd w:val="clear" w:color="000000" w:fill="FFFFFF"/>
            <w:noWrap/>
            <w:vAlign w:val="bottom"/>
            <w:hideMark/>
          </w:tcPr>
          <w:p w14:paraId="753823C3"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823,3</w:t>
            </w:r>
          </w:p>
        </w:tc>
        <w:tc>
          <w:tcPr>
            <w:tcW w:w="747" w:type="pct"/>
            <w:tcBorders>
              <w:top w:val="nil"/>
              <w:left w:val="nil"/>
              <w:bottom w:val="single" w:sz="4" w:space="0" w:color="auto"/>
              <w:right w:val="single" w:sz="4" w:space="0" w:color="auto"/>
            </w:tcBorders>
            <w:shd w:val="clear" w:color="000000" w:fill="FFFFFF"/>
            <w:noWrap/>
            <w:vAlign w:val="bottom"/>
            <w:hideMark/>
          </w:tcPr>
          <w:p w14:paraId="05C0D406"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876,5</w:t>
            </w:r>
          </w:p>
        </w:tc>
      </w:tr>
      <w:tr w:rsidR="009B6D70" w:rsidRPr="009B6D70" w14:paraId="5EC65C59"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7FE25145" w14:textId="77777777" w:rsidR="009B6D70" w:rsidRPr="009B6D70" w:rsidRDefault="009B6D70" w:rsidP="009B6D70">
            <w:pPr>
              <w:spacing w:after="0" w:line="240" w:lineRule="auto"/>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 xml:space="preserve">  heraf fra makrel og sild</w:t>
            </w:r>
          </w:p>
        </w:tc>
        <w:tc>
          <w:tcPr>
            <w:tcW w:w="747" w:type="pct"/>
            <w:tcBorders>
              <w:top w:val="nil"/>
              <w:left w:val="nil"/>
              <w:bottom w:val="single" w:sz="4" w:space="0" w:color="auto"/>
              <w:right w:val="single" w:sz="4" w:space="0" w:color="auto"/>
            </w:tcBorders>
            <w:shd w:val="clear" w:color="000000" w:fill="FFFFFF"/>
            <w:noWrap/>
            <w:vAlign w:val="bottom"/>
            <w:hideMark/>
          </w:tcPr>
          <w:p w14:paraId="2854C1DF" w14:textId="77777777" w:rsidR="009B6D70" w:rsidRPr="009B6D70" w:rsidRDefault="009B6D70" w:rsidP="009B6D70">
            <w:pPr>
              <w:spacing w:after="0" w:line="240" w:lineRule="auto"/>
              <w:jc w:val="right"/>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121,7</w:t>
            </w:r>
          </w:p>
        </w:tc>
        <w:tc>
          <w:tcPr>
            <w:tcW w:w="747" w:type="pct"/>
            <w:tcBorders>
              <w:top w:val="nil"/>
              <w:left w:val="nil"/>
              <w:bottom w:val="single" w:sz="4" w:space="0" w:color="auto"/>
              <w:right w:val="single" w:sz="4" w:space="0" w:color="auto"/>
            </w:tcBorders>
            <w:shd w:val="clear" w:color="000000" w:fill="FFFFFF"/>
            <w:noWrap/>
            <w:vAlign w:val="bottom"/>
            <w:hideMark/>
          </w:tcPr>
          <w:p w14:paraId="569E60F3" w14:textId="77777777" w:rsidR="009B6D70" w:rsidRPr="009B6D70" w:rsidRDefault="009B6D70" w:rsidP="009B6D70">
            <w:pPr>
              <w:spacing w:after="0" w:line="240" w:lineRule="auto"/>
              <w:jc w:val="right"/>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121,9</w:t>
            </w:r>
          </w:p>
        </w:tc>
        <w:tc>
          <w:tcPr>
            <w:tcW w:w="747" w:type="pct"/>
            <w:tcBorders>
              <w:top w:val="nil"/>
              <w:left w:val="nil"/>
              <w:bottom w:val="single" w:sz="4" w:space="0" w:color="auto"/>
              <w:right w:val="single" w:sz="4" w:space="0" w:color="auto"/>
            </w:tcBorders>
            <w:shd w:val="clear" w:color="000000" w:fill="FFFFFF"/>
            <w:noWrap/>
            <w:vAlign w:val="bottom"/>
            <w:hideMark/>
          </w:tcPr>
          <w:p w14:paraId="14FA3B6C" w14:textId="77777777" w:rsidR="009B6D70" w:rsidRPr="009B6D70" w:rsidRDefault="009B6D70" w:rsidP="009B6D70">
            <w:pPr>
              <w:spacing w:after="0" w:line="240" w:lineRule="auto"/>
              <w:jc w:val="right"/>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105,7</w:t>
            </w:r>
          </w:p>
        </w:tc>
      </w:tr>
      <w:tr w:rsidR="009B6D70" w:rsidRPr="009B6D70" w14:paraId="15AAC91B"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7AD1B26C"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Omkostninger</w:t>
            </w:r>
          </w:p>
        </w:tc>
        <w:tc>
          <w:tcPr>
            <w:tcW w:w="747" w:type="pct"/>
            <w:tcBorders>
              <w:top w:val="nil"/>
              <w:left w:val="nil"/>
              <w:bottom w:val="single" w:sz="4" w:space="0" w:color="auto"/>
              <w:right w:val="single" w:sz="4" w:space="0" w:color="auto"/>
            </w:tcBorders>
            <w:shd w:val="clear" w:color="000000" w:fill="FFFFFF"/>
            <w:noWrap/>
            <w:vAlign w:val="bottom"/>
            <w:hideMark/>
          </w:tcPr>
          <w:p w14:paraId="59B6CF3F"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603,0</w:t>
            </w:r>
          </w:p>
        </w:tc>
        <w:tc>
          <w:tcPr>
            <w:tcW w:w="747" w:type="pct"/>
            <w:tcBorders>
              <w:top w:val="nil"/>
              <w:left w:val="nil"/>
              <w:bottom w:val="single" w:sz="4" w:space="0" w:color="auto"/>
              <w:right w:val="single" w:sz="4" w:space="0" w:color="auto"/>
            </w:tcBorders>
            <w:shd w:val="clear" w:color="000000" w:fill="FFFFFF"/>
            <w:noWrap/>
            <w:vAlign w:val="bottom"/>
            <w:hideMark/>
          </w:tcPr>
          <w:p w14:paraId="55398106"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617,4</w:t>
            </w:r>
          </w:p>
        </w:tc>
        <w:tc>
          <w:tcPr>
            <w:tcW w:w="747" w:type="pct"/>
            <w:tcBorders>
              <w:top w:val="nil"/>
              <w:left w:val="nil"/>
              <w:bottom w:val="single" w:sz="4" w:space="0" w:color="auto"/>
              <w:right w:val="single" w:sz="4" w:space="0" w:color="auto"/>
            </w:tcBorders>
            <w:shd w:val="clear" w:color="000000" w:fill="FFFFFF"/>
            <w:noWrap/>
            <w:vAlign w:val="bottom"/>
            <w:hideMark/>
          </w:tcPr>
          <w:p w14:paraId="1A17948E"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678,8</w:t>
            </w:r>
          </w:p>
        </w:tc>
      </w:tr>
      <w:tr w:rsidR="009B6D70" w:rsidRPr="009B6D70" w14:paraId="232B5C06"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53F1C927" w14:textId="77777777" w:rsidR="009B6D70" w:rsidRPr="009B6D70" w:rsidRDefault="009B6D70" w:rsidP="009B6D70">
            <w:pPr>
              <w:spacing w:after="0" w:line="240" w:lineRule="auto"/>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 xml:space="preserve">  heraf løn</w:t>
            </w:r>
          </w:p>
        </w:tc>
        <w:tc>
          <w:tcPr>
            <w:tcW w:w="747" w:type="pct"/>
            <w:tcBorders>
              <w:top w:val="nil"/>
              <w:left w:val="nil"/>
              <w:bottom w:val="single" w:sz="4" w:space="0" w:color="auto"/>
              <w:right w:val="single" w:sz="4" w:space="0" w:color="auto"/>
            </w:tcBorders>
            <w:shd w:val="clear" w:color="000000" w:fill="FFFFFF"/>
            <w:noWrap/>
            <w:vAlign w:val="bottom"/>
            <w:hideMark/>
          </w:tcPr>
          <w:p w14:paraId="7DBECDC8" w14:textId="77777777" w:rsidR="009B6D70" w:rsidRPr="009B6D70" w:rsidRDefault="009B6D70" w:rsidP="009B6D70">
            <w:pPr>
              <w:spacing w:after="0" w:line="240" w:lineRule="auto"/>
              <w:jc w:val="right"/>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281,7</w:t>
            </w:r>
          </w:p>
        </w:tc>
        <w:tc>
          <w:tcPr>
            <w:tcW w:w="747" w:type="pct"/>
            <w:tcBorders>
              <w:top w:val="nil"/>
              <w:left w:val="nil"/>
              <w:bottom w:val="single" w:sz="4" w:space="0" w:color="auto"/>
              <w:right w:val="single" w:sz="4" w:space="0" w:color="auto"/>
            </w:tcBorders>
            <w:shd w:val="clear" w:color="000000" w:fill="FFFFFF"/>
            <w:noWrap/>
            <w:vAlign w:val="bottom"/>
            <w:hideMark/>
          </w:tcPr>
          <w:p w14:paraId="1BE97216" w14:textId="77777777" w:rsidR="009B6D70" w:rsidRPr="009B6D70" w:rsidRDefault="009B6D70" w:rsidP="009B6D70">
            <w:pPr>
              <w:spacing w:after="0" w:line="240" w:lineRule="auto"/>
              <w:jc w:val="right"/>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266,2</w:t>
            </w:r>
          </w:p>
        </w:tc>
        <w:tc>
          <w:tcPr>
            <w:tcW w:w="747" w:type="pct"/>
            <w:tcBorders>
              <w:top w:val="nil"/>
              <w:left w:val="nil"/>
              <w:bottom w:val="single" w:sz="4" w:space="0" w:color="auto"/>
              <w:right w:val="single" w:sz="4" w:space="0" w:color="auto"/>
            </w:tcBorders>
            <w:shd w:val="clear" w:color="000000" w:fill="FFFFFF"/>
            <w:noWrap/>
            <w:vAlign w:val="bottom"/>
            <w:hideMark/>
          </w:tcPr>
          <w:p w14:paraId="65CA765B" w14:textId="77777777" w:rsidR="009B6D70" w:rsidRPr="009B6D70" w:rsidRDefault="009B6D70" w:rsidP="009B6D70">
            <w:pPr>
              <w:spacing w:after="0" w:line="240" w:lineRule="auto"/>
              <w:jc w:val="right"/>
              <w:rPr>
                <w:rFonts w:ascii="Times New Roman" w:eastAsia="Times New Roman" w:hAnsi="Times New Roman" w:cs="Times New Roman"/>
                <w:i/>
                <w:iCs/>
                <w:color w:val="000000"/>
                <w:sz w:val="20"/>
                <w:szCs w:val="20"/>
                <w:lang w:eastAsia="da-DK"/>
              </w:rPr>
            </w:pPr>
            <w:r w:rsidRPr="009B6D70">
              <w:rPr>
                <w:rFonts w:ascii="Times New Roman" w:eastAsia="Times New Roman" w:hAnsi="Times New Roman" w:cs="Times New Roman"/>
                <w:i/>
                <w:iCs/>
                <w:color w:val="000000"/>
                <w:sz w:val="20"/>
                <w:szCs w:val="20"/>
                <w:lang w:eastAsia="da-DK"/>
              </w:rPr>
              <w:t>283,6</w:t>
            </w:r>
          </w:p>
        </w:tc>
      </w:tr>
      <w:tr w:rsidR="009B6D70" w:rsidRPr="009B6D70" w14:paraId="2F91EF88"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51761949"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Overskud før afskrivninger, renter og skat</w:t>
            </w:r>
          </w:p>
        </w:tc>
        <w:tc>
          <w:tcPr>
            <w:tcW w:w="747" w:type="pct"/>
            <w:tcBorders>
              <w:top w:val="nil"/>
              <w:left w:val="nil"/>
              <w:bottom w:val="single" w:sz="4" w:space="0" w:color="auto"/>
              <w:right w:val="single" w:sz="4" w:space="0" w:color="auto"/>
            </w:tcBorders>
            <w:shd w:val="clear" w:color="000000" w:fill="FFFFFF"/>
            <w:noWrap/>
            <w:vAlign w:val="bottom"/>
            <w:hideMark/>
          </w:tcPr>
          <w:p w14:paraId="3AB4EDD2"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162,7</w:t>
            </w:r>
          </w:p>
        </w:tc>
        <w:tc>
          <w:tcPr>
            <w:tcW w:w="747" w:type="pct"/>
            <w:tcBorders>
              <w:top w:val="nil"/>
              <w:left w:val="nil"/>
              <w:bottom w:val="single" w:sz="4" w:space="0" w:color="auto"/>
              <w:right w:val="single" w:sz="4" w:space="0" w:color="auto"/>
            </w:tcBorders>
            <w:shd w:val="clear" w:color="000000" w:fill="FFFFFF"/>
            <w:noWrap/>
            <w:vAlign w:val="bottom"/>
            <w:hideMark/>
          </w:tcPr>
          <w:p w14:paraId="4A146522"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205,9</w:t>
            </w:r>
          </w:p>
        </w:tc>
        <w:tc>
          <w:tcPr>
            <w:tcW w:w="747" w:type="pct"/>
            <w:tcBorders>
              <w:top w:val="nil"/>
              <w:left w:val="nil"/>
              <w:bottom w:val="single" w:sz="4" w:space="0" w:color="auto"/>
              <w:right w:val="single" w:sz="4" w:space="0" w:color="auto"/>
            </w:tcBorders>
            <w:shd w:val="clear" w:color="000000" w:fill="FFFFFF"/>
            <w:noWrap/>
            <w:vAlign w:val="bottom"/>
            <w:hideMark/>
          </w:tcPr>
          <w:p w14:paraId="0B78AD02"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197,7</w:t>
            </w:r>
          </w:p>
        </w:tc>
      </w:tr>
      <w:tr w:rsidR="009B6D70" w:rsidRPr="009B6D70" w14:paraId="1F461C45"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0C9F0B07" w14:textId="77777777" w:rsidR="009B6D70" w:rsidRPr="009B6D70" w:rsidRDefault="009B6D70" w:rsidP="009B6D70">
            <w:pPr>
              <w:spacing w:after="0" w:line="240" w:lineRule="auto"/>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Afskrivninger</w:t>
            </w:r>
          </w:p>
        </w:tc>
        <w:tc>
          <w:tcPr>
            <w:tcW w:w="747" w:type="pct"/>
            <w:tcBorders>
              <w:top w:val="nil"/>
              <w:left w:val="nil"/>
              <w:bottom w:val="single" w:sz="4" w:space="0" w:color="auto"/>
              <w:right w:val="single" w:sz="4" w:space="0" w:color="auto"/>
            </w:tcBorders>
            <w:shd w:val="clear" w:color="000000" w:fill="FFFFFF"/>
            <w:noWrap/>
            <w:vAlign w:val="bottom"/>
            <w:hideMark/>
          </w:tcPr>
          <w:p w14:paraId="4C76BE1E"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63,5</w:t>
            </w:r>
          </w:p>
        </w:tc>
        <w:tc>
          <w:tcPr>
            <w:tcW w:w="747" w:type="pct"/>
            <w:tcBorders>
              <w:top w:val="nil"/>
              <w:left w:val="nil"/>
              <w:bottom w:val="single" w:sz="4" w:space="0" w:color="auto"/>
              <w:right w:val="single" w:sz="4" w:space="0" w:color="auto"/>
            </w:tcBorders>
            <w:shd w:val="clear" w:color="000000" w:fill="FFFFFF"/>
            <w:noWrap/>
            <w:vAlign w:val="bottom"/>
            <w:hideMark/>
          </w:tcPr>
          <w:p w14:paraId="0268760B"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52,1</w:t>
            </w:r>
          </w:p>
        </w:tc>
        <w:tc>
          <w:tcPr>
            <w:tcW w:w="747" w:type="pct"/>
            <w:tcBorders>
              <w:top w:val="nil"/>
              <w:left w:val="nil"/>
              <w:bottom w:val="single" w:sz="4" w:space="0" w:color="auto"/>
              <w:right w:val="single" w:sz="4" w:space="0" w:color="auto"/>
            </w:tcBorders>
            <w:shd w:val="clear" w:color="000000" w:fill="FFFFFF"/>
            <w:noWrap/>
            <w:vAlign w:val="bottom"/>
            <w:hideMark/>
          </w:tcPr>
          <w:p w14:paraId="7C85421C"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36,9</w:t>
            </w:r>
          </w:p>
        </w:tc>
      </w:tr>
      <w:tr w:rsidR="009B6D70" w:rsidRPr="009B6D70" w14:paraId="0ECA76A6"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5FB7436E"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Overskud før afskrivninger og skat</w:t>
            </w:r>
          </w:p>
        </w:tc>
        <w:tc>
          <w:tcPr>
            <w:tcW w:w="747" w:type="pct"/>
            <w:tcBorders>
              <w:top w:val="nil"/>
              <w:left w:val="nil"/>
              <w:bottom w:val="single" w:sz="4" w:space="0" w:color="auto"/>
              <w:right w:val="single" w:sz="4" w:space="0" w:color="auto"/>
            </w:tcBorders>
            <w:shd w:val="clear" w:color="000000" w:fill="FFFFFF"/>
            <w:noWrap/>
            <w:vAlign w:val="bottom"/>
            <w:hideMark/>
          </w:tcPr>
          <w:p w14:paraId="14A2ADED"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99,2</w:t>
            </w:r>
          </w:p>
        </w:tc>
        <w:tc>
          <w:tcPr>
            <w:tcW w:w="747" w:type="pct"/>
            <w:tcBorders>
              <w:top w:val="nil"/>
              <w:left w:val="nil"/>
              <w:bottom w:val="single" w:sz="4" w:space="0" w:color="auto"/>
              <w:right w:val="single" w:sz="4" w:space="0" w:color="auto"/>
            </w:tcBorders>
            <w:shd w:val="clear" w:color="000000" w:fill="FFFFFF"/>
            <w:noWrap/>
            <w:vAlign w:val="bottom"/>
            <w:hideMark/>
          </w:tcPr>
          <w:p w14:paraId="3FF72434"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153,8</w:t>
            </w:r>
          </w:p>
        </w:tc>
        <w:tc>
          <w:tcPr>
            <w:tcW w:w="747" w:type="pct"/>
            <w:tcBorders>
              <w:top w:val="nil"/>
              <w:left w:val="nil"/>
              <w:bottom w:val="single" w:sz="4" w:space="0" w:color="auto"/>
              <w:right w:val="single" w:sz="4" w:space="0" w:color="auto"/>
            </w:tcBorders>
            <w:shd w:val="clear" w:color="000000" w:fill="FFFFFF"/>
            <w:noWrap/>
            <w:vAlign w:val="bottom"/>
            <w:hideMark/>
          </w:tcPr>
          <w:p w14:paraId="0734C732" w14:textId="77777777" w:rsidR="009B6D70" w:rsidRPr="009B6D70" w:rsidRDefault="009B6D70" w:rsidP="009B6D70">
            <w:pPr>
              <w:spacing w:after="0" w:line="240" w:lineRule="auto"/>
              <w:jc w:val="right"/>
              <w:rPr>
                <w:rFonts w:ascii="Times New Roman" w:eastAsia="Times New Roman" w:hAnsi="Times New Roman" w:cs="Times New Roman"/>
                <w:color w:val="000000"/>
                <w:sz w:val="20"/>
                <w:szCs w:val="20"/>
                <w:lang w:eastAsia="da-DK"/>
              </w:rPr>
            </w:pPr>
            <w:r w:rsidRPr="009B6D70">
              <w:rPr>
                <w:rFonts w:ascii="Times New Roman" w:eastAsia="Times New Roman" w:hAnsi="Times New Roman" w:cs="Times New Roman"/>
                <w:color w:val="000000"/>
                <w:sz w:val="20"/>
                <w:szCs w:val="20"/>
                <w:lang w:eastAsia="da-DK"/>
              </w:rPr>
              <w:t>160,8</w:t>
            </w:r>
          </w:p>
        </w:tc>
      </w:tr>
      <w:tr w:rsidR="009B6D70" w:rsidRPr="009B6D70" w14:paraId="7DDCE050" w14:textId="77777777" w:rsidTr="009B6D70">
        <w:trPr>
          <w:trHeight w:val="300"/>
        </w:trPr>
        <w:tc>
          <w:tcPr>
            <w:tcW w:w="2759" w:type="pct"/>
            <w:tcBorders>
              <w:top w:val="nil"/>
              <w:left w:val="single" w:sz="4" w:space="0" w:color="auto"/>
              <w:bottom w:val="single" w:sz="4" w:space="0" w:color="auto"/>
              <w:right w:val="single" w:sz="4" w:space="0" w:color="auto"/>
            </w:tcBorders>
            <w:shd w:val="clear" w:color="000000" w:fill="F2F2F2"/>
            <w:noWrap/>
            <w:vAlign w:val="bottom"/>
            <w:hideMark/>
          </w:tcPr>
          <w:p w14:paraId="08367B9A" w14:textId="77777777" w:rsidR="009B6D70" w:rsidRPr="009B6D70" w:rsidRDefault="009B6D70" w:rsidP="009B6D70">
            <w:pPr>
              <w:spacing w:after="0" w:line="240" w:lineRule="auto"/>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Overskudsgrad %</w:t>
            </w:r>
          </w:p>
        </w:tc>
        <w:tc>
          <w:tcPr>
            <w:tcW w:w="747" w:type="pct"/>
            <w:tcBorders>
              <w:top w:val="nil"/>
              <w:left w:val="nil"/>
              <w:bottom w:val="single" w:sz="4" w:space="0" w:color="auto"/>
              <w:right w:val="single" w:sz="4" w:space="0" w:color="auto"/>
            </w:tcBorders>
            <w:shd w:val="clear" w:color="000000" w:fill="F2F2F2"/>
            <w:noWrap/>
            <w:vAlign w:val="bottom"/>
            <w:hideMark/>
          </w:tcPr>
          <w:p w14:paraId="2D306663"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21,2%</w:t>
            </w:r>
          </w:p>
        </w:tc>
        <w:tc>
          <w:tcPr>
            <w:tcW w:w="747" w:type="pct"/>
            <w:tcBorders>
              <w:top w:val="nil"/>
              <w:left w:val="nil"/>
              <w:bottom w:val="single" w:sz="4" w:space="0" w:color="auto"/>
              <w:right w:val="single" w:sz="4" w:space="0" w:color="auto"/>
            </w:tcBorders>
            <w:shd w:val="clear" w:color="000000" w:fill="F2F2F2"/>
            <w:noWrap/>
            <w:vAlign w:val="bottom"/>
            <w:hideMark/>
          </w:tcPr>
          <w:p w14:paraId="34D4BA95"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25,0%</w:t>
            </w:r>
          </w:p>
        </w:tc>
        <w:tc>
          <w:tcPr>
            <w:tcW w:w="747" w:type="pct"/>
            <w:tcBorders>
              <w:top w:val="nil"/>
              <w:left w:val="nil"/>
              <w:bottom w:val="single" w:sz="4" w:space="0" w:color="auto"/>
              <w:right w:val="single" w:sz="4" w:space="0" w:color="auto"/>
            </w:tcBorders>
            <w:shd w:val="clear" w:color="000000" w:fill="F2F2F2"/>
            <w:noWrap/>
            <w:vAlign w:val="bottom"/>
            <w:hideMark/>
          </w:tcPr>
          <w:p w14:paraId="6006BF11" w14:textId="77777777" w:rsidR="009B6D70" w:rsidRPr="009B6D70" w:rsidRDefault="009B6D70" w:rsidP="009B6D70">
            <w:pPr>
              <w:spacing w:after="0" w:line="240" w:lineRule="auto"/>
              <w:jc w:val="right"/>
              <w:rPr>
                <w:rFonts w:ascii="Times New Roman" w:eastAsia="Times New Roman" w:hAnsi="Times New Roman" w:cs="Times New Roman"/>
                <w:b/>
                <w:bCs/>
                <w:color w:val="000000"/>
                <w:sz w:val="20"/>
                <w:szCs w:val="20"/>
                <w:lang w:eastAsia="da-DK"/>
              </w:rPr>
            </w:pPr>
            <w:r w:rsidRPr="009B6D70">
              <w:rPr>
                <w:rFonts w:ascii="Times New Roman" w:eastAsia="Times New Roman" w:hAnsi="Times New Roman" w:cs="Times New Roman"/>
                <w:b/>
                <w:bCs/>
                <w:color w:val="000000"/>
                <w:sz w:val="20"/>
                <w:szCs w:val="20"/>
                <w:lang w:eastAsia="da-DK"/>
              </w:rPr>
              <w:t>22,6%</w:t>
            </w:r>
          </w:p>
        </w:tc>
      </w:tr>
    </w:tbl>
    <w:p w14:paraId="1D9667E8" w14:textId="77777777" w:rsidR="006452C4" w:rsidRPr="009B6D70" w:rsidRDefault="009B6D70" w:rsidP="00506878">
      <w:pPr>
        <w:spacing w:after="0" w:line="276" w:lineRule="auto"/>
        <w:jc w:val="both"/>
        <w:rPr>
          <w:rFonts w:ascii="Times New Roman" w:hAnsi="Times New Roman" w:cs="Times New Roman"/>
          <w:sz w:val="20"/>
          <w:szCs w:val="20"/>
        </w:rPr>
      </w:pPr>
      <w:r w:rsidRPr="009B6D70">
        <w:rPr>
          <w:rFonts w:ascii="Times New Roman" w:hAnsi="Times New Roman" w:cs="Times New Roman"/>
          <w:sz w:val="20"/>
          <w:szCs w:val="20"/>
        </w:rPr>
        <w:t>Kilde: GFLK.</w:t>
      </w:r>
    </w:p>
    <w:p w14:paraId="2E1CF916" w14:textId="39D7693C" w:rsidR="009B6D70" w:rsidRPr="00E24F47" w:rsidRDefault="009B6D70" w:rsidP="009B6D70">
      <w:pPr>
        <w:spacing w:after="0" w:line="276" w:lineRule="auto"/>
        <w:jc w:val="both"/>
        <w:rPr>
          <w:rFonts w:ascii="Times New Roman" w:hAnsi="Times New Roman" w:cs="Times New Roman"/>
          <w:sz w:val="20"/>
          <w:szCs w:val="20"/>
        </w:rPr>
      </w:pPr>
      <w:r w:rsidRPr="00E24F47">
        <w:rPr>
          <w:rFonts w:ascii="Times New Roman" w:hAnsi="Times New Roman" w:cs="Times New Roman"/>
          <w:sz w:val="20"/>
          <w:szCs w:val="20"/>
        </w:rPr>
        <w:t xml:space="preserve">Note: </w:t>
      </w:r>
      <w:r w:rsidR="00B5048A">
        <w:rPr>
          <w:rFonts w:ascii="Times New Roman" w:hAnsi="Times New Roman" w:cs="Times New Roman"/>
          <w:sz w:val="20"/>
          <w:szCs w:val="20"/>
        </w:rPr>
        <w:t xml:space="preserve">Overskudsgrad er beregnet som overskud før afskrivninger, renter og skat i forhold til omsætningen. </w:t>
      </w:r>
      <w:r w:rsidRPr="00E24F47">
        <w:rPr>
          <w:rFonts w:ascii="Times New Roman" w:hAnsi="Times New Roman" w:cs="Times New Roman"/>
          <w:sz w:val="20"/>
          <w:szCs w:val="20"/>
        </w:rPr>
        <w:t xml:space="preserve">Det har været svært at kvalificere de </w:t>
      </w:r>
      <w:r w:rsidR="00B5048A">
        <w:rPr>
          <w:rFonts w:ascii="Times New Roman" w:hAnsi="Times New Roman" w:cs="Times New Roman"/>
          <w:sz w:val="20"/>
          <w:szCs w:val="20"/>
        </w:rPr>
        <w:t xml:space="preserve">økonomiske </w:t>
      </w:r>
      <w:r w:rsidRPr="00E24F47">
        <w:rPr>
          <w:rFonts w:ascii="Times New Roman" w:hAnsi="Times New Roman" w:cs="Times New Roman"/>
          <w:sz w:val="20"/>
          <w:szCs w:val="20"/>
        </w:rPr>
        <w:t>data</w:t>
      </w:r>
      <w:r w:rsidR="001656BB">
        <w:rPr>
          <w:rFonts w:ascii="Times New Roman" w:hAnsi="Times New Roman" w:cs="Times New Roman"/>
          <w:sz w:val="20"/>
          <w:szCs w:val="20"/>
        </w:rPr>
        <w:t>,</w:t>
      </w:r>
      <w:r w:rsidRPr="00E24F47">
        <w:rPr>
          <w:rFonts w:ascii="Times New Roman" w:hAnsi="Times New Roman" w:cs="Times New Roman"/>
          <w:sz w:val="20"/>
          <w:szCs w:val="20"/>
        </w:rPr>
        <w:t xml:space="preserve"> som det enkelte selskab i </w:t>
      </w:r>
      <w:r>
        <w:rPr>
          <w:rFonts w:ascii="Times New Roman" w:hAnsi="Times New Roman" w:cs="Times New Roman"/>
          <w:sz w:val="20"/>
          <w:szCs w:val="20"/>
        </w:rPr>
        <w:t xml:space="preserve">det havgående </w:t>
      </w:r>
      <w:proofErr w:type="spellStart"/>
      <w:r>
        <w:rPr>
          <w:rFonts w:ascii="Times New Roman" w:hAnsi="Times New Roman" w:cs="Times New Roman"/>
          <w:sz w:val="20"/>
          <w:szCs w:val="20"/>
        </w:rPr>
        <w:t>hvidfiskfiskeri</w:t>
      </w:r>
      <w:proofErr w:type="spellEnd"/>
      <w:r w:rsidRPr="00E24F47">
        <w:rPr>
          <w:rFonts w:ascii="Times New Roman" w:hAnsi="Times New Roman" w:cs="Times New Roman"/>
          <w:sz w:val="20"/>
          <w:szCs w:val="20"/>
        </w:rPr>
        <w:t xml:space="preserve"> har leveret</w:t>
      </w:r>
      <w:r w:rsidR="001656BB">
        <w:rPr>
          <w:rFonts w:ascii="Times New Roman" w:hAnsi="Times New Roman" w:cs="Times New Roman"/>
          <w:sz w:val="20"/>
          <w:szCs w:val="20"/>
        </w:rPr>
        <w:t>,</w:t>
      </w:r>
      <w:r>
        <w:rPr>
          <w:rFonts w:ascii="Times New Roman" w:hAnsi="Times New Roman" w:cs="Times New Roman"/>
          <w:sz w:val="20"/>
          <w:szCs w:val="20"/>
        </w:rPr>
        <w:t xml:space="preserve"> fordi selskabernes årsregnskaber i mange tilfælde omfatter flere driftsenheder</w:t>
      </w:r>
      <w:r w:rsidRPr="00E24F47">
        <w:rPr>
          <w:rFonts w:ascii="Times New Roman" w:hAnsi="Times New Roman" w:cs="Times New Roman"/>
          <w:sz w:val="20"/>
          <w:szCs w:val="20"/>
        </w:rPr>
        <w:t>. Det tages derfor forhold for de tal</w:t>
      </w:r>
      <w:r w:rsidR="001656BB">
        <w:rPr>
          <w:rFonts w:ascii="Times New Roman" w:hAnsi="Times New Roman" w:cs="Times New Roman"/>
          <w:sz w:val="20"/>
          <w:szCs w:val="20"/>
        </w:rPr>
        <w:t>,</w:t>
      </w:r>
      <w:r w:rsidRPr="00E24F47">
        <w:rPr>
          <w:rFonts w:ascii="Times New Roman" w:hAnsi="Times New Roman" w:cs="Times New Roman"/>
          <w:sz w:val="20"/>
          <w:szCs w:val="20"/>
        </w:rPr>
        <w:t xml:space="preserve"> som er fremstillet i tabellen.</w:t>
      </w:r>
      <w:r>
        <w:rPr>
          <w:rFonts w:ascii="Times New Roman" w:hAnsi="Times New Roman" w:cs="Times New Roman"/>
          <w:sz w:val="20"/>
          <w:szCs w:val="20"/>
        </w:rPr>
        <w:t xml:space="preserve"> Fartøjernes omsætning og overskud fra deres fiskeri efter makrel og sild </w:t>
      </w:r>
      <w:r w:rsidR="001656BB">
        <w:rPr>
          <w:rFonts w:ascii="Times New Roman" w:hAnsi="Times New Roman" w:cs="Times New Roman"/>
          <w:sz w:val="20"/>
          <w:szCs w:val="20"/>
        </w:rPr>
        <w:t xml:space="preserve">er </w:t>
      </w:r>
      <w:r>
        <w:rPr>
          <w:rFonts w:ascii="Times New Roman" w:hAnsi="Times New Roman" w:cs="Times New Roman"/>
          <w:sz w:val="20"/>
          <w:szCs w:val="20"/>
        </w:rPr>
        <w:t>inkluderet i tallene i tabellen.</w:t>
      </w:r>
    </w:p>
    <w:p w14:paraId="288C979C" w14:textId="77777777" w:rsidR="00E4404F" w:rsidRDefault="00E4404F" w:rsidP="00A8693E">
      <w:pPr>
        <w:spacing w:after="0" w:line="276" w:lineRule="auto"/>
        <w:rPr>
          <w:rFonts w:ascii="Times New Roman" w:hAnsi="Times New Roman" w:cs="Times New Roman"/>
        </w:rPr>
      </w:pPr>
    </w:p>
    <w:p w14:paraId="34A1149D" w14:textId="17ECF97E" w:rsidR="00D4776D" w:rsidRDefault="00D4776D" w:rsidP="00114030">
      <w:pPr>
        <w:spacing w:after="0" w:line="276" w:lineRule="auto"/>
        <w:jc w:val="both"/>
        <w:rPr>
          <w:rFonts w:ascii="Times New Roman" w:hAnsi="Times New Roman" w:cs="Times New Roman"/>
        </w:rPr>
      </w:pPr>
      <w:r>
        <w:rPr>
          <w:rFonts w:ascii="Times New Roman" w:hAnsi="Times New Roman" w:cs="Times New Roman"/>
        </w:rPr>
        <w:t xml:space="preserve">Det fremgår af tabel </w:t>
      </w:r>
      <w:r w:rsidR="005600A4">
        <w:rPr>
          <w:rFonts w:ascii="Times New Roman" w:hAnsi="Times New Roman" w:cs="Times New Roman"/>
        </w:rPr>
        <w:t>1</w:t>
      </w:r>
      <w:r w:rsidR="00CE3D43">
        <w:rPr>
          <w:rFonts w:ascii="Times New Roman" w:hAnsi="Times New Roman" w:cs="Times New Roman"/>
        </w:rPr>
        <w:t>3</w:t>
      </w:r>
      <w:r w:rsidR="001656BB">
        <w:rPr>
          <w:rFonts w:ascii="Times New Roman" w:hAnsi="Times New Roman" w:cs="Times New Roman"/>
        </w:rPr>
        <w:t>,</w:t>
      </w:r>
      <w:r>
        <w:rPr>
          <w:rFonts w:ascii="Times New Roman" w:hAnsi="Times New Roman" w:cs="Times New Roman"/>
        </w:rPr>
        <w:t xml:space="preserve"> at omsætningen hos de bedste fem fabrikstrawler steg fra ca. 766 mio.kr. i 2017 til 877 mio.kr. i 2019, svarende til en stigning på ca. 14 pct. </w:t>
      </w:r>
      <w:r w:rsidR="00114030" w:rsidRPr="008A57DA">
        <w:rPr>
          <w:rFonts w:ascii="Times New Roman" w:hAnsi="Times New Roman" w:cs="Times New Roman"/>
        </w:rPr>
        <w:t xml:space="preserve">Den havgående </w:t>
      </w:r>
      <w:r>
        <w:rPr>
          <w:rFonts w:ascii="Times New Roman" w:hAnsi="Times New Roman" w:cs="Times New Roman"/>
        </w:rPr>
        <w:t xml:space="preserve">flådes overskud </w:t>
      </w:r>
      <w:r w:rsidR="001656BB">
        <w:rPr>
          <w:rFonts w:ascii="Times New Roman" w:hAnsi="Times New Roman" w:cs="Times New Roman"/>
        </w:rPr>
        <w:t>er</w:t>
      </w:r>
      <w:r>
        <w:rPr>
          <w:rFonts w:ascii="Times New Roman" w:hAnsi="Times New Roman" w:cs="Times New Roman"/>
        </w:rPr>
        <w:t xml:space="preserve"> tilsvarende</w:t>
      </w:r>
      <w:r w:rsidR="00114030" w:rsidRPr="008A57DA">
        <w:rPr>
          <w:rFonts w:ascii="Times New Roman" w:hAnsi="Times New Roman" w:cs="Times New Roman"/>
        </w:rPr>
        <w:t xml:space="preserve"> steget fra </w:t>
      </w:r>
      <w:r>
        <w:rPr>
          <w:rFonts w:ascii="Times New Roman" w:hAnsi="Times New Roman" w:cs="Times New Roman"/>
        </w:rPr>
        <w:t xml:space="preserve">ca. 99 mio.kr. i 2017 til ca. 161 mio.kr. i 2019, svarende til en stigning på ca. 62 pct. Overskudsgraden i </w:t>
      </w:r>
      <w:r>
        <w:rPr>
          <w:rFonts w:ascii="Times New Roman" w:hAnsi="Times New Roman" w:cs="Times New Roman"/>
        </w:rPr>
        <w:lastRenderedPageBreak/>
        <w:t xml:space="preserve">flåden i de tre år var højest </w:t>
      </w:r>
      <w:r w:rsidR="001656BB">
        <w:rPr>
          <w:rFonts w:ascii="Times New Roman" w:hAnsi="Times New Roman" w:cs="Times New Roman"/>
        </w:rPr>
        <w:t xml:space="preserve">i 2018 og </w:t>
      </w:r>
      <w:r>
        <w:rPr>
          <w:rFonts w:ascii="Times New Roman" w:hAnsi="Times New Roman" w:cs="Times New Roman"/>
        </w:rPr>
        <w:t>på 25 pct. og i gennemsnit pr. år på ca. 23 pct.</w:t>
      </w:r>
      <w:r w:rsidR="00456DC3">
        <w:rPr>
          <w:rFonts w:ascii="Times New Roman" w:hAnsi="Times New Roman" w:cs="Times New Roman"/>
        </w:rPr>
        <w:t xml:space="preserve"> De fem bedste fabrikstrawlere i det havgående </w:t>
      </w:r>
      <w:proofErr w:type="spellStart"/>
      <w:r w:rsidR="00456DC3">
        <w:rPr>
          <w:rFonts w:ascii="Times New Roman" w:hAnsi="Times New Roman" w:cs="Times New Roman"/>
        </w:rPr>
        <w:t>hvidfiskfiskeri</w:t>
      </w:r>
      <w:proofErr w:type="spellEnd"/>
      <w:r w:rsidR="00456DC3">
        <w:rPr>
          <w:rFonts w:ascii="Times New Roman" w:hAnsi="Times New Roman" w:cs="Times New Roman"/>
        </w:rPr>
        <w:t xml:space="preserve"> har derfor opnået </w:t>
      </w:r>
      <w:r w:rsidR="001656BB">
        <w:rPr>
          <w:rFonts w:ascii="Times New Roman" w:hAnsi="Times New Roman" w:cs="Times New Roman"/>
        </w:rPr>
        <w:t xml:space="preserve">en </w:t>
      </w:r>
      <w:r w:rsidR="00456DC3">
        <w:rPr>
          <w:rFonts w:ascii="Times New Roman" w:hAnsi="Times New Roman" w:cs="Times New Roman"/>
        </w:rPr>
        <w:t>ret god rentabilitet i perioden 2017-2019.</w:t>
      </w:r>
    </w:p>
    <w:p w14:paraId="22A095D1" w14:textId="77777777" w:rsidR="00D4776D" w:rsidRDefault="00D4776D" w:rsidP="00114030">
      <w:pPr>
        <w:spacing w:after="0" w:line="276" w:lineRule="auto"/>
        <w:jc w:val="both"/>
        <w:rPr>
          <w:rFonts w:ascii="Times New Roman" w:hAnsi="Times New Roman" w:cs="Times New Roman"/>
        </w:rPr>
      </w:pPr>
    </w:p>
    <w:p w14:paraId="05A0310C" w14:textId="77777777" w:rsidR="00114030" w:rsidRDefault="00114030" w:rsidP="00114030">
      <w:pPr>
        <w:spacing w:after="0" w:line="276" w:lineRule="auto"/>
        <w:jc w:val="both"/>
        <w:rPr>
          <w:rFonts w:ascii="Times New Roman" w:hAnsi="Times New Roman" w:cs="Times New Roman"/>
        </w:rPr>
      </w:pPr>
      <w:r>
        <w:rPr>
          <w:rFonts w:ascii="Times New Roman" w:hAnsi="Times New Roman" w:cs="Times New Roman"/>
        </w:rPr>
        <w:t xml:space="preserve">Det bemærkes, at niveauet af overskuddet de seneste år </w:t>
      </w:r>
      <w:r w:rsidRPr="008A57DA">
        <w:rPr>
          <w:rFonts w:ascii="Times New Roman" w:hAnsi="Times New Roman" w:cs="Times New Roman"/>
        </w:rPr>
        <w:t xml:space="preserve">er </w:t>
      </w:r>
      <w:r>
        <w:rPr>
          <w:rFonts w:ascii="Times New Roman" w:hAnsi="Times New Roman" w:cs="Times New Roman"/>
        </w:rPr>
        <w:t xml:space="preserve">meget højt til trods for, at </w:t>
      </w:r>
      <w:r w:rsidRPr="008A57DA">
        <w:rPr>
          <w:rFonts w:ascii="Times New Roman" w:hAnsi="Times New Roman" w:cs="Times New Roman"/>
        </w:rPr>
        <w:t xml:space="preserve">den havgående flåde har betalt </w:t>
      </w:r>
      <w:r>
        <w:rPr>
          <w:rFonts w:ascii="Times New Roman" w:hAnsi="Times New Roman" w:cs="Times New Roman"/>
        </w:rPr>
        <w:t xml:space="preserve">relativt </w:t>
      </w:r>
      <w:r w:rsidRPr="008A57DA">
        <w:rPr>
          <w:rFonts w:ascii="Times New Roman" w:hAnsi="Times New Roman" w:cs="Times New Roman"/>
        </w:rPr>
        <w:t>høje ressourceafgifter</w:t>
      </w:r>
      <w:r>
        <w:rPr>
          <w:rFonts w:ascii="Times New Roman" w:hAnsi="Times New Roman" w:cs="Times New Roman"/>
        </w:rPr>
        <w:t xml:space="preserve"> til det offentlige</w:t>
      </w:r>
      <w:r w:rsidR="00D4776D">
        <w:rPr>
          <w:rFonts w:ascii="Times New Roman" w:hAnsi="Times New Roman" w:cs="Times New Roman"/>
        </w:rPr>
        <w:t>, særligt på hellefisk</w:t>
      </w:r>
      <w:r w:rsidRPr="008A57DA">
        <w:rPr>
          <w:rFonts w:ascii="Times New Roman" w:hAnsi="Times New Roman" w:cs="Times New Roman"/>
        </w:rPr>
        <w:t xml:space="preserve">. </w:t>
      </w:r>
      <w:r w:rsidR="00D4776D">
        <w:rPr>
          <w:rFonts w:ascii="Times New Roman" w:hAnsi="Times New Roman" w:cs="Times New Roman"/>
        </w:rPr>
        <w:t xml:space="preserve">Økonomien hos flåden forventes i 2020 at være negativ påvirket af </w:t>
      </w:r>
      <w:r w:rsidR="001C34AF">
        <w:rPr>
          <w:rFonts w:ascii="Times New Roman" w:hAnsi="Times New Roman" w:cs="Times New Roman"/>
        </w:rPr>
        <w:t>COVID</w:t>
      </w:r>
      <w:r>
        <w:rPr>
          <w:rFonts w:ascii="Times New Roman" w:hAnsi="Times New Roman" w:cs="Times New Roman"/>
        </w:rPr>
        <w:t>-pandemien.</w:t>
      </w:r>
    </w:p>
    <w:p w14:paraId="6D863CB9" w14:textId="77777777" w:rsidR="00114030" w:rsidRDefault="00114030" w:rsidP="00A8693E">
      <w:pPr>
        <w:spacing w:after="0" w:line="276" w:lineRule="auto"/>
        <w:rPr>
          <w:rFonts w:ascii="Times New Roman" w:hAnsi="Times New Roman" w:cs="Times New Roman"/>
        </w:rPr>
      </w:pPr>
    </w:p>
    <w:p w14:paraId="51D47B38" w14:textId="77777777" w:rsidR="00E86E8C" w:rsidRPr="006C19B3" w:rsidRDefault="00E86E8C" w:rsidP="00E86E8C">
      <w:pPr>
        <w:spacing w:after="0" w:line="276" w:lineRule="auto"/>
        <w:jc w:val="both"/>
        <w:rPr>
          <w:rFonts w:ascii="Times New Roman" w:hAnsi="Times New Roman" w:cs="Times New Roman"/>
          <w:b/>
          <w:i/>
          <w:color w:val="000000" w:themeColor="text1"/>
        </w:rPr>
      </w:pPr>
      <w:r w:rsidRPr="006C19B3">
        <w:rPr>
          <w:rFonts w:ascii="Times New Roman" w:hAnsi="Times New Roman" w:cs="Times New Roman"/>
          <w:b/>
          <w:i/>
          <w:color w:val="000000" w:themeColor="text1"/>
        </w:rPr>
        <w:t>Aflønning af arbejdskraft</w:t>
      </w:r>
    </w:p>
    <w:p w14:paraId="5F87F07A" w14:textId="77777777" w:rsidR="00E86E8C" w:rsidRDefault="00696328" w:rsidP="00E86E8C">
      <w:pPr>
        <w:spacing w:after="0" w:line="276" w:lineRule="auto"/>
        <w:jc w:val="both"/>
        <w:rPr>
          <w:rFonts w:ascii="Times New Roman" w:hAnsi="Times New Roman" w:cs="Times New Roman"/>
        </w:rPr>
      </w:pPr>
      <w:r>
        <w:rPr>
          <w:rFonts w:ascii="Times New Roman" w:hAnsi="Times New Roman" w:cs="Times New Roman"/>
        </w:rPr>
        <w:t xml:space="preserve">På </w:t>
      </w:r>
      <w:r w:rsidRPr="00506878">
        <w:rPr>
          <w:rFonts w:ascii="Times New Roman" w:hAnsi="Times New Roman" w:cs="Times New Roman"/>
        </w:rPr>
        <w:t>grundlag af oplysninger</w:t>
      </w:r>
      <w:r w:rsidR="001656BB">
        <w:rPr>
          <w:rFonts w:ascii="Times New Roman" w:hAnsi="Times New Roman" w:cs="Times New Roman"/>
        </w:rPr>
        <w:t>,</w:t>
      </w:r>
      <w:r w:rsidRPr="00506878">
        <w:rPr>
          <w:rFonts w:ascii="Times New Roman" w:hAnsi="Times New Roman" w:cs="Times New Roman"/>
        </w:rPr>
        <w:t xml:space="preserve"> som </w:t>
      </w:r>
      <w:r>
        <w:rPr>
          <w:rFonts w:ascii="Times New Roman" w:hAnsi="Times New Roman" w:cs="Times New Roman"/>
        </w:rPr>
        <w:t>selskaberne</w:t>
      </w:r>
      <w:r w:rsidRPr="00506878">
        <w:rPr>
          <w:rFonts w:ascii="Times New Roman" w:hAnsi="Times New Roman" w:cs="Times New Roman"/>
        </w:rPr>
        <w:t xml:space="preserve"> er forpligtige til at indberette til GFLK pr. driftsenhed (fartøjer og fabrikker) pr. år</w:t>
      </w:r>
      <w:r>
        <w:rPr>
          <w:rFonts w:ascii="Times New Roman" w:hAnsi="Times New Roman" w:cs="Times New Roman"/>
        </w:rPr>
        <w:t xml:space="preserve"> om beskæftigelse og løn</w:t>
      </w:r>
      <w:r w:rsidR="001656BB">
        <w:rPr>
          <w:rFonts w:ascii="Times New Roman" w:hAnsi="Times New Roman" w:cs="Times New Roman"/>
        </w:rPr>
        <w:t>,</w:t>
      </w:r>
      <w:r>
        <w:rPr>
          <w:rFonts w:ascii="Times New Roman" w:hAnsi="Times New Roman" w:cs="Times New Roman"/>
        </w:rPr>
        <w:t xml:space="preserve"> er der udarbejdet i tabel 1</w:t>
      </w:r>
      <w:r w:rsidR="00801EFF">
        <w:rPr>
          <w:rFonts w:ascii="Times New Roman" w:hAnsi="Times New Roman" w:cs="Times New Roman"/>
        </w:rPr>
        <w:t>3</w:t>
      </w:r>
      <w:r w:rsidR="001656BB">
        <w:rPr>
          <w:rFonts w:ascii="Times New Roman" w:hAnsi="Times New Roman" w:cs="Times New Roman"/>
        </w:rPr>
        <w:t xml:space="preserve"> en</w:t>
      </w:r>
      <w:r>
        <w:rPr>
          <w:rFonts w:ascii="Times New Roman" w:hAnsi="Times New Roman" w:cs="Times New Roman"/>
        </w:rPr>
        <w:t xml:space="preserve"> opgørelse over antal årsværk og løn for de fem bedste fabrikstrawlere</w:t>
      </w:r>
      <w:r w:rsidR="001656BB">
        <w:rPr>
          <w:rFonts w:ascii="Times New Roman" w:hAnsi="Times New Roman" w:cs="Times New Roman"/>
        </w:rPr>
        <w:t>,</w:t>
      </w:r>
      <w:r>
        <w:rPr>
          <w:rFonts w:ascii="Times New Roman" w:hAnsi="Times New Roman" w:cs="Times New Roman"/>
        </w:rPr>
        <w:t xml:space="preserve"> vist i tabel 3 (fartøjer 1, 3, 4, 5 og 7) ud af de 7 fartøjer i 2020. </w:t>
      </w:r>
    </w:p>
    <w:p w14:paraId="7D21700D" w14:textId="77777777" w:rsidR="00696328" w:rsidRDefault="00696328" w:rsidP="00E86E8C">
      <w:pPr>
        <w:spacing w:after="0" w:line="276" w:lineRule="auto"/>
        <w:jc w:val="both"/>
        <w:rPr>
          <w:rFonts w:ascii="Times New Roman" w:hAnsi="Times New Roman" w:cs="Times New Roman"/>
        </w:rPr>
      </w:pPr>
    </w:p>
    <w:p w14:paraId="06D4ACF8" w14:textId="77777777" w:rsidR="00456DC3" w:rsidRDefault="00456DC3" w:rsidP="00E86E8C">
      <w:pPr>
        <w:spacing w:after="0" w:line="276" w:lineRule="auto"/>
        <w:jc w:val="both"/>
        <w:rPr>
          <w:rFonts w:ascii="Times New Roman" w:hAnsi="Times New Roman" w:cs="Times New Roman"/>
        </w:rPr>
      </w:pPr>
      <w:r>
        <w:rPr>
          <w:rFonts w:ascii="Times New Roman" w:hAnsi="Times New Roman" w:cs="Times New Roman"/>
        </w:rPr>
        <w:t>Det fremgår af tabel 1</w:t>
      </w:r>
      <w:r w:rsidR="00CE3D43">
        <w:rPr>
          <w:rFonts w:ascii="Times New Roman" w:hAnsi="Times New Roman" w:cs="Times New Roman"/>
        </w:rPr>
        <w:t>4</w:t>
      </w:r>
      <w:r w:rsidR="001656BB">
        <w:rPr>
          <w:rFonts w:ascii="Times New Roman" w:hAnsi="Times New Roman" w:cs="Times New Roman"/>
        </w:rPr>
        <w:t>,</w:t>
      </w:r>
      <w:r>
        <w:rPr>
          <w:rFonts w:ascii="Times New Roman" w:hAnsi="Times New Roman" w:cs="Times New Roman"/>
        </w:rPr>
        <w:t xml:space="preserve"> at antal årsværk på de fem bedste fabrikstrawlere er steget fra 228 i 2017 til 256 i 2019. Den gennemsnitlige årsløn hos samtlige besætningsmedlemmer på de fabrikstrawlere pr. årsværk var på ca. 1,2 mio.kr. i 2017</w:t>
      </w:r>
      <w:r w:rsidR="00F77D38">
        <w:rPr>
          <w:rFonts w:ascii="Times New Roman" w:hAnsi="Times New Roman" w:cs="Times New Roman"/>
        </w:rPr>
        <w:t>,</w:t>
      </w:r>
      <w:r>
        <w:rPr>
          <w:rFonts w:ascii="Times New Roman" w:hAnsi="Times New Roman" w:cs="Times New Roman"/>
        </w:rPr>
        <w:t xml:space="preserve"> men faldt til ca. 1,1 mio.kr. i 2019.</w:t>
      </w:r>
    </w:p>
    <w:p w14:paraId="27FC5E84" w14:textId="77777777" w:rsidR="00E86E8C" w:rsidRDefault="00E86E8C" w:rsidP="00E86E8C">
      <w:pPr>
        <w:spacing w:after="0" w:line="276" w:lineRule="auto"/>
        <w:jc w:val="both"/>
        <w:rPr>
          <w:rFonts w:ascii="Times New Roman" w:hAnsi="Times New Roman" w:cs="Times New Roman"/>
          <w:color w:val="000000" w:themeColor="text1"/>
        </w:rPr>
      </w:pPr>
    </w:p>
    <w:p w14:paraId="17C2BF2E" w14:textId="792C1051" w:rsidR="00696328" w:rsidRPr="00884416" w:rsidRDefault="00696328" w:rsidP="00696328">
      <w:pPr>
        <w:spacing w:after="0" w:line="276" w:lineRule="auto"/>
        <w:contextualSpacing/>
        <w:jc w:val="both"/>
        <w:rPr>
          <w:rFonts w:ascii="Times New Roman" w:hAnsi="Times New Roman" w:cs="Times New Roman"/>
        </w:rPr>
      </w:pPr>
      <w:r>
        <w:rPr>
          <w:rFonts w:ascii="Times New Roman" w:hAnsi="Times New Roman" w:cs="Times New Roman"/>
        </w:rPr>
        <w:t>Tabel 1</w:t>
      </w:r>
      <w:r w:rsidR="00CE3D43">
        <w:rPr>
          <w:rFonts w:ascii="Times New Roman" w:hAnsi="Times New Roman" w:cs="Times New Roman"/>
        </w:rPr>
        <w:t>4</w:t>
      </w:r>
      <w:r>
        <w:rPr>
          <w:rFonts w:ascii="Times New Roman" w:hAnsi="Times New Roman" w:cs="Times New Roman"/>
        </w:rPr>
        <w:t xml:space="preserve">: Udvikling antal årsværk og løn i det havgående </w:t>
      </w:r>
      <w:proofErr w:type="spellStart"/>
      <w:r>
        <w:rPr>
          <w:rFonts w:ascii="Times New Roman" w:hAnsi="Times New Roman" w:cs="Times New Roman"/>
        </w:rPr>
        <w:t>hvidfiskfiskeri</w:t>
      </w:r>
      <w:proofErr w:type="spellEnd"/>
      <w:r w:rsidR="00456DC3">
        <w:rPr>
          <w:rFonts w:ascii="Times New Roman" w:hAnsi="Times New Roman" w:cs="Times New Roman"/>
        </w:rPr>
        <w:t>,</w:t>
      </w:r>
      <w:r>
        <w:rPr>
          <w:rFonts w:ascii="Times New Roman" w:hAnsi="Times New Roman" w:cs="Times New Roman"/>
        </w:rPr>
        <w:t xml:space="preserve"> 201</w:t>
      </w:r>
      <w:r w:rsidR="00456DC3">
        <w:rPr>
          <w:rFonts w:ascii="Times New Roman" w:hAnsi="Times New Roman" w:cs="Times New Roman"/>
        </w:rPr>
        <w:t>7</w:t>
      </w:r>
      <w:r>
        <w:rPr>
          <w:rFonts w:ascii="Times New Roman" w:hAnsi="Times New Roman" w:cs="Times New Roman"/>
        </w:rPr>
        <w:t>-20</w:t>
      </w:r>
      <w:r w:rsidR="00456DC3">
        <w:rPr>
          <w:rFonts w:ascii="Times New Roman" w:hAnsi="Times New Roman" w:cs="Times New Roman"/>
        </w:rPr>
        <w:t>19</w:t>
      </w:r>
      <w:r>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5314"/>
        <w:gridCol w:w="1438"/>
        <w:gridCol w:w="1438"/>
        <w:gridCol w:w="1438"/>
      </w:tblGrid>
      <w:tr w:rsidR="00696328" w:rsidRPr="00696328" w14:paraId="3871F1B3" w14:textId="77777777" w:rsidTr="00696328">
        <w:trPr>
          <w:trHeight w:val="300"/>
        </w:trPr>
        <w:tc>
          <w:tcPr>
            <w:tcW w:w="2759" w:type="pct"/>
            <w:tcBorders>
              <w:top w:val="single" w:sz="4" w:space="0" w:color="auto"/>
              <w:left w:val="single" w:sz="4" w:space="0" w:color="auto"/>
              <w:bottom w:val="nil"/>
              <w:right w:val="nil"/>
            </w:tcBorders>
            <w:shd w:val="clear" w:color="000000" w:fill="FFFFFF"/>
            <w:noWrap/>
            <w:vAlign w:val="bottom"/>
            <w:hideMark/>
          </w:tcPr>
          <w:p w14:paraId="252CF74B" w14:textId="77777777" w:rsidR="00696328" w:rsidRPr="00696328" w:rsidRDefault="00696328" w:rsidP="00696328">
            <w:pPr>
              <w:spacing w:after="0" w:line="240" w:lineRule="auto"/>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 </w:t>
            </w: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14:paraId="4917B8D6"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 </w:t>
            </w:r>
          </w:p>
        </w:tc>
        <w:tc>
          <w:tcPr>
            <w:tcW w:w="747" w:type="pct"/>
            <w:tcBorders>
              <w:top w:val="single" w:sz="4" w:space="0" w:color="auto"/>
              <w:left w:val="nil"/>
              <w:bottom w:val="nil"/>
              <w:right w:val="nil"/>
            </w:tcBorders>
            <w:shd w:val="clear" w:color="000000" w:fill="FFFFFF"/>
            <w:noWrap/>
            <w:vAlign w:val="bottom"/>
            <w:hideMark/>
          </w:tcPr>
          <w:p w14:paraId="2E1AB340"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 </w:t>
            </w: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14:paraId="515B58FE"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 </w:t>
            </w:r>
          </w:p>
        </w:tc>
      </w:tr>
      <w:tr w:rsidR="00696328" w:rsidRPr="00696328" w14:paraId="20A3F265" w14:textId="77777777" w:rsidTr="00696328">
        <w:trPr>
          <w:trHeight w:val="300"/>
        </w:trPr>
        <w:tc>
          <w:tcPr>
            <w:tcW w:w="2759" w:type="pct"/>
            <w:tcBorders>
              <w:top w:val="nil"/>
              <w:left w:val="single" w:sz="4" w:space="0" w:color="auto"/>
              <w:bottom w:val="single" w:sz="4" w:space="0" w:color="auto"/>
              <w:right w:val="nil"/>
            </w:tcBorders>
            <w:shd w:val="clear" w:color="000000" w:fill="FFFFFF"/>
            <w:noWrap/>
            <w:vAlign w:val="bottom"/>
            <w:hideMark/>
          </w:tcPr>
          <w:p w14:paraId="06522950" w14:textId="77777777" w:rsidR="00696328" w:rsidRPr="00696328" w:rsidRDefault="00696328" w:rsidP="00696328">
            <w:pPr>
              <w:spacing w:after="0" w:line="240" w:lineRule="auto"/>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 </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14:paraId="190787E7"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2017</w:t>
            </w:r>
          </w:p>
        </w:tc>
        <w:tc>
          <w:tcPr>
            <w:tcW w:w="747" w:type="pct"/>
            <w:tcBorders>
              <w:top w:val="nil"/>
              <w:left w:val="nil"/>
              <w:bottom w:val="single" w:sz="4" w:space="0" w:color="auto"/>
              <w:right w:val="nil"/>
            </w:tcBorders>
            <w:shd w:val="clear" w:color="000000" w:fill="FFFFFF"/>
            <w:noWrap/>
            <w:vAlign w:val="bottom"/>
            <w:hideMark/>
          </w:tcPr>
          <w:p w14:paraId="50F57857"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2018</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14:paraId="7416901F"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2019</w:t>
            </w:r>
          </w:p>
        </w:tc>
      </w:tr>
      <w:tr w:rsidR="00696328" w:rsidRPr="00696328" w14:paraId="002C8FC0" w14:textId="77777777" w:rsidTr="00696328">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4C96CD5B" w14:textId="77777777" w:rsidR="00696328" w:rsidRPr="00696328" w:rsidRDefault="00696328" w:rsidP="00696328">
            <w:pPr>
              <w:spacing w:after="0" w:line="240" w:lineRule="auto"/>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Antal årsværk</w:t>
            </w:r>
          </w:p>
        </w:tc>
        <w:tc>
          <w:tcPr>
            <w:tcW w:w="747" w:type="pct"/>
            <w:tcBorders>
              <w:top w:val="nil"/>
              <w:left w:val="nil"/>
              <w:bottom w:val="single" w:sz="4" w:space="0" w:color="auto"/>
              <w:right w:val="single" w:sz="4" w:space="0" w:color="auto"/>
            </w:tcBorders>
            <w:shd w:val="clear" w:color="000000" w:fill="FFFFFF"/>
            <w:noWrap/>
            <w:vAlign w:val="bottom"/>
            <w:hideMark/>
          </w:tcPr>
          <w:p w14:paraId="5050EC88" w14:textId="77777777" w:rsidR="00696328" w:rsidRPr="00696328" w:rsidRDefault="00696328" w:rsidP="00696328">
            <w:pPr>
              <w:spacing w:after="0" w:line="240" w:lineRule="auto"/>
              <w:jc w:val="right"/>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228</w:t>
            </w:r>
          </w:p>
        </w:tc>
        <w:tc>
          <w:tcPr>
            <w:tcW w:w="747" w:type="pct"/>
            <w:tcBorders>
              <w:top w:val="nil"/>
              <w:left w:val="nil"/>
              <w:bottom w:val="single" w:sz="4" w:space="0" w:color="auto"/>
              <w:right w:val="single" w:sz="4" w:space="0" w:color="auto"/>
            </w:tcBorders>
            <w:shd w:val="clear" w:color="000000" w:fill="FFFFFF"/>
            <w:noWrap/>
            <w:vAlign w:val="bottom"/>
            <w:hideMark/>
          </w:tcPr>
          <w:p w14:paraId="4B8EFA64" w14:textId="77777777" w:rsidR="00696328" w:rsidRPr="00696328" w:rsidRDefault="00696328" w:rsidP="00696328">
            <w:pPr>
              <w:spacing w:after="0" w:line="240" w:lineRule="auto"/>
              <w:jc w:val="right"/>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236</w:t>
            </w:r>
          </w:p>
        </w:tc>
        <w:tc>
          <w:tcPr>
            <w:tcW w:w="747" w:type="pct"/>
            <w:tcBorders>
              <w:top w:val="nil"/>
              <w:left w:val="nil"/>
              <w:bottom w:val="single" w:sz="4" w:space="0" w:color="auto"/>
              <w:right w:val="single" w:sz="4" w:space="0" w:color="auto"/>
            </w:tcBorders>
            <w:shd w:val="clear" w:color="000000" w:fill="FFFFFF"/>
            <w:noWrap/>
            <w:vAlign w:val="bottom"/>
            <w:hideMark/>
          </w:tcPr>
          <w:p w14:paraId="4728B820" w14:textId="77777777" w:rsidR="00696328" w:rsidRPr="00696328" w:rsidRDefault="00696328" w:rsidP="00696328">
            <w:pPr>
              <w:spacing w:after="0" w:line="240" w:lineRule="auto"/>
              <w:jc w:val="right"/>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256</w:t>
            </w:r>
          </w:p>
        </w:tc>
      </w:tr>
      <w:tr w:rsidR="00696328" w:rsidRPr="00696328" w14:paraId="66D8B059" w14:textId="77777777" w:rsidTr="00696328">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48937059" w14:textId="77777777" w:rsidR="00696328" w:rsidRPr="00696328" w:rsidRDefault="00696328" w:rsidP="00696328">
            <w:pPr>
              <w:spacing w:after="0" w:line="240" w:lineRule="auto"/>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Lønsum, mio.kr.</w:t>
            </w:r>
          </w:p>
        </w:tc>
        <w:tc>
          <w:tcPr>
            <w:tcW w:w="747" w:type="pct"/>
            <w:tcBorders>
              <w:top w:val="nil"/>
              <w:left w:val="nil"/>
              <w:bottom w:val="single" w:sz="4" w:space="0" w:color="auto"/>
              <w:right w:val="single" w:sz="4" w:space="0" w:color="auto"/>
            </w:tcBorders>
            <w:shd w:val="clear" w:color="000000" w:fill="FFFFFF"/>
            <w:noWrap/>
            <w:vAlign w:val="bottom"/>
            <w:hideMark/>
          </w:tcPr>
          <w:p w14:paraId="5B49D7A1" w14:textId="77777777" w:rsidR="00696328" w:rsidRPr="00696328" w:rsidRDefault="00696328" w:rsidP="00696328">
            <w:pPr>
              <w:spacing w:after="0" w:line="240" w:lineRule="auto"/>
              <w:jc w:val="right"/>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281,7</w:t>
            </w:r>
          </w:p>
        </w:tc>
        <w:tc>
          <w:tcPr>
            <w:tcW w:w="747" w:type="pct"/>
            <w:tcBorders>
              <w:top w:val="nil"/>
              <w:left w:val="nil"/>
              <w:bottom w:val="single" w:sz="4" w:space="0" w:color="auto"/>
              <w:right w:val="single" w:sz="4" w:space="0" w:color="auto"/>
            </w:tcBorders>
            <w:shd w:val="clear" w:color="000000" w:fill="FFFFFF"/>
            <w:noWrap/>
            <w:vAlign w:val="bottom"/>
            <w:hideMark/>
          </w:tcPr>
          <w:p w14:paraId="3AE226C9" w14:textId="77777777" w:rsidR="00696328" w:rsidRPr="00696328" w:rsidRDefault="00696328" w:rsidP="00696328">
            <w:pPr>
              <w:spacing w:after="0" w:line="240" w:lineRule="auto"/>
              <w:jc w:val="right"/>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266,2</w:t>
            </w:r>
          </w:p>
        </w:tc>
        <w:tc>
          <w:tcPr>
            <w:tcW w:w="747" w:type="pct"/>
            <w:tcBorders>
              <w:top w:val="nil"/>
              <w:left w:val="nil"/>
              <w:bottom w:val="single" w:sz="4" w:space="0" w:color="auto"/>
              <w:right w:val="single" w:sz="4" w:space="0" w:color="auto"/>
            </w:tcBorders>
            <w:shd w:val="clear" w:color="000000" w:fill="FFFFFF"/>
            <w:noWrap/>
            <w:vAlign w:val="bottom"/>
            <w:hideMark/>
          </w:tcPr>
          <w:p w14:paraId="10F6CB0F" w14:textId="77777777" w:rsidR="00696328" w:rsidRPr="00696328" w:rsidRDefault="00696328" w:rsidP="00696328">
            <w:pPr>
              <w:spacing w:after="0" w:line="240" w:lineRule="auto"/>
              <w:jc w:val="right"/>
              <w:rPr>
                <w:rFonts w:ascii="Times New Roman" w:eastAsia="Times New Roman" w:hAnsi="Times New Roman" w:cs="Times New Roman"/>
                <w:color w:val="000000"/>
                <w:sz w:val="20"/>
                <w:szCs w:val="20"/>
                <w:lang w:eastAsia="da-DK"/>
              </w:rPr>
            </w:pPr>
            <w:r w:rsidRPr="00696328">
              <w:rPr>
                <w:rFonts w:ascii="Times New Roman" w:eastAsia="Times New Roman" w:hAnsi="Times New Roman" w:cs="Times New Roman"/>
                <w:color w:val="000000"/>
                <w:sz w:val="20"/>
                <w:szCs w:val="20"/>
                <w:lang w:eastAsia="da-DK"/>
              </w:rPr>
              <w:t>283,6</w:t>
            </w:r>
          </w:p>
        </w:tc>
      </w:tr>
      <w:tr w:rsidR="00696328" w:rsidRPr="00696328" w14:paraId="62553C61" w14:textId="77777777" w:rsidTr="00696328">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14:paraId="21F2457D" w14:textId="77777777" w:rsidR="00696328" w:rsidRPr="00696328" w:rsidRDefault="00696328" w:rsidP="00696328">
            <w:pPr>
              <w:spacing w:after="0" w:line="240" w:lineRule="auto"/>
              <w:rPr>
                <w:rFonts w:ascii="Times New Roman" w:eastAsia="Times New Roman" w:hAnsi="Times New Roman" w:cs="Times New Roman"/>
                <w:b/>
                <w:bCs/>
                <w:color w:val="000000"/>
                <w:sz w:val="20"/>
                <w:szCs w:val="20"/>
                <w:lang w:eastAsia="da-DK"/>
              </w:rPr>
            </w:pPr>
            <w:proofErr w:type="spellStart"/>
            <w:r w:rsidRPr="00696328">
              <w:rPr>
                <w:rFonts w:ascii="Times New Roman" w:eastAsia="Times New Roman" w:hAnsi="Times New Roman" w:cs="Times New Roman"/>
                <w:b/>
                <w:bCs/>
                <w:color w:val="000000"/>
                <w:sz w:val="20"/>
                <w:szCs w:val="20"/>
                <w:lang w:eastAsia="da-DK"/>
              </w:rPr>
              <w:t>Gns.løn</w:t>
            </w:r>
            <w:proofErr w:type="spellEnd"/>
            <w:r w:rsidRPr="00696328">
              <w:rPr>
                <w:rFonts w:ascii="Times New Roman" w:eastAsia="Times New Roman" w:hAnsi="Times New Roman" w:cs="Times New Roman"/>
                <w:b/>
                <w:bCs/>
                <w:color w:val="000000"/>
                <w:sz w:val="20"/>
                <w:szCs w:val="20"/>
                <w:lang w:eastAsia="da-DK"/>
              </w:rPr>
              <w:t>, kr.</w:t>
            </w:r>
          </w:p>
        </w:tc>
        <w:tc>
          <w:tcPr>
            <w:tcW w:w="747" w:type="pct"/>
            <w:tcBorders>
              <w:top w:val="nil"/>
              <w:left w:val="nil"/>
              <w:bottom w:val="single" w:sz="4" w:space="0" w:color="auto"/>
              <w:right w:val="single" w:sz="4" w:space="0" w:color="auto"/>
            </w:tcBorders>
            <w:shd w:val="clear" w:color="000000" w:fill="FFFFFF"/>
            <w:noWrap/>
            <w:vAlign w:val="bottom"/>
            <w:hideMark/>
          </w:tcPr>
          <w:p w14:paraId="66608940"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1.235.730</w:t>
            </w:r>
          </w:p>
        </w:tc>
        <w:tc>
          <w:tcPr>
            <w:tcW w:w="747" w:type="pct"/>
            <w:tcBorders>
              <w:top w:val="nil"/>
              <w:left w:val="nil"/>
              <w:bottom w:val="single" w:sz="4" w:space="0" w:color="auto"/>
              <w:right w:val="single" w:sz="4" w:space="0" w:color="auto"/>
            </w:tcBorders>
            <w:shd w:val="clear" w:color="000000" w:fill="FFFFFF"/>
            <w:noWrap/>
            <w:vAlign w:val="bottom"/>
            <w:hideMark/>
          </w:tcPr>
          <w:p w14:paraId="207E48F9"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1.127.778</w:t>
            </w:r>
          </w:p>
        </w:tc>
        <w:tc>
          <w:tcPr>
            <w:tcW w:w="747" w:type="pct"/>
            <w:tcBorders>
              <w:top w:val="nil"/>
              <w:left w:val="nil"/>
              <w:bottom w:val="single" w:sz="4" w:space="0" w:color="auto"/>
              <w:right w:val="single" w:sz="4" w:space="0" w:color="auto"/>
            </w:tcBorders>
            <w:shd w:val="clear" w:color="000000" w:fill="FFFFFF"/>
            <w:noWrap/>
            <w:vAlign w:val="bottom"/>
            <w:hideMark/>
          </w:tcPr>
          <w:p w14:paraId="27C24170" w14:textId="77777777" w:rsidR="00696328" w:rsidRPr="00696328" w:rsidRDefault="00696328" w:rsidP="00696328">
            <w:pPr>
              <w:spacing w:after="0" w:line="240" w:lineRule="auto"/>
              <w:jc w:val="right"/>
              <w:rPr>
                <w:rFonts w:ascii="Times New Roman" w:eastAsia="Times New Roman" w:hAnsi="Times New Roman" w:cs="Times New Roman"/>
                <w:b/>
                <w:bCs/>
                <w:color w:val="000000"/>
                <w:sz w:val="20"/>
                <w:szCs w:val="20"/>
                <w:lang w:eastAsia="da-DK"/>
              </w:rPr>
            </w:pPr>
            <w:r w:rsidRPr="00696328">
              <w:rPr>
                <w:rFonts w:ascii="Times New Roman" w:eastAsia="Times New Roman" w:hAnsi="Times New Roman" w:cs="Times New Roman"/>
                <w:b/>
                <w:bCs/>
                <w:color w:val="000000"/>
                <w:sz w:val="20"/>
                <w:szCs w:val="20"/>
                <w:lang w:eastAsia="da-DK"/>
              </w:rPr>
              <w:t>1.107.623</w:t>
            </w:r>
          </w:p>
        </w:tc>
      </w:tr>
    </w:tbl>
    <w:p w14:paraId="7AFA3525" w14:textId="77777777" w:rsidR="00696328" w:rsidRPr="00AE39D5" w:rsidRDefault="00AE39D5" w:rsidP="00E86E8C">
      <w:pPr>
        <w:spacing w:after="0" w:line="276" w:lineRule="auto"/>
        <w:jc w:val="both"/>
        <w:rPr>
          <w:rFonts w:ascii="Times New Roman" w:hAnsi="Times New Roman" w:cs="Times New Roman"/>
          <w:color w:val="000000" w:themeColor="text1"/>
          <w:sz w:val="20"/>
          <w:szCs w:val="20"/>
        </w:rPr>
      </w:pPr>
      <w:r w:rsidRPr="00AE39D5">
        <w:rPr>
          <w:rFonts w:ascii="Times New Roman" w:hAnsi="Times New Roman" w:cs="Times New Roman"/>
          <w:color w:val="000000" w:themeColor="text1"/>
          <w:sz w:val="20"/>
          <w:szCs w:val="20"/>
        </w:rPr>
        <w:t>Kilde: GFLK.</w:t>
      </w:r>
    </w:p>
    <w:p w14:paraId="6BD5B976" w14:textId="77777777" w:rsidR="00E86E8C" w:rsidRPr="00506878" w:rsidRDefault="00E86E8C" w:rsidP="008F7BB1">
      <w:pPr>
        <w:spacing w:after="0" w:line="276" w:lineRule="auto"/>
        <w:jc w:val="both"/>
        <w:rPr>
          <w:rFonts w:ascii="Times New Roman" w:hAnsi="Times New Roman" w:cs="Times New Roman"/>
        </w:rPr>
      </w:pPr>
    </w:p>
    <w:p w14:paraId="0138C8CD" w14:textId="2A7AE073" w:rsidR="00DB76AC" w:rsidRPr="00DB76AC" w:rsidRDefault="006C19B3" w:rsidP="00A8693E">
      <w:pPr>
        <w:spacing w:after="0" w:line="276" w:lineRule="auto"/>
        <w:rPr>
          <w:rFonts w:ascii="Times New Roman" w:hAnsi="Times New Roman" w:cs="Times New Roman"/>
          <w:color w:val="000000" w:themeColor="text1"/>
        </w:rPr>
      </w:pPr>
      <w:r>
        <w:rPr>
          <w:rFonts w:ascii="Times New Roman" w:hAnsi="Times New Roman" w:cs="Times New Roman"/>
          <w:b/>
          <w:sz w:val="24"/>
          <w:szCs w:val="24"/>
          <w:lang w:val="is-IS"/>
        </w:rPr>
        <w:t xml:space="preserve">6. </w:t>
      </w:r>
      <w:r w:rsidR="000E4741">
        <w:rPr>
          <w:rFonts w:ascii="Times New Roman" w:hAnsi="Times New Roman" w:cs="Times New Roman"/>
          <w:b/>
          <w:sz w:val="24"/>
          <w:szCs w:val="24"/>
          <w:lang w:val="is-IS"/>
        </w:rPr>
        <w:t xml:space="preserve"> </w:t>
      </w:r>
      <w:r w:rsidR="00DB76AC" w:rsidRPr="00DB76AC">
        <w:rPr>
          <w:rFonts w:ascii="Times New Roman" w:hAnsi="Times New Roman" w:cs="Times New Roman"/>
          <w:b/>
          <w:sz w:val="24"/>
          <w:szCs w:val="24"/>
          <w:lang w:val="is-IS"/>
        </w:rPr>
        <w:t xml:space="preserve">Ressourceafgifter på det havgående </w:t>
      </w:r>
      <w:r w:rsidR="00DB76AC">
        <w:rPr>
          <w:rFonts w:ascii="Times New Roman" w:hAnsi="Times New Roman" w:cs="Times New Roman"/>
          <w:b/>
          <w:sz w:val="24"/>
          <w:szCs w:val="24"/>
          <w:lang w:val="is-IS"/>
        </w:rPr>
        <w:t>hvidfisk</w:t>
      </w:r>
      <w:r w:rsidR="00DB76AC" w:rsidRPr="00DB76AC">
        <w:rPr>
          <w:rFonts w:ascii="Times New Roman" w:hAnsi="Times New Roman" w:cs="Times New Roman"/>
          <w:b/>
          <w:sz w:val="24"/>
          <w:szCs w:val="24"/>
          <w:lang w:val="is-IS"/>
        </w:rPr>
        <w:t>fiskeri</w:t>
      </w:r>
      <w:r w:rsidR="00DB76AC" w:rsidRPr="00DB76AC">
        <w:rPr>
          <w:rFonts w:ascii="Times New Roman" w:hAnsi="Times New Roman" w:cs="Times New Roman"/>
          <w:color w:val="000000" w:themeColor="text1"/>
        </w:rPr>
        <w:t xml:space="preserve"> </w:t>
      </w:r>
    </w:p>
    <w:p w14:paraId="7A7C075B" w14:textId="77777777" w:rsidR="00A7766C" w:rsidRPr="00B61220" w:rsidRDefault="00A7766C" w:rsidP="00A7766C">
      <w:pPr>
        <w:spacing w:after="0"/>
        <w:jc w:val="both"/>
        <w:rPr>
          <w:rFonts w:ascii="Times New Roman" w:hAnsi="Times New Roman" w:cs="Times New Roman"/>
          <w:color w:val="000000" w:themeColor="text1"/>
        </w:rPr>
      </w:pPr>
      <w:r w:rsidRPr="00B61220">
        <w:rPr>
          <w:rFonts w:ascii="Times New Roman" w:hAnsi="Times New Roman" w:cs="Times New Roman"/>
          <w:color w:val="000000" w:themeColor="text1"/>
        </w:rPr>
        <w:t>Afgift på direkte eksport af hellefisk</w:t>
      </w:r>
      <w:r>
        <w:rPr>
          <w:rFonts w:ascii="Times New Roman" w:hAnsi="Times New Roman" w:cs="Times New Roman"/>
          <w:color w:val="000000" w:themeColor="text1"/>
        </w:rPr>
        <w:t xml:space="preserve"> produceret til havs</w:t>
      </w:r>
      <w:r w:rsidRPr="00B61220">
        <w:rPr>
          <w:rFonts w:ascii="Times New Roman" w:hAnsi="Times New Roman" w:cs="Times New Roman"/>
          <w:color w:val="000000" w:themeColor="text1"/>
        </w:rPr>
        <w:t xml:space="preserve"> i det havgående fiskeri trådte i kraft den 1. januar 2013. Afgiftssatsen var som udgangspunkt 2,50 kr.</w:t>
      </w:r>
      <w:r>
        <w:rPr>
          <w:rFonts w:ascii="Times New Roman" w:hAnsi="Times New Roman" w:cs="Times New Roman"/>
          <w:color w:val="000000" w:themeColor="text1"/>
        </w:rPr>
        <w:t xml:space="preserve"> </w:t>
      </w:r>
      <w:r w:rsidRPr="00B61220">
        <w:rPr>
          <w:rFonts w:ascii="Times New Roman" w:hAnsi="Times New Roman" w:cs="Times New Roman"/>
          <w:color w:val="000000" w:themeColor="text1"/>
        </w:rPr>
        <w:t>pr. kg fisket hellefisk. Denne sats bl</w:t>
      </w:r>
      <w:r w:rsidR="00F77D38">
        <w:rPr>
          <w:rFonts w:ascii="Times New Roman" w:hAnsi="Times New Roman" w:cs="Times New Roman"/>
          <w:color w:val="000000" w:themeColor="text1"/>
        </w:rPr>
        <w:t>iver</w:t>
      </w:r>
      <w:r w:rsidRPr="00B61220">
        <w:rPr>
          <w:rFonts w:ascii="Times New Roman" w:hAnsi="Times New Roman" w:cs="Times New Roman"/>
          <w:color w:val="000000" w:themeColor="text1"/>
        </w:rPr>
        <w:t xml:space="preserve"> så indekseret med den kvartalsvise udvikling i forhold til </w:t>
      </w:r>
      <w:r>
        <w:rPr>
          <w:rFonts w:ascii="Times New Roman" w:hAnsi="Times New Roman" w:cs="Times New Roman"/>
          <w:color w:val="000000" w:themeColor="text1"/>
        </w:rPr>
        <w:t>prisudsving på hellefisk og på B</w:t>
      </w:r>
      <w:r w:rsidRPr="00B61220">
        <w:rPr>
          <w:rFonts w:ascii="Times New Roman" w:hAnsi="Times New Roman" w:cs="Times New Roman"/>
          <w:color w:val="000000" w:themeColor="text1"/>
        </w:rPr>
        <w:t>rent</w:t>
      </w:r>
      <w:r w:rsidR="008F7BB1">
        <w:rPr>
          <w:rFonts w:ascii="Times New Roman" w:hAnsi="Times New Roman" w:cs="Times New Roman"/>
          <w:color w:val="000000" w:themeColor="text1"/>
        </w:rPr>
        <w:t>-</w:t>
      </w:r>
      <w:r w:rsidRPr="00B61220">
        <w:rPr>
          <w:rFonts w:ascii="Times New Roman" w:hAnsi="Times New Roman" w:cs="Times New Roman"/>
          <w:color w:val="000000" w:themeColor="text1"/>
        </w:rPr>
        <w:t>olie. Indhandling af hellefisk</w:t>
      </w:r>
      <w:r>
        <w:rPr>
          <w:rFonts w:ascii="Times New Roman" w:hAnsi="Times New Roman" w:cs="Times New Roman"/>
          <w:color w:val="000000" w:themeColor="text1"/>
        </w:rPr>
        <w:t xml:space="preserve"> til fiskefabrikkerne i Grønland</w:t>
      </w:r>
      <w:r w:rsidRPr="00B61220">
        <w:rPr>
          <w:rFonts w:ascii="Times New Roman" w:hAnsi="Times New Roman" w:cs="Times New Roman"/>
          <w:color w:val="000000" w:themeColor="text1"/>
        </w:rPr>
        <w:t xml:space="preserve"> fra den havgående flåde blev omfattet af den samme afgiftsmodel fra 2016.</w:t>
      </w:r>
    </w:p>
    <w:p w14:paraId="033338AE" w14:textId="77777777" w:rsidR="00A7766C" w:rsidRDefault="00A7766C" w:rsidP="00A8693E">
      <w:pPr>
        <w:spacing w:after="0" w:line="276" w:lineRule="auto"/>
        <w:rPr>
          <w:rFonts w:ascii="Times New Roman" w:hAnsi="Times New Roman" w:cs="Times New Roman"/>
        </w:rPr>
      </w:pPr>
    </w:p>
    <w:p w14:paraId="5F122B93" w14:textId="77777777" w:rsidR="00A7766C" w:rsidRDefault="00A7766C" w:rsidP="00A7766C">
      <w:pPr>
        <w:spacing w:after="0"/>
        <w:jc w:val="both"/>
        <w:rPr>
          <w:rFonts w:ascii="Times New Roman" w:hAnsi="Times New Roman" w:cs="Times New Roman"/>
          <w:color w:val="000000" w:themeColor="text1"/>
        </w:rPr>
      </w:pPr>
      <w:r>
        <w:rPr>
          <w:rFonts w:ascii="Times New Roman" w:hAnsi="Times New Roman" w:cs="Times New Roman"/>
          <w:color w:val="000000" w:themeColor="text1"/>
        </w:rPr>
        <w:t>Den 1. januar 2017 blev</w:t>
      </w:r>
      <w:r w:rsidRPr="00B61220">
        <w:rPr>
          <w:rFonts w:ascii="Times New Roman" w:hAnsi="Times New Roman" w:cs="Times New Roman"/>
          <w:color w:val="000000" w:themeColor="text1"/>
        </w:rPr>
        <w:t xml:space="preserve"> havgående fiskeri efter torsk, kuller, rødfisk og sej også afgiftsbelægge</w:t>
      </w:r>
      <w:r>
        <w:rPr>
          <w:rFonts w:ascii="Times New Roman" w:hAnsi="Times New Roman" w:cs="Times New Roman"/>
          <w:color w:val="000000" w:themeColor="text1"/>
        </w:rPr>
        <w:t>t.</w:t>
      </w:r>
      <w:r w:rsidRPr="00B61220">
        <w:rPr>
          <w:rFonts w:ascii="Times New Roman" w:hAnsi="Times New Roman" w:cs="Times New Roman"/>
          <w:color w:val="000000" w:themeColor="text1"/>
        </w:rPr>
        <w:t xml:space="preserve"> Afgiftssatsen blev sat til en fast ureguleret sats på 0,55 kr</w:t>
      </w:r>
      <w:r>
        <w:rPr>
          <w:rFonts w:ascii="Times New Roman" w:hAnsi="Times New Roman" w:cs="Times New Roman"/>
          <w:color w:val="000000" w:themeColor="text1"/>
        </w:rPr>
        <w:t xml:space="preserve">. </w:t>
      </w:r>
      <w:r w:rsidRPr="00B61220">
        <w:rPr>
          <w:rFonts w:ascii="Times New Roman" w:hAnsi="Times New Roman" w:cs="Times New Roman"/>
          <w:color w:val="000000" w:themeColor="text1"/>
        </w:rPr>
        <w:t>pr. kg fangst for alle de førnævnte arter.</w:t>
      </w:r>
    </w:p>
    <w:p w14:paraId="571E815E" w14:textId="77777777" w:rsidR="00A7766C" w:rsidRPr="00B61220" w:rsidRDefault="00A7766C" w:rsidP="00A7766C">
      <w:pPr>
        <w:spacing w:after="0"/>
        <w:jc w:val="both"/>
        <w:rPr>
          <w:rFonts w:ascii="Times New Roman" w:hAnsi="Times New Roman" w:cs="Times New Roman"/>
          <w:color w:val="000000" w:themeColor="text1"/>
          <w:lang w:val="kl-GL"/>
        </w:rPr>
      </w:pPr>
    </w:p>
    <w:p w14:paraId="4855D142" w14:textId="77777777" w:rsidR="00A7766C" w:rsidRDefault="00A7766C" w:rsidP="00A7766C">
      <w:pPr>
        <w:spacing w:after="0"/>
        <w:ind w:right="27"/>
        <w:jc w:val="both"/>
        <w:rPr>
          <w:rFonts w:ascii="Times New Roman" w:hAnsi="Times New Roman" w:cs="Times New Roman"/>
          <w:color w:val="000000" w:themeColor="text1"/>
        </w:rPr>
      </w:pPr>
      <w:r w:rsidRPr="00B61220">
        <w:rPr>
          <w:rFonts w:ascii="Times New Roman" w:hAnsi="Times New Roman" w:cs="Times New Roman"/>
          <w:color w:val="000000" w:themeColor="text1"/>
        </w:rPr>
        <w:t xml:space="preserve">Fra den 1. januar 2018 indførtes en ny ressourceafgiftsmodel for </w:t>
      </w:r>
      <w:r>
        <w:rPr>
          <w:rFonts w:ascii="Times New Roman" w:hAnsi="Times New Roman" w:cs="Times New Roman"/>
          <w:color w:val="000000" w:themeColor="text1"/>
        </w:rPr>
        <w:t xml:space="preserve">hele det havgående </w:t>
      </w:r>
      <w:r w:rsidRPr="00B61220">
        <w:rPr>
          <w:rFonts w:ascii="Times New Roman" w:hAnsi="Times New Roman" w:cs="Times New Roman"/>
          <w:color w:val="000000" w:themeColor="text1"/>
        </w:rPr>
        <w:t>fiskeri</w:t>
      </w:r>
      <w:r>
        <w:rPr>
          <w:rFonts w:ascii="Times New Roman" w:hAnsi="Times New Roman" w:cs="Times New Roman"/>
          <w:color w:val="000000" w:themeColor="text1"/>
        </w:rPr>
        <w:t xml:space="preserve"> og dele af det kystnære fiskeri</w:t>
      </w:r>
      <w:r w:rsidRPr="00B61220">
        <w:rPr>
          <w:rFonts w:ascii="Times New Roman" w:hAnsi="Times New Roman" w:cs="Times New Roman"/>
          <w:color w:val="000000" w:themeColor="text1"/>
        </w:rPr>
        <w:t xml:space="preserve"> i Grønland. Afgiftsloven omfatter kystnært fiskeri efter hellefisk og rejer</w:t>
      </w:r>
      <w:r>
        <w:rPr>
          <w:rFonts w:ascii="Times New Roman" w:hAnsi="Times New Roman" w:cs="Times New Roman"/>
          <w:color w:val="000000" w:themeColor="text1"/>
        </w:rPr>
        <w:t>. Ligeledes omfatter den</w:t>
      </w:r>
      <w:r w:rsidRPr="00B61220">
        <w:rPr>
          <w:rFonts w:ascii="Times New Roman" w:hAnsi="Times New Roman" w:cs="Times New Roman"/>
          <w:color w:val="000000" w:themeColor="text1"/>
        </w:rPr>
        <w:t xml:space="preserve"> havgående fiskeri efter rejer, hellefisk, torsk, kuller, sej og rødfisk, samt pelagisk fiskeri efter makrel, sild, lodde, blåhvilling og guldlaks. Øvrige fiskearter er ikke omfattet af afgiften.</w:t>
      </w:r>
    </w:p>
    <w:p w14:paraId="1F49B036" w14:textId="77777777" w:rsidR="00A7766C" w:rsidRPr="008F7BB1" w:rsidRDefault="00A7766C" w:rsidP="00A7766C">
      <w:pPr>
        <w:spacing w:after="0"/>
        <w:ind w:right="27"/>
        <w:jc w:val="both"/>
        <w:rPr>
          <w:rFonts w:ascii="Times New Roman" w:hAnsi="Times New Roman" w:cs="Times New Roman"/>
          <w:color w:val="000000" w:themeColor="text1"/>
          <w:lang w:val="is-IS"/>
        </w:rPr>
      </w:pPr>
    </w:p>
    <w:p w14:paraId="68F9DC49" w14:textId="77777777" w:rsidR="00A7766C" w:rsidRDefault="00A7766C" w:rsidP="00A7766C">
      <w:pPr>
        <w:spacing w:after="0"/>
        <w:ind w:right="27"/>
        <w:jc w:val="both"/>
        <w:rPr>
          <w:rFonts w:ascii="Times New Roman" w:hAnsi="Times New Roman" w:cs="Times New Roman"/>
          <w:color w:val="000000" w:themeColor="text1"/>
        </w:rPr>
      </w:pPr>
      <w:r>
        <w:rPr>
          <w:rFonts w:ascii="Times New Roman" w:hAnsi="Times New Roman" w:cs="Times New Roman"/>
          <w:color w:val="000000" w:themeColor="text1"/>
        </w:rPr>
        <w:t xml:space="preserve">I den nye model </w:t>
      </w:r>
      <w:r w:rsidR="00941B97">
        <w:rPr>
          <w:rFonts w:ascii="Times New Roman" w:hAnsi="Times New Roman" w:cs="Times New Roman"/>
          <w:color w:val="000000" w:themeColor="text1"/>
        </w:rPr>
        <w:t xml:space="preserve">for det havgående fiskeri efter hellefisk, torsk, rødfisk, kuller og sej, </w:t>
      </w:r>
      <w:r w:rsidRPr="0007535D">
        <w:rPr>
          <w:rFonts w:ascii="Times New Roman" w:hAnsi="Times New Roman" w:cs="Times New Roman"/>
          <w:color w:val="000000" w:themeColor="text1"/>
        </w:rPr>
        <w:t xml:space="preserve">skelnes </w:t>
      </w:r>
      <w:r>
        <w:rPr>
          <w:rFonts w:ascii="Times New Roman" w:hAnsi="Times New Roman" w:cs="Times New Roman"/>
          <w:color w:val="000000" w:themeColor="text1"/>
        </w:rPr>
        <w:t xml:space="preserve">der </w:t>
      </w:r>
      <w:r w:rsidRPr="0007535D">
        <w:rPr>
          <w:rFonts w:ascii="Times New Roman" w:hAnsi="Times New Roman" w:cs="Times New Roman"/>
          <w:color w:val="000000" w:themeColor="text1"/>
        </w:rPr>
        <w:t>mellem afgift på indhandling til landbaserede produktionsanlæg</w:t>
      </w:r>
      <w:r w:rsidR="00941B97">
        <w:rPr>
          <w:rFonts w:ascii="Times New Roman" w:hAnsi="Times New Roman" w:cs="Times New Roman"/>
          <w:color w:val="000000" w:themeColor="text1"/>
        </w:rPr>
        <w:t xml:space="preserve"> i Grønland</w:t>
      </w:r>
      <w:r w:rsidRPr="0007535D">
        <w:rPr>
          <w:rFonts w:ascii="Times New Roman" w:hAnsi="Times New Roman" w:cs="Times New Roman"/>
          <w:color w:val="000000" w:themeColor="text1"/>
        </w:rPr>
        <w:t xml:space="preserve"> og afgift på fangst, der forædles til havs med henblik på direkte eksport.</w:t>
      </w:r>
      <w:r>
        <w:rPr>
          <w:rFonts w:ascii="Times New Roman" w:hAnsi="Times New Roman" w:cs="Times New Roman"/>
          <w:color w:val="000000" w:themeColor="text1"/>
        </w:rPr>
        <w:t xml:space="preserve"> </w:t>
      </w:r>
    </w:p>
    <w:p w14:paraId="5484C019" w14:textId="77777777" w:rsidR="00A7766C" w:rsidRDefault="00A7766C" w:rsidP="00A7766C">
      <w:pPr>
        <w:spacing w:after="0"/>
        <w:ind w:right="27"/>
        <w:jc w:val="both"/>
        <w:rPr>
          <w:rFonts w:ascii="Times New Roman" w:hAnsi="Times New Roman" w:cs="Times New Roman"/>
          <w:color w:val="000000" w:themeColor="text1"/>
        </w:rPr>
      </w:pPr>
    </w:p>
    <w:p w14:paraId="03CA6849" w14:textId="77777777" w:rsidR="00A7766C" w:rsidRDefault="00A7766C" w:rsidP="00A7766C">
      <w:pPr>
        <w:spacing w:after="0"/>
        <w:ind w:right="27"/>
        <w:jc w:val="both"/>
        <w:rPr>
          <w:rFonts w:ascii="Times New Roman" w:hAnsi="Times New Roman" w:cs="Times New Roman"/>
          <w:color w:val="000000" w:themeColor="text1"/>
        </w:rPr>
      </w:pPr>
      <w:r w:rsidRPr="0007535D">
        <w:rPr>
          <w:rFonts w:ascii="Times New Roman" w:hAnsi="Times New Roman" w:cs="Times New Roman"/>
          <w:color w:val="000000" w:themeColor="text1"/>
        </w:rPr>
        <w:t>Indhandling af de afgiftspligtige arter fra den havgående flåde er afgiftsbelagt med en ressourceafgift på 5 pct. af indhandlingsværdien, hvis den gennemsnitlige indhandlingspris, omregnet til levende vægt, er på 8 kr.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pr. kg. eller over.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Udgør den gennemsnitlige indhandlingspris mindre end 8 kr.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 xml:space="preserve">pr., betales der i stedet en lav grundafgift på </w:t>
      </w:r>
      <w:r w:rsidR="00CC2207">
        <w:rPr>
          <w:rFonts w:ascii="Times New Roman" w:hAnsi="Times New Roman" w:cs="Times New Roman"/>
          <w:color w:val="000000" w:themeColor="text1"/>
        </w:rPr>
        <w:t>0,05 kr.</w:t>
      </w:r>
      <w:r w:rsidRPr="0007535D">
        <w:rPr>
          <w:rFonts w:ascii="Times New Roman" w:hAnsi="Times New Roman" w:cs="Times New Roman"/>
          <w:color w:val="000000" w:themeColor="text1"/>
        </w:rPr>
        <w:t xml:space="preserve">pr. kg indhandlet mængde  </w:t>
      </w:r>
    </w:p>
    <w:p w14:paraId="070F6CE6" w14:textId="77777777" w:rsidR="00066DF9" w:rsidRDefault="00066DF9" w:rsidP="00A7766C">
      <w:pPr>
        <w:spacing w:after="0"/>
        <w:ind w:right="27"/>
        <w:jc w:val="both"/>
        <w:rPr>
          <w:rFonts w:ascii="Times New Roman" w:hAnsi="Times New Roman" w:cs="Times New Roman"/>
          <w:color w:val="000000" w:themeColor="text1"/>
        </w:rPr>
      </w:pPr>
    </w:p>
    <w:p w14:paraId="75D165C1" w14:textId="77777777" w:rsidR="00066DF9" w:rsidRDefault="00066DF9" w:rsidP="00066DF9">
      <w:pPr>
        <w:spacing w:after="0"/>
        <w:ind w:right="27"/>
        <w:jc w:val="both"/>
        <w:rPr>
          <w:rFonts w:ascii="Times New Roman" w:hAnsi="Times New Roman" w:cs="Times New Roman"/>
          <w:color w:val="000000" w:themeColor="text1"/>
        </w:rPr>
      </w:pPr>
      <w:r w:rsidRPr="0007535D">
        <w:rPr>
          <w:rFonts w:ascii="Times New Roman" w:hAnsi="Times New Roman" w:cs="Times New Roman"/>
          <w:color w:val="000000" w:themeColor="text1"/>
        </w:rPr>
        <w:lastRenderedPageBreak/>
        <w:t>Ressourceafgiften udgør ved direkte eksport fra de producerende trawlere 5 pct. af eksportværdien, hvis den gennemsnitlige eksportpris, omregnet til levende vægt pr. kg, ligger imellem en pris på 12 kr.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pr. kg og op til 17 kr.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Afgiftsprocenten stiger med et procentpoint for hver påbegyndt krone gennemsnitsprisen overstiger 17 kr. pr. kg.</w:t>
      </w:r>
      <w:r w:rsidR="00F77D38">
        <w:rPr>
          <w:rFonts w:ascii="Times New Roman" w:hAnsi="Times New Roman" w:cs="Times New Roman"/>
          <w:color w:val="000000" w:themeColor="text1"/>
        </w:rPr>
        <w:t>,</w:t>
      </w:r>
      <w:r w:rsidRPr="0007535D">
        <w:rPr>
          <w:rFonts w:ascii="Times New Roman" w:hAnsi="Times New Roman" w:cs="Times New Roman"/>
          <w:color w:val="000000" w:themeColor="text1"/>
        </w:rPr>
        <w:t xml:space="preserve"> indtil prisen når en gennemsnitlig pris på 29,01 kr.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 xml:space="preserve">pr. kg svarende til et afgiftsloft </w:t>
      </w:r>
      <w:r>
        <w:rPr>
          <w:rFonts w:ascii="Times New Roman" w:hAnsi="Times New Roman" w:cs="Times New Roman"/>
          <w:color w:val="000000" w:themeColor="text1"/>
        </w:rPr>
        <w:t xml:space="preserve">på 17,9 pct. af eksportværdien. </w:t>
      </w:r>
      <w:r w:rsidRPr="0007535D">
        <w:rPr>
          <w:rFonts w:ascii="Times New Roman" w:hAnsi="Times New Roman" w:cs="Times New Roman"/>
          <w:color w:val="000000" w:themeColor="text1"/>
        </w:rPr>
        <w:t>Ligger den gennemsnitlige eksportpris under 12 kr.</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 xml:space="preserve">pr. kg svares en grundafgift på </w:t>
      </w:r>
      <w:r w:rsidR="00CC2207">
        <w:rPr>
          <w:rFonts w:ascii="Times New Roman" w:hAnsi="Times New Roman" w:cs="Times New Roman"/>
          <w:color w:val="000000" w:themeColor="text1"/>
        </w:rPr>
        <w:t>0,20</w:t>
      </w:r>
      <w:r w:rsidRPr="0007535D">
        <w:rPr>
          <w:rFonts w:ascii="Times New Roman" w:hAnsi="Times New Roman" w:cs="Times New Roman"/>
          <w:color w:val="000000" w:themeColor="text1"/>
        </w:rPr>
        <w:t>øre</w:t>
      </w:r>
      <w:r>
        <w:rPr>
          <w:rFonts w:ascii="Times New Roman" w:hAnsi="Times New Roman" w:cs="Times New Roman"/>
          <w:color w:val="000000" w:themeColor="text1"/>
        </w:rPr>
        <w:t xml:space="preserve"> </w:t>
      </w:r>
      <w:r w:rsidRPr="0007535D">
        <w:rPr>
          <w:rFonts w:ascii="Times New Roman" w:hAnsi="Times New Roman" w:cs="Times New Roman"/>
          <w:color w:val="000000" w:themeColor="text1"/>
        </w:rPr>
        <w:t>pr. kg eksporteret mængde.</w:t>
      </w:r>
    </w:p>
    <w:p w14:paraId="7D3991C6" w14:textId="77777777" w:rsidR="001C34AF" w:rsidRDefault="001C34AF" w:rsidP="00066DF9">
      <w:pPr>
        <w:spacing w:after="0"/>
        <w:ind w:right="27"/>
        <w:jc w:val="both"/>
        <w:rPr>
          <w:rFonts w:ascii="Times New Roman" w:hAnsi="Times New Roman" w:cs="Times New Roman"/>
          <w:color w:val="000000" w:themeColor="text1"/>
        </w:rPr>
      </w:pPr>
    </w:p>
    <w:p w14:paraId="249A5217" w14:textId="77777777" w:rsidR="000A00F6" w:rsidRDefault="00066DF9" w:rsidP="00A7766C">
      <w:pPr>
        <w:spacing w:after="0"/>
        <w:ind w:right="27"/>
        <w:jc w:val="both"/>
        <w:rPr>
          <w:rFonts w:ascii="Times New Roman" w:hAnsi="Times New Roman" w:cs="Times New Roman"/>
          <w:color w:val="000000" w:themeColor="text1"/>
        </w:rPr>
      </w:pPr>
      <w:r w:rsidRPr="00066DF9">
        <w:rPr>
          <w:rFonts w:ascii="Times New Roman" w:hAnsi="Times New Roman" w:cs="Times New Roman"/>
          <w:color w:val="000000" w:themeColor="text1"/>
        </w:rPr>
        <w:t xml:space="preserve">Figur </w:t>
      </w:r>
      <w:r w:rsidR="00801EFF">
        <w:rPr>
          <w:rFonts w:ascii="Times New Roman" w:hAnsi="Times New Roman" w:cs="Times New Roman"/>
          <w:color w:val="000000" w:themeColor="text1"/>
        </w:rPr>
        <w:t>2</w:t>
      </w:r>
      <w:r w:rsidRPr="00066DF9">
        <w:rPr>
          <w:rFonts w:ascii="Times New Roman" w:hAnsi="Times New Roman" w:cs="Times New Roman"/>
          <w:color w:val="000000" w:themeColor="text1"/>
        </w:rPr>
        <w:t xml:space="preserve"> viser udviklingen i provenuet fra ressourceafgifterne på det havgående fiskeri i perioden 2013-2020.</w:t>
      </w:r>
      <w:r w:rsidR="000A00F6">
        <w:rPr>
          <w:rFonts w:ascii="Times New Roman" w:hAnsi="Times New Roman" w:cs="Times New Roman"/>
          <w:color w:val="000000" w:themeColor="text1"/>
        </w:rPr>
        <w:t xml:space="preserve"> Det fremgår af figuren</w:t>
      </w:r>
      <w:r w:rsidR="00F77D38">
        <w:rPr>
          <w:rFonts w:ascii="Times New Roman" w:hAnsi="Times New Roman" w:cs="Times New Roman"/>
          <w:color w:val="000000" w:themeColor="text1"/>
        </w:rPr>
        <w:t>,</w:t>
      </w:r>
      <w:r w:rsidR="000A00F6">
        <w:rPr>
          <w:rFonts w:ascii="Times New Roman" w:hAnsi="Times New Roman" w:cs="Times New Roman"/>
          <w:color w:val="000000" w:themeColor="text1"/>
        </w:rPr>
        <w:t xml:space="preserve"> at det samlede provenu fra ressourceafgifterne på det havgående hvidfisk fiskeri steg fra 19 mio.kr. i 2013 til 97 mio.kr. i 2019, svarende til en stigning på hele 416 pct. Provenuet faldt i 2020 til 85 mio.kr.</w:t>
      </w:r>
      <w:r w:rsidR="00F77D38">
        <w:rPr>
          <w:rFonts w:ascii="Times New Roman" w:hAnsi="Times New Roman" w:cs="Times New Roman"/>
          <w:color w:val="000000" w:themeColor="text1"/>
        </w:rPr>
        <w:t>, hvilket</w:t>
      </w:r>
      <w:r w:rsidR="000A00F6">
        <w:rPr>
          <w:rFonts w:ascii="Times New Roman" w:hAnsi="Times New Roman" w:cs="Times New Roman"/>
          <w:color w:val="000000" w:themeColor="text1"/>
        </w:rPr>
        <w:t xml:space="preserve"> hovedsagligt skyldes lavere priser følge </w:t>
      </w:r>
      <w:r w:rsidR="001C34AF">
        <w:rPr>
          <w:rFonts w:ascii="Times New Roman" w:hAnsi="Times New Roman" w:cs="Times New Roman"/>
        </w:rPr>
        <w:t>COVID-pandemien</w:t>
      </w:r>
      <w:r w:rsidR="000A00F6">
        <w:rPr>
          <w:rFonts w:ascii="Times New Roman" w:hAnsi="Times New Roman" w:cs="Times New Roman"/>
          <w:color w:val="000000" w:themeColor="text1"/>
        </w:rPr>
        <w:t>.</w:t>
      </w:r>
    </w:p>
    <w:p w14:paraId="4F4C0B41" w14:textId="77777777" w:rsidR="000A00F6" w:rsidRDefault="000A00F6" w:rsidP="00A7766C">
      <w:pPr>
        <w:spacing w:after="0"/>
        <w:ind w:right="27"/>
        <w:jc w:val="both"/>
        <w:rPr>
          <w:rFonts w:ascii="Times New Roman" w:hAnsi="Times New Roman" w:cs="Times New Roman"/>
          <w:color w:val="000000" w:themeColor="text1"/>
        </w:rPr>
      </w:pPr>
    </w:p>
    <w:p w14:paraId="3358A0B8" w14:textId="77777777" w:rsidR="00066DF9" w:rsidRPr="00066DF9" w:rsidRDefault="00EC1817" w:rsidP="00A7766C">
      <w:pPr>
        <w:spacing w:after="0"/>
        <w:ind w:right="27"/>
        <w:jc w:val="both"/>
        <w:rPr>
          <w:rFonts w:ascii="Times New Roman" w:hAnsi="Times New Roman" w:cs="Times New Roman"/>
          <w:color w:val="000000" w:themeColor="text1"/>
        </w:rPr>
      </w:pPr>
      <w:r>
        <w:rPr>
          <w:rFonts w:ascii="Times New Roman" w:hAnsi="Times New Roman" w:cs="Times New Roman"/>
          <w:color w:val="000000" w:themeColor="text1"/>
        </w:rPr>
        <w:t>D</w:t>
      </w:r>
      <w:r w:rsidR="000A00F6">
        <w:rPr>
          <w:rFonts w:ascii="Times New Roman" w:hAnsi="Times New Roman" w:cs="Times New Roman"/>
          <w:color w:val="000000" w:themeColor="text1"/>
        </w:rPr>
        <w:t>e største indtægter fra ressourceafgifter</w:t>
      </w:r>
      <w:r>
        <w:rPr>
          <w:rFonts w:ascii="Times New Roman" w:hAnsi="Times New Roman" w:cs="Times New Roman"/>
          <w:color w:val="000000" w:themeColor="text1"/>
        </w:rPr>
        <w:t>ne</w:t>
      </w:r>
      <w:r w:rsidR="000A00F6">
        <w:rPr>
          <w:rFonts w:ascii="Times New Roman" w:hAnsi="Times New Roman" w:cs="Times New Roman"/>
          <w:color w:val="000000" w:themeColor="text1"/>
        </w:rPr>
        <w:t xml:space="preserve"> kommer fra hellefisken. Provenuet fra hellefiskeafgiften i perioden 2013-2017 </w:t>
      </w:r>
      <w:r>
        <w:rPr>
          <w:rFonts w:ascii="Times New Roman" w:hAnsi="Times New Roman" w:cs="Times New Roman"/>
          <w:color w:val="000000" w:themeColor="text1"/>
        </w:rPr>
        <w:t xml:space="preserve">lå </w:t>
      </w:r>
      <w:r w:rsidR="000A00F6">
        <w:rPr>
          <w:rFonts w:ascii="Times New Roman" w:hAnsi="Times New Roman" w:cs="Times New Roman"/>
          <w:color w:val="000000" w:themeColor="text1"/>
        </w:rPr>
        <w:t xml:space="preserve">årligt mellem 19 og 30 mio.kr. </w:t>
      </w:r>
      <w:r w:rsidR="00F77D38">
        <w:rPr>
          <w:rFonts w:ascii="Times New Roman" w:hAnsi="Times New Roman" w:cs="Times New Roman"/>
          <w:color w:val="000000" w:themeColor="text1"/>
        </w:rPr>
        <w:t>Da</w:t>
      </w:r>
      <w:r w:rsidR="000A00F6">
        <w:rPr>
          <w:rFonts w:ascii="Times New Roman" w:hAnsi="Times New Roman" w:cs="Times New Roman"/>
          <w:color w:val="000000" w:themeColor="text1"/>
        </w:rPr>
        <w:t xml:space="preserve"> den nye ressourceafgiftsmodel blev indført i 2018</w:t>
      </w:r>
      <w:r w:rsidR="00F77D38">
        <w:rPr>
          <w:rFonts w:ascii="Times New Roman" w:hAnsi="Times New Roman" w:cs="Times New Roman"/>
          <w:color w:val="000000" w:themeColor="text1"/>
        </w:rPr>
        <w:t>,</w:t>
      </w:r>
      <w:r w:rsidR="000A00F6">
        <w:rPr>
          <w:rFonts w:ascii="Times New Roman" w:hAnsi="Times New Roman" w:cs="Times New Roman"/>
          <w:color w:val="000000" w:themeColor="text1"/>
        </w:rPr>
        <w:t xml:space="preserve"> steg afgiften fra 24 mio.kr. i 2017 til </w:t>
      </w:r>
      <w:r>
        <w:rPr>
          <w:rFonts w:ascii="Times New Roman" w:hAnsi="Times New Roman" w:cs="Times New Roman"/>
          <w:color w:val="000000" w:themeColor="text1"/>
        </w:rPr>
        <w:t xml:space="preserve">mellem </w:t>
      </w:r>
      <w:r w:rsidR="000A00F6">
        <w:rPr>
          <w:rFonts w:ascii="Times New Roman" w:hAnsi="Times New Roman" w:cs="Times New Roman"/>
          <w:color w:val="000000" w:themeColor="text1"/>
        </w:rPr>
        <w:t>63</w:t>
      </w:r>
      <w:r>
        <w:rPr>
          <w:rFonts w:ascii="Times New Roman" w:hAnsi="Times New Roman" w:cs="Times New Roman"/>
          <w:color w:val="000000" w:themeColor="text1"/>
        </w:rPr>
        <w:t>-70</w:t>
      </w:r>
      <w:r w:rsidR="000A00F6">
        <w:rPr>
          <w:rFonts w:ascii="Times New Roman" w:hAnsi="Times New Roman" w:cs="Times New Roman"/>
          <w:color w:val="000000" w:themeColor="text1"/>
        </w:rPr>
        <w:t xml:space="preserve"> mio.kr. i 2018</w:t>
      </w:r>
      <w:r>
        <w:rPr>
          <w:rFonts w:ascii="Times New Roman" w:hAnsi="Times New Roman" w:cs="Times New Roman"/>
          <w:color w:val="000000" w:themeColor="text1"/>
        </w:rPr>
        <w:t>-2020</w:t>
      </w:r>
      <w:r w:rsidR="000A00F6">
        <w:rPr>
          <w:rFonts w:ascii="Times New Roman" w:hAnsi="Times New Roman" w:cs="Times New Roman"/>
          <w:color w:val="000000" w:themeColor="text1"/>
        </w:rPr>
        <w:t xml:space="preserve">. </w:t>
      </w:r>
    </w:p>
    <w:p w14:paraId="6A1A8018" w14:textId="77777777" w:rsidR="00066DF9" w:rsidRPr="00066DF9" w:rsidRDefault="00066DF9" w:rsidP="00A7766C">
      <w:pPr>
        <w:spacing w:after="0"/>
        <w:ind w:right="27"/>
        <w:jc w:val="both"/>
        <w:rPr>
          <w:rFonts w:ascii="Times New Roman" w:hAnsi="Times New Roman" w:cs="Times New Roman"/>
          <w:color w:val="000000" w:themeColor="text1"/>
        </w:rPr>
      </w:pPr>
    </w:p>
    <w:p w14:paraId="15B0FCFA" w14:textId="47015A58" w:rsidR="00066DF9" w:rsidRPr="00066DF9" w:rsidRDefault="00B1675D" w:rsidP="00A7766C">
      <w:pPr>
        <w:spacing w:after="0"/>
        <w:ind w:right="27"/>
        <w:jc w:val="both"/>
        <w:rPr>
          <w:rFonts w:ascii="Times New Roman" w:hAnsi="Times New Roman" w:cs="Times New Roman"/>
          <w:color w:val="000000" w:themeColor="text1"/>
        </w:rPr>
      </w:pPr>
      <w:r>
        <w:rPr>
          <w:rFonts w:ascii="Times New Roman" w:hAnsi="Times New Roman" w:cs="Times New Roman"/>
          <w:color w:val="000000" w:themeColor="text1"/>
        </w:rPr>
        <w:t xml:space="preserve">Figur </w:t>
      </w:r>
      <w:r w:rsidR="00801EFF">
        <w:rPr>
          <w:rFonts w:ascii="Times New Roman" w:hAnsi="Times New Roman" w:cs="Times New Roman"/>
          <w:color w:val="000000" w:themeColor="text1"/>
        </w:rPr>
        <w:t>2</w:t>
      </w:r>
      <w:r w:rsidR="00066DF9" w:rsidRPr="00066DF9">
        <w:rPr>
          <w:rFonts w:ascii="Times New Roman" w:hAnsi="Times New Roman" w:cs="Times New Roman"/>
          <w:color w:val="000000" w:themeColor="text1"/>
        </w:rPr>
        <w:t xml:space="preserve">: Udvikling i provenu fra ressourceafgifter på </w:t>
      </w:r>
      <w:proofErr w:type="spellStart"/>
      <w:r w:rsidR="00066DF9" w:rsidRPr="00066DF9">
        <w:rPr>
          <w:rFonts w:ascii="Times New Roman" w:hAnsi="Times New Roman" w:cs="Times New Roman"/>
          <w:color w:val="000000" w:themeColor="text1"/>
        </w:rPr>
        <w:t>hvidfiskfiskeriet</w:t>
      </w:r>
      <w:proofErr w:type="spellEnd"/>
      <w:r w:rsidR="00066DF9" w:rsidRPr="00066DF9">
        <w:rPr>
          <w:rFonts w:ascii="Times New Roman" w:hAnsi="Times New Roman" w:cs="Times New Roman"/>
          <w:color w:val="000000" w:themeColor="text1"/>
        </w:rPr>
        <w:t>, 2013-2020.</w:t>
      </w:r>
    </w:p>
    <w:p w14:paraId="41E5B7A5" w14:textId="77777777" w:rsidR="00066DF9" w:rsidRDefault="00066DF9" w:rsidP="00A7766C">
      <w:pPr>
        <w:spacing w:after="0"/>
        <w:ind w:right="27"/>
        <w:jc w:val="both"/>
        <w:rPr>
          <w:rFonts w:ascii="Times New Roman" w:hAnsi="Times New Roman" w:cs="Times New Roman"/>
          <w:color w:val="000000" w:themeColor="text1"/>
          <w:sz w:val="18"/>
          <w:szCs w:val="18"/>
        </w:rPr>
      </w:pPr>
    </w:p>
    <w:p w14:paraId="24C310F5" w14:textId="77777777" w:rsidR="00A7766C" w:rsidRDefault="00A7766C" w:rsidP="00A7766C">
      <w:pPr>
        <w:spacing w:after="0"/>
        <w:ind w:right="27"/>
        <w:jc w:val="both"/>
        <w:rPr>
          <w:rFonts w:ascii="Times New Roman" w:hAnsi="Times New Roman" w:cs="Times New Roman"/>
          <w:color w:val="000000" w:themeColor="text1"/>
        </w:rPr>
      </w:pPr>
      <w:r w:rsidRPr="0007535D">
        <w:rPr>
          <w:rFonts w:ascii="Times New Roman" w:hAnsi="Times New Roman" w:cs="Times New Roman"/>
          <w:color w:val="000000" w:themeColor="text1"/>
        </w:rPr>
        <w:t xml:space="preserve"> </w:t>
      </w:r>
      <w:r w:rsidR="00C159CA">
        <w:rPr>
          <w:noProof/>
          <w:lang w:eastAsia="da-DK"/>
        </w:rPr>
        <w:drawing>
          <wp:inline distT="0" distB="0" distL="0" distR="0" wp14:anchorId="5222CF9B" wp14:editId="1C83505E">
            <wp:extent cx="6038850" cy="34099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6E3C93" w14:textId="77777777" w:rsidR="00A7766C" w:rsidRPr="00AE39D5" w:rsidRDefault="00AE39D5" w:rsidP="00A7766C">
      <w:pPr>
        <w:spacing w:after="0"/>
        <w:jc w:val="both"/>
        <w:rPr>
          <w:rFonts w:ascii="Times New Roman" w:hAnsi="Times New Roman" w:cs="Times New Roman"/>
          <w:sz w:val="20"/>
          <w:szCs w:val="20"/>
        </w:rPr>
      </w:pPr>
      <w:r w:rsidRPr="00AE39D5">
        <w:rPr>
          <w:rFonts w:ascii="Times New Roman" w:hAnsi="Times New Roman" w:cs="Times New Roman"/>
          <w:sz w:val="20"/>
          <w:szCs w:val="20"/>
        </w:rPr>
        <w:t>Kilde: Skattestyrelsen.</w:t>
      </w:r>
    </w:p>
    <w:p w14:paraId="2216CEBD" w14:textId="77777777" w:rsidR="0049372F" w:rsidRDefault="0049372F" w:rsidP="00A8693E">
      <w:pPr>
        <w:spacing w:after="0" w:line="276" w:lineRule="auto"/>
        <w:rPr>
          <w:rFonts w:ascii="Times New Roman" w:hAnsi="Times New Roman" w:cs="Times New Roman"/>
        </w:rPr>
      </w:pPr>
    </w:p>
    <w:p w14:paraId="6005DB63" w14:textId="77777777" w:rsidR="0049372F" w:rsidRDefault="0049372F" w:rsidP="00A8693E">
      <w:pPr>
        <w:spacing w:after="0" w:line="276" w:lineRule="auto"/>
        <w:rPr>
          <w:rFonts w:ascii="Times New Roman" w:hAnsi="Times New Roman" w:cs="Times New Roman"/>
        </w:rPr>
      </w:pPr>
    </w:p>
    <w:p w14:paraId="5BBE3DAE" w14:textId="77777777" w:rsidR="0049372F" w:rsidRDefault="0049372F" w:rsidP="00A8693E">
      <w:pPr>
        <w:spacing w:after="0" w:line="276" w:lineRule="auto"/>
        <w:rPr>
          <w:rFonts w:ascii="Times New Roman" w:hAnsi="Times New Roman" w:cs="Times New Roman"/>
        </w:rPr>
      </w:pPr>
    </w:p>
    <w:p w14:paraId="2C511873" w14:textId="77777777" w:rsidR="0049372F" w:rsidRDefault="0049372F" w:rsidP="00A8693E">
      <w:pPr>
        <w:spacing w:after="0" w:line="276" w:lineRule="auto"/>
        <w:rPr>
          <w:rFonts w:ascii="Times New Roman" w:hAnsi="Times New Roman" w:cs="Times New Roman"/>
        </w:rPr>
      </w:pPr>
    </w:p>
    <w:p w14:paraId="3E23BE42" w14:textId="77777777" w:rsidR="0049372F" w:rsidRDefault="0049372F" w:rsidP="00A8693E">
      <w:pPr>
        <w:spacing w:after="0" w:line="276" w:lineRule="auto"/>
        <w:rPr>
          <w:rFonts w:ascii="Times New Roman" w:hAnsi="Times New Roman" w:cs="Times New Roman"/>
        </w:rPr>
      </w:pPr>
    </w:p>
    <w:p w14:paraId="7C46B294" w14:textId="77777777" w:rsidR="00AE39D5" w:rsidRDefault="00AE39D5" w:rsidP="00A8693E">
      <w:pPr>
        <w:spacing w:after="0" w:line="276" w:lineRule="auto"/>
        <w:rPr>
          <w:rFonts w:ascii="Times New Roman" w:hAnsi="Times New Roman" w:cs="Times New Roman"/>
        </w:rPr>
      </w:pPr>
    </w:p>
    <w:p w14:paraId="3F3DD858" w14:textId="77777777" w:rsidR="00AE39D5" w:rsidRDefault="00AE39D5" w:rsidP="00A8693E">
      <w:pPr>
        <w:spacing w:after="0" w:line="276" w:lineRule="auto"/>
        <w:rPr>
          <w:rFonts w:ascii="Times New Roman" w:hAnsi="Times New Roman" w:cs="Times New Roman"/>
        </w:rPr>
      </w:pPr>
    </w:p>
    <w:p w14:paraId="42A1761E" w14:textId="77777777" w:rsidR="00AE39D5" w:rsidRDefault="00AE39D5" w:rsidP="00A8693E">
      <w:pPr>
        <w:spacing w:after="0" w:line="276" w:lineRule="auto"/>
        <w:rPr>
          <w:rFonts w:ascii="Times New Roman" w:hAnsi="Times New Roman" w:cs="Times New Roman"/>
        </w:rPr>
      </w:pPr>
    </w:p>
    <w:p w14:paraId="473D480C" w14:textId="77777777" w:rsidR="00AE39D5" w:rsidRDefault="00AE39D5" w:rsidP="00A8693E">
      <w:pPr>
        <w:spacing w:after="0" w:line="276" w:lineRule="auto"/>
        <w:rPr>
          <w:rFonts w:ascii="Times New Roman" w:hAnsi="Times New Roman" w:cs="Times New Roman"/>
        </w:rPr>
      </w:pPr>
    </w:p>
    <w:p w14:paraId="1501C476" w14:textId="77777777" w:rsidR="00AE39D5" w:rsidRDefault="00AE39D5" w:rsidP="00A8693E">
      <w:pPr>
        <w:spacing w:after="0" w:line="276" w:lineRule="auto"/>
        <w:rPr>
          <w:rFonts w:ascii="Times New Roman" w:hAnsi="Times New Roman" w:cs="Times New Roman"/>
        </w:rPr>
      </w:pPr>
    </w:p>
    <w:p w14:paraId="7FDA9D02" w14:textId="77777777" w:rsidR="00AE39D5" w:rsidRDefault="00AE39D5" w:rsidP="00A8693E">
      <w:pPr>
        <w:spacing w:after="0" w:line="276" w:lineRule="auto"/>
        <w:rPr>
          <w:rFonts w:ascii="Times New Roman" w:hAnsi="Times New Roman" w:cs="Times New Roman"/>
        </w:rPr>
      </w:pPr>
    </w:p>
    <w:p w14:paraId="00C65423" w14:textId="77777777" w:rsidR="00AE39D5" w:rsidRDefault="00AE39D5" w:rsidP="00A8693E">
      <w:pPr>
        <w:spacing w:after="0" w:line="276" w:lineRule="auto"/>
        <w:rPr>
          <w:rFonts w:ascii="Times New Roman" w:hAnsi="Times New Roman" w:cs="Times New Roman"/>
        </w:rPr>
      </w:pPr>
    </w:p>
    <w:p w14:paraId="53966050" w14:textId="3492FBBA" w:rsidR="006C19B3" w:rsidRPr="0049372F" w:rsidRDefault="006C19B3" w:rsidP="006C19B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Pr="0049372F">
        <w:rPr>
          <w:rFonts w:ascii="Times New Roman" w:hAnsi="Times New Roman" w:cs="Times New Roman"/>
          <w:b/>
          <w:sz w:val="24"/>
          <w:szCs w:val="24"/>
        </w:rPr>
        <w:t xml:space="preserve"> Udfordringer i </w:t>
      </w:r>
      <w:proofErr w:type="spellStart"/>
      <w:r w:rsidRPr="0049372F">
        <w:rPr>
          <w:rFonts w:ascii="Times New Roman" w:hAnsi="Times New Roman" w:cs="Times New Roman"/>
          <w:b/>
          <w:sz w:val="24"/>
          <w:szCs w:val="24"/>
        </w:rPr>
        <w:t>hvidfiskiskeriet</w:t>
      </w:r>
      <w:proofErr w:type="spellEnd"/>
    </w:p>
    <w:p w14:paraId="4AF9AD3D" w14:textId="77777777" w:rsidR="00823BAF" w:rsidRDefault="00823BAF" w:rsidP="006C19B3">
      <w:pPr>
        <w:spacing w:after="0" w:line="276" w:lineRule="auto"/>
        <w:jc w:val="both"/>
        <w:rPr>
          <w:rFonts w:ascii="Times New Roman" w:hAnsi="Times New Roman" w:cs="Times New Roman"/>
        </w:rPr>
      </w:pPr>
      <w:r>
        <w:rPr>
          <w:rFonts w:ascii="Times New Roman" w:hAnsi="Times New Roman" w:cs="Times New Roman"/>
        </w:rPr>
        <w:t>Det er positiv</w:t>
      </w:r>
      <w:r w:rsidR="0064210C">
        <w:rPr>
          <w:rFonts w:ascii="Times New Roman" w:hAnsi="Times New Roman" w:cs="Times New Roman"/>
        </w:rPr>
        <w:t>t,</w:t>
      </w:r>
      <w:r>
        <w:rPr>
          <w:rFonts w:ascii="Times New Roman" w:hAnsi="Times New Roman" w:cs="Times New Roman"/>
        </w:rPr>
        <w:t xml:space="preserve"> at TAC for havgående hellefisk og rødfisk i Grønlands farvand fastsættes i overensstemmelse med den biologiske rådgivning. </w:t>
      </w:r>
    </w:p>
    <w:p w14:paraId="6777C9BC" w14:textId="77777777" w:rsidR="00823BAF" w:rsidRDefault="00823BAF" w:rsidP="006C19B3">
      <w:pPr>
        <w:spacing w:after="0" w:line="276" w:lineRule="auto"/>
        <w:jc w:val="both"/>
        <w:rPr>
          <w:rFonts w:ascii="Times New Roman" w:hAnsi="Times New Roman" w:cs="Times New Roman"/>
        </w:rPr>
      </w:pPr>
    </w:p>
    <w:p w14:paraId="7983238F" w14:textId="05CFEDE2" w:rsidR="00823BAF" w:rsidRPr="00FB61E7" w:rsidRDefault="00823BAF" w:rsidP="00823BAF">
      <w:pPr>
        <w:spacing w:after="0" w:line="276" w:lineRule="auto"/>
        <w:jc w:val="both"/>
        <w:rPr>
          <w:rFonts w:ascii="Times New Roman" w:hAnsi="Times New Roman" w:cs="Times New Roman"/>
        </w:rPr>
      </w:pPr>
      <w:r>
        <w:rPr>
          <w:rFonts w:ascii="Times New Roman" w:hAnsi="Times New Roman" w:cs="Times New Roman"/>
        </w:rPr>
        <w:t>TAC’en for den havgående torsk fastsættes ikke på en bæredygtig måde</w:t>
      </w:r>
      <w:r w:rsidR="0064210C">
        <w:rPr>
          <w:rFonts w:ascii="Times New Roman" w:hAnsi="Times New Roman" w:cs="Times New Roman"/>
        </w:rPr>
        <w:t>, dvs. ikke i overensstemmelse med den biologiske rådgivning,</w:t>
      </w:r>
      <w:r>
        <w:rPr>
          <w:rFonts w:ascii="Times New Roman" w:hAnsi="Times New Roman" w:cs="Times New Roman"/>
        </w:rPr>
        <w:t xml:space="preserve"> og har gennem mange år </w:t>
      </w:r>
      <w:r w:rsidR="0064210C">
        <w:rPr>
          <w:rFonts w:ascii="Times New Roman" w:hAnsi="Times New Roman" w:cs="Times New Roman"/>
        </w:rPr>
        <w:t xml:space="preserve">været </w:t>
      </w:r>
      <w:r>
        <w:rPr>
          <w:rFonts w:ascii="Times New Roman" w:hAnsi="Times New Roman" w:cs="Times New Roman"/>
        </w:rPr>
        <w:t>fastsat væsentligt over den biologiske rådgivning. Trods det</w:t>
      </w:r>
      <w:r w:rsidR="0064210C">
        <w:rPr>
          <w:rFonts w:ascii="Times New Roman" w:hAnsi="Times New Roman" w:cs="Times New Roman"/>
        </w:rPr>
        <w:t>te</w:t>
      </w:r>
      <w:r>
        <w:rPr>
          <w:rFonts w:ascii="Times New Roman" w:hAnsi="Times New Roman" w:cs="Times New Roman"/>
        </w:rPr>
        <w:t xml:space="preserve"> er </w:t>
      </w:r>
      <w:r w:rsidR="0064210C">
        <w:rPr>
          <w:rFonts w:ascii="Times New Roman" w:hAnsi="Times New Roman" w:cs="Times New Roman"/>
        </w:rPr>
        <w:t xml:space="preserve">der </w:t>
      </w:r>
      <w:r>
        <w:rPr>
          <w:rFonts w:ascii="Times New Roman" w:hAnsi="Times New Roman" w:cs="Times New Roman"/>
        </w:rPr>
        <w:t xml:space="preserve">udarbejdet </w:t>
      </w:r>
      <w:r w:rsidR="0064210C">
        <w:rPr>
          <w:rFonts w:ascii="Times New Roman" w:hAnsi="Times New Roman" w:cs="Times New Roman"/>
        </w:rPr>
        <w:t xml:space="preserve">en </w:t>
      </w:r>
      <w:r>
        <w:rPr>
          <w:rFonts w:ascii="Times New Roman" w:hAnsi="Times New Roman" w:cs="Times New Roman"/>
        </w:rPr>
        <w:t>forvaltningsplan for det havgående torskefiskeri</w:t>
      </w:r>
      <w:r w:rsidR="0064210C">
        <w:rPr>
          <w:rFonts w:ascii="Times New Roman" w:hAnsi="Times New Roman" w:cs="Times New Roman"/>
        </w:rPr>
        <w:t xml:space="preserve"> og </w:t>
      </w:r>
      <w:r>
        <w:rPr>
          <w:rFonts w:ascii="Times New Roman" w:hAnsi="Times New Roman" w:cs="Times New Roman"/>
        </w:rPr>
        <w:t xml:space="preserve">torskekvoten i forvaltningsplanen </w:t>
      </w:r>
      <w:r w:rsidR="0064210C">
        <w:rPr>
          <w:rFonts w:ascii="Times New Roman" w:hAnsi="Times New Roman" w:cs="Times New Roman"/>
        </w:rPr>
        <w:t xml:space="preserve">fastlægges </w:t>
      </w:r>
      <w:r>
        <w:rPr>
          <w:rFonts w:ascii="Times New Roman" w:hAnsi="Times New Roman" w:cs="Times New Roman"/>
        </w:rPr>
        <w:t>langt over rådgivningen</w:t>
      </w:r>
      <w:r w:rsidR="0064210C">
        <w:rPr>
          <w:rFonts w:ascii="Times New Roman" w:hAnsi="Times New Roman" w:cs="Times New Roman"/>
        </w:rPr>
        <w:t>,</w:t>
      </w:r>
      <w:r>
        <w:rPr>
          <w:rFonts w:ascii="Times New Roman" w:hAnsi="Times New Roman" w:cs="Times New Roman"/>
        </w:rPr>
        <w:t xml:space="preserve"> selvom forvaltningsplanen indledningsvis beskriver målsætningen om sikring af et bæredygtigt fiskeri.</w:t>
      </w:r>
    </w:p>
    <w:p w14:paraId="36F8253A" w14:textId="77777777" w:rsidR="00823BAF" w:rsidRDefault="00823BAF" w:rsidP="006C19B3">
      <w:pPr>
        <w:spacing w:after="0" w:line="276" w:lineRule="auto"/>
        <w:jc w:val="both"/>
        <w:rPr>
          <w:rFonts w:ascii="Times New Roman" w:hAnsi="Times New Roman" w:cs="Times New Roman"/>
        </w:rPr>
      </w:pPr>
    </w:p>
    <w:p w14:paraId="68B8FAB5" w14:textId="4A12BE55" w:rsidR="00B77308" w:rsidRDefault="006C19B3" w:rsidP="006C19B3">
      <w:pPr>
        <w:spacing w:after="0" w:line="276" w:lineRule="auto"/>
        <w:jc w:val="both"/>
        <w:rPr>
          <w:rFonts w:ascii="Times New Roman" w:hAnsi="Times New Roman" w:cs="Times New Roman"/>
        </w:rPr>
      </w:pPr>
      <w:r>
        <w:rPr>
          <w:rFonts w:ascii="Times New Roman" w:hAnsi="Times New Roman" w:cs="Times New Roman"/>
        </w:rPr>
        <w:t>Selskaberne</w:t>
      </w:r>
      <w:r w:rsidR="00E21396">
        <w:rPr>
          <w:rFonts w:ascii="Times New Roman" w:hAnsi="Times New Roman" w:cs="Times New Roman"/>
        </w:rPr>
        <w:t>,</w:t>
      </w:r>
      <w:r w:rsidR="00B77308">
        <w:rPr>
          <w:rFonts w:ascii="Times New Roman" w:hAnsi="Times New Roman" w:cs="Times New Roman"/>
        </w:rPr>
        <w:t xml:space="preserve"> </w:t>
      </w:r>
      <w:r w:rsidR="00E21396">
        <w:rPr>
          <w:rFonts w:ascii="Times New Roman" w:hAnsi="Times New Roman" w:cs="Times New Roman"/>
        </w:rPr>
        <w:t>der</w:t>
      </w:r>
      <w:r>
        <w:rPr>
          <w:rFonts w:ascii="Times New Roman" w:hAnsi="Times New Roman" w:cs="Times New Roman"/>
        </w:rPr>
        <w:t xml:space="preserve"> deltager i det havgående </w:t>
      </w:r>
      <w:proofErr w:type="spellStart"/>
      <w:r>
        <w:rPr>
          <w:rFonts w:ascii="Times New Roman" w:hAnsi="Times New Roman" w:cs="Times New Roman"/>
        </w:rPr>
        <w:t>hvidfiskfiskeri</w:t>
      </w:r>
      <w:proofErr w:type="spellEnd"/>
      <w:r>
        <w:rPr>
          <w:rFonts w:ascii="Times New Roman" w:hAnsi="Times New Roman" w:cs="Times New Roman"/>
        </w:rPr>
        <w:t xml:space="preserve"> i Vestgrønland, Østgrønland og Barentshavet</w:t>
      </w:r>
      <w:r w:rsidR="00E21396">
        <w:rPr>
          <w:rFonts w:ascii="Times New Roman" w:hAnsi="Times New Roman" w:cs="Times New Roman"/>
        </w:rPr>
        <w:t>,</w:t>
      </w:r>
      <w:r>
        <w:rPr>
          <w:rFonts w:ascii="Times New Roman" w:hAnsi="Times New Roman" w:cs="Times New Roman"/>
        </w:rPr>
        <w:t xml:space="preserve"> har den udfordring</w:t>
      </w:r>
      <w:r w:rsidR="00E21396">
        <w:rPr>
          <w:rFonts w:ascii="Times New Roman" w:hAnsi="Times New Roman" w:cs="Times New Roman"/>
        </w:rPr>
        <w:t>,</w:t>
      </w:r>
      <w:r>
        <w:rPr>
          <w:rFonts w:ascii="Times New Roman" w:hAnsi="Times New Roman" w:cs="Times New Roman"/>
        </w:rPr>
        <w:t xml:space="preserve"> at de kun tildeles ikke</w:t>
      </w:r>
      <w:r w:rsidR="0064210C">
        <w:rPr>
          <w:rFonts w:ascii="Times New Roman" w:hAnsi="Times New Roman" w:cs="Times New Roman"/>
        </w:rPr>
        <w:t>-</w:t>
      </w:r>
      <w:r>
        <w:rPr>
          <w:rFonts w:ascii="Times New Roman" w:hAnsi="Times New Roman" w:cs="Times New Roman"/>
        </w:rPr>
        <w:t xml:space="preserve">omsættelige kvoter for et år ad gangen. </w:t>
      </w:r>
    </w:p>
    <w:p w14:paraId="1B76ED63" w14:textId="77777777" w:rsidR="00823BAF" w:rsidRDefault="00823BAF" w:rsidP="006C19B3">
      <w:pPr>
        <w:spacing w:after="0" w:line="276" w:lineRule="auto"/>
        <w:jc w:val="both"/>
        <w:rPr>
          <w:rFonts w:ascii="Times New Roman" w:hAnsi="Times New Roman" w:cs="Times New Roman"/>
        </w:rPr>
      </w:pPr>
    </w:p>
    <w:p w14:paraId="3C7DBD91" w14:textId="0310B55C" w:rsidR="00B77308" w:rsidRDefault="00E21396" w:rsidP="006C19B3">
      <w:pPr>
        <w:spacing w:after="0" w:line="276" w:lineRule="auto"/>
        <w:jc w:val="both"/>
        <w:rPr>
          <w:rFonts w:ascii="Times New Roman" w:hAnsi="Times New Roman" w:cs="Times New Roman"/>
        </w:rPr>
      </w:pPr>
      <w:r>
        <w:rPr>
          <w:rFonts w:ascii="Times New Roman" w:hAnsi="Times New Roman" w:cs="Times New Roman"/>
        </w:rPr>
        <w:t xml:space="preserve">Selv om </w:t>
      </w:r>
      <w:r w:rsidR="006C19B3">
        <w:rPr>
          <w:rFonts w:ascii="Times New Roman" w:hAnsi="Times New Roman" w:cs="Times New Roman"/>
        </w:rPr>
        <w:t>selskaber</w:t>
      </w:r>
      <w:r>
        <w:rPr>
          <w:rFonts w:ascii="Times New Roman" w:hAnsi="Times New Roman" w:cs="Times New Roman"/>
        </w:rPr>
        <w:t>ne ikke</w:t>
      </w:r>
      <w:r w:rsidR="006C19B3">
        <w:rPr>
          <w:rFonts w:ascii="Times New Roman" w:hAnsi="Times New Roman" w:cs="Times New Roman"/>
        </w:rPr>
        <w:t xml:space="preserve"> kan være </w:t>
      </w:r>
      <w:proofErr w:type="spellStart"/>
      <w:r w:rsidR="006C19B3">
        <w:rPr>
          <w:rFonts w:ascii="Times New Roman" w:hAnsi="Times New Roman" w:cs="Times New Roman"/>
        </w:rPr>
        <w:t>sikk</w:t>
      </w:r>
      <w:r w:rsidR="00516D03">
        <w:rPr>
          <w:rFonts w:ascii="Times New Roman" w:hAnsi="Times New Roman" w:cs="Times New Roman"/>
        </w:rPr>
        <w:t>r</w:t>
      </w:r>
      <w:r w:rsidR="006C19B3">
        <w:rPr>
          <w:rFonts w:ascii="Times New Roman" w:hAnsi="Times New Roman" w:cs="Times New Roman"/>
        </w:rPr>
        <w:t>e</w:t>
      </w:r>
      <w:proofErr w:type="spellEnd"/>
      <w:r w:rsidR="006C19B3">
        <w:rPr>
          <w:rFonts w:ascii="Times New Roman" w:hAnsi="Times New Roman" w:cs="Times New Roman"/>
        </w:rPr>
        <w:t xml:space="preserve"> at få kvote igen til næste år</w:t>
      </w:r>
      <w:r>
        <w:rPr>
          <w:rFonts w:ascii="Times New Roman" w:hAnsi="Times New Roman" w:cs="Times New Roman"/>
        </w:rPr>
        <w:t>,</w:t>
      </w:r>
      <w:r w:rsidR="006C19B3">
        <w:rPr>
          <w:rFonts w:ascii="Times New Roman" w:hAnsi="Times New Roman" w:cs="Times New Roman"/>
        </w:rPr>
        <w:t xml:space="preserve"> har det vist sig i praksis igennem årene</w:t>
      </w:r>
      <w:r>
        <w:rPr>
          <w:rFonts w:ascii="Times New Roman" w:hAnsi="Times New Roman" w:cs="Times New Roman"/>
        </w:rPr>
        <w:t>,</w:t>
      </w:r>
      <w:r w:rsidR="006C19B3">
        <w:rPr>
          <w:rFonts w:ascii="Times New Roman" w:hAnsi="Times New Roman" w:cs="Times New Roman"/>
        </w:rPr>
        <w:t xml:space="preserve"> at det er de samme selskaber</w:t>
      </w:r>
      <w:r w:rsidR="006F25E5">
        <w:rPr>
          <w:rFonts w:ascii="Times New Roman" w:hAnsi="Times New Roman" w:cs="Times New Roman"/>
        </w:rPr>
        <w:t xml:space="preserve"> (licenshavere)</w:t>
      </w:r>
      <w:r>
        <w:rPr>
          <w:rFonts w:ascii="Times New Roman" w:hAnsi="Times New Roman" w:cs="Times New Roman"/>
        </w:rPr>
        <w:t>,</w:t>
      </w:r>
      <w:r w:rsidR="006C19B3">
        <w:rPr>
          <w:rFonts w:ascii="Times New Roman" w:hAnsi="Times New Roman" w:cs="Times New Roman"/>
        </w:rPr>
        <w:t xml:space="preserve"> som har fået kvoterne hvert år. De kan dog ikke være </w:t>
      </w:r>
      <w:proofErr w:type="spellStart"/>
      <w:r w:rsidR="006C19B3">
        <w:rPr>
          <w:rFonts w:ascii="Times New Roman" w:hAnsi="Times New Roman" w:cs="Times New Roman"/>
        </w:rPr>
        <w:t>sikk</w:t>
      </w:r>
      <w:r w:rsidR="00516D03">
        <w:rPr>
          <w:rFonts w:ascii="Times New Roman" w:hAnsi="Times New Roman" w:cs="Times New Roman"/>
        </w:rPr>
        <w:t>r</w:t>
      </w:r>
      <w:r w:rsidR="006C19B3">
        <w:rPr>
          <w:rFonts w:ascii="Times New Roman" w:hAnsi="Times New Roman" w:cs="Times New Roman"/>
        </w:rPr>
        <w:t>e</w:t>
      </w:r>
      <w:proofErr w:type="spellEnd"/>
      <w:r w:rsidR="006C19B3">
        <w:rPr>
          <w:rFonts w:ascii="Times New Roman" w:hAnsi="Times New Roman" w:cs="Times New Roman"/>
        </w:rPr>
        <w:t xml:space="preserve"> på</w:t>
      </w:r>
      <w:r>
        <w:rPr>
          <w:rFonts w:ascii="Times New Roman" w:hAnsi="Times New Roman" w:cs="Times New Roman"/>
        </w:rPr>
        <w:t>, at</w:t>
      </w:r>
      <w:r w:rsidR="006C19B3">
        <w:rPr>
          <w:rFonts w:ascii="Times New Roman" w:hAnsi="Times New Roman" w:cs="Times New Roman"/>
        </w:rPr>
        <w:t xml:space="preserve"> </w:t>
      </w:r>
      <w:r w:rsidR="0064210C">
        <w:rPr>
          <w:rFonts w:ascii="Times New Roman" w:hAnsi="Times New Roman" w:cs="Times New Roman"/>
        </w:rPr>
        <w:t>dette også vil gælde fremover.</w:t>
      </w:r>
    </w:p>
    <w:p w14:paraId="3EDE2BE8" w14:textId="77777777" w:rsidR="00823BAF" w:rsidRDefault="00823BAF" w:rsidP="006C19B3">
      <w:pPr>
        <w:spacing w:after="0" w:line="276" w:lineRule="auto"/>
        <w:jc w:val="both"/>
        <w:rPr>
          <w:rFonts w:ascii="Times New Roman" w:hAnsi="Times New Roman" w:cs="Times New Roman"/>
        </w:rPr>
      </w:pPr>
    </w:p>
    <w:p w14:paraId="6C474104" w14:textId="2D6DD5C7" w:rsidR="006C19B3" w:rsidRDefault="006C19B3" w:rsidP="006C19B3">
      <w:pPr>
        <w:spacing w:after="0" w:line="276" w:lineRule="auto"/>
        <w:jc w:val="both"/>
        <w:rPr>
          <w:rFonts w:ascii="Times New Roman" w:hAnsi="Times New Roman" w:cs="Times New Roman"/>
        </w:rPr>
      </w:pPr>
      <w:r>
        <w:rPr>
          <w:rFonts w:ascii="Times New Roman" w:hAnsi="Times New Roman" w:cs="Times New Roman"/>
        </w:rPr>
        <w:t xml:space="preserve">Forsøget på at give nye aktører mulighed for at komme ind i det havgående </w:t>
      </w:r>
      <w:proofErr w:type="spellStart"/>
      <w:r>
        <w:rPr>
          <w:rFonts w:ascii="Times New Roman" w:hAnsi="Times New Roman" w:cs="Times New Roman"/>
        </w:rPr>
        <w:t>hvidfiskfiskeri</w:t>
      </w:r>
      <w:proofErr w:type="spellEnd"/>
      <w:r w:rsidR="00E21396">
        <w:rPr>
          <w:rFonts w:ascii="Times New Roman" w:hAnsi="Times New Roman" w:cs="Times New Roman"/>
        </w:rPr>
        <w:t>,</w:t>
      </w:r>
      <w:r>
        <w:rPr>
          <w:rFonts w:ascii="Times New Roman" w:hAnsi="Times New Roman" w:cs="Times New Roman"/>
        </w:rPr>
        <w:t xml:space="preserve"> som er beskrevet i afsnit 1.4</w:t>
      </w:r>
      <w:r w:rsidR="00E21396">
        <w:rPr>
          <w:rFonts w:ascii="Times New Roman" w:hAnsi="Times New Roman" w:cs="Times New Roman"/>
        </w:rPr>
        <w:t>,</w:t>
      </w:r>
      <w:r>
        <w:rPr>
          <w:rFonts w:ascii="Times New Roman" w:hAnsi="Times New Roman" w:cs="Times New Roman"/>
        </w:rPr>
        <w:t xml:space="preserve"> er et eksempel på</w:t>
      </w:r>
      <w:r w:rsidR="00E21396">
        <w:rPr>
          <w:rFonts w:ascii="Times New Roman" w:hAnsi="Times New Roman" w:cs="Times New Roman"/>
        </w:rPr>
        <w:t>,</w:t>
      </w:r>
      <w:r>
        <w:rPr>
          <w:rFonts w:ascii="Times New Roman" w:hAnsi="Times New Roman" w:cs="Times New Roman"/>
        </w:rPr>
        <w:t xml:space="preserve"> hvordan de eksisterende selskabers kvoter kan reduceres fra det ene år til det andet</w:t>
      </w:r>
      <w:r w:rsidR="00B77308">
        <w:rPr>
          <w:rFonts w:ascii="Times New Roman" w:hAnsi="Times New Roman" w:cs="Times New Roman"/>
        </w:rPr>
        <w:t>, men ikke har haft den politisk ønskede effekt</w:t>
      </w:r>
      <w:r>
        <w:rPr>
          <w:rFonts w:ascii="Times New Roman" w:hAnsi="Times New Roman" w:cs="Times New Roman"/>
        </w:rPr>
        <w:t xml:space="preserve">. </w:t>
      </w:r>
    </w:p>
    <w:p w14:paraId="04961936" w14:textId="77777777" w:rsidR="006C19B3" w:rsidRDefault="006C19B3" w:rsidP="006C19B3">
      <w:pPr>
        <w:spacing w:after="0" w:line="276" w:lineRule="auto"/>
        <w:jc w:val="both"/>
        <w:rPr>
          <w:rFonts w:ascii="Times New Roman" w:hAnsi="Times New Roman" w:cs="Times New Roman"/>
        </w:rPr>
      </w:pPr>
    </w:p>
    <w:p w14:paraId="0D51EFAE" w14:textId="4805D8C0" w:rsidR="00AC04C0" w:rsidRDefault="00E21396" w:rsidP="006C19B3">
      <w:pPr>
        <w:spacing w:after="0" w:line="276" w:lineRule="auto"/>
        <w:jc w:val="both"/>
        <w:rPr>
          <w:rFonts w:ascii="Times New Roman" w:hAnsi="Times New Roman" w:cs="Times New Roman"/>
        </w:rPr>
      </w:pPr>
      <w:r>
        <w:rPr>
          <w:rFonts w:ascii="Times New Roman" w:hAnsi="Times New Roman" w:cs="Times New Roman"/>
        </w:rPr>
        <w:t>D</w:t>
      </w:r>
      <w:r w:rsidR="006C19B3">
        <w:rPr>
          <w:rFonts w:ascii="Times New Roman" w:hAnsi="Times New Roman" w:cs="Times New Roman"/>
        </w:rPr>
        <w:t xml:space="preserve">et havgående </w:t>
      </w:r>
      <w:proofErr w:type="spellStart"/>
      <w:r w:rsidR="006C19B3">
        <w:rPr>
          <w:rFonts w:ascii="Times New Roman" w:hAnsi="Times New Roman" w:cs="Times New Roman"/>
        </w:rPr>
        <w:t>hvidfiskfiskeri</w:t>
      </w:r>
      <w:proofErr w:type="spellEnd"/>
      <w:r w:rsidR="006C19B3">
        <w:rPr>
          <w:rFonts w:ascii="Times New Roman" w:hAnsi="Times New Roman" w:cs="Times New Roman"/>
        </w:rPr>
        <w:t xml:space="preserve"> er meget kapitaltungt. En nybygget produktionstrawler</w:t>
      </w:r>
      <w:r w:rsidR="008B47EC">
        <w:rPr>
          <w:rFonts w:ascii="Times New Roman" w:hAnsi="Times New Roman" w:cs="Times New Roman"/>
        </w:rPr>
        <w:t xml:space="preserve"> i størrelsen 70-80 meter</w:t>
      </w:r>
      <w:r w:rsidR="006C19B3">
        <w:rPr>
          <w:rFonts w:ascii="Times New Roman" w:hAnsi="Times New Roman" w:cs="Times New Roman"/>
        </w:rPr>
        <w:t xml:space="preserve"> kan koste imellem 350</w:t>
      </w:r>
      <w:r w:rsidR="00516D03">
        <w:rPr>
          <w:rFonts w:ascii="Times New Roman" w:hAnsi="Times New Roman" w:cs="Times New Roman"/>
        </w:rPr>
        <w:t xml:space="preserve"> og </w:t>
      </w:r>
      <w:r w:rsidR="006C19B3">
        <w:rPr>
          <w:rFonts w:ascii="Times New Roman" w:hAnsi="Times New Roman" w:cs="Times New Roman"/>
        </w:rPr>
        <w:t xml:space="preserve">400 mio.kr. I det nuværende forvaltningssystem udstedes licenser til det havgående </w:t>
      </w:r>
      <w:proofErr w:type="spellStart"/>
      <w:r w:rsidR="006C19B3">
        <w:rPr>
          <w:rFonts w:ascii="Times New Roman" w:hAnsi="Times New Roman" w:cs="Times New Roman"/>
        </w:rPr>
        <w:t>hvidfiskfiskeri</w:t>
      </w:r>
      <w:proofErr w:type="spellEnd"/>
      <w:r w:rsidR="006C19B3">
        <w:rPr>
          <w:rFonts w:ascii="Times New Roman" w:hAnsi="Times New Roman" w:cs="Times New Roman"/>
        </w:rPr>
        <w:t xml:space="preserve"> kun en gang om året</w:t>
      </w:r>
      <w:r w:rsidR="00AC04C0">
        <w:rPr>
          <w:rFonts w:ascii="Times New Roman" w:hAnsi="Times New Roman" w:cs="Times New Roman"/>
        </w:rPr>
        <w:t>. F</w:t>
      </w:r>
      <w:r w:rsidR="006C19B3">
        <w:rPr>
          <w:rFonts w:ascii="Times New Roman" w:hAnsi="Times New Roman" w:cs="Times New Roman"/>
        </w:rPr>
        <w:t xml:space="preserve">aste kvotemængder tildeles selskaberne årligt uden </w:t>
      </w:r>
      <w:r>
        <w:rPr>
          <w:rFonts w:ascii="Times New Roman" w:hAnsi="Times New Roman" w:cs="Times New Roman"/>
        </w:rPr>
        <w:t xml:space="preserve">mulighed for at </w:t>
      </w:r>
      <w:r w:rsidR="006C19B3">
        <w:rPr>
          <w:rFonts w:ascii="Times New Roman" w:hAnsi="Times New Roman" w:cs="Times New Roman"/>
        </w:rPr>
        <w:t xml:space="preserve">erhverve en højere kvotemængde. </w:t>
      </w:r>
    </w:p>
    <w:p w14:paraId="1B64AF7E" w14:textId="77777777" w:rsidR="00AC04C0" w:rsidRDefault="00AC04C0" w:rsidP="006C19B3">
      <w:pPr>
        <w:spacing w:after="0" w:line="276" w:lineRule="auto"/>
        <w:jc w:val="both"/>
        <w:rPr>
          <w:rFonts w:ascii="Times New Roman" w:hAnsi="Times New Roman" w:cs="Times New Roman"/>
        </w:rPr>
      </w:pPr>
    </w:p>
    <w:p w14:paraId="00AD40FB" w14:textId="77777777" w:rsidR="00AC04C0" w:rsidRDefault="00E21396" w:rsidP="006C19B3">
      <w:pPr>
        <w:spacing w:after="0" w:line="276" w:lineRule="auto"/>
        <w:jc w:val="both"/>
        <w:rPr>
          <w:rFonts w:ascii="Times New Roman" w:hAnsi="Times New Roman" w:cs="Times New Roman"/>
        </w:rPr>
      </w:pPr>
      <w:r>
        <w:rPr>
          <w:rFonts w:ascii="Times New Roman" w:hAnsi="Times New Roman" w:cs="Times New Roman"/>
        </w:rPr>
        <w:t>Selv om</w:t>
      </w:r>
      <w:r w:rsidR="006C19B3">
        <w:rPr>
          <w:rFonts w:ascii="Times New Roman" w:hAnsi="Times New Roman" w:cs="Times New Roman"/>
        </w:rPr>
        <w:t xml:space="preserve"> fiskeriet er meget lukrativt (særligt hellefiskefiskeriet)</w:t>
      </w:r>
      <w:r>
        <w:rPr>
          <w:rFonts w:ascii="Times New Roman" w:hAnsi="Times New Roman" w:cs="Times New Roman"/>
        </w:rPr>
        <w:t>,</w:t>
      </w:r>
      <w:r w:rsidR="006C19B3">
        <w:rPr>
          <w:rFonts w:ascii="Times New Roman" w:hAnsi="Times New Roman" w:cs="Times New Roman"/>
        </w:rPr>
        <w:t xml:space="preserve"> </w:t>
      </w:r>
      <w:r w:rsidR="006C19B3" w:rsidRPr="00B61BFC">
        <w:rPr>
          <w:rFonts w:ascii="Times New Roman" w:hAnsi="Times New Roman" w:cs="Times New Roman"/>
        </w:rPr>
        <w:t xml:space="preserve">gør </w:t>
      </w:r>
      <w:r w:rsidR="006C19B3">
        <w:rPr>
          <w:rFonts w:ascii="Times New Roman" w:hAnsi="Times New Roman" w:cs="Times New Roman"/>
        </w:rPr>
        <w:t>forvaltningen det</w:t>
      </w:r>
      <w:r w:rsidR="006C19B3" w:rsidRPr="00B61BFC">
        <w:rPr>
          <w:rFonts w:ascii="Times New Roman" w:hAnsi="Times New Roman" w:cs="Times New Roman"/>
        </w:rPr>
        <w:t xml:space="preserve"> </w:t>
      </w:r>
      <w:r w:rsidR="006C19B3">
        <w:rPr>
          <w:rFonts w:ascii="Times New Roman" w:hAnsi="Times New Roman" w:cs="Times New Roman"/>
        </w:rPr>
        <w:t xml:space="preserve">meget </w:t>
      </w:r>
      <w:r w:rsidR="006C19B3" w:rsidRPr="00B61BFC">
        <w:rPr>
          <w:rFonts w:ascii="Times New Roman" w:hAnsi="Times New Roman" w:cs="Times New Roman"/>
        </w:rPr>
        <w:t xml:space="preserve">svært </w:t>
      </w:r>
      <w:r w:rsidR="006C19B3">
        <w:rPr>
          <w:rFonts w:ascii="Times New Roman" w:hAnsi="Times New Roman" w:cs="Times New Roman"/>
        </w:rPr>
        <w:t xml:space="preserve">for selskaberne </w:t>
      </w:r>
      <w:r w:rsidR="006C19B3" w:rsidRPr="00B61BFC">
        <w:rPr>
          <w:rFonts w:ascii="Times New Roman" w:hAnsi="Times New Roman" w:cs="Times New Roman"/>
        </w:rPr>
        <w:t xml:space="preserve">at planlægge </w:t>
      </w:r>
      <w:r w:rsidR="006C19B3">
        <w:rPr>
          <w:rFonts w:ascii="Times New Roman" w:hAnsi="Times New Roman" w:cs="Times New Roman"/>
        </w:rPr>
        <w:t xml:space="preserve">og finansiere deres fartøjer og andre </w:t>
      </w:r>
      <w:r w:rsidR="006C19B3" w:rsidRPr="00B61BFC">
        <w:rPr>
          <w:rFonts w:ascii="Times New Roman" w:hAnsi="Times New Roman" w:cs="Times New Roman"/>
        </w:rPr>
        <w:t>nødvendig investeringer</w:t>
      </w:r>
      <w:r>
        <w:rPr>
          <w:rFonts w:ascii="Times New Roman" w:hAnsi="Times New Roman" w:cs="Times New Roman"/>
        </w:rPr>
        <w:t>,</w:t>
      </w:r>
      <w:r w:rsidR="006C19B3">
        <w:rPr>
          <w:rFonts w:ascii="Times New Roman" w:hAnsi="Times New Roman" w:cs="Times New Roman"/>
        </w:rPr>
        <w:t xml:space="preserve"> medmindre de har en </w:t>
      </w:r>
      <w:r w:rsidR="00AC04C0">
        <w:rPr>
          <w:rFonts w:ascii="Times New Roman" w:hAnsi="Times New Roman" w:cs="Times New Roman"/>
        </w:rPr>
        <w:t xml:space="preserve">meget </w:t>
      </w:r>
      <w:r w:rsidR="006C19B3">
        <w:rPr>
          <w:rFonts w:ascii="Times New Roman" w:hAnsi="Times New Roman" w:cs="Times New Roman"/>
        </w:rPr>
        <w:t>stor egenkapital</w:t>
      </w:r>
      <w:r w:rsidR="006C19B3" w:rsidRPr="00B61BFC">
        <w:rPr>
          <w:rFonts w:ascii="Times New Roman" w:hAnsi="Times New Roman" w:cs="Times New Roman"/>
        </w:rPr>
        <w:t xml:space="preserve">. </w:t>
      </w:r>
    </w:p>
    <w:p w14:paraId="11A2863F" w14:textId="77777777" w:rsidR="00AC04C0" w:rsidRDefault="00AC04C0" w:rsidP="006C19B3">
      <w:pPr>
        <w:spacing w:after="0" w:line="276" w:lineRule="auto"/>
        <w:jc w:val="both"/>
        <w:rPr>
          <w:rFonts w:ascii="Times New Roman" w:hAnsi="Times New Roman" w:cs="Times New Roman"/>
        </w:rPr>
      </w:pPr>
    </w:p>
    <w:p w14:paraId="2304E70C" w14:textId="2C88E66A" w:rsidR="006C19B3" w:rsidRDefault="006C19B3" w:rsidP="006C19B3">
      <w:pPr>
        <w:spacing w:after="0" w:line="276" w:lineRule="auto"/>
        <w:jc w:val="both"/>
        <w:rPr>
          <w:rFonts w:ascii="Times New Roman" w:hAnsi="Times New Roman" w:cs="Times New Roman"/>
        </w:rPr>
      </w:pPr>
      <w:r>
        <w:rPr>
          <w:rFonts w:ascii="Times New Roman" w:hAnsi="Times New Roman" w:cs="Times New Roman"/>
        </w:rPr>
        <w:t>Det nuværende forvaltningssystem gør det også svært at tiltrække investorer</w:t>
      </w:r>
      <w:r w:rsidR="00E21396">
        <w:rPr>
          <w:rFonts w:ascii="Times New Roman" w:hAnsi="Times New Roman" w:cs="Times New Roman"/>
        </w:rPr>
        <w:t>,</w:t>
      </w:r>
      <w:r>
        <w:rPr>
          <w:rFonts w:ascii="Times New Roman" w:hAnsi="Times New Roman" w:cs="Times New Roman"/>
        </w:rPr>
        <w:t xml:space="preserve"> når de</w:t>
      </w:r>
      <w:r w:rsidR="00E21396">
        <w:rPr>
          <w:rFonts w:ascii="Times New Roman" w:hAnsi="Times New Roman" w:cs="Times New Roman"/>
        </w:rPr>
        <w:t>r</w:t>
      </w:r>
      <w:r>
        <w:rPr>
          <w:rFonts w:ascii="Times New Roman" w:hAnsi="Times New Roman" w:cs="Times New Roman"/>
        </w:rPr>
        <w:t xml:space="preserve"> er så stor usikker</w:t>
      </w:r>
      <w:r w:rsidR="00516D03">
        <w:rPr>
          <w:rFonts w:ascii="Times New Roman" w:hAnsi="Times New Roman" w:cs="Times New Roman"/>
        </w:rPr>
        <w:t>hed</w:t>
      </w:r>
      <w:r>
        <w:rPr>
          <w:rFonts w:ascii="Times New Roman" w:hAnsi="Times New Roman" w:cs="Times New Roman"/>
        </w:rPr>
        <w:t xml:space="preserve"> forbundet med selskabernes adgang til kvoterne på både kort og lang</w:t>
      </w:r>
      <w:r w:rsidR="00516D03">
        <w:rPr>
          <w:rFonts w:ascii="Times New Roman" w:hAnsi="Times New Roman" w:cs="Times New Roman"/>
        </w:rPr>
        <w:t>t</w:t>
      </w:r>
      <w:r>
        <w:rPr>
          <w:rFonts w:ascii="Times New Roman" w:hAnsi="Times New Roman" w:cs="Times New Roman"/>
        </w:rPr>
        <w:t xml:space="preserve"> sigt</w:t>
      </w:r>
      <w:r w:rsidR="00E21396">
        <w:rPr>
          <w:rFonts w:ascii="Times New Roman" w:hAnsi="Times New Roman" w:cs="Times New Roman"/>
        </w:rPr>
        <w:t>, og det giver heller ikke gode planlægningsmuligheder for eksisterende selskaber</w:t>
      </w:r>
      <w:r w:rsidR="00AC04C0">
        <w:rPr>
          <w:rFonts w:ascii="Times New Roman" w:hAnsi="Times New Roman" w:cs="Times New Roman"/>
        </w:rPr>
        <w:t xml:space="preserve"> eller for nye at komme ind i dette fiskeri</w:t>
      </w:r>
      <w:r w:rsidR="00E21396">
        <w:rPr>
          <w:rFonts w:ascii="Times New Roman" w:hAnsi="Times New Roman" w:cs="Times New Roman"/>
        </w:rPr>
        <w:t xml:space="preserve">. </w:t>
      </w:r>
    </w:p>
    <w:p w14:paraId="0E207345" w14:textId="77777777" w:rsidR="006C19B3" w:rsidRDefault="006C19B3" w:rsidP="006C19B3">
      <w:pPr>
        <w:spacing w:after="0" w:line="276" w:lineRule="auto"/>
        <w:jc w:val="both"/>
        <w:rPr>
          <w:rFonts w:ascii="Times New Roman" w:hAnsi="Times New Roman" w:cs="Times New Roman"/>
        </w:rPr>
      </w:pPr>
    </w:p>
    <w:p w14:paraId="0DF2C6DE" w14:textId="1AFC4D6C" w:rsidR="006C19B3" w:rsidRDefault="00AC04C0" w:rsidP="006C19B3">
      <w:pPr>
        <w:spacing w:after="0" w:line="276" w:lineRule="auto"/>
        <w:jc w:val="both"/>
        <w:rPr>
          <w:rFonts w:ascii="Times New Roman" w:hAnsi="Times New Roman" w:cs="Times New Roman"/>
        </w:rPr>
      </w:pPr>
      <w:r>
        <w:rPr>
          <w:rFonts w:ascii="Times New Roman" w:hAnsi="Times New Roman" w:cs="Times New Roman"/>
        </w:rPr>
        <w:t>E</w:t>
      </w:r>
      <w:r w:rsidR="006C19B3">
        <w:rPr>
          <w:rFonts w:ascii="Times New Roman" w:hAnsi="Times New Roman" w:cs="Times New Roman"/>
        </w:rPr>
        <w:t xml:space="preserve">n af de største årsager </w:t>
      </w:r>
      <w:r>
        <w:rPr>
          <w:rFonts w:ascii="Times New Roman" w:hAnsi="Times New Roman" w:cs="Times New Roman"/>
        </w:rPr>
        <w:t xml:space="preserve">til, at </w:t>
      </w:r>
      <w:r w:rsidR="006C19B3">
        <w:rPr>
          <w:rFonts w:ascii="Times New Roman" w:hAnsi="Times New Roman" w:cs="Times New Roman"/>
        </w:rPr>
        <w:t xml:space="preserve">de eksisterende selskaber har </w:t>
      </w:r>
      <w:r>
        <w:rPr>
          <w:rFonts w:ascii="Times New Roman" w:hAnsi="Times New Roman" w:cs="Times New Roman"/>
        </w:rPr>
        <w:t xml:space="preserve">kunnet </w:t>
      </w:r>
      <w:r w:rsidR="006C19B3">
        <w:rPr>
          <w:rFonts w:ascii="Times New Roman" w:hAnsi="Times New Roman" w:cs="Times New Roman"/>
        </w:rPr>
        <w:t xml:space="preserve">investere i det havgående </w:t>
      </w:r>
      <w:proofErr w:type="spellStart"/>
      <w:r w:rsidR="006C19B3">
        <w:rPr>
          <w:rFonts w:ascii="Times New Roman" w:hAnsi="Times New Roman" w:cs="Times New Roman"/>
        </w:rPr>
        <w:t>hvidfisk</w:t>
      </w:r>
      <w:r w:rsidR="0064210C">
        <w:rPr>
          <w:rFonts w:ascii="Times New Roman" w:hAnsi="Times New Roman" w:cs="Times New Roman"/>
        </w:rPr>
        <w:t>fiskeri</w:t>
      </w:r>
      <w:proofErr w:type="spellEnd"/>
      <w:r w:rsidR="0064210C">
        <w:rPr>
          <w:rFonts w:ascii="Times New Roman" w:hAnsi="Times New Roman" w:cs="Times New Roman"/>
        </w:rPr>
        <w:t xml:space="preserve">, </w:t>
      </w:r>
      <w:r w:rsidR="006C19B3">
        <w:rPr>
          <w:rFonts w:ascii="Times New Roman" w:hAnsi="Times New Roman" w:cs="Times New Roman"/>
        </w:rPr>
        <w:t>er</w:t>
      </w:r>
      <w:r w:rsidR="00E21396">
        <w:rPr>
          <w:rFonts w:ascii="Times New Roman" w:hAnsi="Times New Roman" w:cs="Times New Roman"/>
        </w:rPr>
        <w:t>,</w:t>
      </w:r>
      <w:r w:rsidR="006C19B3">
        <w:rPr>
          <w:rFonts w:ascii="Times New Roman" w:hAnsi="Times New Roman" w:cs="Times New Roman"/>
        </w:rPr>
        <w:t xml:space="preserve"> at de fleste også har omsættelige rejekvoter</w:t>
      </w:r>
      <w:r w:rsidR="00E21396">
        <w:rPr>
          <w:rFonts w:ascii="Times New Roman" w:hAnsi="Times New Roman" w:cs="Times New Roman"/>
        </w:rPr>
        <w:t>,</w:t>
      </w:r>
      <w:r w:rsidR="006C19B3">
        <w:rPr>
          <w:rFonts w:ascii="Times New Roman" w:hAnsi="Times New Roman" w:cs="Times New Roman"/>
        </w:rPr>
        <w:t xml:space="preserve"> som kan pantsættes eller er delvist ejet af andre kapitalstærke selskaber.</w:t>
      </w:r>
    </w:p>
    <w:p w14:paraId="35C3F599" w14:textId="77777777" w:rsidR="00EC4B79" w:rsidRDefault="00EC4B79" w:rsidP="006C19B3">
      <w:pPr>
        <w:spacing w:after="0" w:line="276" w:lineRule="auto"/>
        <w:jc w:val="both"/>
        <w:rPr>
          <w:rFonts w:ascii="Times New Roman" w:hAnsi="Times New Roman" w:cs="Times New Roman"/>
        </w:rPr>
      </w:pPr>
    </w:p>
    <w:p w14:paraId="39B1C097" w14:textId="09994E7E" w:rsidR="00EC4B79" w:rsidRPr="008F7BB1" w:rsidRDefault="00EC4B79" w:rsidP="008F7BB1">
      <w:pPr>
        <w:spacing w:after="0" w:line="276" w:lineRule="auto"/>
        <w:jc w:val="both"/>
        <w:rPr>
          <w:rFonts w:ascii="Times New Roman" w:eastAsia="Calibri" w:hAnsi="Times New Roman" w:cs="Times New Roman"/>
        </w:rPr>
      </w:pPr>
      <w:r>
        <w:rPr>
          <w:rFonts w:ascii="Times New Roman" w:hAnsi="Times New Roman" w:cs="Times New Roman"/>
        </w:rPr>
        <w:t xml:space="preserve">En yderligere udfordring i </w:t>
      </w:r>
      <w:proofErr w:type="spellStart"/>
      <w:r>
        <w:rPr>
          <w:rFonts w:ascii="Times New Roman" w:hAnsi="Times New Roman" w:cs="Times New Roman"/>
        </w:rPr>
        <w:t>hvidfiskfiskeriet</w:t>
      </w:r>
      <w:proofErr w:type="spellEnd"/>
      <w:r>
        <w:rPr>
          <w:rFonts w:ascii="Times New Roman" w:hAnsi="Times New Roman" w:cs="Times New Roman"/>
        </w:rPr>
        <w:t xml:space="preserve"> er landingspligten. </w:t>
      </w:r>
      <w:r>
        <w:rPr>
          <w:rFonts w:ascii="Times New Roman" w:eastAsia="Calibri" w:hAnsi="Times New Roman" w:cs="Times New Roman"/>
        </w:rPr>
        <w:t>M</w:t>
      </w:r>
      <w:r w:rsidRPr="008F7BB1">
        <w:rPr>
          <w:rFonts w:ascii="Times New Roman" w:eastAsia="Calibri" w:hAnsi="Times New Roman" w:cs="Times New Roman"/>
        </w:rPr>
        <w:t>ålet med landingspligten i det havgående fiskeri efter hellefisk er</w:t>
      </w:r>
      <w:r w:rsidR="0064210C">
        <w:rPr>
          <w:rFonts w:ascii="Times New Roman" w:eastAsia="Calibri" w:hAnsi="Times New Roman" w:cs="Times New Roman"/>
        </w:rPr>
        <w:t>,</w:t>
      </w:r>
      <w:r w:rsidRPr="008F7BB1">
        <w:rPr>
          <w:rFonts w:ascii="Times New Roman" w:eastAsia="Calibri" w:hAnsi="Times New Roman" w:cs="Times New Roman"/>
        </w:rPr>
        <w:t xml:space="preserve"> som tidligere beskrevet i </w:t>
      </w:r>
      <w:proofErr w:type="gramStart"/>
      <w:r w:rsidRPr="008F7BB1">
        <w:rPr>
          <w:rFonts w:ascii="Times New Roman" w:eastAsia="Calibri" w:hAnsi="Times New Roman" w:cs="Times New Roman"/>
        </w:rPr>
        <w:t>notatet</w:t>
      </w:r>
      <w:r w:rsidR="0064210C">
        <w:rPr>
          <w:rFonts w:ascii="Times New Roman" w:eastAsia="Calibri" w:hAnsi="Times New Roman" w:cs="Times New Roman"/>
        </w:rPr>
        <w:t xml:space="preserve">, </w:t>
      </w:r>
      <w:r w:rsidRPr="008F7BB1">
        <w:rPr>
          <w:rFonts w:ascii="Times New Roman" w:eastAsia="Calibri" w:hAnsi="Times New Roman" w:cs="Times New Roman"/>
        </w:rPr>
        <w:t xml:space="preserve"> at</w:t>
      </w:r>
      <w:proofErr w:type="gramEnd"/>
      <w:r w:rsidRPr="008F7BB1">
        <w:rPr>
          <w:rFonts w:ascii="Times New Roman" w:eastAsia="Calibri" w:hAnsi="Times New Roman" w:cs="Times New Roman"/>
        </w:rPr>
        <w:t xml:space="preserve"> øge beskæftigelsen i land. Opfyldelsen af dette mål er dog ikke uden omkostninger for samfundet</w:t>
      </w:r>
      <w:r w:rsidR="0064210C">
        <w:rPr>
          <w:rFonts w:ascii="Times New Roman" w:eastAsia="Calibri" w:hAnsi="Times New Roman" w:cs="Times New Roman"/>
        </w:rPr>
        <w:t>,</w:t>
      </w:r>
      <w:r w:rsidRPr="008F7BB1">
        <w:rPr>
          <w:rFonts w:ascii="Times New Roman" w:eastAsia="Calibri" w:hAnsi="Times New Roman" w:cs="Times New Roman"/>
        </w:rPr>
        <w:t xml:space="preserve"> </w:t>
      </w:r>
      <w:r w:rsidR="00516D03">
        <w:rPr>
          <w:rFonts w:ascii="Times New Roman" w:eastAsia="Calibri" w:hAnsi="Times New Roman" w:cs="Times New Roman"/>
        </w:rPr>
        <w:t>hvilket</w:t>
      </w:r>
      <w:r w:rsidR="00516D03" w:rsidRPr="008F7BB1">
        <w:rPr>
          <w:rFonts w:ascii="Times New Roman" w:eastAsia="Calibri" w:hAnsi="Times New Roman" w:cs="Times New Roman"/>
        </w:rPr>
        <w:t xml:space="preserve"> </w:t>
      </w:r>
      <w:r w:rsidRPr="008F7BB1">
        <w:rPr>
          <w:rFonts w:ascii="Times New Roman" w:eastAsia="Calibri" w:hAnsi="Times New Roman" w:cs="Times New Roman"/>
        </w:rPr>
        <w:t>er beskrevet i analyse</w:t>
      </w:r>
      <w:r w:rsidR="00AE39D5">
        <w:rPr>
          <w:rFonts w:ascii="Times New Roman" w:eastAsia="Calibri" w:hAnsi="Times New Roman" w:cs="Times New Roman"/>
        </w:rPr>
        <w:t xml:space="preserve"> af</w:t>
      </w:r>
      <w:r w:rsidRPr="008F7BB1">
        <w:rPr>
          <w:rFonts w:ascii="Times New Roman" w:eastAsia="Calibri" w:hAnsi="Times New Roman" w:cs="Times New Roman"/>
        </w:rPr>
        <w:t xml:space="preserve"> </w:t>
      </w:r>
      <w:r w:rsidR="00AE39D5">
        <w:rPr>
          <w:rFonts w:ascii="Times New Roman" w:eastAsia="Calibri" w:hAnsi="Times New Roman" w:cs="Times New Roman"/>
        </w:rPr>
        <w:t>økonomiske konsekvenser af indhandlingspligt ud</w:t>
      </w:r>
      <w:r w:rsidR="00516D03">
        <w:rPr>
          <w:rFonts w:ascii="Times New Roman" w:eastAsia="Calibri" w:hAnsi="Times New Roman" w:cs="Times New Roman"/>
        </w:rPr>
        <w:t>arbejdet</w:t>
      </w:r>
      <w:r w:rsidR="00AE39D5">
        <w:rPr>
          <w:rFonts w:ascii="Times New Roman" w:eastAsia="Calibri" w:hAnsi="Times New Roman" w:cs="Times New Roman"/>
        </w:rPr>
        <w:t xml:space="preserve"> af Fiskerikommissionen</w:t>
      </w:r>
      <w:r w:rsidR="006F25E5">
        <w:rPr>
          <w:rFonts w:ascii="Times New Roman" w:eastAsia="Calibri" w:hAnsi="Times New Roman" w:cs="Times New Roman"/>
        </w:rPr>
        <w:t>, ”</w:t>
      </w:r>
      <w:r w:rsidR="006F25E5" w:rsidRPr="006F25E5">
        <w:rPr>
          <w:rFonts w:ascii="Times New Roman" w:eastAsia="Calibri" w:hAnsi="Times New Roman" w:cs="Times New Roman"/>
        </w:rPr>
        <w:t xml:space="preserve"> </w:t>
      </w:r>
      <w:r w:rsidR="006F25E5">
        <w:rPr>
          <w:rFonts w:ascii="Times New Roman" w:eastAsia="Calibri" w:hAnsi="Times New Roman" w:cs="Times New Roman"/>
        </w:rPr>
        <w:t xml:space="preserve">Notat om økonomiske konsekvenser af indhandlingspligt - </w:t>
      </w:r>
      <w:r w:rsidR="006F25E5" w:rsidRPr="00662DC1">
        <w:rPr>
          <w:rFonts w:ascii="Times New Roman" w:eastAsia="Calibri" w:hAnsi="Times New Roman" w:cs="Times New Roman"/>
        </w:rPr>
        <w:t>bilag 79</w:t>
      </w:r>
      <w:r w:rsidR="006F25E5">
        <w:rPr>
          <w:rFonts w:ascii="Times New Roman" w:eastAsia="Calibri" w:hAnsi="Times New Roman" w:cs="Times New Roman"/>
        </w:rPr>
        <w:t>”</w:t>
      </w:r>
      <w:r w:rsidR="00AE39D5">
        <w:rPr>
          <w:rFonts w:ascii="Times New Roman" w:eastAsia="Calibri" w:hAnsi="Times New Roman" w:cs="Times New Roman"/>
        </w:rPr>
        <w:t>. Resultaterne af analysen er beskrevet nedenfor.</w:t>
      </w:r>
    </w:p>
    <w:p w14:paraId="73364675" w14:textId="77777777" w:rsidR="00AE39D5" w:rsidRDefault="00AE39D5" w:rsidP="00EC4B79">
      <w:pPr>
        <w:spacing w:line="276" w:lineRule="auto"/>
        <w:jc w:val="both"/>
        <w:rPr>
          <w:rFonts w:ascii="Times New Roman" w:eastAsia="Calibri" w:hAnsi="Times New Roman" w:cs="Times New Roman"/>
        </w:rPr>
      </w:pPr>
    </w:p>
    <w:p w14:paraId="0439DC09" w14:textId="5964DC90" w:rsidR="00EC4B79" w:rsidRPr="008F7BB1" w:rsidRDefault="00EC4B79" w:rsidP="00EC4B79">
      <w:pPr>
        <w:spacing w:line="276" w:lineRule="auto"/>
        <w:jc w:val="both"/>
        <w:rPr>
          <w:rFonts w:ascii="Times New Roman" w:hAnsi="Times New Roman" w:cs="Times New Roman"/>
        </w:rPr>
      </w:pPr>
      <w:r w:rsidRPr="008F7BB1">
        <w:rPr>
          <w:rFonts w:ascii="Times New Roman" w:eastAsia="Calibri" w:hAnsi="Times New Roman" w:cs="Times New Roman"/>
        </w:rPr>
        <w:lastRenderedPageBreak/>
        <w:t>Analysen viser</w:t>
      </w:r>
      <w:r w:rsidR="0064210C">
        <w:rPr>
          <w:rFonts w:ascii="Times New Roman" w:eastAsia="Calibri" w:hAnsi="Times New Roman" w:cs="Times New Roman"/>
        </w:rPr>
        <w:t>,</w:t>
      </w:r>
      <w:r w:rsidRPr="008F7BB1">
        <w:rPr>
          <w:rFonts w:ascii="Times New Roman" w:eastAsia="Calibri" w:hAnsi="Times New Roman" w:cs="Times New Roman"/>
        </w:rPr>
        <w:t xml:space="preserve"> at d</w:t>
      </w:r>
      <w:r w:rsidRPr="008F7BB1">
        <w:rPr>
          <w:rFonts w:ascii="Times New Roman" w:hAnsi="Times New Roman" w:cs="Times New Roman"/>
        </w:rPr>
        <w:t>en eksisterende landingspligt i det havgående hellefiskeri på basis a</w:t>
      </w:r>
      <w:r w:rsidRPr="008F7BB1">
        <w:rPr>
          <w:rFonts w:ascii="Times New Roman" w:eastAsia="Calibri" w:hAnsi="Times New Roman" w:cs="Times New Roman"/>
        </w:rPr>
        <w:t xml:space="preserve">f 2017 kvoteniveau forventes med tilhørende fileteringspligt at </w:t>
      </w:r>
      <w:r w:rsidRPr="008F7BB1">
        <w:rPr>
          <w:rFonts w:ascii="Times New Roman" w:hAnsi="Times New Roman" w:cs="Times New Roman"/>
        </w:rPr>
        <w:t xml:space="preserve">skabe samlet </w:t>
      </w:r>
      <w:r w:rsidRPr="008F7BB1">
        <w:rPr>
          <w:rFonts w:ascii="Times New Roman" w:eastAsia="Calibri" w:hAnsi="Times New Roman" w:cs="Times New Roman"/>
        </w:rPr>
        <w:t xml:space="preserve">omkring </w:t>
      </w:r>
      <w:r w:rsidRPr="008F7BB1">
        <w:rPr>
          <w:rFonts w:ascii="Times New Roman" w:hAnsi="Times New Roman" w:cs="Times New Roman"/>
        </w:rPr>
        <w:t>30 årsværk på fiskefabrikkerne i land. Hvis det blev besluttet at ophæve indhandlingspligten på de havgående hellefiskekvoter</w:t>
      </w:r>
      <w:r w:rsidR="00C756B2">
        <w:rPr>
          <w:rFonts w:ascii="Times New Roman" w:hAnsi="Times New Roman" w:cs="Times New Roman"/>
        </w:rPr>
        <w:t>,</w:t>
      </w:r>
      <w:r w:rsidRPr="008F7BB1">
        <w:rPr>
          <w:rFonts w:ascii="Times New Roman" w:hAnsi="Times New Roman" w:cs="Times New Roman"/>
        </w:rPr>
        <w:t xml:space="preserve"> og flåden producerede hele fangsten til direkte eksport</w:t>
      </w:r>
      <w:r w:rsidR="00FB15A4">
        <w:rPr>
          <w:rFonts w:ascii="Times New Roman" w:hAnsi="Times New Roman" w:cs="Times New Roman"/>
        </w:rPr>
        <w:t xml:space="preserve"> i stedet for at fisken produceres på landanlæg</w:t>
      </w:r>
      <w:r w:rsidR="00C756B2">
        <w:rPr>
          <w:rFonts w:ascii="Times New Roman" w:hAnsi="Times New Roman" w:cs="Times New Roman"/>
        </w:rPr>
        <w:t>,</w:t>
      </w:r>
      <w:r w:rsidRPr="008F7BB1">
        <w:rPr>
          <w:rFonts w:ascii="Times New Roman" w:hAnsi="Times New Roman" w:cs="Times New Roman"/>
        </w:rPr>
        <w:t xml:space="preserve"> forventes den samlede omsætning fra udnyttelsen af disse kvoter at stige med netto ca. 8 mio.kr. sam</w:t>
      </w:r>
      <w:r w:rsidRPr="008F7BB1">
        <w:rPr>
          <w:rFonts w:ascii="Times New Roman" w:eastAsia="Calibri" w:hAnsi="Times New Roman" w:cs="Times New Roman"/>
        </w:rPr>
        <w:t>t overskuddet med ca. 18 mio.kr</w:t>
      </w:r>
      <w:r w:rsidRPr="008F7BB1">
        <w:rPr>
          <w:rFonts w:ascii="Times New Roman" w:hAnsi="Times New Roman" w:cs="Times New Roman"/>
        </w:rPr>
        <w:t xml:space="preserve">. Tilsvarende estimeres det offentlige provenu fra skatter og afgifter at stige med ca. 18 mio.kr. </w:t>
      </w:r>
    </w:p>
    <w:p w14:paraId="3ABAFD8B" w14:textId="5E966F8D" w:rsidR="00EC4B79" w:rsidRPr="008F7BB1" w:rsidRDefault="00EC4B79" w:rsidP="00EC4B79">
      <w:pPr>
        <w:spacing w:line="276" w:lineRule="auto"/>
        <w:jc w:val="both"/>
        <w:rPr>
          <w:rFonts w:ascii="Times New Roman" w:hAnsi="Times New Roman" w:cs="Times New Roman"/>
        </w:rPr>
      </w:pPr>
      <w:r w:rsidRPr="008F7BB1">
        <w:rPr>
          <w:rFonts w:ascii="Times New Roman" w:hAnsi="Times New Roman" w:cs="Times New Roman"/>
        </w:rPr>
        <w:t>Det vil sige</w:t>
      </w:r>
      <w:r w:rsidR="00C756B2">
        <w:rPr>
          <w:rFonts w:ascii="Times New Roman" w:hAnsi="Times New Roman" w:cs="Times New Roman"/>
        </w:rPr>
        <w:t xml:space="preserve">, at </w:t>
      </w:r>
      <w:r w:rsidRPr="008F7BB1">
        <w:rPr>
          <w:rFonts w:ascii="Times New Roman" w:hAnsi="Times New Roman" w:cs="Times New Roman"/>
        </w:rPr>
        <w:t xml:space="preserve">offentlige går glip af et muligt </w:t>
      </w:r>
      <w:r w:rsidR="00FB15A4">
        <w:rPr>
          <w:rFonts w:ascii="Times New Roman" w:hAnsi="Times New Roman" w:cs="Times New Roman"/>
        </w:rPr>
        <w:t xml:space="preserve">netto </w:t>
      </w:r>
      <w:r w:rsidRPr="008F7BB1">
        <w:rPr>
          <w:rFonts w:ascii="Times New Roman" w:hAnsi="Times New Roman" w:cs="Times New Roman"/>
        </w:rPr>
        <w:t>skatte- og afgiftsprovenu på 18 mio.kr. pr. år for at opretholde en beskæftigelse i land på 30 årsværk</w:t>
      </w:r>
      <w:r w:rsidRPr="008F7BB1">
        <w:rPr>
          <w:rFonts w:ascii="Times New Roman" w:eastAsia="Calibri" w:hAnsi="Times New Roman" w:cs="Times New Roman"/>
        </w:rPr>
        <w:t xml:space="preserve"> ved at pålægge det havgående fiskeri efter hellefisk en landingspligt</w:t>
      </w:r>
      <w:r w:rsidRPr="008F7BB1">
        <w:rPr>
          <w:rFonts w:ascii="Times New Roman" w:hAnsi="Times New Roman" w:cs="Times New Roman"/>
        </w:rPr>
        <w:t xml:space="preserve">. Omvendt kan det </w:t>
      </w:r>
      <w:r w:rsidR="00C756B2">
        <w:rPr>
          <w:rFonts w:ascii="Times New Roman" w:hAnsi="Times New Roman" w:cs="Times New Roman"/>
        </w:rPr>
        <w:t>udlægges på den måde</w:t>
      </w:r>
      <w:r w:rsidRPr="008F7BB1">
        <w:rPr>
          <w:rFonts w:ascii="Times New Roman" w:hAnsi="Times New Roman" w:cs="Times New Roman"/>
        </w:rPr>
        <w:t xml:space="preserve">, at det offentlige anvender det </w:t>
      </w:r>
      <w:r w:rsidR="00C756B2">
        <w:rPr>
          <w:rFonts w:ascii="Times New Roman" w:hAnsi="Times New Roman" w:cs="Times New Roman"/>
        </w:rPr>
        <w:t xml:space="preserve">potentielle </w:t>
      </w:r>
      <w:r w:rsidRPr="008F7BB1">
        <w:rPr>
          <w:rFonts w:ascii="Times New Roman" w:hAnsi="Times New Roman" w:cs="Times New Roman"/>
        </w:rPr>
        <w:t>samfundsøkonomiske afkast fra fiskeriet på 18 mio.kr. direkte til samfundet ved at skabe beskæftigelse og reducerede sociale ydelser i stedet for at opkræve det direkte til landskassen</w:t>
      </w:r>
      <w:r w:rsidR="00C756B2">
        <w:rPr>
          <w:rFonts w:ascii="Times New Roman" w:hAnsi="Times New Roman" w:cs="Times New Roman"/>
        </w:rPr>
        <w:t>, der derfor har 18 mio. kr. mindre til andre formål</w:t>
      </w:r>
      <w:r w:rsidRPr="008F7BB1">
        <w:rPr>
          <w:rFonts w:ascii="Times New Roman" w:hAnsi="Times New Roman" w:cs="Times New Roman"/>
        </w:rPr>
        <w:t>.</w:t>
      </w:r>
    </w:p>
    <w:p w14:paraId="329D80C8" w14:textId="4371529B" w:rsidR="00EC4B79" w:rsidRPr="008F7BB1" w:rsidRDefault="00EC4B79" w:rsidP="00EC4B79">
      <w:pPr>
        <w:spacing w:line="276" w:lineRule="auto"/>
        <w:jc w:val="both"/>
        <w:rPr>
          <w:rFonts w:ascii="Times New Roman" w:hAnsi="Times New Roman" w:cs="Times New Roman"/>
        </w:rPr>
      </w:pPr>
      <w:r w:rsidRPr="008F7BB1">
        <w:rPr>
          <w:rFonts w:ascii="Times New Roman" w:hAnsi="Times New Roman" w:cs="Times New Roman"/>
        </w:rPr>
        <w:t>Hvert årsværk</w:t>
      </w:r>
      <w:r w:rsidR="00C756B2">
        <w:rPr>
          <w:rFonts w:ascii="Times New Roman" w:hAnsi="Times New Roman" w:cs="Times New Roman"/>
        </w:rPr>
        <w:t>,</w:t>
      </w:r>
      <w:r w:rsidRPr="008F7BB1">
        <w:rPr>
          <w:rFonts w:ascii="Times New Roman" w:hAnsi="Times New Roman" w:cs="Times New Roman"/>
        </w:rPr>
        <w:t xml:space="preserve"> som landings-og fileteringspligten skaber</w:t>
      </w:r>
      <w:r w:rsidR="00C756B2">
        <w:rPr>
          <w:rFonts w:ascii="Times New Roman" w:hAnsi="Times New Roman" w:cs="Times New Roman"/>
        </w:rPr>
        <w:t>,</w:t>
      </w:r>
      <w:r w:rsidRPr="008F7BB1">
        <w:rPr>
          <w:rFonts w:ascii="Times New Roman" w:hAnsi="Times New Roman" w:cs="Times New Roman"/>
        </w:rPr>
        <w:t xml:space="preserve"> koster det offentlige ca. 600.000 kr. hvert år i tabte offentlige indtægter. I mange tilfælde er der ikke nogen alternativ beskæftigelse for de ansatte på fiskefabrikkerne i </w:t>
      </w:r>
      <w:r w:rsidR="00AE39D5" w:rsidRPr="008F7BB1">
        <w:rPr>
          <w:rFonts w:ascii="Times New Roman" w:hAnsi="Times New Roman" w:cs="Times New Roman"/>
        </w:rPr>
        <w:t>de bygder</w:t>
      </w:r>
      <w:r w:rsidRPr="008F7BB1">
        <w:rPr>
          <w:rFonts w:ascii="Times New Roman" w:hAnsi="Times New Roman" w:cs="Times New Roman"/>
        </w:rPr>
        <w:t xml:space="preserve"> og byer</w:t>
      </w:r>
      <w:r w:rsidR="00C756B2">
        <w:rPr>
          <w:rFonts w:ascii="Times New Roman" w:hAnsi="Times New Roman" w:cs="Times New Roman"/>
        </w:rPr>
        <w:t>,</w:t>
      </w:r>
      <w:r w:rsidRPr="008F7BB1">
        <w:rPr>
          <w:rFonts w:ascii="Times New Roman" w:hAnsi="Times New Roman" w:cs="Times New Roman"/>
        </w:rPr>
        <w:t xml:space="preserve"> som hellefisken landes til.  </w:t>
      </w:r>
    </w:p>
    <w:p w14:paraId="5F6256D7" w14:textId="0823A758" w:rsidR="00EC4B79" w:rsidRPr="008F7BB1" w:rsidRDefault="00EC4B79" w:rsidP="00EC4B79">
      <w:pPr>
        <w:spacing w:line="276" w:lineRule="auto"/>
        <w:jc w:val="both"/>
        <w:rPr>
          <w:rFonts w:ascii="Times New Roman" w:hAnsi="Times New Roman" w:cs="Times New Roman"/>
        </w:rPr>
      </w:pPr>
      <w:r w:rsidRPr="008F7BB1">
        <w:rPr>
          <w:rFonts w:ascii="Times New Roman" w:hAnsi="Times New Roman" w:cs="Times New Roman"/>
        </w:rPr>
        <w:t xml:space="preserve">Landingspligten er derfor opretholdt </w:t>
      </w:r>
      <w:r w:rsidR="00516D03">
        <w:rPr>
          <w:rFonts w:ascii="Times New Roman" w:hAnsi="Times New Roman" w:cs="Times New Roman"/>
        </w:rPr>
        <w:t>med det formål</w:t>
      </w:r>
      <w:r w:rsidRPr="008F7BB1">
        <w:rPr>
          <w:rFonts w:ascii="Times New Roman" w:hAnsi="Times New Roman" w:cs="Times New Roman"/>
        </w:rPr>
        <w:t xml:space="preserve"> at mindske antallet af borgere på sociale overførselsindkomster. Antages </w:t>
      </w:r>
      <w:r w:rsidR="00C756B2">
        <w:rPr>
          <w:rFonts w:ascii="Times New Roman" w:hAnsi="Times New Roman" w:cs="Times New Roman"/>
        </w:rPr>
        <w:t xml:space="preserve">det, </w:t>
      </w:r>
      <w:r w:rsidRPr="008F7BB1">
        <w:rPr>
          <w:rFonts w:ascii="Times New Roman" w:hAnsi="Times New Roman" w:cs="Times New Roman"/>
        </w:rPr>
        <w:t xml:space="preserve">at hvis indhandlings-og fileteringspligten ophæves og personer, som var beskæftiget på </w:t>
      </w:r>
      <w:proofErr w:type="gramStart"/>
      <w:r w:rsidRPr="008F7BB1">
        <w:rPr>
          <w:rFonts w:ascii="Times New Roman" w:hAnsi="Times New Roman" w:cs="Times New Roman"/>
        </w:rPr>
        <w:t>fabrikken</w:t>
      </w:r>
      <w:proofErr w:type="gramEnd"/>
      <w:r w:rsidRPr="008F7BB1">
        <w:rPr>
          <w:rFonts w:ascii="Times New Roman" w:hAnsi="Times New Roman" w:cs="Times New Roman"/>
        </w:rPr>
        <w:t xml:space="preserve"> går på offentlig forsørgelse</w:t>
      </w:r>
      <w:r w:rsidR="00C756B2">
        <w:rPr>
          <w:rFonts w:ascii="Times New Roman" w:hAnsi="Times New Roman" w:cs="Times New Roman"/>
        </w:rPr>
        <w:t>,</w:t>
      </w:r>
      <w:r w:rsidRPr="008F7BB1">
        <w:rPr>
          <w:rFonts w:ascii="Times New Roman" w:hAnsi="Times New Roman" w:cs="Times New Roman"/>
        </w:rPr>
        <w:t xml:space="preserve"> kan netto udgiften for det offentlige ved at opretholde landingspligt beregnes til 600.000 kr. –106.000 kr. (offentlig hjælp maks. sats per år) = 494.000 kr. </w:t>
      </w:r>
    </w:p>
    <w:p w14:paraId="5AAA5C4E" w14:textId="61F7BA0B" w:rsidR="00EC4B79" w:rsidRPr="008F7BB1" w:rsidRDefault="00EC4B79" w:rsidP="00EC4B79">
      <w:pPr>
        <w:spacing w:line="276" w:lineRule="auto"/>
        <w:jc w:val="both"/>
        <w:rPr>
          <w:rFonts w:ascii="Times New Roman" w:hAnsi="Times New Roman" w:cs="Times New Roman"/>
        </w:rPr>
      </w:pPr>
      <w:r w:rsidRPr="008F7BB1">
        <w:rPr>
          <w:rFonts w:ascii="Times New Roman" w:hAnsi="Times New Roman" w:cs="Times New Roman"/>
        </w:rPr>
        <w:t xml:space="preserve">Tilsvarende kan </w:t>
      </w:r>
      <w:r w:rsidR="00C756B2">
        <w:rPr>
          <w:rFonts w:ascii="Times New Roman" w:hAnsi="Times New Roman" w:cs="Times New Roman"/>
        </w:rPr>
        <w:t xml:space="preserve">en </w:t>
      </w:r>
      <w:r w:rsidRPr="008F7BB1">
        <w:rPr>
          <w:rFonts w:ascii="Times New Roman" w:hAnsi="Times New Roman" w:cs="Times New Roman"/>
        </w:rPr>
        <w:t>person, som arbejdede på fabrikken, enten komme direkte i beskæftigelse i andre erhverv eller omskoles til andet job med tilsvarende løn og på fabrikken ca. 200.000 kr. pr. år pr. person</w:t>
      </w:r>
      <w:r w:rsidR="00516D03">
        <w:rPr>
          <w:rFonts w:ascii="Times New Roman" w:hAnsi="Times New Roman" w:cs="Times New Roman"/>
        </w:rPr>
        <w:t>,</w:t>
      </w:r>
      <w:r w:rsidR="00C756B2">
        <w:rPr>
          <w:rFonts w:ascii="Times New Roman" w:hAnsi="Times New Roman" w:cs="Times New Roman"/>
        </w:rPr>
        <w:t xml:space="preserve"> og </w:t>
      </w:r>
      <w:r w:rsidR="00516D03">
        <w:rPr>
          <w:rFonts w:ascii="Times New Roman" w:hAnsi="Times New Roman" w:cs="Times New Roman"/>
        </w:rPr>
        <w:t xml:space="preserve">det </w:t>
      </w:r>
      <w:r w:rsidR="00C756B2">
        <w:rPr>
          <w:rFonts w:ascii="Times New Roman" w:hAnsi="Times New Roman" w:cs="Times New Roman"/>
        </w:rPr>
        <w:t>vil</w:t>
      </w:r>
      <w:r w:rsidRPr="008F7BB1">
        <w:rPr>
          <w:rFonts w:ascii="Times New Roman" w:hAnsi="Times New Roman" w:cs="Times New Roman"/>
        </w:rPr>
        <w:t xml:space="preserve"> bidrage med ca. 60.000 kr. i A-skatter pr. år. I dette tilfælde vil der være en gevinst for det offentlige</w:t>
      </w:r>
      <w:r w:rsidR="00C756B2">
        <w:rPr>
          <w:rFonts w:ascii="Times New Roman" w:hAnsi="Times New Roman" w:cs="Times New Roman"/>
        </w:rPr>
        <w:t>,</w:t>
      </w:r>
      <w:r w:rsidRPr="008F7BB1">
        <w:rPr>
          <w:rFonts w:ascii="Times New Roman" w:hAnsi="Times New Roman" w:cs="Times New Roman"/>
        </w:rPr>
        <w:t xml:space="preserve"> hvis landingspligten ophæves</w:t>
      </w:r>
      <w:r w:rsidR="00C756B2">
        <w:rPr>
          <w:rFonts w:ascii="Times New Roman" w:hAnsi="Times New Roman" w:cs="Times New Roman"/>
        </w:rPr>
        <w:t>,</w:t>
      </w:r>
      <w:r w:rsidRPr="008F7BB1">
        <w:rPr>
          <w:rFonts w:ascii="Times New Roman" w:hAnsi="Times New Roman" w:cs="Times New Roman"/>
        </w:rPr>
        <w:t xml:space="preserve"> på 600.000 kr. + 60.000 kr. = 660.000 kr. pr. person. </w:t>
      </w:r>
    </w:p>
    <w:p w14:paraId="54A4133F" w14:textId="15AF4F82" w:rsidR="00EC4B79" w:rsidRPr="008F7BB1" w:rsidRDefault="00EC4B79" w:rsidP="00EC4B79">
      <w:pPr>
        <w:spacing w:line="276" w:lineRule="auto"/>
        <w:jc w:val="both"/>
        <w:rPr>
          <w:rFonts w:ascii="Times New Roman" w:hAnsi="Times New Roman" w:cs="Times New Roman"/>
        </w:rPr>
      </w:pPr>
      <w:r w:rsidRPr="008F7BB1">
        <w:rPr>
          <w:rFonts w:ascii="Times New Roman" w:hAnsi="Times New Roman" w:cs="Times New Roman"/>
        </w:rPr>
        <w:t xml:space="preserve">De tabte </w:t>
      </w:r>
      <w:r w:rsidR="00AE39D5" w:rsidRPr="008F7BB1">
        <w:rPr>
          <w:rFonts w:ascii="Times New Roman" w:hAnsi="Times New Roman" w:cs="Times New Roman"/>
        </w:rPr>
        <w:t>offentlige indtægter er dog</w:t>
      </w:r>
      <w:r w:rsidRPr="008F7BB1">
        <w:rPr>
          <w:rFonts w:ascii="Times New Roman" w:hAnsi="Times New Roman" w:cs="Times New Roman"/>
        </w:rPr>
        <w:t xml:space="preserve"> kun den ene side af sagen. Personer på </w:t>
      </w:r>
      <w:r w:rsidR="00AE39D5" w:rsidRPr="008F7BB1">
        <w:rPr>
          <w:rFonts w:ascii="Times New Roman" w:hAnsi="Times New Roman" w:cs="Times New Roman"/>
        </w:rPr>
        <w:t>offentlig hjælp</w:t>
      </w:r>
      <w:r w:rsidRPr="008F7BB1">
        <w:rPr>
          <w:rFonts w:ascii="Times New Roman" w:hAnsi="Times New Roman" w:cs="Times New Roman"/>
        </w:rPr>
        <w:t xml:space="preserve"> har mindre købekraft, hvilket kan bidrage</w:t>
      </w:r>
      <w:r w:rsidR="00A9307E">
        <w:rPr>
          <w:rFonts w:ascii="Times New Roman" w:hAnsi="Times New Roman" w:cs="Times New Roman"/>
        </w:rPr>
        <w:t xml:space="preserve"> </w:t>
      </w:r>
      <w:r w:rsidRPr="008F7BB1">
        <w:rPr>
          <w:rFonts w:ascii="Times New Roman" w:hAnsi="Times New Roman" w:cs="Times New Roman"/>
        </w:rPr>
        <w:t xml:space="preserve">til at reducere de afledte økonomiske effekter lokalt. Ligeledes </w:t>
      </w:r>
      <w:r w:rsidR="00AE39D5" w:rsidRPr="008F7BB1">
        <w:rPr>
          <w:rFonts w:ascii="Times New Roman" w:hAnsi="Times New Roman" w:cs="Times New Roman"/>
        </w:rPr>
        <w:t xml:space="preserve">er </w:t>
      </w:r>
      <w:r w:rsidR="00C756B2">
        <w:rPr>
          <w:rFonts w:ascii="Times New Roman" w:hAnsi="Times New Roman" w:cs="Times New Roman"/>
        </w:rPr>
        <w:t xml:space="preserve">der </w:t>
      </w:r>
      <w:r w:rsidR="00AE39D5" w:rsidRPr="008F7BB1">
        <w:rPr>
          <w:rFonts w:ascii="Times New Roman" w:hAnsi="Times New Roman" w:cs="Times New Roman"/>
        </w:rPr>
        <w:t>den</w:t>
      </w:r>
      <w:r w:rsidRPr="008F7BB1">
        <w:rPr>
          <w:rFonts w:ascii="Times New Roman" w:hAnsi="Times New Roman" w:cs="Times New Roman"/>
        </w:rPr>
        <w:t xml:space="preserve"> menneskelige faktor, at </w:t>
      </w:r>
      <w:r w:rsidR="00C756B2">
        <w:rPr>
          <w:rFonts w:ascii="Times New Roman" w:hAnsi="Times New Roman" w:cs="Times New Roman"/>
        </w:rPr>
        <w:t>mennesker</w:t>
      </w:r>
      <w:r w:rsidRPr="008F7BB1">
        <w:rPr>
          <w:rFonts w:ascii="Times New Roman" w:hAnsi="Times New Roman" w:cs="Times New Roman"/>
        </w:rPr>
        <w:t xml:space="preserve"> med job har større selvværd</w:t>
      </w:r>
      <w:r w:rsidR="00C756B2">
        <w:rPr>
          <w:rFonts w:ascii="Times New Roman" w:hAnsi="Times New Roman" w:cs="Times New Roman"/>
        </w:rPr>
        <w:t>,</w:t>
      </w:r>
      <w:r w:rsidRPr="008F7BB1">
        <w:rPr>
          <w:rFonts w:ascii="Times New Roman" w:hAnsi="Times New Roman" w:cs="Times New Roman"/>
        </w:rPr>
        <w:t xml:space="preserve"> samt deres børn har mindre risiko </w:t>
      </w:r>
      <w:r w:rsidR="00C756B2">
        <w:rPr>
          <w:rFonts w:ascii="Times New Roman" w:hAnsi="Times New Roman" w:cs="Times New Roman"/>
        </w:rPr>
        <w:t xml:space="preserve">for </w:t>
      </w:r>
      <w:r w:rsidRPr="008F7BB1">
        <w:rPr>
          <w:rFonts w:ascii="Times New Roman" w:hAnsi="Times New Roman" w:cs="Times New Roman"/>
        </w:rPr>
        <w:t xml:space="preserve">at ende på offentlige forsørgelse. Det kan således være betydelige sociale udgifter forbundet med den negative sociale arv. </w:t>
      </w:r>
      <w:r w:rsidR="00C756B2">
        <w:rPr>
          <w:rFonts w:ascii="Times New Roman" w:hAnsi="Times New Roman" w:cs="Times New Roman"/>
        </w:rPr>
        <w:t xml:space="preserve">Det er derfor </w:t>
      </w:r>
      <w:r w:rsidRPr="008F7BB1">
        <w:rPr>
          <w:rFonts w:ascii="Times New Roman" w:hAnsi="Times New Roman" w:cs="Times New Roman"/>
        </w:rPr>
        <w:t>usikkert</w:t>
      </w:r>
      <w:r w:rsidR="00C756B2">
        <w:rPr>
          <w:rFonts w:ascii="Times New Roman" w:hAnsi="Times New Roman" w:cs="Times New Roman"/>
        </w:rPr>
        <w:t>,</w:t>
      </w:r>
      <w:r w:rsidRPr="008F7BB1">
        <w:rPr>
          <w:rFonts w:ascii="Times New Roman" w:hAnsi="Times New Roman" w:cs="Times New Roman"/>
        </w:rPr>
        <w:t xml:space="preserve"> hvor meget den enkelte arbejdsplads på fiskefabrikken koster det offentlige og samfundet i sidste ende.  Det afhænger i høj grad</w:t>
      </w:r>
      <w:r w:rsidR="00516D03">
        <w:rPr>
          <w:rFonts w:ascii="Times New Roman" w:hAnsi="Times New Roman" w:cs="Times New Roman"/>
        </w:rPr>
        <w:t xml:space="preserve"> af</w:t>
      </w:r>
      <w:r w:rsidR="00C756B2">
        <w:rPr>
          <w:rFonts w:ascii="Times New Roman" w:hAnsi="Times New Roman" w:cs="Times New Roman"/>
        </w:rPr>
        <w:t>,</w:t>
      </w:r>
      <w:r w:rsidRPr="008F7BB1">
        <w:rPr>
          <w:rFonts w:ascii="Times New Roman" w:hAnsi="Times New Roman" w:cs="Times New Roman"/>
        </w:rPr>
        <w:t xml:space="preserve"> om medarbejdere kan omskoles til andet job</w:t>
      </w:r>
      <w:r w:rsidR="00C756B2">
        <w:rPr>
          <w:rFonts w:ascii="Times New Roman" w:hAnsi="Times New Roman" w:cs="Times New Roman"/>
        </w:rPr>
        <w:t>,</w:t>
      </w:r>
      <w:r w:rsidRPr="008F7BB1">
        <w:rPr>
          <w:rFonts w:ascii="Times New Roman" w:hAnsi="Times New Roman" w:cs="Times New Roman"/>
        </w:rPr>
        <w:t xml:space="preserve"> eller </w:t>
      </w:r>
      <w:r w:rsidR="00C756B2">
        <w:rPr>
          <w:rFonts w:ascii="Times New Roman" w:hAnsi="Times New Roman" w:cs="Times New Roman"/>
        </w:rPr>
        <w:t xml:space="preserve">at </w:t>
      </w:r>
      <w:r w:rsidRPr="008F7BB1">
        <w:rPr>
          <w:rFonts w:ascii="Times New Roman" w:hAnsi="Times New Roman" w:cs="Times New Roman"/>
        </w:rPr>
        <w:t>der er alternativ beskæftigelse tilgængelig.</w:t>
      </w:r>
      <w:r w:rsidR="00C756B2">
        <w:rPr>
          <w:rFonts w:ascii="Times New Roman" w:hAnsi="Times New Roman" w:cs="Times New Roman"/>
        </w:rPr>
        <w:t xml:space="preserve"> Dette problem er uden tvivl større på kort end på længere sigt</w:t>
      </w:r>
      <w:r w:rsidR="00C15D07">
        <w:rPr>
          <w:rFonts w:ascii="Times New Roman" w:hAnsi="Times New Roman" w:cs="Times New Roman"/>
        </w:rPr>
        <w:t>.</w:t>
      </w:r>
    </w:p>
    <w:p w14:paraId="35833BD8" w14:textId="77777777" w:rsidR="00EC4B79" w:rsidRPr="00EC4B79" w:rsidRDefault="00EC4B79" w:rsidP="00A8693E">
      <w:pPr>
        <w:spacing w:after="0" w:line="276" w:lineRule="auto"/>
        <w:rPr>
          <w:rFonts w:ascii="Times New Roman" w:hAnsi="Times New Roman" w:cs="Times New Roman"/>
        </w:rPr>
      </w:pPr>
    </w:p>
    <w:sectPr w:rsidR="00EC4B79" w:rsidRPr="00EC4B7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B8A7" w14:textId="77777777" w:rsidR="00680FFF" w:rsidRDefault="00680FFF" w:rsidP="00200536">
      <w:pPr>
        <w:spacing w:after="0" w:line="240" w:lineRule="auto"/>
      </w:pPr>
      <w:r>
        <w:separator/>
      </w:r>
    </w:p>
  </w:endnote>
  <w:endnote w:type="continuationSeparator" w:id="0">
    <w:p w14:paraId="0C7E3B8D" w14:textId="77777777" w:rsidR="00680FFF" w:rsidRDefault="00680FFF" w:rsidP="0020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007148"/>
      <w:docPartObj>
        <w:docPartGallery w:val="Page Numbers (Bottom of Page)"/>
        <w:docPartUnique/>
      </w:docPartObj>
    </w:sdtPr>
    <w:sdtEndPr/>
    <w:sdtContent>
      <w:p w14:paraId="230991B8" w14:textId="77777777" w:rsidR="00516D03" w:rsidRDefault="00516D03">
        <w:pPr>
          <w:pStyle w:val="Sidefod"/>
          <w:jc w:val="right"/>
        </w:pPr>
        <w:r>
          <w:fldChar w:fldCharType="begin"/>
        </w:r>
        <w:r>
          <w:instrText>PAGE   \* MERGEFORMAT</w:instrText>
        </w:r>
        <w:r>
          <w:fldChar w:fldCharType="separate"/>
        </w:r>
        <w:r w:rsidR="000D0FE5">
          <w:rPr>
            <w:noProof/>
          </w:rPr>
          <w:t>3</w:t>
        </w:r>
        <w:r>
          <w:fldChar w:fldCharType="end"/>
        </w:r>
      </w:p>
    </w:sdtContent>
  </w:sdt>
  <w:p w14:paraId="412803BB" w14:textId="77777777" w:rsidR="00516D03" w:rsidRDefault="00516D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DD74B" w14:textId="77777777" w:rsidR="00680FFF" w:rsidRDefault="00680FFF" w:rsidP="00200536">
      <w:pPr>
        <w:spacing w:after="0" w:line="240" w:lineRule="auto"/>
      </w:pPr>
      <w:r>
        <w:separator/>
      </w:r>
    </w:p>
  </w:footnote>
  <w:footnote w:type="continuationSeparator" w:id="0">
    <w:p w14:paraId="06559034" w14:textId="77777777" w:rsidR="00680FFF" w:rsidRDefault="00680FFF" w:rsidP="00200536">
      <w:pPr>
        <w:spacing w:after="0" w:line="240" w:lineRule="auto"/>
      </w:pPr>
      <w:r>
        <w:continuationSeparator/>
      </w:r>
    </w:p>
  </w:footnote>
  <w:footnote w:id="1">
    <w:p w14:paraId="08EBA89C" w14:textId="77777777" w:rsidR="00516D03" w:rsidRPr="00DE1A6A" w:rsidRDefault="00516D03" w:rsidP="00011DE3">
      <w:pPr>
        <w:pStyle w:val="Fodnotetekst"/>
        <w:rPr>
          <w:rFonts w:ascii="Times New Roman" w:hAnsi="Times New Roman" w:cs="Times New Roman"/>
        </w:rPr>
      </w:pPr>
      <w:r w:rsidRPr="00DE1A6A">
        <w:rPr>
          <w:rStyle w:val="Fodnotehenvisning"/>
          <w:rFonts w:ascii="Times New Roman" w:hAnsi="Times New Roman" w:cs="Times New Roman"/>
        </w:rPr>
        <w:footnoteRef/>
      </w:r>
      <w:r w:rsidRPr="00DE1A6A">
        <w:rPr>
          <w:rFonts w:ascii="Times New Roman" w:hAnsi="Times New Roman" w:cs="Times New Roman"/>
        </w:rPr>
        <w:t xml:space="preserve"> Ved ekstraordinær forstås i denne sammenhæng fald på over 15% og stigninger på over 20 % i rådgivningen.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4F1" w14:textId="75B5C53F" w:rsidR="00516D03" w:rsidRPr="008B4ABF" w:rsidRDefault="00516D03" w:rsidP="00AC59F0">
    <w:pPr>
      <w:pStyle w:val="Sidehoved"/>
      <w:rPr>
        <w:rFonts w:ascii="Times New Roman" w:hAnsi="Times New Roman" w:cs="Times New Roman"/>
      </w:rPr>
    </w:pPr>
    <w:r w:rsidRPr="008B4ABF">
      <w:rPr>
        <w:rFonts w:ascii="Times New Roman" w:hAnsi="Times New Roman" w:cs="Times New Roman"/>
      </w:rPr>
      <w:t>Fiskerikommissionen</w:t>
    </w:r>
    <w:r w:rsidRPr="008B4ABF">
      <w:rPr>
        <w:rFonts w:ascii="Times New Roman" w:hAnsi="Times New Roman" w:cs="Times New Roman"/>
      </w:rPr>
      <w:tab/>
    </w:r>
    <w:r w:rsidR="00FB15A4">
      <w:rPr>
        <w:rFonts w:ascii="Times New Roman" w:hAnsi="Times New Roman" w:cs="Times New Roman"/>
      </w:rPr>
      <w:t>maj</w:t>
    </w:r>
    <w:r w:rsidR="00FB15A4" w:rsidRPr="008B4ABF">
      <w:rPr>
        <w:rFonts w:ascii="Times New Roman" w:hAnsi="Times New Roman" w:cs="Times New Roman"/>
      </w:rPr>
      <w:t xml:space="preserve"> </w:t>
    </w:r>
    <w:r w:rsidRPr="008B4ABF">
      <w:rPr>
        <w:rFonts w:ascii="Times New Roman" w:hAnsi="Times New Roman" w:cs="Times New Roman"/>
      </w:rPr>
      <w:t>2021</w:t>
    </w:r>
    <w:r w:rsidRPr="008B4ABF">
      <w:rPr>
        <w:rFonts w:ascii="Times New Roman" w:hAnsi="Times New Roman" w:cs="Times New Roman"/>
      </w:rPr>
      <w:tab/>
    </w:r>
  </w:p>
  <w:p w14:paraId="24EEE3B4" w14:textId="77777777" w:rsidR="00516D03" w:rsidRDefault="00516D03">
    <w:pPr>
      <w:pStyle w:val="Sidehoved"/>
    </w:pPr>
  </w:p>
  <w:p w14:paraId="7BA2376B" w14:textId="77777777" w:rsidR="00516D03" w:rsidRDefault="00516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8EE"/>
    <w:multiLevelType w:val="hybridMultilevel"/>
    <w:tmpl w:val="A4C6B18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E93702"/>
    <w:multiLevelType w:val="hybridMultilevel"/>
    <w:tmpl w:val="A3766A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8980598"/>
    <w:multiLevelType w:val="hybridMultilevel"/>
    <w:tmpl w:val="D7B0273C"/>
    <w:lvl w:ilvl="0" w:tplc="0E6482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465B4D"/>
    <w:multiLevelType w:val="multilevel"/>
    <w:tmpl w:val="DEF4BD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0A2850"/>
    <w:multiLevelType w:val="hybridMultilevel"/>
    <w:tmpl w:val="803C00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8723356"/>
    <w:multiLevelType w:val="hybridMultilevel"/>
    <w:tmpl w:val="ED6E53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5E257CB1"/>
    <w:multiLevelType w:val="multilevel"/>
    <w:tmpl w:val="F104E6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E786A66"/>
    <w:multiLevelType w:val="hybridMultilevel"/>
    <w:tmpl w:val="200E2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763C59"/>
    <w:multiLevelType w:val="hybridMultilevel"/>
    <w:tmpl w:val="8E9207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AEC2CC2"/>
    <w:multiLevelType w:val="hybridMultilevel"/>
    <w:tmpl w:val="AD60D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EB1457"/>
    <w:multiLevelType w:val="hybridMultilevel"/>
    <w:tmpl w:val="CDB06B66"/>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ECC1F2E"/>
    <w:multiLevelType w:val="hybridMultilevel"/>
    <w:tmpl w:val="75A0D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2"/>
  </w:num>
  <w:num w:numId="5">
    <w:abstractNumId w:val="4"/>
  </w:num>
  <w:num w:numId="6">
    <w:abstractNumId w:val="3"/>
  </w:num>
  <w:num w:numId="7">
    <w:abstractNumId w:val="7"/>
  </w:num>
  <w:num w:numId="8">
    <w:abstractNumId w:val="11"/>
  </w:num>
  <w:num w:numId="9">
    <w:abstractNumId w:val="6"/>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3F"/>
    <w:rsid w:val="000063A2"/>
    <w:rsid w:val="00010E5D"/>
    <w:rsid w:val="00011DE3"/>
    <w:rsid w:val="000418EB"/>
    <w:rsid w:val="00046707"/>
    <w:rsid w:val="00057932"/>
    <w:rsid w:val="00066DF9"/>
    <w:rsid w:val="000943B4"/>
    <w:rsid w:val="00096C52"/>
    <w:rsid w:val="000A00F6"/>
    <w:rsid w:val="000B3124"/>
    <w:rsid w:val="000D0FE5"/>
    <w:rsid w:val="000E4741"/>
    <w:rsid w:val="000E4D61"/>
    <w:rsid w:val="0010356B"/>
    <w:rsid w:val="00111CB6"/>
    <w:rsid w:val="001131F6"/>
    <w:rsid w:val="00114030"/>
    <w:rsid w:val="00117178"/>
    <w:rsid w:val="00134533"/>
    <w:rsid w:val="001370C3"/>
    <w:rsid w:val="0013717B"/>
    <w:rsid w:val="0014330C"/>
    <w:rsid w:val="00163A22"/>
    <w:rsid w:val="001656BB"/>
    <w:rsid w:val="00170CAE"/>
    <w:rsid w:val="00182BDA"/>
    <w:rsid w:val="00183535"/>
    <w:rsid w:val="001855E8"/>
    <w:rsid w:val="001A3C1E"/>
    <w:rsid w:val="001A695E"/>
    <w:rsid w:val="001C1D46"/>
    <w:rsid w:val="001C293A"/>
    <w:rsid w:val="001C34AF"/>
    <w:rsid w:val="001C4149"/>
    <w:rsid w:val="001E660A"/>
    <w:rsid w:val="001F67EE"/>
    <w:rsid w:val="00200536"/>
    <w:rsid w:val="00200E0B"/>
    <w:rsid w:val="00205552"/>
    <w:rsid w:val="00212849"/>
    <w:rsid w:val="00283F3F"/>
    <w:rsid w:val="00285BBF"/>
    <w:rsid w:val="00286CD9"/>
    <w:rsid w:val="002D28D7"/>
    <w:rsid w:val="002D65BF"/>
    <w:rsid w:val="003301FE"/>
    <w:rsid w:val="00334F61"/>
    <w:rsid w:val="003357C6"/>
    <w:rsid w:val="003462B0"/>
    <w:rsid w:val="00352B97"/>
    <w:rsid w:val="00364403"/>
    <w:rsid w:val="00380089"/>
    <w:rsid w:val="00384529"/>
    <w:rsid w:val="0039133B"/>
    <w:rsid w:val="003B2AF4"/>
    <w:rsid w:val="003B4055"/>
    <w:rsid w:val="003C4B3B"/>
    <w:rsid w:val="003E42F2"/>
    <w:rsid w:val="003E7237"/>
    <w:rsid w:val="003F0BE9"/>
    <w:rsid w:val="00406DA9"/>
    <w:rsid w:val="004132C9"/>
    <w:rsid w:val="004138EE"/>
    <w:rsid w:val="00424C0A"/>
    <w:rsid w:val="00447B7D"/>
    <w:rsid w:val="00455162"/>
    <w:rsid w:val="00456DC3"/>
    <w:rsid w:val="00461375"/>
    <w:rsid w:val="00462380"/>
    <w:rsid w:val="004646EF"/>
    <w:rsid w:val="0049372F"/>
    <w:rsid w:val="004A7A0D"/>
    <w:rsid w:val="004B49C6"/>
    <w:rsid w:val="004C3F42"/>
    <w:rsid w:val="004E28CD"/>
    <w:rsid w:val="004E2E11"/>
    <w:rsid w:val="004E38E2"/>
    <w:rsid w:val="004E4B85"/>
    <w:rsid w:val="004F6005"/>
    <w:rsid w:val="00506878"/>
    <w:rsid w:val="00507F74"/>
    <w:rsid w:val="00510FFC"/>
    <w:rsid w:val="00512221"/>
    <w:rsid w:val="00516D03"/>
    <w:rsid w:val="0053094B"/>
    <w:rsid w:val="00542DBD"/>
    <w:rsid w:val="005600A4"/>
    <w:rsid w:val="00572F2D"/>
    <w:rsid w:val="0057679A"/>
    <w:rsid w:val="0058601B"/>
    <w:rsid w:val="00590510"/>
    <w:rsid w:val="00596BB2"/>
    <w:rsid w:val="00596E27"/>
    <w:rsid w:val="005A6BFC"/>
    <w:rsid w:val="005B2C3A"/>
    <w:rsid w:val="005B437C"/>
    <w:rsid w:val="005C77D0"/>
    <w:rsid w:val="005E64F0"/>
    <w:rsid w:val="005E750F"/>
    <w:rsid w:val="005F7323"/>
    <w:rsid w:val="00601DF6"/>
    <w:rsid w:val="006253E3"/>
    <w:rsid w:val="00633D1E"/>
    <w:rsid w:val="0064210C"/>
    <w:rsid w:val="006452C4"/>
    <w:rsid w:val="006625A7"/>
    <w:rsid w:val="00680FFF"/>
    <w:rsid w:val="00686289"/>
    <w:rsid w:val="00696328"/>
    <w:rsid w:val="0069668B"/>
    <w:rsid w:val="006A13CC"/>
    <w:rsid w:val="006C19B3"/>
    <w:rsid w:val="006F25E5"/>
    <w:rsid w:val="006F5982"/>
    <w:rsid w:val="0070292A"/>
    <w:rsid w:val="0070352C"/>
    <w:rsid w:val="00704891"/>
    <w:rsid w:val="00711EFB"/>
    <w:rsid w:val="007211CA"/>
    <w:rsid w:val="00724F30"/>
    <w:rsid w:val="00725155"/>
    <w:rsid w:val="0074188E"/>
    <w:rsid w:val="007550FE"/>
    <w:rsid w:val="00757CF0"/>
    <w:rsid w:val="00766B72"/>
    <w:rsid w:val="007755D5"/>
    <w:rsid w:val="00787337"/>
    <w:rsid w:val="00793FCA"/>
    <w:rsid w:val="007B6BBD"/>
    <w:rsid w:val="007C59AE"/>
    <w:rsid w:val="00801EFF"/>
    <w:rsid w:val="00805C71"/>
    <w:rsid w:val="00821973"/>
    <w:rsid w:val="0082215D"/>
    <w:rsid w:val="00823BAF"/>
    <w:rsid w:val="00844199"/>
    <w:rsid w:val="008679B9"/>
    <w:rsid w:val="00883CF7"/>
    <w:rsid w:val="008A4DFA"/>
    <w:rsid w:val="008B47EC"/>
    <w:rsid w:val="008C2B44"/>
    <w:rsid w:val="008D511A"/>
    <w:rsid w:val="008E1B30"/>
    <w:rsid w:val="008F34DA"/>
    <w:rsid w:val="008F3A51"/>
    <w:rsid w:val="008F7BB1"/>
    <w:rsid w:val="00910AF8"/>
    <w:rsid w:val="009265D8"/>
    <w:rsid w:val="00926AA9"/>
    <w:rsid w:val="009313E5"/>
    <w:rsid w:val="00941B97"/>
    <w:rsid w:val="009539E5"/>
    <w:rsid w:val="00954D08"/>
    <w:rsid w:val="009569DC"/>
    <w:rsid w:val="00970417"/>
    <w:rsid w:val="00980EB4"/>
    <w:rsid w:val="009857A4"/>
    <w:rsid w:val="00986286"/>
    <w:rsid w:val="009B4BD9"/>
    <w:rsid w:val="009B6D70"/>
    <w:rsid w:val="009D3DD3"/>
    <w:rsid w:val="009D63C5"/>
    <w:rsid w:val="009D799C"/>
    <w:rsid w:val="009E4728"/>
    <w:rsid w:val="009E50E1"/>
    <w:rsid w:val="009F6E6F"/>
    <w:rsid w:val="00A01E33"/>
    <w:rsid w:val="00A0488B"/>
    <w:rsid w:val="00A15410"/>
    <w:rsid w:val="00A26870"/>
    <w:rsid w:val="00A330C3"/>
    <w:rsid w:val="00A36610"/>
    <w:rsid w:val="00A41B74"/>
    <w:rsid w:val="00A6390F"/>
    <w:rsid w:val="00A733D8"/>
    <w:rsid w:val="00A7766C"/>
    <w:rsid w:val="00A777FF"/>
    <w:rsid w:val="00A8019C"/>
    <w:rsid w:val="00A8693E"/>
    <w:rsid w:val="00A9307E"/>
    <w:rsid w:val="00AB76F2"/>
    <w:rsid w:val="00AC04C0"/>
    <w:rsid w:val="00AC580A"/>
    <w:rsid w:val="00AC59F0"/>
    <w:rsid w:val="00AD02C9"/>
    <w:rsid w:val="00AE2670"/>
    <w:rsid w:val="00AE39D5"/>
    <w:rsid w:val="00AE6604"/>
    <w:rsid w:val="00B01E8F"/>
    <w:rsid w:val="00B14B6E"/>
    <w:rsid w:val="00B1675D"/>
    <w:rsid w:val="00B2445B"/>
    <w:rsid w:val="00B2525B"/>
    <w:rsid w:val="00B273D7"/>
    <w:rsid w:val="00B4377D"/>
    <w:rsid w:val="00B5048A"/>
    <w:rsid w:val="00B61BFC"/>
    <w:rsid w:val="00B77308"/>
    <w:rsid w:val="00B87CA8"/>
    <w:rsid w:val="00B907A6"/>
    <w:rsid w:val="00BA3735"/>
    <w:rsid w:val="00BB30EF"/>
    <w:rsid w:val="00C159CA"/>
    <w:rsid w:val="00C15D07"/>
    <w:rsid w:val="00C17765"/>
    <w:rsid w:val="00C36925"/>
    <w:rsid w:val="00C56143"/>
    <w:rsid w:val="00C63EDE"/>
    <w:rsid w:val="00C736A2"/>
    <w:rsid w:val="00C756B2"/>
    <w:rsid w:val="00C801DC"/>
    <w:rsid w:val="00C86774"/>
    <w:rsid w:val="00C96385"/>
    <w:rsid w:val="00C97455"/>
    <w:rsid w:val="00CA0F9E"/>
    <w:rsid w:val="00CB6445"/>
    <w:rsid w:val="00CB72AE"/>
    <w:rsid w:val="00CC2207"/>
    <w:rsid w:val="00CE3D43"/>
    <w:rsid w:val="00CE3F65"/>
    <w:rsid w:val="00CF3319"/>
    <w:rsid w:val="00CF66BE"/>
    <w:rsid w:val="00CF70BD"/>
    <w:rsid w:val="00D24351"/>
    <w:rsid w:val="00D32AB2"/>
    <w:rsid w:val="00D4776D"/>
    <w:rsid w:val="00D511D8"/>
    <w:rsid w:val="00D5156C"/>
    <w:rsid w:val="00D6124A"/>
    <w:rsid w:val="00D65BE6"/>
    <w:rsid w:val="00D82392"/>
    <w:rsid w:val="00D835F1"/>
    <w:rsid w:val="00D867B2"/>
    <w:rsid w:val="00D94341"/>
    <w:rsid w:val="00DB032D"/>
    <w:rsid w:val="00DB624F"/>
    <w:rsid w:val="00DB76AC"/>
    <w:rsid w:val="00DC62F4"/>
    <w:rsid w:val="00DC6D6D"/>
    <w:rsid w:val="00DE1A6A"/>
    <w:rsid w:val="00DF3338"/>
    <w:rsid w:val="00E02761"/>
    <w:rsid w:val="00E10DAD"/>
    <w:rsid w:val="00E21396"/>
    <w:rsid w:val="00E30ABB"/>
    <w:rsid w:val="00E31386"/>
    <w:rsid w:val="00E4404F"/>
    <w:rsid w:val="00E4727C"/>
    <w:rsid w:val="00E47911"/>
    <w:rsid w:val="00E50C97"/>
    <w:rsid w:val="00E63C82"/>
    <w:rsid w:val="00E64F56"/>
    <w:rsid w:val="00E71BF2"/>
    <w:rsid w:val="00E81AA1"/>
    <w:rsid w:val="00E822F1"/>
    <w:rsid w:val="00E826C5"/>
    <w:rsid w:val="00E84BA0"/>
    <w:rsid w:val="00E86D94"/>
    <w:rsid w:val="00E86E8C"/>
    <w:rsid w:val="00E91E52"/>
    <w:rsid w:val="00EA105A"/>
    <w:rsid w:val="00EA19CB"/>
    <w:rsid w:val="00EC1817"/>
    <w:rsid w:val="00EC4B79"/>
    <w:rsid w:val="00ED6D56"/>
    <w:rsid w:val="00EE46FC"/>
    <w:rsid w:val="00EF1D96"/>
    <w:rsid w:val="00EF49C0"/>
    <w:rsid w:val="00EF6CF3"/>
    <w:rsid w:val="00F07F15"/>
    <w:rsid w:val="00F307E2"/>
    <w:rsid w:val="00F3159B"/>
    <w:rsid w:val="00F35956"/>
    <w:rsid w:val="00F42074"/>
    <w:rsid w:val="00F45F3D"/>
    <w:rsid w:val="00F62B5B"/>
    <w:rsid w:val="00F72F46"/>
    <w:rsid w:val="00F73649"/>
    <w:rsid w:val="00F7493F"/>
    <w:rsid w:val="00F76745"/>
    <w:rsid w:val="00F77D38"/>
    <w:rsid w:val="00F867A6"/>
    <w:rsid w:val="00FB15A4"/>
    <w:rsid w:val="00FE43DC"/>
    <w:rsid w:val="00FF3C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AA55C"/>
  <w15:chartTrackingRefBased/>
  <w15:docId w15:val="{0F798272-5735-4671-B38E-4E2C53E7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493F"/>
    <w:pPr>
      <w:ind w:left="720"/>
      <w:contextualSpacing/>
    </w:pPr>
  </w:style>
  <w:style w:type="paragraph" w:styleId="Sidehoved">
    <w:name w:val="header"/>
    <w:basedOn w:val="Normal"/>
    <w:link w:val="SidehovedTegn"/>
    <w:uiPriority w:val="99"/>
    <w:unhideWhenUsed/>
    <w:rsid w:val="002005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0536"/>
  </w:style>
  <w:style w:type="paragraph" w:styleId="Sidefod">
    <w:name w:val="footer"/>
    <w:basedOn w:val="Normal"/>
    <w:link w:val="SidefodTegn"/>
    <w:uiPriority w:val="99"/>
    <w:unhideWhenUsed/>
    <w:rsid w:val="002005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0536"/>
  </w:style>
  <w:style w:type="character" w:styleId="Kommentarhenvisning">
    <w:name w:val="annotation reference"/>
    <w:basedOn w:val="Standardskrifttypeiafsnit"/>
    <w:uiPriority w:val="99"/>
    <w:semiHidden/>
    <w:unhideWhenUsed/>
    <w:rsid w:val="00C63EDE"/>
    <w:rPr>
      <w:sz w:val="16"/>
      <w:szCs w:val="16"/>
    </w:rPr>
  </w:style>
  <w:style w:type="paragraph" w:styleId="Kommentartekst">
    <w:name w:val="annotation text"/>
    <w:basedOn w:val="Normal"/>
    <w:link w:val="KommentartekstTegn"/>
    <w:uiPriority w:val="99"/>
    <w:semiHidden/>
    <w:unhideWhenUsed/>
    <w:rsid w:val="00C63E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63EDE"/>
    <w:rPr>
      <w:sz w:val="20"/>
      <w:szCs w:val="20"/>
    </w:rPr>
  </w:style>
  <w:style w:type="paragraph" w:styleId="Kommentaremne">
    <w:name w:val="annotation subject"/>
    <w:basedOn w:val="Kommentartekst"/>
    <w:next w:val="Kommentartekst"/>
    <w:link w:val="KommentaremneTegn"/>
    <w:uiPriority w:val="99"/>
    <w:semiHidden/>
    <w:unhideWhenUsed/>
    <w:rsid w:val="00C63EDE"/>
    <w:rPr>
      <w:b/>
      <w:bCs/>
    </w:rPr>
  </w:style>
  <w:style w:type="character" w:customStyle="1" w:styleId="KommentaremneTegn">
    <w:name w:val="Kommentaremne Tegn"/>
    <w:basedOn w:val="KommentartekstTegn"/>
    <w:link w:val="Kommentaremne"/>
    <w:uiPriority w:val="99"/>
    <w:semiHidden/>
    <w:rsid w:val="00C63EDE"/>
    <w:rPr>
      <w:b/>
      <w:bCs/>
      <w:sz w:val="20"/>
      <w:szCs w:val="20"/>
    </w:rPr>
  </w:style>
  <w:style w:type="paragraph" w:styleId="Markeringsbobletekst">
    <w:name w:val="Balloon Text"/>
    <w:basedOn w:val="Normal"/>
    <w:link w:val="MarkeringsbobletekstTegn"/>
    <w:uiPriority w:val="99"/>
    <w:semiHidden/>
    <w:unhideWhenUsed/>
    <w:rsid w:val="00AE26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2670"/>
    <w:rPr>
      <w:rFonts w:ascii="Segoe UI" w:hAnsi="Segoe UI" w:cs="Segoe UI"/>
      <w:sz w:val="18"/>
      <w:szCs w:val="18"/>
    </w:rPr>
  </w:style>
  <w:style w:type="paragraph" w:customStyle="1" w:styleId="Default">
    <w:name w:val="Default"/>
    <w:rsid w:val="00183535"/>
    <w:pPr>
      <w:autoSpaceDE w:val="0"/>
      <w:autoSpaceDN w:val="0"/>
      <w:adjustRightInd w:val="0"/>
      <w:spacing w:after="0" w:line="240" w:lineRule="auto"/>
    </w:pPr>
    <w:rPr>
      <w:rFonts w:ascii="Times New Roman" w:hAnsi="Times New Roman" w:cs="Times New Roman"/>
      <w:color w:val="000000"/>
      <w:sz w:val="24"/>
      <w:szCs w:val="24"/>
    </w:rPr>
  </w:style>
  <w:style w:type="paragraph" w:styleId="Fodnotetekst">
    <w:name w:val="footnote text"/>
    <w:basedOn w:val="Normal"/>
    <w:link w:val="FodnotetekstTegn"/>
    <w:uiPriority w:val="99"/>
    <w:semiHidden/>
    <w:unhideWhenUsed/>
    <w:rsid w:val="00011D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11DE3"/>
    <w:rPr>
      <w:sz w:val="20"/>
      <w:szCs w:val="20"/>
    </w:rPr>
  </w:style>
  <w:style w:type="character" w:styleId="Fodnotehenvisning">
    <w:name w:val="footnote reference"/>
    <w:basedOn w:val="Standardskrifttypeiafsnit"/>
    <w:uiPriority w:val="99"/>
    <w:semiHidden/>
    <w:unhideWhenUsed/>
    <w:rsid w:val="00011DE3"/>
    <w:rPr>
      <w:vertAlign w:val="superscript"/>
    </w:rPr>
  </w:style>
  <w:style w:type="paragraph" w:styleId="Korrektur">
    <w:name w:val="Revision"/>
    <w:hidden/>
    <w:uiPriority w:val="99"/>
    <w:semiHidden/>
    <w:rsid w:val="00DC6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4555">
      <w:bodyDiv w:val="1"/>
      <w:marLeft w:val="0"/>
      <w:marRight w:val="0"/>
      <w:marTop w:val="0"/>
      <w:marBottom w:val="0"/>
      <w:divBdr>
        <w:top w:val="none" w:sz="0" w:space="0" w:color="auto"/>
        <w:left w:val="none" w:sz="0" w:space="0" w:color="auto"/>
        <w:bottom w:val="none" w:sz="0" w:space="0" w:color="auto"/>
        <w:right w:val="none" w:sz="0" w:space="0" w:color="auto"/>
      </w:divBdr>
    </w:div>
    <w:div w:id="77945439">
      <w:bodyDiv w:val="1"/>
      <w:marLeft w:val="0"/>
      <w:marRight w:val="0"/>
      <w:marTop w:val="0"/>
      <w:marBottom w:val="0"/>
      <w:divBdr>
        <w:top w:val="none" w:sz="0" w:space="0" w:color="auto"/>
        <w:left w:val="none" w:sz="0" w:space="0" w:color="auto"/>
        <w:bottom w:val="none" w:sz="0" w:space="0" w:color="auto"/>
        <w:right w:val="none" w:sz="0" w:space="0" w:color="auto"/>
      </w:divBdr>
    </w:div>
    <w:div w:id="172846977">
      <w:bodyDiv w:val="1"/>
      <w:marLeft w:val="0"/>
      <w:marRight w:val="0"/>
      <w:marTop w:val="0"/>
      <w:marBottom w:val="0"/>
      <w:divBdr>
        <w:top w:val="none" w:sz="0" w:space="0" w:color="auto"/>
        <w:left w:val="none" w:sz="0" w:space="0" w:color="auto"/>
        <w:bottom w:val="none" w:sz="0" w:space="0" w:color="auto"/>
        <w:right w:val="none" w:sz="0" w:space="0" w:color="auto"/>
      </w:divBdr>
    </w:div>
    <w:div w:id="208038393">
      <w:bodyDiv w:val="1"/>
      <w:marLeft w:val="0"/>
      <w:marRight w:val="0"/>
      <w:marTop w:val="0"/>
      <w:marBottom w:val="0"/>
      <w:divBdr>
        <w:top w:val="none" w:sz="0" w:space="0" w:color="auto"/>
        <w:left w:val="none" w:sz="0" w:space="0" w:color="auto"/>
        <w:bottom w:val="none" w:sz="0" w:space="0" w:color="auto"/>
        <w:right w:val="none" w:sz="0" w:space="0" w:color="auto"/>
      </w:divBdr>
    </w:div>
    <w:div w:id="314797607">
      <w:bodyDiv w:val="1"/>
      <w:marLeft w:val="0"/>
      <w:marRight w:val="0"/>
      <w:marTop w:val="0"/>
      <w:marBottom w:val="0"/>
      <w:divBdr>
        <w:top w:val="none" w:sz="0" w:space="0" w:color="auto"/>
        <w:left w:val="none" w:sz="0" w:space="0" w:color="auto"/>
        <w:bottom w:val="none" w:sz="0" w:space="0" w:color="auto"/>
        <w:right w:val="none" w:sz="0" w:space="0" w:color="auto"/>
      </w:divBdr>
    </w:div>
    <w:div w:id="357658761">
      <w:bodyDiv w:val="1"/>
      <w:marLeft w:val="0"/>
      <w:marRight w:val="0"/>
      <w:marTop w:val="0"/>
      <w:marBottom w:val="0"/>
      <w:divBdr>
        <w:top w:val="none" w:sz="0" w:space="0" w:color="auto"/>
        <w:left w:val="none" w:sz="0" w:space="0" w:color="auto"/>
        <w:bottom w:val="none" w:sz="0" w:space="0" w:color="auto"/>
        <w:right w:val="none" w:sz="0" w:space="0" w:color="auto"/>
      </w:divBdr>
    </w:div>
    <w:div w:id="400300375">
      <w:bodyDiv w:val="1"/>
      <w:marLeft w:val="0"/>
      <w:marRight w:val="0"/>
      <w:marTop w:val="0"/>
      <w:marBottom w:val="0"/>
      <w:divBdr>
        <w:top w:val="none" w:sz="0" w:space="0" w:color="auto"/>
        <w:left w:val="none" w:sz="0" w:space="0" w:color="auto"/>
        <w:bottom w:val="none" w:sz="0" w:space="0" w:color="auto"/>
        <w:right w:val="none" w:sz="0" w:space="0" w:color="auto"/>
      </w:divBdr>
    </w:div>
    <w:div w:id="411049023">
      <w:bodyDiv w:val="1"/>
      <w:marLeft w:val="0"/>
      <w:marRight w:val="0"/>
      <w:marTop w:val="0"/>
      <w:marBottom w:val="0"/>
      <w:divBdr>
        <w:top w:val="none" w:sz="0" w:space="0" w:color="auto"/>
        <w:left w:val="none" w:sz="0" w:space="0" w:color="auto"/>
        <w:bottom w:val="none" w:sz="0" w:space="0" w:color="auto"/>
        <w:right w:val="none" w:sz="0" w:space="0" w:color="auto"/>
      </w:divBdr>
    </w:div>
    <w:div w:id="416945066">
      <w:bodyDiv w:val="1"/>
      <w:marLeft w:val="0"/>
      <w:marRight w:val="0"/>
      <w:marTop w:val="0"/>
      <w:marBottom w:val="0"/>
      <w:divBdr>
        <w:top w:val="none" w:sz="0" w:space="0" w:color="auto"/>
        <w:left w:val="none" w:sz="0" w:space="0" w:color="auto"/>
        <w:bottom w:val="none" w:sz="0" w:space="0" w:color="auto"/>
        <w:right w:val="none" w:sz="0" w:space="0" w:color="auto"/>
      </w:divBdr>
    </w:div>
    <w:div w:id="438379448">
      <w:bodyDiv w:val="1"/>
      <w:marLeft w:val="0"/>
      <w:marRight w:val="0"/>
      <w:marTop w:val="0"/>
      <w:marBottom w:val="0"/>
      <w:divBdr>
        <w:top w:val="none" w:sz="0" w:space="0" w:color="auto"/>
        <w:left w:val="none" w:sz="0" w:space="0" w:color="auto"/>
        <w:bottom w:val="none" w:sz="0" w:space="0" w:color="auto"/>
        <w:right w:val="none" w:sz="0" w:space="0" w:color="auto"/>
      </w:divBdr>
    </w:div>
    <w:div w:id="464080988">
      <w:bodyDiv w:val="1"/>
      <w:marLeft w:val="0"/>
      <w:marRight w:val="0"/>
      <w:marTop w:val="0"/>
      <w:marBottom w:val="0"/>
      <w:divBdr>
        <w:top w:val="none" w:sz="0" w:space="0" w:color="auto"/>
        <w:left w:val="none" w:sz="0" w:space="0" w:color="auto"/>
        <w:bottom w:val="none" w:sz="0" w:space="0" w:color="auto"/>
        <w:right w:val="none" w:sz="0" w:space="0" w:color="auto"/>
      </w:divBdr>
    </w:div>
    <w:div w:id="506795368">
      <w:bodyDiv w:val="1"/>
      <w:marLeft w:val="0"/>
      <w:marRight w:val="0"/>
      <w:marTop w:val="0"/>
      <w:marBottom w:val="0"/>
      <w:divBdr>
        <w:top w:val="none" w:sz="0" w:space="0" w:color="auto"/>
        <w:left w:val="none" w:sz="0" w:space="0" w:color="auto"/>
        <w:bottom w:val="none" w:sz="0" w:space="0" w:color="auto"/>
        <w:right w:val="none" w:sz="0" w:space="0" w:color="auto"/>
      </w:divBdr>
    </w:div>
    <w:div w:id="535124445">
      <w:bodyDiv w:val="1"/>
      <w:marLeft w:val="0"/>
      <w:marRight w:val="0"/>
      <w:marTop w:val="0"/>
      <w:marBottom w:val="0"/>
      <w:divBdr>
        <w:top w:val="none" w:sz="0" w:space="0" w:color="auto"/>
        <w:left w:val="none" w:sz="0" w:space="0" w:color="auto"/>
        <w:bottom w:val="none" w:sz="0" w:space="0" w:color="auto"/>
        <w:right w:val="none" w:sz="0" w:space="0" w:color="auto"/>
      </w:divBdr>
    </w:div>
    <w:div w:id="580410461">
      <w:bodyDiv w:val="1"/>
      <w:marLeft w:val="0"/>
      <w:marRight w:val="0"/>
      <w:marTop w:val="0"/>
      <w:marBottom w:val="0"/>
      <w:divBdr>
        <w:top w:val="none" w:sz="0" w:space="0" w:color="auto"/>
        <w:left w:val="none" w:sz="0" w:space="0" w:color="auto"/>
        <w:bottom w:val="none" w:sz="0" w:space="0" w:color="auto"/>
        <w:right w:val="none" w:sz="0" w:space="0" w:color="auto"/>
      </w:divBdr>
    </w:div>
    <w:div w:id="589316730">
      <w:bodyDiv w:val="1"/>
      <w:marLeft w:val="0"/>
      <w:marRight w:val="0"/>
      <w:marTop w:val="0"/>
      <w:marBottom w:val="0"/>
      <w:divBdr>
        <w:top w:val="none" w:sz="0" w:space="0" w:color="auto"/>
        <w:left w:val="none" w:sz="0" w:space="0" w:color="auto"/>
        <w:bottom w:val="none" w:sz="0" w:space="0" w:color="auto"/>
        <w:right w:val="none" w:sz="0" w:space="0" w:color="auto"/>
      </w:divBdr>
    </w:div>
    <w:div w:id="643236561">
      <w:bodyDiv w:val="1"/>
      <w:marLeft w:val="0"/>
      <w:marRight w:val="0"/>
      <w:marTop w:val="0"/>
      <w:marBottom w:val="0"/>
      <w:divBdr>
        <w:top w:val="none" w:sz="0" w:space="0" w:color="auto"/>
        <w:left w:val="none" w:sz="0" w:space="0" w:color="auto"/>
        <w:bottom w:val="none" w:sz="0" w:space="0" w:color="auto"/>
        <w:right w:val="none" w:sz="0" w:space="0" w:color="auto"/>
      </w:divBdr>
    </w:div>
    <w:div w:id="708919496">
      <w:bodyDiv w:val="1"/>
      <w:marLeft w:val="0"/>
      <w:marRight w:val="0"/>
      <w:marTop w:val="0"/>
      <w:marBottom w:val="0"/>
      <w:divBdr>
        <w:top w:val="none" w:sz="0" w:space="0" w:color="auto"/>
        <w:left w:val="none" w:sz="0" w:space="0" w:color="auto"/>
        <w:bottom w:val="none" w:sz="0" w:space="0" w:color="auto"/>
        <w:right w:val="none" w:sz="0" w:space="0" w:color="auto"/>
      </w:divBdr>
    </w:div>
    <w:div w:id="722216196">
      <w:bodyDiv w:val="1"/>
      <w:marLeft w:val="0"/>
      <w:marRight w:val="0"/>
      <w:marTop w:val="0"/>
      <w:marBottom w:val="0"/>
      <w:divBdr>
        <w:top w:val="none" w:sz="0" w:space="0" w:color="auto"/>
        <w:left w:val="none" w:sz="0" w:space="0" w:color="auto"/>
        <w:bottom w:val="none" w:sz="0" w:space="0" w:color="auto"/>
        <w:right w:val="none" w:sz="0" w:space="0" w:color="auto"/>
      </w:divBdr>
    </w:div>
    <w:div w:id="730687801">
      <w:bodyDiv w:val="1"/>
      <w:marLeft w:val="0"/>
      <w:marRight w:val="0"/>
      <w:marTop w:val="0"/>
      <w:marBottom w:val="0"/>
      <w:divBdr>
        <w:top w:val="none" w:sz="0" w:space="0" w:color="auto"/>
        <w:left w:val="none" w:sz="0" w:space="0" w:color="auto"/>
        <w:bottom w:val="none" w:sz="0" w:space="0" w:color="auto"/>
        <w:right w:val="none" w:sz="0" w:space="0" w:color="auto"/>
      </w:divBdr>
    </w:div>
    <w:div w:id="882984210">
      <w:bodyDiv w:val="1"/>
      <w:marLeft w:val="0"/>
      <w:marRight w:val="0"/>
      <w:marTop w:val="0"/>
      <w:marBottom w:val="0"/>
      <w:divBdr>
        <w:top w:val="none" w:sz="0" w:space="0" w:color="auto"/>
        <w:left w:val="none" w:sz="0" w:space="0" w:color="auto"/>
        <w:bottom w:val="none" w:sz="0" w:space="0" w:color="auto"/>
        <w:right w:val="none" w:sz="0" w:space="0" w:color="auto"/>
      </w:divBdr>
    </w:div>
    <w:div w:id="913319817">
      <w:bodyDiv w:val="1"/>
      <w:marLeft w:val="0"/>
      <w:marRight w:val="0"/>
      <w:marTop w:val="0"/>
      <w:marBottom w:val="0"/>
      <w:divBdr>
        <w:top w:val="none" w:sz="0" w:space="0" w:color="auto"/>
        <w:left w:val="none" w:sz="0" w:space="0" w:color="auto"/>
        <w:bottom w:val="none" w:sz="0" w:space="0" w:color="auto"/>
        <w:right w:val="none" w:sz="0" w:space="0" w:color="auto"/>
      </w:divBdr>
    </w:div>
    <w:div w:id="923152835">
      <w:bodyDiv w:val="1"/>
      <w:marLeft w:val="0"/>
      <w:marRight w:val="0"/>
      <w:marTop w:val="0"/>
      <w:marBottom w:val="0"/>
      <w:divBdr>
        <w:top w:val="none" w:sz="0" w:space="0" w:color="auto"/>
        <w:left w:val="none" w:sz="0" w:space="0" w:color="auto"/>
        <w:bottom w:val="none" w:sz="0" w:space="0" w:color="auto"/>
        <w:right w:val="none" w:sz="0" w:space="0" w:color="auto"/>
      </w:divBdr>
    </w:div>
    <w:div w:id="1018311102">
      <w:bodyDiv w:val="1"/>
      <w:marLeft w:val="0"/>
      <w:marRight w:val="0"/>
      <w:marTop w:val="0"/>
      <w:marBottom w:val="0"/>
      <w:divBdr>
        <w:top w:val="none" w:sz="0" w:space="0" w:color="auto"/>
        <w:left w:val="none" w:sz="0" w:space="0" w:color="auto"/>
        <w:bottom w:val="none" w:sz="0" w:space="0" w:color="auto"/>
        <w:right w:val="none" w:sz="0" w:space="0" w:color="auto"/>
      </w:divBdr>
    </w:div>
    <w:div w:id="1106340441">
      <w:bodyDiv w:val="1"/>
      <w:marLeft w:val="0"/>
      <w:marRight w:val="0"/>
      <w:marTop w:val="0"/>
      <w:marBottom w:val="0"/>
      <w:divBdr>
        <w:top w:val="none" w:sz="0" w:space="0" w:color="auto"/>
        <w:left w:val="none" w:sz="0" w:space="0" w:color="auto"/>
        <w:bottom w:val="none" w:sz="0" w:space="0" w:color="auto"/>
        <w:right w:val="none" w:sz="0" w:space="0" w:color="auto"/>
      </w:divBdr>
    </w:div>
    <w:div w:id="1377243337">
      <w:bodyDiv w:val="1"/>
      <w:marLeft w:val="0"/>
      <w:marRight w:val="0"/>
      <w:marTop w:val="0"/>
      <w:marBottom w:val="0"/>
      <w:divBdr>
        <w:top w:val="none" w:sz="0" w:space="0" w:color="auto"/>
        <w:left w:val="none" w:sz="0" w:space="0" w:color="auto"/>
        <w:bottom w:val="none" w:sz="0" w:space="0" w:color="auto"/>
        <w:right w:val="none" w:sz="0" w:space="0" w:color="auto"/>
      </w:divBdr>
    </w:div>
    <w:div w:id="1390307477">
      <w:bodyDiv w:val="1"/>
      <w:marLeft w:val="0"/>
      <w:marRight w:val="0"/>
      <w:marTop w:val="0"/>
      <w:marBottom w:val="0"/>
      <w:divBdr>
        <w:top w:val="none" w:sz="0" w:space="0" w:color="auto"/>
        <w:left w:val="none" w:sz="0" w:space="0" w:color="auto"/>
        <w:bottom w:val="none" w:sz="0" w:space="0" w:color="auto"/>
        <w:right w:val="none" w:sz="0" w:space="0" w:color="auto"/>
      </w:divBdr>
    </w:div>
    <w:div w:id="1473714423">
      <w:bodyDiv w:val="1"/>
      <w:marLeft w:val="0"/>
      <w:marRight w:val="0"/>
      <w:marTop w:val="0"/>
      <w:marBottom w:val="0"/>
      <w:divBdr>
        <w:top w:val="none" w:sz="0" w:space="0" w:color="auto"/>
        <w:left w:val="none" w:sz="0" w:space="0" w:color="auto"/>
        <w:bottom w:val="none" w:sz="0" w:space="0" w:color="auto"/>
        <w:right w:val="none" w:sz="0" w:space="0" w:color="auto"/>
      </w:divBdr>
    </w:div>
    <w:div w:id="1520197911">
      <w:bodyDiv w:val="1"/>
      <w:marLeft w:val="0"/>
      <w:marRight w:val="0"/>
      <w:marTop w:val="0"/>
      <w:marBottom w:val="0"/>
      <w:divBdr>
        <w:top w:val="none" w:sz="0" w:space="0" w:color="auto"/>
        <w:left w:val="none" w:sz="0" w:space="0" w:color="auto"/>
        <w:bottom w:val="none" w:sz="0" w:space="0" w:color="auto"/>
        <w:right w:val="none" w:sz="0" w:space="0" w:color="auto"/>
      </w:divBdr>
    </w:div>
    <w:div w:id="1709985117">
      <w:bodyDiv w:val="1"/>
      <w:marLeft w:val="0"/>
      <w:marRight w:val="0"/>
      <w:marTop w:val="0"/>
      <w:marBottom w:val="0"/>
      <w:divBdr>
        <w:top w:val="none" w:sz="0" w:space="0" w:color="auto"/>
        <w:left w:val="none" w:sz="0" w:space="0" w:color="auto"/>
        <w:bottom w:val="none" w:sz="0" w:space="0" w:color="auto"/>
        <w:right w:val="none" w:sz="0" w:space="0" w:color="auto"/>
      </w:divBdr>
    </w:div>
    <w:div w:id="1740131475">
      <w:bodyDiv w:val="1"/>
      <w:marLeft w:val="0"/>
      <w:marRight w:val="0"/>
      <w:marTop w:val="0"/>
      <w:marBottom w:val="0"/>
      <w:divBdr>
        <w:top w:val="none" w:sz="0" w:space="0" w:color="auto"/>
        <w:left w:val="none" w:sz="0" w:space="0" w:color="auto"/>
        <w:bottom w:val="none" w:sz="0" w:space="0" w:color="auto"/>
        <w:right w:val="none" w:sz="0" w:space="0" w:color="auto"/>
      </w:divBdr>
    </w:div>
    <w:div w:id="1908373377">
      <w:bodyDiv w:val="1"/>
      <w:marLeft w:val="0"/>
      <w:marRight w:val="0"/>
      <w:marTop w:val="0"/>
      <w:marBottom w:val="0"/>
      <w:divBdr>
        <w:top w:val="none" w:sz="0" w:space="0" w:color="auto"/>
        <w:left w:val="none" w:sz="0" w:space="0" w:color="auto"/>
        <w:bottom w:val="none" w:sz="0" w:space="0" w:color="auto"/>
        <w:right w:val="none" w:sz="0" w:space="0" w:color="auto"/>
      </w:divBdr>
    </w:div>
    <w:div w:id="1951432431">
      <w:bodyDiv w:val="1"/>
      <w:marLeft w:val="0"/>
      <w:marRight w:val="0"/>
      <w:marTop w:val="0"/>
      <w:marBottom w:val="0"/>
      <w:divBdr>
        <w:top w:val="none" w:sz="0" w:space="0" w:color="auto"/>
        <w:left w:val="none" w:sz="0" w:space="0" w:color="auto"/>
        <w:bottom w:val="none" w:sz="0" w:space="0" w:color="auto"/>
        <w:right w:val="none" w:sz="0" w:space="0" w:color="auto"/>
      </w:divBdr>
    </w:div>
    <w:div w:id="2036299939">
      <w:bodyDiv w:val="1"/>
      <w:marLeft w:val="0"/>
      <w:marRight w:val="0"/>
      <w:marTop w:val="0"/>
      <w:marBottom w:val="0"/>
      <w:divBdr>
        <w:top w:val="none" w:sz="0" w:space="0" w:color="auto"/>
        <w:left w:val="none" w:sz="0" w:space="0" w:color="auto"/>
        <w:bottom w:val="none" w:sz="0" w:space="0" w:color="auto"/>
        <w:right w:val="none" w:sz="0" w:space="0" w:color="auto"/>
      </w:divBdr>
    </w:div>
    <w:div w:id="2084256889">
      <w:bodyDiv w:val="1"/>
      <w:marLeft w:val="0"/>
      <w:marRight w:val="0"/>
      <w:marTop w:val="0"/>
      <w:marBottom w:val="0"/>
      <w:divBdr>
        <w:top w:val="none" w:sz="0" w:space="0" w:color="auto"/>
        <w:left w:val="none" w:sz="0" w:space="0" w:color="auto"/>
        <w:bottom w:val="none" w:sz="0" w:space="0" w:color="auto"/>
        <w:right w:val="none" w:sz="0" w:space="0" w:color="auto"/>
      </w:divBdr>
    </w:div>
    <w:div w:id="21400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TAC%20og%20fangster,%20havg.fiskeri%2020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TAC%20og%20fangster,%20havg.fiskeri%202012-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Fartøjer, Hellefisk i Vest og Øst</c:v>
          </c:tx>
          <c:spPr>
            <a:solidFill>
              <a:schemeClr val="accent1"/>
            </a:solidFill>
            <a:ln>
              <a:noFill/>
            </a:ln>
            <a:effectLst/>
          </c:spPr>
          <c:invertIfNegative val="0"/>
          <c:cat>
            <c:numRef>
              <c:f>'Licenshavere og flaade'!$C$75:$K$75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'Licenshavere og flaade'!$C$87:$K$87</c:f>
              <c:numCache>
                <c:formatCode>General</c:formatCode>
                <c:ptCount val="9"/>
                <c:pt idx="0">
                  <c:v>6</c:v>
                </c:pt>
                <c:pt idx="1">
                  <c:v>7</c:v>
                </c:pt>
                <c:pt idx="2">
                  <c:v>8</c:v>
                </c:pt>
                <c:pt idx="3">
                  <c:v>6</c:v>
                </c:pt>
                <c:pt idx="4">
                  <c:v>6</c:v>
                </c:pt>
                <c:pt idx="5">
                  <c:v>7</c:v>
                </c:pt>
                <c:pt idx="6">
                  <c:v>8</c:v>
                </c:pt>
                <c:pt idx="7">
                  <c:v>7</c:v>
                </c:pt>
                <c:pt idx="8">
                  <c:v>7</c:v>
                </c:pt>
              </c:numCache>
            </c:numRef>
          </c:val>
          <c:extLst>
            <c:ext xmlns:c16="http://schemas.microsoft.com/office/drawing/2014/chart" uri="{C3380CC4-5D6E-409C-BE32-E72D297353CC}">
              <c16:uniqueId val="{00000000-47FC-497F-AADD-92319C8F5E42}"/>
            </c:ext>
          </c:extLst>
        </c:ser>
        <c:ser>
          <c:idx val="1"/>
          <c:order val="1"/>
          <c:tx>
            <c:v>Fartøjer, Torsk i Syd-Vest/Øst</c:v>
          </c:tx>
          <c:spPr>
            <a:solidFill>
              <a:schemeClr val="accent2"/>
            </a:solidFill>
            <a:ln>
              <a:noFill/>
            </a:ln>
            <a:effectLst/>
          </c:spPr>
          <c:invertIfNegative val="0"/>
          <c:val>
            <c:numRef>
              <c:f>'Licenshavere og flaade'!$C$104:$K$104</c:f>
              <c:numCache>
                <c:formatCode>General</c:formatCode>
                <c:ptCount val="9"/>
                <c:pt idx="0">
                  <c:v>2</c:v>
                </c:pt>
                <c:pt idx="1">
                  <c:v>3</c:v>
                </c:pt>
                <c:pt idx="2">
                  <c:v>8</c:v>
                </c:pt>
                <c:pt idx="3">
                  <c:v>11</c:v>
                </c:pt>
                <c:pt idx="4">
                  <c:v>9</c:v>
                </c:pt>
                <c:pt idx="5">
                  <c:v>7</c:v>
                </c:pt>
                <c:pt idx="6">
                  <c:v>7</c:v>
                </c:pt>
                <c:pt idx="7">
                  <c:v>7</c:v>
                </c:pt>
                <c:pt idx="8">
                  <c:v>5</c:v>
                </c:pt>
              </c:numCache>
            </c:numRef>
          </c:val>
          <c:extLst>
            <c:ext xmlns:c16="http://schemas.microsoft.com/office/drawing/2014/chart" uri="{C3380CC4-5D6E-409C-BE32-E72D297353CC}">
              <c16:uniqueId val="{00000001-47FC-497F-AADD-92319C8F5E42}"/>
            </c:ext>
          </c:extLst>
        </c:ser>
        <c:ser>
          <c:idx val="3"/>
          <c:order val="3"/>
          <c:tx>
            <c:v>Fartøjer, Barentshavet</c:v>
          </c:tx>
          <c:spPr>
            <a:solidFill>
              <a:schemeClr val="accent4"/>
            </a:solidFill>
            <a:ln>
              <a:noFill/>
            </a:ln>
            <a:effectLst/>
          </c:spPr>
          <c:invertIfNegative val="0"/>
          <c:val>
            <c:numRef>
              <c:f>'Licenshavere og flaade'!$C$121:$K$121</c:f>
              <c:numCache>
                <c:formatCode>General</c:formatCode>
                <c:ptCount val="9"/>
                <c:pt idx="0">
                  <c:v>3</c:v>
                </c:pt>
                <c:pt idx="1">
                  <c:v>3</c:v>
                </c:pt>
                <c:pt idx="2">
                  <c:v>3</c:v>
                </c:pt>
                <c:pt idx="3">
                  <c:v>4</c:v>
                </c:pt>
                <c:pt idx="4">
                  <c:v>2</c:v>
                </c:pt>
                <c:pt idx="5">
                  <c:v>3</c:v>
                </c:pt>
                <c:pt idx="6">
                  <c:v>3</c:v>
                </c:pt>
                <c:pt idx="7">
                  <c:v>2</c:v>
                </c:pt>
                <c:pt idx="8">
                  <c:v>2</c:v>
                </c:pt>
              </c:numCache>
            </c:numRef>
          </c:val>
          <c:extLst>
            <c:ext xmlns:c16="http://schemas.microsoft.com/office/drawing/2014/chart" uri="{C3380CC4-5D6E-409C-BE32-E72D297353CC}">
              <c16:uniqueId val="{00000002-47FC-497F-AADD-92319C8F5E42}"/>
            </c:ext>
          </c:extLst>
        </c:ser>
        <c:ser>
          <c:idx val="4"/>
          <c:order val="4"/>
          <c:tx>
            <c:strRef>
              <c:f>'Licenshavere og flaade'!$B$106</c:f>
              <c:strCache>
                <c:ptCount val="1"/>
                <c:pt idx="0">
                  <c:v>Fartøjer - Torsk - Vest, forsøgsfiskeri</c:v>
                </c:pt>
              </c:strCache>
            </c:strRef>
          </c:tx>
          <c:spPr>
            <a:solidFill>
              <a:schemeClr val="accent6"/>
            </a:solidFill>
            <a:ln>
              <a:noFill/>
            </a:ln>
            <a:effectLst/>
          </c:spPr>
          <c:invertIfNegative val="0"/>
          <c:val>
            <c:numRef>
              <c:f>'Licenshavere og flaade'!$C$115:$K$115</c:f>
              <c:numCache>
                <c:formatCode>General</c:formatCode>
                <c:ptCount val="9"/>
                <c:pt idx="3">
                  <c:v>9</c:v>
                </c:pt>
                <c:pt idx="4">
                  <c:v>5</c:v>
                </c:pt>
                <c:pt idx="5">
                  <c:v>5</c:v>
                </c:pt>
                <c:pt idx="6">
                  <c:v>6</c:v>
                </c:pt>
                <c:pt idx="7">
                  <c:v>2</c:v>
                </c:pt>
              </c:numCache>
            </c:numRef>
          </c:val>
          <c:extLst>
            <c:ext xmlns:c16="http://schemas.microsoft.com/office/drawing/2014/chart" uri="{C3380CC4-5D6E-409C-BE32-E72D297353CC}">
              <c16:uniqueId val="{00000003-47FC-497F-AADD-92319C8F5E42}"/>
            </c:ext>
          </c:extLst>
        </c:ser>
        <c:dLbls>
          <c:showLegendKey val="0"/>
          <c:showVal val="0"/>
          <c:showCatName val="0"/>
          <c:showSerName val="0"/>
          <c:showPercent val="0"/>
          <c:showBubbleSize val="0"/>
        </c:dLbls>
        <c:gapWidth val="150"/>
        <c:axId val="536965448"/>
        <c:axId val="536968728"/>
      </c:barChart>
      <c:lineChart>
        <c:grouping val="standard"/>
        <c:varyColors val="0"/>
        <c:ser>
          <c:idx val="2"/>
          <c:order val="2"/>
          <c:tx>
            <c:v>Fartøjer i alt</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'Licenshavere og flaade'!$C$126:$K$126</c:f>
              <c:numCache>
                <c:formatCode>General</c:formatCode>
                <c:ptCount val="9"/>
                <c:pt idx="0">
                  <c:v>6</c:v>
                </c:pt>
                <c:pt idx="1">
                  <c:v>9</c:v>
                </c:pt>
                <c:pt idx="2">
                  <c:v>9</c:v>
                </c:pt>
                <c:pt idx="3">
                  <c:v>14</c:v>
                </c:pt>
                <c:pt idx="4">
                  <c:v>14</c:v>
                </c:pt>
                <c:pt idx="5">
                  <c:v>11</c:v>
                </c:pt>
                <c:pt idx="6">
                  <c:v>13</c:v>
                </c:pt>
                <c:pt idx="7">
                  <c:v>10</c:v>
                </c:pt>
                <c:pt idx="8">
                  <c:v>7</c:v>
                </c:pt>
              </c:numCache>
            </c:numRef>
          </c:val>
          <c:smooth val="0"/>
          <c:extLst>
            <c:ext xmlns:c16="http://schemas.microsoft.com/office/drawing/2014/chart" uri="{C3380CC4-5D6E-409C-BE32-E72D297353CC}">
              <c16:uniqueId val="{00000004-47FC-497F-AADD-92319C8F5E42}"/>
            </c:ext>
          </c:extLst>
        </c:ser>
        <c:dLbls>
          <c:showLegendKey val="0"/>
          <c:showVal val="0"/>
          <c:showCatName val="0"/>
          <c:showSerName val="0"/>
          <c:showPercent val="0"/>
          <c:showBubbleSize val="0"/>
        </c:dLbls>
        <c:marker val="1"/>
        <c:smooth val="0"/>
        <c:axId val="536965448"/>
        <c:axId val="536968728"/>
      </c:lineChart>
      <c:catAx>
        <c:axId val="53696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36968728"/>
        <c:crosses val="autoZero"/>
        <c:auto val="1"/>
        <c:lblAlgn val="ctr"/>
        <c:lblOffset val="100"/>
        <c:noMultiLvlLbl val="0"/>
      </c:catAx>
      <c:valAx>
        <c:axId val="53696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6965448"/>
        <c:crosses val="autoZero"/>
        <c:crossBetween val="between"/>
        <c:majorUnit val="1"/>
      </c:valAx>
      <c:spPr>
        <a:noFill/>
        <a:ln>
          <a:noFill/>
        </a:ln>
        <a:effectLst/>
      </c:spPr>
    </c:plotArea>
    <c:legend>
      <c:legendPos val="b"/>
      <c:layout>
        <c:manualLayout>
          <c:xMode val="edge"/>
          <c:yMode val="edge"/>
          <c:x val="6.4544707383666688E-2"/>
          <c:y val="0.81179462502318656"/>
          <c:w val="0.88336130114883182"/>
          <c:h val="0.167720567875413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Afgiftsprovenu!$E$7</c:f>
              <c:strCache>
                <c:ptCount val="1"/>
                <c:pt idx="0">
                  <c:v>Hellefisk </c:v>
                </c:pt>
              </c:strCache>
            </c:strRef>
          </c:tx>
          <c:spPr>
            <a:solidFill>
              <a:schemeClr val="accent1"/>
            </a:solidFill>
            <a:ln w="41275">
              <a:solidFill>
                <a:schemeClr val="accent1"/>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Afgiftsprovenu!$E$8:$E$15</c:f>
              <c:numCache>
                <c:formatCode>#,##0</c:formatCode>
                <c:ptCount val="8"/>
                <c:pt idx="0">
                  <c:v>18.8</c:v>
                </c:pt>
                <c:pt idx="1">
                  <c:v>18.759</c:v>
                </c:pt>
                <c:pt idx="2">
                  <c:v>29.803000000000001</c:v>
                </c:pt>
                <c:pt idx="3">
                  <c:v>24.963000000000001</c:v>
                </c:pt>
                <c:pt idx="4">
                  <c:v>23.834</c:v>
                </c:pt>
                <c:pt idx="5">
                  <c:v>62.685000000000002</c:v>
                </c:pt>
                <c:pt idx="6">
                  <c:v>70.444000000000003</c:v>
                </c:pt>
                <c:pt idx="7">
                  <c:v>68.553266019999995</c:v>
                </c:pt>
              </c:numCache>
            </c:numRef>
          </c:val>
          <c:extLst>
            <c:ext xmlns:c16="http://schemas.microsoft.com/office/drawing/2014/chart" uri="{C3380CC4-5D6E-409C-BE32-E72D297353CC}">
              <c16:uniqueId val="{00000000-7EB0-4F54-8C43-DE6DE426710E}"/>
            </c:ext>
          </c:extLst>
        </c:ser>
        <c:ser>
          <c:idx val="1"/>
          <c:order val="1"/>
          <c:tx>
            <c:strRef>
              <c:f>Afgiftsprovenu!$F$7</c:f>
              <c:strCache>
                <c:ptCount val="1"/>
                <c:pt idx="0">
                  <c:v>Torsk</c:v>
                </c:pt>
              </c:strCache>
            </c:strRef>
          </c:tx>
          <c:spPr>
            <a:solidFill>
              <a:schemeClr val="accent2"/>
            </a:solidFill>
            <a:ln w="44450">
              <a:solidFill>
                <a:schemeClr val="accent2"/>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Afgiftsprovenu!$F$8:$F$15</c:f>
              <c:numCache>
                <c:formatCode>General</c:formatCode>
                <c:ptCount val="8"/>
                <c:pt idx="4" formatCode="#,##0">
                  <c:v>12.526999999999999</c:v>
                </c:pt>
                <c:pt idx="5" formatCode="#,##0">
                  <c:v>21.863900999999998</c:v>
                </c:pt>
                <c:pt idx="6" formatCode="#,##0">
                  <c:v>23.158999999999999</c:v>
                </c:pt>
                <c:pt idx="7" formatCode="#,##0">
                  <c:v>15.739307</c:v>
                </c:pt>
              </c:numCache>
            </c:numRef>
          </c:val>
          <c:extLst>
            <c:ext xmlns:c16="http://schemas.microsoft.com/office/drawing/2014/chart" uri="{C3380CC4-5D6E-409C-BE32-E72D297353CC}">
              <c16:uniqueId val="{00000001-7EB0-4F54-8C43-DE6DE426710E}"/>
            </c:ext>
          </c:extLst>
        </c:ser>
        <c:ser>
          <c:idx val="2"/>
          <c:order val="2"/>
          <c:tx>
            <c:strRef>
              <c:f>Afgiftsprovenu!$G$7</c:f>
              <c:strCache>
                <c:ptCount val="1"/>
                <c:pt idx="0">
                  <c:v>Rødfisk</c:v>
                </c:pt>
              </c:strCache>
            </c:strRef>
          </c:tx>
          <c:spPr>
            <a:solidFill>
              <a:srgbClr val="FF0000"/>
            </a:solidFill>
            <a:ln w="41275" cmpd="sng">
              <a:solidFill>
                <a:srgbClr val="FF0000"/>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Afgiftsprovenu!$G$8:$G$15</c:f>
              <c:numCache>
                <c:formatCode>General</c:formatCode>
                <c:ptCount val="8"/>
                <c:pt idx="4" formatCode="#,##0">
                  <c:v>2.6829999999999998</c:v>
                </c:pt>
                <c:pt idx="5" formatCode="#,##0">
                  <c:v>0.71440400000000004</c:v>
                </c:pt>
                <c:pt idx="6" formatCode="#,##0">
                  <c:v>1.4002410000000001</c:v>
                </c:pt>
                <c:pt idx="7" formatCode="#,##0">
                  <c:v>0.52348300000000003</c:v>
                </c:pt>
              </c:numCache>
            </c:numRef>
          </c:val>
          <c:extLst>
            <c:ext xmlns:c16="http://schemas.microsoft.com/office/drawing/2014/chart" uri="{C3380CC4-5D6E-409C-BE32-E72D297353CC}">
              <c16:uniqueId val="{00000002-7EB0-4F54-8C43-DE6DE426710E}"/>
            </c:ext>
          </c:extLst>
        </c:ser>
        <c:ser>
          <c:idx val="3"/>
          <c:order val="3"/>
          <c:tx>
            <c:strRef>
              <c:f>Afgiftsprovenu!$H$7</c:f>
              <c:strCache>
                <c:ptCount val="1"/>
                <c:pt idx="0">
                  <c:v>Kuller</c:v>
                </c:pt>
              </c:strCache>
            </c:strRef>
          </c:tx>
          <c:spPr>
            <a:solidFill>
              <a:schemeClr val="accent6"/>
            </a:solidFill>
            <a:ln w="41275">
              <a:solidFill>
                <a:schemeClr val="accent6"/>
              </a:solidFill>
              <a:round/>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Afgiftsprovenu!$H$8:$H$15</c:f>
              <c:numCache>
                <c:formatCode>General</c:formatCode>
                <c:ptCount val="8"/>
                <c:pt idx="4" formatCode="#,##0">
                  <c:v>0.76500000000000001</c:v>
                </c:pt>
                <c:pt idx="5" formatCode="#,##0">
                  <c:v>0.66064800000000001</c:v>
                </c:pt>
                <c:pt idx="6" formatCode="#,##0">
                  <c:v>1.8084089999999999</c:v>
                </c:pt>
                <c:pt idx="7" formatCode="#,##0">
                  <c:v>0.61881900000000001</c:v>
                </c:pt>
              </c:numCache>
            </c:numRef>
          </c:val>
          <c:extLst>
            <c:ext xmlns:c16="http://schemas.microsoft.com/office/drawing/2014/chart" uri="{C3380CC4-5D6E-409C-BE32-E72D297353CC}">
              <c16:uniqueId val="{00000003-7EB0-4F54-8C43-DE6DE426710E}"/>
            </c:ext>
          </c:extLst>
        </c:ser>
        <c:ser>
          <c:idx val="4"/>
          <c:order val="4"/>
          <c:tx>
            <c:strRef>
              <c:f>Afgiftsprovenu!$I$7</c:f>
              <c:strCache>
                <c:ptCount val="1"/>
                <c:pt idx="0">
                  <c:v>Sej</c:v>
                </c:pt>
              </c:strCache>
            </c:strRef>
          </c:tx>
          <c:spPr>
            <a:solidFill>
              <a:schemeClr val="tx1"/>
            </a:solidFill>
            <a:ln w="41275">
              <a:solidFill>
                <a:schemeClr val="tx1"/>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Afgiftsprovenu!$I$8:$I$15</c:f>
              <c:numCache>
                <c:formatCode>General</c:formatCode>
                <c:ptCount val="8"/>
                <c:pt idx="4" formatCode="#,##0.0">
                  <c:v>0.22800000000000001</c:v>
                </c:pt>
                <c:pt idx="5" formatCode="#,##0.0">
                  <c:v>0.121837</c:v>
                </c:pt>
                <c:pt idx="6" formatCode="#,##0.0">
                  <c:v>0.167021</c:v>
                </c:pt>
                <c:pt idx="7" formatCode="#,##0.0">
                  <c:v>6.1845999999999998E-2</c:v>
                </c:pt>
              </c:numCache>
            </c:numRef>
          </c:val>
          <c:extLst>
            <c:ext xmlns:c16="http://schemas.microsoft.com/office/drawing/2014/chart" uri="{C3380CC4-5D6E-409C-BE32-E72D297353CC}">
              <c16:uniqueId val="{00000004-7EB0-4F54-8C43-DE6DE426710E}"/>
            </c:ext>
          </c:extLst>
        </c:ser>
        <c:dLbls>
          <c:showLegendKey val="0"/>
          <c:showVal val="0"/>
          <c:showCatName val="0"/>
          <c:showSerName val="0"/>
          <c:showPercent val="0"/>
          <c:showBubbleSize val="0"/>
        </c:dLbls>
        <c:gapWidth val="227"/>
        <c:overlap val="-100"/>
        <c:axId val="624664792"/>
        <c:axId val="624661840"/>
      </c:barChart>
      <c:lineChart>
        <c:grouping val="standard"/>
        <c:varyColors val="0"/>
        <c:ser>
          <c:idx val="5"/>
          <c:order val="5"/>
          <c:tx>
            <c:v>I alt</c:v>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2614655279786235E-2"/>
                  <c:y val="-6.97962281953886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B0-4F54-8C43-DE6DE426710E}"/>
                </c:ext>
              </c:extLst>
            </c:dLbl>
            <c:dLbl>
              <c:idx val="1"/>
              <c:layout>
                <c:manualLayout>
                  <c:x val="-3.8050431159750653E-2"/>
                  <c:y val="-6.211471463479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B0-4F54-8C43-DE6DE426710E}"/>
                </c:ext>
              </c:extLst>
            </c:dLbl>
            <c:dLbl>
              <c:idx val="2"/>
              <c:layout>
                <c:manualLayout>
                  <c:x val="-3.8050431159750653E-2"/>
                  <c:y val="-6.21147146347955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B0-4F54-8C43-DE6DE426710E}"/>
                </c:ext>
              </c:extLst>
            </c:dLbl>
            <c:dLbl>
              <c:idx val="3"/>
              <c:layout>
                <c:manualLayout>
                  <c:x val="-4.0768319099732789E-2"/>
                  <c:y val="-6.211471463479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EB0-4F54-8C43-DE6DE426710E}"/>
                </c:ext>
              </c:extLst>
            </c:dLbl>
            <c:dLbl>
              <c:idx val="4"/>
              <c:layout>
                <c:manualLayout>
                  <c:x val="-4.6204094979697165E-2"/>
                  <c:y val="-4.6751687513608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B0-4F54-8C43-DE6DE426710E}"/>
                </c:ext>
              </c:extLst>
            </c:dLbl>
            <c:dLbl>
              <c:idx val="5"/>
              <c:layout>
                <c:manualLayout>
                  <c:x val="-4.8921982919679349E-2"/>
                  <c:y val="-5.0592444293905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B0-4F54-8C43-DE6DE426710E}"/>
                </c:ext>
              </c:extLst>
            </c:dLbl>
            <c:dLbl>
              <c:idx val="6"/>
              <c:layout>
                <c:manualLayout>
                  <c:x val="8.1536638199465588E-3"/>
                  <c:y val="-3.2807623448576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EB0-4F54-8C43-DE6DE426710E}"/>
                </c:ext>
              </c:extLst>
            </c:dLbl>
            <c:dLbl>
              <c:idx val="7"/>
              <c:layout>
                <c:manualLayout>
                  <c:x val="-2.4460991459839675E-2"/>
                  <c:y val="-5.4433201074202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EB0-4F54-8C43-DE6DE42671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Afgiftsprovenu!$J$8:$J$15</c:f>
              <c:numCache>
                <c:formatCode>#,##0</c:formatCode>
                <c:ptCount val="8"/>
                <c:pt idx="0">
                  <c:v>18.8</c:v>
                </c:pt>
                <c:pt idx="1">
                  <c:v>18.759</c:v>
                </c:pt>
                <c:pt idx="2">
                  <c:v>29.803000000000001</c:v>
                </c:pt>
                <c:pt idx="3">
                  <c:v>24.963000000000001</c:v>
                </c:pt>
                <c:pt idx="4">
                  <c:v>40.036999999999999</c:v>
                </c:pt>
                <c:pt idx="5">
                  <c:v>86.045789999999997</c:v>
                </c:pt>
                <c:pt idx="6">
                  <c:v>96.978671000000006</c:v>
                </c:pt>
                <c:pt idx="7">
                  <c:v>85.496721019999995</c:v>
                </c:pt>
              </c:numCache>
            </c:numRef>
          </c:val>
          <c:smooth val="0"/>
          <c:extLst>
            <c:ext xmlns:c16="http://schemas.microsoft.com/office/drawing/2014/chart" uri="{C3380CC4-5D6E-409C-BE32-E72D297353CC}">
              <c16:uniqueId val="{0000000D-7EB0-4F54-8C43-DE6DE426710E}"/>
            </c:ext>
          </c:extLst>
        </c:ser>
        <c:dLbls>
          <c:showLegendKey val="0"/>
          <c:showVal val="0"/>
          <c:showCatName val="0"/>
          <c:showSerName val="0"/>
          <c:showPercent val="0"/>
          <c:showBubbleSize val="0"/>
        </c:dLbls>
        <c:marker val="1"/>
        <c:smooth val="0"/>
        <c:axId val="624664792"/>
        <c:axId val="624661840"/>
      </c:lineChart>
      <c:catAx>
        <c:axId val="62466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4661840"/>
        <c:crosses val="autoZero"/>
        <c:auto val="1"/>
        <c:lblAlgn val="ctr"/>
        <c:lblOffset val="100"/>
        <c:noMultiLvlLbl val="0"/>
      </c:catAx>
      <c:valAx>
        <c:axId val="62466184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466479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A903-9B95-412B-8645-DD0EA0D8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6376</Words>
  <Characters>38897</Characters>
  <Application>Microsoft Office Word</Application>
  <DocSecurity>0</DocSecurity>
  <Lines>324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Ole Ulloriaq Lønberg-Jensen</cp:lastModifiedBy>
  <cp:revision>3</cp:revision>
  <cp:lastPrinted>2021-04-26T10:59:00Z</cp:lastPrinted>
  <dcterms:created xsi:type="dcterms:W3CDTF">2021-05-04T12:07:00Z</dcterms:created>
  <dcterms:modified xsi:type="dcterms:W3CDTF">2021-05-07T18:06:00Z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