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D2C5C" w14:textId="68705396" w:rsidR="00F6440E" w:rsidRPr="008A6FF3" w:rsidRDefault="00F6440E" w:rsidP="00732A54">
      <w:pPr>
        <w:spacing w:after="0" w:line="276" w:lineRule="auto"/>
        <w:ind w:right="140"/>
        <w:jc w:val="both"/>
        <w:rPr>
          <w:rFonts w:ascii="Times New Roman" w:hAnsi="Times New Roman" w:cs="Times New Roman"/>
          <w:i/>
          <w:color w:val="000000" w:themeColor="text1"/>
          <w:sz w:val="24"/>
          <w:szCs w:val="24"/>
        </w:rPr>
      </w:pP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t xml:space="preserve">  </w:t>
      </w:r>
      <w:r w:rsidR="00E642F3">
        <w:rPr>
          <w:rFonts w:ascii="Times New Roman" w:hAnsi="Times New Roman" w:cs="Times New Roman"/>
          <w:i/>
          <w:color w:val="000000" w:themeColor="text1"/>
          <w:sz w:val="24"/>
          <w:szCs w:val="24"/>
        </w:rPr>
        <w:t xml:space="preserve">8. </w:t>
      </w:r>
      <w:r w:rsidR="00A1084C">
        <w:rPr>
          <w:rFonts w:ascii="Times New Roman" w:hAnsi="Times New Roman" w:cs="Times New Roman"/>
          <w:i/>
          <w:color w:val="000000" w:themeColor="text1"/>
          <w:sz w:val="24"/>
          <w:szCs w:val="24"/>
        </w:rPr>
        <w:t>marts</w:t>
      </w:r>
      <w:r w:rsidRPr="008A6FF3">
        <w:rPr>
          <w:rFonts w:ascii="Times New Roman" w:hAnsi="Times New Roman" w:cs="Times New Roman"/>
          <w:i/>
          <w:color w:val="000000" w:themeColor="text1"/>
          <w:sz w:val="24"/>
          <w:szCs w:val="24"/>
        </w:rPr>
        <w:t xml:space="preserve"> 2021</w:t>
      </w:r>
    </w:p>
    <w:p w14:paraId="06CBAA81" w14:textId="77777777" w:rsidR="00F6440E" w:rsidRPr="008A6FF3" w:rsidRDefault="00F6440E" w:rsidP="00732A54">
      <w:pPr>
        <w:spacing w:after="0" w:line="276" w:lineRule="auto"/>
        <w:ind w:right="140"/>
        <w:jc w:val="both"/>
        <w:rPr>
          <w:rFonts w:ascii="Times New Roman" w:hAnsi="Times New Roman" w:cs="Times New Roman"/>
          <w:b/>
          <w:color w:val="000000" w:themeColor="text1"/>
          <w:sz w:val="36"/>
          <w:szCs w:val="36"/>
        </w:rPr>
      </w:pPr>
      <w:r w:rsidRPr="008A6FF3">
        <w:rPr>
          <w:rFonts w:ascii="Times New Roman" w:hAnsi="Times New Roman" w:cs="Times New Roman"/>
          <w:b/>
          <w:color w:val="000000" w:themeColor="text1"/>
          <w:sz w:val="36"/>
          <w:szCs w:val="36"/>
        </w:rPr>
        <w:t>Baggrundsnotat</w:t>
      </w:r>
    </w:p>
    <w:p w14:paraId="4E58CB9D" w14:textId="77777777" w:rsidR="00F6440E" w:rsidRPr="008A6FF3" w:rsidRDefault="00F6440E" w:rsidP="00732A54">
      <w:pPr>
        <w:spacing w:after="0" w:line="276" w:lineRule="auto"/>
        <w:ind w:right="140"/>
        <w:jc w:val="both"/>
        <w:rPr>
          <w:rFonts w:ascii="Times New Roman" w:hAnsi="Times New Roman" w:cs="Times New Roman"/>
          <w:b/>
          <w:color w:val="000000" w:themeColor="text1"/>
          <w:sz w:val="24"/>
          <w:szCs w:val="24"/>
        </w:rPr>
      </w:pPr>
    </w:p>
    <w:p w14:paraId="3F881B14" w14:textId="77777777" w:rsidR="00F6440E" w:rsidRPr="008A6FF3" w:rsidRDefault="00424324" w:rsidP="00732A54">
      <w:pPr>
        <w:spacing w:after="0" w:line="276" w:lineRule="auto"/>
        <w:ind w:right="140"/>
        <w:jc w:val="both"/>
        <w:rPr>
          <w:rFonts w:ascii="Times New Roman" w:hAnsi="Times New Roman" w:cs="Times New Roman"/>
          <w:b/>
          <w:color w:val="000000" w:themeColor="text1"/>
          <w:sz w:val="30"/>
          <w:szCs w:val="30"/>
        </w:rPr>
      </w:pPr>
      <w:r w:rsidRPr="008A6FF3">
        <w:rPr>
          <w:rFonts w:ascii="Times New Roman" w:hAnsi="Times New Roman" w:cs="Times New Roman"/>
          <w:b/>
          <w:color w:val="000000" w:themeColor="text1"/>
          <w:sz w:val="30"/>
          <w:szCs w:val="30"/>
        </w:rPr>
        <w:t>Status</w:t>
      </w:r>
      <w:r w:rsidR="00A3306B" w:rsidRPr="008A6FF3">
        <w:rPr>
          <w:rFonts w:ascii="Times New Roman" w:hAnsi="Times New Roman" w:cs="Times New Roman"/>
          <w:b/>
          <w:color w:val="000000" w:themeColor="text1"/>
          <w:sz w:val="30"/>
          <w:szCs w:val="30"/>
        </w:rPr>
        <w:t xml:space="preserve"> og udfordringer i det</w:t>
      </w:r>
      <w:r w:rsidR="001F349C" w:rsidRPr="008A6FF3">
        <w:rPr>
          <w:rFonts w:ascii="Times New Roman" w:hAnsi="Times New Roman" w:cs="Times New Roman"/>
          <w:b/>
          <w:color w:val="000000" w:themeColor="text1"/>
          <w:sz w:val="30"/>
          <w:szCs w:val="30"/>
        </w:rPr>
        <w:t xml:space="preserve"> k</w:t>
      </w:r>
      <w:r w:rsidR="00A3306B" w:rsidRPr="008A6FF3">
        <w:rPr>
          <w:rFonts w:ascii="Times New Roman" w:hAnsi="Times New Roman" w:cs="Times New Roman"/>
          <w:b/>
          <w:color w:val="000000" w:themeColor="text1"/>
          <w:sz w:val="30"/>
          <w:szCs w:val="30"/>
        </w:rPr>
        <w:t>ystnære</w:t>
      </w:r>
      <w:r w:rsidR="00F6440E" w:rsidRPr="008A6FF3">
        <w:rPr>
          <w:rFonts w:ascii="Times New Roman" w:hAnsi="Times New Roman" w:cs="Times New Roman"/>
          <w:b/>
          <w:color w:val="000000" w:themeColor="text1"/>
          <w:sz w:val="30"/>
          <w:szCs w:val="30"/>
        </w:rPr>
        <w:t xml:space="preserve"> </w:t>
      </w:r>
      <w:r w:rsidR="00501426" w:rsidRPr="008A6FF3">
        <w:rPr>
          <w:rFonts w:ascii="Times New Roman" w:hAnsi="Times New Roman" w:cs="Times New Roman"/>
          <w:b/>
          <w:color w:val="000000" w:themeColor="text1"/>
          <w:sz w:val="30"/>
          <w:szCs w:val="30"/>
        </w:rPr>
        <w:t xml:space="preserve">fiskeri efter </w:t>
      </w:r>
      <w:r w:rsidR="005E5ADB">
        <w:rPr>
          <w:rFonts w:ascii="Times New Roman" w:hAnsi="Times New Roman" w:cs="Times New Roman"/>
          <w:b/>
          <w:color w:val="000000" w:themeColor="text1"/>
          <w:sz w:val="30"/>
          <w:szCs w:val="30"/>
        </w:rPr>
        <w:t>torsk</w:t>
      </w:r>
    </w:p>
    <w:p w14:paraId="6383AE52" w14:textId="77777777" w:rsidR="001F349C" w:rsidRPr="008A6FF3" w:rsidRDefault="001F349C" w:rsidP="00732A54">
      <w:pPr>
        <w:spacing w:after="0" w:line="276" w:lineRule="auto"/>
        <w:ind w:right="140"/>
        <w:jc w:val="both"/>
        <w:rPr>
          <w:rFonts w:ascii="Times New Roman" w:hAnsi="Times New Roman" w:cs="Times New Roman"/>
          <w:b/>
          <w:color w:val="000000" w:themeColor="text1"/>
          <w:sz w:val="30"/>
          <w:szCs w:val="30"/>
        </w:rPr>
      </w:pPr>
    </w:p>
    <w:p w14:paraId="4DC37ABF" w14:textId="77777777" w:rsidR="00F6440E" w:rsidRPr="008A6FF3" w:rsidRDefault="00F6440E" w:rsidP="00732A54">
      <w:pPr>
        <w:spacing w:after="0" w:line="276" w:lineRule="auto"/>
        <w:ind w:right="140"/>
        <w:jc w:val="both"/>
        <w:rPr>
          <w:rFonts w:ascii="Times New Roman" w:hAnsi="Times New Roman" w:cs="Times New Roman"/>
          <w:b/>
          <w:color w:val="000000" w:themeColor="text1"/>
          <w:sz w:val="24"/>
          <w:szCs w:val="24"/>
        </w:rPr>
      </w:pPr>
      <w:r w:rsidRPr="008A6FF3">
        <w:rPr>
          <w:rFonts w:ascii="Times New Roman" w:hAnsi="Times New Roman" w:cs="Times New Roman"/>
          <w:b/>
          <w:color w:val="000000" w:themeColor="text1"/>
          <w:sz w:val="24"/>
          <w:szCs w:val="24"/>
        </w:rPr>
        <w:t>Hilmar Ogmundsson</w:t>
      </w:r>
      <w:r w:rsidR="003510F4" w:rsidRPr="008A6FF3">
        <w:rPr>
          <w:rFonts w:ascii="Times New Roman" w:hAnsi="Times New Roman" w:cs="Times New Roman"/>
          <w:b/>
          <w:color w:val="000000" w:themeColor="text1"/>
          <w:sz w:val="24"/>
          <w:szCs w:val="24"/>
        </w:rPr>
        <w:t xml:space="preserve"> </w:t>
      </w:r>
      <w:r w:rsidRPr="008A6FF3">
        <w:rPr>
          <w:rFonts w:ascii="Times New Roman" w:hAnsi="Times New Roman" w:cs="Times New Roman"/>
          <w:b/>
          <w:color w:val="000000" w:themeColor="text1"/>
          <w:sz w:val="24"/>
          <w:szCs w:val="24"/>
        </w:rPr>
        <w:t>og Rasmus Bæk</w:t>
      </w:r>
    </w:p>
    <w:p w14:paraId="2D168D96" w14:textId="77777777" w:rsidR="00F6440E" w:rsidRPr="008A6FF3" w:rsidRDefault="00953580" w:rsidP="00732A54">
      <w:pPr>
        <w:pStyle w:val="Overskrift1"/>
        <w:jc w:val="both"/>
        <w:rPr>
          <w:rFonts w:cs="Times New Roman"/>
        </w:rPr>
      </w:pPr>
      <w:bookmarkStart w:id="0" w:name="_Toc66030598"/>
      <w:r w:rsidRPr="008A6FF3">
        <w:rPr>
          <w:rFonts w:cs="Times New Roman"/>
        </w:rPr>
        <w:t>1. I</w:t>
      </w:r>
      <w:r w:rsidR="00F6440E" w:rsidRPr="008A6FF3">
        <w:rPr>
          <w:rFonts w:cs="Times New Roman"/>
        </w:rPr>
        <w:t>ntroduktion</w:t>
      </w:r>
      <w:bookmarkEnd w:id="0"/>
    </w:p>
    <w:p w14:paraId="554290ED" w14:textId="29D5B614" w:rsidR="00CD79DA" w:rsidRPr="00CD79DA" w:rsidRDefault="00CD79DA" w:rsidP="00732A54">
      <w:pPr>
        <w:jc w:val="both"/>
        <w:rPr>
          <w:rFonts w:ascii="Times New Roman" w:hAnsi="Times New Roman" w:cs="Times New Roman"/>
        </w:rPr>
      </w:pPr>
      <w:r w:rsidRPr="00CD79DA">
        <w:rPr>
          <w:rFonts w:ascii="Times New Roman" w:hAnsi="Times New Roman" w:cs="Times New Roman"/>
        </w:rPr>
        <w:t>Det kystnære fiskeri efter torsk i Grønland foregår hovedsagligt i Vestgrønland</w:t>
      </w:r>
      <w:r w:rsidR="00C545AE">
        <w:rPr>
          <w:rFonts w:ascii="Times New Roman" w:hAnsi="Times New Roman" w:cs="Times New Roman"/>
        </w:rPr>
        <w:t>,</w:t>
      </w:r>
      <w:r w:rsidRPr="00CD79DA">
        <w:rPr>
          <w:rFonts w:ascii="Times New Roman" w:hAnsi="Times New Roman" w:cs="Times New Roman"/>
        </w:rPr>
        <w:t xml:space="preserve"> i området fra Ilulissat til Sydgrønland. Det kystnære fiskeri har været igennem en stor udvikling den seneste årrække</w:t>
      </w:r>
      <w:r w:rsidR="00C545AE">
        <w:rPr>
          <w:rFonts w:ascii="Times New Roman" w:hAnsi="Times New Roman" w:cs="Times New Roman"/>
        </w:rPr>
        <w:t>,</w:t>
      </w:r>
      <w:r w:rsidRPr="00CD79DA">
        <w:rPr>
          <w:rFonts w:ascii="Times New Roman" w:hAnsi="Times New Roman" w:cs="Times New Roman"/>
        </w:rPr>
        <w:t xml:space="preserve"> hvor fiskerikapaciteten er steget markant i en periode</w:t>
      </w:r>
      <w:r w:rsidR="00C545AE">
        <w:rPr>
          <w:rFonts w:ascii="Times New Roman" w:hAnsi="Times New Roman" w:cs="Times New Roman"/>
        </w:rPr>
        <w:t>,</w:t>
      </w:r>
      <w:r w:rsidRPr="00CD79DA">
        <w:rPr>
          <w:rFonts w:ascii="Times New Roman" w:hAnsi="Times New Roman" w:cs="Times New Roman"/>
        </w:rPr>
        <w:t xml:space="preserve"> hvor den videnskabelige rådgivning har været nedadgående. Forvaltningen af det kystnære fiskeri efter torsk har i mange år været stærkt præget af lokale, regionale og nationale beskæftigelseshensyn, og derfor har rigtig mange nye fiskere fået licens til torskefiskeriet. Dette fordi i store områder af Grønland, og særligt de tyndtbefolket områder, er der således meget begrænset alternative beskæftigelsesmuligheder.  </w:t>
      </w:r>
    </w:p>
    <w:p w14:paraId="75BEC157" w14:textId="77777777" w:rsidR="00CD79DA" w:rsidRPr="00CD79DA" w:rsidRDefault="00CD79DA" w:rsidP="00732A54">
      <w:pPr>
        <w:jc w:val="both"/>
        <w:rPr>
          <w:rFonts w:ascii="Times New Roman" w:hAnsi="Times New Roman" w:cs="Times New Roman"/>
        </w:rPr>
      </w:pPr>
      <w:r w:rsidRPr="00CD79DA">
        <w:rPr>
          <w:rFonts w:ascii="Times New Roman" w:hAnsi="Times New Roman" w:cs="Times New Roman"/>
        </w:rPr>
        <w:t xml:space="preserve">Kapaciteten i det kystnære torskefiskeri er steget markant, målt på udviklingen i antallet af licenser siden 2014, og langt hovedparten af denne stigning er et udtryk for at der er kommet flere licenser til nye jollefiskere. Antallet af licenser i det kystnære torskefiskeri er således steget meget voldsomt de seneste 6 år, i en periode hvor den videnskabelige rådgivning på torskebestanden i Vestgrønland er gået tilbage. </w:t>
      </w:r>
    </w:p>
    <w:p w14:paraId="320C205D" w14:textId="77777777" w:rsidR="00CD79DA" w:rsidRPr="00EA49DD" w:rsidRDefault="00953580" w:rsidP="00732A54">
      <w:pPr>
        <w:pStyle w:val="Overskrift1"/>
        <w:jc w:val="both"/>
        <w:rPr>
          <w:rFonts w:cs="Times New Roman"/>
          <w:szCs w:val="24"/>
        </w:rPr>
      </w:pPr>
      <w:bookmarkStart w:id="1" w:name="_Toc66030599"/>
      <w:r w:rsidRPr="00EA49DD">
        <w:rPr>
          <w:rFonts w:cs="Times New Roman"/>
          <w:szCs w:val="24"/>
        </w:rPr>
        <w:t xml:space="preserve">2. </w:t>
      </w:r>
      <w:r w:rsidR="00CD79DA" w:rsidRPr="00EA49DD">
        <w:rPr>
          <w:szCs w:val="24"/>
        </w:rPr>
        <w:t xml:space="preserve">Gældende </w:t>
      </w:r>
      <w:r w:rsidR="00BC3AF1">
        <w:rPr>
          <w:szCs w:val="24"/>
        </w:rPr>
        <w:t>forvaltning af det kystnære fiskeri efter torsk</w:t>
      </w:r>
      <w:bookmarkEnd w:id="1"/>
    </w:p>
    <w:p w14:paraId="16427012" w14:textId="214D4228" w:rsidR="00CD79DA" w:rsidRDefault="00CD79DA" w:rsidP="00732A54">
      <w:pPr>
        <w:spacing w:after="0" w:line="276" w:lineRule="auto"/>
        <w:jc w:val="both"/>
        <w:rPr>
          <w:rFonts w:ascii="Times New Roman" w:hAnsi="Times New Roman" w:cs="Times New Roman"/>
        </w:rPr>
      </w:pPr>
      <w:r w:rsidRPr="00CD79DA">
        <w:rPr>
          <w:rFonts w:ascii="Times New Roman" w:hAnsi="Times New Roman" w:cs="Times New Roman"/>
        </w:rPr>
        <w:t xml:space="preserve">Det kystnære fiskeri efter torsk forvaltes i dag ved at </w:t>
      </w:r>
      <w:proofErr w:type="spellStart"/>
      <w:r w:rsidRPr="00CD79DA">
        <w:rPr>
          <w:rFonts w:ascii="Times New Roman" w:hAnsi="Times New Roman" w:cs="Times New Roman"/>
        </w:rPr>
        <w:t>Naalakkersuisut</w:t>
      </w:r>
      <w:proofErr w:type="spellEnd"/>
      <w:r w:rsidRPr="00CD79DA">
        <w:rPr>
          <w:rFonts w:ascii="Times New Roman" w:hAnsi="Times New Roman" w:cs="Times New Roman"/>
        </w:rPr>
        <w:t xml:space="preserve"> hvert år fastsætter en TAC for kystnært fiskeri efter torsk for det samlede Vestgrønland.  Kvoteåret følger kalenderåret og starter 1. januar og slutter 31 december, og fiskeriet foregår som udgangspunkt med bundgarn og line. Kvoten forvaltes olympisk og dermed fisker alle fartøjer og joller, på samme fælleskvote indtil den er fisket op. </w:t>
      </w:r>
    </w:p>
    <w:p w14:paraId="2BEFAABC" w14:textId="77777777" w:rsidR="0046055F" w:rsidRPr="00CD79DA" w:rsidRDefault="0046055F" w:rsidP="00732A54">
      <w:pPr>
        <w:spacing w:after="0" w:line="276" w:lineRule="auto"/>
        <w:jc w:val="both"/>
        <w:rPr>
          <w:rFonts w:ascii="Times New Roman" w:hAnsi="Times New Roman" w:cs="Times New Roman"/>
        </w:rPr>
      </w:pPr>
    </w:p>
    <w:p w14:paraId="0DD225AE" w14:textId="00545401" w:rsidR="00441BCD" w:rsidRDefault="00CD79DA" w:rsidP="00732A54">
      <w:pPr>
        <w:spacing w:after="0" w:line="276" w:lineRule="auto"/>
        <w:jc w:val="both"/>
        <w:rPr>
          <w:rFonts w:ascii="Times New Roman" w:hAnsi="Times New Roman" w:cs="Times New Roman"/>
        </w:rPr>
      </w:pPr>
      <w:r w:rsidRPr="00CD79DA">
        <w:rPr>
          <w:rFonts w:ascii="Times New Roman" w:hAnsi="Times New Roman" w:cs="Times New Roman"/>
        </w:rPr>
        <w:t xml:space="preserve">Fiskeriet foregår helt overvejende i området mellem kysten og 3 sømil ud fra basislinjen, og i dette område er der forbud mod anvendelse af vod og trawl. Fartøjer i det kystnære fiskeri efter torsk, har dog jævnfør gældende regler mulighed for at fiske udenfor 3 sømil fra </w:t>
      </w:r>
      <w:proofErr w:type="spellStart"/>
      <w:r w:rsidRPr="00CD79DA">
        <w:rPr>
          <w:rFonts w:ascii="Times New Roman" w:hAnsi="Times New Roman" w:cs="Times New Roman"/>
        </w:rPr>
        <w:t>basislijen</w:t>
      </w:r>
      <w:proofErr w:type="spellEnd"/>
      <w:r w:rsidRPr="00CD79DA">
        <w:rPr>
          <w:rFonts w:ascii="Times New Roman" w:hAnsi="Times New Roman" w:cs="Times New Roman"/>
        </w:rPr>
        <w:t>, men denne mulighed bliver kun anvendt af meget få fartøjer. Ved bundgarnsfiskeri må undermålsfisk ikke beholdes ombord, men skal genudsættes. Undermålsfisk er defineret i bekendtgørelse ved et mindstemål på 40 cm. På grund af besværligheder ved at sælge små torsk har nogle indhandlingssteder valgt at hæve mindstemålet på indhandlet torsk til 45 cm.</w:t>
      </w:r>
    </w:p>
    <w:p w14:paraId="3E276688" w14:textId="77777777" w:rsidR="0046055F" w:rsidRDefault="0046055F" w:rsidP="00732A54">
      <w:pPr>
        <w:spacing w:after="0" w:line="276" w:lineRule="auto"/>
        <w:jc w:val="both"/>
        <w:rPr>
          <w:rFonts w:ascii="Times New Roman" w:hAnsi="Times New Roman" w:cs="Times New Roman"/>
        </w:rPr>
      </w:pPr>
    </w:p>
    <w:p w14:paraId="51FC2E18" w14:textId="77777777" w:rsidR="00CD79DA" w:rsidRDefault="00441BCD" w:rsidP="00732A54">
      <w:pPr>
        <w:spacing w:after="0" w:line="276" w:lineRule="auto"/>
        <w:jc w:val="both"/>
        <w:rPr>
          <w:rFonts w:ascii="Times New Roman" w:hAnsi="Times New Roman" w:cs="Times New Roman"/>
        </w:rPr>
      </w:pPr>
      <w:r>
        <w:rPr>
          <w:rFonts w:ascii="Times New Roman" w:hAnsi="Times New Roman" w:cs="Times New Roman"/>
        </w:rPr>
        <w:t xml:space="preserve">Det kystnære fiskeri efter torsk er licenspligtigt. Det udstedes licenser som </w:t>
      </w:r>
      <w:r w:rsidRPr="00CD79DA">
        <w:rPr>
          <w:rFonts w:ascii="Times New Roman" w:hAnsi="Times New Roman" w:cs="Times New Roman"/>
        </w:rPr>
        <w:t xml:space="preserve">gælder for 1 år af gangen. </w:t>
      </w:r>
      <w:r w:rsidR="00CD79DA" w:rsidRPr="00CD79DA">
        <w:rPr>
          <w:rFonts w:ascii="Times New Roman" w:hAnsi="Times New Roman" w:cs="Times New Roman"/>
        </w:rPr>
        <w:t>Licenser til fiskeriet udstedes til fartøjer som ifølge deres målebrev har en tonnage</w:t>
      </w:r>
      <w:r>
        <w:rPr>
          <w:rFonts w:ascii="Times New Roman" w:hAnsi="Times New Roman" w:cs="Times New Roman"/>
        </w:rPr>
        <w:t xml:space="preserve"> under 75 bruttoregister tons (BRT)</w:t>
      </w:r>
      <w:r w:rsidR="00CD79DA" w:rsidRPr="00CD79DA">
        <w:rPr>
          <w:rFonts w:ascii="Times New Roman" w:hAnsi="Times New Roman" w:cs="Times New Roman"/>
        </w:rPr>
        <w:t xml:space="preserve"> eller 120 </w:t>
      </w:r>
      <w:r>
        <w:rPr>
          <w:rFonts w:ascii="Times New Roman" w:hAnsi="Times New Roman" w:cs="Times New Roman"/>
        </w:rPr>
        <w:t>bruttotons (</w:t>
      </w:r>
      <w:r w:rsidR="00CD79DA" w:rsidRPr="00CD79DA">
        <w:rPr>
          <w:rFonts w:ascii="Times New Roman" w:hAnsi="Times New Roman" w:cs="Times New Roman"/>
        </w:rPr>
        <w:t>BT</w:t>
      </w:r>
      <w:r>
        <w:rPr>
          <w:rFonts w:ascii="Times New Roman" w:hAnsi="Times New Roman" w:cs="Times New Roman"/>
        </w:rPr>
        <w:t>)</w:t>
      </w:r>
      <w:r w:rsidR="00CD79DA" w:rsidRPr="00CD79DA">
        <w:rPr>
          <w:rFonts w:ascii="Times New Roman" w:hAnsi="Times New Roman" w:cs="Times New Roman"/>
        </w:rPr>
        <w:t xml:space="preserve">, og til joller.  Derudover er der i dag ingen begrænsninger på hvor mange fartøjer og joller der kan fiske på en enkelt kystnær torskelicens. </w:t>
      </w:r>
    </w:p>
    <w:p w14:paraId="52813D2A" w14:textId="77777777" w:rsidR="00962A31" w:rsidRPr="00CD79DA" w:rsidRDefault="00962A31" w:rsidP="00732A54">
      <w:pPr>
        <w:spacing w:after="0" w:line="276" w:lineRule="auto"/>
        <w:jc w:val="both"/>
        <w:rPr>
          <w:rFonts w:ascii="Times New Roman" w:hAnsi="Times New Roman" w:cs="Times New Roman"/>
        </w:rPr>
      </w:pPr>
    </w:p>
    <w:p w14:paraId="4314440E" w14:textId="5C70BC5B" w:rsidR="00CD79DA" w:rsidRPr="0046055F" w:rsidRDefault="0046055F" w:rsidP="00732A54">
      <w:pPr>
        <w:spacing w:after="0" w:line="276" w:lineRule="auto"/>
        <w:jc w:val="both"/>
        <w:rPr>
          <w:rFonts w:ascii="Times New Roman" w:hAnsi="Times New Roman" w:cs="Times New Roman"/>
        </w:rPr>
      </w:pPr>
      <w:proofErr w:type="spellStart"/>
      <w:r w:rsidRPr="0046055F">
        <w:rPr>
          <w:rFonts w:ascii="Times New Roman" w:hAnsi="Times New Roman" w:cs="Times New Roman"/>
        </w:rPr>
        <w:t>Naalakkersuisut</w:t>
      </w:r>
      <w:proofErr w:type="spellEnd"/>
      <w:r w:rsidRPr="0046055F">
        <w:rPr>
          <w:rFonts w:ascii="Times New Roman" w:hAnsi="Times New Roman" w:cs="Times New Roman"/>
        </w:rPr>
        <w:t xml:space="preserve"> indførte i 2016 en særlig torskekvote for fritidsfiskere i Grønland, hvilket betød at det fra 2016, ikke længere var forbeholdt fiskere med erhvervslicens at indhandle torsk i det kystnære fiskeri. Det har været fastsat </w:t>
      </w:r>
      <w:r w:rsidR="00CD79DA" w:rsidRPr="0046055F">
        <w:rPr>
          <w:rFonts w:ascii="Times New Roman" w:hAnsi="Times New Roman" w:cs="Times New Roman"/>
        </w:rPr>
        <w:t>tor</w:t>
      </w:r>
      <w:r w:rsidR="00962A31" w:rsidRPr="0046055F">
        <w:rPr>
          <w:rFonts w:ascii="Times New Roman" w:hAnsi="Times New Roman" w:cs="Times New Roman"/>
        </w:rPr>
        <w:t>skekvote til fritidsfiskere</w:t>
      </w:r>
      <w:r w:rsidRPr="0046055F">
        <w:rPr>
          <w:rFonts w:ascii="Times New Roman" w:hAnsi="Times New Roman" w:cs="Times New Roman"/>
        </w:rPr>
        <w:t xml:space="preserve"> hvert år siden.</w:t>
      </w:r>
    </w:p>
    <w:p w14:paraId="7B83B815" w14:textId="4F84CB84" w:rsidR="00962A31" w:rsidRDefault="00962A31" w:rsidP="00732A54">
      <w:pPr>
        <w:spacing w:after="0" w:line="276" w:lineRule="auto"/>
        <w:jc w:val="both"/>
        <w:rPr>
          <w:rFonts w:ascii="Times New Roman" w:hAnsi="Times New Roman" w:cs="Times New Roman"/>
        </w:rPr>
      </w:pPr>
    </w:p>
    <w:p w14:paraId="34805435" w14:textId="5DBEB2B9" w:rsidR="00E642F3" w:rsidRDefault="00E642F3" w:rsidP="00732A54">
      <w:pPr>
        <w:spacing w:after="0" w:line="276" w:lineRule="auto"/>
        <w:jc w:val="both"/>
        <w:rPr>
          <w:rFonts w:ascii="Times New Roman" w:hAnsi="Times New Roman" w:cs="Times New Roman"/>
        </w:rPr>
      </w:pPr>
    </w:p>
    <w:p w14:paraId="77DB50E6" w14:textId="1619FD4F" w:rsidR="00E642F3" w:rsidRDefault="00E642F3" w:rsidP="00732A54">
      <w:pPr>
        <w:spacing w:after="0" w:line="276" w:lineRule="auto"/>
        <w:jc w:val="both"/>
        <w:rPr>
          <w:rFonts w:ascii="Times New Roman" w:hAnsi="Times New Roman" w:cs="Times New Roman"/>
        </w:rPr>
      </w:pPr>
    </w:p>
    <w:p w14:paraId="7E177D5D" w14:textId="77777777" w:rsidR="00E642F3" w:rsidRPr="00CD79DA" w:rsidRDefault="00E642F3" w:rsidP="00732A54">
      <w:pPr>
        <w:spacing w:after="0" w:line="276" w:lineRule="auto"/>
        <w:jc w:val="both"/>
        <w:rPr>
          <w:rFonts w:ascii="Times New Roman" w:hAnsi="Times New Roman" w:cs="Times New Roman"/>
        </w:rPr>
      </w:pPr>
    </w:p>
    <w:p w14:paraId="0739E628" w14:textId="77777777" w:rsidR="00F6440E" w:rsidRPr="00F13C91" w:rsidRDefault="00BC3AF1" w:rsidP="00732A54">
      <w:pPr>
        <w:spacing w:after="0" w:line="276" w:lineRule="auto"/>
        <w:jc w:val="both"/>
        <w:rPr>
          <w:rFonts w:ascii="Times New Roman" w:hAnsi="Times New Roman" w:cs="Times New Roman"/>
          <w:b/>
          <w:color w:val="000000" w:themeColor="text1"/>
          <w:sz w:val="24"/>
          <w:szCs w:val="24"/>
        </w:rPr>
      </w:pPr>
      <w:r w:rsidRPr="00F13C91">
        <w:rPr>
          <w:rFonts w:ascii="Times New Roman" w:hAnsi="Times New Roman" w:cs="Times New Roman"/>
          <w:b/>
          <w:color w:val="000000" w:themeColor="text1"/>
          <w:sz w:val="24"/>
          <w:szCs w:val="24"/>
        </w:rPr>
        <w:lastRenderedPageBreak/>
        <w:t xml:space="preserve">3. </w:t>
      </w:r>
      <w:r w:rsidR="00F6440E" w:rsidRPr="00F13C91">
        <w:rPr>
          <w:rFonts w:ascii="Times New Roman" w:hAnsi="Times New Roman" w:cs="Times New Roman"/>
          <w:b/>
          <w:color w:val="000000" w:themeColor="text1"/>
          <w:sz w:val="24"/>
          <w:szCs w:val="24"/>
        </w:rPr>
        <w:t>Udvikling</w:t>
      </w:r>
      <w:r w:rsidR="00405AE0" w:rsidRPr="00F13C91">
        <w:rPr>
          <w:rFonts w:ascii="Times New Roman" w:hAnsi="Times New Roman" w:cs="Times New Roman"/>
          <w:b/>
          <w:color w:val="000000" w:themeColor="text1"/>
          <w:sz w:val="24"/>
          <w:szCs w:val="24"/>
        </w:rPr>
        <w:t xml:space="preserve">en </w:t>
      </w:r>
      <w:r w:rsidRPr="00F13C91">
        <w:rPr>
          <w:rFonts w:ascii="Times New Roman" w:hAnsi="Times New Roman" w:cs="Times New Roman"/>
          <w:b/>
          <w:color w:val="000000" w:themeColor="text1"/>
          <w:sz w:val="24"/>
          <w:szCs w:val="24"/>
        </w:rPr>
        <w:t>i det kystnære fiskeri efter torsk</w:t>
      </w:r>
    </w:p>
    <w:p w14:paraId="533F4EFE" w14:textId="5FD18D55" w:rsidR="00F13C91" w:rsidRDefault="00BC3AF1" w:rsidP="00732A54">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I følgende afsnit vises udviklingen i </w:t>
      </w:r>
      <w:r>
        <w:rPr>
          <w:rFonts w:ascii="Times New Roman" w:hAnsi="Times New Roman" w:cs="Times New Roman"/>
          <w:color w:val="000000" w:themeColor="text1"/>
        </w:rPr>
        <w:t xml:space="preserve">antal licenser, </w:t>
      </w:r>
      <w:r w:rsidRPr="008A6FF3">
        <w:rPr>
          <w:rFonts w:ascii="Times New Roman" w:hAnsi="Times New Roman" w:cs="Times New Roman"/>
          <w:color w:val="000000" w:themeColor="text1"/>
        </w:rPr>
        <w:t>den biologiske rådgivning, TAC, kvoter</w:t>
      </w:r>
      <w:r w:rsidR="00EF6B12">
        <w:rPr>
          <w:rFonts w:ascii="Times New Roman" w:hAnsi="Times New Roman" w:cs="Times New Roman"/>
          <w:color w:val="000000" w:themeColor="text1"/>
        </w:rPr>
        <w:t xml:space="preserve"> flådestruktur</w:t>
      </w:r>
      <w:r w:rsidRPr="008A6FF3">
        <w:rPr>
          <w:rFonts w:ascii="Times New Roman" w:hAnsi="Times New Roman" w:cs="Times New Roman"/>
          <w:color w:val="000000" w:themeColor="text1"/>
        </w:rPr>
        <w:t xml:space="preserve"> samt fangstmængder af kystnær </w:t>
      </w:r>
      <w:r>
        <w:rPr>
          <w:rFonts w:ascii="Times New Roman" w:hAnsi="Times New Roman" w:cs="Times New Roman"/>
          <w:color w:val="000000" w:themeColor="text1"/>
        </w:rPr>
        <w:t>torsk</w:t>
      </w:r>
      <w:r w:rsidR="00F13C91">
        <w:rPr>
          <w:rFonts w:ascii="Times New Roman" w:hAnsi="Times New Roman" w:cs="Times New Roman"/>
          <w:color w:val="000000" w:themeColor="text1"/>
        </w:rPr>
        <w:t xml:space="preserve">. </w:t>
      </w:r>
    </w:p>
    <w:p w14:paraId="3EC64489" w14:textId="77777777" w:rsidR="00BC3AF1" w:rsidRPr="008A6FF3" w:rsidRDefault="00BC3AF1" w:rsidP="00732A54">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 </w:t>
      </w:r>
    </w:p>
    <w:p w14:paraId="57400293" w14:textId="77777777" w:rsidR="00BC3AF1" w:rsidRPr="00F13C91" w:rsidRDefault="00F13C91" w:rsidP="00732A54">
      <w:pPr>
        <w:spacing w:after="0" w:line="276" w:lineRule="auto"/>
        <w:jc w:val="both"/>
        <w:rPr>
          <w:rFonts w:ascii="Times New Roman" w:hAnsi="Times New Roman" w:cs="Times New Roman"/>
          <w:b/>
          <w:i/>
          <w:color w:val="000000" w:themeColor="text1"/>
        </w:rPr>
      </w:pPr>
      <w:r w:rsidRPr="00F13C91">
        <w:rPr>
          <w:rFonts w:ascii="Times New Roman" w:hAnsi="Times New Roman" w:cs="Times New Roman"/>
          <w:b/>
          <w:i/>
          <w:color w:val="000000" w:themeColor="text1"/>
        </w:rPr>
        <w:t>3.1 Udviklingen i antal kystnære torskelicenser</w:t>
      </w:r>
      <w:r w:rsidR="00352063">
        <w:rPr>
          <w:rFonts w:ascii="Times New Roman" w:hAnsi="Times New Roman" w:cs="Times New Roman"/>
          <w:b/>
          <w:i/>
          <w:color w:val="000000" w:themeColor="text1"/>
        </w:rPr>
        <w:t xml:space="preserve"> og flåden</w:t>
      </w:r>
    </w:p>
    <w:p w14:paraId="4DAFB431" w14:textId="4FC46296" w:rsidR="00352063" w:rsidRDefault="00F13C91" w:rsidP="00732A54">
      <w:pPr>
        <w:spacing w:after="0" w:line="276" w:lineRule="auto"/>
        <w:jc w:val="both"/>
        <w:rPr>
          <w:rFonts w:ascii="Times New Roman" w:hAnsi="Times New Roman" w:cs="Times New Roman"/>
        </w:rPr>
      </w:pPr>
      <w:r>
        <w:rPr>
          <w:rFonts w:ascii="Times New Roman" w:hAnsi="Times New Roman" w:cs="Times New Roman"/>
        </w:rPr>
        <w:t xml:space="preserve">Antallet af udstedte licens til det kystnære torskefiskeri har steget markant siden 2013. </w:t>
      </w:r>
      <w:r w:rsidR="00352063">
        <w:rPr>
          <w:rFonts w:ascii="Times New Roman" w:hAnsi="Times New Roman" w:cs="Times New Roman"/>
        </w:rPr>
        <w:t xml:space="preserve">Det fremgår af tabel 1 at antal udstedte licenser til erhvervsfiskeri efter kystnær torsk er steget fra 1.072 i 2013 til 1.756 i 2020, svarende til en stigning på ca. 64 pct. </w:t>
      </w:r>
      <w:r w:rsidR="00352063" w:rsidRPr="00F13C91">
        <w:rPr>
          <w:rFonts w:ascii="Times New Roman" w:hAnsi="Times New Roman" w:cs="Times New Roman"/>
        </w:rPr>
        <w:t xml:space="preserve">Antallet af udstedte licenser i fiskeriet, er </w:t>
      </w:r>
      <w:r w:rsidR="00352063">
        <w:rPr>
          <w:rFonts w:ascii="Times New Roman" w:hAnsi="Times New Roman" w:cs="Times New Roman"/>
        </w:rPr>
        <w:t xml:space="preserve">dog </w:t>
      </w:r>
      <w:r w:rsidR="00352063" w:rsidRPr="00F13C91">
        <w:rPr>
          <w:rFonts w:ascii="Times New Roman" w:hAnsi="Times New Roman" w:cs="Times New Roman"/>
        </w:rPr>
        <w:t>ikke et udtryk for hvor mange licenser der udnyttes det enkelte år. Der bliver således hvert år udstedt langt flere licenser end der bliver udnyttet</w:t>
      </w:r>
      <w:r w:rsidR="00352063">
        <w:rPr>
          <w:rFonts w:ascii="Times New Roman" w:hAnsi="Times New Roman" w:cs="Times New Roman"/>
        </w:rPr>
        <w:t xml:space="preserve">. Antal </w:t>
      </w:r>
      <w:r w:rsidR="00166D4A">
        <w:rPr>
          <w:rFonts w:ascii="Times New Roman" w:hAnsi="Times New Roman" w:cs="Times New Roman"/>
        </w:rPr>
        <w:t xml:space="preserve">udnyttede </w:t>
      </w:r>
      <w:r w:rsidR="00352063">
        <w:rPr>
          <w:rFonts w:ascii="Times New Roman" w:hAnsi="Times New Roman" w:cs="Times New Roman"/>
        </w:rPr>
        <w:t xml:space="preserve">licenser var i 2013 på 850 og steg til 1.192 i 2020. Stigning i antallet af udstedte erhvervslicenser i perioden 2013-2020 var på 684 hvorimod stigningen i udnyttede licenser var kun 384. </w:t>
      </w:r>
      <w:r w:rsidR="00166D4A">
        <w:rPr>
          <w:rFonts w:ascii="Times New Roman" w:hAnsi="Times New Roman" w:cs="Times New Roman"/>
        </w:rPr>
        <w:t>Bemærk at en stor del af licenserne benyttes til bifangst i andre fiskerier, især fiskeriet efter hellefisk.</w:t>
      </w:r>
    </w:p>
    <w:p w14:paraId="68A0A021" w14:textId="77777777" w:rsidR="00962A31" w:rsidRDefault="00962A31" w:rsidP="00732A54">
      <w:pPr>
        <w:spacing w:after="0" w:line="276" w:lineRule="auto"/>
        <w:jc w:val="both"/>
        <w:rPr>
          <w:rFonts w:ascii="Times New Roman" w:hAnsi="Times New Roman" w:cs="Times New Roman"/>
        </w:rPr>
      </w:pPr>
    </w:p>
    <w:p w14:paraId="752BF424" w14:textId="77777777" w:rsidR="00352063" w:rsidRDefault="00352063" w:rsidP="00732A54">
      <w:pPr>
        <w:spacing w:after="0" w:line="276" w:lineRule="auto"/>
        <w:jc w:val="both"/>
        <w:rPr>
          <w:rFonts w:ascii="Times New Roman" w:hAnsi="Times New Roman" w:cs="Times New Roman"/>
        </w:rPr>
      </w:pPr>
      <w:r>
        <w:rPr>
          <w:rFonts w:ascii="Times New Roman" w:hAnsi="Times New Roman" w:cs="Times New Roman"/>
        </w:rPr>
        <w:t>I</w:t>
      </w:r>
      <w:r w:rsidRPr="00F13C91">
        <w:rPr>
          <w:rFonts w:ascii="Times New Roman" w:hAnsi="Times New Roman" w:cs="Times New Roman"/>
        </w:rPr>
        <w:t xml:space="preserve"> 20</w:t>
      </w:r>
      <w:r>
        <w:rPr>
          <w:rFonts w:ascii="Times New Roman" w:hAnsi="Times New Roman" w:cs="Times New Roman"/>
        </w:rPr>
        <w:t xml:space="preserve">20 </w:t>
      </w:r>
      <w:r w:rsidRPr="00F13C91">
        <w:rPr>
          <w:rFonts w:ascii="Times New Roman" w:hAnsi="Times New Roman" w:cs="Times New Roman"/>
        </w:rPr>
        <w:t xml:space="preserve">blev der som det fremgår af tabel 1 udstedt </w:t>
      </w:r>
      <w:r>
        <w:rPr>
          <w:rFonts w:ascii="Times New Roman" w:hAnsi="Times New Roman" w:cs="Times New Roman"/>
        </w:rPr>
        <w:t>1.75</w:t>
      </w:r>
      <w:r w:rsidRPr="00F13C91">
        <w:rPr>
          <w:rFonts w:ascii="Times New Roman" w:hAnsi="Times New Roman" w:cs="Times New Roman"/>
        </w:rPr>
        <w:t xml:space="preserve">6 licenser til erhvervsmæssigt fiskeri, men det var kun </w:t>
      </w:r>
      <w:r>
        <w:rPr>
          <w:rFonts w:ascii="Times New Roman" w:hAnsi="Times New Roman" w:cs="Times New Roman"/>
        </w:rPr>
        <w:t>1.192</w:t>
      </w:r>
      <w:r w:rsidRPr="00F13C91">
        <w:rPr>
          <w:rFonts w:ascii="Times New Roman" w:hAnsi="Times New Roman" w:cs="Times New Roman"/>
        </w:rPr>
        <w:t xml:space="preserve"> licenser der faktisk blev udnyttet. Denne sammenhæng er blandt andet forbundet med, at mange fiskere i det kystnære fiskeri efter hellefisk, hvert år får udstedt en torskelicens men ikke udnytter den. </w:t>
      </w:r>
    </w:p>
    <w:p w14:paraId="32420755" w14:textId="77777777" w:rsidR="00352063" w:rsidRDefault="00352063" w:rsidP="00732A54">
      <w:pPr>
        <w:spacing w:after="0" w:line="276" w:lineRule="auto"/>
        <w:jc w:val="both"/>
        <w:rPr>
          <w:rFonts w:ascii="Times New Roman" w:hAnsi="Times New Roman" w:cs="Times New Roman"/>
        </w:rPr>
      </w:pPr>
    </w:p>
    <w:p w14:paraId="2A202444" w14:textId="77777777" w:rsidR="00352063" w:rsidRPr="00F13C91" w:rsidRDefault="00352063" w:rsidP="00732A54">
      <w:pPr>
        <w:spacing w:after="0" w:line="276" w:lineRule="auto"/>
        <w:jc w:val="both"/>
        <w:rPr>
          <w:rFonts w:ascii="Times New Roman" w:hAnsi="Times New Roman" w:cs="Times New Roman"/>
        </w:rPr>
      </w:pPr>
      <w:r>
        <w:rPr>
          <w:rFonts w:ascii="Times New Roman" w:hAnsi="Times New Roman" w:cs="Times New Roman"/>
        </w:rPr>
        <w:t>I 2016 blev der oprettet en særskilt torskekvote for fritidsfiskere som kan indhandles til fabrikkerne. Fritidsfiskeriet er også licenspligtigt. Det er i perioden 2016-2020 udstedt 596 licenser i gennemsnit pr. år hvorimod kun 283 licenser i gennemsnit udnyttet.</w:t>
      </w:r>
    </w:p>
    <w:p w14:paraId="2E1C1D1F" w14:textId="77777777" w:rsidR="00352063" w:rsidRDefault="00352063" w:rsidP="00732A54">
      <w:pPr>
        <w:spacing w:after="0" w:line="276" w:lineRule="auto"/>
        <w:jc w:val="both"/>
        <w:rPr>
          <w:rFonts w:ascii="Times New Roman" w:hAnsi="Times New Roman" w:cs="Times New Roman"/>
        </w:rPr>
      </w:pPr>
    </w:p>
    <w:p w14:paraId="0795EEA1" w14:textId="77777777" w:rsidR="00F13C91" w:rsidRDefault="0092246F" w:rsidP="00732A54">
      <w:pPr>
        <w:spacing w:after="0" w:line="276" w:lineRule="auto"/>
        <w:jc w:val="both"/>
        <w:rPr>
          <w:rFonts w:ascii="Times New Roman" w:hAnsi="Times New Roman" w:cs="Times New Roman"/>
        </w:rPr>
      </w:pPr>
      <w:r>
        <w:rPr>
          <w:rFonts w:ascii="Times New Roman" w:hAnsi="Times New Roman" w:cs="Times New Roman"/>
        </w:rPr>
        <w:t>Tabel 1: Udviklingen i antal kystnære torskelicenser til fordelt på erhvervs- og fritidsfiskeri, 2013-2020.</w:t>
      </w:r>
    </w:p>
    <w:tbl>
      <w:tblPr>
        <w:tblW w:w="5000" w:type="pct"/>
        <w:tblCellMar>
          <w:left w:w="70" w:type="dxa"/>
          <w:right w:w="70" w:type="dxa"/>
        </w:tblCellMar>
        <w:tblLook w:val="04A0" w:firstRow="1" w:lastRow="0" w:firstColumn="1" w:lastColumn="0" w:noHBand="0" w:noVBand="1"/>
      </w:tblPr>
      <w:tblGrid>
        <w:gridCol w:w="2090"/>
        <w:gridCol w:w="943"/>
        <w:gridCol w:w="943"/>
        <w:gridCol w:w="942"/>
        <w:gridCol w:w="942"/>
        <w:gridCol w:w="942"/>
        <w:gridCol w:w="942"/>
        <w:gridCol w:w="942"/>
        <w:gridCol w:w="942"/>
      </w:tblGrid>
      <w:tr w:rsidR="00962A31" w:rsidRPr="00962A31" w14:paraId="381B156A" w14:textId="77777777" w:rsidTr="00962A31">
        <w:trPr>
          <w:trHeight w:val="300"/>
        </w:trPr>
        <w:tc>
          <w:tcPr>
            <w:tcW w:w="10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04B17"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 </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14:paraId="267D7877"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2013</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14:paraId="36832F2B"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2014</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14:paraId="61B55877"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2015</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14:paraId="050FB0E4"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2016</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14:paraId="4601BE45"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2017</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14:paraId="4BED33AF"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2018</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14:paraId="65E49983"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2019</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14:paraId="0DE227BC"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2020</w:t>
            </w:r>
          </w:p>
        </w:tc>
      </w:tr>
      <w:tr w:rsidR="00962A31" w:rsidRPr="00962A31" w14:paraId="3F8CD075" w14:textId="77777777" w:rsidTr="00962A31">
        <w:trPr>
          <w:trHeight w:val="300"/>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14:paraId="02114D3E"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Udstedte licenser</w:t>
            </w:r>
          </w:p>
        </w:tc>
        <w:tc>
          <w:tcPr>
            <w:tcW w:w="489" w:type="pct"/>
            <w:tcBorders>
              <w:top w:val="nil"/>
              <w:left w:val="nil"/>
              <w:bottom w:val="single" w:sz="4" w:space="0" w:color="auto"/>
              <w:right w:val="single" w:sz="4" w:space="0" w:color="auto"/>
            </w:tcBorders>
            <w:shd w:val="clear" w:color="000000" w:fill="FFFFFF"/>
            <w:noWrap/>
            <w:vAlign w:val="bottom"/>
            <w:hideMark/>
          </w:tcPr>
          <w:p w14:paraId="6CCCECCE"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1.072 </w:t>
            </w:r>
          </w:p>
        </w:tc>
        <w:tc>
          <w:tcPr>
            <w:tcW w:w="489" w:type="pct"/>
            <w:tcBorders>
              <w:top w:val="nil"/>
              <w:left w:val="nil"/>
              <w:bottom w:val="single" w:sz="4" w:space="0" w:color="auto"/>
              <w:right w:val="single" w:sz="4" w:space="0" w:color="auto"/>
            </w:tcBorders>
            <w:shd w:val="clear" w:color="000000" w:fill="FFFFFF"/>
            <w:noWrap/>
            <w:vAlign w:val="bottom"/>
            <w:hideMark/>
          </w:tcPr>
          <w:p w14:paraId="0CA59E44"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1.302 </w:t>
            </w:r>
          </w:p>
        </w:tc>
        <w:tc>
          <w:tcPr>
            <w:tcW w:w="489" w:type="pct"/>
            <w:tcBorders>
              <w:top w:val="nil"/>
              <w:left w:val="nil"/>
              <w:bottom w:val="single" w:sz="4" w:space="0" w:color="auto"/>
              <w:right w:val="single" w:sz="4" w:space="0" w:color="auto"/>
            </w:tcBorders>
            <w:shd w:val="clear" w:color="000000" w:fill="FFFFFF"/>
            <w:noWrap/>
            <w:vAlign w:val="bottom"/>
            <w:hideMark/>
          </w:tcPr>
          <w:p w14:paraId="48B551D2"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1.549 </w:t>
            </w:r>
          </w:p>
        </w:tc>
        <w:tc>
          <w:tcPr>
            <w:tcW w:w="489" w:type="pct"/>
            <w:tcBorders>
              <w:top w:val="nil"/>
              <w:left w:val="nil"/>
              <w:bottom w:val="single" w:sz="4" w:space="0" w:color="auto"/>
              <w:right w:val="single" w:sz="4" w:space="0" w:color="auto"/>
            </w:tcBorders>
            <w:shd w:val="clear" w:color="000000" w:fill="FFFFFF"/>
            <w:noWrap/>
            <w:vAlign w:val="bottom"/>
            <w:hideMark/>
          </w:tcPr>
          <w:p w14:paraId="6F10CB30"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2.332 </w:t>
            </w:r>
          </w:p>
        </w:tc>
        <w:tc>
          <w:tcPr>
            <w:tcW w:w="489" w:type="pct"/>
            <w:tcBorders>
              <w:top w:val="nil"/>
              <w:left w:val="nil"/>
              <w:bottom w:val="single" w:sz="4" w:space="0" w:color="auto"/>
              <w:right w:val="single" w:sz="4" w:space="0" w:color="auto"/>
            </w:tcBorders>
            <w:shd w:val="clear" w:color="000000" w:fill="FFFFFF"/>
            <w:noWrap/>
            <w:vAlign w:val="bottom"/>
            <w:hideMark/>
          </w:tcPr>
          <w:p w14:paraId="724FF1D6"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2.323 </w:t>
            </w:r>
          </w:p>
        </w:tc>
        <w:tc>
          <w:tcPr>
            <w:tcW w:w="489" w:type="pct"/>
            <w:tcBorders>
              <w:top w:val="nil"/>
              <w:left w:val="nil"/>
              <w:bottom w:val="single" w:sz="4" w:space="0" w:color="auto"/>
              <w:right w:val="single" w:sz="4" w:space="0" w:color="auto"/>
            </w:tcBorders>
            <w:shd w:val="clear" w:color="000000" w:fill="FFFFFF"/>
            <w:noWrap/>
            <w:vAlign w:val="bottom"/>
            <w:hideMark/>
          </w:tcPr>
          <w:p w14:paraId="7FFD9341"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2.233 </w:t>
            </w:r>
          </w:p>
        </w:tc>
        <w:tc>
          <w:tcPr>
            <w:tcW w:w="489" w:type="pct"/>
            <w:tcBorders>
              <w:top w:val="nil"/>
              <w:left w:val="nil"/>
              <w:bottom w:val="single" w:sz="4" w:space="0" w:color="auto"/>
              <w:right w:val="single" w:sz="4" w:space="0" w:color="auto"/>
            </w:tcBorders>
            <w:shd w:val="clear" w:color="000000" w:fill="FFFFFF"/>
            <w:noWrap/>
            <w:vAlign w:val="bottom"/>
            <w:hideMark/>
          </w:tcPr>
          <w:p w14:paraId="3E070FD6"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2.451 </w:t>
            </w:r>
          </w:p>
        </w:tc>
        <w:tc>
          <w:tcPr>
            <w:tcW w:w="489" w:type="pct"/>
            <w:tcBorders>
              <w:top w:val="nil"/>
              <w:left w:val="nil"/>
              <w:bottom w:val="single" w:sz="4" w:space="0" w:color="auto"/>
              <w:right w:val="single" w:sz="4" w:space="0" w:color="auto"/>
            </w:tcBorders>
            <w:shd w:val="clear" w:color="000000" w:fill="FFFFFF"/>
            <w:noWrap/>
            <w:vAlign w:val="bottom"/>
            <w:hideMark/>
          </w:tcPr>
          <w:p w14:paraId="2FF75BE3"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2.431 </w:t>
            </w:r>
          </w:p>
        </w:tc>
      </w:tr>
      <w:tr w:rsidR="00962A31" w:rsidRPr="00962A31" w14:paraId="01D70D65" w14:textId="77777777" w:rsidTr="00962A31">
        <w:trPr>
          <w:trHeight w:val="300"/>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14:paraId="1825ECCD"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Erhvervsfiskeri</w:t>
            </w:r>
          </w:p>
        </w:tc>
        <w:tc>
          <w:tcPr>
            <w:tcW w:w="489" w:type="pct"/>
            <w:tcBorders>
              <w:top w:val="nil"/>
              <w:left w:val="nil"/>
              <w:bottom w:val="single" w:sz="4" w:space="0" w:color="auto"/>
              <w:right w:val="single" w:sz="4" w:space="0" w:color="auto"/>
            </w:tcBorders>
            <w:shd w:val="clear" w:color="000000" w:fill="FFFFFF"/>
            <w:noWrap/>
            <w:vAlign w:val="bottom"/>
            <w:hideMark/>
          </w:tcPr>
          <w:p w14:paraId="01FA3537"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1.072 </w:t>
            </w:r>
          </w:p>
        </w:tc>
        <w:tc>
          <w:tcPr>
            <w:tcW w:w="489" w:type="pct"/>
            <w:tcBorders>
              <w:top w:val="nil"/>
              <w:left w:val="nil"/>
              <w:bottom w:val="single" w:sz="4" w:space="0" w:color="auto"/>
              <w:right w:val="single" w:sz="4" w:space="0" w:color="auto"/>
            </w:tcBorders>
            <w:shd w:val="clear" w:color="000000" w:fill="FFFFFF"/>
            <w:noWrap/>
            <w:vAlign w:val="bottom"/>
            <w:hideMark/>
          </w:tcPr>
          <w:p w14:paraId="76D8300E"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1.302 </w:t>
            </w:r>
          </w:p>
        </w:tc>
        <w:tc>
          <w:tcPr>
            <w:tcW w:w="489" w:type="pct"/>
            <w:tcBorders>
              <w:top w:val="nil"/>
              <w:left w:val="nil"/>
              <w:bottom w:val="single" w:sz="4" w:space="0" w:color="auto"/>
              <w:right w:val="single" w:sz="4" w:space="0" w:color="auto"/>
            </w:tcBorders>
            <w:shd w:val="clear" w:color="000000" w:fill="FFFFFF"/>
            <w:noWrap/>
            <w:vAlign w:val="bottom"/>
            <w:hideMark/>
          </w:tcPr>
          <w:p w14:paraId="5EB88851"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1.549 </w:t>
            </w:r>
          </w:p>
        </w:tc>
        <w:tc>
          <w:tcPr>
            <w:tcW w:w="489" w:type="pct"/>
            <w:tcBorders>
              <w:top w:val="nil"/>
              <w:left w:val="nil"/>
              <w:bottom w:val="single" w:sz="4" w:space="0" w:color="auto"/>
              <w:right w:val="single" w:sz="4" w:space="0" w:color="auto"/>
            </w:tcBorders>
            <w:shd w:val="clear" w:color="000000" w:fill="FFFFFF"/>
            <w:noWrap/>
            <w:vAlign w:val="bottom"/>
            <w:hideMark/>
          </w:tcPr>
          <w:p w14:paraId="68526650"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1.743 </w:t>
            </w:r>
          </w:p>
        </w:tc>
        <w:tc>
          <w:tcPr>
            <w:tcW w:w="489" w:type="pct"/>
            <w:tcBorders>
              <w:top w:val="nil"/>
              <w:left w:val="nil"/>
              <w:bottom w:val="single" w:sz="4" w:space="0" w:color="auto"/>
              <w:right w:val="single" w:sz="4" w:space="0" w:color="auto"/>
            </w:tcBorders>
            <w:shd w:val="clear" w:color="000000" w:fill="FFFFFF"/>
            <w:noWrap/>
            <w:vAlign w:val="bottom"/>
            <w:hideMark/>
          </w:tcPr>
          <w:p w14:paraId="3C2BF191"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1.911 </w:t>
            </w:r>
          </w:p>
        </w:tc>
        <w:tc>
          <w:tcPr>
            <w:tcW w:w="489" w:type="pct"/>
            <w:tcBorders>
              <w:top w:val="nil"/>
              <w:left w:val="nil"/>
              <w:bottom w:val="single" w:sz="4" w:space="0" w:color="auto"/>
              <w:right w:val="single" w:sz="4" w:space="0" w:color="auto"/>
            </w:tcBorders>
            <w:shd w:val="clear" w:color="000000" w:fill="FFFFFF"/>
            <w:noWrap/>
            <w:vAlign w:val="bottom"/>
            <w:hideMark/>
          </w:tcPr>
          <w:p w14:paraId="7CDF0DBB"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1.674 </w:t>
            </w:r>
          </w:p>
        </w:tc>
        <w:tc>
          <w:tcPr>
            <w:tcW w:w="489" w:type="pct"/>
            <w:tcBorders>
              <w:top w:val="nil"/>
              <w:left w:val="nil"/>
              <w:bottom w:val="single" w:sz="4" w:space="0" w:color="auto"/>
              <w:right w:val="single" w:sz="4" w:space="0" w:color="auto"/>
            </w:tcBorders>
            <w:shd w:val="clear" w:color="000000" w:fill="FFFFFF"/>
            <w:noWrap/>
            <w:vAlign w:val="bottom"/>
            <w:hideMark/>
          </w:tcPr>
          <w:p w14:paraId="141EB8C5"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1.706 </w:t>
            </w:r>
          </w:p>
        </w:tc>
        <w:tc>
          <w:tcPr>
            <w:tcW w:w="489" w:type="pct"/>
            <w:tcBorders>
              <w:top w:val="nil"/>
              <w:left w:val="nil"/>
              <w:bottom w:val="single" w:sz="4" w:space="0" w:color="auto"/>
              <w:right w:val="single" w:sz="4" w:space="0" w:color="auto"/>
            </w:tcBorders>
            <w:shd w:val="clear" w:color="000000" w:fill="FFFFFF"/>
            <w:noWrap/>
            <w:vAlign w:val="bottom"/>
            <w:hideMark/>
          </w:tcPr>
          <w:p w14:paraId="79A31E87"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1.756 </w:t>
            </w:r>
          </w:p>
        </w:tc>
      </w:tr>
      <w:tr w:rsidR="00962A31" w:rsidRPr="00962A31" w14:paraId="537FE0AB" w14:textId="77777777" w:rsidTr="00962A31">
        <w:trPr>
          <w:trHeight w:val="300"/>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14:paraId="322981FB"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Fritidsfiskeri</w:t>
            </w:r>
          </w:p>
        </w:tc>
        <w:tc>
          <w:tcPr>
            <w:tcW w:w="489" w:type="pct"/>
            <w:tcBorders>
              <w:top w:val="nil"/>
              <w:left w:val="nil"/>
              <w:bottom w:val="single" w:sz="4" w:space="0" w:color="auto"/>
              <w:right w:val="single" w:sz="4" w:space="0" w:color="auto"/>
            </w:tcBorders>
            <w:shd w:val="clear" w:color="000000" w:fill="FFFFFF"/>
            <w:noWrap/>
            <w:vAlign w:val="bottom"/>
            <w:hideMark/>
          </w:tcPr>
          <w:p w14:paraId="7D6C4D0E"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9" w:type="pct"/>
            <w:tcBorders>
              <w:top w:val="nil"/>
              <w:left w:val="nil"/>
              <w:bottom w:val="single" w:sz="4" w:space="0" w:color="auto"/>
              <w:right w:val="single" w:sz="4" w:space="0" w:color="auto"/>
            </w:tcBorders>
            <w:shd w:val="clear" w:color="000000" w:fill="FFFFFF"/>
            <w:noWrap/>
            <w:vAlign w:val="bottom"/>
            <w:hideMark/>
          </w:tcPr>
          <w:p w14:paraId="3ED4FEE2"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9" w:type="pct"/>
            <w:tcBorders>
              <w:top w:val="nil"/>
              <w:left w:val="nil"/>
              <w:bottom w:val="single" w:sz="4" w:space="0" w:color="auto"/>
              <w:right w:val="single" w:sz="4" w:space="0" w:color="auto"/>
            </w:tcBorders>
            <w:shd w:val="clear" w:color="000000" w:fill="FFFFFF"/>
            <w:noWrap/>
            <w:vAlign w:val="bottom"/>
            <w:hideMark/>
          </w:tcPr>
          <w:p w14:paraId="0C42F40E"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9" w:type="pct"/>
            <w:tcBorders>
              <w:top w:val="nil"/>
              <w:left w:val="nil"/>
              <w:bottom w:val="single" w:sz="4" w:space="0" w:color="auto"/>
              <w:right w:val="single" w:sz="4" w:space="0" w:color="auto"/>
            </w:tcBorders>
            <w:shd w:val="clear" w:color="000000" w:fill="FFFFFF"/>
            <w:noWrap/>
            <w:vAlign w:val="bottom"/>
            <w:hideMark/>
          </w:tcPr>
          <w:p w14:paraId="7F99694A"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589 </w:t>
            </w:r>
          </w:p>
        </w:tc>
        <w:tc>
          <w:tcPr>
            <w:tcW w:w="489" w:type="pct"/>
            <w:tcBorders>
              <w:top w:val="nil"/>
              <w:left w:val="nil"/>
              <w:bottom w:val="single" w:sz="4" w:space="0" w:color="auto"/>
              <w:right w:val="single" w:sz="4" w:space="0" w:color="auto"/>
            </w:tcBorders>
            <w:shd w:val="clear" w:color="000000" w:fill="FFFFFF"/>
            <w:noWrap/>
            <w:vAlign w:val="bottom"/>
            <w:hideMark/>
          </w:tcPr>
          <w:p w14:paraId="3B694288"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412 </w:t>
            </w:r>
          </w:p>
        </w:tc>
        <w:tc>
          <w:tcPr>
            <w:tcW w:w="489" w:type="pct"/>
            <w:tcBorders>
              <w:top w:val="nil"/>
              <w:left w:val="nil"/>
              <w:bottom w:val="single" w:sz="4" w:space="0" w:color="auto"/>
              <w:right w:val="single" w:sz="4" w:space="0" w:color="auto"/>
            </w:tcBorders>
            <w:shd w:val="clear" w:color="000000" w:fill="FFFFFF"/>
            <w:noWrap/>
            <w:vAlign w:val="bottom"/>
            <w:hideMark/>
          </w:tcPr>
          <w:p w14:paraId="502A1E9E"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559 </w:t>
            </w:r>
          </w:p>
        </w:tc>
        <w:tc>
          <w:tcPr>
            <w:tcW w:w="489" w:type="pct"/>
            <w:tcBorders>
              <w:top w:val="nil"/>
              <w:left w:val="nil"/>
              <w:bottom w:val="single" w:sz="4" w:space="0" w:color="auto"/>
              <w:right w:val="single" w:sz="4" w:space="0" w:color="auto"/>
            </w:tcBorders>
            <w:shd w:val="clear" w:color="000000" w:fill="FFFFFF"/>
            <w:noWrap/>
            <w:vAlign w:val="bottom"/>
            <w:hideMark/>
          </w:tcPr>
          <w:p w14:paraId="7AE56A9D"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745 </w:t>
            </w:r>
          </w:p>
        </w:tc>
        <w:tc>
          <w:tcPr>
            <w:tcW w:w="489" w:type="pct"/>
            <w:tcBorders>
              <w:top w:val="nil"/>
              <w:left w:val="nil"/>
              <w:bottom w:val="single" w:sz="4" w:space="0" w:color="auto"/>
              <w:right w:val="single" w:sz="4" w:space="0" w:color="auto"/>
            </w:tcBorders>
            <w:shd w:val="clear" w:color="000000" w:fill="FFFFFF"/>
            <w:noWrap/>
            <w:vAlign w:val="bottom"/>
            <w:hideMark/>
          </w:tcPr>
          <w:p w14:paraId="4E37F35C"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675 </w:t>
            </w:r>
          </w:p>
        </w:tc>
      </w:tr>
      <w:tr w:rsidR="00962A31" w:rsidRPr="00962A31" w14:paraId="35A32574" w14:textId="77777777" w:rsidTr="00962A31">
        <w:trPr>
          <w:trHeight w:val="300"/>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14:paraId="6BDAEE90"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Udnyttede licenser</w:t>
            </w:r>
          </w:p>
        </w:tc>
        <w:tc>
          <w:tcPr>
            <w:tcW w:w="489" w:type="pct"/>
            <w:tcBorders>
              <w:top w:val="nil"/>
              <w:left w:val="nil"/>
              <w:bottom w:val="single" w:sz="4" w:space="0" w:color="auto"/>
              <w:right w:val="single" w:sz="4" w:space="0" w:color="auto"/>
            </w:tcBorders>
            <w:shd w:val="clear" w:color="000000" w:fill="FFFFFF"/>
            <w:noWrap/>
            <w:vAlign w:val="bottom"/>
            <w:hideMark/>
          </w:tcPr>
          <w:p w14:paraId="48FF0079"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850 </w:t>
            </w:r>
          </w:p>
        </w:tc>
        <w:tc>
          <w:tcPr>
            <w:tcW w:w="489" w:type="pct"/>
            <w:tcBorders>
              <w:top w:val="nil"/>
              <w:left w:val="nil"/>
              <w:bottom w:val="single" w:sz="4" w:space="0" w:color="auto"/>
              <w:right w:val="single" w:sz="4" w:space="0" w:color="auto"/>
            </w:tcBorders>
            <w:shd w:val="clear" w:color="000000" w:fill="FFFFFF"/>
            <w:noWrap/>
            <w:vAlign w:val="bottom"/>
            <w:hideMark/>
          </w:tcPr>
          <w:p w14:paraId="79C20D07"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1.033 </w:t>
            </w:r>
          </w:p>
        </w:tc>
        <w:tc>
          <w:tcPr>
            <w:tcW w:w="489" w:type="pct"/>
            <w:tcBorders>
              <w:top w:val="nil"/>
              <w:left w:val="nil"/>
              <w:bottom w:val="single" w:sz="4" w:space="0" w:color="auto"/>
              <w:right w:val="single" w:sz="4" w:space="0" w:color="auto"/>
            </w:tcBorders>
            <w:shd w:val="clear" w:color="000000" w:fill="FFFFFF"/>
            <w:noWrap/>
            <w:vAlign w:val="bottom"/>
            <w:hideMark/>
          </w:tcPr>
          <w:p w14:paraId="247AB50A"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1.163 </w:t>
            </w:r>
          </w:p>
        </w:tc>
        <w:tc>
          <w:tcPr>
            <w:tcW w:w="489" w:type="pct"/>
            <w:tcBorders>
              <w:top w:val="nil"/>
              <w:left w:val="nil"/>
              <w:bottom w:val="single" w:sz="4" w:space="0" w:color="auto"/>
              <w:right w:val="single" w:sz="4" w:space="0" w:color="auto"/>
            </w:tcBorders>
            <w:shd w:val="clear" w:color="000000" w:fill="FFFFFF"/>
            <w:noWrap/>
            <w:vAlign w:val="bottom"/>
            <w:hideMark/>
          </w:tcPr>
          <w:p w14:paraId="127FFEE7"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1.420 </w:t>
            </w:r>
          </w:p>
        </w:tc>
        <w:tc>
          <w:tcPr>
            <w:tcW w:w="489" w:type="pct"/>
            <w:tcBorders>
              <w:top w:val="nil"/>
              <w:left w:val="nil"/>
              <w:bottom w:val="single" w:sz="4" w:space="0" w:color="auto"/>
              <w:right w:val="single" w:sz="4" w:space="0" w:color="auto"/>
            </w:tcBorders>
            <w:shd w:val="clear" w:color="000000" w:fill="FFFFFF"/>
            <w:noWrap/>
            <w:vAlign w:val="bottom"/>
            <w:hideMark/>
          </w:tcPr>
          <w:p w14:paraId="53629538"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1.442 </w:t>
            </w:r>
          </w:p>
        </w:tc>
        <w:tc>
          <w:tcPr>
            <w:tcW w:w="489" w:type="pct"/>
            <w:tcBorders>
              <w:top w:val="nil"/>
              <w:left w:val="nil"/>
              <w:bottom w:val="single" w:sz="4" w:space="0" w:color="auto"/>
              <w:right w:val="single" w:sz="4" w:space="0" w:color="auto"/>
            </w:tcBorders>
            <w:shd w:val="clear" w:color="000000" w:fill="FFFFFF"/>
            <w:noWrap/>
            <w:vAlign w:val="bottom"/>
            <w:hideMark/>
          </w:tcPr>
          <w:p w14:paraId="0803731E"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1.539 </w:t>
            </w:r>
          </w:p>
        </w:tc>
        <w:tc>
          <w:tcPr>
            <w:tcW w:w="489" w:type="pct"/>
            <w:tcBorders>
              <w:top w:val="nil"/>
              <w:left w:val="nil"/>
              <w:bottom w:val="single" w:sz="4" w:space="0" w:color="auto"/>
              <w:right w:val="single" w:sz="4" w:space="0" w:color="auto"/>
            </w:tcBorders>
            <w:shd w:val="clear" w:color="000000" w:fill="FFFFFF"/>
            <w:noWrap/>
            <w:vAlign w:val="bottom"/>
            <w:hideMark/>
          </w:tcPr>
          <w:p w14:paraId="0763FD59"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1.644 </w:t>
            </w:r>
          </w:p>
        </w:tc>
        <w:tc>
          <w:tcPr>
            <w:tcW w:w="489" w:type="pct"/>
            <w:tcBorders>
              <w:top w:val="nil"/>
              <w:left w:val="nil"/>
              <w:bottom w:val="single" w:sz="4" w:space="0" w:color="auto"/>
              <w:right w:val="single" w:sz="4" w:space="0" w:color="auto"/>
            </w:tcBorders>
            <w:shd w:val="clear" w:color="000000" w:fill="FFFFFF"/>
            <w:noWrap/>
            <w:vAlign w:val="bottom"/>
            <w:hideMark/>
          </w:tcPr>
          <w:p w14:paraId="21FB02B2"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 xml:space="preserve">    1.514</w:t>
            </w:r>
            <w:r w:rsidRPr="00962A31">
              <w:rPr>
                <w:rFonts w:ascii="Times New Roman" w:eastAsia="Times New Roman" w:hAnsi="Times New Roman" w:cs="Times New Roman"/>
                <w:b/>
                <w:bCs/>
                <w:color w:val="000000"/>
                <w:sz w:val="20"/>
                <w:szCs w:val="20"/>
                <w:lang w:eastAsia="da-DK"/>
              </w:rPr>
              <w:t xml:space="preserve"> </w:t>
            </w:r>
          </w:p>
        </w:tc>
      </w:tr>
      <w:tr w:rsidR="00962A31" w:rsidRPr="00962A31" w14:paraId="1FCF3558" w14:textId="77777777" w:rsidTr="00962A31">
        <w:trPr>
          <w:trHeight w:val="300"/>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14:paraId="4EE0B539"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Erhvervsfiskeri</w:t>
            </w:r>
          </w:p>
        </w:tc>
        <w:tc>
          <w:tcPr>
            <w:tcW w:w="489" w:type="pct"/>
            <w:tcBorders>
              <w:top w:val="nil"/>
              <w:left w:val="nil"/>
              <w:bottom w:val="single" w:sz="4" w:space="0" w:color="auto"/>
              <w:right w:val="single" w:sz="4" w:space="0" w:color="auto"/>
            </w:tcBorders>
            <w:shd w:val="clear" w:color="000000" w:fill="FFFFFF"/>
            <w:noWrap/>
            <w:vAlign w:val="bottom"/>
            <w:hideMark/>
          </w:tcPr>
          <w:p w14:paraId="1D951CA2"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850 </w:t>
            </w:r>
          </w:p>
        </w:tc>
        <w:tc>
          <w:tcPr>
            <w:tcW w:w="489" w:type="pct"/>
            <w:tcBorders>
              <w:top w:val="nil"/>
              <w:left w:val="nil"/>
              <w:bottom w:val="single" w:sz="4" w:space="0" w:color="auto"/>
              <w:right w:val="single" w:sz="4" w:space="0" w:color="auto"/>
            </w:tcBorders>
            <w:shd w:val="clear" w:color="000000" w:fill="FFFFFF"/>
            <w:noWrap/>
            <w:vAlign w:val="bottom"/>
            <w:hideMark/>
          </w:tcPr>
          <w:p w14:paraId="7C782CEB"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1.033 </w:t>
            </w:r>
          </w:p>
        </w:tc>
        <w:tc>
          <w:tcPr>
            <w:tcW w:w="489" w:type="pct"/>
            <w:tcBorders>
              <w:top w:val="nil"/>
              <w:left w:val="nil"/>
              <w:bottom w:val="single" w:sz="4" w:space="0" w:color="auto"/>
              <w:right w:val="single" w:sz="4" w:space="0" w:color="auto"/>
            </w:tcBorders>
            <w:shd w:val="clear" w:color="000000" w:fill="FFFFFF"/>
            <w:noWrap/>
            <w:vAlign w:val="bottom"/>
            <w:hideMark/>
          </w:tcPr>
          <w:p w14:paraId="29602ACF"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1.163 </w:t>
            </w:r>
          </w:p>
        </w:tc>
        <w:tc>
          <w:tcPr>
            <w:tcW w:w="489" w:type="pct"/>
            <w:tcBorders>
              <w:top w:val="nil"/>
              <w:left w:val="nil"/>
              <w:bottom w:val="single" w:sz="4" w:space="0" w:color="auto"/>
              <w:right w:val="single" w:sz="4" w:space="0" w:color="auto"/>
            </w:tcBorders>
            <w:shd w:val="clear" w:color="000000" w:fill="FFFFFF"/>
            <w:noWrap/>
            <w:vAlign w:val="bottom"/>
            <w:hideMark/>
          </w:tcPr>
          <w:p w14:paraId="69570F5A"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1.194 </w:t>
            </w:r>
          </w:p>
        </w:tc>
        <w:tc>
          <w:tcPr>
            <w:tcW w:w="489" w:type="pct"/>
            <w:tcBorders>
              <w:top w:val="nil"/>
              <w:left w:val="nil"/>
              <w:bottom w:val="single" w:sz="4" w:space="0" w:color="auto"/>
              <w:right w:val="single" w:sz="4" w:space="0" w:color="auto"/>
            </w:tcBorders>
            <w:shd w:val="clear" w:color="000000" w:fill="FFFFFF"/>
            <w:noWrap/>
            <w:vAlign w:val="bottom"/>
            <w:hideMark/>
          </w:tcPr>
          <w:p w14:paraId="4BF4ECD3"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1.251 </w:t>
            </w:r>
          </w:p>
        </w:tc>
        <w:tc>
          <w:tcPr>
            <w:tcW w:w="489" w:type="pct"/>
            <w:tcBorders>
              <w:top w:val="nil"/>
              <w:left w:val="nil"/>
              <w:bottom w:val="single" w:sz="4" w:space="0" w:color="auto"/>
              <w:right w:val="single" w:sz="4" w:space="0" w:color="auto"/>
            </w:tcBorders>
            <w:shd w:val="clear" w:color="000000" w:fill="FFFFFF"/>
            <w:noWrap/>
            <w:vAlign w:val="bottom"/>
            <w:hideMark/>
          </w:tcPr>
          <w:p w14:paraId="0E2E4188"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1.250 </w:t>
            </w:r>
          </w:p>
        </w:tc>
        <w:tc>
          <w:tcPr>
            <w:tcW w:w="489" w:type="pct"/>
            <w:tcBorders>
              <w:top w:val="nil"/>
              <w:left w:val="nil"/>
              <w:bottom w:val="single" w:sz="4" w:space="0" w:color="auto"/>
              <w:right w:val="single" w:sz="4" w:space="0" w:color="auto"/>
            </w:tcBorders>
            <w:shd w:val="clear" w:color="000000" w:fill="FFFFFF"/>
            <w:noWrap/>
            <w:vAlign w:val="bottom"/>
            <w:hideMark/>
          </w:tcPr>
          <w:p w14:paraId="1F94C0F2"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1.255 </w:t>
            </w:r>
          </w:p>
        </w:tc>
        <w:tc>
          <w:tcPr>
            <w:tcW w:w="489" w:type="pct"/>
            <w:tcBorders>
              <w:top w:val="nil"/>
              <w:left w:val="nil"/>
              <w:bottom w:val="single" w:sz="4" w:space="0" w:color="auto"/>
              <w:right w:val="single" w:sz="4" w:space="0" w:color="auto"/>
            </w:tcBorders>
            <w:shd w:val="clear" w:color="000000" w:fill="FFFFFF"/>
            <w:noWrap/>
            <w:vAlign w:val="bottom"/>
            <w:hideMark/>
          </w:tcPr>
          <w:p w14:paraId="28BAC2C8"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1.192 </w:t>
            </w:r>
          </w:p>
        </w:tc>
      </w:tr>
      <w:tr w:rsidR="00962A31" w:rsidRPr="00962A31" w14:paraId="22804EEB" w14:textId="77777777" w:rsidTr="00962A31">
        <w:trPr>
          <w:trHeight w:val="300"/>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14:paraId="6B3E3DC5"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Fritidsfiskeri</w:t>
            </w:r>
          </w:p>
        </w:tc>
        <w:tc>
          <w:tcPr>
            <w:tcW w:w="489" w:type="pct"/>
            <w:tcBorders>
              <w:top w:val="nil"/>
              <w:left w:val="nil"/>
              <w:bottom w:val="single" w:sz="4" w:space="0" w:color="auto"/>
              <w:right w:val="single" w:sz="4" w:space="0" w:color="auto"/>
            </w:tcBorders>
            <w:shd w:val="clear" w:color="000000" w:fill="FFFFFF"/>
            <w:noWrap/>
            <w:vAlign w:val="bottom"/>
            <w:hideMark/>
          </w:tcPr>
          <w:p w14:paraId="4DD48F60"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9" w:type="pct"/>
            <w:tcBorders>
              <w:top w:val="nil"/>
              <w:left w:val="nil"/>
              <w:bottom w:val="single" w:sz="4" w:space="0" w:color="auto"/>
              <w:right w:val="single" w:sz="4" w:space="0" w:color="auto"/>
            </w:tcBorders>
            <w:shd w:val="clear" w:color="000000" w:fill="FFFFFF"/>
            <w:noWrap/>
            <w:vAlign w:val="bottom"/>
            <w:hideMark/>
          </w:tcPr>
          <w:p w14:paraId="6E8D236C"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9" w:type="pct"/>
            <w:tcBorders>
              <w:top w:val="nil"/>
              <w:left w:val="nil"/>
              <w:bottom w:val="single" w:sz="4" w:space="0" w:color="auto"/>
              <w:right w:val="single" w:sz="4" w:space="0" w:color="auto"/>
            </w:tcBorders>
            <w:shd w:val="clear" w:color="000000" w:fill="FFFFFF"/>
            <w:noWrap/>
            <w:vAlign w:val="bottom"/>
            <w:hideMark/>
          </w:tcPr>
          <w:p w14:paraId="3794E65D"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9" w:type="pct"/>
            <w:tcBorders>
              <w:top w:val="nil"/>
              <w:left w:val="nil"/>
              <w:bottom w:val="single" w:sz="4" w:space="0" w:color="auto"/>
              <w:right w:val="single" w:sz="4" w:space="0" w:color="auto"/>
            </w:tcBorders>
            <w:shd w:val="clear" w:color="000000" w:fill="FFFFFF"/>
            <w:noWrap/>
            <w:vAlign w:val="bottom"/>
            <w:hideMark/>
          </w:tcPr>
          <w:p w14:paraId="665648A3"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226 </w:t>
            </w:r>
          </w:p>
        </w:tc>
        <w:tc>
          <w:tcPr>
            <w:tcW w:w="489" w:type="pct"/>
            <w:tcBorders>
              <w:top w:val="nil"/>
              <w:left w:val="nil"/>
              <w:bottom w:val="single" w:sz="4" w:space="0" w:color="auto"/>
              <w:right w:val="single" w:sz="4" w:space="0" w:color="auto"/>
            </w:tcBorders>
            <w:shd w:val="clear" w:color="000000" w:fill="FFFFFF"/>
            <w:noWrap/>
            <w:vAlign w:val="bottom"/>
            <w:hideMark/>
          </w:tcPr>
          <w:p w14:paraId="172D80AA"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191 </w:t>
            </w:r>
          </w:p>
        </w:tc>
        <w:tc>
          <w:tcPr>
            <w:tcW w:w="489" w:type="pct"/>
            <w:tcBorders>
              <w:top w:val="nil"/>
              <w:left w:val="nil"/>
              <w:bottom w:val="single" w:sz="4" w:space="0" w:color="auto"/>
              <w:right w:val="single" w:sz="4" w:space="0" w:color="auto"/>
            </w:tcBorders>
            <w:shd w:val="clear" w:color="000000" w:fill="FFFFFF"/>
            <w:noWrap/>
            <w:vAlign w:val="bottom"/>
            <w:hideMark/>
          </w:tcPr>
          <w:p w14:paraId="47ADBF5E"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289 </w:t>
            </w:r>
          </w:p>
        </w:tc>
        <w:tc>
          <w:tcPr>
            <w:tcW w:w="489" w:type="pct"/>
            <w:tcBorders>
              <w:top w:val="nil"/>
              <w:left w:val="nil"/>
              <w:bottom w:val="single" w:sz="4" w:space="0" w:color="auto"/>
              <w:right w:val="single" w:sz="4" w:space="0" w:color="auto"/>
            </w:tcBorders>
            <w:shd w:val="clear" w:color="000000" w:fill="FFFFFF"/>
            <w:noWrap/>
            <w:vAlign w:val="bottom"/>
            <w:hideMark/>
          </w:tcPr>
          <w:p w14:paraId="6F93492B"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389 </w:t>
            </w:r>
          </w:p>
        </w:tc>
        <w:tc>
          <w:tcPr>
            <w:tcW w:w="489" w:type="pct"/>
            <w:tcBorders>
              <w:top w:val="nil"/>
              <w:left w:val="nil"/>
              <w:bottom w:val="single" w:sz="4" w:space="0" w:color="auto"/>
              <w:right w:val="single" w:sz="4" w:space="0" w:color="auto"/>
            </w:tcBorders>
            <w:shd w:val="clear" w:color="000000" w:fill="FFFFFF"/>
            <w:noWrap/>
            <w:vAlign w:val="bottom"/>
            <w:hideMark/>
          </w:tcPr>
          <w:p w14:paraId="006AF687"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Pr>
                <w:rFonts w:ascii="Times New Roman" w:eastAsia="Times New Roman" w:hAnsi="Times New Roman" w:cs="Times New Roman"/>
                <w:i/>
                <w:iCs/>
                <w:color w:val="000000"/>
                <w:sz w:val="20"/>
                <w:szCs w:val="20"/>
                <w:lang w:eastAsia="da-DK"/>
              </w:rPr>
              <w:t>322</w:t>
            </w:r>
            <w:r w:rsidRPr="00962A31">
              <w:rPr>
                <w:rFonts w:ascii="Times New Roman" w:eastAsia="Times New Roman" w:hAnsi="Times New Roman" w:cs="Times New Roman"/>
                <w:i/>
                <w:iCs/>
                <w:color w:val="000000"/>
                <w:sz w:val="20"/>
                <w:szCs w:val="20"/>
                <w:lang w:eastAsia="da-DK"/>
              </w:rPr>
              <w:t> </w:t>
            </w:r>
          </w:p>
        </w:tc>
      </w:tr>
    </w:tbl>
    <w:p w14:paraId="2F6057DA" w14:textId="77777777" w:rsidR="0092246F" w:rsidRPr="008A6C68" w:rsidRDefault="00D33029" w:rsidP="00732A54">
      <w:pPr>
        <w:spacing w:after="0" w:line="276" w:lineRule="auto"/>
        <w:jc w:val="both"/>
        <w:rPr>
          <w:rFonts w:ascii="Times New Roman" w:hAnsi="Times New Roman" w:cs="Times New Roman"/>
          <w:sz w:val="20"/>
          <w:szCs w:val="20"/>
        </w:rPr>
      </w:pPr>
      <w:r w:rsidRPr="008A6C68">
        <w:rPr>
          <w:rFonts w:ascii="Times New Roman" w:hAnsi="Times New Roman" w:cs="Times New Roman"/>
          <w:sz w:val="20"/>
          <w:szCs w:val="20"/>
        </w:rPr>
        <w:t>Kilde: APNN og Grønlands Statistik.</w:t>
      </w:r>
    </w:p>
    <w:p w14:paraId="1E171A4E" w14:textId="77777777" w:rsidR="00D33029" w:rsidRDefault="00D33029" w:rsidP="00732A54">
      <w:pPr>
        <w:spacing w:after="0" w:line="276" w:lineRule="auto"/>
        <w:jc w:val="both"/>
        <w:rPr>
          <w:rFonts w:ascii="Times New Roman" w:hAnsi="Times New Roman" w:cs="Times New Roman"/>
        </w:rPr>
      </w:pPr>
    </w:p>
    <w:p w14:paraId="7758E4D5" w14:textId="77777777" w:rsidR="00BC3AF1" w:rsidRPr="008A6FF3" w:rsidRDefault="00D33029" w:rsidP="00732A54">
      <w:pPr>
        <w:spacing w:after="0" w:line="276" w:lineRule="auto"/>
        <w:jc w:val="both"/>
        <w:rPr>
          <w:rFonts w:ascii="Times New Roman" w:hAnsi="Times New Roman" w:cs="Times New Roman"/>
          <w:b/>
          <w:color w:val="000000" w:themeColor="text1"/>
        </w:rPr>
      </w:pPr>
      <w:r>
        <w:rPr>
          <w:rFonts w:ascii="Times New Roman" w:hAnsi="Times New Roman" w:cs="Times New Roman"/>
        </w:rPr>
        <w:t>Det fremgår af tabel 2 at over halvdelen af selskaber og personer som har fået udstedt licens i 2020 har bopæl i distrikterne Uummannaq, Ilulissat, Nuuk og Maniitsoq. De fire distrikter har også stået for over halvdelen at stigningen antal udstedte licenser i perioden 2013-2020.</w:t>
      </w:r>
    </w:p>
    <w:p w14:paraId="284FB44E" w14:textId="77777777" w:rsidR="00352063" w:rsidRDefault="00352063" w:rsidP="00732A54">
      <w:pPr>
        <w:spacing w:after="0" w:line="276" w:lineRule="auto"/>
        <w:jc w:val="both"/>
        <w:rPr>
          <w:rFonts w:ascii="Times New Roman" w:hAnsi="Times New Roman" w:cs="Times New Roman"/>
          <w:color w:val="000000" w:themeColor="text1"/>
        </w:rPr>
      </w:pPr>
    </w:p>
    <w:p w14:paraId="14C4EC61" w14:textId="77777777" w:rsidR="00352063" w:rsidRDefault="00352063" w:rsidP="00732A54">
      <w:pPr>
        <w:spacing w:after="0" w:line="276" w:lineRule="auto"/>
        <w:jc w:val="both"/>
        <w:rPr>
          <w:rFonts w:ascii="Times New Roman" w:hAnsi="Times New Roman" w:cs="Times New Roman"/>
          <w:color w:val="000000" w:themeColor="text1"/>
        </w:rPr>
      </w:pPr>
    </w:p>
    <w:p w14:paraId="61AD091F" w14:textId="77777777" w:rsidR="00352063" w:rsidRDefault="00352063" w:rsidP="00732A54">
      <w:pPr>
        <w:spacing w:after="0" w:line="276" w:lineRule="auto"/>
        <w:jc w:val="both"/>
        <w:rPr>
          <w:rFonts w:ascii="Times New Roman" w:hAnsi="Times New Roman" w:cs="Times New Roman"/>
          <w:color w:val="000000" w:themeColor="text1"/>
        </w:rPr>
      </w:pPr>
    </w:p>
    <w:p w14:paraId="4643D9D4" w14:textId="684B835B" w:rsidR="00352063" w:rsidRDefault="00352063" w:rsidP="00732A54">
      <w:pPr>
        <w:spacing w:after="0" w:line="276" w:lineRule="auto"/>
        <w:jc w:val="both"/>
        <w:rPr>
          <w:rFonts w:ascii="Times New Roman" w:hAnsi="Times New Roman" w:cs="Times New Roman"/>
          <w:color w:val="000000" w:themeColor="text1"/>
        </w:rPr>
      </w:pPr>
    </w:p>
    <w:p w14:paraId="33FB1ED7" w14:textId="14443965" w:rsidR="00A1084C" w:rsidRDefault="00A1084C" w:rsidP="00732A54">
      <w:pPr>
        <w:spacing w:after="0" w:line="276" w:lineRule="auto"/>
        <w:jc w:val="both"/>
        <w:rPr>
          <w:rFonts w:ascii="Times New Roman" w:hAnsi="Times New Roman" w:cs="Times New Roman"/>
          <w:color w:val="000000" w:themeColor="text1"/>
        </w:rPr>
      </w:pPr>
    </w:p>
    <w:p w14:paraId="185A8912" w14:textId="705EAC85" w:rsidR="00A1084C" w:rsidRDefault="00A1084C" w:rsidP="00732A54">
      <w:pPr>
        <w:spacing w:after="0" w:line="276" w:lineRule="auto"/>
        <w:jc w:val="both"/>
        <w:rPr>
          <w:rFonts w:ascii="Times New Roman" w:hAnsi="Times New Roman" w:cs="Times New Roman"/>
          <w:color w:val="000000" w:themeColor="text1"/>
        </w:rPr>
      </w:pPr>
    </w:p>
    <w:p w14:paraId="7B0D5CA7" w14:textId="40E26C43" w:rsidR="00A1084C" w:rsidRDefault="00A1084C" w:rsidP="00732A54">
      <w:pPr>
        <w:spacing w:after="0" w:line="276" w:lineRule="auto"/>
        <w:jc w:val="both"/>
        <w:rPr>
          <w:rFonts w:ascii="Times New Roman" w:hAnsi="Times New Roman" w:cs="Times New Roman"/>
          <w:color w:val="000000" w:themeColor="text1"/>
        </w:rPr>
      </w:pPr>
    </w:p>
    <w:p w14:paraId="49601C0F" w14:textId="77777777" w:rsidR="00A1084C" w:rsidRDefault="00A1084C" w:rsidP="00732A54">
      <w:pPr>
        <w:spacing w:after="0" w:line="276" w:lineRule="auto"/>
        <w:jc w:val="both"/>
        <w:rPr>
          <w:rFonts w:ascii="Times New Roman" w:hAnsi="Times New Roman" w:cs="Times New Roman"/>
          <w:color w:val="000000" w:themeColor="text1"/>
        </w:rPr>
      </w:pPr>
    </w:p>
    <w:p w14:paraId="3408859D" w14:textId="77777777" w:rsidR="00352063" w:rsidRDefault="00352063" w:rsidP="00732A54">
      <w:pPr>
        <w:spacing w:after="0" w:line="276" w:lineRule="auto"/>
        <w:jc w:val="both"/>
        <w:rPr>
          <w:rFonts w:ascii="Times New Roman" w:hAnsi="Times New Roman" w:cs="Times New Roman"/>
          <w:color w:val="000000" w:themeColor="text1"/>
        </w:rPr>
      </w:pPr>
    </w:p>
    <w:p w14:paraId="45FAAB95" w14:textId="77777777" w:rsidR="00352063" w:rsidRDefault="00352063" w:rsidP="00732A54">
      <w:pPr>
        <w:spacing w:after="0" w:line="276" w:lineRule="auto"/>
        <w:jc w:val="both"/>
        <w:rPr>
          <w:rFonts w:ascii="Times New Roman" w:hAnsi="Times New Roman" w:cs="Times New Roman"/>
          <w:color w:val="000000" w:themeColor="text1"/>
        </w:rPr>
      </w:pPr>
    </w:p>
    <w:p w14:paraId="3C953AE9" w14:textId="77777777" w:rsidR="00352063" w:rsidRDefault="00352063" w:rsidP="00732A54">
      <w:pPr>
        <w:spacing w:after="0" w:line="276" w:lineRule="auto"/>
        <w:jc w:val="both"/>
        <w:rPr>
          <w:rFonts w:ascii="Times New Roman" w:hAnsi="Times New Roman" w:cs="Times New Roman"/>
          <w:color w:val="000000" w:themeColor="text1"/>
        </w:rPr>
      </w:pPr>
    </w:p>
    <w:p w14:paraId="4401D6EF" w14:textId="77777777" w:rsidR="00352063" w:rsidRDefault="00352063" w:rsidP="00732A54">
      <w:pPr>
        <w:spacing w:after="0" w:line="276" w:lineRule="auto"/>
        <w:jc w:val="both"/>
        <w:rPr>
          <w:rFonts w:ascii="Times New Roman" w:hAnsi="Times New Roman" w:cs="Times New Roman"/>
          <w:color w:val="000000" w:themeColor="text1"/>
        </w:rPr>
      </w:pPr>
    </w:p>
    <w:p w14:paraId="159F63F2" w14:textId="77777777" w:rsidR="00D33029" w:rsidRDefault="00D33029" w:rsidP="00732A54">
      <w:pPr>
        <w:spacing w:after="0" w:line="276" w:lineRule="auto"/>
        <w:jc w:val="both"/>
        <w:rPr>
          <w:rFonts w:ascii="Times New Roman" w:hAnsi="Times New Roman" w:cs="Times New Roman"/>
        </w:rPr>
      </w:pPr>
      <w:r>
        <w:rPr>
          <w:rFonts w:ascii="Times New Roman" w:hAnsi="Times New Roman" w:cs="Times New Roman"/>
        </w:rPr>
        <w:lastRenderedPageBreak/>
        <w:t>Tabel 2: Udviklingen i antal udstedte erhvervslicenser fordelt på distrikter, 2013-2020.</w:t>
      </w:r>
    </w:p>
    <w:tbl>
      <w:tblPr>
        <w:tblW w:w="5000" w:type="pct"/>
        <w:tblCellMar>
          <w:left w:w="70" w:type="dxa"/>
          <w:right w:w="70" w:type="dxa"/>
        </w:tblCellMar>
        <w:tblLook w:val="04A0" w:firstRow="1" w:lastRow="0" w:firstColumn="1" w:lastColumn="0" w:noHBand="0" w:noVBand="1"/>
      </w:tblPr>
      <w:tblGrid>
        <w:gridCol w:w="2058"/>
        <w:gridCol w:w="948"/>
        <w:gridCol w:w="947"/>
        <w:gridCol w:w="947"/>
        <w:gridCol w:w="947"/>
        <w:gridCol w:w="947"/>
        <w:gridCol w:w="947"/>
        <w:gridCol w:w="947"/>
        <w:gridCol w:w="940"/>
      </w:tblGrid>
      <w:tr w:rsidR="00D33029" w:rsidRPr="00D33029" w14:paraId="17444F96" w14:textId="77777777" w:rsidTr="00D33029">
        <w:trPr>
          <w:trHeight w:val="300"/>
        </w:trPr>
        <w:tc>
          <w:tcPr>
            <w:tcW w:w="10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C9FB9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Distrikt</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45C52D3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2013</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38655A2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2014</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2340273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2015</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6F2E3B4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2016</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5BA5171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2017</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6774AB5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2018</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01DE39D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2019</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14:paraId="455CE18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2020</w:t>
            </w:r>
          </w:p>
        </w:tc>
      </w:tr>
      <w:tr w:rsidR="00D33029" w:rsidRPr="00D33029" w14:paraId="6675C1C8"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32ADF4A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Uummannaq</w:t>
            </w:r>
          </w:p>
        </w:tc>
        <w:tc>
          <w:tcPr>
            <w:tcW w:w="492" w:type="pct"/>
            <w:tcBorders>
              <w:top w:val="nil"/>
              <w:left w:val="nil"/>
              <w:bottom w:val="single" w:sz="4" w:space="0" w:color="auto"/>
              <w:right w:val="single" w:sz="4" w:space="0" w:color="auto"/>
            </w:tcBorders>
            <w:shd w:val="clear" w:color="000000" w:fill="FFFFFF"/>
            <w:noWrap/>
            <w:vAlign w:val="bottom"/>
            <w:hideMark/>
          </w:tcPr>
          <w:p w14:paraId="569059C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161</w:t>
            </w:r>
          </w:p>
        </w:tc>
        <w:tc>
          <w:tcPr>
            <w:tcW w:w="492" w:type="pct"/>
            <w:tcBorders>
              <w:top w:val="nil"/>
              <w:left w:val="nil"/>
              <w:bottom w:val="single" w:sz="4" w:space="0" w:color="auto"/>
              <w:right w:val="single" w:sz="4" w:space="0" w:color="auto"/>
            </w:tcBorders>
            <w:shd w:val="clear" w:color="000000" w:fill="FFFFFF"/>
            <w:noWrap/>
            <w:vAlign w:val="bottom"/>
            <w:hideMark/>
          </w:tcPr>
          <w:p w14:paraId="7AD010D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208</w:t>
            </w:r>
          </w:p>
        </w:tc>
        <w:tc>
          <w:tcPr>
            <w:tcW w:w="492" w:type="pct"/>
            <w:tcBorders>
              <w:top w:val="nil"/>
              <w:left w:val="nil"/>
              <w:bottom w:val="single" w:sz="4" w:space="0" w:color="auto"/>
              <w:right w:val="single" w:sz="4" w:space="0" w:color="auto"/>
            </w:tcBorders>
            <w:shd w:val="clear" w:color="000000" w:fill="FFFFFF"/>
            <w:noWrap/>
            <w:vAlign w:val="bottom"/>
            <w:hideMark/>
          </w:tcPr>
          <w:p w14:paraId="1B22C5C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224</w:t>
            </w:r>
          </w:p>
        </w:tc>
        <w:tc>
          <w:tcPr>
            <w:tcW w:w="492" w:type="pct"/>
            <w:tcBorders>
              <w:top w:val="nil"/>
              <w:left w:val="nil"/>
              <w:bottom w:val="single" w:sz="4" w:space="0" w:color="auto"/>
              <w:right w:val="single" w:sz="4" w:space="0" w:color="auto"/>
            </w:tcBorders>
            <w:shd w:val="clear" w:color="000000" w:fill="FFFFFF"/>
            <w:noWrap/>
            <w:vAlign w:val="bottom"/>
            <w:hideMark/>
          </w:tcPr>
          <w:p w14:paraId="200A034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250</w:t>
            </w:r>
          </w:p>
        </w:tc>
        <w:tc>
          <w:tcPr>
            <w:tcW w:w="492" w:type="pct"/>
            <w:tcBorders>
              <w:top w:val="nil"/>
              <w:left w:val="nil"/>
              <w:bottom w:val="single" w:sz="4" w:space="0" w:color="auto"/>
              <w:right w:val="single" w:sz="4" w:space="0" w:color="auto"/>
            </w:tcBorders>
            <w:shd w:val="clear" w:color="000000" w:fill="FFFFFF"/>
            <w:noWrap/>
            <w:vAlign w:val="bottom"/>
            <w:hideMark/>
          </w:tcPr>
          <w:p w14:paraId="3B2CF6D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288</w:t>
            </w:r>
          </w:p>
        </w:tc>
        <w:tc>
          <w:tcPr>
            <w:tcW w:w="492" w:type="pct"/>
            <w:tcBorders>
              <w:top w:val="nil"/>
              <w:left w:val="nil"/>
              <w:bottom w:val="single" w:sz="4" w:space="0" w:color="auto"/>
              <w:right w:val="single" w:sz="4" w:space="0" w:color="auto"/>
            </w:tcBorders>
            <w:shd w:val="clear" w:color="000000" w:fill="FFFFFF"/>
            <w:noWrap/>
            <w:vAlign w:val="bottom"/>
            <w:hideMark/>
          </w:tcPr>
          <w:p w14:paraId="470752F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303</w:t>
            </w:r>
          </w:p>
        </w:tc>
        <w:tc>
          <w:tcPr>
            <w:tcW w:w="492" w:type="pct"/>
            <w:tcBorders>
              <w:top w:val="nil"/>
              <w:left w:val="nil"/>
              <w:bottom w:val="single" w:sz="4" w:space="0" w:color="auto"/>
              <w:right w:val="single" w:sz="4" w:space="0" w:color="auto"/>
            </w:tcBorders>
            <w:shd w:val="clear" w:color="000000" w:fill="FFFFFF"/>
            <w:noWrap/>
            <w:vAlign w:val="bottom"/>
            <w:hideMark/>
          </w:tcPr>
          <w:p w14:paraId="7F0720B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326</w:t>
            </w:r>
          </w:p>
        </w:tc>
        <w:tc>
          <w:tcPr>
            <w:tcW w:w="489" w:type="pct"/>
            <w:tcBorders>
              <w:top w:val="nil"/>
              <w:left w:val="nil"/>
              <w:bottom w:val="single" w:sz="4" w:space="0" w:color="auto"/>
              <w:right w:val="single" w:sz="4" w:space="0" w:color="auto"/>
            </w:tcBorders>
            <w:shd w:val="clear" w:color="000000" w:fill="FFFFFF"/>
            <w:noWrap/>
            <w:vAlign w:val="bottom"/>
            <w:hideMark/>
          </w:tcPr>
          <w:p w14:paraId="4F7F6C9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301</w:t>
            </w:r>
          </w:p>
        </w:tc>
      </w:tr>
      <w:tr w:rsidR="00D33029" w:rsidRPr="00D33029" w14:paraId="00B5A4C2"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4E98093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Ilulissat</w:t>
            </w:r>
          </w:p>
        </w:tc>
        <w:tc>
          <w:tcPr>
            <w:tcW w:w="492" w:type="pct"/>
            <w:tcBorders>
              <w:top w:val="nil"/>
              <w:left w:val="nil"/>
              <w:bottom w:val="single" w:sz="4" w:space="0" w:color="auto"/>
              <w:right w:val="single" w:sz="4" w:space="0" w:color="auto"/>
            </w:tcBorders>
            <w:shd w:val="clear" w:color="000000" w:fill="FFFFFF"/>
            <w:noWrap/>
            <w:vAlign w:val="bottom"/>
            <w:hideMark/>
          </w:tcPr>
          <w:p w14:paraId="39A5A07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193</w:t>
            </w:r>
          </w:p>
        </w:tc>
        <w:tc>
          <w:tcPr>
            <w:tcW w:w="492" w:type="pct"/>
            <w:tcBorders>
              <w:top w:val="nil"/>
              <w:left w:val="nil"/>
              <w:bottom w:val="single" w:sz="4" w:space="0" w:color="auto"/>
              <w:right w:val="single" w:sz="4" w:space="0" w:color="auto"/>
            </w:tcBorders>
            <w:shd w:val="clear" w:color="000000" w:fill="FFFFFF"/>
            <w:noWrap/>
            <w:vAlign w:val="bottom"/>
            <w:hideMark/>
          </w:tcPr>
          <w:p w14:paraId="22093B1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230</w:t>
            </w:r>
          </w:p>
        </w:tc>
        <w:tc>
          <w:tcPr>
            <w:tcW w:w="492" w:type="pct"/>
            <w:tcBorders>
              <w:top w:val="nil"/>
              <w:left w:val="nil"/>
              <w:bottom w:val="single" w:sz="4" w:space="0" w:color="auto"/>
              <w:right w:val="single" w:sz="4" w:space="0" w:color="auto"/>
            </w:tcBorders>
            <w:shd w:val="clear" w:color="000000" w:fill="FFFFFF"/>
            <w:noWrap/>
            <w:vAlign w:val="bottom"/>
            <w:hideMark/>
          </w:tcPr>
          <w:p w14:paraId="572C96A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265</w:t>
            </w:r>
          </w:p>
        </w:tc>
        <w:tc>
          <w:tcPr>
            <w:tcW w:w="492" w:type="pct"/>
            <w:tcBorders>
              <w:top w:val="nil"/>
              <w:left w:val="nil"/>
              <w:bottom w:val="single" w:sz="4" w:space="0" w:color="auto"/>
              <w:right w:val="single" w:sz="4" w:space="0" w:color="auto"/>
            </w:tcBorders>
            <w:shd w:val="clear" w:color="000000" w:fill="FFFFFF"/>
            <w:noWrap/>
            <w:vAlign w:val="bottom"/>
            <w:hideMark/>
          </w:tcPr>
          <w:p w14:paraId="649B7DF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272</w:t>
            </w:r>
          </w:p>
        </w:tc>
        <w:tc>
          <w:tcPr>
            <w:tcW w:w="492" w:type="pct"/>
            <w:tcBorders>
              <w:top w:val="nil"/>
              <w:left w:val="nil"/>
              <w:bottom w:val="single" w:sz="4" w:space="0" w:color="auto"/>
              <w:right w:val="single" w:sz="4" w:space="0" w:color="auto"/>
            </w:tcBorders>
            <w:shd w:val="clear" w:color="000000" w:fill="FFFFFF"/>
            <w:noWrap/>
            <w:vAlign w:val="bottom"/>
            <w:hideMark/>
          </w:tcPr>
          <w:p w14:paraId="3C3B967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299</w:t>
            </w:r>
          </w:p>
        </w:tc>
        <w:tc>
          <w:tcPr>
            <w:tcW w:w="492" w:type="pct"/>
            <w:tcBorders>
              <w:top w:val="nil"/>
              <w:left w:val="nil"/>
              <w:bottom w:val="single" w:sz="4" w:space="0" w:color="auto"/>
              <w:right w:val="single" w:sz="4" w:space="0" w:color="auto"/>
            </w:tcBorders>
            <w:shd w:val="clear" w:color="000000" w:fill="FFFFFF"/>
            <w:noWrap/>
            <w:vAlign w:val="bottom"/>
            <w:hideMark/>
          </w:tcPr>
          <w:p w14:paraId="550910A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288</w:t>
            </w:r>
          </w:p>
        </w:tc>
        <w:tc>
          <w:tcPr>
            <w:tcW w:w="492" w:type="pct"/>
            <w:tcBorders>
              <w:top w:val="nil"/>
              <w:left w:val="nil"/>
              <w:bottom w:val="single" w:sz="4" w:space="0" w:color="auto"/>
              <w:right w:val="single" w:sz="4" w:space="0" w:color="auto"/>
            </w:tcBorders>
            <w:shd w:val="clear" w:color="000000" w:fill="FFFFFF"/>
            <w:noWrap/>
            <w:vAlign w:val="bottom"/>
            <w:hideMark/>
          </w:tcPr>
          <w:p w14:paraId="57CFB47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294</w:t>
            </w:r>
          </w:p>
        </w:tc>
        <w:tc>
          <w:tcPr>
            <w:tcW w:w="489" w:type="pct"/>
            <w:tcBorders>
              <w:top w:val="nil"/>
              <w:left w:val="nil"/>
              <w:bottom w:val="single" w:sz="4" w:space="0" w:color="auto"/>
              <w:right w:val="single" w:sz="4" w:space="0" w:color="auto"/>
            </w:tcBorders>
            <w:shd w:val="clear" w:color="000000" w:fill="FFFFFF"/>
            <w:noWrap/>
            <w:vAlign w:val="bottom"/>
            <w:hideMark/>
          </w:tcPr>
          <w:p w14:paraId="564A6FF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287</w:t>
            </w:r>
          </w:p>
        </w:tc>
      </w:tr>
      <w:tr w:rsidR="00D33029" w:rsidRPr="00D33029" w14:paraId="6C3F607E"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537E540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Nuuk</w:t>
            </w:r>
          </w:p>
        </w:tc>
        <w:tc>
          <w:tcPr>
            <w:tcW w:w="492" w:type="pct"/>
            <w:tcBorders>
              <w:top w:val="nil"/>
              <w:left w:val="nil"/>
              <w:bottom w:val="single" w:sz="4" w:space="0" w:color="auto"/>
              <w:right w:val="single" w:sz="4" w:space="0" w:color="auto"/>
            </w:tcBorders>
            <w:shd w:val="clear" w:color="000000" w:fill="FFFFFF"/>
            <w:noWrap/>
            <w:vAlign w:val="bottom"/>
            <w:hideMark/>
          </w:tcPr>
          <w:p w14:paraId="306AA18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87</w:t>
            </w:r>
          </w:p>
        </w:tc>
        <w:tc>
          <w:tcPr>
            <w:tcW w:w="492" w:type="pct"/>
            <w:tcBorders>
              <w:top w:val="nil"/>
              <w:left w:val="nil"/>
              <w:bottom w:val="single" w:sz="4" w:space="0" w:color="auto"/>
              <w:right w:val="single" w:sz="4" w:space="0" w:color="auto"/>
            </w:tcBorders>
            <w:shd w:val="clear" w:color="000000" w:fill="FFFFFF"/>
            <w:noWrap/>
            <w:vAlign w:val="bottom"/>
            <w:hideMark/>
          </w:tcPr>
          <w:p w14:paraId="05C3AF8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115</w:t>
            </w:r>
          </w:p>
        </w:tc>
        <w:tc>
          <w:tcPr>
            <w:tcW w:w="492" w:type="pct"/>
            <w:tcBorders>
              <w:top w:val="nil"/>
              <w:left w:val="nil"/>
              <w:bottom w:val="single" w:sz="4" w:space="0" w:color="auto"/>
              <w:right w:val="single" w:sz="4" w:space="0" w:color="auto"/>
            </w:tcBorders>
            <w:shd w:val="clear" w:color="000000" w:fill="FFFFFF"/>
            <w:noWrap/>
            <w:vAlign w:val="bottom"/>
            <w:hideMark/>
          </w:tcPr>
          <w:p w14:paraId="3F32A99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153</w:t>
            </w:r>
          </w:p>
        </w:tc>
        <w:tc>
          <w:tcPr>
            <w:tcW w:w="492" w:type="pct"/>
            <w:tcBorders>
              <w:top w:val="nil"/>
              <w:left w:val="nil"/>
              <w:bottom w:val="single" w:sz="4" w:space="0" w:color="auto"/>
              <w:right w:val="single" w:sz="4" w:space="0" w:color="auto"/>
            </w:tcBorders>
            <w:shd w:val="clear" w:color="000000" w:fill="FFFFFF"/>
            <w:noWrap/>
            <w:vAlign w:val="bottom"/>
            <w:hideMark/>
          </w:tcPr>
          <w:p w14:paraId="159FBE0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152</w:t>
            </w:r>
          </w:p>
        </w:tc>
        <w:tc>
          <w:tcPr>
            <w:tcW w:w="492" w:type="pct"/>
            <w:tcBorders>
              <w:top w:val="nil"/>
              <w:left w:val="nil"/>
              <w:bottom w:val="single" w:sz="4" w:space="0" w:color="auto"/>
              <w:right w:val="single" w:sz="4" w:space="0" w:color="auto"/>
            </w:tcBorders>
            <w:shd w:val="clear" w:color="000000" w:fill="FFFFFF"/>
            <w:noWrap/>
            <w:vAlign w:val="bottom"/>
            <w:hideMark/>
          </w:tcPr>
          <w:p w14:paraId="2C49B55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171</w:t>
            </w:r>
          </w:p>
        </w:tc>
        <w:tc>
          <w:tcPr>
            <w:tcW w:w="492" w:type="pct"/>
            <w:tcBorders>
              <w:top w:val="nil"/>
              <w:left w:val="nil"/>
              <w:bottom w:val="single" w:sz="4" w:space="0" w:color="auto"/>
              <w:right w:val="single" w:sz="4" w:space="0" w:color="auto"/>
            </w:tcBorders>
            <w:shd w:val="clear" w:color="000000" w:fill="FFFFFF"/>
            <w:noWrap/>
            <w:vAlign w:val="bottom"/>
            <w:hideMark/>
          </w:tcPr>
          <w:p w14:paraId="22BD7C5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139</w:t>
            </w:r>
          </w:p>
        </w:tc>
        <w:tc>
          <w:tcPr>
            <w:tcW w:w="492" w:type="pct"/>
            <w:tcBorders>
              <w:top w:val="nil"/>
              <w:left w:val="nil"/>
              <w:bottom w:val="single" w:sz="4" w:space="0" w:color="auto"/>
              <w:right w:val="single" w:sz="4" w:space="0" w:color="auto"/>
            </w:tcBorders>
            <w:shd w:val="clear" w:color="000000" w:fill="FFFFFF"/>
            <w:noWrap/>
            <w:vAlign w:val="bottom"/>
            <w:hideMark/>
          </w:tcPr>
          <w:p w14:paraId="5A577A2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166</w:t>
            </w:r>
          </w:p>
        </w:tc>
        <w:tc>
          <w:tcPr>
            <w:tcW w:w="489" w:type="pct"/>
            <w:tcBorders>
              <w:top w:val="nil"/>
              <w:left w:val="nil"/>
              <w:bottom w:val="single" w:sz="4" w:space="0" w:color="auto"/>
              <w:right w:val="single" w:sz="4" w:space="0" w:color="auto"/>
            </w:tcBorders>
            <w:shd w:val="clear" w:color="000000" w:fill="FFFFFF"/>
            <w:noWrap/>
            <w:vAlign w:val="bottom"/>
            <w:hideMark/>
          </w:tcPr>
          <w:p w14:paraId="68F7247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180</w:t>
            </w:r>
          </w:p>
        </w:tc>
      </w:tr>
      <w:tr w:rsidR="00D33029" w:rsidRPr="00D33029" w14:paraId="5701C2EB"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5665AB7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Maniitsoq</w:t>
            </w:r>
          </w:p>
        </w:tc>
        <w:tc>
          <w:tcPr>
            <w:tcW w:w="492" w:type="pct"/>
            <w:tcBorders>
              <w:top w:val="nil"/>
              <w:left w:val="nil"/>
              <w:bottom w:val="single" w:sz="4" w:space="0" w:color="auto"/>
              <w:right w:val="single" w:sz="4" w:space="0" w:color="auto"/>
            </w:tcBorders>
            <w:shd w:val="clear" w:color="000000" w:fill="FFFFFF"/>
            <w:noWrap/>
            <w:vAlign w:val="bottom"/>
            <w:hideMark/>
          </w:tcPr>
          <w:p w14:paraId="15710C5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132</w:t>
            </w:r>
          </w:p>
        </w:tc>
        <w:tc>
          <w:tcPr>
            <w:tcW w:w="492" w:type="pct"/>
            <w:tcBorders>
              <w:top w:val="nil"/>
              <w:left w:val="nil"/>
              <w:bottom w:val="single" w:sz="4" w:space="0" w:color="auto"/>
              <w:right w:val="single" w:sz="4" w:space="0" w:color="auto"/>
            </w:tcBorders>
            <w:shd w:val="clear" w:color="000000" w:fill="FFFFFF"/>
            <w:noWrap/>
            <w:vAlign w:val="bottom"/>
            <w:hideMark/>
          </w:tcPr>
          <w:p w14:paraId="2CF434D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155</w:t>
            </w:r>
          </w:p>
        </w:tc>
        <w:tc>
          <w:tcPr>
            <w:tcW w:w="492" w:type="pct"/>
            <w:tcBorders>
              <w:top w:val="nil"/>
              <w:left w:val="nil"/>
              <w:bottom w:val="single" w:sz="4" w:space="0" w:color="auto"/>
              <w:right w:val="single" w:sz="4" w:space="0" w:color="auto"/>
            </w:tcBorders>
            <w:shd w:val="clear" w:color="000000" w:fill="FFFFFF"/>
            <w:noWrap/>
            <w:vAlign w:val="bottom"/>
            <w:hideMark/>
          </w:tcPr>
          <w:p w14:paraId="2F9BC28C"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172</w:t>
            </w:r>
          </w:p>
        </w:tc>
        <w:tc>
          <w:tcPr>
            <w:tcW w:w="492" w:type="pct"/>
            <w:tcBorders>
              <w:top w:val="nil"/>
              <w:left w:val="nil"/>
              <w:bottom w:val="single" w:sz="4" w:space="0" w:color="auto"/>
              <w:right w:val="single" w:sz="4" w:space="0" w:color="auto"/>
            </w:tcBorders>
            <w:shd w:val="clear" w:color="000000" w:fill="FFFFFF"/>
            <w:noWrap/>
            <w:vAlign w:val="bottom"/>
            <w:hideMark/>
          </w:tcPr>
          <w:p w14:paraId="05832F4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186</w:t>
            </w:r>
          </w:p>
        </w:tc>
        <w:tc>
          <w:tcPr>
            <w:tcW w:w="492" w:type="pct"/>
            <w:tcBorders>
              <w:top w:val="nil"/>
              <w:left w:val="nil"/>
              <w:bottom w:val="single" w:sz="4" w:space="0" w:color="auto"/>
              <w:right w:val="single" w:sz="4" w:space="0" w:color="auto"/>
            </w:tcBorders>
            <w:shd w:val="clear" w:color="000000" w:fill="FFFFFF"/>
            <w:noWrap/>
            <w:vAlign w:val="bottom"/>
            <w:hideMark/>
          </w:tcPr>
          <w:p w14:paraId="14BA90E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205</w:t>
            </w:r>
          </w:p>
        </w:tc>
        <w:tc>
          <w:tcPr>
            <w:tcW w:w="492" w:type="pct"/>
            <w:tcBorders>
              <w:top w:val="nil"/>
              <w:left w:val="nil"/>
              <w:bottom w:val="single" w:sz="4" w:space="0" w:color="auto"/>
              <w:right w:val="single" w:sz="4" w:space="0" w:color="auto"/>
            </w:tcBorders>
            <w:shd w:val="clear" w:color="000000" w:fill="FFFFFF"/>
            <w:noWrap/>
            <w:vAlign w:val="bottom"/>
            <w:hideMark/>
          </w:tcPr>
          <w:p w14:paraId="54552E3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177</w:t>
            </w:r>
          </w:p>
        </w:tc>
        <w:tc>
          <w:tcPr>
            <w:tcW w:w="492" w:type="pct"/>
            <w:tcBorders>
              <w:top w:val="nil"/>
              <w:left w:val="nil"/>
              <w:bottom w:val="single" w:sz="4" w:space="0" w:color="auto"/>
              <w:right w:val="single" w:sz="4" w:space="0" w:color="auto"/>
            </w:tcBorders>
            <w:shd w:val="clear" w:color="000000" w:fill="FFFFFF"/>
            <w:noWrap/>
            <w:vAlign w:val="bottom"/>
            <w:hideMark/>
          </w:tcPr>
          <w:p w14:paraId="62DB582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180</w:t>
            </w:r>
          </w:p>
        </w:tc>
        <w:tc>
          <w:tcPr>
            <w:tcW w:w="489" w:type="pct"/>
            <w:tcBorders>
              <w:top w:val="nil"/>
              <w:left w:val="nil"/>
              <w:bottom w:val="single" w:sz="4" w:space="0" w:color="auto"/>
              <w:right w:val="single" w:sz="4" w:space="0" w:color="auto"/>
            </w:tcBorders>
            <w:shd w:val="clear" w:color="000000" w:fill="FFFFFF"/>
            <w:noWrap/>
            <w:vAlign w:val="bottom"/>
            <w:hideMark/>
          </w:tcPr>
          <w:p w14:paraId="13D1143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168</w:t>
            </w:r>
          </w:p>
        </w:tc>
      </w:tr>
      <w:tr w:rsidR="00D33029" w:rsidRPr="00D33029" w14:paraId="732FFF5E"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799FA70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Tasiilaq</w:t>
            </w:r>
          </w:p>
        </w:tc>
        <w:tc>
          <w:tcPr>
            <w:tcW w:w="492" w:type="pct"/>
            <w:tcBorders>
              <w:top w:val="nil"/>
              <w:left w:val="nil"/>
              <w:bottom w:val="single" w:sz="4" w:space="0" w:color="auto"/>
              <w:right w:val="single" w:sz="4" w:space="0" w:color="auto"/>
            </w:tcBorders>
            <w:shd w:val="clear" w:color="000000" w:fill="FFFFFF"/>
            <w:noWrap/>
            <w:vAlign w:val="bottom"/>
            <w:hideMark/>
          </w:tcPr>
          <w:p w14:paraId="7CD6D84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37</w:t>
            </w:r>
          </w:p>
        </w:tc>
        <w:tc>
          <w:tcPr>
            <w:tcW w:w="492" w:type="pct"/>
            <w:tcBorders>
              <w:top w:val="nil"/>
              <w:left w:val="nil"/>
              <w:bottom w:val="single" w:sz="4" w:space="0" w:color="auto"/>
              <w:right w:val="single" w:sz="4" w:space="0" w:color="auto"/>
            </w:tcBorders>
            <w:shd w:val="clear" w:color="000000" w:fill="FFFFFF"/>
            <w:noWrap/>
            <w:vAlign w:val="bottom"/>
            <w:hideMark/>
          </w:tcPr>
          <w:p w14:paraId="59352DC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38</w:t>
            </w:r>
          </w:p>
        </w:tc>
        <w:tc>
          <w:tcPr>
            <w:tcW w:w="492" w:type="pct"/>
            <w:tcBorders>
              <w:top w:val="nil"/>
              <w:left w:val="nil"/>
              <w:bottom w:val="single" w:sz="4" w:space="0" w:color="auto"/>
              <w:right w:val="single" w:sz="4" w:space="0" w:color="auto"/>
            </w:tcBorders>
            <w:shd w:val="clear" w:color="000000" w:fill="FFFFFF"/>
            <w:noWrap/>
            <w:vAlign w:val="bottom"/>
            <w:hideMark/>
          </w:tcPr>
          <w:p w14:paraId="682A3ED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79</w:t>
            </w:r>
          </w:p>
        </w:tc>
        <w:tc>
          <w:tcPr>
            <w:tcW w:w="492" w:type="pct"/>
            <w:tcBorders>
              <w:top w:val="nil"/>
              <w:left w:val="nil"/>
              <w:bottom w:val="single" w:sz="4" w:space="0" w:color="auto"/>
              <w:right w:val="single" w:sz="4" w:space="0" w:color="auto"/>
            </w:tcBorders>
            <w:shd w:val="clear" w:color="000000" w:fill="FFFFFF"/>
            <w:noWrap/>
            <w:vAlign w:val="bottom"/>
            <w:hideMark/>
          </w:tcPr>
          <w:p w14:paraId="37B9177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148</w:t>
            </w:r>
          </w:p>
        </w:tc>
        <w:tc>
          <w:tcPr>
            <w:tcW w:w="492" w:type="pct"/>
            <w:tcBorders>
              <w:top w:val="nil"/>
              <w:left w:val="nil"/>
              <w:bottom w:val="single" w:sz="4" w:space="0" w:color="auto"/>
              <w:right w:val="single" w:sz="4" w:space="0" w:color="auto"/>
            </w:tcBorders>
            <w:shd w:val="clear" w:color="000000" w:fill="FFFFFF"/>
            <w:noWrap/>
            <w:vAlign w:val="bottom"/>
            <w:hideMark/>
          </w:tcPr>
          <w:p w14:paraId="52C52E6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155</w:t>
            </w:r>
          </w:p>
        </w:tc>
        <w:tc>
          <w:tcPr>
            <w:tcW w:w="492" w:type="pct"/>
            <w:tcBorders>
              <w:top w:val="nil"/>
              <w:left w:val="nil"/>
              <w:bottom w:val="single" w:sz="4" w:space="0" w:color="auto"/>
              <w:right w:val="single" w:sz="4" w:space="0" w:color="auto"/>
            </w:tcBorders>
            <w:shd w:val="clear" w:color="000000" w:fill="FFFFFF"/>
            <w:noWrap/>
            <w:vAlign w:val="bottom"/>
            <w:hideMark/>
          </w:tcPr>
          <w:p w14:paraId="7191216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73</w:t>
            </w:r>
          </w:p>
        </w:tc>
        <w:tc>
          <w:tcPr>
            <w:tcW w:w="492" w:type="pct"/>
            <w:tcBorders>
              <w:top w:val="nil"/>
              <w:left w:val="nil"/>
              <w:bottom w:val="single" w:sz="4" w:space="0" w:color="auto"/>
              <w:right w:val="single" w:sz="4" w:space="0" w:color="auto"/>
            </w:tcBorders>
            <w:shd w:val="clear" w:color="000000" w:fill="FFFFFF"/>
            <w:noWrap/>
            <w:vAlign w:val="bottom"/>
            <w:hideMark/>
          </w:tcPr>
          <w:p w14:paraId="67BAF79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79</w:t>
            </w:r>
          </w:p>
        </w:tc>
        <w:tc>
          <w:tcPr>
            <w:tcW w:w="489" w:type="pct"/>
            <w:tcBorders>
              <w:top w:val="nil"/>
              <w:left w:val="nil"/>
              <w:bottom w:val="single" w:sz="4" w:space="0" w:color="auto"/>
              <w:right w:val="single" w:sz="4" w:space="0" w:color="auto"/>
            </w:tcBorders>
            <w:shd w:val="clear" w:color="000000" w:fill="FFFFFF"/>
            <w:noWrap/>
            <w:vAlign w:val="bottom"/>
            <w:hideMark/>
          </w:tcPr>
          <w:p w14:paraId="0AB8EB8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98</w:t>
            </w:r>
          </w:p>
        </w:tc>
      </w:tr>
      <w:tr w:rsidR="00D33029" w:rsidRPr="00D33029" w14:paraId="62BC53DF"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13649FE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proofErr w:type="spellStart"/>
            <w:r w:rsidRPr="00D33029">
              <w:rPr>
                <w:rFonts w:ascii="Times New Roman" w:eastAsia="Times New Roman" w:hAnsi="Times New Roman" w:cs="Times New Roman"/>
                <w:color w:val="000000"/>
                <w:sz w:val="20"/>
                <w:szCs w:val="20"/>
                <w:lang w:eastAsia="da-DK"/>
              </w:rPr>
              <w:t>Kangaatsiaq</w:t>
            </w:r>
            <w:proofErr w:type="spellEnd"/>
          </w:p>
        </w:tc>
        <w:tc>
          <w:tcPr>
            <w:tcW w:w="492" w:type="pct"/>
            <w:tcBorders>
              <w:top w:val="nil"/>
              <w:left w:val="nil"/>
              <w:bottom w:val="single" w:sz="4" w:space="0" w:color="auto"/>
              <w:right w:val="single" w:sz="4" w:space="0" w:color="auto"/>
            </w:tcBorders>
            <w:shd w:val="clear" w:color="000000" w:fill="FFFFFF"/>
            <w:noWrap/>
            <w:vAlign w:val="bottom"/>
            <w:hideMark/>
          </w:tcPr>
          <w:p w14:paraId="16562F6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77</w:t>
            </w:r>
          </w:p>
        </w:tc>
        <w:tc>
          <w:tcPr>
            <w:tcW w:w="492" w:type="pct"/>
            <w:tcBorders>
              <w:top w:val="nil"/>
              <w:left w:val="nil"/>
              <w:bottom w:val="single" w:sz="4" w:space="0" w:color="auto"/>
              <w:right w:val="single" w:sz="4" w:space="0" w:color="auto"/>
            </w:tcBorders>
            <w:shd w:val="clear" w:color="000000" w:fill="FFFFFF"/>
            <w:noWrap/>
            <w:vAlign w:val="bottom"/>
            <w:hideMark/>
          </w:tcPr>
          <w:p w14:paraId="0365C39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88</w:t>
            </w:r>
          </w:p>
        </w:tc>
        <w:tc>
          <w:tcPr>
            <w:tcW w:w="492" w:type="pct"/>
            <w:tcBorders>
              <w:top w:val="nil"/>
              <w:left w:val="nil"/>
              <w:bottom w:val="single" w:sz="4" w:space="0" w:color="auto"/>
              <w:right w:val="single" w:sz="4" w:space="0" w:color="auto"/>
            </w:tcBorders>
            <w:shd w:val="clear" w:color="000000" w:fill="FFFFFF"/>
            <w:noWrap/>
            <w:vAlign w:val="bottom"/>
            <w:hideMark/>
          </w:tcPr>
          <w:p w14:paraId="720D0F4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105</w:t>
            </w:r>
          </w:p>
        </w:tc>
        <w:tc>
          <w:tcPr>
            <w:tcW w:w="492" w:type="pct"/>
            <w:tcBorders>
              <w:top w:val="nil"/>
              <w:left w:val="nil"/>
              <w:bottom w:val="single" w:sz="4" w:space="0" w:color="auto"/>
              <w:right w:val="single" w:sz="4" w:space="0" w:color="auto"/>
            </w:tcBorders>
            <w:shd w:val="clear" w:color="000000" w:fill="FFFFFF"/>
            <w:noWrap/>
            <w:vAlign w:val="bottom"/>
            <w:hideMark/>
          </w:tcPr>
          <w:p w14:paraId="7A111DE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112</w:t>
            </w:r>
          </w:p>
        </w:tc>
        <w:tc>
          <w:tcPr>
            <w:tcW w:w="492" w:type="pct"/>
            <w:tcBorders>
              <w:top w:val="nil"/>
              <w:left w:val="nil"/>
              <w:bottom w:val="single" w:sz="4" w:space="0" w:color="auto"/>
              <w:right w:val="single" w:sz="4" w:space="0" w:color="auto"/>
            </w:tcBorders>
            <w:shd w:val="clear" w:color="000000" w:fill="FFFFFF"/>
            <w:noWrap/>
            <w:vAlign w:val="bottom"/>
            <w:hideMark/>
          </w:tcPr>
          <w:p w14:paraId="7DB5A08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108</w:t>
            </w:r>
          </w:p>
        </w:tc>
        <w:tc>
          <w:tcPr>
            <w:tcW w:w="492" w:type="pct"/>
            <w:tcBorders>
              <w:top w:val="nil"/>
              <w:left w:val="nil"/>
              <w:bottom w:val="single" w:sz="4" w:space="0" w:color="auto"/>
              <w:right w:val="single" w:sz="4" w:space="0" w:color="auto"/>
            </w:tcBorders>
            <w:shd w:val="clear" w:color="000000" w:fill="FFFFFF"/>
            <w:noWrap/>
            <w:vAlign w:val="bottom"/>
            <w:hideMark/>
          </w:tcPr>
          <w:p w14:paraId="3BDB508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117</w:t>
            </w:r>
          </w:p>
        </w:tc>
        <w:tc>
          <w:tcPr>
            <w:tcW w:w="492" w:type="pct"/>
            <w:tcBorders>
              <w:top w:val="nil"/>
              <w:left w:val="nil"/>
              <w:bottom w:val="single" w:sz="4" w:space="0" w:color="auto"/>
              <w:right w:val="single" w:sz="4" w:space="0" w:color="auto"/>
            </w:tcBorders>
            <w:shd w:val="clear" w:color="000000" w:fill="FFFFFF"/>
            <w:noWrap/>
            <w:vAlign w:val="bottom"/>
            <w:hideMark/>
          </w:tcPr>
          <w:p w14:paraId="67AC1E0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112</w:t>
            </w:r>
          </w:p>
        </w:tc>
        <w:tc>
          <w:tcPr>
            <w:tcW w:w="489" w:type="pct"/>
            <w:tcBorders>
              <w:top w:val="nil"/>
              <w:left w:val="nil"/>
              <w:bottom w:val="single" w:sz="4" w:space="0" w:color="auto"/>
              <w:right w:val="single" w:sz="4" w:space="0" w:color="auto"/>
            </w:tcBorders>
            <w:shd w:val="clear" w:color="000000" w:fill="FFFFFF"/>
            <w:noWrap/>
            <w:vAlign w:val="bottom"/>
            <w:hideMark/>
          </w:tcPr>
          <w:p w14:paraId="5109097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95</w:t>
            </w:r>
          </w:p>
        </w:tc>
      </w:tr>
      <w:tr w:rsidR="00D33029" w:rsidRPr="00D33029" w14:paraId="68BAD202"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DEA7CB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Sisimiut</w:t>
            </w:r>
          </w:p>
        </w:tc>
        <w:tc>
          <w:tcPr>
            <w:tcW w:w="492" w:type="pct"/>
            <w:tcBorders>
              <w:top w:val="nil"/>
              <w:left w:val="nil"/>
              <w:bottom w:val="single" w:sz="4" w:space="0" w:color="auto"/>
              <w:right w:val="single" w:sz="4" w:space="0" w:color="auto"/>
            </w:tcBorders>
            <w:shd w:val="clear" w:color="000000" w:fill="FFFFFF"/>
            <w:noWrap/>
            <w:vAlign w:val="bottom"/>
            <w:hideMark/>
          </w:tcPr>
          <w:p w14:paraId="57BF1EC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76</w:t>
            </w:r>
          </w:p>
        </w:tc>
        <w:tc>
          <w:tcPr>
            <w:tcW w:w="492" w:type="pct"/>
            <w:tcBorders>
              <w:top w:val="nil"/>
              <w:left w:val="nil"/>
              <w:bottom w:val="single" w:sz="4" w:space="0" w:color="auto"/>
              <w:right w:val="single" w:sz="4" w:space="0" w:color="auto"/>
            </w:tcBorders>
            <w:shd w:val="clear" w:color="000000" w:fill="FFFFFF"/>
            <w:noWrap/>
            <w:vAlign w:val="bottom"/>
            <w:hideMark/>
          </w:tcPr>
          <w:p w14:paraId="5A0C3E8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90</w:t>
            </w:r>
          </w:p>
        </w:tc>
        <w:tc>
          <w:tcPr>
            <w:tcW w:w="492" w:type="pct"/>
            <w:tcBorders>
              <w:top w:val="nil"/>
              <w:left w:val="nil"/>
              <w:bottom w:val="single" w:sz="4" w:space="0" w:color="auto"/>
              <w:right w:val="single" w:sz="4" w:space="0" w:color="auto"/>
            </w:tcBorders>
            <w:shd w:val="clear" w:color="000000" w:fill="FFFFFF"/>
            <w:noWrap/>
            <w:vAlign w:val="bottom"/>
            <w:hideMark/>
          </w:tcPr>
          <w:p w14:paraId="22C7045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118</w:t>
            </w:r>
          </w:p>
        </w:tc>
        <w:tc>
          <w:tcPr>
            <w:tcW w:w="492" w:type="pct"/>
            <w:tcBorders>
              <w:top w:val="nil"/>
              <w:left w:val="nil"/>
              <w:bottom w:val="single" w:sz="4" w:space="0" w:color="auto"/>
              <w:right w:val="single" w:sz="4" w:space="0" w:color="auto"/>
            </w:tcBorders>
            <w:shd w:val="clear" w:color="000000" w:fill="FFFFFF"/>
            <w:noWrap/>
            <w:vAlign w:val="bottom"/>
            <w:hideMark/>
          </w:tcPr>
          <w:p w14:paraId="47FEC59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125</w:t>
            </w:r>
          </w:p>
        </w:tc>
        <w:tc>
          <w:tcPr>
            <w:tcW w:w="492" w:type="pct"/>
            <w:tcBorders>
              <w:top w:val="nil"/>
              <w:left w:val="nil"/>
              <w:bottom w:val="single" w:sz="4" w:space="0" w:color="auto"/>
              <w:right w:val="single" w:sz="4" w:space="0" w:color="auto"/>
            </w:tcBorders>
            <w:shd w:val="clear" w:color="000000" w:fill="FFFFFF"/>
            <w:noWrap/>
            <w:vAlign w:val="bottom"/>
            <w:hideMark/>
          </w:tcPr>
          <w:p w14:paraId="13EF03F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131</w:t>
            </w:r>
          </w:p>
        </w:tc>
        <w:tc>
          <w:tcPr>
            <w:tcW w:w="492" w:type="pct"/>
            <w:tcBorders>
              <w:top w:val="nil"/>
              <w:left w:val="nil"/>
              <w:bottom w:val="single" w:sz="4" w:space="0" w:color="auto"/>
              <w:right w:val="single" w:sz="4" w:space="0" w:color="auto"/>
            </w:tcBorders>
            <w:shd w:val="clear" w:color="000000" w:fill="FFFFFF"/>
            <w:noWrap/>
            <w:vAlign w:val="bottom"/>
            <w:hideMark/>
          </w:tcPr>
          <w:p w14:paraId="53786AA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93</w:t>
            </w:r>
          </w:p>
        </w:tc>
        <w:tc>
          <w:tcPr>
            <w:tcW w:w="492" w:type="pct"/>
            <w:tcBorders>
              <w:top w:val="nil"/>
              <w:left w:val="nil"/>
              <w:bottom w:val="single" w:sz="4" w:space="0" w:color="auto"/>
              <w:right w:val="single" w:sz="4" w:space="0" w:color="auto"/>
            </w:tcBorders>
            <w:shd w:val="clear" w:color="000000" w:fill="FFFFFF"/>
            <w:noWrap/>
            <w:vAlign w:val="bottom"/>
            <w:hideMark/>
          </w:tcPr>
          <w:p w14:paraId="4DA08AE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85</w:t>
            </w:r>
          </w:p>
        </w:tc>
        <w:tc>
          <w:tcPr>
            <w:tcW w:w="489" w:type="pct"/>
            <w:tcBorders>
              <w:top w:val="nil"/>
              <w:left w:val="nil"/>
              <w:bottom w:val="single" w:sz="4" w:space="0" w:color="auto"/>
              <w:right w:val="single" w:sz="4" w:space="0" w:color="auto"/>
            </w:tcBorders>
            <w:shd w:val="clear" w:color="000000" w:fill="FFFFFF"/>
            <w:noWrap/>
            <w:vAlign w:val="bottom"/>
            <w:hideMark/>
          </w:tcPr>
          <w:p w14:paraId="22FD413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89</w:t>
            </w:r>
          </w:p>
        </w:tc>
      </w:tr>
      <w:tr w:rsidR="00D33029" w:rsidRPr="00D33029" w14:paraId="7B6F34BF"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217956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Aasiaat</w:t>
            </w:r>
          </w:p>
        </w:tc>
        <w:tc>
          <w:tcPr>
            <w:tcW w:w="492" w:type="pct"/>
            <w:tcBorders>
              <w:top w:val="nil"/>
              <w:left w:val="nil"/>
              <w:bottom w:val="single" w:sz="4" w:space="0" w:color="auto"/>
              <w:right w:val="single" w:sz="4" w:space="0" w:color="auto"/>
            </w:tcBorders>
            <w:shd w:val="clear" w:color="000000" w:fill="FFFFFF"/>
            <w:noWrap/>
            <w:vAlign w:val="bottom"/>
            <w:hideMark/>
          </w:tcPr>
          <w:p w14:paraId="3DCC7CB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59</w:t>
            </w:r>
          </w:p>
        </w:tc>
        <w:tc>
          <w:tcPr>
            <w:tcW w:w="492" w:type="pct"/>
            <w:tcBorders>
              <w:top w:val="nil"/>
              <w:left w:val="nil"/>
              <w:bottom w:val="single" w:sz="4" w:space="0" w:color="auto"/>
              <w:right w:val="single" w:sz="4" w:space="0" w:color="auto"/>
            </w:tcBorders>
            <w:shd w:val="clear" w:color="000000" w:fill="FFFFFF"/>
            <w:noWrap/>
            <w:vAlign w:val="bottom"/>
            <w:hideMark/>
          </w:tcPr>
          <w:p w14:paraId="68D97DE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76</w:t>
            </w:r>
          </w:p>
        </w:tc>
        <w:tc>
          <w:tcPr>
            <w:tcW w:w="492" w:type="pct"/>
            <w:tcBorders>
              <w:top w:val="nil"/>
              <w:left w:val="nil"/>
              <w:bottom w:val="single" w:sz="4" w:space="0" w:color="auto"/>
              <w:right w:val="single" w:sz="4" w:space="0" w:color="auto"/>
            </w:tcBorders>
            <w:shd w:val="clear" w:color="000000" w:fill="FFFFFF"/>
            <w:noWrap/>
            <w:vAlign w:val="bottom"/>
            <w:hideMark/>
          </w:tcPr>
          <w:p w14:paraId="7AC0DA3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92</w:t>
            </w:r>
          </w:p>
        </w:tc>
        <w:tc>
          <w:tcPr>
            <w:tcW w:w="492" w:type="pct"/>
            <w:tcBorders>
              <w:top w:val="nil"/>
              <w:left w:val="nil"/>
              <w:bottom w:val="single" w:sz="4" w:space="0" w:color="auto"/>
              <w:right w:val="single" w:sz="4" w:space="0" w:color="auto"/>
            </w:tcBorders>
            <w:shd w:val="clear" w:color="000000" w:fill="FFFFFF"/>
            <w:noWrap/>
            <w:vAlign w:val="bottom"/>
            <w:hideMark/>
          </w:tcPr>
          <w:p w14:paraId="537F759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101</w:t>
            </w:r>
          </w:p>
        </w:tc>
        <w:tc>
          <w:tcPr>
            <w:tcW w:w="492" w:type="pct"/>
            <w:tcBorders>
              <w:top w:val="nil"/>
              <w:left w:val="nil"/>
              <w:bottom w:val="single" w:sz="4" w:space="0" w:color="auto"/>
              <w:right w:val="single" w:sz="4" w:space="0" w:color="auto"/>
            </w:tcBorders>
            <w:shd w:val="clear" w:color="000000" w:fill="FFFFFF"/>
            <w:noWrap/>
            <w:vAlign w:val="bottom"/>
            <w:hideMark/>
          </w:tcPr>
          <w:p w14:paraId="5BD03D49"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122</w:t>
            </w:r>
          </w:p>
        </w:tc>
        <w:tc>
          <w:tcPr>
            <w:tcW w:w="492" w:type="pct"/>
            <w:tcBorders>
              <w:top w:val="nil"/>
              <w:left w:val="nil"/>
              <w:bottom w:val="single" w:sz="4" w:space="0" w:color="auto"/>
              <w:right w:val="single" w:sz="4" w:space="0" w:color="auto"/>
            </w:tcBorders>
            <w:shd w:val="clear" w:color="000000" w:fill="FFFFFF"/>
            <w:noWrap/>
            <w:vAlign w:val="bottom"/>
            <w:hideMark/>
          </w:tcPr>
          <w:p w14:paraId="5ECC024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105</w:t>
            </w:r>
          </w:p>
        </w:tc>
        <w:tc>
          <w:tcPr>
            <w:tcW w:w="492" w:type="pct"/>
            <w:tcBorders>
              <w:top w:val="nil"/>
              <w:left w:val="nil"/>
              <w:bottom w:val="single" w:sz="4" w:space="0" w:color="auto"/>
              <w:right w:val="single" w:sz="4" w:space="0" w:color="auto"/>
            </w:tcBorders>
            <w:shd w:val="clear" w:color="000000" w:fill="FFFFFF"/>
            <w:noWrap/>
            <w:vAlign w:val="bottom"/>
            <w:hideMark/>
          </w:tcPr>
          <w:p w14:paraId="537FE85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88</w:t>
            </w:r>
          </w:p>
        </w:tc>
        <w:tc>
          <w:tcPr>
            <w:tcW w:w="489" w:type="pct"/>
            <w:tcBorders>
              <w:top w:val="nil"/>
              <w:left w:val="nil"/>
              <w:bottom w:val="single" w:sz="4" w:space="0" w:color="auto"/>
              <w:right w:val="single" w:sz="4" w:space="0" w:color="auto"/>
            </w:tcBorders>
            <w:shd w:val="clear" w:color="000000" w:fill="FFFFFF"/>
            <w:noWrap/>
            <w:vAlign w:val="bottom"/>
            <w:hideMark/>
          </w:tcPr>
          <w:p w14:paraId="6D01DC59"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83</w:t>
            </w:r>
          </w:p>
        </w:tc>
      </w:tr>
      <w:tr w:rsidR="00D33029" w:rsidRPr="00D33029" w14:paraId="27A10928"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74476B4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Qaanaaq</w:t>
            </w:r>
          </w:p>
        </w:tc>
        <w:tc>
          <w:tcPr>
            <w:tcW w:w="492" w:type="pct"/>
            <w:tcBorders>
              <w:top w:val="nil"/>
              <w:left w:val="nil"/>
              <w:bottom w:val="single" w:sz="4" w:space="0" w:color="auto"/>
              <w:right w:val="single" w:sz="4" w:space="0" w:color="auto"/>
            </w:tcBorders>
            <w:shd w:val="clear" w:color="000000" w:fill="FFFFFF"/>
            <w:noWrap/>
            <w:vAlign w:val="bottom"/>
            <w:hideMark/>
          </w:tcPr>
          <w:p w14:paraId="72ECB38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7DAF34C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45898DB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490D847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w:t>
            </w:r>
          </w:p>
        </w:tc>
        <w:tc>
          <w:tcPr>
            <w:tcW w:w="492" w:type="pct"/>
            <w:tcBorders>
              <w:top w:val="nil"/>
              <w:left w:val="nil"/>
              <w:bottom w:val="single" w:sz="4" w:space="0" w:color="auto"/>
              <w:right w:val="single" w:sz="4" w:space="0" w:color="auto"/>
            </w:tcBorders>
            <w:shd w:val="clear" w:color="000000" w:fill="FFFFFF"/>
            <w:noWrap/>
            <w:vAlign w:val="bottom"/>
            <w:hideMark/>
          </w:tcPr>
          <w:p w14:paraId="269F6F7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w:t>
            </w:r>
          </w:p>
        </w:tc>
        <w:tc>
          <w:tcPr>
            <w:tcW w:w="492" w:type="pct"/>
            <w:tcBorders>
              <w:top w:val="nil"/>
              <w:left w:val="nil"/>
              <w:bottom w:val="single" w:sz="4" w:space="0" w:color="auto"/>
              <w:right w:val="single" w:sz="4" w:space="0" w:color="auto"/>
            </w:tcBorders>
            <w:shd w:val="clear" w:color="000000" w:fill="FFFFFF"/>
            <w:noWrap/>
            <w:vAlign w:val="bottom"/>
            <w:hideMark/>
          </w:tcPr>
          <w:p w14:paraId="4D83345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w:t>
            </w:r>
          </w:p>
        </w:tc>
        <w:tc>
          <w:tcPr>
            <w:tcW w:w="492" w:type="pct"/>
            <w:tcBorders>
              <w:top w:val="nil"/>
              <w:left w:val="nil"/>
              <w:bottom w:val="single" w:sz="4" w:space="0" w:color="auto"/>
              <w:right w:val="single" w:sz="4" w:space="0" w:color="auto"/>
            </w:tcBorders>
            <w:shd w:val="clear" w:color="000000" w:fill="FFFFFF"/>
            <w:noWrap/>
            <w:vAlign w:val="bottom"/>
            <w:hideMark/>
          </w:tcPr>
          <w:p w14:paraId="3D7AE15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w:t>
            </w:r>
          </w:p>
        </w:tc>
        <w:tc>
          <w:tcPr>
            <w:tcW w:w="489" w:type="pct"/>
            <w:tcBorders>
              <w:top w:val="nil"/>
              <w:left w:val="nil"/>
              <w:bottom w:val="single" w:sz="4" w:space="0" w:color="auto"/>
              <w:right w:val="single" w:sz="4" w:space="0" w:color="auto"/>
            </w:tcBorders>
            <w:shd w:val="clear" w:color="000000" w:fill="FFFFFF"/>
            <w:noWrap/>
            <w:vAlign w:val="bottom"/>
            <w:hideMark/>
          </w:tcPr>
          <w:p w14:paraId="2E239F3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74</w:t>
            </w:r>
          </w:p>
        </w:tc>
      </w:tr>
      <w:tr w:rsidR="00D33029" w:rsidRPr="00D33029" w14:paraId="3E0204E8"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7E9122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Qeqertarsuaq</w:t>
            </w:r>
          </w:p>
        </w:tc>
        <w:tc>
          <w:tcPr>
            <w:tcW w:w="492" w:type="pct"/>
            <w:tcBorders>
              <w:top w:val="nil"/>
              <w:left w:val="nil"/>
              <w:bottom w:val="single" w:sz="4" w:space="0" w:color="auto"/>
              <w:right w:val="single" w:sz="4" w:space="0" w:color="auto"/>
            </w:tcBorders>
            <w:shd w:val="clear" w:color="000000" w:fill="FFFFFF"/>
            <w:noWrap/>
            <w:vAlign w:val="bottom"/>
            <w:hideMark/>
          </w:tcPr>
          <w:p w14:paraId="73696A9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52</w:t>
            </w:r>
          </w:p>
        </w:tc>
        <w:tc>
          <w:tcPr>
            <w:tcW w:w="492" w:type="pct"/>
            <w:tcBorders>
              <w:top w:val="nil"/>
              <w:left w:val="nil"/>
              <w:bottom w:val="single" w:sz="4" w:space="0" w:color="auto"/>
              <w:right w:val="single" w:sz="4" w:space="0" w:color="auto"/>
            </w:tcBorders>
            <w:shd w:val="clear" w:color="000000" w:fill="FFFFFF"/>
            <w:noWrap/>
            <w:vAlign w:val="bottom"/>
            <w:hideMark/>
          </w:tcPr>
          <w:p w14:paraId="2E2AB3D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59</w:t>
            </w:r>
          </w:p>
        </w:tc>
        <w:tc>
          <w:tcPr>
            <w:tcW w:w="492" w:type="pct"/>
            <w:tcBorders>
              <w:top w:val="nil"/>
              <w:left w:val="nil"/>
              <w:bottom w:val="single" w:sz="4" w:space="0" w:color="auto"/>
              <w:right w:val="single" w:sz="4" w:space="0" w:color="auto"/>
            </w:tcBorders>
            <w:shd w:val="clear" w:color="000000" w:fill="FFFFFF"/>
            <w:noWrap/>
            <w:vAlign w:val="bottom"/>
            <w:hideMark/>
          </w:tcPr>
          <w:p w14:paraId="3743081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62</w:t>
            </w:r>
          </w:p>
        </w:tc>
        <w:tc>
          <w:tcPr>
            <w:tcW w:w="492" w:type="pct"/>
            <w:tcBorders>
              <w:top w:val="nil"/>
              <w:left w:val="nil"/>
              <w:bottom w:val="single" w:sz="4" w:space="0" w:color="auto"/>
              <w:right w:val="single" w:sz="4" w:space="0" w:color="auto"/>
            </w:tcBorders>
            <w:shd w:val="clear" w:color="000000" w:fill="FFFFFF"/>
            <w:noWrap/>
            <w:vAlign w:val="bottom"/>
            <w:hideMark/>
          </w:tcPr>
          <w:p w14:paraId="219B30C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67</w:t>
            </w:r>
          </w:p>
        </w:tc>
        <w:tc>
          <w:tcPr>
            <w:tcW w:w="492" w:type="pct"/>
            <w:tcBorders>
              <w:top w:val="nil"/>
              <w:left w:val="nil"/>
              <w:bottom w:val="single" w:sz="4" w:space="0" w:color="auto"/>
              <w:right w:val="single" w:sz="4" w:space="0" w:color="auto"/>
            </w:tcBorders>
            <w:shd w:val="clear" w:color="000000" w:fill="FFFFFF"/>
            <w:noWrap/>
            <w:vAlign w:val="bottom"/>
            <w:hideMark/>
          </w:tcPr>
          <w:p w14:paraId="59AB1FE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70</w:t>
            </w:r>
          </w:p>
        </w:tc>
        <w:tc>
          <w:tcPr>
            <w:tcW w:w="492" w:type="pct"/>
            <w:tcBorders>
              <w:top w:val="nil"/>
              <w:left w:val="nil"/>
              <w:bottom w:val="single" w:sz="4" w:space="0" w:color="auto"/>
              <w:right w:val="single" w:sz="4" w:space="0" w:color="auto"/>
            </w:tcBorders>
            <w:shd w:val="clear" w:color="000000" w:fill="FFFFFF"/>
            <w:noWrap/>
            <w:vAlign w:val="bottom"/>
            <w:hideMark/>
          </w:tcPr>
          <w:p w14:paraId="14F2CF8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66</w:t>
            </w:r>
          </w:p>
        </w:tc>
        <w:tc>
          <w:tcPr>
            <w:tcW w:w="492" w:type="pct"/>
            <w:tcBorders>
              <w:top w:val="nil"/>
              <w:left w:val="nil"/>
              <w:bottom w:val="single" w:sz="4" w:space="0" w:color="auto"/>
              <w:right w:val="single" w:sz="4" w:space="0" w:color="auto"/>
            </w:tcBorders>
            <w:shd w:val="clear" w:color="000000" w:fill="FFFFFF"/>
            <w:noWrap/>
            <w:vAlign w:val="bottom"/>
            <w:hideMark/>
          </w:tcPr>
          <w:p w14:paraId="42116C1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66</w:t>
            </w:r>
          </w:p>
        </w:tc>
        <w:tc>
          <w:tcPr>
            <w:tcW w:w="489" w:type="pct"/>
            <w:tcBorders>
              <w:top w:val="nil"/>
              <w:left w:val="nil"/>
              <w:bottom w:val="single" w:sz="4" w:space="0" w:color="auto"/>
              <w:right w:val="single" w:sz="4" w:space="0" w:color="auto"/>
            </w:tcBorders>
            <w:shd w:val="clear" w:color="000000" w:fill="FFFFFF"/>
            <w:noWrap/>
            <w:vAlign w:val="bottom"/>
            <w:hideMark/>
          </w:tcPr>
          <w:p w14:paraId="316D026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62</w:t>
            </w:r>
          </w:p>
        </w:tc>
      </w:tr>
      <w:tr w:rsidR="00D33029" w:rsidRPr="00D33029" w14:paraId="7B3799F6"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E8309C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Paamiut</w:t>
            </w:r>
          </w:p>
        </w:tc>
        <w:tc>
          <w:tcPr>
            <w:tcW w:w="492" w:type="pct"/>
            <w:tcBorders>
              <w:top w:val="nil"/>
              <w:left w:val="nil"/>
              <w:bottom w:val="single" w:sz="4" w:space="0" w:color="auto"/>
              <w:right w:val="single" w:sz="4" w:space="0" w:color="auto"/>
            </w:tcBorders>
            <w:shd w:val="clear" w:color="000000" w:fill="FFFFFF"/>
            <w:noWrap/>
            <w:vAlign w:val="bottom"/>
            <w:hideMark/>
          </w:tcPr>
          <w:p w14:paraId="341BEF4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48</w:t>
            </w:r>
          </w:p>
        </w:tc>
        <w:tc>
          <w:tcPr>
            <w:tcW w:w="492" w:type="pct"/>
            <w:tcBorders>
              <w:top w:val="nil"/>
              <w:left w:val="nil"/>
              <w:bottom w:val="single" w:sz="4" w:space="0" w:color="auto"/>
              <w:right w:val="single" w:sz="4" w:space="0" w:color="auto"/>
            </w:tcBorders>
            <w:shd w:val="clear" w:color="000000" w:fill="FFFFFF"/>
            <w:noWrap/>
            <w:vAlign w:val="bottom"/>
            <w:hideMark/>
          </w:tcPr>
          <w:p w14:paraId="2EB7C06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58</w:t>
            </w:r>
          </w:p>
        </w:tc>
        <w:tc>
          <w:tcPr>
            <w:tcW w:w="492" w:type="pct"/>
            <w:tcBorders>
              <w:top w:val="nil"/>
              <w:left w:val="nil"/>
              <w:bottom w:val="single" w:sz="4" w:space="0" w:color="auto"/>
              <w:right w:val="single" w:sz="4" w:space="0" w:color="auto"/>
            </w:tcBorders>
            <w:shd w:val="clear" w:color="000000" w:fill="FFFFFF"/>
            <w:noWrap/>
            <w:vAlign w:val="bottom"/>
            <w:hideMark/>
          </w:tcPr>
          <w:p w14:paraId="5A5DE79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56</w:t>
            </w:r>
          </w:p>
        </w:tc>
        <w:tc>
          <w:tcPr>
            <w:tcW w:w="492" w:type="pct"/>
            <w:tcBorders>
              <w:top w:val="nil"/>
              <w:left w:val="nil"/>
              <w:bottom w:val="single" w:sz="4" w:space="0" w:color="auto"/>
              <w:right w:val="single" w:sz="4" w:space="0" w:color="auto"/>
            </w:tcBorders>
            <w:shd w:val="clear" w:color="000000" w:fill="FFFFFF"/>
            <w:noWrap/>
            <w:vAlign w:val="bottom"/>
            <w:hideMark/>
          </w:tcPr>
          <w:p w14:paraId="5F899AF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60</w:t>
            </w:r>
          </w:p>
        </w:tc>
        <w:tc>
          <w:tcPr>
            <w:tcW w:w="492" w:type="pct"/>
            <w:tcBorders>
              <w:top w:val="nil"/>
              <w:left w:val="nil"/>
              <w:bottom w:val="single" w:sz="4" w:space="0" w:color="auto"/>
              <w:right w:val="single" w:sz="4" w:space="0" w:color="auto"/>
            </w:tcBorders>
            <w:shd w:val="clear" w:color="000000" w:fill="FFFFFF"/>
            <w:noWrap/>
            <w:vAlign w:val="bottom"/>
            <w:hideMark/>
          </w:tcPr>
          <w:p w14:paraId="3D09CD4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71</w:t>
            </w:r>
          </w:p>
        </w:tc>
        <w:tc>
          <w:tcPr>
            <w:tcW w:w="492" w:type="pct"/>
            <w:tcBorders>
              <w:top w:val="nil"/>
              <w:left w:val="nil"/>
              <w:bottom w:val="single" w:sz="4" w:space="0" w:color="auto"/>
              <w:right w:val="single" w:sz="4" w:space="0" w:color="auto"/>
            </w:tcBorders>
            <w:shd w:val="clear" w:color="000000" w:fill="FFFFFF"/>
            <w:noWrap/>
            <w:vAlign w:val="bottom"/>
            <w:hideMark/>
          </w:tcPr>
          <w:p w14:paraId="3C15837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59</w:t>
            </w:r>
          </w:p>
        </w:tc>
        <w:tc>
          <w:tcPr>
            <w:tcW w:w="492" w:type="pct"/>
            <w:tcBorders>
              <w:top w:val="nil"/>
              <w:left w:val="nil"/>
              <w:bottom w:val="single" w:sz="4" w:space="0" w:color="auto"/>
              <w:right w:val="single" w:sz="4" w:space="0" w:color="auto"/>
            </w:tcBorders>
            <w:shd w:val="clear" w:color="000000" w:fill="FFFFFF"/>
            <w:noWrap/>
            <w:vAlign w:val="bottom"/>
            <w:hideMark/>
          </w:tcPr>
          <w:p w14:paraId="2062836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61</w:t>
            </w:r>
          </w:p>
        </w:tc>
        <w:tc>
          <w:tcPr>
            <w:tcW w:w="489" w:type="pct"/>
            <w:tcBorders>
              <w:top w:val="nil"/>
              <w:left w:val="nil"/>
              <w:bottom w:val="single" w:sz="4" w:space="0" w:color="auto"/>
              <w:right w:val="single" w:sz="4" w:space="0" w:color="auto"/>
            </w:tcBorders>
            <w:shd w:val="clear" w:color="000000" w:fill="FFFFFF"/>
            <w:noWrap/>
            <w:vAlign w:val="bottom"/>
            <w:hideMark/>
          </w:tcPr>
          <w:p w14:paraId="7E576E8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57</w:t>
            </w:r>
          </w:p>
        </w:tc>
      </w:tr>
      <w:tr w:rsidR="00D33029" w:rsidRPr="00D33029" w14:paraId="4EC90D01"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1F1A74A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Qaqortoq</w:t>
            </w:r>
          </w:p>
        </w:tc>
        <w:tc>
          <w:tcPr>
            <w:tcW w:w="492" w:type="pct"/>
            <w:tcBorders>
              <w:top w:val="nil"/>
              <w:left w:val="nil"/>
              <w:bottom w:val="single" w:sz="4" w:space="0" w:color="auto"/>
              <w:right w:val="single" w:sz="4" w:space="0" w:color="auto"/>
            </w:tcBorders>
            <w:shd w:val="clear" w:color="000000" w:fill="FFFFFF"/>
            <w:noWrap/>
            <w:vAlign w:val="bottom"/>
            <w:hideMark/>
          </w:tcPr>
          <w:p w14:paraId="54FA992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30</w:t>
            </w:r>
          </w:p>
        </w:tc>
        <w:tc>
          <w:tcPr>
            <w:tcW w:w="492" w:type="pct"/>
            <w:tcBorders>
              <w:top w:val="nil"/>
              <w:left w:val="nil"/>
              <w:bottom w:val="single" w:sz="4" w:space="0" w:color="auto"/>
              <w:right w:val="single" w:sz="4" w:space="0" w:color="auto"/>
            </w:tcBorders>
            <w:shd w:val="clear" w:color="000000" w:fill="FFFFFF"/>
            <w:noWrap/>
            <w:vAlign w:val="bottom"/>
            <w:hideMark/>
          </w:tcPr>
          <w:p w14:paraId="2CD2C05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32</w:t>
            </w:r>
          </w:p>
        </w:tc>
        <w:tc>
          <w:tcPr>
            <w:tcW w:w="492" w:type="pct"/>
            <w:tcBorders>
              <w:top w:val="nil"/>
              <w:left w:val="nil"/>
              <w:bottom w:val="single" w:sz="4" w:space="0" w:color="auto"/>
              <w:right w:val="single" w:sz="4" w:space="0" w:color="auto"/>
            </w:tcBorders>
            <w:shd w:val="clear" w:color="000000" w:fill="FFFFFF"/>
            <w:noWrap/>
            <w:vAlign w:val="bottom"/>
            <w:hideMark/>
          </w:tcPr>
          <w:p w14:paraId="2C28B80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37</w:t>
            </w:r>
          </w:p>
        </w:tc>
        <w:tc>
          <w:tcPr>
            <w:tcW w:w="492" w:type="pct"/>
            <w:tcBorders>
              <w:top w:val="nil"/>
              <w:left w:val="nil"/>
              <w:bottom w:val="single" w:sz="4" w:space="0" w:color="auto"/>
              <w:right w:val="single" w:sz="4" w:space="0" w:color="auto"/>
            </w:tcBorders>
            <w:shd w:val="clear" w:color="000000" w:fill="FFFFFF"/>
            <w:noWrap/>
            <w:vAlign w:val="bottom"/>
            <w:hideMark/>
          </w:tcPr>
          <w:p w14:paraId="3128746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38</w:t>
            </w:r>
          </w:p>
        </w:tc>
        <w:tc>
          <w:tcPr>
            <w:tcW w:w="492" w:type="pct"/>
            <w:tcBorders>
              <w:top w:val="nil"/>
              <w:left w:val="nil"/>
              <w:bottom w:val="single" w:sz="4" w:space="0" w:color="auto"/>
              <w:right w:val="single" w:sz="4" w:space="0" w:color="auto"/>
            </w:tcBorders>
            <w:shd w:val="clear" w:color="000000" w:fill="FFFFFF"/>
            <w:noWrap/>
            <w:vAlign w:val="bottom"/>
            <w:hideMark/>
          </w:tcPr>
          <w:p w14:paraId="780766E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39</w:t>
            </w:r>
          </w:p>
        </w:tc>
        <w:tc>
          <w:tcPr>
            <w:tcW w:w="492" w:type="pct"/>
            <w:tcBorders>
              <w:top w:val="nil"/>
              <w:left w:val="nil"/>
              <w:bottom w:val="single" w:sz="4" w:space="0" w:color="auto"/>
              <w:right w:val="single" w:sz="4" w:space="0" w:color="auto"/>
            </w:tcBorders>
            <w:shd w:val="clear" w:color="000000" w:fill="FFFFFF"/>
            <w:noWrap/>
            <w:vAlign w:val="bottom"/>
            <w:hideMark/>
          </w:tcPr>
          <w:p w14:paraId="4F041FBC"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44</w:t>
            </w:r>
          </w:p>
        </w:tc>
        <w:tc>
          <w:tcPr>
            <w:tcW w:w="492" w:type="pct"/>
            <w:tcBorders>
              <w:top w:val="nil"/>
              <w:left w:val="nil"/>
              <w:bottom w:val="single" w:sz="4" w:space="0" w:color="auto"/>
              <w:right w:val="single" w:sz="4" w:space="0" w:color="auto"/>
            </w:tcBorders>
            <w:shd w:val="clear" w:color="000000" w:fill="FFFFFF"/>
            <w:noWrap/>
            <w:vAlign w:val="bottom"/>
            <w:hideMark/>
          </w:tcPr>
          <w:p w14:paraId="6C424B8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48</w:t>
            </w:r>
          </w:p>
        </w:tc>
        <w:tc>
          <w:tcPr>
            <w:tcW w:w="489" w:type="pct"/>
            <w:tcBorders>
              <w:top w:val="nil"/>
              <w:left w:val="nil"/>
              <w:bottom w:val="single" w:sz="4" w:space="0" w:color="auto"/>
              <w:right w:val="single" w:sz="4" w:space="0" w:color="auto"/>
            </w:tcBorders>
            <w:shd w:val="clear" w:color="000000" w:fill="FFFFFF"/>
            <w:noWrap/>
            <w:vAlign w:val="bottom"/>
            <w:hideMark/>
          </w:tcPr>
          <w:p w14:paraId="4658914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55</w:t>
            </w:r>
          </w:p>
        </w:tc>
      </w:tr>
      <w:tr w:rsidR="00D33029" w:rsidRPr="00D33029" w14:paraId="48A44C25"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1204C78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Qasigiannguit</w:t>
            </w:r>
          </w:p>
        </w:tc>
        <w:tc>
          <w:tcPr>
            <w:tcW w:w="492" w:type="pct"/>
            <w:tcBorders>
              <w:top w:val="nil"/>
              <w:left w:val="nil"/>
              <w:bottom w:val="single" w:sz="4" w:space="0" w:color="auto"/>
              <w:right w:val="single" w:sz="4" w:space="0" w:color="auto"/>
            </w:tcBorders>
            <w:shd w:val="clear" w:color="000000" w:fill="FFFFFF"/>
            <w:noWrap/>
            <w:vAlign w:val="bottom"/>
            <w:hideMark/>
          </w:tcPr>
          <w:p w14:paraId="5C66D8DC"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46</w:t>
            </w:r>
          </w:p>
        </w:tc>
        <w:tc>
          <w:tcPr>
            <w:tcW w:w="492" w:type="pct"/>
            <w:tcBorders>
              <w:top w:val="nil"/>
              <w:left w:val="nil"/>
              <w:bottom w:val="single" w:sz="4" w:space="0" w:color="auto"/>
              <w:right w:val="single" w:sz="4" w:space="0" w:color="auto"/>
            </w:tcBorders>
            <w:shd w:val="clear" w:color="000000" w:fill="FFFFFF"/>
            <w:noWrap/>
            <w:vAlign w:val="bottom"/>
            <w:hideMark/>
          </w:tcPr>
          <w:p w14:paraId="709A5BD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57</w:t>
            </w:r>
          </w:p>
        </w:tc>
        <w:tc>
          <w:tcPr>
            <w:tcW w:w="492" w:type="pct"/>
            <w:tcBorders>
              <w:top w:val="nil"/>
              <w:left w:val="nil"/>
              <w:bottom w:val="single" w:sz="4" w:space="0" w:color="auto"/>
              <w:right w:val="single" w:sz="4" w:space="0" w:color="auto"/>
            </w:tcBorders>
            <w:shd w:val="clear" w:color="000000" w:fill="FFFFFF"/>
            <w:noWrap/>
            <w:vAlign w:val="bottom"/>
            <w:hideMark/>
          </w:tcPr>
          <w:p w14:paraId="6CC1505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62</w:t>
            </w:r>
          </w:p>
        </w:tc>
        <w:tc>
          <w:tcPr>
            <w:tcW w:w="492" w:type="pct"/>
            <w:tcBorders>
              <w:top w:val="nil"/>
              <w:left w:val="nil"/>
              <w:bottom w:val="single" w:sz="4" w:space="0" w:color="auto"/>
              <w:right w:val="single" w:sz="4" w:space="0" w:color="auto"/>
            </w:tcBorders>
            <w:shd w:val="clear" w:color="000000" w:fill="FFFFFF"/>
            <w:noWrap/>
            <w:vAlign w:val="bottom"/>
            <w:hideMark/>
          </w:tcPr>
          <w:p w14:paraId="4F341DB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64</w:t>
            </w:r>
          </w:p>
        </w:tc>
        <w:tc>
          <w:tcPr>
            <w:tcW w:w="492" w:type="pct"/>
            <w:tcBorders>
              <w:top w:val="nil"/>
              <w:left w:val="nil"/>
              <w:bottom w:val="single" w:sz="4" w:space="0" w:color="auto"/>
              <w:right w:val="single" w:sz="4" w:space="0" w:color="auto"/>
            </w:tcBorders>
            <w:shd w:val="clear" w:color="000000" w:fill="FFFFFF"/>
            <w:noWrap/>
            <w:vAlign w:val="bottom"/>
            <w:hideMark/>
          </w:tcPr>
          <w:p w14:paraId="1D646539"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64</w:t>
            </w:r>
          </w:p>
        </w:tc>
        <w:tc>
          <w:tcPr>
            <w:tcW w:w="492" w:type="pct"/>
            <w:tcBorders>
              <w:top w:val="nil"/>
              <w:left w:val="nil"/>
              <w:bottom w:val="single" w:sz="4" w:space="0" w:color="auto"/>
              <w:right w:val="single" w:sz="4" w:space="0" w:color="auto"/>
            </w:tcBorders>
            <w:shd w:val="clear" w:color="000000" w:fill="FFFFFF"/>
            <w:noWrap/>
            <w:vAlign w:val="bottom"/>
            <w:hideMark/>
          </w:tcPr>
          <w:p w14:paraId="2F8C059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54</w:t>
            </w:r>
          </w:p>
        </w:tc>
        <w:tc>
          <w:tcPr>
            <w:tcW w:w="492" w:type="pct"/>
            <w:tcBorders>
              <w:top w:val="nil"/>
              <w:left w:val="nil"/>
              <w:bottom w:val="single" w:sz="4" w:space="0" w:color="auto"/>
              <w:right w:val="single" w:sz="4" w:space="0" w:color="auto"/>
            </w:tcBorders>
            <w:shd w:val="clear" w:color="000000" w:fill="FFFFFF"/>
            <w:noWrap/>
            <w:vAlign w:val="bottom"/>
            <w:hideMark/>
          </w:tcPr>
          <w:p w14:paraId="29BF291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49</w:t>
            </w:r>
          </w:p>
        </w:tc>
        <w:tc>
          <w:tcPr>
            <w:tcW w:w="489" w:type="pct"/>
            <w:tcBorders>
              <w:top w:val="nil"/>
              <w:left w:val="nil"/>
              <w:bottom w:val="single" w:sz="4" w:space="0" w:color="auto"/>
              <w:right w:val="single" w:sz="4" w:space="0" w:color="auto"/>
            </w:tcBorders>
            <w:shd w:val="clear" w:color="000000" w:fill="FFFFFF"/>
            <w:noWrap/>
            <w:vAlign w:val="bottom"/>
            <w:hideMark/>
          </w:tcPr>
          <w:p w14:paraId="2597B91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49</w:t>
            </w:r>
          </w:p>
        </w:tc>
      </w:tr>
      <w:tr w:rsidR="00D33029" w:rsidRPr="00D33029" w14:paraId="0F1942CC"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20A086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Nanortalik</w:t>
            </w:r>
          </w:p>
        </w:tc>
        <w:tc>
          <w:tcPr>
            <w:tcW w:w="492" w:type="pct"/>
            <w:tcBorders>
              <w:top w:val="nil"/>
              <w:left w:val="nil"/>
              <w:bottom w:val="single" w:sz="4" w:space="0" w:color="auto"/>
              <w:right w:val="single" w:sz="4" w:space="0" w:color="auto"/>
            </w:tcBorders>
            <w:shd w:val="clear" w:color="000000" w:fill="FFFFFF"/>
            <w:noWrap/>
            <w:vAlign w:val="bottom"/>
            <w:hideMark/>
          </w:tcPr>
          <w:p w14:paraId="35F10C8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17</w:t>
            </w:r>
          </w:p>
        </w:tc>
        <w:tc>
          <w:tcPr>
            <w:tcW w:w="492" w:type="pct"/>
            <w:tcBorders>
              <w:top w:val="nil"/>
              <w:left w:val="nil"/>
              <w:bottom w:val="single" w:sz="4" w:space="0" w:color="auto"/>
              <w:right w:val="single" w:sz="4" w:space="0" w:color="auto"/>
            </w:tcBorders>
            <w:shd w:val="clear" w:color="000000" w:fill="FFFFFF"/>
            <w:noWrap/>
            <w:vAlign w:val="bottom"/>
            <w:hideMark/>
          </w:tcPr>
          <w:p w14:paraId="7B7B020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34</w:t>
            </w:r>
          </w:p>
        </w:tc>
        <w:tc>
          <w:tcPr>
            <w:tcW w:w="492" w:type="pct"/>
            <w:tcBorders>
              <w:top w:val="nil"/>
              <w:left w:val="nil"/>
              <w:bottom w:val="single" w:sz="4" w:space="0" w:color="auto"/>
              <w:right w:val="single" w:sz="4" w:space="0" w:color="auto"/>
            </w:tcBorders>
            <w:shd w:val="clear" w:color="000000" w:fill="FFFFFF"/>
            <w:noWrap/>
            <w:vAlign w:val="bottom"/>
            <w:hideMark/>
          </w:tcPr>
          <w:p w14:paraId="3909454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50</w:t>
            </w:r>
          </w:p>
        </w:tc>
        <w:tc>
          <w:tcPr>
            <w:tcW w:w="492" w:type="pct"/>
            <w:tcBorders>
              <w:top w:val="nil"/>
              <w:left w:val="nil"/>
              <w:bottom w:val="single" w:sz="4" w:space="0" w:color="auto"/>
              <w:right w:val="single" w:sz="4" w:space="0" w:color="auto"/>
            </w:tcBorders>
            <w:shd w:val="clear" w:color="000000" w:fill="FFFFFF"/>
            <w:noWrap/>
            <w:vAlign w:val="bottom"/>
            <w:hideMark/>
          </w:tcPr>
          <w:p w14:paraId="33B33E9C"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53</w:t>
            </w:r>
          </w:p>
        </w:tc>
        <w:tc>
          <w:tcPr>
            <w:tcW w:w="492" w:type="pct"/>
            <w:tcBorders>
              <w:top w:val="nil"/>
              <w:left w:val="nil"/>
              <w:bottom w:val="single" w:sz="4" w:space="0" w:color="auto"/>
              <w:right w:val="single" w:sz="4" w:space="0" w:color="auto"/>
            </w:tcBorders>
            <w:shd w:val="clear" w:color="000000" w:fill="FFFFFF"/>
            <w:noWrap/>
            <w:vAlign w:val="bottom"/>
            <w:hideMark/>
          </w:tcPr>
          <w:p w14:paraId="7E75B8A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55</w:t>
            </w:r>
          </w:p>
        </w:tc>
        <w:tc>
          <w:tcPr>
            <w:tcW w:w="492" w:type="pct"/>
            <w:tcBorders>
              <w:top w:val="nil"/>
              <w:left w:val="nil"/>
              <w:bottom w:val="single" w:sz="4" w:space="0" w:color="auto"/>
              <w:right w:val="single" w:sz="4" w:space="0" w:color="auto"/>
            </w:tcBorders>
            <w:shd w:val="clear" w:color="000000" w:fill="FFFFFF"/>
            <w:noWrap/>
            <w:vAlign w:val="bottom"/>
            <w:hideMark/>
          </w:tcPr>
          <w:p w14:paraId="053960D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47</w:t>
            </w:r>
          </w:p>
        </w:tc>
        <w:tc>
          <w:tcPr>
            <w:tcW w:w="492" w:type="pct"/>
            <w:tcBorders>
              <w:top w:val="nil"/>
              <w:left w:val="nil"/>
              <w:bottom w:val="single" w:sz="4" w:space="0" w:color="auto"/>
              <w:right w:val="single" w:sz="4" w:space="0" w:color="auto"/>
            </w:tcBorders>
            <w:shd w:val="clear" w:color="000000" w:fill="FFFFFF"/>
            <w:noWrap/>
            <w:vAlign w:val="bottom"/>
            <w:hideMark/>
          </w:tcPr>
          <w:p w14:paraId="0544FC4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46</w:t>
            </w:r>
          </w:p>
        </w:tc>
        <w:tc>
          <w:tcPr>
            <w:tcW w:w="489" w:type="pct"/>
            <w:tcBorders>
              <w:top w:val="nil"/>
              <w:left w:val="nil"/>
              <w:bottom w:val="single" w:sz="4" w:space="0" w:color="auto"/>
              <w:right w:val="single" w:sz="4" w:space="0" w:color="auto"/>
            </w:tcBorders>
            <w:shd w:val="clear" w:color="000000" w:fill="FFFFFF"/>
            <w:noWrap/>
            <w:vAlign w:val="bottom"/>
            <w:hideMark/>
          </w:tcPr>
          <w:p w14:paraId="428F50B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49</w:t>
            </w:r>
          </w:p>
        </w:tc>
      </w:tr>
      <w:tr w:rsidR="00D33029" w:rsidRPr="00D33029" w14:paraId="4B43CFDA"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5724414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proofErr w:type="spellStart"/>
            <w:r w:rsidRPr="00D33029">
              <w:rPr>
                <w:rFonts w:ascii="Times New Roman" w:eastAsia="Times New Roman" w:hAnsi="Times New Roman" w:cs="Times New Roman"/>
                <w:color w:val="000000"/>
                <w:sz w:val="20"/>
                <w:szCs w:val="20"/>
                <w:lang w:eastAsia="da-DK"/>
              </w:rPr>
              <w:t>Narsaq</w:t>
            </w:r>
            <w:proofErr w:type="spellEnd"/>
          </w:p>
        </w:tc>
        <w:tc>
          <w:tcPr>
            <w:tcW w:w="492" w:type="pct"/>
            <w:tcBorders>
              <w:top w:val="nil"/>
              <w:left w:val="nil"/>
              <w:bottom w:val="single" w:sz="4" w:space="0" w:color="auto"/>
              <w:right w:val="single" w:sz="4" w:space="0" w:color="auto"/>
            </w:tcBorders>
            <w:shd w:val="clear" w:color="000000" w:fill="FFFFFF"/>
            <w:noWrap/>
            <w:vAlign w:val="bottom"/>
            <w:hideMark/>
          </w:tcPr>
          <w:p w14:paraId="24EA4C3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21</w:t>
            </w:r>
          </w:p>
        </w:tc>
        <w:tc>
          <w:tcPr>
            <w:tcW w:w="492" w:type="pct"/>
            <w:tcBorders>
              <w:top w:val="nil"/>
              <w:left w:val="nil"/>
              <w:bottom w:val="single" w:sz="4" w:space="0" w:color="auto"/>
              <w:right w:val="single" w:sz="4" w:space="0" w:color="auto"/>
            </w:tcBorders>
            <w:shd w:val="clear" w:color="000000" w:fill="FFFFFF"/>
            <w:noWrap/>
            <w:vAlign w:val="bottom"/>
            <w:hideMark/>
          </w:tcPr>
          <w:p w14:paraId="4B79BB2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w:t>
            </w:r>
          </w:p>
        </w:tc>
        <w:tc>
          <w:tcPr>
            <w:tcW w:w="492" w:type="pct"/>
            <w:tcBorders>
              <w:top w:val="nil"/>
              <w:left w:val="nil"/>
              <w:bottom w:val="single" w:sz="4" w:space="0" w:color="auto"/>
              <w:right w:val="single" w:sz="4" w:space="0" w:color="auto"/>
            </w:tcBorders>
            <w:shd w:val="clear" w:color="000000" w:fill="FFFFFF"/>
            <w:noWrap/>
            <w:vAlign w:val="bottom"/>
            <w:hideMark/>
          </w:tcPr>
          <w:p w14:paraId="180CDE3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w:t>
            </w:r>
          </w:p>
        </w:tc>
        <w:tc>
          <w:tcPr>
            <w:tcW w:w="492" w:type="pct"/>
            <w:tcBorders>
              <w:top w:val="nil"/>
              <w:left w:val="nil"/>
              <w:bottom w:val="single" w:sz="4" w:space="0" w:color="auto"/>
              <w:right w:val="single" w:sz="4" w:space="0" w:color="auto"/>
            </w:tcBorders>
            <w:shd w:val="clear" w:color="000000" w:fill="FFFFFF"/>
            <w:noWrap/>
            <w:vAlign w:val="bottom"/>
            <w:hideMark/>
          </w:tcPr>
          <w:p w14:paraId="40B4EBA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22</w:t>
            </w:r>
          </w:p>
        </w:tc>
        <w:tc>
          <w:tcPr>
            <w:tcW w:w="492" w:type="pct"/>
            <w:tcBorders>
              <w:top w:val="nil"/>
              <w:left w:val="nil"/>
              <w:bottom w:val="single" w:sz="4" w:space="0" w:color="auto"/>
              <w:right w:val="single" w:sz="4" w:space="0" w:color="auto"/>
            </w:tcBorders>
            <w:shd w:val="clear" w:color="000000" w:fill="FFFFFF"/>
            <w:noWrap/>
            <w:vAlign w:val="bottom"/>
            <w:hideMark/>
          </w:tcPr>
          <w:p w14:paraId="77C0FDB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25</w:t>
            </w:r>
          </w:p>
        </w:tc>
        <w:tc>
          <w:tcPr>
            <w:tcW w:w="492" w:type="pct"/>
            <w:tcBorders>
              <w:top w:val="nil"/>
              <w:left w:val="nil"/>
              <w:bottom w:val="single" w:sz="4" w:space="0" w:color="auto"/>
              <w:right w:val="single" w:sz="4" w:space="0" w:color="auto"/>
            </w:tcBorders>
            <w:shd w:val="clear" w:color="000000" w:fill="FFFFFF"/>
            <w:noWrap/>
            <w:vAlign w:val="bottom"/>
            <w:hideMark/>
          </w:tcPr>
          <w:p w14:paraId="41D2617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34</w:t>
            </w:r>
          </w:p>
        </w:tc>
        <w:tc>
          <w:tcPr>
            <w:tcW w:w="492" w:type="pct"/>
            <w:tcBorders>
              <w:top w:val="nil"/>
              <w:left w:val="nil"/>
              <w:bottom w:val="single" w:sz="4" w:space="0" w:color="auto"/>
              <w:right w:val="single" w:sz="4" w:space="0" w:color="auto"/>
            </w:tcBorders>
            <w:shd w:val="clear" w:color="000000" w:fill="FFFFFF"/>
            <w:noWrap/>
            <w:vAlign w:val="bottom"/>
            <w:hideMark/>
          </w:tcPr>
          <w:p w14:paraId="3EF137F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41</w:t>
            </w:r>
          </w:p>
        </w:tc>
        <w:tc>
          <w:tcPr>
            <w:tcW w:w="489" w:type="pct"/>
            <w:tcBorders>
              <w:top w:val="nil"/>
              <w:left w:val="nil"/>
              <w:bottom w:val="single" w:sz="4" w:space="0" w:color="auto"/>
              <w:right w:val="single" w:sz="4" w:space="0" w:color="auto"/>
            </w:tcBorders>
            <w:shd w:val="clear" w:color="000000" w:fill="FFFFFF"/>
            <w:noWrap/>
            <w:vAlign w:val="bottom"/>
            <w:hideMark/>
          </w:tcPr>
          <w:p w14:paraId="46FBF71C"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38</w:t>
            </w:r>
          </w:p>
        </w:tc>
      </w:tr>
      <w:tr w:rsidR="00D33029" w:rsidRPr="00D33029" w14:paraId="3A36CD71"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0389C08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Upernavik</w:t>
            </w:r>
          </w:p>
        </w:tc>
        <w:tc>
          <w:tcPr>
            <w:tcW w:w="492" w:type="pct"/>
            <w:tcBorders>
              <w:top w:val="nil"/>
              <w:left w:val="nil"/>
              <w:bottom w:val="single" w:sz="4" w:space="0" w:color="auto"/>
              <w:right w:val="single" w:sz="4" w:space="0" w:color="auto"/>
            </w:tcBorders>
            <w:shd w:val="clear" w:color="000000" w:fill="FFFFFF"/>
            <w:noWrap/>
            <w:vAlign w:val="bottom"/>
            <w:hideMark/>
          </w:tcPr>
          <w:p w14:paraId="56AAD45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w:t>
            </w:r>
          </w:p>
        </w:tc>
        <w:tc>
          <w:tcPr>
            <w:tcW w:w="492" w:type="pct"/>
            <w:tcBorders>
              <w:top w:val="nil"/>
              <w:left w:val="nil"/>
              <w:bottom w:val="single" w:sz="4" w:space="0" w:color="auto"/>
              <w:right w:val="single" w:sz="4" w:space="0" w:color="auto"/>
            </w:tcBorders>
            <w:shd w:val="clear" w:color="000000" w:fill="FFFFFF"/>
            <w:noWrap/>
            <w:vAlign w:val="bottom"/>
            <w:hideMark/>
          </w:tcPr>
          <w:p w14:paraId="72A06E9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w:t>
            </w:r>
          </w:p>
        </w:tc>
        <w:tc>
          <w:tcPr>
            <w:tcW w:w="492" w:type="pct"/>
            <w:tcBorders>
              <w:top w:val="nil"/>
              <w:left w:val="nil"/>
              <w:bottom w:val="single" w:sz="4" w:space="0" w:color="auto"/>
              <w:right w:val="single" w:sz="4" w:space="0" w:color="auto"/>
            </w:tcBorders>
            <w:shd w:val="clear" w:color="000000" w:fill="FFFFFF"/>
            <w:noWrap/>
            <w:vAlign w:val="bottom"/>
            <w:hideMark/>
          </w:tcPr>
          <w:p w14:paraId="0FBF42B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23</w:t>
            </w:r>
          </w:p>
        </w:tc>
        <w:tc>
          <w:tcPr>
            <w:tcW w:w="492" w:type="pct"/>
            <w:tcBorders>
              <w:top w:val="nil"/>
              <w:left w:val="nil"/>
              <w:bottom w:val="single" w:sz="4" w:space="0" w:color="auto"/>
              <w:right w:val="single" w:sz="4" w:space="0" w:color="auto"/>
            </w:tcBorders>
            <w:shd w:val="clear" w:color="000000" w:fill="FFFFFF"/>
            <w:noWrap/>
            <w:vAlign w:val="bottom"/>
            <w:hideMark/>
          </w:tcPr>
          <w:p w14:paraId="376E3DD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54</w:t>
            </w:r>
          </w:p>
        </w:tc>
        <w:tc>
          <w:tcPr>
            <w:tcW w:w="492" w:type="pct"/>
            <w:tcBorders>
              <w:top w:val="nil"/>
              <w:left w:val="nil"/>
              <w:bottom w:val="single" w:sz="4" w:space="0" w:color="auto"/>
              <w:right w:val="single" w:sz="4" w:space="0" w:color="auto"/>
            </w:tcBorders>
            <w:shd w:val="clear" w:color="000000" w:fill="FFFFFF"/>
            <w:noWrap/>
            <w:vAlign w:val="bottom"/>
            <w:hideMark/>
          </w:tcPr>
          <w:p w14:paraId="1B4659A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64</w:t>
            </w:r>
          </w:p>
        </w:tc>
        <w:tc>
          <w:tcPr>
            <w:tcW w:w="492" w:type="pct"/>
            <w:tcBorders>
              <w:top w:val="nil"/>
              <w:left w:val="nil"/>
              <w:bottom w:val="single" w:sz="4" w:space="0" w:color="auto"/>
              <w:right w:val="single" w:sz="4" w:space="0" w:color="auto"/>
            </w:tcBorders>
            <w:shd w:val="clear" w:color="000000" w:fill="FFFFFF"/>
            <w:noWrap/>
            <w:vAlign w:val="bottom"/>
            <w:hideMark/>
          </w:tcPr>
          <w:p w14:paraId="74E98C7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44</w:t>
            </w:r>
          </w:p>
        </w:tc>
        <w:tc>
          <w:tcPr>
            <w:tcW w:w="492" w:type="pct"/>
            <w:tcBorders>
              <w:top w:val="nil"/>
              <w:left w:val="nil"/>
              <w:bottom w:val="single" w:sz="4" w:space="0" w:color="auto"/>
              <w:right w:val="single" w:sz="4" w:space="0" w:color="auto"/>
            </w:tcBorders>
            <w:shd w:val="clear" w:color="000000" w:fill="FFFFFF"/>
            <w:noWrap/>
            <w:vAlign w:val="bottom"/>
            <w:hideMark/>
          </w:tcPr>
          <w:p w14:paraId="3EBEB1A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31</w:t>
            </w:r>
          </w:p>
        </w:tc>
        <w:tc>
          <w:tcPr>
            <w:tcW w:w="489" w:type="pct"/>
            <w:tcBorders>
              <w:top w:val="nil"/>
              <w:left w:val="nil"/>
              <w:bottom w:val="single" w:sz="4" w:space="0" w:color="auto"/>
              <w:right w:val="single" w:sz="4" w:space="0" w:color="auto"/>
            </w:tcBorders>
            <w:shd w:val="clear" w:color="000000" w:fill="FFFFFF"/>
            <w:noWrap/>
            <w:vAlign w:val="bottom"/>
            <w:hideMark/>
          </w:tcPr>
          <w:p w14:paraId="34B260C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32</w:t>
            </w:r>
          </w:p>
        </w:tc>
      </w:tr>
      <w:tr w:rsidR="00D33029" w:rsidRPr="00D33029" w14:paraId="3F3CF24E"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3742F2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Ittoqqortoormiit</w:t>
            </w:r>
          </w:p>
        </w:tc>
        <w:tc>
          <w:tcPr>
            <w:tcW w:w="492" w:type="pct"/>
            <w:tcBorders>
              <w:top w:val="nil"/>
              <w:left w:val="nil"/>
              <w:bottom w:val="single" w:sz="4" w:space="0" w:color="auto"/>
              <w:right w:val="single" w:sz="4" w:space="0" w:color="auto"/>
            </w:tcBorders>
            <w:shd w:val="clear" w:color="000000" w:fill="FFFFFF"/>
            <w:noWrap/>
            <w:vAlign w:val="bottom"/>
            <w:hideMark/>
          </w:tcPr>
          <w:p w14:paraId="7B41F9D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2D1A343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6152526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2E31637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w:t>
            </w:r>
          </w:p>
        </w:tc>
        <w:tc>
          <w:tcPr>
            <w:tcW w:w="492" w:type="pct"/>
            <w:tcBorders>
              <w:top w:val="nil"/>
              <w:left w:val="nil"/>
              <w:bottom w:val="single" w:sz="4" w:space="0" w:color="auto"/>
              <w:right w:val="single" w:sz="4" w:space="0" w:color="auto"/>
            </w:tcBorders>
            <w:shd w:val="clear" w:color="000000" w:fill="FFFFFF"/>
            <w:noWrap/>
            <w:vAlign w:val="bottom"/>
            <w:hideMark/>
          </w:tcPr>
          <w:p w14:paraId="37C1785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1433611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1220E9B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89" w:type="pct"/>
            <w:tcBorders>
              <w:top w:val="nil"/>
              <w:left w:val="nil"/>
              <w:bottom w:val="single" w:sz="4" w:space="0" w:color="auto"/>
              <w:right w:val="single" w:sz="4" w:space="0" w:color="auto"/>
            </w:tcBorders>
            <w:shd w:val="clear" w:color="000000" w:fill="FFFFFF"/>
            <w:noWrap/>
            <w:vAlign w:val="bottom"/>
            <w:hideMark/>
          </w:tcPr>
          <w:p w14:paraId="13B26E4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r>
      <w:tr w:rsidR="00D33029" w:rsidRPr="00D33029" w14:paraId="4B9865AE"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20287EB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Ikke oplyst</w:t>
            </w:r>
          </w:p>
        </w:tc>
        <w:tc>
          <w:tcPr>
            <w:tcW w:w="492" w:type="pct"/>
            <w:tcBorders>
              <w:top w:val="nil"/>
              <w:left w:val="nil"/>
              <w:bottom w:val="single" w:sz="4" w:space="0" w:color="auto"/>
              <w:right w:val="single" w:sz="4" w:space="0" w:color="auto"/>
            </w:tcBorders>
            <w:shd w:val="clear" w:color="000000" w:fill="FFFFFF"/>
            <w:noWrap/>
            <w:vAlign w:val="bottom"/>
            <w:hideMark/>
          </w:tcPr>
          <w:p w14:paraId="4C9301C9"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30</w:t>
            </w:r>
          </w:p>
        </w:tc>
        <w:tc>
          <w:tcPr>
            <w:tcW w:w="492" w:type="pct"/>
            <w:tcBorders>
              <w:top w:val="nil"/>
              <w:left w:val="nil"/>
              <w:bottom w:val="single" w:sz="4" w:space="0" w:color="auto"/>
              <w:right w:val="single" w:sz="4" w:space="0" w:color="auto"/>
            </w:tcBorders>
            <w:shd w:val="clear" w:color="000000" w:fill="FFFFFF"/>
            <w:noWrap/>
            <w:vAlign w:val="bottom"/>
            <w:hideMark/>
          </w:tcPr>
          <w:p w14:paraId="3EB84FC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33</w:t>
            </w:r>
          </w:p>
        </w:tc>
        <w:tc>
          <w:tcPr>
            <w:tcW w:w="492" w:type="pct"/>
            <w:tcBorders>
              <w:top w:val="nil"/>
              <w:left w:val="nil"/>
              <w:bottom w:val="single" w:sz="4" w:space="0" w:color="auto"/>
              <w:right w:val="single" w:sz="4" w:space="0" w:color="auto"/>
            </w:tcBorders>
            <w:shd w:val="clear" w:color="000000" w:fill="FFFFFF"/>
            <w:noWrap/>
            <w:vAlign w:val="bottom"/>
            <w:hideMark/>
          </w:tcPr>
          <w:p w14:paraId="3FD9D51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31</w:t>
            </w:r>
          </w:p>
        </w:tc>
        <w:tc>
          <w:tcPr>
            <w:tcW w:w="492" w:type="pct"/>
            <w:tcBorders>
              <w:top w:val="nil"/>
              <w:left w:val="nil"/>
              <w:bottom w:val="single" w:sz="4" w:space="0" w:color="auto"/>
              <w:right w:val="single" w:sz="4" w:space="0" w:color="auto"/>
            </w:tcBorders>
            <w:shd w:val="clear" w:color="000000" w:fill="FFFFFF"/>
            <w:noWrap/>
            <w:vAlign w:val="bottom"/>
            <w:hideMark/>
          </w:tcPr>
          <w:p w14:paraId="22CFE17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36</w:t>
            </w:r>
          </w:p>
        </w:tc>
        <w:tc>
          <w:tcPr>
            <w:tcW w:w="492" w:type="pct"/>
            <w:tcBorders>
              <w:top w:val="nil"/>
              <w:left w:val="nil"/>
              <w:bottom w:val="single" w:sz="4" w:space="0" w:color="auto"/>
              <w:right w:val="single" w:sz="4" w:space="0" w:color="auto"/>
            </w:tcBorders>
            <w:shd w:val="clear" w:color="000000" w:fill="FFFFFF"/>
            <w:noWrap/>
            <w:vAlign w:val="bottom"/>
            <w:hideMark/>
          </w:tcPr>
          <w:p w14:paraId="1C09687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43</w:t>
            </w:r>
          </w:p>
        </w:tc>
        <w:tc>
          <w:tcPr>
            <w:tcW w:w="492" w:type="pct"/>
            <w:tcBorders>
              <w:top w:val="nil"/>
              <w:left w:val="nil"/>
              <w:bottom w:val="single" w:sz="4" w:space="0" w:color="auto"/>
              <w:right w:val="single" w:sz="4" w:space="0" w:color="auto"/>
            </w:tcBorders>
            <w:shd w:val="clear" w:color="000000" w:fill="FFFFFF"/>
            <w:noWrap/>
            <w:vAlign w:val="bottom"/>
            <w:hideMark/>
          </w:tcPr>
          <w:p w14:paraId="2FF9C66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30</w:t>
            </w:r>
          </w:p>
        </w:tc>
        <w:tc>
          <w:tcPr>
            <w:tcW w:w="492" w:type="pct"/>
            <w:tcBorders>
              <w:top w:val="nil"/>
              <w:left w:val="nil"/>
              <w:bottom w:val="single" w:sz="4" w:space="0" w:color="auto"/>
              <w:right w:val="single" w:sz="4" w:space="0" w:color="auto"/>
            </w:tcBorders>
            <w:shd w:val="clear" w:color="000000" w:fill="FFFFFF"/>
            <w:noWrap/>
            <w:vAlign w:val="bottom"/>
            <w:hideMark/>
          </w:tcPr>
          <w:p w14:paraId="1C3DD64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32</w:t>
            </w:r>
          </w:p>
        </w:tc>
        <w:tc>
          <w:tcPr>
            <w:tcW w:w="489" w:type="pct"/>
            <w:tcBorders>
              <w:top w:val="nil"/>
              <w:left w:val="nil"/>
              <w:bottom w:val="single" w:sz="4" w:space="0" w:color="auto"/>
              <w:right w:val="single" w:sz="4" w:space="0" w:color="auto"/>
            </w:tcBorders>
            <w:shd w:val="clear" w:color="000000" w:fill="FFFFFF"/>
            <w:noWrap/>
            <w:vAlign w:val="bottom"/>
            <w:hideMark/>
          </w:tcPr>
          <w:p w14:paraId="0B515E39"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39</w:t>
            </w:r>
          </w:p>
        </w:tc>
      </w:tr>
      <w:tr w:rsidR="00D33029" w:rsidRPr="00D33029" w14:paraId="1BBAAD55"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3081AE29"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I alt</w:t>
            </w:r>
          </w:p>
        </w:tc>
        <w:tc>
          <w:tcPr>
            <w:tcW w:w="492" w:type="pct"/>
            <w:tcBorders>
              <w:top w:val="nil"/>
              <w:left w:val="nil"/>
              <w:bottom w:val="single" w:sz="4" w:space="0" w:color="auto"/>
              <w:right w:val="single" w:sz="4" w:space="0" w:color="auto"/>
            </w:tcBorders>
            <w:shd w:val="clear" w:color="000000" w:fill="FFFFFF"/>
            <w:noWrap/>
            <w:vAlign w:val="bottom"/>
            <w:hideMark/>
          </w:tcPr>
          <w:p w14:paraId="7A032E96"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1.072</w:t>
            </w:r>
          </w:p>
        </w:tc>
        <w:tc>
          <w:tcPr>
            <w:tcW w:w="492" w:type="pct"/>
            <w:tcBorders>
              <w:top w:val="nil"/>
              <w:left w:val="nil"/>
              <w:bottom w:val="single" w:sz="4" w:space="0" w:color="auto"/>
              <w:right w:val="single" w:sz="4" w:space="0" w:color="auto"/>
            </w:tcBorders>
            <w:shd w:val="clear" w:color="000000" w:fill="FFFFFF"/>
            <w:noWrap/>
            <w:vAlign w:val="bottom"/>
            <w:hideMark/>
          </w:tcPr>
          <w:p w14:paraId="671F2C92"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1.302</w:t>
            </w:r>
          </w:p>
        </w:tc>
        <w:tc>
          <w:tcPr>
            <w:tcW w:w="492" w:type="pct"/>
            <w:tcBorders>
              <w:top w:val="nil"/>
              <w:left w:val="nil"/>
              <w:bottom w:val="single" w:sz="4" w:space="0" w:color="auto"/>
              <w:right w:val="single" w:sz="4" w:space="0" w:color="auto"/>
            </w:tcBorders>
            <w:shd w:val="clear" w:color="000000" w:fill="FFFFFF"/>
            <w:noWrap/>
            <w:vAlign w:val="bottom"/>
            <w:hideMark/>
          </w:tcPr>
          <w:p w14:paraId="31FDD573"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1.549</w:t>
            </w:r>
          </w:p>
        </w:tc>
        <w:tc>
          <w:tcPr>
            <w:tcW w:w="492" w:type="pct"/>
            <w:tcBorders>
              <w:top w:val="nil"/>
              <w:left w:val="nil"/>
              <w:bottom w:val="single" w:sz="4" w:space="0" w:color="auto"/>
              <w:right w:val="single" w:sz="4" w:space="0" w:color="auto"/>
            </w:tcBorders>
            <w:shd w:val="clear" w:color="000000" w:fill="FFFFFF"/>
            <w:noWrap/>
            <w:vAlign w:val="bottom"/>
            <w:hideMark/>
          </w:tcPr>
          <w:p w14:paraId="71F272A4"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1.743</w:t>
            </w:r>
          </w:p>
        </w:tc>
        <w:tc>
          <w:tcPr>
            <w:tcW w:w="492" w:type="pct"/>
            <w:tcBorders>
              <w:top w:val="nil"/>
              <w:left w:val="nil"/>
              <w:bottom w:val="single" w:sz="4" w:space="0" w:color="auto"/>
              <w:right w:val="single" w:sz="4" w:space="0" w:color="auto"/>
            </w:tcBorders>
            <w:shd w:val="clear" w:color="000000" w:fill="FFFFFF"/>
            <w:noWrap/>
            <w:vAlign w:val="bottom"/>
            <w:hideMark/>
          </w:tcPr>
          <w:p w14:paraId="7D2503EC"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1.911</w:t>
            </w:r>
          </w:p>
        </w:tc>
        <w:tc>
          <w:tcPr>
            <w:tcW w:w="492" w:type="pct"/>
            <w:tcBorders>
              <w:top w:val="nil"/>
              <w:left w:val="nil"/>
              <w:bottom w:val="single" w:sz="4" w:space="0" w:color="auto"/>
              <w:right w:val="single" w:sz="4" w:space="0" w:color="auto"/>
            </w:tcBorders>
            <w:shd w:val="clear" w:color="000000" w:fill="FFFFFF"/>
            <w:noWrap/>
            <w:vAlign w:val="bottom"/>
            <w:hideMark/>
          </w:tcPr>
          <w:p w14:paraId="101468CD"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1.674</w:t>
            </w:r>
          </w:p>
        </w:tc>
        <w:tc>
          <w:tcPr>
            <w:tcW w:w="492" w:type="pct"/>
            <w:tcBorders>
              <w:top w:val="nil"/>
              <w:left w:val="nil"/>
              <w:bottom w:val="single" w:sz="4" w:space="0" w:color="auto"/>
              <w:right w:val="single" w:sz="4" w:space="0" w:color="auto"/>
            </w:tcBorders>
            <w:shd w:val="clear" w:color="000000" w:fill="FFFFFF"/>
            <w:noWrap/>
            <w:vAlign w:val="bottom"/>
            <w:hideMark/>
          </w:tcPr>
          <w:p w14:paraId="7A0541E2"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1.706</w:t>
            </w:r>
          </w:p>
        </w:tc>
        <w:tc>
          <w:tcPr>
            <w:tcW w:w="489" w:type="pct"/>
            <w:tcBorders>
              <w:top w:val="nil"/>
              <w:left w:val="nil"/>
              <w:bottom w:val="single" w:sz="4" w:space="0" w:color="auto"/>
              <w:right w:val="single" w:sz="4" w:space="0" w:color="auto"/>
            </w:tcBorders>
            <w:shd w:val="clear" w:color="000000" w:fill="FFFFFF"/>
            <w:noWrap/>
            <w:vAlign w:val="bottom"/>
            <w:hideMark/>
          </w:tcPr>
          <w:p w14:paraId="36BD6AE5"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1.756</w:t>
            </w:r>
          </w:p>
        </w:tc>
      </w:tr>
    </w:tbl>
    <w:p w14:paraId="63985D0F" w14:textId="77777777" w:rsidR="00352063" w:rsidRPr="008A6C68" w:rsidRDefault="00D33029" w:rsidP="00732A54">
      <w:pPr>
        <w:spacing w:after="0" w:line="276" w:lineRule="auto"/>
        <w:jc w:val="both"/>
        <w:rPr>
          <w:rFonts w:ascii="Times New Roman" w:hAnsi="Times New Roman" w:cs="Times New Roman"/>
          <w:color w:val="000000" w:themeColor="text1"/>
          <w:sz w:val="20"/>
          <w:szCs w:val="20"/>
        </w:rPr>
      </w:pPr>
      <w:r w:rsidRPr="008A6C68">
        <w:rPr>
          <w:rFonts w:ascii="Times New Roman" w:hAnsi="Times New Roman" w:cs="Times New Roman"/>
          <w:color w:val="000000" w:themeColor="text1"/>
          <w:sz w:val="20"/>
          <w:szCs w:val="20"/>
        </w:rPr>
        <w:t>Kilde: APNN.</w:t>
      </w:r>
    </w:p>
    <w:p w14:paraId="6736F7B7" w14:textId="77777777" w:rsidR="008A6C68" w:rsidRDefault="008A6C68" w:rsidP="00732A54">
      <w:pPr>
        <w:spacing w:after="0" w:line="276" w:lineRule="auto"/>
        <w:jc w:val="both"/>
        <w:rPr>
          <w:rFonts w:ascii="Times New Roman" w:hAnsi="Times New Roman" w:cs="Times New Roman"/>
          <w:color w:val="000000" w:themeColor="text1"/>
        </w:rPr>
      </w:pPr>
    </w:p>
    <w:p w14:paraId="42CA1D91" w14:textId="6FD5715A" w:rsidR="008A6C68" w:rsidRDefault="008A6C68"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Figur 1 viser udviklingen i antal fartøjer og joller i det kystnære torskefiskeri i perioden 2013 til 2020. Figuren viser at antallet af fartøjer i den kystnære torskeflåde har ligget relativ konstant i hele perioden. Det årlige antal fartøjer har varieret fra 158 til 181. Antallet af aktive joller har omvendt steget en del. Antallet af </w:t>
      </w:r>
      <w:r w:rsidR="00166D4A">
        <w:rPr>
          <w:rFonts w:ascii="Times New Roman" w:hAnsi="Times New Roman" w:cs="Times New Roman"/>
          <w:color w:val="000000" w:themeColor="text1"/>
        </w:rPr>
        <w:t xml:space="preserve">licenser der har indhandlet fra en </w:t>
      </w:r>
      <w:r>
        <w:rPr>
          <w:rFonts w:ascii="Times New Roman" w:hAnsi="Times New Roman" w:cs="Times New Roman"/>
          <w:color w:val="000000" w:themeColor="text1"/>
        </w:rPr>
        <w:t xml:space="preserve">jolle var på 748 i 2013 og </w:t>
      </w:r>
      <w:r w:rsidR="00166D4A">
        <w:rPr>
          <w:rFonts w:ascii="Times New Roman" w:hAnsi="Times New Roman" w:cs="Times New Roman"/>
          <w:color w:val="000000" w:themeColor="text1"/>
        </w:rPr>
        <w:t xml:space="preserve">er </w:t>
      </w:r>
      <w:r>
        <w:rPr>
          <w:rFonts w:ascii="Times New Roman" w:hAnsi="Times New Roman" w:cs="Times New Roman"/>
          <w:color w:val="000000" w:themeColor="text1"/>
        </w:rPr>
        <w:t>steget til 1.139 i 2018 svarende til en stigning på 391 jolle</w:t>
      </w:r>
      <w:r w:rsidR="00166D4A">
        <w:rPr>
          <w:rFonts w:ascii="Times New Roman" w:hAnsi="Times New Roman" w:cs="Times New Roman"/>
          <w:color w:val="000000" w:themeColor="text1"/>
        </w:rPr>
        <w:t>r</w:t>
      </w:r>
      <w:r>
        <w:rPr>
          <w:rFonts w:ascii="Times New Roman" w:hAnsi="Times New Roman" w:cs="Times New Roman"/>
          <w:color w:val="000000" w:themeColor="text1"/>
        </w:rPr>
        <w:t>. Det er en betydelige stigning i fangstkapaciteten. Antallet af</w:t>
      </w:r>
      <w:r w:rsidR="00166D4A">
        <w:rPr>
          <w:rFonts w:ascii="Times New Roman" w:hAnsi="Times New Roman" w:cs="Times New Roman"/>
          <w:color w:val="000000" w:themeColor="text1"/>
        </w:rPr>
        <w:t xml:space="preserve"> licenser der har indhandlet torsk fra en</w:t>
      </w:r>
      <w:r>
        <w:rPr>
          <w:rFonts w:ascii="Times New Roman" w:hAnsi="Times New Roman" w:cs="Times New Roman"/>
          <w:color w:val="000000" w:themeColor="text1"/>
        </w:rPr>
        <w:t xml:space="preserve"> jolle har været svagt faldende i 2019 og 2020. </w:t>
      </w:r>
    </w:p>
    <w:p w14:paraId="5EDD27B4" w14:textId="77777777" w:rsidR="008A6C68" w:rsidRDefault="008A6C68" w:rsidP="00732A54">
      <w:pPr>
        <w:spacing w:after="0" w:line="276" w:lineRule="auto"/>
        <w:jc w:val="both"/>
        <w:rPr>
          <w:rFonts w:ascii="Times New Roman" w:hAnsi="Times New Roman" w:cs="Times New Roman"/>
          <w:color w:val="000000" w:themeColor="text1"/>
        </w:rPr>
      </w:pPr>
    </w:p>
    <w:p w14:paraId="65491109" w14:textId="77777777" w:rsidR="008A6C68" w:rsidRDefault="008A6C68" w:rsidP="00732A54">
      <w:pPr>
        <w:spacing w:after="0" w:line="276" w:lineRule="auto"/>
        <w:jc w:val="both"/>
        <w:rPr>
          <w:rFonts w:ascii="Times New Roman" w:hAnsi="Times New Roman" w:cs="Times New Roman"/>
          <w:color w:val="000000" w:themeColor="text1"/>
        </w:rPr>
      </w:pPr>
    </w:p>
    <w:p w14:paraId="3F1F6EA5" w14:textId="77777777" w:rsidR="008A6C68" w:rsidRDefault="008A6C68" w:rsidP="00732A54">
      <w:pPr>
        <w:spacing w:after="0" w:line="276" w:lineRule="auto"/>
        <w:jc w:val="both"/>
        <w:rPr>
          <w:rFonts w:ascii="Times New Roman" w:hAnsi="Times New Roman" w:cs="Times New Roman"/>
          <w:color w:val="000000" w:themeColor="text1"/>
        </w:rPr>
      </w:pPr>
    </w:p>
    <w:p w14:paraId="33E48AC1" w14:textId="77777777" w:rsidR="008A6C68" w:rsidRDefault="008A6C68" w:rsidP="00732A54">
      <w:pPr>
        <w:spacing w:after="0" w:line="276" w:lineRule="auto"/>
        <w:jc w:val="both"/>
        <w:rPr>
          <w:rFonts w:ascii="Times New Roman" w:hAnsi="Times New Roman" w:cs="Times New Roman"/>
          <w:color w:val="000000" w:themeColor="text1"/>
        </w:rPr>
      </w:pPr>
    </w:p>
    <w:p w14:paraId="61ABEDA5" w14:textId="77777777" w:rsidR="008A6C68" w:rsidRDefault="008A6C68" w:rsidP="00732A54">
      <w:pPr>
        <w:spacing w:after="0" w:line="276" w:lineRule="auto"/>
        <w:jc w:val="both"/>
        <w:rPr>
          <w:rFonts w:ascii="Times New Roman" w:hAnsi="Times New Roman" w:cs="Times New Roman"/>
          <w:color w:val="000000" w:themeColor="text1"/>
        </w:rPr>
      </w:pPr>
    </w:p>
    <w:p w14:paraId="1BC8C37C" w14:textId="77777777" w:rsidR="008A6C68" w:rsidRDefault="008A6C68" w:rsidP="00732A54">
      <w:pPr>
        <w:spacing w:after="0" w:line="276" w:lineRule="auto"/>
        <w:jc w:val="both"/>
        <w:rPr>
          <w:rFonts w:ascii="Times New Roman" w:hAnsi="Times New Roman" w:cs="Times New Roman"/>
          <w:color w:val="000000" w:themeColor="text1"/>
        </w:rPr>
      </w:pPr>
    </w:p>
    <w:p w14:paraId="00003F26" w14:textId="77777777" w:rsidR="008A6C68" w:rsidRDefault="008A6C68" w:rsidP="00732A54">
      <w:pPr>
        <w:spacing w:after="0" w:line="276" w:lineRule="auto"/>
        <w:jc w:val="both"/>
        <w:rPr>
          <w:rFonts w:ascii="Times New Roman" w:hAnsi="Times New Roman" w:cs="Times New Roman"/>
          <w:color w:val="000000" w:themeColor="text1"/>
        </w:rPr>
      </w:pPr>
    </w:p>
    <w:p w14:paraId="248332C7" w14:textId="77777777" w:rsidR="008A6C68" w:rsidRDefault="008A6C68" w:rsidP="00732A54">
      <w:pPr>
        <w:spacing w:after="0" w:line="276" w:lineRule="auto"/>
        <w:jc w:val="both"/>
        <w:rPr>
          <w:rFonts w:ascii="Times New Roman" w:hAnsi="Times New Roman" w:cs="Times New Roman"/>
          <w:color w:val="000000" w:themeColor="text1"/>
        </w:rPr>
      </w:pPr>
    </w:p>
    <w:p w14:paraId="583FC8F2" w14:textId="77777777" w:rsidR="008A6C68" w:rsidRDefault="008A6C68" w:rsidP="00732A54">
      <w:pPr>
        <w:spacing w:after="0" w:line="276" w:lineRule="auto"/>
        <w:jc w:val="both"/>
        <w:rPr>
          <w:rFonts w:ascii="Times New Roman" w:hAnsi="Times New Roman" w:cs="Times New Roman"/>
          <w:color w:val="000000" w:themeColor="text1"/>
        </w:rPr>
      </w:pPr>
    </w:p>
    <w:p w14:paraId="220CCC93" w14:textId="77777777" w:rsidR="008A6C68" w:rsidRDefault="008A6C68" w:rsidP="00732A54">
      <w:pPr>
        <w:spacing w:after="0" w:line="276" w:lineRule="auto"/>
        <w:jc w:val="both"/>
        <w:rPr>
          <w:rFonts w:ascii="Times New Roman" w:hAnsi="Times New Roman" w:cs="Times New Roman"/>
          <w:color w:val="000000" w:themeColor="text1"/>
        </w:rPr>
      </w:pPr>
    </w:p>
    <w:p w14:paraId="6010E304" w14:textId="77777777" w:rsidR="008A6C68" w:rsidRDefault="008A6C68" w:rsidP="00732A54">
      <w:pPr>
        <w:spacing w:after="0" w:line="276" w:lineRule="auto"/>
        <w:jc w:val="both"/>
        <w:rPr>
          <w:rFonts w:ascii="Times New Roman" w:hAnsi="Times New Roman" w:cs="Times New Roman"/>
          <w:color w:val="000000" w:themeColor="text1"/>
        </w:rPr>
      </w:pPr>
    </w:p>
    <w:p w14:paraId="02E1F277" w14:textId="77777777" w:rsidR="008A6C68" w:rsidRDefault="008A6C68" w:rsidP="00732A54">
      <w:pPr>
        <w:spacing w:after="0" w:line="276" w:lineRule="auto"/>
        <w:jc w:val="both"/>
        <w:rPr>
          <w:rFonts w:ascii="Times New Roman" w:hAnsi="Times New Roman" w:cs="Times New Roman"/>
          <w:color w:val="000000" w:themeColor="text1"/>
        </w:rPr>
      </w:pPr>
    </w:p>
    <w:p w14:paraId="311F62D3" w14:textId="77777777" w:rsidR="008A6C68" w:rsidRDefault="008A6C68" w:rsidP="00732A54">
      <w:pPr>
        <w:spacing w:after="0" w:line="276" w:lineRule="auto"/>
        <w:jc w:val="both"/>
        <w:rPr>
          <w:rFonts w:ascii="Times New Roman" w:hAnsi="Times New Roman" w:cs="Times New Roman"/>
          <w:color w:val="000000" w:themeColor="text1"/>
        </w:rPr>
      </w:pPr>
    </w:p>
    <w:p w14:paraId="1C1EF6D9" w14:textId="77777777" w:rsidR="008A6C68" w:rsidRDefault="008A6C68" w:rsidP="00732A54">
      <w:pPr>
        <w:spacing w:after="0" w:line="276" w:lineRule="auto"/>
        <w:jc w:val="both"/>
        <w:rPr>
          <w:rFonts w:ascii="Times New Roman" w:hAnsi="Times New Roman" w:cs="Times New Roman"/>
          <w:color w:val="000000" w:themeColor="text1"/>
        </w:rPr>
      </w:pPr>
    </w:p>
    <w:p w14:paraId="6AF0A42B" w14:textId="77777777" w:rsidR="008A6C68" w:rsidRDefault="008A6C68" w:rsidP="00732A54">
      <w:pPr>
        <w:spacing w:after="0" w:line="276" w:lineRule="auto"/>
        <w:jc w:val="both"/>
        <w:rPr>
          <w:rFonts w:ascii="Times New Roman" w:hAnsi="Times New Roman" w:cs="Times New Roman"/>
          <w:color w:val="000000" w:themeColor="text1"/>
        </w:rPr>
      </w:pPr>
    </w:p>
    <w:p w14:paraId="2CD6EE73" w14:textId="77777777" w:rsidR="008A6C68" w:rsidRDefault="008A6C68" w:rsidP="00732A54">
      <w:pPr>
        <w:spacing w:after="0" w:line="276" w:lineRule="auto"/>
        <w:jc w:val="both"/>
        <w:rPr>
          <w:rFonts w:ascii="Times New Roman" w:hAnsi="Times New Roman" w:cs="Times New Roman"/>
          <w:color w:val="000000" w:themeColor="text1"/>
        </w:rPr>
      </w:pPr>
    </w:p>
    <w:p w14:paraId="4C8669C0" w14:textId="77777777" w:rsidR="008A6C68" w:rsidRDefault="008A6C68" w:rsidP="00732A54">
      <w:pPr>
        <w:spacing w:after="0" w:line="276" w:lineRule="auto"/>
        <w:jc w:val="both"/>
        <w:rPr>
          <w:rFonts w:ascii="Times New Roman" w:hAnsi="Times New Roman" w:cs="Times New Roman"/>
          <w:color w:val="000000" w:themeColor="text1"/>
        </w:rPr>
      </w:pPr>
    </w:p>
    <w:p w14:paraId="4D1ADB59" w14:textId="77777777" w:rsidR="008A6C68" w:rsidRDefault="008A6C68" w:rsidP="00732A54">
      <w:pPr>
        <w:spacing w:after="0" w:line="276" w:lineRule="auto"/>
        <w:jc w:val="both"/>
        <w:rPr>
          <w:rFonts w:ascii="Times New Roman" w:hAnsi="Times New Roman" w:cs="Times New Roman"/>
        </w:rPr>
      </w:pPr>
      <w:r>
        <w:rPr>
          <w:rFonts w:ascii="Times New Roman" w:hAnsi="Times New Roman" w:cs="Times New Roman"/>
        </w:rPr>
        <w:lastRenderedPageBreak/>
        <w:t>Figur 1: Udviklingen i den kystnære torskeflåde, 2013-2020.</w:t>
      </w:r>
    </w:p>
    <w:p w14:paraId="1A5DCA0A" w14:textId="77777777" w:rsidR="008A6C68" w:rsidRDefault="008A6C68" w:rsidP="00732A54">
      <w:pPr>
        <w:spacing w:after="0" w:line="276" w:lineRule="auto"/>
        <w:jc w:val="both"/>
        <w:rPr>
          <w:rFonts w:ascii="Times New Roman" w:hAnsi="Times New Roman" w:cs="Times New Roman"/>
          <w:color w:val="000000" w:themeColor="text1"/>
        </w:rPr>
      </w:pPr>
    </w:p>
    <w:p w14:paraId="1B1C99E8" w14:textId="77777777" w:rsidR="00F6440E" w:rsidRPr="008A6FF3" w:rsidRDefault="008A6C68" w:rsidP="00732A54">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795890A7" wp14:editId="55B24230">
            <wp:extent cx="6038850" cy="3571875"/>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491C91" w14:textId="77777777" w:rsidR="008A6C68" w:rsidRPr="008A6C68" w:rsidRDefault="008A6C68" w:rsidP="00732A54">
      <w:pPr>
        <w:spacing w:after="0" w:line="276" w:lineRule="auto"/>
        <w:jc w:val="both"/>
        <w:rPr>
          <w:rFonts w:ascii="Times New Roman" w:hAnsi="Times New Roman" w:cs="Times New Roman"/>
          <w:color w:val="000000" w:themeColor="text1"/>
          <w:sz w:val="20"/>
          <w:szCs w:val="20"/>
        </w:rPr>
      </w:pPr>
      <w:r w:rsidRPr="008A6C68">
        <w:rPr>
          <w:rFonts w:ascii="Times New Roman" w:hAnsi="Times New Roman" w:cs="Times New Roman"/>
          <w:color w:val="000000" w:themeColor="text1"/>
          <w:sz w:val="20"/>
          <w:szCs w:val="20"/>
        </w:rPr>
        <w:t>Kilde: Grønlands Statistik.</w:t>
      </w:r>
    </w:p>
    <w:p w14:paraId="16D9C4DD" w14:textId="77777777" w:rsidR="00FC1521" w:rsidRDefault="00FC1521" w:rsidP="00732A54">
      <w:pPr>
        <w:spacing w:after="0" w:line="276" w:lineRule="auto"/>
        <w:jc w:val="both"/>
        <w:rPr>
          <w:rFonts w:ascii="Times New Roman" w:hAnsi="Times New Roman" w:cs="Times New Roman"/>
          <w:color w:val="000000" w:themeColor="text1"/>
        </w:rPr>
      </w:pPr>
    </w:p>
    <w:p w14:paraId="3B621220" w14:textId="77777777" w:rsidR="00446FC3" w:rsidRDefault="00446FC3"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Figur 2 viser at fartøjerne som anvendes i det kystnære torskefiskeri er relativ gamle. I 2020 var det ca. 58 pct. af fartøjer der var over 20 år og ca. 40 pct. som var over 30 år.</w:t>
      </w:r>
    </w:p>
    <w:p w14:paraId="3C5E262C" w14:textId="77777777" w:rsidR="00446FC3" w:rsidRDefault="00446FC3" w:rsidP="00732A54">
      <w:pPr>
        <w:spacing w:after="0" w:line="276" w:lineRule="auto"/>
        <w:jc w:val="both"/>
        <w:rPr>
          <w:rFonts w:ascii="Times New Roman" w:hAnsi="Times New Roman" w:cs="Times New Roman"/>
          <w:color w:val="000000" w:themeColor="text1"/>
        </w:rPr>
      </w:pPr>
    </w:p>
    <w:p w14:paraId="02EB49F1" w14:textId="77777777" w:rsidR="00FC1521" w:rsidRDefault="00FC1521"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Figur 2: Fartøjernes alder i 2020 fordelt på aldersgrupper.</w:t>
      </w:r>
    </w:p>
    <w:p w14:paraId="178061DE" w14:textId="77777777" w:rsidR="008A6C68" w:rsidRDefault="00FC1521" w:rsidP="00732A54">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32A21E74" wp14:editId="10771B04">
            <wp:extent cx="6120130" cy="33909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3747C9" w14:textId="77777777" w:rsidR="008A6C68" w:rsidRPr="00446FC3" w:rsidRDefault="00446FC3" w:rsidP="00732A54">
      <w:pPr>
        <w:spacing w:after="0" w:line="276" w:lineRule="auto"/>
        <w:jc w:val="both"/>
        <w:rPr>
          <w:rFonts w:ascii="Times New Roman" w:hAnsi="Times New Roman" w:cs="Times New Roman"/>
          <w:color w:val="000000" w:themeColor="text1"/>
          <w:sz w:val="20"/>
          <w:szCs w:val="20"/>
        </w:rPr>
      </w:pPr>
      <w:r w:rsidRPr="00446FC3">
        <w:rPr>
          <w:rFonts w:ascii="Times New Roman" w:hAnsi="Times New Roman" w:cs="Times New Roman"/>
          <w:color w:val="000000" w:themeColor="text1"/>
          <w:sz w:val="20"/>
          <w:szCs w:val="20"/>
        </w:rPr>
        <w:t>Kilde: APNN.</w:t>
      </w:r>
    </w:p>
    <w:p w14:paraId="6AC9B518" w14:textId="5F4C54DA" w:rsidR="00586F46" w:rsidRPr="008A6FF3" w:rsidRDefault="00586F46" w:rsidP="00732A54">
      <w:pPr>
        <w:spacing w:after="0" w:line="276" w:lineRule="auto"/>
        <w:jc w:val="both"/>
        <w:rPr>
          <w:rFonts w:ascii="Times New Roman" w:hAnsi="Times New Roman" w:cs="Times New Roman"/>
        </w:rPr>
      </w:pPr>
      <w:r w:rsidRPr="008A6FF3">
        <w:rPr>
          <w:rFonts w:ascii="Times New Roman" w:hAnsi="Times New Roman" w:cs="Times New Roman"/>
        </w:rPr>
        <w:lastRenderedPageBreak/>
        <w:t xml:space="preserve">Alderssammensætningen hos jollefiskerene i det </w:t>
      </w:r>
      <w:r>
        <w:rPr>
          <w:rFonts w:ascii="Times New Roman" w:hAnsi="Times New Roman" w:cs="Times New Roman"/>
        </w:rPr>
        <w:t>kystnære torskefiskeri fremgår af figur 3</w:t>
      </w:r>
      <w:r w:rsidRPr="008A6FF3">
        <w:rPr>
          <w:rFonts w:ascii="Times New Roman" w:hAnsi="Times New Roman" w:cs="Times New Roman"/>
        </w:rPr>
        <w:t xml:space="preserve">. Figuren viser, at ca. </w:t>
      </w:r>
      <w:r w:rsidR="00166D4A">
        <w:rPr>
          <w:rFonts w:ascii="Times New Roman" w:hAnsi="Times New Roman" w:cs="Times New Roman"/>
        </w:rPr>
        <w:t>15</w:t>
      </w:r>
      <w:r w:rsidR="00166D4A" w:rsidRPr="008A6FF3">
        <w:rPr>
          <w:rFonts w:ascii="Times New Roman" w:hAnsi="Times New Roman" w:cs="Times New Roman"/>
        </w:rPr>
        <w:t xml:space="preserve"> </w:t>
      </w:r>
      <w:r w:rsidRPr="008A6FF3">
        <w:rPr>
          <w:rFonts w:ascii="Times New Roman" w:hAnsi="Times New Roman" w:cs="Times New Roman"/>
        </w:rPr>
        <w:t>pct. af jollefiskeren</w:t>
      </w:r>
      <w:r w:rsidR="00D626C4">
        <w:rPr>
          <w:rFonts w:ascii="Times New Roman" w:hAnsi="Times New Roman" w:cs="Times New Roman"/>
        </w:rPr>
        <w:t>e</w:t>
      </w:r>
      <w:r w:rsidRPr="008A6FF3">
        <w:rPr>
          <w:rFonts w:ascii="Times New Roman" w:hAnsi="Times New Roman" w:cs="Times New Roman"/>
        </w:rPr>
        <w:t xml:space="preserve"> er under 30 år. Jollefiskere i alderen 30-49 år står for ca. </w:t>
      </w:r>
      <w:r>
        <w:rPr>
          <w:rFonts w:ascii="Times New Roman" w:hAnsi="Times New Roman" w:cs="Times New Roman"/>
        </w:rPr>
        <w:t>37</w:t>
      </w:r>
      <w:r w:rsidRPr="008A6FF3">
        <w:rPr>
          <w:rFonts w:ascii="Times New Roman" w:hAnsi="Times New Roman" w:cs="Times New Roman"/>
        </w:rPr>
        <w:t xml:space="preserve"> pct. det samlede antal jollefiskere, hvorimod ca. </w:t>
      </w:r>
      <w:r>
        <w:rPr>
          <w:rFonts w:ascii="Times New Roman" w:hAnsi="Times New Roman" w:cs="Times New Roman"/>
        </w:rPr>
        <w:t>48</w:t>
      </w:r>
      <w:r w:rsidRPr="008A6FF3">
        <w:rPr>
          <w:rFonts w:ascii="Times New Roman" w:hAnsi="Times New Roman" w:cs="Times New Roman"/>
        </w:rPr>
        <w:t xml:space="preserve"> pct. er over 50 år.</w:t>
      </w:r>
    </w:p>
    <w:p w14:paraId="57355A12" w14:textId="77777777" w:rsidR="00586F46" w:rsidRDefault="00586F46" w:rsidP="00732A54">
      <w:pPr>
        <w:spacing w:after="0" w:line="276" w:lineRule="auto"/>
        <w:jc w:val="both"/>
        <w:rPr>
          <w:rFonts w:ascii="Times New Roman" w:hAnsi="Times New Roman" w:cs="Times New Roman"/>
          <w:color w:val="000000" w:themeColor="text1"/>
        </w:rPr>
      </w:pPr>
    </w:p>
    <w:p w14:paraId="34CD4439" w14:textId="77777777" w:rsidR="00FC1521" w:rsidRDefault="00FC1521"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Figur 3: Aldersfordeling på jollefiskerene i 2020.</w:t>
      </w:r>
    </w:p>
    <w:p w14:paraId="41BF16D3" w14:textId="77777777" w:rsidR="008A6C68" w:rsidRDefault="00FC1521" w:rsidP="00732A54">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445417E2" wp14:editId="3D7CE18E">
            <wp:extent cx="5105400" cy="394335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DB6781" w14:textId="77777777" w:rsidR="008A6C68" w:rsidRPr="00EF6B12" w:rsidRDefault="00586F46" w:rsidP="00732A54">
      <w:pPr>
        <w:spacing w:after="0" w:line="276" w:lineRule="auto"/>
        <w:jc w:val="both"/>
        <w:rPr>
          <w:rFonts w:ascii="Times New Roman" w:hAnsi="Times New Roman" w:cs="Times New Roman"/>
          <w:color w:val="000000" w:themeColor="text1"/>
          <w:sz w:val="20"/>
          <w:szCs w:val="20"/>
        </w:rPr>
      </w:pPr>
      <w:r w:rsidRPr="00EF6B12">
        <w:rPr>
          <w:rFonts w:ascii="Times New Roman" w:hAnsi="Times New Roman" w:cs="Times New Roman"/>
          <w:color w:val="000000" w:themeColor="text1"/>
          <w:sz w:val="20"/>
          <w:szCs w:val="20"/>
        </w:rPr>
        <w:t>Kilde: APNN.</w:t>
      </w:r>
    </w:p>
    <w:p w14:paraId="686F15CA" w14:textId="77777777" w:rsidR="0046055F" w:rsidRDefault="0046055F" w:rsidP="00732A54">
      <w:pPr>
        <w:spacing w:after="0" w:line="276" w:lineRule="auto"/>
        <w:jc w:val="both"/>
        <w:rPr>
          <w:rFonts w:ascii="Times New Roman" w:hAnsi="Times New Roman" w:cs="Times New Roman"/>
          <w:b/>
          <w:i/>
          <w:color w:val="000000" w:themeColor="text1"/>
        </w:rPr>
      </w:pPr>
    </w:p>
    <w:p w14:paraId="699EE1AB" w14:textId="54875FB2" w:rsidR="00A86B28" w:rsidRPr="00F13C91" w:rsidRDefault="00A86B28" w:rsidP="00732A54">
      <w:pPr>
        <w:spacing w:after="0" w:line="276" w:lineRule="auto"/>
        <w:jc w:val="both"/>
        <w:rPr>
          <w:rFonts w:ascii="Times New Roman" w:hAnsi="Times New Roman" w:cs="Times New Roman"/>
          <w:b/>
          <w:i/>
          <w:color w:val="000000" w:themeColor="text1"/>
        </w:rPr>
      </w:pPr>
      <w:r w:rsidRPr="00F13C91">
        <w:rPr>
          <w:rFonts w:ascii="Times New Roman" w:hAnsi="Times New Roman" w:cs="Times New Roman"/>
          <w:b/>
          <w:i/>
          <w:color w:val="000000" w:themeColor="text1"/>
        </w:rPr>
        <w:t>3.</w:t>
      </w:r>
      <w:r>
        <w:rPr>
          <w:rFonts w:ascii="Times New Roman" w:hAnsi="Times New Roman" w:cs="Times New Roman"/>
          <w:b/>
          <w:i/>
          <w:color w:val="000000" w:themeColor="text1"/>
        </w:rPr>
        <w:t>2</w:t>
      </w:r>
      <w:r w:rsidRPr="00F13C91">
        <w:rPr>
          <w:rFonts w:ascii="Times New Roman" w:hAnsi="Times New Roman" w:cs="Times New Roman"/>
          <w:b/>
          <w:i/>
          <w:color w:val="000000" w:themeColor="text1"/>
        </w:rPr>
        <w:t xml:space="preserve"> Udviklingen i </w:t>
      </w:r>
      <w:r>
        <w:rPr>
          <w:rFonts w:ascii="Times New Roman" w:hAnsi="Times New Roman" w:cs="Times New Roman"/>
          <w:b/>
          <w:i/>
          <w:color w:val="000000" w:themeColor="text1"/>
        </w:rPr>
        <w:t>rådgivningen for kystnær torsk, TAC og fangstmængder</w:t>
      </w:r>
    </w:p>
    <w:p w14:paraId="25E12AF5" w14:textId="77777777" w:rsidR="00D86D07" w:rsidRPr="00D80E66" w:rsidRDefault="00D86D07" w:rsidP="00732A54">
      <w:pPr>
        <w:spacing w:after="0" w:line="276" w:lineRule="auto"/>
        <w:jc w:val="both"/>
        <w:rPr>
          <w:rFonts w:ascii="Times New Roman" w:hAnsi="Times New Roman" w:cs="Times New Roman"/>
        </w:rPr>
      </w:pPr>
      <w:r w:rsidRPr="00D80E66">
        <w:rPr>
          <w:rFonts w:ascii="Times New Roman" w:hAnsi="Times New Roman" w:cs="Times New Roman"/>
        </w:rPr>
        <w:t xml:space="preserve">Det fremgår af tabel 3 at den biologiske rådgivning for det kystnære torskefiskeri har været konstant i perioden 2014-2017 på lidt over 12.000 tons pr. år. I 2019 blev en ny rådgivningsmodel er taget i brug. I den nye model anvendes alle tilgængelige data og ICES rådgivning er i højere grad end tidligere rettet specifikt med den indenskærs bestand af torsk. </w:t>
      </w:r>
    </w:p>
    <w:p w14:paraId="4A39BB51" w14:textId="77777777" w:rsidR="00D86D07" w:rsidRPr="00D80E66" w:rsidRDefault="00D86D07" w:rsidP="00732A54">
      <w:pPr>
        <w:spacing w:after="0" w:line="276" w:lineRule="auto"/>
        <w:jc w:val="both"/>
        <w:rPr>
          <w:rFonts w:ascii="Times New Roman" w:hAnsi="Times New Roman" w:cs="Times New Roman"/>
        </w:rPr>
      </w:pPr>
    </w:p>
    <w:p w14:paraId="23D3E2C0" w14:textId="08EC871A" w:rsidR="00D86D07" w:rsidRPr="00D80E66" w:rsidRDefault="00D86D07" w:rsidP="00732A54">
      <w:pPr>
        <w:spacing w:after="0" w:line="276" w:lineRule="auto"/>
        <w:jc w:val="both"/>
        <w:rPr>
          <w:rFonts w:ascii="Times New Roman" w:hAnsi="Times New Roman" w:cs="Times New Roman"/>
        </w:rPr>
      </w:pPr>
      <w:r w:rsidRPr="00D80E66">
        <w:rPr>
          <w:rFonts w:ascii="Times New Roman" w:hAnsi="Times New Roman" w:cs="Times New Roman"/>
        </w:rPr>
        <w:t xml:space="preserve">Fiskeriet </w:t>
      </w:r>
      <w:r>
        <w:rPr>
          <w:rFonts w:ascii="Times New Roman" w:hAnsi="Times New Roman" w:cs="Times New Roman"/>
        </w:rPr>
        <w:t xml:space="preserve">i </w:t>
      </w:r>
      <w:r w:rsidRPr="00D80E66">
        <w:rPr>
          <w:rFonts w:ascii="Times New Roman" w:hAnsi="Times New Roman" w:cs="Times New Roman"/>
        </w:rPr>
        <w:t>det indenskærs område foregår på en blanding af torsk både fra inden – og udenskær</w:t>
      </w:r>
      <w:r>
        <w:rPr>
          <w:rFonts w:ascii="Times New Roman" w:hAnsi="Times New Roman" w:cs="Times New Roman"/>
        </w:rPr>
        <w:t xml:space="preserve">s </w:t>
      </w:r>
      <w:r w:rsidRPr="00D80E66">
        <w:rPr>
          <w:rFonts w:ascii="Times New Roman" w:hAnsi="Times New Roman" w:cs="Times New Roman"/>
        </w:rPr>
        <w:t xml:space="preserve">med ca. 50% fra hver bestand. Grønlands Naturinstitut vurderer at </w:t>
      </w:r>
      <w:r w:rsidR="00D626C4">
        <w:rPr>
          <w:rFonts w:ascii="Times New Roman" w:hAnsi="Times New Roman" w:cs="Times New Roman"/>
        </w:rPr>
        <w:t>det er muligt at fiske</w:t>
      </w:r>
      <w:r w:rsidRPr="00D80E66">
        <w:rPr>
          <w:rFonts w:ascii="Times New Roman" w:hAnsi="Times New Roman" w:cs="Times New Roman"/>
        </w:rPr>
        <w:t xml:space="preserve"> ca.</w:t>
      </w:r>
      <w:r w:rsidR="00D626C4">
        <w:rPr>
          <w:rFonts w:ascii="Times New Roman" w:hAnsi="Times New Roman" w:cs="Times New Roman"/>
        </w:rPr>
        <w:t xml:space="preserve"> </w:t>
      </w:r>
      <w:r w:rsidRPr="00D80E66">
        <w:rPr>
          <w:rFonts w:ascii="Times New Roman" w:hAnsi="Times New Roman" w:cs="Times New Roman"/>
        </w:rPr>
        <w:t>50% mere end den biologiske rådgivning fra ICES</w:t>
      </w:r>
      <w:r w:rsidR="002868D0">
        <w:rPr>
          <w:rFonts w:ascii="Times New Roman" w:hAnsi="Times New Roman" w:cs="Times New Roman"/>
        </w:rPr>
        <w:t>, og stadig fiske på et bæredygtigt niveau</w:t>
      </w:r>
      <w:r w:rsidRPr="00D80E66">
        <w:rPr>
          <w:rFonts w:ascii="Times New Roman" w:hAnsi="Times New Roman" w:cs="Times New Roman"/>
        </w:rPr>
        <w:t xml:space="preserve"> – </w:t>
      </w:r>
      <w:proofErr w:type="spellStart"/>
      <w:r w:rsidR="002868D0">
        <w:rPr>
          <w:rFonts w:ascii="Times New Roman" w:hAnsi="Times New Roman" w:cs="Times New Roman"/>
        </w:rPr>
        <w:t>hviket</w:t>
      </w:r>
      <w:proofErr w:type="spellEnd"/>
      <w:r w:rsidR="002868D0">
        <w:rPr>
          <w:rFonts w:ascii="Times New Roman" w:hAnsi="Times New Roman" w:cs="Times New Roman"/>
        </w:rPr>
        <w:t xml:space="preserve"> i 2020 </w:t>
      </w:r>
      <w:r w:rsidRPr="00D80E66">
        <w:rPr>
          <w:rFonts w:ascii="Times New Roman" w:hAnsi="Times New Roman" w:cs="Times New Roman"/>
        </w:rPr>
        <w:t>svarende til et totalt fiskeri på 11.000 tons for det kystnære</w:t>
      </w:r>
      <w:r w:rsidRPr="00D80E66">
        <w:rPr>
          <w:rFonts w:ascii="Times New Roman" w:hAnsi="Times New Roman" w:cs="Times New Roman"/>
          <w:bCs/>
        </w:rPr>
        <w:t xml:space="preserve">område. </w:t>
      </w:r>
    </w:p>
    <w:p w14:paraId="12AEAECD" w14:textId="77777777" w:rsidR="00D86D07" w:rsidRPr="004A6B3A" w:rsidRDefault="00D86D07" w:rsidP="00732A54">
      <w:pPr>
        <w:spacing w:after="0" w:line="276" w:lineRule="auto"/>
        <w:jc w:val="both"/>
        <w:rPr>
          <w:rFonts w:ascii="Times New Roman" w:hAnsi="Times New Roman" w:cs="Times New Roman"/>
        </w:rPr>
      </w:pPr>
    </w:p>
    <w:p w14:paraId="5274BA26" w14:textId="77777777" w:rsidR="00D86D07" w:rsidRPr="004A6B3A" w:rsidRDefault="00D86D07" w:rsidP="00732A54">
      <w:pPr>
        <w:spacing w:after="0" w:line="276" w:lineRule="auto"/>
        <w:jc w:val="both"/>
        <w:rPr>
          <w:rFonts w:ascii="Times New Roman" w:hAnsi="Times New Roman" w:cs="Times New Roman"/>
        </w:rPr>
      </w:pPr>
      <w:r w:rsidRPr="004A6B3A">
        <w:rPr>
          <w:rFonts w:ascii="Times New Roman" w:hAnsi="Times New Roman" w:cs="Times New Roman"/>
        </w:rPr>
        <w:t xml:space="preserve">Konsekvenserne af den store stigning i antallet af jollelicenser i perioden 2013 – 2020 og tilhørende stigning i fangstkapacitet har presset på at TAC for det kystnære torskefiskeri forhøjes hvert år. I alle år siden 2013 er TAC´en sat langt højere end den biologiske rådgivning, jf. tabel </w:t>
      </w:r>
      <w:r>
        <w:rPr>
          <w:rFonts w:ascii="Times New Roman" w:hAnsi="Times New Roman" w:cs="Times New Roman"/>
        </w:rPr>
        <w:t>3</w:t>
      </w:r>
      <w:r w:rsidRPr="004A6B3A">
        <w:rPr>
          <w:rFonts w:ascii="Times New Roman" w:hAnsi="Times New Roman" w:cs="Times New Roman"/>
        </w:rPr>
        <w:t>. I 2016 og 2017 blev TAC´en sat hhv. 180 pct. og 158 pct. over rådgivningen. I 2018-2020 har TAC´en forsa</w:t>
      </w:r>
      <w:r>
        <w:rPr>
          <w:rFonts w:ascii="Times New Roman" w:hAnsi="Times New Roman" w:cs="Times New Roman"/>
        </w:rPr>
        <w:t xml:space="preserve">t været sat over rådgivningen. </w:t>
      </w:r>
      <w:r w:rsidRPr="004A6B3A">
        <w:rPr>
          <w:rFonts w:ascii="Times New Roman" w:hAnsi="Times New Roman" w:cs="Times New Roman"/>
        </w:rPr>
        <w:t xml:space="preserve"> </w:t>
      </w:r>
    </w:p>
    <w:p w14:paraId="585031D3" w14:textId="77777777" w:rsidR="0046055F" w:rsidRPr="004A6B3A" w:rsidRDefault="0046055F" w:rsidP="00732A54">
      <w:pPr>
        <w:spacing w:after="0" w:line="276" w:lineRule="auto"/>
        <w:jc w:val="both"/>
        <w:rPr>
          <w:rFonts w:ascii="Times New Roman" w:hAnsi="Times New Roman" w:cs="Times New Roman"/>
        </w:rPr>
      </w:pPr>
    </w:p>
    <w:p w14:paraId="506C52A2" w14:textId="65BC8838" w:rsidR="00D86D07" w:rsidRDefault="00D86D07" w:rsidP="00732A54">
      <w:pPr>
        <w:spacing w:after="0" w:line="276" w:lineRule="auto"/>
        <w:jc w:val="both"/>
        <w:rPr>
          <w:rFonts w:ascii="Times New Roman" w:hAnsi="Times New Roman" w:cs="Times New Roman"/>
        </w:rPr>
      </w:pPr>
      <w:r>
        <w:rPr>
          <w:rFonts w:ascii="Times New Roman" w:hAnsi="Times New Roman" w:cs="Times New Roman"/>
        </w:rPr>
        <w:lastRenderedPageBreak/>
        <w:t>Fra 2013 til 2016 kunne fiskeriet udnytte den fastsatte TAC næsten 100 pct. Herefter er fiskeriet ikke begrænset af størrelsen i TAC</w:t>
      </w:r>
      <w:r w:rsidR="002868D0">
        <w:rPr>
          <w:rFonts w:ascii="Times New Roman" w:hAnsi="Times New Roman" w:cs="Times New Roman"/>
        </w:rPr>
        <w:t>,</w:t>
      </w:r>
      <w:r>
        <w:rPr>
          <w:rFonts w:ascii="Times New Roman" w:hAnsi="Times New Roman" w:cs="Times New Roman"/>
        </w:rPr>
        <w:t xml:space="preserve"> og fra 2017 – 2020 falder andel af det aktuelle fiskeri af TAC´en fra ca. 88 pct. til 61 pct. af kvoten. </w:t>
      </w:r>
    </w:p>
    <w:p w14:paraId="0CC2C6A1" w14:textId="77777777" w:rsidR="00A1084C" w:rsidRDefault="00A1084C" w:rsidP="00732A54">
      <w:pPr>
        <w:spacing w:after="0" w:line="276" w:lineRule="auto"/>
        <w:jc w:val="both"/>
        <w:rPr>
          <w:rFonts w:ascii="Times New Roman" w:hAnsi="Times New Roman" w:cs="Times New Roman"/>
        </w:rPr>
      </w:pPr>
    </w:p>
    <w:p w14:paraId="648E972D" w14:textId="3F177E34" w:rsidR="0046055F" w:rsidRPr="004A6B3A" w:rsidRDefault="0046055F" w:rsidP="00732A54">
      <w:pPr>
        <w:spacing w:after="0" w:line="276" w:lineRule="auto"/>
        <w:jc w:val="both"/>
        <w:rPr>
          <w:rFonts w:ascii="Times New Roman" w:hAnsi="Times New Roman" w:cs="Times New Roman"/>
        </w:rPr>
      </w:pPr>
      <w:r w:rsidRPr="004A6B3A">
        <w:rPr>
          <w:rFonts w:ascii="Times New Roman" w:hAnsi="Times New Roman" w:cs="Times New Roman"/>
        </w:rPr>
        <w:t>Den indenskærs torsks gydebiomasse er faldet siden 2015 og rekruttering af 1 årige torsk er faldet fra en periode med høje værdier til et næsten historisk lavt niveau. Dette understøttes af at fangsterne i indenskærs området historisk set ikke har kunnet understøtte fangster på det nuværende niveau over en længere årrække.</w:t>
      </w:r>
    </w:p>
    <w:p w14:paraId="4D4A7EF3" w14:textId="77777777" w:rsidR="0046055F" w:rsidRPr="004A6B3A" w:rsidRDefault="0046055F" w:rsidP="00732A54">
      <w:pPr>
        <w:spacing w:after="0" w:line="276" w:lineRule="auto"/>
        <w:jc w:val="both"/>
        <w:rPr>
          <w:rFonts w:ascii="Times New Roman" w:hAnsi="Times New Roman" w:cs="Times New Roman"/>
        </w:rPr>
      </w:pPr>
    </w:p>
    <w:p w14:paraId="3DF515CE" w14:textId="044D99D0" w:rsidR="0046055F" w:rsidRPr="004A6B3A" w:rsidRDefault="0046055F" w:rsidP="00732A54">
      <w:pPr>
        <w:spacing w:after="0" w:line="276" w:lineRule="auto"/>
        <w:jc w:val="both"/>
        <w:rPr>
          <w:rFonts w:ascii="Times New Roman" w:hAnsi="Times New Roman" w:cs="Times New Roman"/>
        </w:rPr>
      </w:pPr>
      <w:r w:rsidRPr="004A6B3A">
        <w:rPr>
          <w:rFonts w:ascii="Times New Roman" w:hAnsi="Times New Roman" w:cs="Times New Roman"/>
        </w:rPr>
        <w:t xml:space="preserve">Tabel </w:t>
      </w:r>
      <w:r>
        <w:rPr>
          <w:rFonts w:ascii="Times New Roman" w:hAnsi="Times New Roman" w:cs="Times New Roman"/>
        </w:rPr>
        <w:t>3</w:t>
      </w:r>
      <w:r w:rsidRPr="004A6B3A">
        <w:rPr>
          <w:rFonts w:ascii="Times New Roman" w:hAnsi="Times New Roman" w:cs="Times New Roman"/>
        </w:rPr>
        <w:t>: Udviklingen i rådgivningen, TAC og fangstmængder i det kystnære torskefiskeri, 2013-2020.</w:t>
      </w:r>
    </w:p>
    <w:tbl>
      <w:tblPr>
        <w:tblW w:w="5000" w:type="pct"/>
        <w:tblCellMar>
          <w:left w:w="70" w:type="dxa"/>
          <w:right w:w="70" w:type="dxa"/>
        </w:tblCellMar>
        <w:tblLook w:val="04A0" w:firstRow="1" w:lastRow="0" w:firstColumn="1" w:lastColumn="0" w:noHBand="0" w:noVBand="1"/>
      </w:tblPr>
      <w:tblGrid>
        <w:gridCol w:w="2866"/>
        <w:gridCol w:w="846"/>
        <w:gridCol w:w="846"/>
        <w:gridCol w:w="845"/>
        <w:gridCol w:w="845"/>
        <w:gridCol w:w="845"/>
        <w:gridCol w:w="845"/>
        <w:gridCol w:w="845"/>
        <w:gridCol w:w="845"/>
      </w:tblGrid>
      <w:tr w:rsidR="0046055F" w:rsidRPr="003826A4" w14:paraId="6416802C" w14:textId="77777777" w:rsidTr="002835F5">
        <w:trPr>
          <w:trHeight w:val="300"/>
        </w:trPr>
        <w:tc>
          <w:tcPr>
            <w:tcW w:w="14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525E64"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Tons</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38FC2B5F"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2013</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3D18BDE5"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2014</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7939C09F"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2015</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379F8A13"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2016</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7E80CD8B"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2017</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2E5A5B1D"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2018</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5B6626B3"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2019</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78E77F95"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2020</w:t>
            </w:r>
          </w:p>
        </w:tc>
      </w:tr>
      <w:tr w:rsidR="0046055F" w:rsidRPr="003826A4" w14:paraId="16BF9646"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4E3FFA5D"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Rådgivning, gammel</w:t>
            </w:r>
          </w:p>
        </w:tc>
        <w:tc>
          <w:tcPr>
            <w:tcW w:w="439" w:type="pct"/>
            <w:tcBorders>
              <w:top w:val="nil"/>
              <w:left w:val="nil"/>
              <w:bottom w:val="single" w:sz="4" w:space="0" w:color="auto"/>
              <w:right w:val="single" w:sz="4" w:space="0" w:color="auto"/>
            </w:tcBorders>
            <w:shd w:val="clear" w:color="000000" w:fill="FFFFFF"/>
            <w:noWrap/>
            <w:vAlign w:val="bottom"/>
            <w:hideMark/>
          </w:tcPr>
          <w:p w14:paraId="0774AE96"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8.000</w:t>
            </w:r>
          </w:p>
        </w:tc>
        <w:tc>
          <w:tcPr>
            <w:tcW w:w="439" w:type="pct"/>
            <w:tcBorders>
              <w:top w:val="nil"/>
              <w:left w:val="nil"/>
              <w:bottom w:val="single" w:sz="4" w:space="0" w:color="auto"/>
              <w:right w:val="single" w:sz="4" w:space="0" w:color="auto"/>
            </w:tcBorders>
            <w:shd w:val="clear" w:color="000000" w:fill="FFFFFF"/>
            <w:noWrap/>
            <w:vAlign w:val="bottom"/>
            <w:hideMark/>
          </w:tcPr>
          <w:p w14:paraId="225A5A14"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12.063</w:t>
            </w:r>
          </w:p>
        </w:tc>
        <w:tc>
          <w:tcPr>
            <w:tcW w:w="439" w:type="pct"/>
            <w:tcBorders>
              <w:top w:val="nil"/>
              <w:left w:val="nil"/>
              <w:bottom w:val="single" w:sz="4" w:space="0" w:color="auto"/>
              <w:right w:val="single" w:sz="4" w:space="0" w:color="auto"/>
            </w:tcBorders>
            <w:shd w:val="clear" w:color="000000" w:fill="FFFFFF"/>
            <w:noWrap/>
            <w:vAlign w:val="bottom"/>
            <w:hideMark/>
          </w:tcPr>
          <w:p w14:paraId="7F3E83D5"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12.379</w:t>
            </w:r>
          </w:p>
        </w:tc>
        <w:tc>
          <w:tcPr>
            <w:tcW w:w="439" w:type="pct"/>
            <w:tcBorders>
              <w:top w:val="nil"/>
              <w:left w:val="nil"/>
              <w:bottom w:val="single" w:sz="4" w:space="0" w:color="auto"/>
              <w:right w:val="single" w:sz="4" w:space="0" w:color="auto"/>
            </w:tcBorders>
            <w:shd w:val="clear" w:color="000000" w:fill="FFFFFF"/>
            <w:noWrap/>
            <w:vAlign w:val="bottom"/>
            <w:hideMark/>
          </w:tcPr>
          <w:p w14:paraId="1C548907"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12.379</w:t>
            </w:r>
          </w:p>
        </w:tc>
        <w:tc>
          <w:tcPr>
            <w:tcW w:w="439" w:type="pct"/>
            <w:tcBorders>
              <w:top w:val="nil"/>
              <w:left w:val="nil"/>
              <w:bottom w:val="single" w:sz="4" w:space="0" w:color="auto"/>
              <w:right w:val="single" w:sz="4" w:space="0" w:color="auto"/>
            </w:tcBorders>
            <w:shd w:val="clear" w:color="000000" w:fill="FFFFFF"/>
            <w:noWrap/>
            <w:vAlign w:val="bottom"/>
            <w:hideMark/>
          </w:tcPr>
          <w:p w14:paraId="721994C0"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12.379</w:t>
            </w:r>
          </w:p>
        </w:tc>
        <w:tc>
          <w:tcPr>
            <w:tcW w:w="439" w:type="pct"/>
            <w:tcBorders>
              <w:top w:val="nil"/>
              <w:left w:val="nil"/>
              <w:bottom w:val="single" w:sz="4" w:space="0" w:color="auto"/>
              <w:right w:val="single" w:sz="4" w:space="0" w:color="auto"/>
            </w:tcBorders>
            <w:shd w:val="clear" w:color="000000" w:fill="FFFFFF"/>
            <w:noWrap/>
            <w:vAlign w:val="bottom"/>
            <w:hideMark/>
          </w:tcPr>
          <w:p w14:paraId="5A6C8754"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13.952</w:t>
            </w:r>
          </w:p>
        </w:tc>
        <w:tc>
          <w:tcPr>
            <w:tcW w:w="439" w:type="pct"/>
            <w:tcBorders>
              <w:top w:val="nil"/>
              <w:left w:val="nil"/>
              <w:bottom w:val="single" w:sz="4" w:space="0" w:color="auto"/>
              <w:right w:val="single" w:sz="4" w:space="0" w:color="auto"/>
            </w:tcBorders>
            <w:shd w:val="clear" w:color="000000" w:fill="FFFFFF"/>
            <w:noWrap/>
            <w:vAlign w:val="bottom"/>
            <w:hideMark/>
          </w:tcPr>
          <w:p w14:paraId="10908BD8"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14.500</w:t>
            </w:r>
          </w:p>
        </w:tc>
        <w:tc>
          <w:tcPr>
            <w:tcW w:w="439" w:type="pct"/>
            <w:tcBorders>
              <w:top w:val="nil"/>
              <w:left w:val="nil"/>
              <w:bottom w:val="single" w:sz="4" w:space="0" w:color="auto"/>
              <w:right w:val="single" w:sz="4" w:space="0" w:color="auto"/>
            </w:tcBorders>
            <w:shd w:val="clear" w:color="000000" w:fill="FFFFFF"/>
            <w:noWrap/>
            <w:vAlign w:val="bottom"/>
            <w:hideMark/>
          </w:tcPr>
          <w:p w14:paraId="14518748"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11.000</w:t>
            </w:r>
          </w:p>
        </w:tc>
      </w:tr>
      <w:tr w:rsidR="0046055F" w:rsidRPr="003826A4" w14:paraId="14FBA54F"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4EF4A8FC"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Rådgivning, ny</w:t>
            </w:r>
          </w:p>
        </w:tc>
        <w:tc>
          <w:tcPr>
            <w:tcW w:w="439" w:type="pct"/>
            <w:tcBorders>
              <w:top w:val="nil"/>
              <w:left w:val="nil"/>
              <w:bottom w:val="single" w:sz="4" w:space="0" w:color="auto"/>
              <w:right w:val="single" w:sz="4" w:space="0" w:color="auto"/>
            </w:tcBorders>
            <w:shd w:val="clear" w:color="000000" w:fill="FFFFFF"/>
            <w:noWrap/>
            <w:vAlign w:val="bottom"/>
            <w:hideMark/>
          </w:tcPr>
          <w:p w14:paraId="1B03B62C"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78707BAA"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0E45261E"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0DD3FC08"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8787C0D"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613BBA97"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8.858</w:t>
            </w:r>
          </w:p>
        </w:tc>
        <w:tc>
          <w:tcPr>
            <w:tcW w:w="439" w:type="pct"/>
            <w:tcBorders>
              <w:top w:val="nil"/>
              <w:left w:val="nil"/>
              <w:bottom w:val="single" w:sz="4" w:space="0" w:color="auto"/>
              <w:right w:val="single" w:sz="4" w:space="0" w:color="auto"/>
            </w:tcBorders>
            <w:shd w:val="clear" w:color="000000" w:fill="FFFFFF"/>
            <w:noWrap/>
            <w:vAlign w:val="bottom"/>
            <w:hideMark/>
          </w:tcPr>
          <w:p w14:paraId="4B7211B7"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6.806</w:t>
            </w:r>
          </w:p>
        </w:tc>
        <w:tc>
          <w:tcPr>
            <w:tcW w:w="439" w:type="pct"/>
            <w:tcBorders>
              <w:top w:val="nil"/>
              <w:left w:val="nil"/>
              <w:bottom w:val="single" w:sz="4" w:space="0" w:color="auto"/>
              <w:right w:val="single" w:sz="4" w:space="0" w:color="auto"/>
            </w:tcBorders>
            <w:shd w:val="clear" w:color="000000" w:fill="FFFFFF"/>
            <w:noWrap/>
            <w:vAlign w:val="bottom"/>
            <w:hideMark/>
          </w:tcPr>
          <w:p w14:paraId="721E71AB"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5.537</w:t>
            </w:r>
          </w:p>
        </w:tc>
      </w:tr>
      <w:tr w:rsidR="0046055F" w:rsidRPr="003826A4" w14:paraId="3449B761"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150188AA"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Samlet TAC</w:t>
            </w:r>
          </w:p>
        </w:tc>
        <w:tc>
          <w:tcPr>
            <w:tcW w:w="439" w:type="pct"/>
            <w:tcBorders>
              <w:top w:val="nil"/>
              <w:left w:val="nil"/>
              <w:bottom w:val="single" w:sz="4" w:space="0" w:color="auto"/>
              <w:right w:val="single" w:sz="4" w:space="0" w:color="auto"/>
            </w:tcBorders>
            <w:shd w:val="clear" w:color="000000" w:fill="FFFFFF"/>
            <w:noWrap/>
            <w:vAlign w:val="bottom"/>
            <w:hideMark/>
          </w:tcPr>
          <w:p w14:paraId="76E4A7BD"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13.500</w:t>
            </w:r>
          </w:p>
        </w:tc>
        <w:tc>
          <w:tcPr>
            <w:tcW w:w="439" w:type="pct"/>
            <w:tcBorders>
              <w:top w:val="nil"/>
              <w:left w:val="nil"/>
              <w:bottom w:val="single" w:sz="4" w:space="0" w:color="auto"/>
              <w:right w:val="single" w:sz="4" w:space="0" w:color="auto"/>
            </w:tcBorders>
            <w:shd w:val="clear" w:color="000000" w:fill="FFFFFF"/>
            <w:noWrap/>
            <w:vAlign w:val="bottom"/>
            <w:hideMark/>
          </w:tcPr>
          <w:p w14:paraId="3D03F087"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18.500</w:t>
            </w:r>
          </w:p>
        </w:tc>
        <w:tc>
          <w:tcPr>
            <w:tcW w:w="439" w:type="pct"/>
            <w:tcBorders>
              <w:top w:val="nil"/>
              <w:left w:val="nil"/>
              <w:bottom w:val="single" w:sz="4" w:space="0" w:color="auto"/>
              <w:right w:val="single" w:sz="4" w:space="0" w:color="auto"/>
            </w:tcBorders>
            <w:shd w:val="clear" w:color="000000" w:fill="FFFFFF"/>
            <w:noWrap/>
            <w:vAlign w:val="bottom"/>
            <w:hideMark/>
          </w:tcPr>
          <w:p w14:paraId="5B2F300D"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27.500</w:t>
            </w:r>
          </w:p>
        </w:tc>
        <w:tc>
          <w:tcPr>
            <w:tcW w:w="439" w:type="pct"/>
            <w:tcBorders>
              <w:top w:val="nil"/>
              <w:left w:val="nil"/>
              <w:bottom w:val="single" w:sz="4" w:space="0" w:color="auto"/>
              <w:right w:val="single" w:sz="4" w:space="0" w:color="auto"/>
            </w:tcBorders>
            <w:shd w:val="clear" w:color="000000" w:fill="FFFFFF"/>
            <w:noWrap/>
            <w:vAlign w:val="bottom"/>
            <w:hideMark/>
          </w:tcPr>
          <w:p w14:paraId="3C5347BA"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35.400</w:t>
            </w:r>
          </w:p>
        </w:tc>
        <w:tc>
          <w:tcPr>
            <w:tcW w:w="439" w:type="pct"/>
            <w:tcBorders>
              <w:top w:val="nil"/>
              <w:left w:val="nil"/>
              <w:bottom w:val="single" w:sz="4" w:space="0" w:color="auto"/>
              <w:right w:val="single" w:sz="4" w:space="0" w:color="auto"/>
            </w:tcBorders>
            <w:shd w:val="clear" w:color="000000" w:fill="FFFFFF"/>
            <w:noWrap/>
            <w:vAlign w:val="bottom"/>
            <w:hideMark/>
          </w:tcPr>
          <w:p w14:paraId="61F37EB7"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36.500</w:t>
            </w:r>
          </w:p>
        </w:tc>
        <w:tc>
          <w:tcPr>
            <w:tcW w:w="439" w:type="pct"/>
            <w:tcBorders>
              <w:top w:val="nil"/>
              <w:left w:val="nil"/>
              <w:bottom w:val="single" w:sz="4" w:space="0" w:color="auto"/>
              <w:right w:val="single" w:sz="4" w:space="0" w:color="auto"/>
            </w:tcBorders>
            <w:shd w:val="clear" w:color="000000" w:fill="FFFFFF"/>
            <w:noWrap/>
            <w:vAlign w:val="bottom"/>
            <w:hideMark/>
          </w:tcPr>
          <w:p w14:paraId="55510BA5"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36.500</w:t>
            </w:r>
          </w:p>
        </w:tc>
        <w:tc>
          <w:tcPr>
            <w:tcW w:w="439" w:type="pct"/>
            <w:tcBorders>
              <w:top w:val="nil"/>
              <w:left w:val="nil"/>
              <w:bottom w:val="single" w:sz="4" w:space="0" w:color="auto"/>
              <w:right w:val="single" w:sz="4" w:space="0" w:color="auto"/>
            </w:tcBorders>
            <w:shd w:val="clear" w:color="000000" w:fill="FFFFFF"/>
            <w:noWrap/>
            <w:vAlign w:val="bottom"/>
            <w:hideMark/>
          </w:tcPr>
          <w:p w14:paraId="213898A1"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27.800</w:t>
            </w:r>
          </w:p>
        </w:tc>
        <w:tc>
          <w:tcPr>
            <w:tcW w:w="439" w:type="pct"/>
            <w:tcBorders>
              <w:top w:val="nil"/>
              <w:left w:val="nil"/>
              <w:bottom w:val="single" w:sz="4" w:space="0" w:color="auto"/>
              <w:right w:val="single" w:sz="4" w:space="0" w:color="auto"/>
            </w:tcBorders>
            <w:shd w:val="clear" w:color="000000" w:fill="FFFFFF"/>
            <w:noWrap/>
            <w:vAlign w:val="bottom"/>
            <w:hideMark/>
          </w:tcPr>
          <w:p w14:paraId="13440A3E"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29.800</w:t>
            </w:r>
          </w:p>
        </w:tc>
      </w:tr>
      <w:tr w:rsidR="0046055F" w:rsidRPr="003826A4" w14:paraId="784A64C0"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0B0CC953"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xml:space="preserve">  TAC erhvervsfiskeri</w:t>
            </w:r>
          </w:p>
        </w:tc>
        <w:tc>
          <w:tcPr>
            <w:tcW w:w="439" w:type="pct"/>
            <w:tcBorders>
              <w:top w:val="nil"/>
              <w:left w:val="nil"/>
              <w:bottom w:val="single" w:sz="4" w:space="0" w:color="auto"/>
              <w:right w:val="single" w:sz="4" w:space="0" w:color="auto"/>
            </w:tcBorders>
            <w:shd w:val="clear" w:color="000000" w:fill="FFFFFF"/>
            <w:noWrap/>
            <w:vAlign w:val="bottom"/>
            <w:hideMark/>
          </w:tcPr>
          <w:p w14:paraId="04943AC4"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13.500</w:t>
            </w:r>
          </w:p>
        </w:tc>
        <w:tc>
          <w:tcPr>
            <w:tcW w:w="439" w:type="pct"/>
            <w:tcBorders>
              <w:top w:val="nil"/>
              <w:left w:val="nil"/>
              <w:bottom w:val="single" w:sz="4" w:space="0" w:color="auto"/>
              <w:right w:val="single" w:sz="4" w:space="0" w:color="auto"/>
            </w:tcBorders>
            <w:shd w:val="clear" w:color="000000" w:fill="FFFFFF"/>
            <w:noWrap/>
            <w:vAlign w:val="bottom"/>
            <w:hideMark/>
          </w:tcPr>
          <w:p w14:paraId="459F1ADD"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18.500</w:t>
            </w:r>
          </w:p>
        </w:tc>
        <w:tc>
          <w:tcPr>
            <w:tcW w:w="439" w:type="pct"/>
            <w:tcBorders>
              <w:top w:val="nil"/>
              <w:left w:val="nil"/>
              <w:bottom w:val="single" w:sz="4" w:space="0" w:color="auto"/>
              <w:right w:val="single" w:sz="4" w:space="0" w:color="auto"/>
            </w:tcBorders>
            <w:shd w:val="clear" w:color="000000" w:fill="FFFFFF"/>
            <w:noWrap/>
            <w:vAlign w:val="bottom"/>
            <w:hideMark/>
          </w:tcPr>
          <w:p w14:paraId="03D669D4"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27.500</w:t>
            </w:r>
          </w:p>
        </w:tc>
        <w:tc>
          <w:tcPr>
            <w:tcW w:w="439" w:type="pct"/>
            <w:tcBorders>
              <w:top w:val="nil"/>
              <w:left w:val="nil"/>
              <w:bottom w:val="single" w:sz="4" w:space="0" w:color="auto"/>
              <w:right w:val="single" w:sz="4" w:space="0" w:color="auto"/>
            </w:tcBorders>
            <w:shd w:val="clear" w:color="000000" w:fill="FFFFFF"/>
            <w:noWrap/>
            <w:vAlign w:val="bottom"/>
            <w:hideMark/>
          </w:tcPr>
          <w:p w14:paraId="53A69FD0"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34.400</w:t>
            </w:r>
          </w:p>
        </w:tc>
        <w:tc>
          <w:tcPr>
            <w:tcW w:w="439" w:type="pct"/>
            <w:tcBorders>
              <w:top w:val="nil"/>
              <w:left w:val="nil"/>
              <w:bottom w:val="single" w:sz="4" w:space="0" w:color="auto"/>
              <w:right w:val="single" w:sz="4" w:space="0" w:color="auto"/>
            </w:tcBorders>
            <w:shd w:val="clear" w:color="000000" w:fill="FFFFFF"/>
            <w:noWrap/>
            <w:vAlign w:val="bottom"/>
            <w:hideMark/>
          </w:tcPr>
          <w:p w14:paraId="3A4DD870"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35.000</w:t>
            </w:r>
          </w:p>
        </w:tc>
        <w:tc>
          <w:tcPr>
            <w:tcW w:w="439" w:type="pct"/>
            <w:tcBorders>
              <w:top w:val="nil"/>
              <w:left w:val="nil"/>
              <w:bottom w:val="single" w:sz="4" w:space="0" w:color="auto"/>
              <w:right w:val="single" w:sz="4" w:space="0" w:color="auto"/>
            </w:tcBorders>
            <w:shd w:val="clear" w:color="000000" w:fill="FFFFFF"/>
            <w:noWrap/>
            <w:vAlign w:val="bottom"/>
            <w:hideMark/>
          </w:tcPr>
          <w:p w14:paraId="57750D6A"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35.000</w:t>
            </w:r>
          </w:p>
        </w:tc>
        <w:tc>
          <w:tcPr>
            <w:tcW w:w="439" w:type="pct"/>
            <w:tcBorders>
              <w:top w:val="nil"/>
              <w:left w:val="nil"/>
              <w:bottom w:val="single" w:sz="4" w:space="0" w:color="auto"/>
              <w:right w:val="single" w:sz="4" w:space="0" w:color="auto"/>
            </w:tcBorders>
            <w:shd w:val="clear" w:color="000000" w:fill="FFFFFF"/>
            <w:noWrap/>
            <w:vAlign w:val="bottom"/>
            <w:hideMark/>
          </w:tcPr>
          <w:p w14:paraId="40907559"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26.300</w:t>
            </w:r>
          </w:p>
        </w:tc>
        <w:tc>
          <w:tcPr>
            <w:tcW w:w="439" w:type="pct"/>
            <w:tcBorders>
              <w:top w:val="nil"/>
              <w:left w:val="nil"/>
              <w:bottom w:val="single" w:sz="4" w:space="0" w:color="auto"/>
              <w:right w:val="single" w:sz="4" w:space="0" w:color="auto"/>
            </w:tcBorders>
            <w:shd w:val="clear" w:color="000000" w:fill="FFFFFF"/>
            <w:noWrap/>
            <w:vAlign w:val="bottom"/>
            <w:hideMark/>
          </w:tcPr>
          <w:p w14:paraId="00F2A902"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28.300</w:t>
            </w:r>
          </w:p>
        </w:tc>
      </w:tr>
      <w:tr w:rsidR="0046055F" w:rsidRPr="003826A4" w14:paraId="50C54FFE"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59080E57"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xml:space="preserve">  TAC fritidsfiskeri</w:t>
            </w:r>
          </w:p>
        </w:tc>
        <w:tc>
          <w:tcPr>
            <w:tcW w:w="439" w:type="pct"/>
            <w:tcBorders>
              <w:top w:val="nil"/>
              <w:left w:val="nil"/>
              <w:bottom w:val="single" w:sz="4" w:space="0" w:color="auto"/>
              <w:right w:val="single" w:sz="4" w:space="0" w:color="auto"/>
            </w:tcBorders>
            <w:shd w:val="clear" w:color="000000" w:fill="FFFFFF"/>
            <w:noWrap/>
            <w:vAlign w:val="bottom"/>
            <w:hideMark/>
          </w:tcPr>
          <w:p w14:paraId="251AF6E6"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67EA07C"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2DF811A"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36883EF"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1.000</w:t>
            </w:r>
          </w:p>
        </w:tc>
        <w:tc>
          <w:tcPr>
            <w:tcW w:w="439" w:type="pct"/>
            <w:tcBorders>
              <w:top w:val="nil"/>
              <w:left w:val="nil"/>
              <w:bottom w:val="single" w:sz="4" w:space="0" w:color="auto"/>
              <w:right w:val="single" w:sz="4" w:space="0" w:color="auto"/>
            </w:tcBorders>
            <w:shd w:val="clear" w:color="000000" w:fill="FFFFFF"/>
            <w:noWrap/>
            <w:vAlign w:val="bottom"/>
            <w:hideMark/>
          </w:tcPr>
          <w:p w14:paraId="7B9A3838"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1.500</w:t>
            </w:r>
          </w:p>
        </w:tc>
        <w:tc>
          <w:tcPr>
            <w:tcW w:w="439" w:type="pct"/>
            <w:tcBorders>
              <w:top w:val="nil"/>
              <w:left w:val="nil"/>
              <w:bottom w:val="single" w:sz="4" w:space="0" w:color="auto"/>
              <w:right w:val="single" w:sz="4" w:space="0" w:color="auto"/>
            </w:tcBorders>
            <w:shd w:val="clear" w:color="000000" w:fill="FFFFFF"/>
            <w:noWrap/>
            <w:vAlign w:val="bottom"/>
            <w:hideMark/>
          </w:tcPr>
          <w:p w14:paraId="666BB8B9"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1.500</w:t>
            </w:r>
          </w:p>
        </w:tc>
        <w:tc>
          <w:tcPr>
            <w:tcW w:w="439" w:type="pct"/>
            <w:tcBorders>
              <w:top w:val="nil"/>
              <w:left w:val="nil"/>
              <w:bottom w:val="single" w:sz="4" w:space="0" w:color="auto"/>
              <w:right w:val="single" w:sz="4" w:space="0" w:color="auto"/>
            </w:tcBorders>
            <w:shd w:val="clear" w:color="000000" w:fill="FFFFFF"/>
            <w:noWrap/>
            <w:vAlign w:val="bottom"/>
            <w:hideMark/>
          </w:tcPr>
          <w:p w14:paraId="4D9A7F20"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1.500</w:t>
            </w:r>
          </w:p>
        </w:tc>
        <w:tc>
          <w:tcPr>
            <w:tcW w:w="439" w:type="pct"/>
            <w:tcBorders>
              <w:top w:val="nil"/>
              <w:left w:val="nil"/>
              <w:bottom w:val="single" w:sz="4" w:space="0" w:color="auto"/>
              <w:right w:val="single" w:sz="4" w:space="0" w:color="auto"/>
            </w:tcBorders>
            <w:shd w:val="clear" w:color="000000" w:fill="FFFFFF"/>
            <w:noWrap/>
            <w:vAlign w:val="bottom"/>
            <w:hideMark/>
          </w:tcPr>
          <w:p w14:paraId="3B0BDA5F"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1.500</w:t>
            </w:r>
          </w:p>
        </w:tc>
      </w:tr>
      <w:tr w:rsidR="0046055F" w:rsidRPr="003826A4" w14:paraId="2B20DC61"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3C9AA92D"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Samlet fangstmængde</w:t>
            </w:r>
          </w:p>
        </w:tc>
        <w:tc>
          <w:tcPr>
            <w:tcW w:w="439" w:type="pct"/>
            <w:tcBorders>
              <w:top w:val="nil"/>
              <w:left w:val="nil"/>
              <w:bottom w:val="single" w:sz="4" w:space="0" w:color="auto"/>
              <w:right w:val="single" w:sz="4" w:space="0" w:color="auto"/>
            </w:tcBorders>
            <w:shd w:val="clear" w:color="000000" w:fill="FFFFFF"/>
            <w:noWrap/>
            <w:vAlign w:val="bottom"/>
            <w:hideMark/>
          </w:tcPr>
          <w:p w14:paraId="1458FE63"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13.529</w:t>
            </w:r>
          </w:p>
        </w:tc>
        <w:tc>
          <w:tcPr>
            <w:tcW w:w="439" w:type="pct"/>
            <w:tcBorders>
              <w:top w:val="nil"/>
              <w:left w:val="nil"/>
              <w:bottom w:val="single" w:sz="4" w:space="0" w:color="auto"/>
              <w:right w:val="single" w:sz="4" w:space="0" w:color="auto"/>
            </w:tcBorders>
            <w:shd w:val="clear" w:color="000000" w:fill="FFFFFF"/>
            <w:noWrap/>
            <w:vAlign w:val="bottom"/>
            <w:hideMark/>
          </w:tcPr>
          <w:p w14:paraId="3523EA0B"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18.497</w:t>
            </w:r>
          </w:p>
        </w:tc>
        <w:tc>
          <w:tcPr>
            <w:tcW w:w="439" w:type="pct"/>
            <w:tcBorders>
              <w:top w:val="nil"/>
              <w:left w:val="nil"/>
              <w:bottom w:val="single" w:sz="4" w:space="0" w:color="auto"/>
              <w:right w:val="single" w:sz="4" w:space="0" w:color="auto"/>
            </w:tcBorders>
            <w:shd w:val="clear" w:color="000000" w:fill="FFFFFF"/>
            <w:noWrap/>
            <w:vAlign w:val="bottom"/>
            <w:hideMark/>
          </w:tcPr>
          <w:p w14:paraId="3DD665D0"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25.353</w:t>
            </w:r>
          </w:p>
        </w:tc>
        <w:tc>
          <w:tcPr>
            <w:tcW w:w="439" w:type="pct"/>
            <w:tcBorders>
              <w:top w:val="nil"/>
              <w:left w:val="nil"/>
              <w:bottom w:val="single" w:sz="4" w:space="0" w:color="auto"/>
              <w:right w:val="single" w:sz="4" w:space="0" w:color="auto"/>
            </w:tcBorders>
            <w:shd w:val="clear" w:color="000000" w:fill="FFFFFF"/>
            <w:noWrap/>
            <w:vAlign w:val="bottom"/>
            <w:hideMark/>
          </w:tcPr>
          <w:p w14:paraId="650CB0C8"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34.669</w:t>
            </w:r>
          </w:p>
        </w:tc>
        <w:tc>
          <w:tcPr>
            <w:tcW w:w="439" w:type="pct"/>
            <w:tcBorders>
              <w:top w:val="nil"/>
              <w:left w:val="nil"/>
              <w:bottom w:val="single" w:sz="4" w:space="0" w:color="auto"/>
              <w:right w:val="single" w:sz="4" w:space="0" w:color="auto"/>
            </w:tcBorders>
            <w:shd w:val="clear" w:color="000000" w:fill="FFFFFF"/>
            <w:noWrap/>
            <w:vAlign w:val="bottom"/>
            <w:hideMark/>
          </w:tcPr>
          <w:p w14:paraId="32E6C8CA"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31.972</w:t>
            </w:r>
          </w:p>
        </w:tc>
        <w:tc>
          <w:tcPr>
            <w:tcW w:w="439" w:type="pct"/>
            <w:tcBorders>
              <w:top w:val="nil"/>
              <w:left w:val="nil"/>
              <w:bottom w:val="single" w:sz="4" w:space="0" w:color="auto"/>
              <w:right w:val="single" w:sz="4" w:space="0" w:color="auto"/>
            </w:tcBorders>
            <w:shd w:val="clear" w:color="000000" w:fill="FFFFFF"/>
            <w:noWrap/>
            <w:vAlign w:val="bottom"/>
            <w:hideMark/>
          </w:tcPr>
          <w:p w14:paraId="5AB1C8F2"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23.001</w:t>
            </w:r>
          </w:p>
        </w:tc>
        <w:tc>
          <w:tcPr>
            <w:tcW w:w="439" w:type="pct"/>
            <w:tcBorders>
              <w:top w:val="nil"/>
              <w:left w:val="nil"/>
              <w:bottom w:val="single" w:sz="4" w:space="0" w:color="auto"/>
              <w:right w:val="single" w:sz="4" w:space="0" w:color="auto"/>
            </w:tcBorders>
            <w:shd w:val="clear" w:color="000000" w:fill="FFFFFF"/>
            <w:noWrap/>
            <w:vAlign w:val="bottom"/>
            <w:hideMark/>
          </w:tcPr>
          <w:p w14:paraId="7176C467"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20.364</w:t>
            </w:r>
          </w:p>
        </w:tc>
        <w:tc>
          <w:tcPr>
            <w:tcW w:w="439" w:type="pct"/>
            <w:tcBorders>
              <w:top w:val="nil"/>
              <w:left w:val="nil"/>
              <w:bottom w:val="single" w:sz="4" w:space="0" w:color="auto"/>
              <w:right w:val="single" w:sz="4" w:space="0" w:color="auto"/>
            </w:tcBorders>
            <w:shd w:val="clear" w:color="000000" w:fill="FFFFFF"/>
            <w:noWrap/>
            <w:vAlign w:val="bottom"/>
            <w:hideMark/>
          </w:tcPr>
          <w:p w14:paraId="7459911C"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18.310</w:t>
            </w:r>
          </w:p>
        </w:tc>
      </w:tr>
      <w:tr w:rsidR="0046055F" w:rsidRPr="003826A4" w14:paraId="05FCED72"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26B33CCC"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xml:space="preserve">  Fangstmængder erhvervsfiskeri</w:t>
            </w:r>
          </w:p>
        </w:tc>
        <w:tc>
          <w:tcPr>
            <w:tcW w:w="439" w:type="pct"/>
            <w:tcBorders>
              <w:top w:val="nil"/>
              <w:left w:val="nil"/>
              <w:bottom w:val="single" w:sz="4" w:space="0" w:color="auto"/>
              <w:right w:val="single" w:sz="4" w:space="0" w:color="auto"/>
            </w:tcBorders>
            <w:shd w:val="clear" w:color="000000" w:fill="FFFFFF"/>
            <w:noWrap/>
            <w:vAlign w:val="bottom"/>
            <w:hideMark/>
          </w:tcPr>
          <w:p w14:paraId="4530237E"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13.529</w:t>
            </w:r>
          </w:p>
        </w:tc>
        <w:tc>
          <w:tcPr>
            <w:tcW w:w="439" w:type="pct"/>
            <w:tcBorders>
              <w:top w:val="nil"/>
              <w:left w:val="nil"/>
              <w:bottom w:val="single" w:sz="4" w:space="0" w:color="auto"/>
              <w:right w:val="single" w:sz="4" w:space="0" w:color="auto"/>
            </w:tcBorders>
            <w:shd w:val="clear" w:color="000000" w:fill="FFFFFF"/>
            <w:noWrap/>
            <w:vAlign w:val="bottom"/>
            <w:hideMark/>
          </w:tcPr>
          <w:p w14:paraId="62CE7A41"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18.497</w:t>
            </w:r>
          </w:p>
        </w:tc>
        <w:tc>
          <w:tcPr>
            <w:tcW w:w="439" w:type="pct"/>
            <w:tcBorders>
              <w:top w:val="nil"/>
              <w:left w:val="nil"/>
              <w:bottom w:val="single" w:sz="4" w:space="0" w:color="auto"/>
              <w:right w:val="single" w:sz="4" w:space="0" w:color="auto"/>
            </w:tcBorders>
            <w:shd w:val="clear" w:color="000000" w:fill="FFFFFF"/>
            <w:noWrap/>
            <w:vAlign w:val="bottom"/>
            <w:hideMark/>
          </w:tcPr>
          <w:p w14:paraId="2634F585"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25.353</w:t>
            </w:r>
          </w:p>
        </w:tc>
        <w:tc>
          <w:tcPr>
            <w:tcW w:w="439" w:type="pct"/>
            <w:tcBorders>
              <w:top w:val="nil"/>
              <w:left w:val="nil"/>
              <w:bottom w:val="single" w:sz="4" w:space="0" w:color="auto"/>
              <w:right w:val="single" w:sz="4" w:space="0" w:color="auto"/>
            </w:tcBorders>
            <w:shd w:val="clear" w:color="000000" w:fill="FFFFFF"/>
            <w:noWrap/>
            <w:vAlign w:val="bottom"/>
            <w:hideMark/>
          </w:tcPr>
          <w:p w14:paraId="58BBA3FD"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33.893</w:t>
            </w:r>
          </w:p>
        </w:tc>
        <w:tc>
          <w:tcPr>
            <w:tcW w:w="439" w:type="pct"/>
            <w:tcBorders>
              <w:top w:val="nil"/>
              <w:left w:val="nil"/>
              <w:bottom w:val="single" w:sz="4" w:space="0" w:color="auto"/>
              <w:right w:val="single" w:sz="4" w:space="0" w:color="auto"/>
            </w:tcBorders>
            <w:shd w:val="clear" w:color="000000" w:fill="FFFFFF"/>
            <w:noWrap/>
            <w:vAlign w:val="bottom"/>
            <w:hideMark/>
          </w:tcPr>
          <w:p w14:paraId="318F155A"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31.352</w:t>
            </w:r>
          </w:p>
        </w:tc>
        <w:tc>
          <w:tcPr>
            <w:tcW w:w="439" w:type="pct"/>
            <w:tcBorders>
              <w:top w:val="nil"/>
              <w:left w:val="nil"/>
              <w:bottom w:val="single" w:sz="4" w:space="0" w:color="auto"/>
              <w:right w:val="single" w:sz="4" w:space="0" w:color="auto"/>
            </w:tcBorders>
            <w:shd w:val="clear" w:color="000000" w:fill="FFFFFF"/>
            <w:noWrap/>
            <w:vAlign w:val="bottom"/>
            <w:hideMark/>
          </w:tcPr>
          <w:p w14:paraId="5932DB83"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21.881</w:t>
            </w:r>
          </w:p>
        </w:tc>
        <w:tc>
          <w:tcPr>
            <w:tcW w:w="439" w:type="pct"/>
            <w:tcBorders>
              <w:top w:val="nil"/>
              <w:left w:val="nil"/>
              <w:bottom w:val="single" w:sz="4" w:space="0" w:color="auto"/>
              <w:right w:val="single" w:sz="4" w:space="0" w:color="auto"/>
            </w:tcBorders>
            <w:shd w:val="clear" w:color="000000" w:fill="FFFFFF"/>
            <w:noWrap/>
            <w:vAlign w:val="bottom"/>
            <w:hideMark/>
          </w:tcPr>
          <w:p w14:paraId="0F1C04D0"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18.954</w:t>
            </w:r>
          </w:p>
        </w:tc>
        <w:tc>
          <w:tcPr>
            <w:tcW w:w="439" w:type="pct"/>
            <w:tcBorders>
              <w:top w:val="nil"/>
              <w:left w:val="nil"/>
              <w:bottom w:val="single" w:sz="4" w:space="0" w:color="auto"/>
              <w:right w:val="single" w:sz="4" w:space="0" w:color="auto"/>
            </w:tcBorders>
            <w:shd w:val="clear" w:color="000000" w:fill="FFFFFF"/>
            <w:noWrap/>
            <w:vAlign w:val="bottom"/>
            <w:hideMark/>
          </w:tcPr>
          <w:p w14:paraId="40F15955"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17.527</w:t>
            </w:r>
          </w:p>
        </w:tc>
      </w:tr>
      <w:tr w:rsidR="0046055F" w:rsidRPr="003826A4" w14:paraId="6EA057C2"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532DE08A"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xml:space="preserve">  Fangstmængder fritidsfiskeri</w:t>
            </w:r>
          </w:p>
        </w:tc>
        <w:tc>
          <w:tcPr>
            <w:tcW w:w="439" w:type="pct"/>
            <w:tcBorders>
              <w:top w:val="nil"/>
              <w:left w:val="nil"/>
              <w:bottom w:val="single" w:sz="4" w:space="0" w:color="auto"/>
              <w:right w:val="single" w:sz="4" w:space="0" w:color="auto"/>
            </w:tcBorders>
            <w:shd w:val="clear" w:color="000000" w:fill="FFFFFF"/>
            <w:noWrap/>
            <w:vAlign w:val="bottom"/>
            <w:hideMark/>
          </w:tcPr>
          <w:p w14:paraId="220BFBD4"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0</w:t>
            </w:r>
          </w:p>
        </w:tc>
        <w:tc>
          <w:tcPr>
            <w:tcW w:w="439" w:type="pct"/>
            <w:tcBorders>
              <w:top w:val="nil"/>
              <w:left w:val="nil"/>
              <w:bottom w:val="single" w:sz="4" w:space="0" w:color="auto"/>
              <w:right w:val="single" w:sz="4" w:space="0" w:color="auto"/>
            </w:tcBorders>
            <w:shd w:val="clear" w:color="000000" w:fill="FFFFFF"/>
            <w:noWrap/>
            <w:vAlign w:val="bottom"/>
            <w:hideMark/>
          </w:tcPr>
          <w:p w14:paraId="40C8CADC"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0</w:t>
            </w:r>
          </w:p>
        </w:tc>
        <w:tc>
          <w:tcPr>
            <w:tcW w:w="439" w:type="pct"/>
            <w:tcBorders>
              <w:top w:val="nil"/>
              <w:left w:val="nil"/>
              <w:bottom w:val="single" w:sz="4" w:space="0" w:color="auto"/>
              <w:right w:val="single" w:sz="4" w:space="0" w:color="auto"/>
            </w:tcBorders>
            <w:shd w:val="clear" w:color="000000" w:fill="FFFFFF"/>
            <w:noWrap/>
            <w:vAlign w:val="bottom"/>
            <w:hideMark/>
          </w:tcPr>
          <w:p w14:paraId="721B2167"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0</w:t>
            </w:r>
          </w:p>
        </w:tc>
        <w:tc>
          <w:tcPr>
            <w:tcW w:w="439" w:type="pct"/>
            <w:tcBorders>
              <w:top w:val="nil"/>
              <w:left w:val="nil"/>
              <w:bottom w:val="single" w:sz="4" w:space="0" w:color="auto"/>
              <w:right w:val="single" w:sz="4" w:space="0" w:color="auto"/>
            </w:tcBorders>
            <w:shd w:val="clear" w:color="000000" w:fill="FFFFFF"/>
            <w:noWrap/>
            <w:vAlign w:val="bottom"/>
            <w:hideMark/>
          </w:tcPr>
          <w:p w14:paraId="15DD5133"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776</w:t>
            </w:r>
          </w:p>
        </w:tc>
        <w:tc>
          <w:tcPr>
            <w:tcW w:w="439" w:type="pct"/>
            <w:tcBorders>
              <w:top w:val="nil"/>
              <w:left w:val="nil"/>
              <w:bottom w:val="single" w:sz="4" w:space="0" w:color="auto"/>
              <w:right w:val="single" w:sz="4" w:space="0" w:color="auto"/>
            </w:tcBorders>
            <w:shd w:val="clear" w:color="000000" w:fill="FFFFFF"/>
            <w:noWrap/>
            <w:vAlign w:val="bottom"/>
            <w:hideMark/>
          </w:tcPr>
          <w:p w14:paraId="6680D0D7"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621</w:t>
            </w:r>
          </w:p>
        </w:tc>
        <w:tc>
          <w:tcPr>
            <w:tcW w:w="439" w:type="pct"/>
            <w:tcBorders>
              <w:top w:val="nil"/>
              <w:left w:val="nil"/>
              <w:bottom w:val="single" w:sz="4" w:space="0" w:color="auto"/>
              <w:right w:val="single" w:sz="4" w:space="0" w:color="auto"/>
            </w:tcBorders>
            <w:shd w:val="clear" w:color="000000" w:fill="FFFFFF"/>
            <w:noWrap/>
            <w:vAlign w:val="bottom"/>
            <w:hideMark/>
          </w:tcPr>
          <w:p w14:paraId="76D8B499"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1.120</w:t>
            </w:r>
          </w:p>
        </w:tc>
        <w:tc>
          <w:tcPr>
            <w:tcW w:w="439" w:type="pct"/>
            <w:tcBorders>
              <w:top w:val="nil"/>
              <w:left w:val="nil"/>
              <w:bottom w:val="single" w:sz="4" w:space="0" w:color="auto"/>
              <w:right w:val="single" w:sz="4" w:space="0" w:color="auto"/>
            </w:tcBorders>
            <w:shd w:val="clear" w:color="000000" w:fill="FFFFFF"/>
            <w:noWrap/>
            <w:vAlign w:val="bottom"/>
            <w:hideMark/>
          </w:tcPr>
          <w:p w14:paraId="72955262"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1.410</w:t>
            </w:r>
          </w:p>
        </w:tc>
        <w:tc>
          <w:tcPr>
            <w:tcW w:w="439" w:type="pct"/>
            <w:tcBorders>
              <w:top w:val="nil"/>
              <w:left w:val="nil"/>
              <w:bottom w:val="single" w:sz="4" w:space="0" w:color="auto"/>
              <w:right w:val="single" w:sz="4" w:space="0" w:color="auto"/>
            </w:tcBorders>
            <w:shd w:val="clear" w:color="000000" w:fill="FFFFFF"/>
            <w:noWrap/>
            <w:vAlign w:val="bottom"/>
            <w:hideMark/>
          </w:tcPr>
          <w:p w14:paraId="65865CBB"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783</w:t>
            </w:r>
          </w:p>
        </w:tc>
      </w:tr>
    </w:tbl>
    <w:p w14:paraId="1853A7EA" w14:textId="77777777" w:rsidR="0046055F" w:rsidRPr="004A6B3A" w:rsidRDefault="0046055F" w:rsidP="00732A54">
      <w:pPr>
        <w:spacing w:after="0" w:line="276" w:lineRule="auto"/>
        <w:jc w:val="both"/>
        <w:rPr>
          <w:rFonts w:ascii="Times New Roman" w:hAnsi="Times New Roman" w:cs="Times New Roman"/>
          <w:sz w:val="20"/>
          <w:szCs w:val="20"/>
        </w:rPr>
      </w:pPr>
      <w:r w:rsidRPr="004A6B3A">
        <w:rPr>
          <w:rFonts w:ascii="Times New Roman" w:hAnsi="Times New Roman" w:cs="Times New Roman"/>
          <w:sz w:val="20"/>
          <w:szCs w:val="20"/>
        </w:rPr>
        <w:t>Kilde: APNN.</w:t>
      </w:r>
    </w:p>
    <w:p w14:paraId="5C5D67FD" w14:textId="77777777" w:rsidR="0046055F" w:rsidRPr="004A6B3A" w:rsidRDefault="0046055F" w:rsidP="00732A54">
      <w:pPr>
        <w:spacing w:after="0" w:line="276" w:lineRule="auto"/>
        <w:jc w:val="both"/>
        <w:rPr>
          <w:rFonts w:ascii="Times New Roman" w:hAnsi="Times New Roman" w:cs="Times New Roman"/>
          <w:sz w:val="20"/>
          <w:szCs w:val="20"/>
        </w:rPr>
      </w:pPr>
      <w:r w:rsidRPr="004A6B3A">
        <w:rPr>
          <w:rFonts w:ascii="Times New Roman" w:hAnsi="Times New Roman" w:cs="Times New Roman"/>
          <w:sz w:val="20"/>
          <w:szCs w:val="20"/>
        </w:rPr>
        <w:t xml:space="preserve">Note: Den gamle rådgivningsmodel var gældende indtil 2018. Rådgivningen i rækken rådgivning, gammel i 2019 og 2020 er den estimerede samlede fangstmængder i det kystnære område i forhold til de nye rådgivning i 2019 og 2020. </w:t>
      </w:r>
    </w:p>
    <w:p w14:paraId="71091D91" w14:textId="77777777" w:rsidR="00D86D07" w:rsidRDefault="00D86D07" w:rsidP="00732A54">
      <w:pPr>
        <w:spacing w:after="0" w:line="276" w:lineRule="auto"/>
        <w:jc w:val="both"/>
        <w:rPr>
          <w:rFonts w:ascii="Times New Roman" w:hAnsi="Times New Roman" w:cs="Times New Roman"/>
        </w:rPr>
      </w:pPr>
    </w:p>
    <w:p w14:paraId="0C7DF4C0" w14:textId="78CD24C9" w:rsidR="0046055F" w:rsidRPr="004A6B3A" w:rsidRDefault="0046055F" w:rsidP="00732A54">
      <w:pPr>
        <w:spacing w:after="0" w:line="276" w:lineRule="auto"/>
        <w:jc w:val="both"/>
        <w:rPr>
          <w:rFonts w:ascii="Times New Roman" w:hAnsi="Times New Roman" w:cs="Times New Roman"/>
        </w:rPr>
      </w:pPr>
      <w:r w:rsidRPr="004A6B3A">
        <w:rPr>
          <w:rFonts w:ascii="Times New Roman" w:hAnsi="Times New Roman" w:cs="Times New Roman"/>
        </w:rPr>
        <w:t xml:space="preserve">Figur </w:t>
      </w:r>
      <w:r>
        <w:rPr>
          <w:rFonts w:ascii="Times New Roman" w:hAnsi="Times New Roman" w:cs="Times New Roman"/>
        </w:rPr>
        <w:t>4</w:t>
      </w:r>
      <w:r w:rsidRPr="004A6B3A">
        <w:rPr>
          <w:rFonts w:ascii="Times New Roman" w:hAnsi="Times New Roman" w:cs="Times New Roman"/>
        </w:rPr>
        <w:t xml:space="preserve"> viser udviklingen i de samlede årlige fangstmængder i det kystnære torskefiskeri som andel over den </w:t>
      </w:r>
      <w:r w:rsidR="00D86D07">
        <w:rPr>
          <w:rFonts w:ascii="Times New Roman" w:hAnsi="Times New Roman" w:cs="Times New Roman"/>
        </w:rPr>
        <w:t xml:space="preserve">samlede </w:t>
      </w:r>
      <w:r w:rsidRPr="004A6B3A">
        <w:rPr>
          <w:rFonts w:ascii="Times New Roman" w:hAnsi="Times New Roman" w:cs="Times New Roman"/>
        </w:rPr>
        <w:t xml:space="preserve">biologiske rådgivning </w:t>
      </w:r>
      <w:r w:rsidR="00D86D07">
        <w:rPr>
          <w:rFonts w:ascii="Times New Roman" w:hAnsi="Times New Roman" w:cs="Times New Roman"/>
        </w:rPr>
        <w:t xml:space="preserve">(indenskærs og bidrag fra udenskærs bestand) </w:t>
      </w:r>
      <w:r w:rsidRPr="004A6B3A">
        <w:rPr>
          <w:rFonts w:ascii="Times New Roman" w:hAnsi="Times New Roman" w:cs="Times New Roman"/>
        </w:rPr>
        <w:t>i perioden 2013-2020.</w:t>
      </w:r>
      <w:r>
        <w:rPr>
          <w:rFonts w:ascii="Times New Roman" w:hAnsi="Times New Roman" w:cs="Times New Roman"/>
        </w:rPr>
        <w:t xml:space="preserve"> Det fremgår af figuren at </w:t>
      </w:r>
      <w:r w:rsidR="00D86D07">
        <w:rPr>
          <w:rFonts w:ascii="Times New Roman" w:hAnsi="Times New Roman" w:cs="Times New Roman"/>
        </w:rPr>
        <w:t>andelen af fangsterne over</w:t>
      </w:r>
      <w:r>
        <w:rPr>
          <w:rFonts w:ascii="Times New Roman" w:hAnsi="Times New Roman" w:cs="Times New Roman"/>
        </w:rPr>
        <w:t xml:space="preserve"> rådgivning</w:t>
      </w:r>
      <w:r w:rsidR="00D86D07">
        <w:rPr>
          <w:rFonts w:ascii="Times New Roman" w:hAnsi="Times New Roman" w:cs="Times New Roman"/>
        </w:rPr>
        <w:t>en</w:t>
      </w:r>
      <w:r>
        <w:rPr>
          <w:rFonts w:ascii="Times New Roman" w:hAnsi="Times New Roman" w:cs="Times New Roman"/>
        </w:rPr>
        <w:t xml:space="preserve"> var i perioden 2013-2018 fra 65 pct. </w:t>
      </w:r>
      <w:r w:rsidR="00D86D07">
        <w:rPr>
          <w:rFonts w:ascii="Times New Roman" w:hAnsi="Times New Roman" w:cs="Times New Roman"/>
        </w:rPr>
        <w:t>op</w:t>
      </w:r>
      <w:r>
        <w:rPr>
          <w:rFonts w:ascii="Times New Roman" w:hAnsi="Times New Roman" w:cs="Times New Roman"/>
        </w:rPr>
        <w:t xml:space="preserve">til 180 pct. svarende til 107 pct. i gennemsnit pr. år. </w:t>
      </w:r>
      <w:r w:rsidR="00D86D07">
        <w:rPr>
          <w:rFonts w:ascii="Times New Roman" w:hAnsi="Times New Roman" w:cs="Times New Roman"/>
        </w:rPr>
        <w:t xml:space="preserve">I </w:t>
      </w:r>
      <w:r>
        <w:rPr>
          <w:rFonts w:ascii="Times New Roman" w:hAnsi="Times New Roman" w:cs="Times New Roman"/>
        </w:rPr>
        <w:t>årene 2018-2020</w:t>
      </w:r>
      <w:r w:rsidR="00D86D07">
        <w:rPr>
          <w:rFonts w:ascii="Times New Roman" w:hAnsi="Times New Roman" w:cs="Times New Roman"/>
        </w:rPr>
        <w:t xml:space="preserve"> er andelen af fangsterne over rådgivningen faldet til mellem 40-66 pct. hoved sagligt på grund af faldende fangstmængder. </w:t>
      </w:r>
    </w:p>
    <w:p w14:paraId="57231608" w14:textId="77777777" w:rsidR="0046055F" w:rsidRPr="004A6B3A" w:rsidRDefault="0046055F" w:rsidP="00732A54">
      <w:pPr>
        <w:spacing w:after="0" w:line="276" w:lineRule="auto"/>
        <w:jc w:val="both"/>
        <w:rPr>
          <w:rFonts w:ascii="Times New Roman" w:hAnsi="Times New Roman" w:cs="Times New Roman"/>
        </w:rPr>
      </w:pPr>
    </w:p>
    <w:p w14:paraId="78111828" w14:textId="0BC85599" w:rsidR="0046055F" w:rsidRPr="004A6B3A" w:rsidRDefault="0046055F" w:rsidP="00732A54">
      <w:pPr>
        <w:spacing w:after="0" w:line="276" w:lineRule="auto"/>
        <w:jc w:val="both"/>
        <w:rPr>
          <w:rFonts w:ascii="Times New Roman" w:hAnsi="Times New Roman" w:cs="Times New Roman"/>
        </w:rPr>
      </w:pPr>
      <w:r w:rsidRPr="004A6B3A">
        <w:rPr>
          <w:rFonts w:ascii="Times New Roman" w:hAnsi="Times New Roman" w:cs="Times New Roman"/>
        </w:rPr>
        <w:t xml:space="preserve">Figur </w:t>
      </w:r>
      <w:r>
        <w:rPr>
          <w:rFonts w:ascii="Times New Roman" w:hAnsi="Times New Roman" w:cs="Times New Roman"/>
        </w:rPr>
        <w:t>4</w:t>
      </w:r>
      <w:r w:rsidRPr="004A6B3A">
        <w:rPr>
          <w:rFonts w:ascii="Times New Roman" w:hAnsi="Times New Roman" w:cs="Times New Roman"/>
        </w:rPr>
        <w:t>: Samlede fangstmængder i det kystnære torskefiskeri som andel over rådgivningen, 2013-2020.</w:t>
      </w:r>
    </w:p>
    <w:p w14:paraId="42D89BE9" w14:textId="174F22BE" w:rsidR="0046055F" w:rsidRPr="004A6B3A" w:rsidRDefault="00A1084C" w:rsidP="00732A54">
      <w:pPr>
        <w:spacing w:after="0" w:line="276" w:lineRule="auto"/>
        <w:jc w:val="both"/>
        <w:rPr>
          <w:rFonts w:ascii="Times New Roman" w:hAnsi="Times New Roman" w:cs="Times New Roman"/>
        </w:rPr>
      </w:pPr>
      <w:r>
        <w:rPr>
          <w:noProof/>
          <w:lang w:eastAsia="da-DK"/>
        </w:rPr>
        <w:drawing>
          <wp:inline distT="0" distB="0" distL="0" distR="0" wp14:anchorId="51F4927D" wp14:editId="2FA56F5E">
            <wp:extent cx="6013450" cy="3105150"/>
            <wp:effectExtent l="0" t="0" r="635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DF8647" w14:textId="77777777" w:rsidR="00AE7661" w:rsidRDefault="002835F5"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Det fremgår af tabel 4 at </w:t>
      </w:r>
      <w:r w:rsidR="00AE7661">
        <w:rPr>
          <w:rFonts w:ascii="Times New Roman" w:hAnsi="Times New Roman" w:cs="Times New Roman"/>
          <w:color w:val="000000" w:themeColor="text1"/>
        </w:rPr>
        <w:t>de samlede fangster hos fritidsfiskerene har ligget mellem 621-1.410 tons pr. år i perioden 2016-2020. Kun i 2019 blev kvoten til fritidsfiskerene næsten fuldt udnyttet. Fritidsfiskeriet er hovedsagligt foregået med joller.</w:t>
      </w:r>
    </w:p>
    <w:p w14:paraId="19D329E5" w14:textId="77777777" w:rsidR="00AE7661" w:rsidRDefault="00AE7661" w:rsidP="00732A54">
      <w:pPr>
        <w:spacing w:after="0" w:line="276" w:lineRule="auto"/>
        <w:jc w:val="both"/>
        <w:rPr>
          <w:rFonts w:ascii="Times New Roman" w:hAnsi="Times New Roman" w:cs="Times New Roman"/>
          <w:color w:val="000000" w:themeColor="text1"/>
        </w:rPr>
      </w:pPr>
    </w:p>
    <w:p w14:paraId="4B447BC4" w14:textId="32707190" w:rsidR="008A6C68" w:rsidRPr="00AE7661" w:rsidRDefault="00AE7661" w:rsidP="00732A54">
      <w:pPr>
        <w:spacing w:after="0" w:line="276" w:lineRule="auto"/>
        <w:jc w:val="both"/>
        <w:rPr>
          <w:rFonts w:ascii="Times New Roman" w:hAnsi="Times New Roman" w:cs="Times New Roman"/>
          <w:color w:val="000000" w:themeColor="text1"/>
          <w:lang w:val="is-IS"/>
        </w:rPr>
      </w:pPr>
      <w:r>
        <w:rPr>
          <w:rFonts w:ascii="Times New Roman" w:hAnsi="Times New Roman" w:cs="Times New Roman"/>
          <w:color w:val="000000" w:themeColor="text1"/>
        </w:rPr>
        <w:t>De samlede torskefangster hos erhvervsfiskerene steg fra 13.529 tons i 2013 til hele 33.893 tons i 2016, svarende til en stigning på i årlig mænge på ca. 150 pct.</w:t>
      </w:r>
      <w:r w:rsidR="002835F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Fangstmængder har siden 2016 faldet hver år siden og var på det laveste niveau i 2020 siden 2014. Dette trods TAC´en hvert år har været sat betydelige højere end fangstmængderne. </w:t>
      </w:r>
      <w:r w:rsidR="00CF4BB5">
        <w:rPr>
          <w:rFonts w:ascii="Times New Roman" w:hAnsi="Times New Roman" w:cs="Times New Roman"/>
          <w:color w:val="000000" w:themeColor="text1"/>
        </w:rPr>
        <w:t>I perioden 2013-2020 har det være svingende om fartøjerne eller jollerne har fisket den større del af fangsterne, men i gennemsnit pr. år har fartøjerne fisket ca. 51 pct. og jollerne ca. 49 pct. Fiskeri med andre type fartøjer som ATV, snescootere og hundeslæder har været ubetydeligt i perioden.</w:t>
      </w:r>
    </w:p>
    <w:p w14:paraId="7F22F7E9" w14:textId="77777777" w:rsidR="00CB217F" w:rsidRDefault="00CB217F" w:rsidP="00732A54">
      <w:pPr>
        <w:spacing w:after="0" w:line="276" w:lineRule="auto"/>
        <w:jc w:val="both"/>
        <w:rPr>
          <w:rFonts w:ascii="Times New Roman" w:hAnsi="Times New Roman" w:cs="Times New Roman"/>
          <w:color w:val="000000" w:themeColor="text1"/>
        </w:rPr>
      </w:pPr>
    </w:p>
    <w:p w14:paraId="1D4CEA5E" w14:textId="3D0D0649" w:rsidR="008A6C68" w:rsidRDefault="002835F5"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Tabel 4: Udvikling i kystnære torskefangster fordelt på erhvervs- og fritidsfiskeri og fartøjstyper, 2013-2020.</w:t>
      </w:r>
    </w:p>
    <w:tbl>
      <w:tblPr>
        <w:tblW w:w="5000" w:type="pct"/>
        <w:tblCellMar>
          <w:left w:w="70" w:type="dxa"/>
          <w:right w:w="70" w:type="dxa"/>
        </w:tblCellMar>
        <w:tblLook w:val="04A0" w:firstRow="1" w:lastRow="0" w:firstColumn="1" w:lastColumn="0" w:noHBand="0" w:noVBand="1"/>
      </w:tblPr>
      <w:tblGrid>
        <w:gridCol w:w="2394"/>
        <w:gridCol w:w="905"/>
        <w:gridCol w:w="905"/>
        <w:gridCol w:w="905"/>
        <w:gridCol w:w="905"/>
        <w:gridCol w:w="905"/>
        <w:gridCol w:w="905"/>
        <w:gridCol w:w="905"/>
        <w:gridCol w:w="899"/>
      </w:tblGrid>
      <w:tr w:rsidR="002835F5" w:rsidRPr="002835F5" w14:paraId="37A88568" w14:textId="77777777" w:rsidTr="002835F5">
        <w:trPr>
          <w:trHeight w:val="300"/>
        </w:trPr>
        <w:tc>
          <w:tcPr>
            <w:tcW w:w="124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4057B"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Tons</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19032BE2"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2013</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29B73BAB"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2014</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7578DC4B"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2015</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38A82CE5"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2016</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26CF2C94"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2017</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74EDE601"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2018</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659DB610"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2019</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6E5E6DD5"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2020</w:t>
            </w:r>
          </w:p>
        </w:tc>
      </w:tr>
      <w:tr w:rsidR="002835F5" w:rsidRPr="002835F5" w14:paraId="4D83B538"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5712B887"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Erhvervsfiskeri</w:t>
            </w:r>
          </w:p>
        </w:tc>
        <w:tc>
          <w:tcPr>
            <w:tcW w:w="470" w:type="pct"/>
            <w:tcBorders>
              <w:top w:val="nil"/>
              <w:left w:val="nil"/>
              <w:bottom w:val="single" w:sz="4" w:space="0" w:color="auto"/>
              <w:right w:val="single" w:sz="4" w:space="0" w:color="auto"/>
            </w:tcBorders>
            <w:shd w:val="clear" w:color="000000" w:fill="FFFFFF"/>
            <w:noWrap/>
            <w:vAlign w:val="bottom"/>
            <w:hideMark/>
          </w:tcPr>
          <w:p w14:paraId="043DF368"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13.529</w:t>
            </w:r>
          </w:p>
        </w:tc>
        <w:tc>
          <w:tcPr>
            <w:tcW w:w="470" w:type="pct"/>
            <w:tcBorders>
              <w:top w:val="nil"/>
              <w:left w:val="nil"/>
              <w:bottom w:val="single" w:sz="4" w:space="0" w:color="auto"/>
              <w:right w:val="single" w:sz="4" w:space="0" w:color="auto"/>
            </w:tcBorders>
            <w:shd w:val="clear" w:color="000000" w:fill="FFFFFF"/>
            <w:noWrap/>
            <w:vAlign w:val="bottom"/>
            <w:hideMark/>
          </w:tcPr>
          <w:p w14:paraId="57AF8085"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18.497</w:t>
            </w:r>
          </w:p>
        </w:tc>
        <w:tc>
          <w:tcPr>
            <w:tcW w:w="470" w:type="pct"/>
            <w:tcBorders>
              <w:top w:val="nil"/>
              <w:left w:val="nil"/>
              <w:bottom w:val="single" w:sz="4" w:space="0" w:color="auto"/>
              <w:right w:val="single" w:sz="4" w:space="0" w:color="auto"/>
            </w:tcBorders>
            <w:shd w:val="clear" w:color="000000" w:fill="FFFFFF"/>
            <w:noWrap/>
            <w:vAlign w:val="bottom"/>
            <w:hideMark/>
          </w:tcPr>
          <w:p w14:paraId="02E260D0"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25.353</w:t>
            </w:r>
          </w:p>
        </w:tc>
        <w:tc>
          <w:tcPr>
            <w:tcW w:w="470" w:type="pct"/>
            <w:tcBorders>
              <w:top w:val="nil"/>
              <w:left w:val="nil"/>
              <w:bottom w:val="single" w:sz="4" w:space="0" w:color="auto"/>
              <w:right w:val="single" w:sz="4" w:space="0" w:color="auto"/>
            </w:tcBorders>
            <w:shd w:val="clear" w:color="000000" w:fill="FFFFFF"/>
            <w:noWrap/>
            <w:vAlign w:val="bottom"/>
            <w:hideMark/>
          </w:tcPr>
          <w:p w14:paraId="41A8ADA8"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33.893</w:t>
            </w:r>
          </w:p>
        </w:tc>
        <w:tc>
          <w:tcPr>
            <w:tcW w:w="470" w:type="pct"/>
            <w:tcBorders>
              <w:top w:val="nil"/>
              <w:left w:val="nil"/>
              <w:bottom w:val="single" w:sz="4" w:space="0" w:color="auto"/>
              <w:right w:val="single" w:sz="4" w:space="0" w:color="auto"/>
            </w:tcBorders>
            <w:shd w:val="clear" w:color="000000" w:fill="FFFFFF"/>
            <w:noWrap/>
            <w:vAlign w:val="bottom"/>
            <w:hideMark/>
          </w:tcPr>
          <w:p w14:paraId="7F1AD24F"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31.352</w:t>
            </w:r>
          </w:p>
        </w:tc>
        <w:tc>
          <w:tcPr>
            <w:tcW w:w="470" w:type="pct"/>
            <w:tcBorders>
              <w:top w:val="nil"/>
              <w:left w:val="nil"/>
              <w:bottom w:val="single" w:sz="4" w:space="0" w:color="auto"/>
              <w:right w:val="single" w:sz="4" w:space="0" w:color="auto"/>
            </w:tcBorders>
            <w:shd w:val="clear" w:color="000000" w:fill="FFFFFF"/>
            <w:noWrap/>
            <w:vAlign w:val="bottom"/>
            <w:hideMark/>
          </w:tcPr>
          <w:p w14:paraId="43030E18"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21.881</w:t>
            </w:r>
          </w:p>
        </w:tc>
        <w:tc>
          <w:tcPr>
            <w:tcW w:w="470" w:type="pct"/>
            <w:tcBorders>
              <w:top w:val="nil"/>
              <w:left w:val="nil"/>
              <w:bottom w:val="single" w:sz="4" w:space="0" w:color="auto"/>
              <w:right w:val="single" w:sz="4" w:space="0" w:color="auto"/>
            </w:tcBorders>
            <w:shd w:val="clear" w:color="000000" w:fill="FFFFFF"/>
            <w:noWrap/>
            <w:vAlign w:val="bottom"/>
            <w:hideMark/>
          </w:tcPr>
          <w:p w14:paraId="6740900C"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18.954</w:t>
            </w:r>
          </w:p>
        </w:tc>
        <w:tc>
          <w:tcPr>
            <w:tcW w:w="470" w:type="pct"/>
            <w:tcBorders>
              <w:top w:val="nil"/>
              <w:left w:val="nil"/>
              <w:bottom w:val="single" w:sz="4" w:space="0" w:color="auto"/>
              <w:right w:val="single" w:sz="4" w:space="0" w:color="auto"/>
            </w:tcBorders>
            <w:shd w:val="clear" w:color="000000" w:fill="FFFFFF"/>
            <w:noWrap/>
            <w:vAlign w:val="bottom"/>
            <w:hideMark/>
          </w:tcPr>
          <w:p w14:paraId="32E31AB1"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17.527</w:t>
            </w:r>
          </w:p>
        </w:tc>
      </w:tr>
      <w:tr w:rsidR="002835F5" w:rsidRPr="002835F5" w14:paraId="2E20733C"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50CBF2AB"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 xml:space="preserve">  Fartøjer</w:t>
            </w:r>
          </w:p>
        </w:tc>
        <w:tc>
          <w:tcPr>
            <w:tcW w:w="470" w:type="pct"/>
            <w:tcBorders>
              <w:top w:val="nil"/>
              <w:left w:val="nil"/>
              <w:bottom w:val="single" w:sz="4" w:space="0" w:color="auto"/>
              <w:right w:val="single" w:sz="4" w:space="0" w:color="auto"/>
            </w:tcBorders>
            <w:shd w:val="clear" w:color="000000" w:fill="FFFFFF"/>
            <w:noWrap/>
            <w:vAlign w:val="bottom"/>
            <w:hideMark/>
          </w:tcPr>
          <w:p w14:paraId="3B297558"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7.864</w:t>
            </w:r>
          </w:p>
        </w:tc>
        <w:tc>
          <w:tcPr>
            <w:tcW w:w="470" w:type="pct"/>
            <w:tcBorders>
              <w:top w:val="nil"/>
              <w:left w:val="nil"/>
              <w:bottom w:val="single" w:sz="4" w:space="0" w:color="auto"/>
              <w:right w:val="single" w:sz="4" w:space="0" w:color="auto"/>
            </w:tcBorders>
            <w:shd w:val="clear" w:color="000000" w:fill="FFFFFF"/>
            <w:noWrap/>
            <w:vAlign w:val="bottom"/>
            <w:hideMark/>
          </w:tcPr>
          <w:p w14:paraId="40878809"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8.671</w:t>
            </w:r>
          </w:p>
        </w:tc>
        <w:tc>
          <w:tcPr>
            <w:tcW w:w="470" w:type="pct"/>
            <w:tcBorders>
              <w:top w:val="nil"/>
              <w:left w:val="nil"/>
              <w:bottom w:val="single" w:sz="4" w:space="0" w:color="auto"/>
              <w:right w:val="single" w:sz="4" w:space="0" w:color="auto"/>
            </w:tcBorders>
            <w:shd w:val="clear" w:color="000000" w:fill="FFFFFF"/>
            <w:noWrap/>
            <w:vAlign w:val="bottom"/>
            <w:hideMark/>
          </w:tcPr>
          <w:p w14:paraId="2A7A9DA8"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12.431</w:t>
            </w:r>
          </w:p>
        </w:tc>
        <w:tc>
          <w:tcPr>
            <w:tcW w:w="470" w:type="pct"/>
            <w:tcBorders>
              <w:top w:val="nil"/>
              <w:left w:val="nil"/>
              <w:bottom w:val="single" w:sz="4" w:space="0" w:color="auto"/>
              <w:right w:val="single" w:sz="4" w:space="0" w:color="auto"/>
            </w:tcBorders>
            <w:shd w:val="clear" w:color="000000" w:fill="FFFFFF"/>
            <w:noWrap/>
            <w:vAlign w:val="bottom"/>
            <w:hideMark/>
          </w:tcPr>
          <w:p w14:paraId="3CFF0E72"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17.143</w:t>
            </w:r>
          </w:p>
        </w:tc>
        <w:tc>
          <w:tcPr>
            <w:tcW w:w="470" w:type="pct"/>
            <w:tcBorders>
              <w:top w:val="nil"/>
              <w:left w:val="nil"/>
              <w:bottom w:val="single" w:sz="4" w:space="0" w:color="auto"/>
              <w:right w:val="single" w:sz="4" w:space="0" w:color="auto"/>
            </w:tcBorders>
            <w:shd w:val="clear" w:color="000000" w:fill="FFFFFF"/>
            <w:noWrap/>
            <w:vAlign w:val="bottom"/>
            <w:hideMark/>
          </w:tcPr>
          <w:p w14:paraId="1FDA1225"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14.536</w:t>
            </w:r>
          </w:p>
        </w:tc>
        <w:tc>
          <w:tcPr>
            <w:tcW w:w="470" w:type="pct"/>
            <w:tcBorders>
              <w:top w:val="nil"/>
              <w:left w:val="nil"/>
              <w:bottom w:val="single" w:sz="4" w:space="0" w:color="auto"/>
              <w:right w:val="single" w:sz="4" w:space="0" w:color="auto"/>
            </w:tcBorders>
            <w:shd w:val="clear" w:color="000000" w:fill="FFFFFF"/>
            <w:noWrap/>
            <w:vAlign w:val="bottom"/>
            <w:hideMark/>
          </w:tcPr>
          <w:p w14:paraId="0BF6CA0B"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10.893</w:t>
            </w:r>
          </w:p>
        </w:tc>
        <w:tc>
          <w:tcPr>
            <w:tcW w:w="470" w:type="pct"/>
            <w:tcBorders>
              <w:top w:val="nil"/>
              <w:left w:val="nil"/>
              <w:bottom w:val="single" w:sz="4" w:space="0" w:color="auto"/>
              <w:right w:val="single" w:sz="4" w:space="0" w:color="auto"/>
            </w:tcBorders>
            <w:shd w:val="clear" w:color="000000" w:fill="FFFFFF"/>
            <w:noWrap/>
            <w:vAlign w:val="bottom"/>
            <w:hideMark/>
          </w:tcPr>
          <w:p w14:paraId="15B1CF1B"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10.086</w:t>
            </w:r>
          </w:p>
        </w:tc>
        <w:tc>
          <w:tcPr>
            <w:tcW w:w="470" w:type="pct"/>
            <w:tcBorders>
              <w:top w:val="nil"/>
              <w:left w:val="nil"/>
              <w:bottom w:val="single" w:sz="4" w:space="0" w:color="auto"/>
              <w:right w:val="single" w:sz="4" w:space="0" w:color="auto"/>
            </w:tcBorders>
            <w:shd w:val="clear" w:color="000000" w:fill="FFFFFF"/>
            <w:noWrap/>
            <w:vAlign w:val="bottom"/>
            <w:hideMark/>
          </w:tcPr>
          <w:p w14:paraId="616300BE"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9.529</w:t>
            </w:r>
          </w:p>
        </w:tc>
      </w:tr>
      <w:tr w:rsidR="002835F5" w:rsidRPr="002835F5" w14:paraId="58ACEFDF"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2DF18217"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 xml:space="preserve">  Joller</w:t>
            </w:r>
          </w:p>
        </w:tc>
        <w:tc>
          <w:tcPr>
            <w:tcW w:w="470" w:type="pct"/>
            <w:tcBorders>
              <w:top w:val="nil"/>
              <w:left w:val="nil"/>
              <w:bottom w:val="single" w:sz="4" w:space="0" w:color="auto"/>
              <w:right w:val="single" w:sz="4" w:space="0" w:color="auto"/>
            </w:tcBorders>
            <w:shd w:val="clear" w:color="000000" w:fill="FFFFFF"/>
            <w:noWrap/>
            <w:vAlign w:val="bottom"/>
            <w:hideMark/>
          </w:tcPr>
          <w:p w14:paraId="25187629"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5.633</w:t>
            </w:r>
          </w:p>
        </w:tc>
        <w:tc>
          <w:tcPr>
            <w:tcW w:w="470" w:type="pct"/>
            <w:tcBorders>
              <w:top w:val="nil"/>
              <w:left w:val="nil"/>
              <w:bottom w:val="single" w:sz="4" w:space="0" w:color="auto"/>
              <w:right w:val="single" w:sz="4" w:space="0" w:color="auto"/>
            </w:tcBorders>
            <w:shd w:val="clear" w:color="000000" w:fill="FFFFFF"/>
            <w:noWrap/>
            <w:vAlign w:val="bottom"/>
            <w:hideMark/>
          </w:tcPr>
          <w:p w14:paraId="3679D983"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9.766</w:t>
            </w:r>
          </w:p>
        </w:tc>
        <w:tc>
          <w:tcPr>
            <w:tcW w:w="470" w:type="pct"/>
            <w:tcBorders>
              <w:top w:val="nil"/>
              <w:left w:val="nil"/>
              <w:bottom w:val="single" w:sz="4" w:space="0" w:color="auto"/>
              <w:right w:val="single" w:sz="4" w:space="0" w:color="auto"/>
            </w:tcBorders>
            <w:shd w:val="clear" w:color="000000" w:fill="FFFFFF"/>
            <w:noWrap/>
            <w:vAlign w:val="bottom"/>
            <w:hideMark/>
          </w:tcPr>
          <w:p w14:paraId="7B9A4F87"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12.699</w:t>
            </w:r>
          </w:p>
        </w:tc>
        <w:tc>
          <w:tcPr>
            <w:tcW w:w="470" w:type="pct"/>
            <w:tcBorders>
              <w:top w:val="nil"/>
              <w:left w:val="nil"/>
              <w:bottom w:val="single" w:sz="4" w:space="0" w:color="auto"/>
              <w:right w:val="single" w:sz="4" w:space="0" w:color="auto"/>
            </w:tcBorders>
            <w:shd w:val="clear" w:color="000000" w:fill="FFFFFF"/>
            <w:noWrap/>
            <w:vAlign w:val="bottom"/>
            <w:hideMark/>
          </w:tcPr>
          <w:p w14:paraId="69E9DF2F"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16.706</w:t>
            </w:r>
          </w:p>
        </w:tc>
        <w:tc>
          <w:tcPr>
            <w:tcW w:w="470" w:type="pct"/>
            <w:tcBorders>
              <w:top w:val="nil"/>
              <w:left w:val="nil"/>
              <w:bottom w:val="single" w:sz="4" w:space="0" w:color="auto"/>
              <w:right w:val="single" w:sz="4" w:space="0" w:color="auto"/>
            </w:tcBorders>
            <w:shd w:val="clear" w:color="000000" w:fill="FFFFFF"/>
            <w:noWrap/>
            <w:vAlign w:val="bottom"/>
            <w:hideMark/>
          </w:tcPr>
          <w:p w14:paraId="4C23F2B4"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16.698</w:t>
            </w:r>
          </w:p>
        </w:tc>
        <w:tc>
          <w:tcPr>
            <w:tcW w:w="470" w:type="pct"/>
            <w:tcBorders>
              <w:top w:val="nil"/>
              <w:left w:val="nil"/>
              <w:bottom w:val="single" w:sz="4" w:space="0" w:color="auto"/>
              <w:right w:val="single" w:sz="4" w:space="0" w:color="auto"/>
            </w:tcBorders>
            <w:shd w:val="clear" w:color="000000" w:fill="FFFFFF"/>
            <w:noWrap/>
            <w:vAlign w:val="bottom"/>
            <w:hideMark/>
          </w:tcPr>
          <w:p w14:paraId="1A22BB0F"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10.767</w:t>
            </w:r>
          </w:p>
        </w:tc>
        <w:tc>
          <w:tcPr>
            <w:tcW w:w="470" w:type="pct"/>
            <w:tcBorders>
              <w:top w:val="nil"/>
              <w:left w:val="nil"/>
              <w:bottom w:val="single" w:sz="4" w:space="0" w:color="auto"/>
              <w:right w:val="single" w:sz="4" w:space="0" w:color="auto"/>
            </w:tcBorders>
            <w:shd w:val="clear" w:color="000000" w:fill="FFFFFF"/>
            <w:noWrap/>
            <w:vAlign w:val="bottom"/>
            <w:hideMark/>
          </w:tcPr>
          <w:p w14:paraId="416EF5DB"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8.800</w:t>
            </w:r>
          </w:p>
        </w:tc>
        <w:tc>
          <w:tcPr>
            <w:tcW w:w="470" w:type="pct"/>
            <w:tcBorders>
              <w:top w:val="nil"/>
              <w:left w:val="nil"/>
              <w:bottom w:val="single" w:sz="4" w:space="0" w:color="auto"/>
              <w:right w:val="single" w:sz="4" w:space="0" w:color="auto"/>
            </w:tcBorders>
            <w:shd w:val="clear" w:color="000000" w:fill="FFFFFF"/>
            <w:noWrap/>
            <w:vAlign w:val="bottom"/>
            <w:hideMark/>
          </w:tcPr>
          <w:p w14:paraId="58DAB05E"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7.914</w:t>
            </w:r>
          </w:p>
        </w:tc>
      </w:tr>
      <w:tr w:rsidR="002835F5" w:rsidRPr="002835F5" w14:paraId="6A0A72FC"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7D7B2329"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 xml:space="preserve">  Andet</w:t>
            </w:r>
          </w:p>
        </w:tc>
        <w:tc>
          <w:tcPr>
            <w:tcW w:w="470" w:type="pct"/>
            <w:tcBorders>
              <w:top w:val="nil"/>
              <w:left w:val="nil"/>
              <w:bottom w:val="single" w:sz="4" w:space="0" w:color="auto"/>
              <w:right w:val="single" w:sz="4" w:space="0" w:color="auto"/>
            </w:tcBorders>
            <w:shd w:val="clear" w:color="000000" w:fill="FFFFFF"/>
            <w:noWrap/>
            <w:vAlign w:val="bottom"/>
            <w:hideMark/>
          </w:tcPr>
          <w:p w14:paraId="7800E456"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32</w:t>
            </w:r>
          </w:p>
        </w:tc>
        <w:tc>
          <w:tcPr>
            <w:tcW w:w="470" w:type="pct"/>
            <w:tcBorders>
              <w:top w:val="nil"/>
              <w:left w:val="nil"/>
              <w:bottom w:val="single" w:sz="4" w:space="0" w:color="auto"/>
              <w:right w:val="single" w:sz="4" w:space="0" w:color="auto"/>
            </w:tcBorders>
            <w:shd w:val="clear" w:color="000000" w:fill="FFFFFF"/>
            <w:noWrap/>
            <w:vAlign w:val="bottom"/>
            <w:hideMark/>
          </w:tcPr>
          <w:p w14:paraId="5544AE9A"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60</w:t>
            </w:r>
          </w:p>
        </w:tc>
        <w:tc>
          <w:tcPr>
            <w:tcW w:w="470" w:type="pct"/>
            <w:tcBorders>
              <w:top w:val="nil"/>
              <w:left w:val="nil"/>
              <w:bottom w:val="single" w:sz="4" w:space="0" w:color="auto"/>
              <w:right w:val="single" w:sz="4" w:space="0" w:color="auto"/>
            </w:tcBorders>
            <w:shd w:val="clear" w:color="000000" w:fill="FFFFFF"/>
            <w:noWrap/>
            <w:vAlign w:val="bottom"/>
            <w:hideMark/>
          </w:tcPr>
          <w:p w14:paraId="46EB316C"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223</w:t>
            </w:r>
          </w:p>
        </w:tc>
        <w:tc>
          <w:tcPr>
            <w:tcW w:w="470" w:type="pct"/>
            <w:tcBorders>
              <w:top w:val="nil"/>
              <w:left w:val="nil"/>
              <w:bottom w:val="single" w:sz="4" w:space="0" w:color="auto"/>
              <w:right w:val="single" w:sz="4" w:space="0" w:color="auto"/>
            </w:tcBorders>
            <w:shd w:val="clear" w:color="000000" w:fill="FFFFFF"/>
            <w:noWrap/>
            <w:vAlign w:val="bottom"/>
            <w:hideMark/>
          </w:tcPr>
          <w:p w14:paraId="47D3D027"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44</w:t>
            </w:r>
          </w:p>
        </w:tc>
        <w:tc>
          <w:tcPr>
            <w:tcW w:w="470" w:type="pct"/>
            <w:tcBorders>
              <w:top w:val="nil"/>
              <w:left w:val="nil"/>
              <w:bottom w:val="single" w:sz="4" w:space="0" w:color="auto"/>
              <w:right w:val="single" w:sz="4" w:space="0" w:color="auto"/>
            </w:tcBorders>
            <w:shd w:val="clear" w:color="000000" w:fill="FFFFFF"/>
            <w:noWrap/>
            <w:vAlign w:val="bottom"/>
            <w:hideMark/>
          </w:tcPr>
          <w:p w14:paraId="23E552CB"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118</w:t>
            </w:r>
          </w:p>
        </w:tc>
        <w:tc>
          <w:tcPr>
            <w:tcW w:w="470" w:type="pct"/>
            <w:tcBorders>
              <w:top w:val="nil"/>
              <w:left w:val="nil"/>
              <w:bottom w:val="single" w:sz="4" w:space="0" w:color="auto"/>
              <w:right w:val="single" w:sz="4" w:space="0" w:color="auto"/>
            </w:tcBorders>
            <w:shd w:val="clear" w:color="000000" w:fill="FFFFFF"/>
            <w:noWrap/>
            <w:vAlign w:val="bottom"/>
            <w:hideMark/>
          </w:tcPr>
          <w:p w14:paraId="2FA5FB6E"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220</w:t>
            </w:r>
          </w:p>
        </w:tc>
        <w:tc>
          <w:tcPr>
            <w:tcW w:w="470" w:type="pct"/>
            <w:tcBorders>
              <w:top w:val="nil"/>
              <w:left w:val="nil"/>
              <w:bottom w:val="single" w:sz="4" w:space="0" w:color="auto"/>
              <w:right w:val="single" w:sz="4" w:space="0" w:color="auto"/>
            </w:tcBorders>
            <w:shd w:val="clear" w:color="000000" w:fill="FFFFFF"/>
            <w:noWrap/>
            <w:vAlign w:val="bottom"/>
            <w:hideMark/>
          </w:tcPr>
          <w:p w14:paraId="0DAB81F5"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68</w:t>
            </w:r>
          </w:p>
        </w:tc>
        <w:tc>
          <w:tcPr>
            <w:tcW w:w="470" w:type="pct"/>
            <w:tcBorders>
              <w:top w:val="nil"/>
              <w:left w:val="nil"/>
              <w:bottom w:val="single" w:sz="4" w:space="0" w:color="auto"/>
              <w:right w:val="single" w:sz="4" w:space="0" w:color="auto"/>
            </w:tcBorders>
            <w:shd w:val="clear" w:color="000000" w:fill="FFFFFF"/>
            <w:noWrap/>
            <w:vAlign w:val="bottom"/>
            <w:hideMark/>
          </w:tcPr>
          <w:p w14:paraId="07A54310"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85</w:t>
            </w:r>
          </w:p>
        </w:tc>
      </w:tr>
      <w:tr w:rsidR="002835F5" w:rsidRPr="002835F5" w14:paraId="69381A59"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2DEA13E6"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Fritidsfiskeri</w:t>
            </w:r>
          </w:p>
        </w:tc>
        <w:tc>
          <w:tcPr>
            <w:tcW w:w="470" w:type="pct"/>
            <w:tcBorders>
              <w:top w:val="nil"/>
              <w:left w:val="nil"/>
              <w:bottom w:val="single" w:sz="4" w:space="0" w:color="auto"/>
              <w:right w:val="single" w:sz="4" w:space="0" w:color="auto"/>
            </w:tcBorders>
            <w:shd w:val="clear" w:color="000000" w:fill="FFFFFF"/>
            <w:noWrap/>
            <w:vAlign w:val="bottom"/>
            <w:hideMark/>
          </w:tcPr>
          <w:p w14:paraId="080A3D0B"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0BD48459"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72E60A65"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7E29AA24"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776</w:t>
            </w:r>
          </w:p>
        </w:tc>
        <w:tc>
          <w:tcPr>
            <w:tcW w:w="470" w:type="pct"/>
            <w:tcBorders>
              <w:top w:val="nil"/>
              <w:left w:val="nil"/>
              <w:bottom w:val="single" w:sz="4" w:space="0" w:color="auto"/>
              <w:right w:val="single" w:sz="4" w:space="0" w:color="auto"/>
            </w:tcBorders>
            <w:shd w:val="clear" w:color="000000" w:fill="FFFFFF"/>
            <w:noWrap/>
            <w:vAlign w:val="bottom"/>
            <w:hideMark/>
          </w:tcPr>
          <w:p w14:paraId="1F71252F"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621</w:t>
            </w:r>
          </w:p>
        </w:tc>
        <w:tc>
          <w:tcPr>
            <w:tcW w:w="470" w:type="pct"/>
            <w:tcBorders>
              <w:top w:val="nil"/>
              <w:left w:val="nil"/>
              <w:bottom w:val="single" w:sz="4" w:space="0" w:color="auto"/>
              <w:right w:val="single" w:sz="4" w:space="0" w:color="auto"/>
            </w:tcBorders>
            <w:shd w:val="clear" w:color="000000" w:fill="FFFFFF"/>
            <w:noWrap/>
            <w:vAlign w:val="bottom"/>
            <w:hideMark/>
          </w:tcPr>
          <w:p w14:paraId="52AC4A86"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1.120</w:t>
            </w:r>
          </w:p>
        </w:tc>
        <w:tc>
          <w:tcPr>
            <w:tcW w:w="470" w:type="pct"/>
            <w:tcBorders>
              <w:top w:val="nil"/>
              <w:left w:val="nil"/>
              <w:bottom w:val="single" w:sz="4" w:space="0" w:color="auto"/>
              <w:right w:val="single" w:sz="4" w:space="0" w:color="auto"/>
            </w:tcBorders>
            <w:shd w:val="clear" w:color="000000" w:fill="FFFFFF"/>
            <w:noWrap/>
            <w:vAlign w:val="bottom"/>
            <w:hideMark/>
          </w:tcPr>
          <w:p w14:paraId="36B3D757"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1.410</w:t>
            </w:r>
          </w:p>
        </w:tc>
        <w:tc>
          <w:tcPr>
            <w:tcW w:w="470" w:type="pct"/>
            <w:tcBorders>
              <w:top w:val="nil"/>
              <w:left w:val="nil"/>
              <w:bottom w:val="single" w:sz="4" w:space="0" w:color="auto"/>
              <w:right w:val="single" w:sz="4" w:space="0" w:color="auto"/>
            </w:tcBorders>
            <w:shd w:val="clear" w:color="000000" w:fill="FFFFFF"/>
            <w:noWrap/>
            <w:vAlign w:val="bottom"/>
            <w:hideMark/>
          </w:tcPr>
          <w:p w14:paraId="2C58E439"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783</w:t>
            </w:r>
          </w:p>
        </w:tc>
      </w:tr>
      <w:tr w:rsidR="002835F5" w:rsidRPr="002835F5" w14:paraId="53AA42C8"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2857B8A7"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 xml:space="preserve">  Joller</w:t>
            </w:r>
          </w:p>
        </w:tc>
        <w:tc>
          <w:tcPr>
            <w:tcW w:w="470" w:type="pct"/>
            <w:tcBorders>
              <w:top w:val="nil"/>
              <w:left w:val="nil"/>
              <w:bottom w:val="single" w:sz="4" w:space="0" w:color="auto"/>
              <w:right w:val="single" w:sz="4" w:space="0" w:color="auto"/>
            </w:tcBorders>
            <w:shd w:val="clear" w:color="000000" w:fill="FFFFFF"/>
            <w:noWrap/>
            <w:vAlign w:val="bottom"/>
            <w:hideMark/>
          </w:tcPr>
          <w:p w14:paraId="48539CDC"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4AB5749F"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2E47C34A"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121BCB52"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776</w:t>
            </w:r>
          </w:p>
        </w:tc>
        <w:tc>
          <w:tcPr>
            <w:tcW w:w="470" w:type="pct"/>
            <w:tcBorders>
              <w:top w:val="nil"/>
              <w:left w:val="nil"/>
              <w:bottom w:val="single" w:sz="4" w:space="0" w:color="auto"/>
              <w:right w:val="single" w:sz="4" w:space="0" w:color="auto"/>
            </w:tcBorders>
            <w:shd w:val="clear" w:color="000000" w:fill="FFFFFF"/>
            <w:noWrap/>
            <w:vAlign w:val="bottom"/>
            <w:hideMark/>
          </w:tcPr>
          <w:p w14:paraId="4F53CFAC"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620</w:t>
            </w:r>
          </w:p>
        </w:tc>
        <w:tc>
          <w:tcPr>
            <w:tcW w:w="470" w:type="pct"/>
            <w:tcBorders>
              <w:top w:val="nil"/>
              <w:left w:val="nil"/>
              <w:bottom w:val="single" w:sz="4" w:space="0" w:color="auto"/>
              <w:right w:val="single" w:sz="4" w:space="0" w:color="auto"/>
            </w:tcBorders>
            <w:shd w:val="clear" w:color="000000" w:fill="FFFFFF"/>
            <w:noWrap/>
            <w:vAlign w:val="bottom"/>
            <w:hideMark/>
          </w:tcPr>
          <w:p w14:paraId="5D52CCE1"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1.103</w:t>
            </w:r>
          </w:p>
        </w:tc>
        <w:tc>
          <w:tcPr>
            <w:tcW w:w="470" w:type="pct"/>
            <w:tcBorders>
              <w:top w:val="nil"/>
              <w:left w:val="nil"/>
              <w:bottom w:val="single" w:sz="4" w:space="0" w:color="auto"/>
              <w:right w:val="single" w:sz="4" w:space="0" w:color="auto"/>
            </w:tcBorders>
            <w:shd w:val="clear" w:color="000000" w:fill="FFFFFF"/>
            <w:noWrap/>
            <w:vAlign w:val="bottom"/>
            <w:hideMark/>
          </w:tcPr>
          <w:p w14:paraId="4C8AB3F2"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1.393</w:t>
            </w:r>
          </w:p>
        </w:tc>
        <w:tc>
          <w:tcPr>
            <w:tcW w:w="470" w:type="pct"/>
            <w:tcBorders>
              <w:top w:val="nil"/>
              <w:left w:val="nil"/>
              <w:bottom w:val="single" w:sz="4" w:space="0" w:color="auto"/>
              <w:right w:val="single" w:sz="4" w:space="0" w:color="auto"/>
            </w:tcBorders>
            <w:shd w:val="clear" w:color="000000" w:fill="FFFFFF"/>
            <w:noWrap/>
            <w:vAlign w:val="bottom"/>
            <w:hideMark/>
          </w:tcPr>
          <w:p w14:paraId="00262D73"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764</w:t>
            </w:r>
          </w:p>
        </w:tc>
      </w:tr>
      <w:tr w:rsidR="002835F5" w:rsidRPr="002835F5" w14:paraId="354986A3"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45D0E0BA"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 xml:space="preserve">  Andet</w:t>
            </w:r>
          </w:p>
        </w:tc>
        <w:tc>
          <w:tcPr>
            <w:tcW w:w="470" w:type="pct"/>
            <w:tcBorders>
              <w:top w:val="nil"/>
              <w:left w:val="nil"/>
              <w:bottom w:val="single" w:sz="4" w:space="0" w:color="auto"/>
              <w:right w:val="single" w:sz="4" w:space="0" w:color="auto"/>
            </w:tcBorders>
            <w:shd w:val="clear" w:color="000000" w:fill="FFFFFF"/>
            <w:noWrap/>
            <w:vAlign w:val="bottom"/>
            <w:hideMark/>
          </w:tcPr>
          <w:p w14:paraId="794A2146"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2BEB753D"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02FD73EA"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505487D0"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55EB0C0F"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w:t>
            </w:r>
          </w:p>
        </w:tc>
        <w:tc>
          <w:tcPr>
            <w:tcW w:w="470" w:type="pct"/>
            <w:tcBorders>
              <w:top w:val="nil"/>
              <w:left w:val="nil"/>
              <w:bottom w:val="single" w:sz="4" w:space="0" w:color="auto"/>
              <w:right w:val="single" w:sz="4" w:space="0" w:color="auto"/>
            </w:tcBorders>
            <w:shd w:val="clear" w:color="000000" w:fill="FFFFFF"/>
            <w:noWrap/>
            <w:vAlign w:val="bottom"/>
            <w:hideMark/>
          </w:tcPr>
          <w:p w14:paraId="353A6F98"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17</w:t>
            </w:r>
          </w:p>
        </w:tc>
        <w:tc>
          <w:tcPr>
            <w:tcW w:w="470" w:type="pct"/>
            <w:tcBorders>
              <w:top w:val="nil"/>
              <w:left w:val="nil"/>
              <w:bottom w:val="single" w:sz="4" w:space="0" w:color="auto"/>
              <w:right w:val="single" w:sz="4" w:space="0" w:color="auto"/>
            </w:tcBorders>
            <w:shd w:val="clear" w:color="000000" w:fill="FFFFFF"/>
            <w:noWrap/>
            <w:vAlign w:val="bottom"/>
            <w:hideMark/>
          </w:tcPr>
          <w:p w14:paraId="1DD7F363"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18</w:t>
            </w:r>
          </w:p>
        </w:tc>
        <w:tc>
          <w:tcPr>
            <w:tcW w:w="470" w:type="pct"/>
            <w:tcBorders>
              <w:top w:val="nil"/>
              <w:left w:val="nil"/>
              <w:bottom w:val="single" w:sz="4" w:space="0" w:color="auto"/>
              <w:right w:val="single" w:sz="4" w:space="0" w:color="auto"/>
            </w:tcBorders>
            <w:shd w:val="clear" w:color="000000" w:fill="FFFFFF"/>
            <w:noWrap/>
            <w:vAlign w:val="bottom"/>
            <w:hideMark/>
          </w:tcPr>
          <w:p w14:paraId="00A0D64A"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20</w:t>
            </w:r>
          </w:p>
        </w:tc>
      </w:tr>
    </w:tbl>
    <w:p w14:paraId="2AC7DBA9" w14:textId="3D005FD2" w:rsidR="008A6C68" w:rsidRPr="002835F5" w:rsidRDefault="002835F5" w:rsidP="00732A54">
      <w:pPr>
        <w:spacing w:after="0" w:line="276" w:lineRule="auto"/>
        <w:jc w:val="both"/>
        <w:rPr>
          <w:rFonts w:ascii="Times New Roman" w:hAnsi="Times New Roman" w:cs="Times New Roman"/>
          <w:color w:val="000000" w:themeColor="text1"/>
          <w:sz w:val="20"/>
          <w:szCs w:val="20"/>
        </w:rPr>
      </w:pPr>
      <w:r w:rsidRPr="002835F5">
        <w:rPr>
          <w:rFonts w:ascii="Times New Roman" w:hAnsi="Times New Roman" w:cs="Times New Roman"/>
          <w:color w:val="000000" w:themeColor="text1"/>
          <w:sz w:val="20"/>
          <w:szCs w:val="20"/>
        </w:rPr>
        <w:t>Kilde: APNN.</w:t>
      </w:r>
    </w:p>
    <w:p w14:paraId="5268C28C" w14:textId="2FA900F7" w:rsidR="002835F5" w:rsidRPr="002835F5" w:rsidRDefault="002835F5" w:rsidP="00732A54">
      <w:pPr>
        <w:spacing w:after="0" w:line="276" w:lineRule="auto"/>
        <w:jc w:val="both"/>
        <w:rPr>
          <w:rFonts w:ascii="Times New Roman" w:hAnsi="Times New Roman" w:cs="Times New Roman"/>
          <w:color w:val="000000" w:themeColor="text1"/>
          <w:sz w:val="20"/>
          <w:szCs w:val="20"/>
        </w:rPr>
      </w:pPr>
      <w:r w:rsidRPr="002835F5">
        <w:rPr>
          <w:rFonts w:ascii="Times New Roman" w:hAnsi="Times New Roman" w:cs="Times New Roman"/>
          <w:color w:val="000000" w:themeColor="text1"/>
          <w:sz w:val="20"/>
          <w:szCs w:val="20"/>
        </w:rPr>
        <w:t xml:space="preserve">Note: Kategorien andet indeholder fangster med ATV, </w:t>
      </w:r>
      <w:r w:rsidR="00CB217F" w:rsidRPr="002835F5">
        <w:rPr>
          <w:rFonts w:ascii="Times New Roman" w:hAnsi="Times New Roman" w:cs="Times New Roman"/>
          <w:color w:val="000000" w:themeColor="text1"/>
          <w:sz w:val="20"/>
          <w:szCs w:val="20"/>
        </w:rPr>
        <w:t>snescootere</w:t>
      </w:r>
      <w:r w:rsidRPr="002835F5">
        <w:rPr>
          <w:rFonts w:ascii="Times New Roman" w:hAnsi="Times New Roman" w:cs="Times New Roman"/>
          <w:color w:val="000000" w:themeColor="text1"/>
          <w:sz w:val="20"/>
          <w:szCs w:val="20"/>
        </w:rPr>
        <w:t xml:space="preserve"> og hundeslæder.</w:t>
      </w:r>
    </w:p>
    <w:p w14:paraId="2945121A" w14:textId="1C6B7CFF" w:rsidR="008A6C68" w:rsidRDefault="008A6C68" w:rsidP="00732A54">
      <w:pPr>
        <w:spacing w:after="0" w:line="276" w:lineRule="auto"/>
        <w:jc w:val="both"/>
        <w:rPr>
          <w:rFonts w:ascii="Times New Roman" w:hAnsi="Times New Roman" w:cs="Times New Roman"/>
          <w:color w:val="000000" w:themeColor="text1"/>
        </w:rPr>
      </w:pPr>
    </w:p>
    <w:p w14:paraId="0B0BC91D" w14:textId="4B6AC77C" w:rsidR="00CB217F" w:rsidRPr="004E08D7" w:rsidRDefault="00CB217F" w:rsidP="00732A54">
      <w:pPr>
        <w:spacing w:after="0" w:line="276" w:lineRule="auto"/>
        <w:jc w:val="both"/>
        <w:rPr>
          <w:rFonts w:ascii="Times New Roman" w:hAnsi="Times New Roman" w:cs="Times New Roman"/>
          <w:color w:val="000000" w:themeColor="text1"/>
          <w:lang w:val="is-IS"/>
        </w:rPr>
      </w:pPr>
      <w:r w:rsidRPr="00CB217F">
        <w:rPr>
          <w:rFonts w:ascii="Times New Roman" w:hAnsi="Times New Roman" w:cs="Times New Roman"/>
          <w:color w:val="000000" w:themeColor="text1"/>
        </w:rPr>
        <w:t xml:space="preserve">I 2020 var det indhandlet kystnær torsk til 33 indhandlingsanlæg og fabrikker. Det kystnære fiskeri efter torsk i Grønland meget sæsonbetonet, og sommerperioden fra juni til august er de måneder hvor der bliver fisket mest. </w:t>
      </w:r>
      <w:r w:rsidR="004D1289">
        <w:rPr>
          <w:rFonts w:ascii="Times New Roman" w:hAnsi="Times New Roman" w:cs="Times New Roman"/>
          <w:color w:val="000000" w:themeColor="text1"/>
        </w:rPr>
        <w:t>Torsken indhandles som tre forskellige produkter, levende, med hoved og uden indvolde og uden hoved og uden indvolde.</w:t>
      </w:r>
    </w:p>
    <w:p w14:paraId="0D91BD72" w14:textId="1FF56BFD" w:rsidR="00CB217F" w:rsidRDefault="00CB217F" w:rsidP="00732A54">
      <w:pPr>
        <w:spacing w:after="0" w:line="276" w:lineRule="auto"/>
        <w:jc w:val="both"/>
        <w:rPr>
          <w:rFonts w:ascii="Times New Roman" w:hAnsi="Times New Roman" w:cs="Times New Roman"/>
          <w:color w:val="000000" w:themeColor="text1"/>
        </w:rPr>
      </w:pPr>
    </w:p>
    <w:p w14:paraId="253C8AB3" w14:textId="4591E970" w:rsidR="00CB217F" w:rsidRDefault="00CB217F" w:rsidP="00732A54">
      <w:pPr>
        <w:spacing w:after="0" w:line="276" w:lineRule="auto"/>
        <w:jc w:val="both"/>
        <w:rPr>
          <w:rFonts w:ascii="Times New Roman" w:hAnsi="Times New Roman" w:cs="Times New Roman"/>
          <w:color w:val="000000" w:themeColor="text1"/>
        </w:rPr>
      </w:pPr>
      <w:r w:rsidRPr="00CB217F">
        <w:rPr>
          <w:rFonts w:ascii="Times New Roman" w:hAnsi="Times New Roman" w:cs="Times New Roman"/>
          <w:color w:val="000000" w:themeColor="text1"/>
        </w:rPr>
        <w:t xml:space="preserve">Tabel 5 viser fordeling af indhandlingsmængder </w:t>
      </w:r>
      <w:r>
        <w:rPr>
          <w:rFonts w:ascii="Times New Roman" w:hAnsi="Times New Roman" w:cs="Times New Roman"/>
          <w:color w:val="000000" w:themeColor="text1"/>
        </w:rPr>
        <w:t xml:space="preserve">fra det kystnære erhvervsfiskeri efter torsk i 2020 fordelt </w:t>
      </w:r>
      <w:r w:rsidRPr="00CB217F">
        <w:rPr>
          <w:rFonts w:ascii="Times New Roman" w:hAnsi="Times New Roman" w:cs="Times New Roman"/>
          <w:color w:val="000000" w:themeColor="text1"/>
        </w:rPr>
        <w:t>på distrikter.</w:t>
      </w:r>
      <w:r w:rsidR="004F2E25">
        <w:rPr>
          <w:rFonts w:ascii="Times New Roman" w:hAnsi="Times New Roman" w:cs="Times New Roman"/>
          <w:color w:val="000000" w:themeColor="text1"/>
        </w:rPr>
        <w:t xml:space="preserve"> Det kystnære fiskeri efter torsk er meget koncentreret omkring midten af Vestgrønland. I 2020 blev der i alt indhandlet 11.994 tons torsk til distrikterne Nuuk og Maniitsoq svarende til ca. 66 pct. af den samlede indhandling af torsk.</w:t>
      </w:r>
    </w:p>
    <w:p w14:paraId="71CD50A8" w14:textId="5C58955E" w:rsidR="004E08D7" w:rsidRDefault="004E08D7" w:rsidP="00732A54">
      <w:pPr>
        <w:spacing w:after="0" w:line="276" w:lineRule="auto"/>
        <w:jc w:val="both"/>
        <w:rPr>
          <w:rFonts w:ascii="Times New Roman" w:hAnsi="Times New Roman" w:cs="Times New Roman"/>
          <w:color w:val="000000" w:themeColor="text1"/>
        </w:rPr>
      </w:pPr>
    </w:p>
    <w:p w14:paraId="4D671269" w14:textId="5ECD80D6" w:rsidR="00D86D07" w:rsidRDefault="00D86D07" w:rsidP="00732A54">
      <w:pPr>
        <w:spacing w:after="0" w:line="276" w:lineRule="auto"/>
        <w:jc w:val="both"/>
        <w:rPr>
          <w:rFonts w:ascii="Times New Roman" w:hAnsi="Times New Roman" w:cs="Times New Roman"/>
          <w:color w:val="000000" w:themeColor="text1"/>
        </w:rPr>
      </w:pPr>
    </w:p>
    <w:p w14:paraId="0CD46B0F" w14:textId="6FAD0055" w:rsidR="00D86D07" w:rsidRDefault="00D86D07" w:rsidP="00732A54">
      <w:pPr>
        <w:spacing w:after="0" w:line="276" w:lineRule="auto"/>
        <w:jc w:val="both"/>
        <w:rPr>
          <w:rFonts w:ascii="Times New Roman" w:hAnsi="Times New Roman" w:cs="Times New Roman"/>
          <w:color w:val="000000" w:themeColor="text1"/>
        </w:rPr>
      </w:pPr>
    </w:p>
    <w:p w14:paraId="5AF2A208" w14:textId="3BBCD6CF" w:rsidR="00D86D07" w:rsidRDefault="00D86D07" w:rsidP="00732A54">
      <w:pPr>
        <w:spacing w:after="0" w:line="276" w:lineRule="auto"/>
        <w:jc w:val="both"/>
        <w:rPr>
          <w:rFonts w:ascii="Times New Roman" w:hAnsi="Times New Roman" w:cs="Times New Roman"/>
          <w:color w:val="000000" w:themeColor="text1"/>
        </w:rPr>
      </w:pPr>
    </w:p>
    <w:p w14:paraId="56899D56" w14:textId="3F06FEE4" w:rsidR="00D86D07" w:rsidRDefault="00D86D07" w:rsidP="00732A54">
      <w:pPr>
        <w:spacing w:after="0" w:line="276" w:lineRule="auto"/>
        <w:jc w:val="both"/>
        <w:rPr>
          <w:rFonts w:ascii="Times New Roman" w:hAnsi="Times New Roman" w:cs="Times New Roman"/>
          <w:color w:val="000000" w:themeColor="text1"/>
        </w:rPr>
      </w:pPr>
    </w:p>
    <w:p w14:paraId="0A6D4606" w14:textId="432ECCC6" w:rsidR="00D86D07" w:rsidRDefault="00D86D07" w:rsidP="00732A54">
      <w:pPr>
        <w:spacing w:after="0" w:line="276" w:lineRule="auto"/>
        <w:jc w:val="both"/>
        <w:rPr>
          <w:rFonts w:ascii="Times New Roman" w:hAnsi="Times New Roman" w:cs="Times New Roman"/>
          <w:color w:val="000000" w:themeColor="text1"/>
        </w:rPr>
      </w:pPr>
    </w:p>
    <w:p w14:paraId="75728D89" w14:textId="7A562751" w:rsidR="00D86D07" w:rsidRDefault="00D86D07" w:rsidP="00732A54">
      <w:pPr>
        <w:spacing w:after="0" w:line="276" w:lineRule="auto"/>
        <w:jc w:val="both"/>
        <w:rPr>
          <w:rFonts w:ascii="Times New Roman" w:hAnsi="Times New Roman" w:cs="Times New Roman"/>
          <w:color w:val="000000" w:themeColor="text1"/>
        </w:rPr>
      </w:pPr>
    </w:p>
    <w:p w14:paraId="562F4470" w14:textId="02D844FE" w:rsidR="00D86D07" w:rsidRDefault="00D86D07" w:rsidP="00732A54">
      <w:pPr>
        <w:spacing w:after="0" w:line="276" w:lineRule="auto"/>
        <w:jc w:val="both"/>
        <w:rPr>
          <w:rFonts w:ascii="Times New Roman" w:hAnsi="Times New Roman" w:cs="Times New Roman"/>
          <w:color w:val="000000" w:themeColor="text1"/>
        </w:rPr>
      </w:pPr>
    </w:p>
    <w:p w14:paraId="3DDB81A4" w14:textId="4F8F66BA" w:rsidR="00D86D07" w:rsidRDefault="00D86D07" w:rsidP="00732A54">
      <w:pPr>
        <w:spacing w:after="0" w:line="276" w:lineRule="auto"/>
        <w:jc w:val="both"/>
        <w:rPr>
          <w:rFonts w:ascii="Times New Roman" w:hAnsi="Times New Roman" w:cs="Times New Roman"/>
          <w:color w:val="000000" w:themeColor="text1"/>
        </w:rPr>
      </w:pPr>
    </w:p>
    <w:p w14:paraId="4B64CBAE" w14:textId="5FC5CA1A" w:rsidR="00D86D07" w:rsidRDefault="00D86D07" w:rsidP="00732A54">
      <w:pPr>
        <w:spacing w:after="0" w:line="276" w:lineRule="auto"/>
        <w:jc w:val="both"/>
        <w:rPr>
          <w:rFonts w:ascii="Times New Roman" w:hAnsi="Times New Roman" w:cs="Times New Roman"/>
          <w:color w:val="000000" w:themeColor="text1"/>
        </w:rPr>
      </w:pPr>
    </w:p>
    <w:p w14:paraId="41E734FE" w14:textId="7054D912" w:rsidR="00D86D07" w:rsidRDefault="00D86D07" w:rsidP="00732A54">
      <w:pPr>
        <w:spacing w:after="0" w:line="276" w:lineRule="auto"/>
        <w:jc w:val="both"/>
        <w:rPr>
          <w:rFonts w:ascii="Times New Roman" w:hAnsi="Times New Roman" w:cs="Times New Roman"/>
          <w:color w:val="000000" w:themeColor="text1"/>
        </w:rPr>
      </w:pPr>
    </w:p>
    <w:p w14:paraId="02187ED4" w14:textId="2088C6F3" w:rsidR="00D86D07" w:rsidRDefault="00D86D07" w:rsidP="00732A54">
      <w:pPr>
        <w:spacing w:after="0" w:line="276" w:lineRule="auto"/>
        <w:jc w:val="both"/>
        <w:rPr>
          <w:rFonts w:ascii="Times New Roman" w:hAnsi="Times New Roman" w:cs="Times New Roman"/>
          <w:color w:val="000000" w:themeColor="text1"/>
        </w:rPr>
      </w:pPr>
    </w:p>
    <w:p w14:paraId="3A451019" w14:textId="7FE78834" w:rsidR="00D86D07" w:rsidRDefault="00D86D07" w:rsidP="00732A54">
      <w:pPr>
        <w:spacing w:after="0" w:line="276" w:lineRule="auto"/>
        <w:jc w:val="both"/>
        <w:rPr>
          <w:rFonts w:ascii="Times New Roman" w:hAnsi="Times New Roman" w:cs="Times New Roman"/>
          <w:color w:val="000000" w:themeColor="text1"/>
        </w:rPr>
      </w:pPr>
    </w:p>
    <w:p w14:paraId="70613710" w14:textId="77777777" w:rsidR="00D86D07" w:rsidRDefault="00D86D07" w:rsidP="00732A54">
      <w:pPr>
        <w:spacing w:after="0" w:line="276" w:lineRule="auto"/>
        <w:jc w:val="both"/>
        <w:rPr>
          <w:rFonts w:ascii="Times New Roman" w:hAnsi="Times New Roman" w:cs="Times New Roman"/>
          <w:color w:val="000000" w:themeColor="text1"/>
        </w:rPr>
      </w:pPr>
    </w:p>
    <w:p w14:paraId="3E18E61C" w14:textId="4769CEA6" w:rsidR="008A6C68" w:rsidRDefault="004E08D7"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Tabel 5: Indhandling af torsk fordelt på erhvervs- og fritidsfiskeri og distrikter, 2020.</w:t>
      </w:r>
    </w:p>
    <w:tbl>
      <w:tblPr>
        <w:tblW w:w="5000" w:type="pct"/>
        <w:tblCellMar>
          <w:left w:w="70" w:type="dxa"/>
          <w:right w:w="70" w:type="dxa"/>
        </w:tblCellMar>
        <w:tblLook w:val="04A0" w:firstRow="1" w:lastRow="0" w:firstColumn="1" w:lastColumn="0" w:noHBand="0" w:noVBand="1"/>
      </w:tblPr>
      <w:tblGrid>
        <w:gridCol w:w="2499"/>
        <w:gridCol w:w="2342"/>
        <w:gridCol w:w="2211"/>
        <w:gridCol w:w="2576"/>
      </w:tblGrid>
      <w:tr w:rsidR="004E08D7" w:rsidRPr="004E08D7" w14:paraId="69C598E9" w14:textId="77777777" w:rsidTr="004E08D7">
        <w:trPr>
          <w:trHeight w:val="300"/>
        </w:trPr>
        <w:tc>
          <w:tcPr>
            <w:tcW w:w="12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6BA21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Tons</w:t>
            </w:r>
          </w:p>
        </w:tc>
        <w:tc>
          <w:tcPr>
            <w:tcW w:w="1216" w:type="pct"/>
            <w:tcBorders>
              <w:top w:val="single" w:sz="4" w:space="0" w:color="auto"/>
              <w:left w:val="nil"/>
              <w:bottom w:val="single" w:sz="4" w:space="0" w:color="auto"/>
              <w:right w:val="single" w:sz="4" w:space="0" w:color="auto"/>
            </w:tcBorders>
            <w:shd w:val="clear" w:color="000000" w:fill="FFFFFF"/>
            <w:noWrap/>
            <w:vAlign w:val="bottom"/>
            <w:hideMark/>
          </w:tcPr>
          <w:p w14:paraId="7335276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Erhvervsfiskeri</w:t>
            </w:r>
          </w:p>
        </w:tc>
        <w:tc>
          <w:tcPr>
            <w:tcW w:w="1148" w:type="pct"/>
            <w:tcBorders>
              <w:top w:val="single" w:sz="4" w:space="0" w:color="auto"/>
              <w:left w:val="nil"/>
              <w:bottom w:val="single" w:sz="4" w:space="0" w:color="auto"/>
              <w:right w:val="single" w:sz="4" w:space="0" w:color="auto"/>
            </w:tcBorders>
            <w:shd w:val="clear" w:color="000000" w:fill="FFFFFF"/>
            <w:noWrap/>
            <w:vAlign w:val="bottom"/>
            <w:hideMark/>
          </w:tcPr>
          <w:p w14:paraId="5936D58B"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Fritidsfiskeri</w:t>
            </w:r>
          </w:p>
        </w:tc>
        <w:tc>
          <w:tcPr>
            <w:tcW w:w="1339" w:type="pct"/>
            <w:tcBorders>
              <w:top w:val="single" w:sz="4" w:space="0" w:color="auto"/>
              <w:left w:val="nil"/>
              <w:bottom w:val="single" w:sz="4" w:space="0" w:color="auto"/>
              <w:right w:val="single" w:sz="4" w:space="0" w:color="auto"/>
            </w:tcBorders>
            <w:shd w:val="clear" w:color="000000" w:fill="FFFFFF"/>
            <w:noWrap/>
            <w:vAlign w:val="bottom"/>
            <w:hideMark/>
          </w:tcPr>
          <w:p w14:paraId="27AB1807"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I alt</w:t>
            </w:r>
          </w:p>
        </w:tc>
      </w:tr>
      <w:tr w:rsidR="004E08D7" w:rsidRPr="004E08D7" w14:paraId="4D155982"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5C8810B6"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Nuuk</w:t>
            </w:r>
          </w:p>
        </w:tc>
        <w:tc>
          <w:tcPr>
            <w:tcW w:w="1216" w:type="pct"/>
            <w:tcBorders>
              <w:top w:val="nil"/>
              <w:left w:val="nil"/>
              <w:bottom w:val="single" w:sz="4" w:space="0" w:color="auto"/>
              <w:right w:val="single" w:sz="4" w:space="0" w:color="auto"/>
            </w:tcBorders>
            <w:shd w:val="clear" w:color="000000" w:fill="FFFFFF"/>
            <w:noWrap/>
            <w:vAlign w:val="bottom"/>
            <w:hideMark/>
          </w:tcPr>
          <w:p w14:paraId="6AF60FCC"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6.218</w:t>
            </w:r>
          </w:p>
        </w:tc>
        <w:tc>
          <w:tcPr>
            <w:tcW w:w="1148" w:type="pct"/>
            <w:tcBorders>
              <w:top w:val="nil"/>
              <w:left w:val="nil"/>
              <w:bottom w:val="single" w:sz="4" w:space="0" w:color="auto"/>
              <w:right w:val="single" w:sz="4" w:space="0" w:color="auto"/>
            </w:tcBorders>
            <w:shd w:val="clear" w:color="000000" w:fill="FFFFFF"/>
            <w:noWrap/>
            <w:vAlign w:val="bottom"/>
            <w:hideMark/>
          </w:tcPr>
          <w:p w14:paraId="7CC904B5"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261</w:t>
            </w:r>
          </w:p>
        </w:tc>
        <w:tc>
          <w:tcPr>
            <w:tcW w:w="1339" w:type="pct"/>
            <w:tcBorders>
              <w:top w:val="nil"/>
              <w:left w:val="nil"/>
              <w:bottom w:val="single" w:sz="4" w:space="0" w:color="auto"/>
              <w:right w:val="single" w:sz="4" w:space="0" w:color="auto"/>
            </w:tcBorders>
            <w:shd w:val="clear" w:color="000000" w:fill="FFFFFF"/>
            <w:noWrap/>
            <w:vAlign w:val="bottom"/>
            <w:hideMark/>
          </w:tcPr>
          <w:p w14:paraId="46C6A0D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6.479</w:t>
            </w:r>
          </w:p>
        </w:tc>
      </w:tr>
      <w:tr w:rsidR="004E08D7" w:rsidRPr="004E08D7" w14:paraId="020EE8A6"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47179E4D"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Maniitsoq</w:t>
            </w:r>
          </w:p>
        </w:tc>
        <w:tc>
          <w:tcPr>
            <w:tcW w:w="1216" w:type="pct"/>
            <w:tcBorders>
              <w:top w:val="nil"/>
              <w:left w:val="nil"/>
              <w:bottom w:val="single" w:sz="4" w:space="0" w:color="auto"/>
              <w:right w:val="single" w:sz="4" w:space="0" w:color="auto"/>
            </w:tcBorders>
            <w:shd w:val="clear" w:color="000000" w:fill="FFFFFF"/>
            <w:noWrap/>
            <w:vAlign w:val="bottom"/>
            <w:hideMark/>
          </w:tcPr>
          <w:p w14:paraId="7020D426"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5.473</w:t>
            </w:r>
          </w:p>
        </w:tc>
        <w:tc>
          <w:tcPr>
            <w:tcW w:w="1148" w:type="pct"/>
            <w:tcBorders>
              <w:top w:val="nil"/>
              <w:left w:val="nil"/>
              <w:bottom w:val="single" w:sz="4" w:space="0" w:color="auto"/>
              <w:right w:val="single" w:sz="4" w:space="0" w:color="auto"/>
            </w:tcBorders>
            <w:shd w:val="clear" w:color="000000" w:fill="FFFFFF"/>
            <w:noWrap/>
            <w:vAlign w:val="bottom"/>
            <w:hideMark/>
          </w:tcPr>
          <w:p w14:paraId="3677B063"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43</w:t>
            </w:r>
          </w:p>
        </w:tc>
        <w:tc>
          <w:tcPr>
            <w:tcW w:w="1339" w:type="pct"/>
            <w:tcBorders>
              <w:top w:val="nil"/>
              <w:left w:val="nil"/>
              <w:bottom w:val="single" w:sz="4" w:space="0" w:color="auto"/>
              <w:right w:val="single" w:sz="4" w:space="0" w:color="auto"/>
            </w:tcBorders>
            <w:shd w:val="clear" w:color="000000" w:fill="FFFFFF"/>
            <w:noWrap/>
            <w:vAlign w:val="bottom"/>
            <w:hideMark/>
          </w:tcPr>
          <w:p w14:paraId="28B6A61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5.515</w:t>
            </w:r>
          </w:p>
        </w:tc>
      </w:tr>
      <w:tr w:rsidR="004E08D7" w:rsidRPr="004E08D7" w14:paraId="56C60CC5"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10FFDA6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Sisimiut</w:t>
            </w:r>
          </w:p>
        </w:tc>
        <w:tc>
          <w:tcPr>
            <w:tcW w:w="1216" w:type="pct"/>
            <w:tcBorders>
              <w:top w:val="nil"/>
              <w:left w:val="nil"/>
              <w:bottom w:val="single" w:sz="4" w:space="0" w:color="auto"/>
              <w:right w:val="single" w:sz="4" w:space="0" w:color="auto"/>
            </w:tcBorders>
            <w:shd w:val="clear" w:color="000000" w:fill="FFFFFF"/>
            <w:noWrap/>
            <w:vAlign w:val="bottom"/>
            <w:hideMark/>
          </w:tcPr>
          <w:p w14:paraId="426B9BA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1.445</w:t>
            </w:r>
          </w:p>
        </w:tc>
        <w:tc>
          <w:tcPr>
            <w:tcW w:w="1148" w:type="pct"/>
            <w:tcBorders>
              <w:top w:val="nil"/>
              <w:left w:val="nil"/>
              <w:bottom w:val="single" w:sz="4" w:space="0" w:color="auto"/>
              <w:right w:val="single" w:sz="4" w:space="0" w:color="auto"/>
            </w:tcBorders>
            <w:shd w:val="clear" w:color="000000" w:fill="FFFFFF"/>
            <w:noWrap/>
            <w:vAlign w:val="bottom"/>
            <w:hideMark/>
          </w:tcPr>
          <w:p w14:paraId="353F69E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161</w:t>
            </w:r>
          </w:p>
        </w:tc>
        <w:tc>
          <w:tcPr>
            <w:tcW w:w="1339" w:type="pct"/>
            <w:tcBorders>
              <w:top w:val="nil"/>
              <w:left w:val="nil"/>
              <w:bottom w:val="single" w:sz="4" w:space="0" w:color="auto"/>
              <w:right w:val="single" w:sz="4" w:space="0" w:color="auto"/>
            </w:tcBorders>
            <w:shd w:val="clear" w:color="000000" w:fill="FFFFFF"/>
            <w:noWrap/>
            <w:vAlign w:val="bottom"/>
            <w:hideMark/>
          </w:tcPr>
          <w:p w14:paraId="5CCD9B27"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1.606</w:t>
            </w:r>
          </w:p>
        </w:tc>
      </w:tr>
      <w:tr w:rsidR="004E08D7" w:rsidRPr="004E08D7" w14:paraId="337B642B"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06E4C71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proofErr w:type="spellStart"/>
            <w:r w:rsidRPr="004E08D7">
              <w:rPr>
                <w:rFonts w:ascii="Times New Roman" w:eastAsia="Times New Roman" w:hAnsi="Times New Roman" w:cs="Times New Roman"/>
                <w:color w:val="000000"/>
                <w:sz w:val="20"/>
                <w:szCs w:val="20"/>
                <w:lang w:eastAsia="da-DK"/>
              </w:rPr>
              <w:t>Narsaq</w:t>
            </w:r>
            <w:proofErr w:type="spellEnd"/>
          </w:p>
        </w:tc>
        <w:tc>
          <w:tcPr>
            <w:tcW w:w="1216" w:type="pct"/>
            <w:tcBorders>
              <w:top w:val="nil"/>
              <w:left w:val="nil"/>
              <w:bottom w:val="single" w:sz="4" w:space="0" w:color="auto"/>
              <w:right w:val="single" w:sz="4" w:space="0" w:color="auto"/>
            </w:tcBorders>
            <w:shd w:val="clear" w:color="000000" w:fill="FFFFFF"/>
            <w:noWrap/>
            <w:vAlign w:val="bottom"/>
            <w:hideMark/>
          </w:tcPr>
          <w:p w14:paraId="11B6C24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1.196</w:t>
            </w:r>
          </w:p>
        </w:tc>
        <w:tc>
          <w:tcPr>
            <w:tcW w:w="1148" w:type="pct"/>
            <w:tcBorders>
              <w:top w:val="nil"/>
              <w:left w:val="nil"/>
              <w:bottom w:val="single" w:sz="4" w:space="0" w:color="auto"/>
              <w:right w:val="single" w:sz="4" w:space="0" w:color="auto"/>
            </w:tcBorders>
            <w:shd w:val="clear" w:color="000000" w:fill="FFFFFF"/>
            <w:noWrap/>
            <w:vAlign w:val="bottom"/>
            <w:hideMark/>
          </w:tcPr>
          <w:p w14:paraId="2B48007A"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60</w:t>
            </w:r>
          </w:p>
        </w:tc>
        <w:tc>
          <w:tcPr>
            <w:tcW w:w="1339" w:type="pct"/>
            <w:tcBorders>
              <w:top w:val="nil"/>
              <w:left w:val="nil"/>
              <w:bottom w:val="single" w:sz="4" w:space="0" w:color="auto"/>
              <w:right w:val="single" w:sz="4" w:space="0" w:color="auto"/>
            </w:tcBorders>
            <w:shd w:val="clear" w:color="000000" w:fill="FFFFFF"/>
            <w:noWrap/>
            <w:vAlign w:val="bottom"/>
            <w:hideMark/>
          </w:tcPr>
          <w:p w14:paraId="0447044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1.255</w:t>
            </w:r>
          </w:p>
        </w:tc>
      </w:tr>
      <w:tr w:rsidR="004E08D7" w:rsidRPr="004E08D7" w14:paraId="787C309E"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1FBE99B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Qaqortoq</w:t>
            </w:r>
          </w:p>
        </w:tc>
        <w:tc>
          <w:tcPr>
            <w:tcW w:w="1216" w:type="pct"/>
            <w:tcBorders>
              <w:top w:val="nil"/>
              <w:left w:val="nil"/>
              <w:bottom w:val="single" w:sz="4" w:space="0" w:color="auto"/>
              <w:right w:val="single" w:sz="4" w:space="0" w:color="auto"/>
            </w:tcBorders>
            <w:shd w:val="clear" w:color="000000" w:fill="FFFFFF"/>
            <w:noWrap/>
            <w:vAlign w:val="bottom"/>
            <w:hideMark/>
          </w:tcPr>
          <w:p w14:paraId="6E1AED7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725</w:t>
            </w:r>
          </w:p>
        </w:tc>
        <w:tc>
          <w:tcPr>
            <w:tcW w:w="1148" w:type="pct"/>
            <w:tcBorders>
              <w:top w:val="nil"/>
              <w:left w:val="nil"/>
              <w:bottom w:val="single" w:sz="4" w:space="0" w:color="auto"/>
              <w:right w:val="single" w:sz="4" w:space="0" w:color="auto"/>
            </w:tcBorders>
            <w:shd w:val="clear" w:color="000000" w:fill="FFFFFF"/>
            <w:noWrap/>
            <w:vAlign w:val="bottom"/>
            <w:hideMark/>
          </w:tcPr>
          <w:p w14:paraId="1A1604F2"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41</w:t>
            </w:r>
          </w:p>
        </w:tc>
        <w:tc>
          <w:tcPr>
            <w:tcW w:w="1339" w:type="pct"/>
            <w:tcBorders>
              <w:top w:val="nil"/>
              <w:left w:val="nil"/>
              <w:bottom w:val="single" w:sz="4" w:space="0" w:color="auto"/>
              <w:right w:val="single" w:sz="4" w:space="0" w:color="auto"/>
            </w:tcBorders>
            <w:shd w:val="clear" w:color="000000" w:fill="FFFFFF"/>
            <w:noWrap/>
            <w:vAlign w:val="bottom"/>
            <w:hideMark/>
          </w:tcPr>
          <w:p w14:paraId="59C8694A"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766</w:t>
            </w:r>
          </w:p>
        </w:tc>
      </w:tr>
      <w:tr w:rsidR="004E08D7" w:rsidRPr="004E08D7" w14:paraId="4FA227E4"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4F621D73"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proofErr w:type="spellStart"/>
            <w:r w:rsidRPr="004E08D7">
              <w:rPr>
                <w:rFonts w:ascii="Times New Roman" w:eastAsia="Times New Roman" w:hAnsi="Times New Roman" w:cs="Times New Roman"/>
                <w:color w:val="000000"/>
                <w:sz w:val="20"/>
                <w:szCs w:val="20"/>
                <w:lang w:eastAsia="da-DK"/>
              </w:rPr>
              <w:t>Kangaatsiaq</w:t>
            </w:r>
            <w:proofErr w:type="spellEnd"/>
          </w:p>
        </w:tc>
        <w:tc>
          <w:tcPr>
            <w:tcW w:w="1216" w:type="pct"/>
            <w:tcBorders>
              <w:top w:val="nil"/>
              <w:left w:val="nil"/>
              <w:bottom w:val="single" w:sz="4" w:space="0" w:color="auto"/>
              <w:right w:val="single" w:sz="4" w:space="0" w:color="auto"/>
            </w:tcBorders>
            <w:shd w:val="clear" w:color="000000" w:fill="FFFFFF"/>
            <w:noWrap/>
            <w:vAlign w:val="bottom"/>
            <w:hideMark/>
          </w:tcPr>
          <w:p w14:paraId="0210AEF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496</w:t>
            </w:r>
          </w:p>
        </w:tc>
        <w:tc>
          <w:tcPr>
            <w:tcW w:w="1148" w:type="pct"/>
            <w:tcBorders>
              <w:top w:val="nil"/>
              <w:left w:val="nil"/>
              <w:bottom w:val="single" w:sz="4" w:space="0" w:color="auto"/>
              <w:right w:val="single" w:sz="4" w:space="0" w:color="auto"/>
            </w:tcBorders>
            <w:shd w:val="clear" w:color="000000" w:fill="FFFFFF"/>
            <w:noWrap/>
            <w:vAlign w:val="bottom"/>
            <w:hideMark/>
          </w:tcPr>
          <w:p w14:paraId="551488E0"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24</w:t>
            </w:r>
          </w:p>
        </w:tc>
        <w:tc>
          <w:tcPr>
            <w:tcW w:w="1339" w:type="pct"/>
            <w:tcBorders>
              <w:top w:val="nil"/>
              <w:left w:val="nil"/>
              <w:bottom w:val="single" w:sz="4" w:space="0" w:color="auto"/>
              <w:right w:val="single" w:sz="4" w:space="0" w:color="auto"/>
            </w:tcBorders>
            <w:shd w:val="clear" w:color="000000" w:fill="FFFFFF"/>
            <w:noWrap/>
            <w:vAlign w:val="bottom"/>
            <w:hideMark/>
          </w:tcPr>
          <w:p w14:paraId="0FD3E91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521</w:t>
            </w:r>
          </w:p>
        </w:tc>
      </w:tr>
      <w:tr w:rsidR="004E08D7" w:rsidRPr="004E08D7" w14:paraId="18FFC213"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1AE13E6E"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Ilulissat</w:t>
            </w:r>
          </w:p>
        </w:tc>
        <w:tc>
          <w:tcPr>
            <w:tcW w:w="1216" w:type="pct"/>
            <w:tcBorders>
              <w:top w:val="nil"/>
              <w:left w:val="nil"/>
              <w:bottom w:val="single" w:sz="4" w:space="0" w:color="auto"/>
              <w:right w:val="single" w:sz="4" w:space="0" w:color="auto"/>
            </w:tcBorders>
            <w:shd w:val="clear" w:color="000000" w:fill="FFFFFF"/>
            <w:noWrap/>
            <w:vAlign w:val="bottom"/>
            <w:hideMark/>
          </w:tcPr>
          <w:p w14:paraId="4E24CB5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449</w:t>
            </w:r>
          </w:p>
        </w:tc>
        <w:tc>
          <w:tcPr>
            <w:tcW w:w="1148" w:type="pct"/>
            <w:tcBorders>
              <w:top w:val="nil"/>
              <w:left w:val="nil"/>
              <w:bottom w:val="single" w:sz="4" w:space="0" w:color="auto"/>
              <w:right w:val="single" w:sz="4" w:space="0" w:color="auto"/>
            </w:tcBorders>
            <w:shd w:val="clear" w:color="000000" w:fill="FFFFFF"/>
            <w:noWrap/>
            <w:vAlign w:val="bottom"/>
            <w:hideMark/>
          </w:tcPr>
          <w:p w14:paraId="7498B59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36</w:t>
            </w:r>
          </w:p>
        </w:tc>
        <w:tc>
          <w:tcPr>
            <w:tcW w:w="1339" w:type="pct"/>
            <w:tcBorders>
              <w:top w:val="nil"/>
              <w:left w:val="nil"/>
              <w:bottom w:val="single" w:sz="4" w:space="0" w:color="auto"/>
              <w:right w:val="single" w:sz="4" w:space="0" w:color="auto"/>
            </w:tcBorders>
            <w:shd w:val="clear" w:color="000000" w:fill="FFFFFF"/>
            <w:noWrap/>
            <w:vAlign w:val="bottom"/>
            <w:hideMark/>
          </w:tcPr>
          <w:p w14:paraId="217B79E3"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484</w:t>
            </w:r>
          </w:p>
        </w:tc>
      </w:tr>
      <w:tr w:rsidR="004E08D7" w:rsidRPr="004E08D7" w14:paraId="42897F7A"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26C506C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Uummannaq</w:t>
            </w:r>
          </w:p>
        </w:tc>
        <w:tc>
          <w:tcPr>
            <w:tcW w:w="1216" w:type="pct"/>
            <w:tcBorders>
              <w:top w:val="nil"/>
              <w:left w:val="nil"/>
              <w:bottom w:val="single" w:sz="4" w:space="0" w:color="auto"/>
              <w:right w:val="single" w:sz="4" w:space="0" w:color="auto"/>
            </w:tcBorders>
            <w:shd w:val="clear" w:color="000000" w:fill="FFFFFF"/>
            <w:noWrap/>
            <w:vAlign w:val="bottom"/>
            <w:hideMark/>
          </w:tcPr>
          <w:p w14:paraId="6FA0E843"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377</w:t>
            </w:r>
          </w:p>
        </w:tc>
        <w:tc>
          <w:tcPr>
            <w:tcW w:w="1148" w:type="pct"/>
            <w:tcBorders>
              <w:top w:val="nil"/>
              <w:left w:val="nil"/>
              <w:bottom w:val="single" w:sz="4" w:space="0" w:color="auto"/>
              <w:right w:val="single" w:sz="4" w:space="0" w:color="auto"/>
            </w:tcBorders>
            <w:shd w:val="clear" w:color="000000" w:fill="FFFFFF"/>
            <w:noWrap/>
            <w:vAlign w:val="bottom"/>
            <w:hideMark/>
          </w:tcPr>
          <w:p w14:paraId="0AFB3D7E"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68</w:t>
            </w:r>
          </w:p>
        </w:tc>
        <w:tc>
          <w:tcPr>
            <w:tcW w:w="1339" w:type="pct"/>
            <w:tcBorders>
              <w:top w:val="nil"/>
              <w:left w:val="nil"/>
              <w:bottom w:val="single" w:sz="4" w:space="0" w:color="auto"/>
              <w:right w:val="single" w:sz="4" w:space="0" w:color="auto"/>
            </w:tcBorders>
            <w:shd w:val="clear" w:color="000000" w:fill="FFFFFF"/>
            <w:noWrap/>
            <w:vAlign w:val="bottom"/>
            <w:hideMark/>
          </w:tcPr>
          <w:p w14:paraId="6372B4A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445</w:t>
            </w:r>
          </w:p>
        </w:tc>
      </w:tr>
      <w:tr w:rsidR="004E08D7" w:rsidRPr="004E08D7" w14:paraId="697B88B9"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2FEC3B1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Paamiut</w:t>
            </w:r>
          </w:p>
        </w:tc>
        <w:tc>
          <w:tcPr>
            <w:tcW w:w="1216" w:type="pct"/>
            <w:tcBorders>
              <w:top w:val="nil"/>
              <w:left w:val="nil"/>
              <w:bottom w:val="single" w:sz="4" w:space="0" w:color="auto"/>
              <w:right w:val="single" w:sz="4" w:space="0" w:color="auto"/>
            </w:tcBorders>
            <w:shd w:val="clear" w:color="000000" w:fill="FFFFFF"/>
            <w:noWrap/>
            <w:vAlign w:val="bottom"/>
            <w:hideMark/>
          </w:tcPr>
          <w:p w14:paraId="14A4D8E6"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423</w:t>
            </w:r>
          </w:p>
        </w:tc>
        <w:tc>
          <w:tcPr>
            <w:tcW w:w="1148" w:type="pct"/>
            <w:tcBorders>
              <w:top w:val="nil"/>
              <w:left w:val="nil"/>
              <w:bottom w:val="single" w:sz="4" w:space="0" w:color="auto"/>
              <w:right w:val="single" w:sz="4" w:space="0" w:color="auto"/>
            </w:tcBorders>
            <w:shd w:val="clear" w:color="000000" w:fill="FFFFFF"/>
            <w:noWrap/>
            <w:vAlign w:val="bottom"/>
            <w:hideMark/>
          </w:tcPr>
          <w:p w14:paraId="1321B1B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11</w:t>
            </w:r>
          </w:p>
        </w:tc>
        <w:tc>
          <w:tcPr>
            <w:tcW w:w="1339" w:type="pct"/>
            <w:tcBorders>
              <w:top w:val="nil"/>
              <w:left w:val="nil"/>
              <w:bottom w:val="single" w:sz="4" w:space="0" w:color="auto"/>
              <w:right w:val="single" w:sz="4" w:space="0" w:color="auto"/>
            </w:tcBorders>
            <w:shd w:val="clear" w:color="000000" w:fill="FFFFFF"/>
            <w:noWrap/>
            <w:vAlign w:val="bottom"/>
            <w:hideMark/>
          </w:tcPr>
          <w:p w14:paraId="0EABA23C"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434</w:t>
            </w:r>
          </w:p>
        </w:tc>
      </w:tr>
      <w:tr w:rsidR="004E08D7" w:rsidRPr="004E08D7" w14:paraId="110829BC"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43391280"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Tasiilaq</w:t>
            </w:r>
          </w:p>
        </w:tc>
        <w:tc>
          <w:tcPr>
            <w:tcW w:w="1216" w:type="pct"/>
            <w:tcBorders>
              <w:top w:val="nil"/>
              <w:left w:val="nil"/>
              <w:bottom w:val="single" w:sz="4" w:space="0" w:color="auto"/>
              <w:right w:val="single" w:sz="4" w:space="0" w:color="auto"/>
            </w:tcBorders>
            <w:shd w:val="clear" w:color="000000" w:fill="FFFFFF"/>
            <w:noWrap/>
            <w:vAlign w:val="bottom"/>
            <w:hideMark/>
          </w:tcPr>
          <w:p w14:paraId="7F87848C"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218</w:t>
            </w:r>
          </w:p>
        </w:tc>
        <w:tc>
          <w:tcPr>
            <w:tcW w:w="1148" w:type="pct"/>
            <w:tcBorders>
              <w:top w:val="nil"/>
              <w:left w:val="nil"/>
              <w:bottom w:val="single" w:sz="4" w:space="0" w:color="auto"/>
              <w:right w:val="single" w:sz="4" w:space="0" w:color="auto"/>
            </w:tcBorders>
            <w:shd w:val="clear" w:color="000000" w:fill="FFFFFF"/>
            <w:noWrap/>
            <w:vAlign w:val="bottom"/>
            <w:hideMark/>
          </w:tcPr>
          <w:p w14:paraId="0CF4FD1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w:t>
            </w:r>
          </w:p>
        </w:tc>
        <w:tc>
          <w:tcPr>
            <w:tcW w:w="1339" w:type="pct"/>
            <w:tcBorders>
              <w:top w:val="nil"/>
              <w:left w:val="nil"/>
              <w:bottom w:val="single" w:sz="4" w:space="0" w:color="auto"/>
              <w:right w:val="single" w:sz="4" w:space="0" w:color="auto"/>
            </w:tcBorders>
            <w:shd w:val="clear" w:color="000000" w:fill="FFFFFF"/>
            <w:noWrap/>
            <w:vAlign w:val="bottom"/>
            <w:hideMark/>
          </w:tcPr>
          <w:p w14:paraId="2D9D927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219</w:t>
            </w:r>
          </w:p>
        </w:tc>
      </w:tr>
      <w:tr w:rsidR="004E08D7" w:rsidRPr="004E08D7" w14:paraId="6423C6C2"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0135D09E"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Qasigiannguit</w:t>
            </w:r>
          </w:p>
        </w:tc>
        <w:tc>
          <w:tcPr>
            <w:tcW w:w="1216" w:type="pct"/>
            <w:tcBorders>
              <w:top w:val="nil"/>
              <w:left w:val="nil"/>
              <w:bottom w:val="single" w:sz="4" w:space="0" w:color="auto"/>
              <w:right w:val="single" w:sz="4" w:space="0" w:color="auto"/>
            </w:tcBorders>
            <w:shd w:val="clear" w:color="000000" w:fill="FFFFFF"/>
            <w:noWrap/>
            <w:vAlign w:val="bottom"/>
            <w:hideMark/>
          </w:tcPr>
          <w:p w14:paraId="0890DD2C"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184</w:t>
            </w:r>
          </w:p>
        </w:tc>
        <w:tc>
          <w:tcPr>
            <w:tcW w:w="1148" w:type="pct"/>
            <w:tcBorders>
              <w:top w:val="nil"/>
              <w:left w:val="nil"/>
              <w:bottom w:val="single" w:sz="4" w:space="0" w:color="auto"/>
              <w:right w:val="single" w:sz="4" w:space="0" w:color="auto"/>
            </w:tcBorders>
            <w:shd w:val="clear" w:color="000000" w:fill="FFFFFF"/>
            <w:noWrap/>
            <w:vAlign w:val="bottom"/>
            <w:hideMark/>
          </w:tcPr>
          <w:p w14:paraId="38819510"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32</w:t>
            </w:r>
          </w:p>
        </w:tc>
        <w:tc>
          <w:tcPr>
            <w:tcW w:w="1339" w:type="pct"/>
            <w:tcBorders>
              <w:top w:val="nil"/>
              <w:left w:val="nil"/>
              <w:bottom w:val="single" w:sz="4" w:space="0" w:color="auto"/>
              <w:right w:val="single" w:sz="4" w:space="0" w:color="auto"/>
            </w:tcBorders>
            <w:shd w:val="clear" w:color="000000" w:fill="FFFFFF"/>
            <w:noWrap/>
            <w:vAlign w:val="bottom"/>
            <w:hideMark/>
          </w:tcPr>
          <w:p w14:paraId="5E404F0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216</w:t>
            </w:r>
          </w:p>
        </w:tc>
      </w:tr>
      <w:tr w:rsidR="004E08D7" w:rsidRPr="004E08D7" w14:paraId="1BA02299"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4B8CE1C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Aasiaat</w:t>
            </w:r>
          </w:p>
        </w:tc>
        <w:tc>
          <w:tcPr>
            <w:tcW w:w="1216" w:type="pct"/>
            <w:tcBorders>
              <w:top w:val="nil"/>
              <w:left w:val="nil"/>
              <w:bottom w:val="single" w:sz="4" w:space="0" w:color="auto"/>
              <w:right w:val="single" w:sz="4" w:space="0" w:color="auto"/>
            </w:tcBorders>
            <w:shd w:val="clear" w:color="000000" w:fill="FFFFFF"/>
            <w:noWrap/>
            <w:vAlign w:val="bottom"/>
            <w:hideMark/>
          </w:tcPr>
          <w:p w14:paraId="76BF9A2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172</w:t>
            </w:r>
          </w:p>
        </w:tc>
        <w:tc>
          <w:tcPr>
            <w:tcW w:w="1148" w:type="pct"/>
            <w:tcBorders>
              <w:top w:val="nil"/>
              <w:left w:val="nil"/>
              <w:bottom w:val="single" w:sz="4" w:space="0" w:color="auto"/>
              <w:right w:val="single" w:sz="4" w:space="0" w:color="auto"/>
            </w:tcBorders>
            <w:shd w:val="clear" w:color="000000" w:fill="FFFFFF"/>
            <w:noWrap/>
            <w:vAlign w:val="bottom"/>
            <w:hideMark/>
          </w:tcPr>
          <w:p w14:paraId="2F8A208A"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31</w:t>
            </w:r>
          </w:p>
        </w:tc>
        <w:tc>
          <w:tcPr>
            <w:tcW w:w="1339" w:type="pct"/>
            <w:tcBorders>
              <w:top w:val="nil"/>
              <w:left w:val="nil"/>
              <w:bottom w:val="single" w:sz="4" w:space="0" w:color="auto"/>
              <w:right w:val="single" w:sz="4" w:space="0" w:color="auto"/>
            </w:tcBorders>
            <w:shd w:val="clear" w:color="000000" w:fill="FFFFFF"/>
            <w:noWrap/>
            <w:vAlign w:val="bottom"/>
            <w:hideMark/>
          </w:tcPr>
          <w:p w14:paraId="610F1B8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203</w:t>
            </w:r>
          </w:p>
        </w:tc>
      </w:tr>
      <w:tr w:rsidR="004E08D7" w:rsidRPr="004E08D7" w14:paraId="57B0A5EC"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695C1A87"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Nanortalik</w:t>
            </w:r>
          </w:p>
        </w:tc>
        <w:tc>
          <w:tcPr>
            <w:tcW w:w="1216" w:type="pct"/>
            <w:tcBorders>
              <w:top w:val="nil"/>
              <w:left w:val="nil"/>
              <w:bottom w:val="single" w:sz="4" w:space="0" w:color="auto"/>
              <w:right w:val="single" w:sz="4" w:space="0" w:color="auto"/>
            </w:tcBorders>
            <w:shd w:val="clear" w:color="000000" w:fill="FFFFFF"/>
            <w:noWrap/>
            <w:vAlign w:val="bottom"/>
            <w:hideMark/>
          </w:tcPr>
          <w:p w14:paraId="0D7289C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86</w:t>
            </w:r>
          </w:p>
        </w:tc>
        <w:tc>
          <w:tcPr>
            <w:tcW w:w="1148" w:type="pct"/>
            <w:tcBorders>
              <w:top w:val="nil"/>
              <w:left w:val="nil"/>
              <w:bottom w:val="single" w:sz="4" w:space="0" w:color="auto"/>
              <w:right w:val="single" w:sz="4" w:space="0" w:color="auto"/>
            </w:tcBorders>
            <w:shd w:val="clear" w:color="000000" w:fill="FFFFFF"/>
            <w:noWrap/>
            <w:vAlign w:val="bottom"/>
            <w:hideMark/>
          </w:tcPr>
          <w:p w14:paraId="7E1D78BA"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11</w:t>
            </w:r>
          </w:p>
        </w:tc>
        <w:tc>
          <w:tcPr>
            <w:tcW w:w="1339" w:type="pct"/>
            <w:tcBorders>
              <w:top w:val="nil"/>
              <w:left w:val="nil"/>
              <w:bottom w:val="single" w:sz="4" w:space="0" w:color="auto"/>
              <w:right w:val="single" w:sz="4" w:space="0" w:color="auto"/>
            </w:tcBorders>
            <w:shd w:val="clear" w:color="000000" w:fill="FFFFFF"/>
            <w:noWrap/>
            <w:vAlign w:val="bottom"/>
            <w:hideMark/>
          </w:tcPr>
          <w:p w14:paraId="4BAD700E"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97</w:t>
            </w:r>
          </w:p>
        </w:tc>
      </w:tr>
      <w:tr w:rsidR="004E08D7" w:rsidRPr="004E08D7" w14:paraId="7D9961AC"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2EDA2A9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Qeqertarsuaq</w:t>
            </w:r>
          </w:p>
        </w:tc>
        <w:tc>
          <w:tcPr>
            <w:tcW w:w="1216" w:type="pct"/>
            <w:tcBorders>
              <w:top w:val="nil"/>
              <w:left w:val="nil"/>
              <w:bottom w:val="single" w:sz="4" w:space="0" w:color="auto"/>
              <w:right w:val="single" w:sz="4" w:space="0" w:color="auto"/>
            </w:tcBorders>
            <w:shd w:val="clear" w:color="000000" w:fill="FFFFFF"/>
            <w:noWrap/>
            <w:vAlign w:val="bottom"/>
            <w:hideMark/>
          </w:tcPr>
          <w:p w14:paraId="02A0FD96"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62</w:t>
            </w:r>
          </w:p>
        </w:tc>
        <w:tc>
          <w:tcPr>
            <w:tcW w:w="1148" w:type="pct"/>
            <w:tcBorders>
              <w:top w:val="nil"/>
              <w:left w:val="nil"/>
              <w:bottom w:val="single" w:sz="4" w:space="0" w:color="auto"/>
              <w:right w:val="single" w:sz="4" w:space="0" w:color="auto"/>
            </w:tcBorders>
            <w:shd w:val="clear" w:color="000000" w:fill="FFFFFF"/>
            <w:noWrap/>
            <w:vAlign w:val="bottom"/>
            <w:hideMark/>
          </w:tcPr>
          <w:p w14:paraId="752D1A56"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w:t>
            </w:r>
          </w:p>
        </w:tc>
        <w:tc>
          <w:tcPr>
            <w:tcW w:w="1339" w:type="pct"/>
            <w:tcBorders>
              <w:top w:val="nil"/>
              <w:left w:val="nil"/>
              <w:bottom w:val="single" w:sz="4" w:space="0" w:color="auto"/>
              <w:right w:val="single" w:sz="4" w:space="0" w:color="auto"/>
            </w:tcBorders>
            <w:shd w:val="clear" w:color="000000" w:fill="FFFFFF"/>
            <w:noWrap/>
            <w:vAlign w:val="bottom"/>
            <w:hideMark/>
          </w:tcPr>
          <w:p w14:paraId="5E5853F2"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66</w:t>
            </w:r>
          </w:p>
        </w:tc>
      </w:tr>
      <w:tr w:rsidR="004E08D7" w:rsidRPr="004E08D7" w14:paraId="1B4520BD"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0044FFD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Upernavik</w:t>
            </w:r>
          </w:p>
        </w:tc>
        <w:tc>
          <w:tcPr>
            <w:tcW w:w="1216" w:type="pct"/>
            <w:tcBorders>
              <w:top w:val="nil"/>
              <w:left w:val="nil"/>
              <w:bottom w:val="single" w:sz="4" w:space="0" w:color="auto"/>
              <w:right w:val="single" w:sz="4" w:space="0" w:color="auto"/>
            </w:tcBorders>
            <w:shd w:val="clear" w:color="000000" w:fill="FFFFFF"/>
            <w:noWrap/>
            <w:vAlign w:val="bottom"/>
            <w:hideMark/>
          </w:tcPr>
          <w:p w14:paraId="7218AF3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0,2</w:t>
            </w:r>
          </w:p>
        </w:tc>
        <w:tc>
          <w:tcPr>
            <w:tcW w:w="1148" w:type="pct"/>
            <w:tcBorders>
              <w:top w:val="nil"/>
              <w:left w:val="nil"/>
              <w:bottom w:val="single" w:sz="4" w:space="0" w:color="auto"/>
              <w:right w:val="single" w:sz="4" w:space="0" w:color="auto"/>
            </w:tcBorders>
            <w:shd w:val="clear" w:color="000000" w:fill="FFFFFF"/>
            <w:noWrap/>
            <w:vAlign w:val="bottom"/>
            <w:hideMark/>
          </w:tcPr>
          <w:p w14:paraId="380649A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0</w:t>
            </w:r>
          </w:p>
        </w:tc>
        <w:tc>
          <w:tcPr>
            <w:tcW w:w="1339" w:type="pct"/>
            <w:tcBorders>
              <w:top w:val="nil"/>
              <w:left w:val="nil"/>
              <w:bottom w:val="single" w:sz="4" w:space="0" w:color="auto"/>
              <w:right w:val="single" w:sz="4" w:space="0" w:color="auto"/>
            </w:tcBorders>
            <w:shd w:val="clear" w:color="000000" w:fill="FFFFFF"/>
            <w:noWrap/>
            <w:vAlign w:val="bottom"/>
            <w:hideMark/>
          </w:tcPr>
          <w:p w14:paraId="6443E215"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0,2</w:t>
            </w:r>
          </w:p>
        </w:tc>
      </w:tr>
      <w:tr w:rsidR="004E08D7" w:rsidRPr="004E08D7" w14:paraId="11580307"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4605B5B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Ikke oplyst</w:t>
            </w:r>
          </w:p>
        </w:tc>
        <w:tc>
          <w:tcPr>
            <w:tcW w:w="1216" w:type="pct"/>
            <w:tcBorders>
              <w:top w:val="nil"/>
              <w:left w:val="nil"/>
              <w:bottom w:val="single" w:sz="4" w:space="0" w:color="auto"/>
              <w:right w:val="single" w:sz="4" w:space="0" w:color="auto"/>
            </w:tcBorders>
            <w:shd w:val="clear" w:color="000000" w:fill="FFFFFF"/>
            <w:noWrap/>
            <w:vAlign w:val="bottom"/>
            <w:hideMark/>
          </w:tcPr>
          <w:p w14:paraId="6419437C"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w:t>
            </w:r>
          </w:p>
        </w:tc>
        <w:tc>
          <w:tcPr>
            <w:tcW w:w="1148" w:type="pct"/>
            <w:tcBorders>
              <w:top w:val="nil"/>
              <w:left w:val="nil"/>
              <w:bottom w:val="single" w:sz="4" w:space="0" w:color="auto"/>
              <w:right w:val="single" w:sz="4" w:space="0" w:color="auto"/>
            </w:tcBorders>
            <w:shd w:val="clear" w:color="000000" w:fill="FFFFFF"/>
            <w:noWrap/>
            <w:vAlign w:val="bottom"/>
            <w:hideMark/>
          </w:tcPr>
          <w:p w14:paraId="383EDE9D"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0</w:t>
            </w:r>
          </w:p>
        </w:tc>
        <w:tc>
          <w:tcPr>
            <w:tcW w:w="1339" w:type="pct"/>
            <w:tcBorders>
              <w:top w:val="nil"/>
              <w:left w:val="nil"/>
              <w:bottom w:val="single" w:sz="4" w:space="0" w:color="auto"/>
              <w:right w:val="single" w:sz="4" w:space="0" w:color="auto"/>
            </w:tcBorders>
            <w:shd w:val="clear" w:color="000000" w:fill="FFFFFF"/>
            <w:noWrap/>
            <w:vAlign w:val="bottom"/>
            <w:hideMark/>
          </w:tcPr>
          <w:p w14:paraId="5EEEFC75"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3</w:t>
            </w:r>
          </w:p>
        </w:tc>
      </w:tr>
      <w:tr w:rsidR="004E08D7" w:rsidRPr="004E08D7" w14:paraId="5322C88A"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7878D3F2" w14:textId="77777777" w:rsidR="004E08D7" w:rsidRPr="004E08D7" w:rsidRDefault="004E08D7" w:rsidP="00732A54">
            <w:pPr>
              <w:spacing w:after="0" w:line="240" w:lineRule="auto"/>
              <w:jc w:val="both"/>
              <w:rPr>
                <w:rFonts w:ascii="Times New Roman" w:eastAsia="Times New Roman" w:hAnsi="Times New Roman" w:cs="Times New Roman"/>
                <w:b/>
                <w:bCs/>
                <w:color w:val="000000"/>
                <w:sz w:val="20"/>
                <w:szCs w:val="20"/>
                <w:lang w:eastAsia="da-DK"/>
              </w:rPr>
            </w:pPr>
            <w:r w:rsidRPr="004E08D7">
              <w:rPr>
                <w:rFonts w:ascii="Times New Roman" w:eastAsia="Times New Roman" w:hAnsi="Times New Roman" w:cs="Times New Roman"/>
                <w:b/>
                <w:bCs/>
                <w:color w:val="000000"/>
                <w:sz w:val="20"/>
                <w:szCs w:val="20"/>
                <w:lang w:eastAsia="da-DK"/>
              </w:rPr>
              <w:t>I alt</w:t>
            </w:r>
          </w:p>
        </w:tc>
        <w:tc>
          <w:tcPr>
            <w:tcW w:w="1216" w:type="pct"/>
            <w:tcBorders>
              <w:top w:val="nil"/>
              <w:left w:val="nil"/>
              <w:bottom w:val="single" w:sz="4" w:space="0" w:color="auto"/>
              <w:right w:val="single" w:sz="4" w:space="0" w:color="auto"/>
            </w:tcBorders>
            <w:shd w:val="clear" w:color="000000" w:fill="FFFFFF"/>
            <w:noWrap/>
            <w:vAlign w:val="bottom"/>
            <w:hideMark/>
          </w:tcPr>
          <w:p w14:paraId="4E67D1CA" w14:textId="77777777" w:rsidR="004E08D7" w:rsidRPr="004E08D7" w:rsidRDefault="004E08D7" w:rsidP="00732A54">
            <w:pPr>
              <w:spacing w:after="0" w:line="240" w:lineRule="auto"/>
              <w:jc w:val="both"/>
              <w:rPr>
                <w:rFonts w:ascii="Times New Roman" w:eastAsia="Times New Roman" w:hAnsi="Times New Roman" w:cs="Times New Roman"/>
                <w:b/>
                <w:bCs/>
                <w:color w:val="000000"/>
                <w:sz w:val="20"/>
                <w:szCs w:val="20"/>
                <w:lang w:eastAsia="da-DK"/>
              </w:rPr>
            </w:pPr>
            <w:r w:rsidRPr="004E08D7">
              <w:rPr>
                <w:rFonts w:ascii="Times New Roman" w:eastAsia="Times New Roman" w:hAnsi="Times New Roman" w:cs="Times New Roman"/>
                <w:b/>
                <w:bCs/>
                <w:color w:val="000000"/>
                <w:sz w:val="20"/>
                <w:szCs w:val="20"/>
                <w:lang w:eastAsia="da-DK"/>
              </w:rPr>
              <w:t>17.527</w:t>
            </w:r>
          </w:p>
        </w:tc>
        <w:tc>
          <w:tcPr>
            <w:tcW w:w="1148" w:type="pct"/>
            <w:tcBorders>
              <w:top w:val="nil"/>
              <w:left w:val="nil"/>
              <w:bottom w:val="single" w:sz="4" w:space="0" w:color="auto"/>
              <w:right w:val="single" w:sz="4" w:space="0" w:color="auto"/>
            </w:tcBorders>
            <w:shd w:val="clear" w:color="000000" w:fill="FFFFFF"/>
            <w:noWrap/>
            <w:vAlign w:val="bottom"/>
            <w:hideMark/>
          </w:tcPr>
          <w:p w14:paraId="7FE81B5B" w14:textId="77777777" w:rsidR="004E08D7" w:rsidRPr="004E08D7" w:rsidRDefault="004E08D7" w:rsidP="00732A54">
            <w:pPr>
              <w:spacing w:after="0" w:line="240" w:lineRule="auto"/>
              <w:jc w:val="both"/>
              <w:rPr>
                <w:rFonts w:ascii="Times New Roman" w:eastAsia="Times New Roman" w:hAnsi="Times New Roman" w:cs="Times New Roman"/>
                <w:b/>
                <w:bCs/>
                <w:color w:val="000000"/>
                <w:sz w:val="20"/>
                <w:szCs w:val="20"/>
                <w:lang w:eastAsia="da-DK"/>
              </w:rPr>
            </w:pPr>
            <w:r w:rsidRPr="004E08D7">
              <w:rPr>
                <w:rFonts w:ascii="Times New Roman" w:eastAsia="Times New Roman" w:hAnsi="Times New Roman" w:cs="Times New Roman"/>
                <w:b/>
                <w:bCs/>
                <w:color w:val="000000"/>
                <w:sz w:val="20"/>
                <w:szCs w:val="20"/>
                <w:lang w:eastAsia="da-DK"/>
              </w:rPr>
              <w:t>783</w:t>
            </w:r>
          </w:p>
        </w:tc>
        <w:tc>
          <w:tcPr>
            <w:tcW w:w="1339" w:type="pct"/>
            <w:tcBorders>
              <w:top w:val="nil"/>
              <w:left w:val="nil"/>
              <w:bottom w:val="single" w:sz="4" w:space="0" w:color="auto"/>
              <w:right w:val="single" w:sz="4" w:space="0" w:color="auto"/>
            </w:tcBorders>
            <w:shd w:val="clear" w:color="000000" w:fill="FFFFFF"/>
            <w:noWrap/>
            <w:vAlign w:val="bottom"/>
            <w:hideMark/>
          </w:tcPr>
          <w:p w14:paraId="066E5E42" w14:textId="77777777" w:rsidR="004E08D7" w:rsidRPr="004E08D7" w:rsidRDefault="004E08D7" w:rsidP="00732A54">
            <w:pPr>
              <w:spacing w:after="0" w:line="240" w:lineRule="auto"/>
              <w:jc w:val="both"/>
              <w:rPr>
                <w:rFonts w:ascii="Times New Roman" w:eastAsia="Times New Roman" w:hAnsi="Times New Roman" w:cs="Times New Roman"/>
                <w:b/>
                <w:bCs/>
                <w:color w:val="000000"/>
                <w:sz w:val="20"/>
                <w:szCs w:val="20"/>
                <w:lang w:eastAsia="da-DK"/>
              </w:rPr>
            </w:pPr>
            <w:r w:rsidRPr="004E08D7">
              <w:rPr>
                <w:rFonts w:ascii="Times New Roman" w:eastAsia="Times New Roman" w:hAnsi="Times New Roman" w:cs="Times New Roman"/>
                <w:b/>
                <w:bCs/>
                <w:color w:val="000000"/>
                <w:sz w:val="20"/>
                <w:szCs w:val="20"/>
                <w:lang w:eastAsia="da-DK"/>
              </w:rPr>
              <w:t>18.310</w:t>
            </w:r>
          </w:p>
        </w:tc>
      </w:tr>
    </w:tbl>
    <w:p w14:paraId="5C408BEC" w14:textId="2ED6178D" w:rsidR="008A6C68" w:rsidRPr="00D86D07" w:rsidRDefault="00D86D07" w:rsidP="00732A54">
      <w:pPr>
        <w:spacing w:after="0" w:line="276" w:lineRule="auto"/>
        <w:jc w:val="both"/>
        <w:rPr>
          <w:rFonts w:ascii="Times New Roman" w:hAnsi="Times New Roman" w:cs="Times New Roman"/>
          <w:color w:val="000000" w:themeColor="text1"/>
          <w:sz w:val="20"/>
          <w:szCs w:val="20"/>
        </w:rPr>
      </w:pPr>
      <w:r w:rsidRPr="00D86D07">
        <w:rPr>
          <w:rFonts w:ascii="Times New Roman" w:hAnsi="Times New Roman" w:cs="Times New Roman"/>
          <w:color w:val="000000" w:themeColor="text1"/>
          <w:sz w:val="20"/>
          <w:szCs w:val="20"/>
        </w:rPr>
        <w:t>Kilde: APNN.</w:t>
      </w:r>
    </w:p>
    <w:p w14:paraId="7231806C" w14:textId="50A01322" w:rsidR="00146F8F" w:rsidRPr="00D86D07" w:rsidRDefault="00146F8F" w:rsidP="00732A54">
      <w:pPr>
        <w:spacing w:after="0" w:line="276" w:lineRule="auto"/>
        <w:jc w:val="both"/>
        <w:rPr>
          <w:rFonts w:ascii="Times New Roman" w:hAnsi="Times New Roman" w:cs="Times New Roman"/>
          <w:b/>
          <w:i/>
        </w:rPr>
      </w:pPr>
    </w:p>
    <w:p w14:paraId="4E8CAB15" w14:textId="1B4C3D82" w:rsidR="00146F8F" w:rsidRPr="00323891" w:rsidRDefault="00323891" w:rsidP="00732A54">
      <w:pPr>
        <w:spacing w:after="0" w:line="276" w:lineRule="auto"/>
        <w:jc w:val="both"/>
        <w:rPr>
          <w:rFonts w:ascii="Times New Roman" w:hAnsi="Times New Roman" w:cs="Times New Roman"/>
          <w:b/>
          <w:i/>
        </w:rPr>
      </w:pPr>
      <w:r w:rsidRPr="00323891">
        <w:rPr>
          <w:rFonts w:ascii="Times New Roman" w:hAnsi="Times New Roman" w:cs="Times New Roman"/>
          <w:b/>
          <w:i/>
        </w:rPr>
        <w:t>3.</w:t>
      </w:r>
      <w:r w:rsidR="00D86D07">
        <w:rPr>
          <w:rFonts w:ascii="Times New Roman" w:hAnsi="Times New Roman" w:cs="Times New Roman"/>
          <w:b/>
          <w:i/>
        </w:rPr>
        <w:t>3</w:t>
      </w:r>
      <w:r w:rsidRPr="00323891">
        <w:rPr>
          <w:rFonts w:ascii="Times New Roman" w:hAnsi="Times New Roman" w:cs="Times New Roman"/>
          <w:b/>
          <w:i/>
        </w:rPr>
        <w:t xml:space="preserve"> </w:t>
      </w:r>
      <w:proofErr w:type="spellStart"/>
      <w:r w:rsidR="00146F8F" w:rsidRPr="00323891">
        <w:rPr>
          <w:rFonts w:ascii="Times New Roman" w:hAnsi="Times New Roman" w:cs="Times New Roman"/>
          <w:b/>
          <w:i/>
        </w:rPr>
        <w:t>Nutaaq</w:t>
      </w:r>
      <w:proofErr w:type="spellEnd"/>
      <w:r w:rsidR="00146F8F" w:rsidRPr="00323891">
        <w:rPr>
          <w:rFonts w:ascii="Times New Roman" w:hAnsi="Times New Roman" w:cs="Times New Roman"/>
          <w:b/>
          <w:i/>
        </w:rPr>
        <w:t xml:space="preserve"> </w:t>
      </w:r>
      <w:proofErr w:type="spellStart"/>
      <w:r w:rsidR="00146F8F" w:rsidRPr="00323891">
        <w:rPr>
          <w:rFonts w:ascii="Times New Roman" w:hAnsi="Times New Roman" w:cs="Times New Roman"/>
          <w:b/>
          <w:i/>
        </w:rPr>
        <w:t>torske</w:t>
      </w:r>
      <w:proofErr w:type="spellEnd"/>
      <w:r w:rsidR="00146F8F" w:rsidRPr="00323891">
        <w:rPr>
          <w:rFonts w:ascii="Times New Roman" w:hAnsi="Times New Roman" w:cs="Times New Roman"/>
          <w:b/>
          <w:i/>
        </w:rPr>
        <w:t xml:space="preserve"> projektet – Royal Greenland Maniitsoq </w:t>
      </w:r>
    </w:p>
    <w:p w14:paraId="50310821" w14:textId="334F7A49" w:rsidR="004F2E25" w:rsidRPr="00146F8F" w:rsidRDefault="00146F8F" w:rsidP="00732A54">
      <w:pPr>
        <w:spacing w:after="0" w:line="276" w:lineRule="auto"/>
        <w:jc w:val="both"/>
        <w:rPr>
          <w:rFonts w:ascii="Times New Roman" w:hAnsi="Times New Roman" w:cs="Times New Roman"/>
        </w:rPr>
      </w:pPr>
      <w:r>
        <w:rPr>
          <w:rFonts w:ascii="Times New Roman" w:hAnsi="Times New Roman" w:cs="Times New Roman"/>
        </w:rPr>
        <w:t xml:space="preserve">Hovedparten af indhandling til Maniitsoq indhandles til Royal Greenland som levende torsk. </w:t>
      </w:r>
      <w:r w:rsidR="004F2E25" w:rsidRPr="00146F8F">
        <w:rPr>
          <w:rFonts w:ascii="Times New Roman" w:hAnsi="Times New Roman" w:cs="Times New Roman"/>
        </w:rPr>
        <w:t xml:space="preserve">Torsken til projektet fiskes i bundgarn, og samles af en brøndbåd, der suger fisken ud af bundgarnene og transporterer fisken levende til fabrikken, hvor den opbevares levende i bure i havet. Torsken bliver ikke fodret mens den står i burene, hvilket resulterer i fastere kød, og et produkt af en højere kvalitet. Herved forøges værdien af råvaren, og udbytte af torskeressourcen forøges. </w:t>
      </w:r>
    </w:p>
    <w:p w14:paraId="1ACB16C7" w14:textId="61845DFD" w:rsidR="008A6C68" w:rsidRPr="00146F8F" w:rsidRDefault="008A6C68" w:rsidP="00732A54">
      <w:pPr>
        <w:spacing w:after="0" w:line="276" w:lineRule="auto"/>
        <w:jc w:val="both"/>
        <w:rPr>
          <w:rFonts w:ascii="Times New Roman" w:hAnsi="Times New Roman" w:cs="Times New Roman"/>
          <w:color w:val="000000" w:themeColor="text1"/>
        </w:rPr>
      </w:pPr>
    </w:p>
    <w:p w14:paraId="2E16AFF8" w14:textId="01531499" w:rsidR="004F2E25" w:rsidRPr="00146F8F" w:rsidRDefault="004F2E25" w:rsidP="00732A54">
      <w:pPr>
        <w:spacing w:after="0" w:line="276" w:lineRule="auto"/>
        <w:jc w:val="both"/>
        <w:rPr>
          <w:rFonts w:ascii="Times New Roman" w:hAnsi="Times New Roman" w:cs="Times New Roman"/>
          <w:color w:val="000000" w:themeColor="text1"/>
        </w:rPr>
      </w:pPr>
      <w:r w:rsidRPr="00146F8F">
        <w:rPr>
          <w:rFonts w:ascii="Times New Roman" w:hAnsi="Times New Roman" w:cs="Times New Roman"/>
        </w:rPr>
        <w:t xml:space="preserve">Samtidig betyder den levende opbevaring, at det er muligt at tilpasse tilgangen af råvarer til antallet af medarbejdere, og herved mindske spild af råvarer samt udnytte fabrikkens kapacitet bedre. </w:t>
      </w:r>
    </w:p>
    <w:p w14:paraId="2F966580" w14:textId="77777777" w:rsidR="008A6C68" w:rsidRPr="00146F8F" w:rsidRDefault="008A6C68" w:rsidP="00732A54">
      <w:pPr>
        <w:spacing w:after="0" w:line="276" w:lineRule="auto"/>
        <w:jc w:val="both"/>
        <w:rPr>
          <w:rFonts w:ascii="Times New Roman" w:hAnsi="Times New Roman" w:cs="Times New Roman"/>
          <w:color w:val="000000" w:themeColor="text1"/>
        </w:rPr>
      </w:pPr>
    </w:p>
    <w:p w14:paraId="6F48DB34" w14:textId="106C47E9" w:rsidR="004F2E25" w:rsidRDefault="004F2E25" w:rsidP="00732A54">
      <w:pPr>
        <w:spacing w:after="0" w:line="276" w:lineRule="auto"/>
        <w:jc w:val="both"/>
        <w:rPr>
          <w:rFonts w:ascii="Times New Roman" w:hAnsi="Times New Roman" w:cs="Times New Roman"/>
        </w:rPr>
      </w:pPr>
      <w:r w:rsidRPr="00146F8F">
        <w:rPr>
          <w:rFonts w:ascii="Times New Roman" w:hAnsi="Times New Roman" w:cs="Times New Roman"/>
        </w:rPr>
        <w:t>Projektet er et eksempel på hvordan innovation og adoption af ny teknologi, kan forøge fiskernes effektivitet. Fiskerne kan indhandle større mængder torsk, idet der er sket en ændring i arbejdsdelingen imellem fiskeren og fabrikken. Normalt er det fiskeren der trækker fisken op af havet, renser den og transporterer den til indhandlingsstedet. I projektet i Maniitsoq er denne del af arbejdet overgået til fabrikken. Fiskerens primære opgave er i stedet at sætte og vedligeholde bundgarn, og eftersom han ikke længere skal udføre de andre opgaver, er det muligt at han kan sætte flere bundgarn end tidligere. Herved medvirker projektet til at forøge den enkelte fiskers optag, dette betyder at der skal færre fiskere til at fiske den samme mængde.</w:t>
      </w:r>
    </w:p>
    <w:p w14:paraId="250F6D51" w14:textId="49FE2CA0" w:rsidR="00146F8F" w:rsidRDefault="00146F8F" w:rsidP="00732A54">
      <w:pPr>
        <w:spacing w:after="0" w:line="276" w:lineRule="auto"/>
        <w:jc w:val="both"/>
        <w:rPr>
          <w:rFonts w:ascii="Times New Roman" w:hAnsi="Times New Roman" w:cs="Times New Roman"/>
        </w:rPr>
      </w:pPr>
    </w:p>
    <w:p w14:paraId="3702D642" w14:textId="3A738F2A" w:rsidR="00146F8F" w:rsidRPr="00146F8F" w:rsidRDefault="00146F8F" w:rsidP="00732A54">
      <w:pPr>
        <w:spacing w:after="0" w:line="276" w:lineRule="auto"/>
        <w:jc w:val="both"/>
        <w:rPr>
          <w:rFonts w:ascii="Times New Roman" w:hAnsi="Times New Roman" w:cs="Times New Roman"/>
        </w:rPr>
      </w:pPr>
      <w:r>
        <w:rPr>
          <w:rFonts w:ascii="Times New Roman" w:hAnsi="Times New Roman" w:cs="Times New Roman"/>
        </w:rPr>
        <w:t>Royal Greenlands fabrik i Maniitsoq fileterer torsken</w:t>
      </w:r>
      <w:r w:rsidR="00307027">
        <w:rPr>
          <w:rFonts w:ascii="Times New Roman" w:hAnsi="Times New Roman" w:cs="Times New Roman"/>
        </w:rPr>
        <w:t>,</w:t>
      </w:r>
      <w:r>
        <w:rPr>
          <w:rFonts w:ascii="Times New Roman" w:hAnsi="Times New Roman" w:cs="Times New Roman"/>
        </w:rPr>
        <w:t xml:space="preserve"> </w:t>
      </w:r>
      <w:r w:rsidR="00307027">
        <w:rPr>
          <w:rFonts w:ascii="Times New Roman" w:hAnsi="Times New Roman" w:cs="Times New Roman"/>
        </w:rPr>
        <w:t xml:space="preserve">og </w:t>
      </w:r>
      <w:r>
        <w:rPr>
          <w:rFonts w:ascii="Times New Roman" w:hAnsi="Times New Roman" w:cs="Times New Roman"/>
        </w:rPr>
        <w:t>er startet</w:t>
      </w:r>
      <w:r w:rsidR="00307027">
        <w:rPr>
          <w:rFonts w:ascii="Times New Roman" w:hAnsi="Times New Roman" w:cs="Times New Roman"/>
        </w:rPr>
        <w:t xml:space="preserve"> med</w:t>
      </w:r>
      <w:r>
        <w:rPr>
          <w:rFonts w:ascii="Times New Roman" w:hAnsi="Times New Roman" w:cs="Times New Roman"/>
        </w:rPr>
        <w:t xml:space="preserve"> i høj grad at udnytte affaldet fra filet produktionen til produktion af </w:t>
      </w:r>
      <w:proofErr w:type="spellStart"/>
      <w:r>
        <w:rPr>
          <w:rFonts w:ascii="Times New Roman" w:hAnsi="Times New Roman" w:cs="Times New Roman"/>
        </w:rPr>
        <w:t>bi-produkter</w:t>
      </w:r>
      <w:proofErr w:type="spellEnd"/>
      <w:r>
        <w:rPr>
          <w:rFonts w:ascii="Times New Roman" w:hAnsi="Times New Roman" w:cs="Times New Roman"/>
        </w:rPr>
        <w:t>.</w:t>
      </w:r>
      <w:r w:rsidR="00147C56">
        <w:rPr>
          <w:rFonts w:ascii="Times New Roman" w:hAnsi="Times New Roman" w:cs="Times New Roman"/>
        </w:rPr>
        <w:t xml:space="preserve"> For at drive fabrikken rentabelt kræver det at store mængder torsk indhandles til fabrikken hvert år.</w:t>
      </w:r>
    </w:p>
    <w:p w14:paraId="37C0BF2F" w14:textId="2F1DE279" w:rsidR="008A6C68" w:rsidRDefault="008A6C68" w:rsidP="00732A54">
      <w:pPr>
        <w:spacing w:after="0" w:line="276" w:lineRule="auto"/>
        <w:jc w:val="both"/>
        <w:rPr>
          <w:rFonts w:ascii="Times New Roman" w:hAnsi="Times New Roman" w:cs="Times New Roman"/>
          <w:color w:val="000000" w:themeColor="text1"/>
        </w:rPr>
      </w:pPr>
    </w:p>
    <w:p w14:paraId="2886046A" w14:textId="751E31B3" w:rsidR="00D86D07" w:rsidRDefault="00D86D07" w:rsidP="00732A54">
      <w:pPr>
        <w:spacing w:after="0" w:line="276" w:lineRule="auto"/>
        <w:jc w:val="both"/>
        <w:rPr>
          <w:rFonts w:ascii="Times New Roman" w:hAnsi="Times New Roman" w:cs="Times New Roman"/>
          <w:color w:val="000000" w:themeColor="text1"/>
        </w:rPr>
      </w:pPr>
    </w:p>
    <w:p w14:paraId="2265A0D5" w14:textId="068424CD" w:rsidR="00D86D07" w:rsidRDefault="00D86D07" w:rsidP="00732A54">
      <w:pPr>
        <w:spacing w:after="0" w:line="276" w:lineRule="auto"/>
        <w:jc w:val="both"/>
        <w:rPr>
          <w:rFonts w:ascii="Times New Roman" w:hAnsi="Times New Roman" w:cs="Times New Roman"/>
          <w:color w:val="000000" w:themeColor="text1"/>
        </w:rPr>
      </w:pPr>
    </w:p>
    <w:p w14:paraId="1684795C" w14:textId="77777777" w:rsidR="00EF6B12" w:rsidRDefault="00EF6B12" w:rsidP="00732A54">
      <w:pPr>
        <w:spacing w:after="0" w:line="276" w:lineRule="auto"/>
        <w:jc w:val="both"/>
        <w:rPr>
          <w:rFonts w:ascii="Times New Roman" w:hAnsi="Times New Roman" w:cs="Times New Roman"/>
          <w:color w:val="000000" w:themeColor="text1"/>
        </w:rPr>
      </w:pPr>
    </w:p>
    <w:p w14:paraId="4914C65F" w14:textId="77777777" w:rsidR="00D86D07" w:rsidRPr="00146F8F" w:rsidRDefault="00D86D07" w:rsidP="00732A54">
      <w:pPr>
        <w:spacing w:after="0" w:line="276" w:lineRule="auto"/>
        <w:jc w:val="both"/>
        <w:rPr>
          <w:rFonts w:ascii="Times New Roman" w:hAnsi="Times New Roman" w:cs="Times New Roman"/>
          <w:color w:val="000000" w:themeColor="text1"/>
        </w:rPr>
      </w:pPr>
    </w:p>
    <w:p w14:paraId="4DE18228" w14:textId="30616154" w:rsidR="00323891" w:rsidRDefault="00323891" w:rsidP="00732A54">
      <w:pPr>
        <w:spacing w:after="0" w:line="276" w:lineRule="auto"/>
        <w:jc w:val="both"/>
        <w:rPr>
          <w:rFonts w:ascii="Times New Roman" w:hAnsi="Times New Roman" w:cs="Times New Roman"/>
          <w:b/>
          <w:i/>
        </w:rPr>
      </w:pPr>
      <w:r>
        <w:rPr>
          <w:rFonts w:ascii="Times New Roman" w:hAnsi="Times New Roman" w:cs="Times New Roman"/>
          <w:b/>
          <w:i/>
        </w:rPr>
        <w:t>3.</w:t>
      </w:r>
      <w:r w:rsidR="00D86D07">
        <w:rPr>
          <w:rFonts w:ascii="Times New Roman" w:hAnsi="Times New Roman" w:cs="Times New Roman"/>
          <w:b/>
          <w:i/>
        </w:rPr>
        <w:t>4</w:t>
      </w:r>
      <w:r>
        <w:rPr>
          <w:rFonts w:ascii="Times New Roman" w:hAnsi="Times New Roman" w:cs="Times New Roman"/>
          <w:b/>
          <w:i/>
        </w:rPr>
        <w:t xml:space="preserve"> Udvikling i indhandlingsværdierne i det kystnære fiskeri efter torsk</w:t>
      </w:r>
    </w:p>
    <w:p w14:paraId="3212C470" w14:textId="722A9537" w:rsidR="00D34AFD" w:rsidRPr="00D34AFD" w:rsidRDefault="00D34AFD" w:rsidP="00732A54">
      <w:pPr>
        <w:spacing w:after="0" w:line="276" w:lineRule="auto"/>
        <w:jc w:val="both"/>
        <w:rPr>
          <w:rFonts w:ascii="Times New Roman" w:hAnsi="Times New Roman" w:cs="Times New Roman"/>
        </w:rPr>
      </w:pPr>
      <w:r w:rsidRPr="00D34AFD">
        <w:rPr>
          <w:rFonts w:ascii="Times New Roman" w:hAnsi="Times New Roman" w:cs="Times New Roman"/>
        </w:rPr>
        <w:t xml:space="preserve">Værdien af de indhandlede mængder i det kystnære torskefiskeri er som det fremgår af </w:t>
      </w:r>
      <w:r>
        <w:rPr>
          <w:rFonts w:ascii="Times New Roman" w:hAnsi="Times New Roman" w:cs="Times New Roman"/>
        </w:rPr>
        <w:t>figur 5</w:t>
      </w:r>
      <w:r w:rsidRPr="00D34AFD">
        <w:rPr>
          <w:rFonts w:ascii="Times New Roman" w:hAnsi="Times New Roman" w:cs="Times New Roman"/>
        </w:rPr>
        <w:t xml:space="preserve"> steget set over hele perioden 2013- 2019 fra i alt 54 mio.kr i 2013 til i alt 126 mio.kr i 2019</w:t>
      </w:r>
      <w:r>
        <w:rPr>
          <w:rFonts w:ascii="Times New Roman" w:hAnsi="Times New Roman" w:cs="Times New Roman"/>
        </w:rPr>
        <w:t xml:space="preserve"> men faldt til ca. 100 mio.kr. i 2020. </w:t>
      </w:r>
      <w:r w:rsidRPr="00D34AFD">
        <w:rPr>
          <w:rFonts w:ascii="Times New Roman" w:hAnsi="Times New Roman" w:cs="Times New Roman"/>
        </w:rPr>
        <w:t xml:space="preserve">Bag denne udvikling er </w:t>
      </w:r>
      <w:r>
        <w:rPr>
          <w:rFonts w:ascii="Times New Roman" w:hAnsi="Times New Roman" w:cs="Times New Roman"/>
        </w:rPr>
        <w:t xml:space="preserve">både </w:t>
      </w:r>
      <w:r w:rsidRPr="00D34AFD">
        <w:rPr>
          <w:rFonts w:ascii="Times New Roman" w:hAnsi="Times New Roman" w:cs="Times New Roman"/>
        </w:rPr>
        <w:t xml:space="preserve">en stigning i </w:t>
      </w:r>
      <w:r>
        <w:rPr>
          <w:rFonts w:ascii="Times New Roman" w:hAnsi="Times New Roman" w:cs="Times New Roman"/>
        </w:rPr>
        <w:t>indhandlingsmængderne samt stigninger i indhandlings</w:t>
      </w:r>
      <w:r w:rsidRPr="00D34AFD">
        <w:rPr>
          <w:rFonts w:ascii="Times New Roman" w:hAnsi="Times New Roman" w:cs="Times New Roman"/>
        </w:rPr>
        <w:t xml:space="preserve">priserne. Det skal bemærkes, at den høje indhandlingsværdi i 2016 og 2017 på i alt 154 mio.kr </w:t>
      </w:r>
      <w:r w:rsidR="00EF6B12" w:rsidRPr="00D34AFD">
        <w:rPr>
          <w:rFonts w:ascii="Times New Roman" w:hAnsi="Times New Roman" w:cs="Times New Roman"/>
        </w:rPr>
        <w:t>repræsenter betydeligt</w:t>
      </w:r>
      <w:r w:rsidRPr="00D34AFD">
        <w:rPr>
          <w:rFonts w:ascii="Times New Roman" w:hAnsi="Times New Roman" w:cs="Times New Roman"/>
        </w:rPr>
        <w:t xml:space="preserve"> højere </w:t>
      </w:r>
      <w:r>
        <w:rPr>
          <w:rFonts w:ascii="Times New Roman" w:hAnsi="Times New Roman" w:cs="Times New Roman"/>
        </w:rPr>
        <w:t>indhandlingsmængder</w:t>
      </w:r>
      <w:r w:rsidRPr="00D34AFD">
        <w:rPr>
          <w:rFonts w:ascii="Times New Roman" w:hAnsi="Times New Roman" w:cs="Times New Roman"/>
        </w:rPr>
        <w:t>.  Det store fald i den samlede indhandlingsværdi fra 2017 til 2018 er således et udtryk for det store fald i</w:t>
      </w:r>
      <w:r>
        <w:rPr>
          <w:rFonts w:ascii="Times New Roman" w:hAnsi="Times New Roman" w:cs="Times New Roman"/>
        </w:rPr>
        <w:t>ndhandlingsmængder</w:t>
      </w:r>
      <w:r w:rsidRPr="00D34AFD">
        <w:rPr>
          <w:rFonts w:ascii="Times New Roman" w:hAnsi="Times New Roman" w:cs="Times New Roman"/>
        </w:rPr>
        <w:t xml:space="preserve">. </w:t>
      </w:r>
      <w:r>
        <w:rPr>
          <w:rFonts w:ascii="Times New Roman" w:hAnsi="Times New Roman" w:cs="Times New Roman"/>
        </w:rPr>
        <w:t xml:space="preserve">Faldet i indhandlingsværdien fra 2019 skyldes både fald i samlede indhandlingsmænger samt prisfald </w:t>
      </w:r>
      <w:r w:rsidR="00093C62">
        <w:rPr>
          <w:rFonts w:ascii="Times New Roman" w:hAnsi="Times New Roman" w:cs="Times New Roman"/>
        </w:rPr>
        <w:t xml:space="preserve">som </w:t>
      </w:r>
      <w:r>
        <w:rPr>
          <w:rFonts w:ascii="Times New Roman" w:hAnsi="Times New Roman" w:cs="Times New Roman"/>
        </w:rPr>
        <w:t>følge</w:t>
      </w:r>
      <w:r w:rsidR="00093C62">
        <w:rPr>
          <w:rFonts w:ascii="Times New Roman" w:hAnsi="Times New Roman" w:cs="Times New Roman"/>
        </w:rPr>
        <w:t xml:space="preserve"> af</w:t>
      </w:r>
      <w:r>
        <w:rPr>
          <w:rFonts w:ascii="Times New Roman" w:hAnsi="Times New Roman" w:cs="Times New Roman"/>
        </w:rPr>
        <w:t xml:space="preserve"> COVID-19.</w:t>
      </w:r>
    </w:p>
    <w:p w14:paraId="5800F729" w14:textId="77777777" w:rsidR="00D34AFD" w:rsidRDefault="00D34AFD" w:rsidP="00732A54">
      <w:pPr>
        <w:spacing w:after="0" w:line="276" w:lineRule="auto"/>
        <w:jc w:val="both"/>
        <w:rPr>
          <w:rFonts w:ascii="Times New Roman" w:hAnsi="Times New Roman" w:cs="Times New Roman"/>
          <w:color w:val="000000"/>
          <w:shd w:val="clear" w:color="auto" w:fill="FFFFFF"/>
        </w:rPr>
      </w:pPr>
    </w:p>
    <w:p w14:paraId="649B908B" w14:textId="36095FD0" w:rsidR="00D34AFD" w:rsidRPr="00EB2524" w:rsidRDefault="00D34AFD" w:rsidP="00732A54">
      <w:pPr>
        <w:spacing w:after="0" w:line="276" w:lineRule="auto"/>
        <w:jc w:val="both"/>
        <w:rPr>
          <w:rFonts w:ascii="Times New Roman" w:hAnsi="Times New Roman" w:cs="Times New Roman"/>
          <w:color w:val="000000"/>
          <w:shd w:val="clear" w:color="auto" w:fill="FFFFFF"/>
        </w:rPr>
      </w:pPr>
      <w:r w:rsidRPr="00EB2524">
        <w:rPr>
          <w:rFonts w:ascii="Times New Roman" w:hAnsi="Times New Roman" w:cs="Times New Roman"/>
          <w:color w:val="000000"/>
          <w:shd w:val="clear" w:color="auto" w:fill="FFFFFF"/>
        </w:rPr>
        <w:t xml:space="preserve">Figur </w:t>
      </w:r>
      <w:r w:rsidR="00D86D07">
        <w:rPr>
          <w:rFonts w:ascii="Times New Roman" w:hAnsi="Times New Roman" w:cs="Times New Roman"/>
          <w:color w:val="000000"/>
          <w:shd w:val="clear" w:color="auto" w:fill="FFFFFF"/>
        </w:rPr>
        <w:t>5</w:t>
      </w:r>
      <w:r w:rsidRPr="00EB2524">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Udvikling i indhandlingsværdier på kystnær torsk fordelt på erhvervs- og fritidsfiskeri, 2013-2020</w:t>
      </w:r>
      <w:r w:rsidR="00D77838">
        <w:rPr>
          <w:rFonts w:ascii="Times New Roman" w:hAnsi="Times New Roman" w:cs="Times New Roman"/>
          <w:color w:val="000000"/>
          <w:shd w:val="clear" w:color="auto" w:fill="FFFFFF"/>
        </w:rPr>
        <w:t>.</w:t>
      </w:r>
      <w:r w:rsidRPr="00EB2524">
        <w:rPr>
          <w:rFonts w:ascii="Times New Roman" w:hAnsi="Times New Roman" w:cs="Times New Roman"/>
          <w:color w:val="000000"/>
          <w:shd w:val="clear" w:color="auto" w:fill="FFFFFF"/>
        </w:rPr>
        <w:t xml:space="preserve"> </w:t>
      </w:r>
    </w:p>
    <w:p w14:paraId="3C9EED46" w14:textId="77777777" w:rsidR="00D34AFD" w:rsidRPr="00D34AFD" w:rsidRDefault="00D34AFD" w:rsidP="00732A54">
      <w:pPr>
        <w:spacing w:after="0" w:line="276" w:lineRule="auto"/>
        <w:jc w:val="both"/>
        <w:rPr>
          <w:rFonts w:ascii="Times New Roman" w:hAnsi="Times New Roman" w:cs="Times New Roman"/>
          <w:color w:val="000000" w:themeColor="text1"/>
        </w:rPr>
      </w:pPr>
    </w:p>
    <w:p w14:paraId="63E26E31" w14:textId="58BF857B" w:rsidR="00D34AFD" w:rsidRPr="00D34AFD" w:rsidRDefault="00D34AFD" w:rsidP="00732A54">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4670A1B1" wp14:editId="39D864C4">
            <wp:extent cx="5953125" cy="3648075"/>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E43ACE" w14:textId="4A1068C3" w:rsidR="00D34AFD" w:rsidRPr="00D34AFD" w:rsidRDefault="00D34AFD" w:rsidP="00732A54">
      <w:pPr>
        <w:spacing w:after="0" w:line="276" w:lineRule="auto"/>
        <w:jc w:val="both"/>
        <w:rPr>
          <w:rFonts w:ascii="Times New Roman" w:hAnsi="Times New Roman" w:cs="Times New Roman"/>
          <w:sz w:val="20"/>
          <w:szCs w:val="20"/>
        </w:rPr>
      </w:pPr>
      <w:r w:rsidRPr="00D34AFD">
        <w:rPr>
          <w:rFonts w:ascii="Times New Roman" w:hAnsi="Times New Roman" w:cs="Times New Roman"/>
          <w:sz w:val="20"/>
          <w:szCs w:val="20"/>
        </w:rPr>
        <w:t>Kilde: APNN.</w:t>
      </w:r>
    </w:p>
    <w:p w14:paraId="226196D5" w14:textId="7C34BBE8" w:rsidR="00093C62" w:rsidRPr="00EF6B12" w:rsidRDefault="00093C62" w:rsidP="00E642F3">
      <w:pPr>
        <w:pStyle w:val="Overskrift1"/>
        <w:rPr>
          <w:b w:val="0"/>
          <w:i/>
        </w:rPr>
      </w:pPr>
      <w:r w:rsidRPr="00EF6B12">
        <w:rPr>
          <w:b w:val="0"/>
          <w:i/>
          <w:sz w:val="22"/>
        </w:rPr>
        <w:t>Udvikling i indhandlingspriser</w:t>
      </w:r>
    </w:p>
    <w:p w14:paraId="54A3EC2E" w14:textId="77777777" w:rsidR="00D77838" w:rsidRDefault="00D77838" w:rsidP="00732A54">
      <w:pPr>
        <w:spacing w:after="0" w:line="276" w:lineRule="auto"/>
        <w:jc w:val="both"/>
        <w:rPr>
          <w:rFonts w:ascii="Times New Roman" w:hAnsi="Times New Roman" w:cs="Times New Roman"/>
        </w:rPr>
      </w:pPr>
      <w:r>
        <w:rPr>
          <w:rFonts w:ascii="Times New Roman" w:hAnsi="Times New Roman" w:cs="Times New Roman"/>
        </w:rPr>
        <w:t>Indhandlingsprisen</w:t>
      </w:r>
      <w:r w:rsidRPr="00D34AFD">
        <w:rPr>
          <w:rFonts w:ascii="Times New Roman" w:hAnsi="Times New Roman" w:cs="Times New Roman"/>
        </w:rPr>
        <w:t xml:space="preserve"> er et udtryk for den pris fiskeren modtager fra opkøberen af fisk i forbindelse med indhandlingen, eventuelle bonusordninger der bliver afregnet på senere tidspunkt indgår således ikke indeholdt.  </w:t>
      </w:r>
    </w:p>
    <w:p w14:paraId="2FA878AE" w14:textId="77777777" w:rsidR="00D77838" w:rsidRDefault="00D77838" w:rsidP="00732A54">
      <w:pPr>
        <w:spacing w:after="0" w:line="276" w:lineRule="auto"/>
        <w:jc w:val="both"/>
        <w:rPr>
          <w:rFonts w:ascii="Times New Roman" w:hAnsi="Times New Roman" w:cs="Times New Roman"/>
        </w:rPr>
      </w:pPr>
    </w:p>
    <w:p w14:paraId="6D2A6820" w14:textId="77777777" w:rsidR="00D77838" w:rsidRPr="00D34AFD" w:rsidRDefault="00D77838" w:rsidP="00732A54">
      <w:pPr>
        <w:spacing w:after="0" w:line="276" w:lineRule="auto"/>
        <w:jc w:val="both"/>
        <w:rPr>
          <w:rFonts w:ascii="Times New Roman" w:hAnsi="Times New Roman" w:cs="Times New Roman"/>
        </w:rPr>
      </w:pPr>
      <w:r w:rsidRPr="00D34AFD">
        <w:rPr>
          <w:rFonts w:ascii="Times New Roman" w:hAnsi="Times New Roman" w:cs="Times New Roman"/>
        </w:rPr>
        <w:t xml:space="preserve">Derudover skal det bemærkes at der i </w:t>
      </w:r>
      <w:r>
        <w:rPr>
          <w:rFonts w:ascii="Times New Roman" w:hAnsi="Times New Roman" w:cs="Times New Roman"/>
        </w:rPr>
        <w:t>beregningerne af gennemsnitsindhandlingspriser for de tre produktkategorier er</w:t>
      </w:r>
      <w:r w:rsidRPr="00D34AFD">
        <w:rPr>
          <w:rFonts w:ascii="Times New Roman" w:hAnsi="Times New Roman" w:cs="Times New Roman"/>
        </w:rPr>
        <w:t xml:space="preserve"> ikke hensyn </w:t>
      </w:r>
      <w:r>
        <w:rPr>
          <w:rFonts w:ascii="Times New Roman" w:hAnsi="Times New Roman" w:cs="Times New Roman"/>
        </w:rPr>
        <w:t>forskelligheder i</w:t>
      </w:r>
      <w:r w:rsidRPr="00D34AFD">
        <w:rPr>
          <w:rFonts w:ascii="Times New Roman" w:hAnsi="Times New Roman" w:cs="Times New Roman"/>
        </w:rPr>
        <w:t xml:space="preserve"> kvalitets- og størrelseskategorier, som kan have betydning for afregningen a</w:t>
      </w:r>
      <w:r>
        <w:rPr>
          <w:rFonts w:ascii="Times New Roman" w:hAnsi="Times New Roman" w:cs="Times New Roman"/>
        </w:rPr>
        <w:t xml:space="preserve">f den indhandlede mængde torsk eller andre forhold som kan påvirke niveauet af indhandlingsprisen. </w:t>
      </w:r>
      <w:r w:rsidRPr="00D34AFD">
        <w:rPr>
          <w:rFonts w:ascii="Times New Roman" w:hAnsi="Times New Roman" w:cs="Times New Roman"/>
        </w:rPr>
        <w:t>Opgørelsen er derfor lavet som gennemsnitspriser for al indhandling af torsk fra det kystnære torskefiskeri.</w:t>
      </w:r>
    </w:p>
    <w:p w14:paraId="0EE98751" w14:textId="77777777" w:rsidR="00D77838" w:rsidRDefault="00D77838" w:rsidP="00732A54">
      <w:pPr>
        <w:spacing w:after="0" w:line="276" w:lineRule="auto"/>
        <w:jc w:val="both"/>
        <w:rPr>
          <w:rFonts w:ascii="Times New Roman" w:hAnsi="Times New Roman" w:cs="Times New Roman"/>
        </w:rPr>
      </w:pPr>
    </w:p>
    <w:p w14:paraId="5C02FC69" w14:textId="31C06255" w:rsidR="00D77838" w:rsidRDefault="00D34AFD" w:rsidP="00732A54">
      <w:pPr>
        <w:spacing w:after="0" w:line="276" w:lineRule="auto"/>
        <w:jc w:val="both"/>
        <w:rPr>
          <w:rFonts w:ascii="Times New Roman" w:hAnsi="Times New Roman" w:cs="Times New Roman"/>
        </w:rPr>
      </w:pPr>
      <w:r w:rsidRPr="00D34AFD">
        <w:rPr>
          <w:rFonts w:ascii="Times New Roman" w:hAnsi="Times New Roman" w:cs="Times New Roman"/>
        </w:rPr>
        <w:t xml:space="preserve">Udviklingen i </w:t>
      </w:r>
      <w:r>
        <w:rPr>
          <w:rFonts w:ascii="Times New Roman" w:hAnsi="Times New Roman" w:cs="Times New Roman"/>
        </w:rPr>
        <w:t>de gennemsnitlige indhandlingspriser</w:t>
      </w:r>
      <w:r w:rsidRPr="00D34AFD">
        <w:rPr>
          <w:rFonts w:ascii="Times New Roman" w:hAnsi="Times New Roman" w:cs="Times New Roman"/>
        </w:rPr>
        <w:t xml:space="preserve"> </w:t>
      </w:r>
      <w:r w:rsidR="003A1115">
        <w:rPr>
          <w:rFonts w:ascii="Times New Roman" w:hAnsi="Times New Roman" w:cs="Times New Roman"/>
        </w:rPr>
        <w:t xml:space="preserve">i figur </w:t>
      </w:r>
      <w:r w:rsidR="00BC014A">
        <w:rPr>
          <w:rFonts w:ascii="Times New Roman" w:hAnsi="Times New Roman" w:cs="Times New Roman"/>
        </w:rPr>
        <w:t>6</w:t>
      </w:r>
      <w:r w:rsidR="003A1115">
        <w:rPr>
          <w:rFonts w:ascii="Times New Roman" w:hAnsi="Times New Roman" w:cs="Times New Roman"/>
        </w:rPr>
        <w:t xml:space="preserve"> </w:t>
      </w:r>
      <w:r w:rsidRPr="00D34AFD">
        <w:rPr>
          <w:rFonts w:ascii="Times New Roman" w:hAnsi="Times New Roman" w:cs="Times New Roman"/>
        </w:rPr>
        <w:t xml:space="preserve">viser en generel positiv tendens i perioden </w:t>
      </w:r>
      <w:r w:rsidR="003A1115">
        <w:rPr>
          <w:rFonts w:ascii="Times New Roman" w:hAnsi="Times New Roman" w:cs="Times New Roman"/>
        </w:rPr>
        <w:t>20</w:t>
      </w:r>
      <w:r w:rsidR="00D77838">
        <w:rPr>
          <w:rFonts w:ascii="Times New Roman" w:hAnsi="Times New Roman" w:cs="Times New Roman"/>
        </w:rPr>
        <w:t>13-2019</w:t>
      </w:r>
      <w:r w:rsidR="003A1115">
        <w:rPr>
          <w:rFonts w:ascii="Times New Roman" w:hAnsi="Times New Roman" w:cs="Times New Roman"/>
        </w:rPr>
        <w:t xml:space="preserve"> </w:t>
      </w:r>
      <w:r w:rsidRPr="00D34AFD">
        <w:rPr>
          <w:rFonts w:ascii="Times New Roman" w:hAnsi="Times New Roman" w:cs="Times New Roman"/>
        </w:rPr>
        <w:t xml:space="preserve">for alle 3 produktkategorier, der bliver indhandlet i det kystnære fiskeri efter torsk. </w:t>
      </w:r>
      <w:r w:rsidR="00D77838">
        <w:rPr>
          <w:rFonts w:ascii="Times New Roman" w:hAnsi="Times New Roman" w:cs="Times New Roman"/>
        </w:rPr>
        <w:t xml:space="preserve">Indhandlingsprisen </w:t>
      </w:r>
      <w:r w:rsidR="00D77838">
        <w:rPr>
          <w:rFonts w:ascii="Times New Roman" w:hAnsi="Times New Roman" w:cs="Times New Roman"/>
        </w:rPr>
        <w:lastRenderedPageBreak/>
        <w:t xml:space="preserve">på </w:t>
      </w:r>
      <w:r w:rsidR="00093C62">
        <w:rPr>
          <w:rFonts w:ascii="Times New Roman" w:hAnsi="Times New Roman" w:cs="Times New Roman"/>
        </w:rPr>
        <w:t xml:space="preserve">hel </w:t>
      </w:r>
      <w:r w:rsidR="00D77838">
        <w:rPr>
          <w:rFonts w:ascii="Times New Roman" w:hAnsi="Times New Roman" w:cs="Times New Roman"/>
        </w:rPr>
        <w:t>torsk steg yderligere 15 pct. i 2020 i forhold til 2019. På de andre to indhandlingsprodukter MHUI (torsk med hoved og uden indvolde) samt UHUI (torsk uden hoved og uden indvolde) faldt de gennemsnitlige priser med hhv. ca. -21 pct. og ca. -13,4 pct. i 2020 i forhold til 2019. Disse prisfald kan knyttes til COVID-19.</w:t>
      </w:r>
    </w:p>
    <w:p w14:paraId="52BB54E2" w14:textId="4E77F778" w:rsidR="00D77838" w:rsidRDefault="00D77838" w:rsidP="00732A54">
      <w:pPr>
        <w:spacing w:after="0" w:line="276" w:lineRule="auto"/>
        <w:jc w:val="both"/>
        <w:rPr>
          <w:rFonts w:ascii="Times New Roman" w:hAnsi="Times New Roman" w:cs="Times New Roman"/>
        </w:rPr>
      </w:pPr>
    </w:p>
    <w:p w14:paraId="0628BED9" w14:textId="02699180" w:rsidR="00D77838" w:rsidRPr="00EB2524" w:rsidRDefault="00D77838" w:rsidP="00732A54">
      <w:pPr>
        <w:spacing w:after="0" w:line="276" w:lineRule="auto"/>
        <w:jc w:val="both"/>
        <w:rPr>
          <w:rFonts w:ascii="Times New Roman" w:hAnsi="Times New Roman" w:cs="Times New Roman"/>
          <w:color w:val="000000"/>
          <w:shd w:val="clear" w:color="auto" w:fill="FFFFFF"/>
        </w:rPr>
      </w:pPr>
      <w:r w:rsidRPr="00EB2524">
        <w:rPr>
          <w:rFonts w:ascii="Times New Roman" w:hAnsi="Times New Roman" w:cs="Times New Roman"/>
          <w:color w:val="000000"/>
          <w:shd w:val="clear" w:color="auto" w:fill="FFFFFF"/>
        </w:rPr>
        <w:t xml:space="preserve">Figur </w:t>
      </w:r>
      <w:r w:rsidR="00BC014A">
        <w:rPr>
          <w:rFonts w:ascii="Times New Roman" w:hAnsi="Times New Roman" w:cs="Times New Roman"/>
          <w:color w:val="000000"/>
          <w:shd w:val="clear" w:color="auto" w:fill="FFFFFF"/>
        </w:rPr>
        <w:t>6</w:t>
      </w:r>
      <w:r w:rsidRPr="00EB2524">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Udvikling i de gennemsnitlige indhandlingspriser på kystnær torsk, 2013-2020</w:t>
      </w:r>
      <w:r w:rsidR="00BC014A">
        <w:rPr>
          <w:rFonts w:ascii="Times New Roman" w:hAnsi="Times New Roman" w:cs="Times New Roman"/>
          <w:color w:val="000000"/>
          <w:shd w:val="clear" w:color="auto" w:fill="FFFFFF"/>
        </w:rPr>
        <w:t>.</w:t>
      </w:r>
      <w:r w:rsidRPr="00EB2524">
        <w:rPr>
          <w:rFonts w:ascii="Times New Roman" w:hAnsi="Times New Roman" w:cs="Times New Roman"/>
          <w:color w:val="000000"/>
          <w:shd w:val="clear" w:color="auto" w:fill="FFFFFF"/>
        </w:rPr>
        <w:t xml:space="preserve"> </w:t>
      </w:r>
    </w:p>
    <w:p w14:paraId="73F0C155" w14:textId="77777777" w:rsidR="00D77838" w:rsidRPr="00D34AFD" w:rsidRDefault="00D77838" w:rsidP="00732A54">
      <w:pPr>
        <w:spacing w:after="0" w:line="276" w:lineRule="auto"/>
        <w:jc w:val="both"/>
        <w:rPr>
          <w:rFonts w:ascii="Times New Roman" w:hAnsi="Times New Roman" w:cs="Times New Roman"/>
        </w:rPr>
      </w:pPr>
    </w:p>
    <w:p w14:paraId="5D6BD935" w14:textId="5EA3CE43" w:rsidR="00D34AFD" w:rsidRDefault="00D77838" w:rsidP="00732A54">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788EB486" wp14:editId="6EC30D61">
            <wp:extent cx="6120130" cy="3864610"/>
            <wp:effectExtent l="0" t="0" r="0" b="254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2CDA79" w14:textId="492F0BFC" w:rsidR="00D77838" w:rsidRDefault="00D77838" w:rsidP="00732A54">
      <w:pPr>
        <w:spacing w:after="0" w:line="276" w:lineRule="auto"/>
        <w:jc w:val="both"/>
        <w:rPr>
          <w:rFonts w:ascii="Times New Roman" w:hAnsi="Times New Roman" w:cs="Times New Roman"/>
          <w:color w:val="000000" w:themeColor="text1"/>
          <w:sz w:val="20"/>
          <w:szCs w:val="20"/>
        </w:rPr>
      </w:pPr>
      <w:r w:rsidRPr="00D77838">
        <w:rPr>
          <w:rFonts w:ascii="Times New Roman" w:hAnsi="Times New Roman" w:cs="Times New Roman"/>
          <w:color w:val="000000" w:themeColor="text1"/>
          <w:sz w:val="20"/>
          <w:szCs w:val="20"/>
        </w:rPr>
        <w:t>Kilde: APNN.</w:t>
      </w:r>
    </w:p>
    <w:p w14:paraId="76C3A6A1" w14:textId="1519E640" w:rsidR="00843B40" w:rsidRDefault="00843B40" w:rsidP="00732A54">
      <w:pPr>
        <w:spacing w:after="0" w:line="276" w:lineRule="auto"/>
        <w:jc w:val="both"/>
        <w:rPr>
          <w:rFonts w:ascii="Times New Roman" w:hAnsi="Times New Roman" w:cs="Times New Roman"/>
          <w:color w:val="000000" w:themeColor="text1"/>
        </w:rPr>
      </w:pPr>
    </w:p>
    <w:p w14:paraId="344E44EC" w14:textId="12F44849" w:rsidR="00843B40" w:rsidRPr="00843B40" w:rsidRDefault="00843B40" w:rsidP="00732A54">
      <w:pPr>
        <w:spacing w:after="0" w:line="276" w:lineRule="auto"/>
        <w:jc w:val="both"/>
        <w:rPr>
          <w:rFonts w:ascii="Times New Roman" w:hAnsi="Times New Roman" w:cs="Times New Roman"/>
          <w:b/>
          <w:i/>
        </w:rPr>
      </w:pPr>
      <w:r w:rsidRPr="00843B40">
        <w:rPr>
          <w:rFonts w:ascii="Times New Roman" w:hAnsi="Times New Roman" w:cs="Times New Roman"/>
          <w:b/>
          <w:i/>
        </w:rPr>
        <w:t>3.</w:t>
      </w:r>
      <w:r w:rsidR="00BC014A">
        <w:rPr>
          <w:rFonts w:ascii="Times New Roman" w:hAnsi="Times New Roman" w:cs="Times New Roman"/>
          <w:b/>
          <w:i/>
        </w:rPr>
        <w:t>5</w:t>
      </w:r>
      <w:r w:rsidRPr="00843B40">
        <w:rPr>
          <w:rFonts w:ascii="Times New Roman" w:hAnsi="Times New Roman" w:cs="Times New Roman"/>
          <w:b/>
          <w:i/>
        </w:rPr>
        <w:t xml:space="preserve"> Fordeling af indhandlingsmængder og værdier i</w:t>
      </w:r>
      <w:r w:rsidR="0079153C">
        <w:rPr>
          <w:rFonts w:ascii="Times New Roman" w:hAnsi="Times New Roman" w:cs="Times New Roman"/>
          <w:b/>
          <w:i/>
        </w:rPr>
        <w:t xml:space="preserve"> det kystnære fiskeri efter torsk med joller</w:t>
      </w:r>
      <w:r w:rsidRPr="00843B40">
        <w:rPr>
          <w:rFonts w:ascii="Times New Roman" w:hAnsi="Times New Roman" w:cs="Times New Roman"/>
          <w:b/>
          <w:i/>
        </w:rPr>
        <w:t xml:space="preserve"> </w:t>
      </w:r>
    </w:p>
    <w:p w14:paraId="39B6F444" w14:textId="2550A71D" w:rsidR="00843B40" w:rsidRPr="00EB2524" w:rsidRDefault="00843B40" w:rsidP="00732A54">
      <w:pPr>
        <w:spacing w:after="0" w:line="276" w:lineRule="auto"/>
        <w:jc w:val="both"/>
        <w:rPr>
          <w:rFonts w:ascii="Times New Roman" w:hAnsi="Times New Roman" w:cs="Times New Roman"/>
        </w:rPr>
      </w:pPr>
      <w:r w:rsidRPr="00EB2524">
        <w:rPr>
          <w:rFonts w:ascii="Times New Roman" w:hAnsi="Times New Roman" w:cs="Times New Roman"/>
        </w:rPr>
        <w:t>Det er en stor variation i jollernes fangstmængder samt forskel på indhandlingspriser følge kvaliteten i fisken, samt om det er konkurrence i den by eller bygd, fiskeren indhandler. Det er derfor stor spredning i den enkelte jollefiskeres indhandlingsværdi (omsætning)</w:t>
      </w:r>
      <w:r w:rsidR="00093C62">
        <w:rPr>
          <w:rFonts w:ascii="Times New Roman" w:hAnsi="Times New Roman" w:cs="Times New Roman"/>
        </w:rPr>
        <w:t xml:space="preserve">. Nedenfor </w:t>
      </w:r>
      <w:proofErr w:type="spellStart"/>
      <w:r w:rsidR="00093C62">
        <w:rPr>
          <w:rFonts w:ascii="Times New Roman" w:hAnsi="Times New Roman" w:cs="Times New Roman"/>
        </w:rPr>
        <w:t>oplisten</w:t>
      </w:r>
      <w:proofErr w:type="spellEnd"/>
      <w:r w:rsidR="00093C62">
        <w:rPr>
          <w:rFonts w:ascii="Times New Roman" w:hAnsi="Times New Roman" w:cs="Times New Roman"/>
        </w:rPr>
        <w:t xml:space="preserve"> række punkter vedrørende indhandlingsværdi for de jollefiskere der har indhandlet torsk i 2020:</w:t>
      </w:r>
    </w:p>
    <w:p w14:paraId="3AC5A913" w14:textId="77777777" w:rsidR="00843B40" w:rsidRPr="00EB2524" w:rsidRDefault="00843B40" w:rsidP="00732A54">
      <w:pPr>
        <w:spacing w:after="0" w:line="276" w:lineRule="auto"/>
        <w:jc w:val="both"/>
        <w:rPr>
          <w:rFonts w:ascii="Times New Roman" w:hAnsi="Times New Roman" w:cs="Times New Roman"/>
        </w:rPr>
      </w:pPr>
    </w:p>
    <w:p w14:paraId="4BF4059C" w14:textId="77777777" w:rsidR="00843B40" w:rsidRDefault="00843B40" w:rsidP="00732A54">
      <w:pPr>
        <w:pStyle w:val="Listeafsnit"/>
        <w:numPr>
          <w:ilvl w:val="0"/>
          <w:numId w:val="38"/>
        </w:numPr>
        <w:spacing w:after="0" w:line="276" w:lineRule="auto"/>
        <w:jc w:val="both"/>
        <w:rPr>
          <w:rFonts w:ascii="Times New Roman" w:eastAsia="Times New Roman" w:hAnsi="Times New Roman" w:cs="Times New Roman"/>
          <w:color w:val="000000"/>
          <w:lang w:eastAsia="da-DK"/>
        </w:rPr>
      </w:pPr>
      <w:r w:rsidRPr="00EB2524">
        <w:rPr>
          <w:rFonts w:ascii="Times New Roman" w:eastAsia="Times New Roman" w:hAnsi="Times New Roman" w:cs="Times New Roman"/>
          <w:color w:val="000000"/>
          <w:lang w:eastAsia="da-DK"/>
        </w:rPr>
        <w:t xml:space="preserve">Den gennemsnitlige indhandlingsværdi for jollefiskere efter torsk i år 2020 var </w:t>
      </w:r>
      <w:r>
        <w:rPr>
          <w:rFonts w:ascii="Times New Roman" w:eastAsia="Times New Roman" w:hAnsi="Times New Roman" w:cs="Times New Roman"/>
          <w:color w:val="000000"/>
          <w:lang w:eastAsia="da-DK"/>
        </w:rPr>
        <w:t>256.382 kr. inkl. andre arter</w:t>
      </w:r>
    </w:p>
    <w:p w14:paraId="6B8804FD" w14:textId="77777777" w:rsidR="00843B40" w:rsidRDefault="00843B40" w:rsidP="00732A54">
      <w:pPr>
        <w:pStyle w:val="Listeafsnit"/>
        <w:numPr>
          <w:ilvl w:val="0"/>
          <w:numId w:val="38"/>
        </w:numPr>
        <w:spacing w:after="0" w:line="276" w:lineRule="auto"/>
        <w:jc w:val="both"/>
        <w:rPr>
          <w:rFonts w:ascii="Times New Roman" w:eastAsia="Times New Roman" w:hAnsi="Times New Roman" w:cs="Times New Roman"/>
          <w:color w:val="000000"/>
          <w:lang w:eastAsia="da-DK"/>
        </w:rPr>
      </w:pPr>
      <w:r w:rsidRPr="00EB2524">
        <w:rPr>
          <w:rFonts w:ascii="Times New Roman" w:eastAsia="Times New Roman" w:hAnsi="Times New Roman" w:cs="Times New Roman"/>
          <w:color w:val="000000"/>
          <w:lang w:eastAsia="da-DK"/>
        </w:rPr>
        <w:t>Højeste indhandlingsværdi i 2020 for j</w:t>
      </w:r>
      <w:r>
        <w:rPr>
          <w:rFonts w:ascii="Times New Roman" w:eastAsia="Times New Roman" w:hAnsi="Times New Roman" w:cs="Times New Roman"/>
          <w:color w:val="000000"/>
          <w:lang w:eastAsia="da-DK"/>
        </w:rPr>
        <w:t>ollefiskere var 1.691.320 kr.</w:t>
      </w:r>
    </w:p>
    <w:p w14:paraId="5C345D83" w14:textId="77777777" w:rsidR="00843B40" w:rsidRDefault="00843B40" w:rsidP="00732A54">
      <w:pPr>
        <w:pStyle w:val="Listeafsnit"/>
        <w:numPr>
          <w:ilvl w:val="0"/>
          <w:numId w:val="38"/>
        </w:numPr>
        <w:spacing w:after="0" w:line="276" w:lineRule="auto"/>
        <w:jc w:val="both"/>
        <w:rPr>
          <w:rFonts w:ascii="Times New Roman" w:eastAsia="Times New Roman" w:hAnsi="Times New Roman" w:cs="Times New Roman"/>
          <w:color w:val="000000"/>
          <w:lang w:eastAsia="da-DK"/>
        </w:rPr>
      </w:pPr>
      <w:r w:rsidRPr="00EB2524">
        <w:rPr>
          <w:rFonts w:ascii="Times New Roman" w:eastAsia="Times New Roman" w:hAnsi="Times New Roman" w:cs="Times New Roman"/>
          <w:color w:val="000000"/>
          <w:lang w:eastAsia="da-DK"/>
        </w:rPr>
        <w:t>Laveste indhandlingsværdi i 2020</w:t>
      </w:r>
      <w:r>
        <w:rPr>
          <w:rFonts w:ascii="Times New Roman" w:eastAsia="Times New Roman" w:hAnsi="Times New Roman" w:cs="Times New Roman"/>
          <w:color w:val="000000"/>
          <w:lang w:eastAsia="da-DK"/>
        </w:rPr>
        <w:t xml:space="preserve"> for jollefiskere var 107 kr.</w:t>
      </w:r>
    </w:p>
    <w:p w14:paraId="5FF45151" w14:textId="77777777" w:rsidR="00843B40" w:rsidRDefault="00843B40" w:rsidP="00732A54">
      <w:pPr>
        <w:pStyle w:val="Listeafsnit"/>
        <w:numPr>
          <w:ilvl w:val="0"/>
          <w:numId w:val="38"/>
        </w:numPr>
        <w:spacing w:after="0" w:line="276" w:lineRule="auto"/>
        <w:jc w:val="both"/>
        <w:rPr>
          <w:rFonts w:ascii="Times New Roman" w:eastAsia="Times New Roman" w:hAnsi="Times New Roman" w:cs="Times New Roman"/>
          <w:color w:val="000000"/>
          <w:lang w:eastAsia="da-DK"/>
        </w:rPr>
      </w:pPr>
      <w:r w:rsidRPr="00EB2524">
        <w:rPr>
          <w:rFonts w:ascii="Times New Roman" w:eastAsia="Times New Roman" w:hAnsi="Times New Roman" w:cs="Times New Roman"/>
          <w:color w:val="000000"/>
          <w:lang w:eastAsia="da-DK"/>
        </w:rPr>
        <w:t>25 pct. af jollefiskerne havde en samlet indhandlingsværd</w:t>
      </w:r>
      <w:r>
        <w:rPr>
          <w:rFonts w:ascii="Times New Roman" w:eastAsia="Times New Roman" w:hAnsi="Times New Roman" w:cs="Times New Roman"/>
          <w:color w:val="000000"/>
          <w:lang w:eastAsia="da-DK"/>
        </w:rPr>
        <w:t>i på under 50.000 kr. i 2020.</w:t>
      </w:r>
    </w:p>
    <w:p w14:paraId="3AE06B64" w14:textId="77777777" w:rsidR="00843B40" w:rsidRDefault="00843B40" w:rsidP="00732A54">
      <w:pPr>
        <w:pStyle w:val="Listeafsnit"/>
        <w:numPr>
          <w:ilvl w:val="0"/>
          <w:numId w:val="38"/>
        </w:numPr>
        <w:spacing w:after="0" w:line="276" w:lineRule="auto"/>
        <w:jc w:val="both"/>
        <w:rPr>
          <w:rFonts w:ascii="Times New Roman" w:eastAsia="Times New Roman" w:hAnsi="Times New Roman" w:cs="Times New Roman"/>
          <w:color w:val="000000"/>
          <w:lang w:eastAsia="da-DK"/>
        </w:rPr>
      </w:pPr>
      <w:r w:rsidRPr="00EB2524">
        <w:rPr>
          <w:rFonts w:ascii="Times New Roman" w:eastAsia="Times New Roman" w:hAnsi="Times New Roman" w:cs="Times New Roman"/>
          <w:color w:val="000000"/>
          <w:lang w:eastAsia="da-DK"/>
        </w:rPr>
        <w:t xml:space="preserve">56 pct. af jollefiskerne havde en samlet indhandlingsværdi </w:t>
      </w:r>
      <w:r>
        <w:rPr>
          <w:rFonts w:ascii="Times New Roman" w:eastAsia="Times New Roman" w:hAnsi="Times New Roman" w:cs="Times New Roman"/>
          <w:color w:val="000000"/>
          <w:lang w:eastAsia="da-DK"/>
        </w:rPr>
        <w:t>på under 200.000 kr. i 2020. </w:t>
      </w:r>
    </w:p>
    <w:p w14:paraId="4E84A26F" w14:textId="77777777" w:rsidR="00843B40" w:rsidRDefault="00843B40" w:rsidP="00732A54">
      <w:pPr>
        <w:pStyle w:val="Listeafsnit"/>
        <w:numPr>
          <w:ilvl w:val="0"/>
          <w:numId w:val="38"/>
        </w:num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17 pct. a</w:t>
      </w:r>
      <w:r w:rsidRPr="00EB2524">
        <w:rPr>
          <w:rFonts w:ascii="Times New Roman" w:eastAsia="Times New Roman" w:hAnsi="Times New Roman" w:cs="Times New Roman"/>
          <w:color w:val="000000"/>
          <w:lang w:eastAsia="da-DK"/>
        </w:rPr>
        <w:t xml:space="preserve">f jollefiskerne havde en samlet indhandlingsværdi </w:t>
      </w:r>
      <w:r>
        <w:rPr>
          <w:rFonts w:ascii="Times New Roman" w:eastAsia="Times New Roman" w:hAnsi="Times New Roman" w:cs="Times New Roman"/>
          <w:color w:val="000000"/>
          <w:lang w:eastAsia="da-DK"/>
        </w:rPr>
        <w:t>på over 500.000. kr. i 2020. </w:t>
      </w:r>
    </w:p>
    <w:p w14:paraId="515864A0" w14:textId="2227D4FC" w:rsidR="00843B40" w:rsidRPr="00EB2524" w:rsidRDefault="00843B40" w:rsidP="00732A54">
      <w:pPr>
        <w:pStyle w:val="Listeafsnit"/>
        <w:numPr>
          <w:ilvl w:val="0"/>
          <w:numId w:val="38"/>
        </w:numPr>
        <w:spacing w:after="0" w:line="276" w:lineRule="auto"/>
        <w:jc w:val="both"/>
        <w:rPr>
          <w:rFonts w:ascii="Times New Roman" w:eastAsia="Times New Roman" w:hAnsi="Times New Roman" w:cs="Times New Roman"/>
          <w:color w:val="000000"/>
          <w:lang w:eastAsia="da-DK"/>
        </w:rPr>
      </w:pPr>
      <w:r w:rsidRPr="00EB2524">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F</w:t>
      </w:r>
      <w:r w:rsidRPr="00EB2524">
        <w:rPr>
          <w:rFonts w:ascii="Times New Roman" w:eastAsia="Times New Roman" w:hAnsi="Times New Roman" w:cs="Times New Roman"/>
          <w:color w:val="000000"/>
          <w:lang w:eastAsia="da-DK"/>
        </w:rPr>
        <w:t xml:space="preserve">or jollefiskere der </w:t>
      </w:r>
      <w:r w:rsidR="00093C62">
        <w:rPr>
          <w:rFonts w:ascii="Times New Roman" w:eastAsia="Times New Roman" w:hAnsi="Times New Roman" w:cs="Times New Roman"/>
          <w:color w:val="000000"/>
          <w:lang w:eastAsia="da-DK"/>
        </w:rPr>
        <w:t>har optag af</w:t>
      </w:r>
      <w:r w:rsidR="00093C62" w:rsidRPr="00EB2524">
        <w:rPr>
          <w:rFonts w:ascii="Times New Roman" w:eastAsia="Times New Roman" w:hAnsi="Times New Roman" w:cs="Times New Roman"/>
          <w:color w:val="000000"/>
          <w:lang w:eastAsia="da-DK"/>
        </w:rPr>
        <w:t xml:space="preserve"> </w:t>
      </w:r>
      <w:r w:rsidRPr="00EB2524">
        <w:rPr>
          <w:rFonts w:ascii="Times New Roman" w:eastAsia="Times New Roman" w:hAnsi="Times New Roman" w:cs="Times New Roman"/>
          <w:color w:val="000000"/>
          <w:lang w:eastAsia="da-DK"/>
        </w:rPr>
        <w:t>torsk udgjorde den samlede værdi af andre arter 225 mio. kr. hvilket svarer til 84 % af den samlede indhandlingsværdi</w:t>
      </w:r>
      <w:r>
        <w:rPr>
          <w:rFonts w:ascii="Times New Roman" w:eastAsia="Times New Roman" w:hAnsi="Times New Roman" w:cs="Times New Roman"/>
          <w:color w:val="000000"/>
          <w:lang w:eastAsia="da-DK"/>
        </w:rPr>
        <w:t xml:space="preserve"> i 2020</w:t>
      </w:r>
      <w:r w:rsidRPr="00EB2524">
        <w:rPr>
          <w:rFonts w:ascii="Times New Roman" w:eastAsia="Times New Roman" w:hAnsi="Times New Roman" w:cs="Times New Roman"/>
          <w:color w:val="000000"/>
          <w:lang w:eastAsia="da-DK"/>
        </w:rPr>
        <w:t>.</w:t>
      </w:r>
    </w:p>
    <w:p w14:paraId="471921F8" w14:textId="77777777" w:rsidR="00843B40" w:rsidRDefault="00843B40" w:rsidP="00732A54">
      <w:pPr>
        <w:spacing w:after="0" w:line="276" w:lineRule="auto"/>
        <w:jc w:val="both"/>
        <w:rPr>
          <w:rFonts w:ascii="Times New Roman" w:hAnsi="Times New Roman" w:cs="Times New Roman"/>
          <w:color w:val="000000"/>
          <w:shd w:val="clear" w:color="auto" w:fill="FFFFFF"/>
        </w:rPr>
      </w:pPr>
    </w:p>
    <w:p w14:paraId="2A390AC0" w14:textId="03534B3D" w:rsidR="00843B40" w:rsidRPr="00EB2524" w:rsidRDefault="00843B40" w:rsidP="00732A54">
      <w:pPr>
        <w:spacing w:after="0" w:line="276" w:lineRule="auto"/>
        <w:jc w:val="both"/>
        <w:rPr>
          <w:rFonts w:ascii="Times New Roman" w:hAnsi="Times New Roman" w:cs="Times New Roman"/>
          <w:color w:val="000000"/>
          <w:shd w:val="clear" w:color="auto" w:fill="FFFFFF"/>
        </w:rPr>
      </w:pPr>
      <w:r w:rsidRPr="00EB2524">
        <w:rPr>
          <w:rFonts w:ascii="Times New Roman" w:hAnsi="Times New Roman" w:cs="Times New Roman"/>
          <w:color w:val="000000"/>
          <w:shd w:val="clear" w:color="auto" w:fill="FFFFFF"/>
        </w:rPr>
        <w:lastRenderedPageBreak/>
        <w:t xml:space="preserve">Det er en del jollefiskere, som fisker så små mængder </w:t>
      </w:r>
      <w:r>
        <w:rPr>
          <w:rFonts w:ascii="Times New Roman" w:hAnsi="Times New Roman" w:cs="Times New Roman"/>
          <w:color w:val="000000"/>
          <w:shd w:val="clear" w:color="auto" w:fill="FFFFFF"/>
        </w:rPr>
        <w:t>torsk</w:t>
      </w:r>
      <w:r w:rsidRPr="00EB2524">
        <w:rPr>
          <w:rFonts w:ascii="Times New Roman" w:hAnsi="Times New Roman" w:cs="Times New Roman"/>
          <w:color w:val="000000"/>
          <w:shd w:val="clear" w:color="auto" w:fill="FFFFFF"/>
        </w:rPr>
        <w:t xml:space="preserve"> årligt, at de kun kan betragtes at være fritidsfiskere frem for erhvervsfiskere. Denne problematik er illustreret i figur </w:t>
      </w:r>
      <w:r w:rsidR="00BC014A">
        <w:rPr>
          <w:rFonts w:ascii="Times New Roman" w:hAnsi="Times New Roman" w:cs="Times New Roman"/>
          <w:color w:val="000000"/>
          <w:shd w:val="clear" w:color="auto" w:fill="FFFFFF"/>
        </w:rPr>
        <w:t>7</w:t>
      </w:r>
      <w:r w:rsidRPr="00EB2524">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som</w:t>
      </w:r>
      <w:r w:rsidRPr="00EB2524">
        <w:rPr>
          <w:rFonts w:ascii="Times New Roman" w:hAnsi="Times New Roman" w:cs="Times New Roman"/>
          <w:color w:val="000000"/>
          <w:shd w:val="clear" w:color="auto" w:fill="FFFFFF"/>
        </w:rPr>
        <w:t xml:space="preserve"> viser indhandlingsmængder af </w:t>
      </w:r>
      <w:r>
        <w:rPr>
          <w:rFonts w:ascii="Times New Roman" w:hAnsi="Times New Roman" w:cs="Times New Roman"/>
          <w:color w:val="000000"/>
          <w:shd w:val="clear" w:color="auto" w:fill="FFFFFF"/>
        </w:rPr>
        <w:t xml:space="preserve">torsk </w:t>
      </w:r>
      <w:r w:rsidRPr="00EB2524">
        <w:rPr>
          <w:rFonts w:ascii="Times New Roman" w:hAnsi="Times New Roman" w:cs="Times New Roman"/>
          <w:color w:val="000000"/>
          <w:shd w:val="clear" w:color="auto" w:fill="FFFFFF"/>
        </w:rPr>
        <w:t xml:space="preserve">pr. jolle fordelt på mængde intervaller. </w:t>
      </w:r>
    </w:p>
    <w:p w14:paraId="695E318D" w14:textId="77777777" w:rsidR="00843B40" w:rsidRDefault="00843B40" w:rsidP="00732A54">
      <w:pPr>
        <w:spacing w:after="0" w:line="276" w:lineRule="auto"/>
        <w:jc w:val="both"/>
        <w:rPr>
          <w:rFonts w:ascii="Times New Roman" w:hAnsi="Times New Roman" w:cs="Times New Roman"/>
          <w:color w:val="000000"/>
          <w:shd w:val="clear" w:color="auto" w:fill="FFFFFF"/>
        </w:rPr>
      </w:pPr>
    </w:p>
    <w:p w14:paraId="5D9FEB34" w14:textId="5424D882" w:rsidR="00843B40" w:rsidRDefault="00843B40" w:rsidP="00732A54">
      <w:pPr>
        <w:spacing w:after="0" w:line="276" w:lineRule="auto"/>
        <w:jc w:val="both"/>
        <w:rPr>
          <w:rFonts w:ascii="Times New Roman" w:hAnsi="Times New Roman" w:cs="Times New Roman"/>
          <w:color w:val="000000"/>
          <w:shd w:val="clear" w:color="auto" w:fill="FFFFFF"/>
        </w:rPr>
      </w:pPr>
      <w:r w:rsidRPr="00EB2524">
        <w:rPr>
          <w:rFonts w:ascii="Times New Roman" w:hAnsi="Times New Roman" w:cs="Times New Roman"/>
          <w:color w:val="000000"/>
          <w:shd w:val="clear" w:color="auto" w:fill="FFFFFF"/>
        </w:rPr>
        <w:t xml:space="preserve">Det fremgår af figur </w:t>
      </w:r>
      <w:r w:rsidR="00BC014A">
        <w:rPr>
          <w:rFonts w:ascii="Times New Roman" w:hAnsi="Times New Roman" w:cs="Times New Roman"/>
          <w:color w:val="000000"/>
          <w:shd w:val="clear" w:color="auto" w:fill="FFFFFF"/>
        </w:rPr>
        <w:t>7</w:t>
      </w:r>
      <w:r w:rsidRPr="00EB2524">
        <w:rPr>
          <w:rFonts w:ascii="Times New Roman" w:hAnsi="Times New Roman" w:cs="Times New Roman"/>
          <w:color w:val="000000"/>
          <w:shd w:val="clear" w:color="auto" w:fill="FFFFFF"/>
        </w:rPr>
        <w:t xml:space="preserve">, at </w:t>
      </w:r>
      <w:r>
        <w:rPr>
          <w:rFonts w:ascii="Times New Roman" w:hAnsi="Times New Roman" w:cs="Times New Roman"/>
          <w:color w:val="000000"/>
          <w:shd w:val="clear" w:color="auto" w:fill="FFFFFF"/>
        </w:rPr>
        <w:t>68</w:t>
      </w:r>
      <w:r w:rsidRPr="00EB2524">
        <w:rPr>
          <w:rFonts w:ascii="Times New Roman" w:hAnsi="Times New Roman" w:cs="Times New Roman"/>
          <w:color w:val="000000"/>
          <w:shd w:val="clear" w:color="auto" w:fill="FFFFFF"/>
        </w:rPr>
        <w:t xml:space="preserve"> pct. af jollefiskerene i </w:t>
      </w:r>
      <w:r>
        <w:rPr>
          <w:rFonts w:ascii="Times New Roman" w:hAnsi="Times New Roman" w:cs="Times New Roman"/>
          <w:color w:val="000000"/>
          <w:shd w:val="clear" w:color="auto" w:fill="FFFFFF"/>
        </w:rPr>
        <w:t xml:space="preserve">det kystnære torskefiskeri </w:t>
      </w:r>
      <w:r w:rsidRPr="00EB2524">
        <w:rPr>
          <w:rFonts w:ascii="Times New Roman" w:hAnsi="Times New Roman" w:cs="Times New Roman"/>
          <w:color w:val="000000"/>
          <w:shd w:val="clear" w:color="auto" w:fill="FFFFFF"/>
        </w:rPr>
        <w:t xml:space="preserve">har indhandlet mindre end 5 tons pr. jolle i 2020, og samlet indhandlede den gruppe af jollerne </w:t>
      </w:r>
      <w:r w:rsidR="00826618">
        <w:rPr>
          <w:rFonts w:ascii="Times New Roman" w:hAnsi="Times New Roman" w:cs="Times New Roman"/>
          <w:color w:val="000000"/>
          <w:shd w:val="clear" w:color="auto" w:fill="FFFFFF"/>
        </w:rPr>
        <w:t>911</w:t>
      </w:r>
      <w:r w:rsidR="00826618" w:rsidRPr="00EB2524">
        <w:rPr>
          <w:rFonts w:ascii="Times New Roman" w:hAnsi="Times New Roman" w:cs="Times New Roman"/>
          <w:color w:val="000000"/>
          <w:shd w:val="clear" w:color="auto" w:fill="FFFFFF"/>
        </w:rPr>
        <w:t xml:space="preserve"> </w:t>
      </w:r>
      <w:r w:rsidRPr="00EB2524">
        <w:rPr>
          <w:rFonts w:ascii="Times New Roman" w:hAnsi="Times New Roman" w:cs="Times New Roman"/>
          <w:color w:val="000000"/>
          <w:shd w:val="clear" w:color="auto" w:fill="FFFFFF"/>
        </w:rPr>
        <w:t>tons. I alt</w:t>
      </w:r>
      <w:r>
        <w:rPr>
          <w:rFonts w:ascii="Times New Roman" w:hAnsi="Times New Roman" w:cs="Times New Roman"/>
          <w:color w:val="000000"/>
          <w:shd w:val="clear" w:color="auto" w:fill="FFFFFF"/>
        </w:rPr>
        <w:t xml:space="preserve"> 89 </w:t>
      </w:r>
      <w:r w:rsidRPr="00EB2524">
        <w:rPr>
          <w:rFonts w:ascii="Times New Roman" w:hAnsi="Times New Roman" w:cs="Times New Roman"/>
          <w:color w:val="000000"/>
          <w:shd w:val="clear" w:color="auto" w:fill="FFFFFF"/>
        </w:rPr>
        <w:t xml:space="preserve">pct. af jollerne indhandlede mindre end 20 tons pr. jolle med samlet indhandlingsmængde på </w:t>
      </w:r>
      <w:r w:rsidR="00826618">
        <w:rPr>
          <w:rFonts w:ascii="Times New Roman" w:hAnsi="Times New Roman" w:cs="Times New Roman"/>
          <w:color w:val="000000"/>
          <w:shd w:val="clear" w:color="auto" w:fill="FFFFFF"/>
        </w:rPr>
        <w:t>3.273</w:t>
      </w:r>
      <w:r w:rsidRPr="00EB2524">
        <w:rPr>
          <w:rFonts w:ascii="Times New Roman" w:hAnsi="Times New Roman" w:cs="Times New Roman"/>
          <w:color w:val="000000"/>
          <w:shd w:val="clear" w:color="auto" w:fill="FFFFFF"/>
        </w:rPr>
        <w:t xml:space="preserve">, svarende til ca. </w:t>
      </w:r>
      <w:r w:rsidR="00826618">
        <w:rPr>
          <w:rFonts w:ascii="Times New Roman" w:hAnsi="Times New Roman" w:cs="Times New Roman"/>
          <w:color w:val="000000"/>
          <w:shd w:val="clear" w:color="auto" w:fill="FFFFFF"/>
        </w:rPr>
        <w:t>41</w:t>
      </w:r>
      <w:r w:rsidR="00826618" w:rsidRPr="00EB2524">
        <w:rPr>
          <w:rFonts w:ascii="Times New Roman" w:hAnsi="Times New Roman" w:cs="Times New Roman"/>
          <w:color w:val="000000"/>
          <w:shd w:val="clear" w:color="auto" w:fill="FFFFFF"/>
        </w:rPr>
        <w:t xml:space="preserve"> </w:t>
      </w:r>
      <w:r w:rsidRPr="00EB2524">
        <w:rPr>
          <w:rFonts w:ascii="Times New Roman" w:hAnsi="Times New Roman" w:cs="Times New Roman"/>
          <w:color w:val="000000"/>
          <w:shd w:val="clear" w:color="auto" w:fill="FFFFFF"/>
        </w:rPr>
        <w:t xml:space="preserve">pct. af de samlede indhandlingsmængde i jollefiskeriet. Kun </w:t>
      </w:r>
      <w:r>
        <w:rPr>
          <w:rFonts w:ascii="Times New Roman" w:hAnsi="Times New Roman" w:cs="Times New Roman"/>
          <w:color w:val="000000"/>
          <w:shd w:val="clear" w:color="auto" w:fill="FFFFFF"/>
        </w:rPr>
        <w:t>7</w:t>
      </w:r>
      <w:r w:rsidRPr="00EB2524">
        <w:rPr>
          <w:rFonts w:ascii="Times New Roman" w:hAnsi="Times New Roman" w:cs="Times New Roman"/>
          <w:color w:val="000000"/>
          <w:shd w:val="clear" w:color="auto" w:fill="FFFFFF"/>
        </w:rPr>
        <w:t xml:space="preserve"> pct. af jollerne indhandlede over 30 tons pr. jolle i 2020 med et samlet mængde på </w:t>
      </w:r>
      <w:r w:rsidR="00826618">
        <w:rPr>
          <w:rFonts w:ascii="Times New Roman" w:hAnsi="Times New Roman" w:cs="Times New Roman"/>
          <w:color w:val="000000"/>
          <w:shd w:val="clear" w:color="auto" w:fill="FFFFFF"/>
        </w:rPr>
        <w:t>3</w:t>
      </w:r>
      <w:r w:rsidR="001729B8">
        <w:rPr>
          <w:rFonts w:ascii="Times New Roman" w:hAnsi="Times New Roman" w:cs="Times New Roman"/>
          <w:color w:val="000000"/>
          <w:shd w:val="clear" w:color="auto" w:fill="FFFFFF"/>
        </w:rPr>
        <w:t>.</w:t>
      </w:r>
      <w:r w:rsidR="00826618">
        <w:rPr>
          <w:rFonts w:ascii="Times New Roman" w:hAnsi="Times New Roman" w:cs="Times New Roman"/>
          <w:color w:val="000000"/>
          <w:shd w:val="clear" w:color="auto" w:fill="FFFFFF"/>
        </w:rPr>
        <w:t>764</w:t>
      </w:r>
      <w:r w:rsidRPr="00EB2524">
        <w:rPr>
          <w:rFonts w:ascii="Times New Roman" w:hAnsi="Times New Roman" w:cs="Times New Roman"/>
          <w:color w:val="000000"/>
          <w:shd w:val="clear" w:color="auto" w:fill="FFFFFF"/>
        </w:rPr>
        <w:t xml:space="preserve"> tons, svarende til </w:t>
      </w:r>
      <w:r w:rsidR="00826618">
        <w:rPr>
          <w:rFonts w:ascii="Times New Roman" w:hAnsi="Times New Roman" w:cs="Times New Roman"/>
          <w:color w:val="000000"/>
          <w:shd w:val="clear" w:color="auto" w:fill="FFFFFF"/>
        </w:rPr>
        <w:t>47</w:t>
      </w:r>
      <w:r w:rsidR="00826618" w:rsidRPr="00EB2524">
        <w:rPr>
          <w:rFonts w:ascii="Times New Roman" w:hAnsi="Times New Roman" w:cs="Times New Roman"/>
          <w:color w:val="000000"/>
          <w:shd w:val="clear" w:color="auto" w:fill="FFFFFF"/>
        </w:rPr>
        <w:t xml:space="preserve"> </w:t>
      </w:r>
      <w:r w:rsidRPr="00EB2524">
        <w:rPr>
          <w:rFonts w:ascii="Times New Roman" w:hAnsi="Times New Roman" w:cs="Times New Roman"/>
          <w:color w:val="000000"/>
          <w:shd w:val="clear" w:color="auto" w:fill="FFFFFF"/>
        </w:rPr>
        <w:t>pct. af jollernes samlede indhandlingsmængder.</w:t>
      </w:r>
      <w:r>
        <w:rPr>
          <w:rFonts w:ascii="Times New Roman" w:hAnsi="Times New Roman" w:cs="Times New Roman"/>
          <w:color w:val="000000"/>
          <w:shd w:val="clear" w:color="auto" w:fill="FFFFFF"/>
        </w:rPr>
        <w:t xml:space="preserve"> </w:t>
      </w:r>
    </w:p>
    <w:p w14:paraId="5B0F02D4" w14:textId="77777777" w:rsidR="00843B40" w:rsidRDefault="00843B40" w:rsidP="00732A54">
      <w:pPr>
        <w:spacing w:after="0" w:line="276" w:lineRule="auto"/>
        <w:jc w:val="both"/>
        <w:rPr>
          <w:rFonts w:ascii="Times New Roman" w:hAnsi="Times New Roman" w:cs="Times New Roman"/>
          <w:color w:val="000000"/>
          <w:shd w:val="clear" w:color="auto" w:fill="FFFFFF"/>
        </w:rPr>
      </w:pPr>
    </w:p>
    <w:p w14:paraId="69EC7028" w14:textId="77777777" w:rsidR="00843B40" w:rsidRDefault="00843B40" w:rsidP="00732A54">
      <w:pPr>
        <w:spacing w:after="0" w:line="276" w:lineRule="auto"/>
        <w:jc w:val="both"/>
        <w:rPr>
          <w:rFonts w:ascii="Times New Roman" w:hAnsi="Times New Roman" w:cs="Times New Roman"/>
        </w:rPr>
      </w:pPr>
      <w:r>
        <w:rPr>
          <w:rFonts w:ascii="Times New Roman" w:hAnsi="Times New Roman" w:cs="Times New Roman"/>
        </w:rPr>
        <w:t>Den store andel af jollefiskere som fisker kun små mængder kan delvist forklares ved at stor del af licenserne til jollerne benyttes til bifangst i andre fiskerier, især fiskeriet efter hellefisk.</w:t>
      </w:r>
    </w:p>
    <w:p w14:paraId="07EFA3D3" w14:textId="77777777" w:rsidR="00843B40" w:rsidRPr="00EB2524" w:rsidRDefault="00843B40" w:rsidP="00732A54">
      <w:pPr>
        <w:spacing w:after="0" w:line="276" w:lineRule="auto"/>
        <w:jc w:val="both"/>
        <w:rPr>
          <w:rFonts w:ascii="Times New Roman" w:hAnsi="Times New Roman" w:cs="Times New Roman"/>
          <w:color w:val="000000"/>
          <w:shd w:val="clear" w:color="auto" w:fill="FFFFFF"/>
        </w:rPr>
      </w:pPr>
    </w:p>
    <w:p w14:paraId="0F6C7EF1" w14:textId="5329587E" w:rsidR="00843B40" w:rsidRPr="00EB2524" w:rsidRDefault="00843B40" w:rsidP="00732A54">
      <w:pPr>
        <w:spacing w:after="0" w:line="276" w:lineRule="auto"/>
        <w:jc w:val="both"/>
        <w:rPr>
          <w:rFonts w:ascii="Times New Roman" w:hAnsi="Times New Roman" w:cs="Times New Roman"/>
          <w:color w:val="000000"/>
          <w:shd w:val="clear" w:color="auto" w:fill="FFFFFF"/>
        </w:rPr>
      </w:pPr>
      <w:r w:rsidRPr="00EB2524">
        <w:rPr>
          <w:rFonts w:ascii="Times New Roman" w:hAnsi="Times New Roman" w:cs="Times New Roman"/>
          <w:color w:val="000000"/>
          <w:shd w:val="clear" w:color="auto" w:fill="FFFFFF"/>
        </w:rPr>
        <w:t xml:space="preserve">Figur </w:t>
      </w:r>
      <w:r w:rsidR="00BC014A">
        <w:rPr>
          <w:rFonts w:ascii="Times New Roman" w:hAnsi="Times New Roman" w:cs="Times New Roman"/>
          <w:color w:val="000000"/>
          <w:shd w:val="clear" w:color="auto" w:fill="FFFFFF"/>
        </w:rPr>
        <w:t>7</w:t>
      </w:r>
      <w:r w:rsidRPr="00EB2524">
        <w:rPr>
          <w:rFonts w:ascii="Times New Roman" w:hAnsi="Times New Roman" w:cs="Times New Roman"/>
          <w:color w:val="000000"/>
          <w:shd w:val="clear" w:color="auto" w:fill="FFFFFF"/>
        </w:rPr>
        <w:t xml:space="preserve">: Indhandlingsmængder </w:t>
      </w:r>
      <w:r>
        <w:rPr>
          <w:rFonts w:ascii="Times New Roman" w:hAnsi="Times New Roman" w:cs="Times New Roman"/>
          <w:color w:val="000000"/>
          <w:shd w:val="clear" w:color="auto" w:fill="FFFFFF"/>
        </w:rPr>
        <w:t>torsk</w:t>
      </w:r>
      <w:r w:rsidRPr="00EB2524">
        <w:rPr>
          <w:rFonts w:ascii="Times New Roman" w:hAnsi="Times New Roman" w:cs="Times New Roman"/>
          <w:color w:val="000000"/>
          <w:shd w:val="clear" w:color="auto" w:fill="FFFFFF"/>
        </w:rPr>
        <w:t xml:space="preserve"> i jollefiskeriet pr. jolle fordelt på intervaller, 2020. </w:t>
      </w:r>
    </w:p>
    <w:p w14:paraId="504E9A3F" w14:textId="50E89E56" w:rsidR="00843B40" w:rsidRDefault="001729B8" w:rsidP="00732A54">
      <w:pPr>
        <w:spacing w:after="0" w:line="276" w:lineRule="auto"/>
        <w:jc w:val="both"/>
        <w:rPr>
          <w:rFonts w:ascii="Times New Roman" w:hAnsi="Times New Roman" w:cs="Times New Roman"/>
          <w:noProof/>
          <w:lang w:eastAsia="da-DK"/>
        </w:rPr>
      </w:pPr>
      <w:r>
        <w:rPr>
          <w:noProof/>
          <w:lang w:eastAsia="da-DK"/>
        </w:rPr>
        <w:drawing>
          <wp:inline distT="0" distB="0" distL="0" distR="0" wp14:anchorId="070F3811" wp14:editId="590A3DF7">
            <wp:extent cx="6102350" cy="3733800"/>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8053A7" w14:textId="77777777" w:rsidR="00843B40" w:rsidRPr="00EB2524" w:rsidRDefault="00843B40" w:rsidP="00732A54">
      <w:pPr>
        <w:spacing w:after="0" w:line="276" w:lineRule="auto"/>
        <w:jc w:val="both"/>
        <w:rPr>
          <w:rFonts w:ascii="Times New Roman" w:hAnsi="Times New Roman" w:cs="Times New Roman"/>
          <w:color w:val="000000"/>
          <w:sz w:val="20"/>
          <w:szCs w:val="20"/>
          <w:shd w:val="clear" w:color="auto" w:fill="FFFFFF"/>
        </w:rPr>
      </w:pPr>
      <w:r w:rsidRPr="00EB2524">
        <w:rPr>
          <w:rFonts w:ascii="Times New Roman" w:hAnsi="Times New Roman" w:cs="Times New Roman"/>
          <w:color w:val="000000"/>
          <w:sz w:val="20"/>
          <w:szCs w:val="20"/>
          <w:shd w:val="clear" w:color="auto" w:fill="FFFFFF"/>
        </w:rPr>
        <w:t>Kilde: APNN.</w:t>
      </w:r>
    </w:p>
    <w:p w14:paraId="401615AB" w14:textId="77777777" w:rsidR="00843B40" w:rsidRPr="00EB2524" w:rsidRDefault="00843B40" w:rsidP="00732A54">
      <w:pPr>
        <w:spacing w:after="0" w:line="276" w:lineRule="auto"/>
        <w:jc w:val="both"/>
        <w:rPr>
          <w:rFonts w:ascii="Times New Roman" w:hAnsi="Times New Roman" w:cs="Times New Roman"/>
          <w:color w:val="000000"/>
          <w:sz w:val="20"/>
          <w:szCs w:val="20"/>
          <w:shd w:val="clear" w:color="auto" w:fill="FFFFFF"/>
        </w:rPr>
      </w:pPr>
      <w:r w:rsidRPr="001729B8">
        <w:rPr>
          <w:rFonts w:ascii="Times New Roman" w:hAnsi="Times New Roman" w:cs="Times New Roman"/>
          <w:color w:val="000000"/>
          <w:sz w:val="20"/>
          <w:szCs w:val="20"/>
          <w:shd w:val="clear" w:color="auto" w:fill="FFFFFF"/>
        </w:rPr>
        <w:t>Note: Det samlede fangstmængde i hvert interval er angivet i parenteser.</w:t>
      </w:r>
    </w:p>
    <w:p w14:paraId="2A4A1F75" w14:textId="77777777" w:rsidR="00843B40" w:rsidRPr="00EB2524" w:rsidRDefault="00843B40" w:rsidP="00732A54">
      <w:pPr>
        <w:spacing w:after="0" w:line="276" w:lineRule="auto"/>
        <w:jc w:val="both"/>
        <w:rPr>
          <w:rFonts w:ascii="Times New Roman" w:hAnsi="Times New Roman" w:cs="Times New Roman"/>
          <w:color w:val="000000"/>
          <w:shd w:val="clear" w:color="auto" w:fill="FFFFFF"/>
        </w:rPr>
      </w:pPr>
    </w:p>
    <w:p w14:paraId="78A59947" w14:textId="4670D59C" w:rsidR="00843B40" w:rsidRDefault="00843B40" w:rsidP="00732A54">
      <w:pPr>
        <w:spacing w:after="0" w:line="276" w:lineRule="auto"/>
        <w:jc w:val="both"/>
        <w:rPr>
          <w:rFonts w:ascii="Times New Roman" w:hAnsi="Times New Roman" w:cs="Times New Roman"/>
          <w:color w:val="000000"/>
          <w:shd w:val="clear" w:color="auto" w:fill="FFFFFF"/>
        </w:rPr>
      </w:pPr>
      <w:r w:rsidRPr="00EB2524">
        <w:rPr>
          <w:rFonts w:ascii="Times New Roman" w:hAnsi="Times New Roman" w:cs="Times New Roman"/>
          <w:color w:val="000000"/>
          <w:shd w:val="clear" w:color="auto" w:fill="FFFFFF"/>
        </w:rPr>
        <w:t xml:space="preserve">Som et muligt udgangspunkt for i eksemplet i figur </w:t>
      </w:r>
      <w:r w:rsidR="00BC014A">
        <w:rPr>
          <w:rFonts w:ascii="Times New Roman" w:hAnsi="Times New Roman" w:cs="Times New Roman"/>
          <w:color w:val="000000"/>
          <w:shd w:val="clear" w:color="auto" w:fill="FFFFFF"/>
        </w:rPr>
        <w:t>7</w:t>
      </w:r>
      <w:r w:rsidRPr="00EB2524">
        <w:rPr>
          <w:rFonts w:ascii="Times New Roman" w:hAnsi="Times New Roman" w:cs="Times New Roman"/>
          <w:color w:val="000000"/>
          <w:shd w:val="clear" w:color="auto" w:fill="FFFFFF"/>
        </w:rPr>
        <w:t xml:space="preserve"> at vurdere eventuelle strukturproblemer i dette fiskeri er anvendt en forudsætning om, at en jollefisker med fiskeri som hovederhverv bør have en nettoindtjening (efter at alle omkostninger i forbindelse med fiskeriet er fratrukket) på linje med den gennemsnitlige personindkomst i Grønland. Denne var, jf. Grønlands Statistiks indkomststatistik, i 2019 på 259.000 kr.:</w:t>
      </w:r>
    </w:p>
    <w:p w14:paraId="03F62777" w14:textId="77777777" w:rsidR="00843B40" w:rsidRPr="00EB2524" w:rsidRDefault="00843B40" w:rsidP="00732A54">
      <w:pPr>
        <w:spacing w:after="0" w:line="276" w:lineRule="auto"/>
        <w:jc w:val="both"/>
        <w:rPr>
          <w:rFonts w:ascii="Times New Roman" w:hAnsi="Times New Roman" w:cs="Times New Roman"/>
          <w:color w:val="000000"/>
          <w:shd w:val="clear" w:color="auto" w:fill="FFFFFF"/>
        </w:rPr>
      </w:pPr>
    </w:p>
    <w:p w14:paraId="1554BEA6" w14:textId="77777777" w:rsidR="00843B40" w:rsidRDefault="00843B40" w:rsidP="00732A54">
      <w:pPr>
        <w:numPr>
          <w:ilvl w:val="0"/>
          <w:numId w:val="22"/>
        </w:numPr>
        <w:spacing w:after="0" w:line="276" w:lineRule="auto"/>
        <w:contextualSpacing/>
        <w:jc w:val="both"/>
        <w:rPr>
          <w:rFonts w:ascii="Times New Roman" w:hAnsi="Times New Roman" w:cs="Times New Roman"/>
          <w:color w:val="000000"/>
          <w:shd w:val="clear" w:color="auto" w:fill="FFFFFF"/>
        </w:rPr>
      </w:pPr>
      <w:r w:rsidRPr="0093644D">
        <w:rPr>
          <w:rFonts w:ascii="Times New Roman" w:hAnsi="Times New Roman" w:cs="Times New Roman"/>
          <w:color w:val="000000"/>
          <w:shd w:val="clear" w:color="auto" w:fill="FFFFFF"/>
        </w:rPr>
        <w:t>For at generere det som svarer til den gennemsnitlige personindkomst i Grønland, i jollefiskeriet</w:t>
      </w:r>
      <w:r>
        <w:rPr>
          <w:rFonts w:ascii="Times New Roman" w:hAnsi="Times New Roman" w:cs="Times New Roman"/>
          <w:color w:val="000000"/>
          <w:shd w:val="clear" w:color="auto" w:fill="FFFFFF"/>
        </w:rPr>
        <w:t xml:space="preserve"> hvis det udelukkende fanges</w:t>
      </w:r>
      <w:r w:rsidRPr="0093644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torsk</w:t>
      </w:r>
      <w:r w:rsidRPr="0093644D">
        <w:rPr>
          <w:rFonts w:ascii="Times New Roman" w:hAnsi="Times New Roman" w:cs="Times New Roman"/>
          <w:color w:val="000000"/>
          <w:shd w:val="clear" w:color="auto" w:fill="FFFFFF"/>
        </w:rPr>
        <w:t xml:space="preserve"> skal der i udgangspunktet indhandles minimum 67 tons </w:t>
      </w:r>
      <w:r>
        <w:rPr>
          <w:rFonts w:ascii="Times New Roman" w:hAnsi="Times New Roman" w:cs="Times New Roman"/>
          <w:color w:val="000000"/>
          <w:shd w:val="clear" w:color="auto" w:fill="FFFFFF"/>
        </w:rPr>
        <w:t>torsk</w:t>
      </w:r>
      <w:r w:rsidRPr="0093644D">
        <w:rPr>
          <w:rFonts w:ascii="Times New Roman" w:hAnsi="Times New Roman" w:cs="Times New Roman"/>
          <w:color w:val="000000"/>
          <w:shd w:val="clear" w:color="auto" w:fill="FFFFFF"/>
        </w:rPr>
        <w:t xml:space="preserve"> (</w:t>
      </w:r>
      <w:proofErr w:type="spellStart"/>
      <w:r w:rsidRPr="0093644D">
        <w:rPr>
          <w:rFonts w:ascii="Times New Roman" w:hAnsi="Times New Roman" w:cs="Times New Roman"/>
          <w:color w:val="000000"/>
          <w:shd w:val="clear" w:color="auto" w:fill="FFFFFF"/>
        </w:rPr>
        <w:t>gns</w:t>
      </w:r>
      <w:proofErr w:type="spellEnd"/>
      <w:r w:rsidRPr="0093644D">
        <w:rPr>
          <w:rFonts w:ascii="Times New Roman" w:hAnsi="Times New Roman" w:cs="Times New Roman"/>
          <w:color w:val="000000"/>
          <w:shd w:val="clear" w:color="auto" w:fill="FFFFFF"/>
        </w:rPr>
        <w:t xml:space="preserve">. indhandlingspris i 2020 indhandlet som hel fisk på 6 kr.kg.), naturligvis afhængig af indhandlingsprisen og driftsomkostninger hos den enkelte jollefisker. </w:t>
      </w:r>
      <w:r>
        <w:rPr>
          <w:rFonts w:ascii="Times New Roman" w:hAnsi="Times New Roman" w:cs="Times New Roman"/>
          <w:color w:val="000000"/>
          <w:shd w:val="clear" w:color="auto" w:fill="FFFFFF"/>
        </w:rPr>
        <w:t>Samlet indhandlingsværdi ved fangst på 67 tons er 398.462 kr. som svarer til ca. nettooverskud på 259.000 kr.</w:t>
      </w:r>
    </w:p>
    <w:p w14:paraId="6F22A58B" w14:textId="3FF4A276" w:rsidR="00843B40" w:rsidRPr="0093644D" w:rsidRDefault="00843B40" w:rsidP="00732A54">
      <w:pPr>
        <w:numPr>
          <w:ilvl w:val="0"/>
          <w:numId w:val="22"/>
        </w:numPr>
        <w:spacing w:after="0" w:line="276" w:lineRule="auto"/>
        <w:contextualSpacing/>
        <w:jc w:val="both"/>
        <w:rPr>
          <w:rFonts w:ascii="Times New Roman" w:hAnsi="Times New Roman" w:cs="Times New Roman"/>
          <w:color w:val="000000"/>
          <w:shd w:val="clear" w:color="auto" w:fill="FFFFFF"/>
        </w:rPr>
      </w:pPr>
      <w:r w:rsidRPr="0093644D">
        <w:rPr>
          <w:rFonts w:ascii="Times New Roman" w:hAnsi="Times New Roman" w:cs="Times New Roman"/>
          <w:color w:val="000000"/>
          <w:shd w:val="clear" w:color="auto" w:fill="FFFFFF"/>
        </w:rPr>
        <w:lastRenderedPageBreak/>
        <w:t xml:space="preserve">I 2020 var det kun ca. </w:t>
      </w:r>
      <w:r>
        <w:rPr>
          <w:rFonts w:ascii="Times New Roman" w:hAnsi="Times New Roman" w:cs="Times New Roman"/>
          <w:color w:val="000000"/>
          <w:shd w:val="clear" w:color="auto" w:fill="FFFFFF"/>
        </w:rPr>
        <w:t xml:space="preserve">17 </w:t>
      </w:r>
      <w:r w:rsidRPr="0093644D">
        <w:rPr>
          <w:rFonts w:ascii="Times New Roman" w:hAnsi="Times New Roman" w:cs="Times New Roman"/>
          <w:color w:val="000000"/>
          <w:shd w:val="clear" w:color="auto" w:fill="FFFFFF"/>
        </w:rPr>
        <w:t xml:space="preserve">pct. af jollerne, </w:t>
      </w:r>
      <w:r>
        <w:rPr>
          <w:rFonts w:ascii="Times New Roman" w:hAnsi="Times New Roman" w:cs="Times New Roman"/>
          <w:color w:val="000000"/>
          <w:shd w:val="clear" w:color="auto" w:fill="FFFFFF"/>
        </w:rPr>
        <w:t xml:space="preserve">som have </w:t>
      </w:r>
      <w:r w:rsidR="004E5586">
        <w:rPr>
          <w:rFonts w:ascii="Times New Roman" w:hAnsi="Times New Roman" w:cs="Times New Roman"/>
          <w:color w:val="000000"/>
          <w:shd w:val="clear" w:color="auto" w:fill="FFFFFF"/>
        </w:rPr>
        <w:t xml:space="preserve">samlede </w:t>
      </w:r>
      <w:r>
        <w:rPr>
          <w:rFonts w:ascii="Times New Roman" w:hAnsi="Times New Roman" w:cs="Times New Roman"/>
          <w:color w:val="000000"/>
          <w:shd w:val="clear" w:color="auto" w:fill="FFFFFF"/>
        </w:rPr>
        <w:t>indhandlingsværdi på 500.000 kr. og derover</w:t>
      </w:r>
      <w:r w:rsidRPr="0093644D">
        <w:rPr>
          <w:rFonts w:ascii="Times New Roman" w:hAnsi="Times New Roman" w:cs="Times New Roman"/>
          <w:color w:val="000000"/>
          <w:shd w:val="clear" w:color="auto" w:fill="FFFFFF"/>
        </w:rPr>
        <w:t>.</w:t>
      </w:r>
      <w:r w:rsidR="001729B8">
        <w:rPr>
          <w:rFonts w:ascii="Times New Roman" w:hAnsi="Times New Roman" w:cs="Times New Roman"/>
          <w:color w:val="000000"/>
          <w:shd w:val="clear" w:color="auto" w:fill="FFFFFF"/>
        </w:rPr>
        <w:t xml:space="preserve"> Det bemærkes at mange af disse joller kan have andre arter end torsk som primært fiskeri.</w:t>
      </w:r>
    </w:p>
    <w:p w14:paraId="1F35AB07" w14:textId="3C119FAC" w:rsidR="00843B40" w:rsidRDefault="00147C56" w:rsidP="00F16B5E">
      <w:pPr>
        <w:pStyle w:val="Listeafsnit"/>
        <w:numPr>
          <w:ilvl w:val="0"/>
          <w:numId w:val="22"/>
        </w:numPr>
        <w:spacing w:after="0" w:line="276"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Det bemærkes at fiskere som indhandler til </w:t>
      </w:r>
      <w:proofErr w:type="spellStart"/>
      <w:r>
        <w:rPr>
          <w:rFonts w:ascii="Times New Roman" w:hAnsi="Times New Roman" w:cs="Times New Roman"/>
          <w:color w:val="000000"/>
          <w:shd w:val="clear" w:color="auto" w:fill="FFFFFF"/>
        </w:rPr>
        <w:t>RG´s</w:t>
      </w:r>
      <w:proofErr w:type="spellEnd"/>
      <w:r>
        <w:rPr>
          <w:rFonts w:ascii="Times New Roman" w:hAnsi="Times New Roman" w:cs="Times New Roman"/>
          <w:color w:val="000000"/>
          <w:shd w:val="clear" w:color="auto" w:fill="FFFFFF"/>
        </w:rPr>
        <w:t xml:space="preserve"> torskefabrik i Maniitsoq har ret lave driftsomkostninger. Dette fordi de lægger deres garn og så henter </w:t>
      </w:r>
      <w:proofErr w:type="spellStart"/>
      <w:r>
        <w:rPr>
          <w:rFonts w:ascii="Times New Roman" w:hAnsi="Times New Roman" w:cs="Times New Roman"/>
          <w:color w:val="000000"/>
          <w:shd w:val="clear" w:color="auto" w:fill="FFFFFF"/>
        </w:rPr>
        <w:t>RG´s</w:t>
      </w:r>
      <w:proofErr w:type="spellEnd"/>
      <w:r>
        <w:rPr>
          <w:rFonts w:ascii="Times New Roman" w:hAnsi="Times New Roman" w:cs="Times New Roman"/>
          <w:color w:val="000000"/>
          <w:shd w:val="clear" w:color="auto" w:fill="FFFFFF"/>
        </w:rPr>
        <w:t xml:space="preserve"> brøndbåd fisken.</w:t>
      </w:r>
    </w:p>
    <w:p w14:paraId="0B275A69" w14:textId="77777777" w:rsidR="00147C56" w:rsidRPr="00F16B5E" w:rsidRDefault="00147C56" w:rsidP="00F16B5E">
      <w:pPr>
        <w:pStyle w:val="Listeafsnit"/>
        <w:spacing w:after="0" w:line="276" w:lineRule="auto"/>
        <w:jc w:val="both"/>
        <w:rPr>
          <w:rFonts w:ascii="Times New Roman" w:hAnsi="Times New Roman" w:cs="Times New Roman"/>
          <w:color w:val="000000"/>
          <w:shd w:val="clear" w:color="auto" w:fill="FFFFFF"/>
        </w:rPr>
      </w:pPr>
    </w:p>
    <w:p w14:paraId="68EEE3D0" w14:textId="77777777" w:rsidR="00843B40" w:rsidRPr="00EB2524" w:rsidRDefault="00843B40" w:rsidP="00732A54">
      <w:pPr>
        <w:spacing w:after="0" w:line="276" w:lineRule="auto"/>
        <w:jc w:val="both"/>
        <w:rPr>
          <w:rFonts w:ascii="Times New Roman" w:hAnsi="Times New Roman" w:cs="Times New Roman"/>
          <w:color w:val="000000"/>
          <w:shd w:val="clear" w:color="auto" w:fill="FFFFFF"/>
          <w:lang w:val="is-IS"/>
        </w:rPr>
      </w:pPr>
      <w:r w:rsidRPr="00EB2524">
        <w:rPr>
          <w:rFonts w:ascii="Times New Roman" w:hAnsi="Times New Roman" w:cs="Times New Roman"/>
          <w:color w:val="000000"/>
          <w:shd w:val="clear" w:color="auto" w:fill="FFFFFF"/>
        </w:rPr>
        <w:t>Det må antages, at en meget stor del af licen</w:t>
      </w:r>
      <w:r>
        <w:rPr>
          <w:rFonts w:ascii="Times New Roman" w:hAnsi="Times New Roman" w:cs="Times New Roman"/>
          <w:color w:val="000000"/>
          <w:shd w:val="clear" w:color="auto" w:fill="FFFFFF"/>
        </w:rPr>
        <w:t xml:space="preserve">sindehaverne i fiskeriet efter torsk </w:t>
      </w:r>
      <w:r w:rsidRPr="00EB2524">
        <w:rPr>
          <w:rFonts w:ascii="Times New Roman" w:hAnsi="Times New Roman" w:cs="Times New Roman"/>
          <w:color w:val="000000"/>
          <w:shd w:val="clear" w:color="auto" w:fill="FFFFFF"/>
        </w:rPr>
        <w:t xml:space="preserve">med joller er bierhvervs- eller fritidsfiskere med lav indtjening fra dette fiskeri. De mange bierhvervs- eller fritidsfiskere i dette fiskeri, der drives som et olympisk fiskeri og med en samlet kvote på et betydeligt højere niveau end den biologiske rådgivning, er med til at lægge et yderligere pres på ressourcen og reducere indtjeningsmulighederne for erhvervsfiskerne. </w:t>
      </w:r>
      <w:r>
        <w:rPr>
          <w:rFonts w:ascii="Times New Roman" w:hAnsi="Times New Roman" w:cs="Times New Roman"/>
          <w:color w:val="000000"/>
          <w:shd w:val="clear" w:color="auto" w:fill="FFFFFF"/>
        </w:rPr>
        <w:t>Mange af jollefiskerene i torskefiskeriet fisker også efter andre arter som hellefisk og stenbider hvorfor det er svært at konkludere at alle jollefiskerene som fisker lave mængde torsk har samlet set en lav indtjening. For at vurderer det er behov for at lave fordeling af samtlige jollefiskeres fangster og indhandlingsværdi tværs af fiskerier.</w:t>
      </w:r>
    </w:p>
    <w:p w14:paraId="4BB7F0C5" w14:textId="77777777" w:rsidR="00570F41" w:rsidRPr="00EB2524" w:rsidRDefault="00570F41" w:rsidP="00732A54">
      <w:pPr>
        <w:spacing w:after="0" w:line="276" w:lineRule="auto"/>
        <w:jc w:val="both"/>
        <w:rPr>
          <w:rFonts w:ascii="Times New Roman" w:hAnsi="Times New Roman" w:cs="Times New Roman"/>
          <w:lang w:val="is-IS"/>
        </w:rPr>
      </w:pPr>
    </w:p>
    <w:p w14:paraId="0EEEC683" w14:textId="4FD4A74B" w:rsidR="0079153C" w:rsidRPr="00570F41" w:rsidRDefault="00732A54" w:rsidP="00732A54">
      <w:pPr>
        <w:spacing w:after="0" w:line="276" w:lineRule="auto"/>
        <w:jc w:val="both"/>
        <w:rPr>
          <w:rFonts w:ascii="Times New Roman" w:hAnsi="Times New Roman" w:cs="Times New Roman"/>
          <w:b/>
          <w:i/>
        </w:rPr>
      </w:pPr>
      <w:r>
        <w:rPr>
          <w:rFonts w:ascii="Times New Roman" w:hAnsi="Times New Roman" w:cs="Times New Roman"/>
          <w:b/>
          <w:i/>
        </w:rPr>
        <w:t>3.6</w:t>
      </w:r>
      <w:r w:rsidR="00570F41" w:rsidRPr="00570F41">
        <w:rPr>
          <w:rFonts w:ascii="Times New Roman" w:hAnsi="Times New Roman" w:cs="Times New Roman"/>
          <w:b/>
          <w:i/>
        </w:rPr>
        <w:t xml:space="preserve"> </w:t>
      </w:r>
      <w:r w:rsidR="0079153C" w:rsidRPr="00570F41">
        <w:rPr>
          <w:rFonts w:ascii="Times New Roman" w:hAnsi="Times New Roman" w:cs="Times New Roman"/>
          <w:b/>
          <w:i/>
        </w:rPr>
        <w:t>Fordeling af indhandlingsmængder og værdier i det kystnære fiskeri efter torsk med fartøjer</w:t>
      </w:r>
    </w:p>
    <w:p w14:paraId="79423EB7" w14:textId="77777777" w:rsidR="0079153C" w:rsidRPr="00EB2524" w:rsidRDefault="0079153C" w:rsidP="00732A54">
      <w:pPr>
        <w:spacing w:after="0" w:line="276" w:lineRule="auto"/>
        <w:jc w:val="both"/>
        <w:rPr>
          <w:rFonts w:ascii="Times New Roman" w:hAnsi="Times New Roman" w:cs="Times New Roman"/>
        </w:rPr>
      </w:pPr>
      <w:r w:rsidRPr="00EB2524">
        <w:rPr>
          <w:rFonts w:ascii="Times New Roman" w:hAnsi="Times New Roman" w:cs="Times New Roman"/>
        </w:rPr>
        <w:t xml:space="preserve">Det er en stor variation </w:t>
      </w:r>
      <w:r>
        <w:rPr>
          <w:rFonts w:ascii="Times New Roman" w:hAnsi="Times New Roman" w:cs="Times New Roman"/>
        </w:rPr>
        <w:t>som hos jollerne i fartøjernes</w:t>
      </w:r>
      <w:r w:rsidRPr="00EB2524">
        <w:rPr>
          <w:rFonts w:ascii="Times New Roman" w:hAnsi="Times New Roman" w:cs="Times New Roman"/>
        </w:rPr>
        <w:t xml:space="preserve"> fangstmængder samt forskel på indhandlingspriser følge kvaliteten i fisken, samt om det er konkurrence i den by eller bygd, fiskeren indhandler. Det</w:t>
      </w:r>
      <w:r>
        <w:rPr>
          <w:rFonts w:ascii="Times New Roman" w:hAnsi="Times New Roman" w:cs="Times New Roman"/>
        </w:rPr>
        <w:t xml:space="preserve"> er derfor stor spredning i fartøjernes</w:t>
      </w:r>
      <w:r w:rsidRPr="00EB2524">
        <w:rPr>
          <w:rFonts w:ascii="Times New Roman" w:hAnsi="Times New Roman" w:cs="Times New Roman"/>
        </w:rPr>
        <w:t xml:space="preserve"> indhandlingsværdi (omsætning):</w:t>
      </w:r>
    </w:p>
    <w:p w14:paraId="7D6CFC58" w14:textId="77777777" w:rsidR="0079153C" w:rsidRPr="00CD0F75" w:rsidRDefault="0079153C" w:rsidP="00732A54">
      <w:pPr>
        <w:spacing w:after="0" w:line="276" w:lineRule="auto"/>
        <w:jc w:val="both"/>
        <w:rPr>
          <w:rFonts w:ascii="Times New Roman" w:hAnsi="Times New Roman" w:cs="Times New Roman"/>
        </w:rPr>
      </w:pPr>
    </w:p>
    <w:p w14:paraId="5919C490" w14:textId="77777777" w:rsidR="0079153C" w:rsidRDefault="0079153C" w:rsidP="00732A54">
      <w:pPr>
        <w:pStyle w:val="Listeafsnit"/>
        <w:numPr>
          <w:ilvl w:val="0"/>
          <w:numId w:val="39"/>
        </w:numPr>
        <w:spacing w:after="0" w:line="276" w:lineRule="auto"/>
        <w:jc w:val="both"/>
        <w:rPr>
          <w:rFonts w:ascii="Times New Roman" w:eastAsia="Times New Roman" w:hAnsi="Times New Roman" w:cs="Times New Roman"/>
          <w:color w:val="000000"/>
          <w:lang w:eastAsia="da-DK"/>
        </w:rPr>
      </w:pPr>
      <w:r w:rsidRPr="00CD0F75">
        <w:rPr>
          <w:rFonts w:ascii="Times New Roman" w:eastAsia="Times New Roman" w:hAnsi="Times New Roman" w:cs="Times New Roman"/>
          <w:color w:val="000000"/>
          <w:lang w:eastAsia="da-DK"/>
        </w:rPr>
        <w:t xml:space="preserve">Den gennemsnitlige indhandlingsværdi for fartøjer med optag af torsk i år 2020 var </w:t>
      </w:r>
      <w:r>
        <w:rPr>
          <w:rFonts w:ascii="Times New Roman" w:eastAsia="Times New Roman" w:hAnsi="Times New Roman" w:cs="Times New Roman"/>
          <w:color w:val="000000"/>
          <w:lang w:eastAsia="da-DK"/>
        </w:rPr>
        <w:t>1.097.252 kr. inkl. andre arter</w:t>
      </w:r>
    </w:p>
    <w:p w14:paraId="4C96A73F" w14:textId="77777777" w:rsidR="0079153C" w:rsidRDefault="0079153C" w:rsidP="00732A54">
      <w:pPr>
        <w:pStyle w:val="Listeafsnit"/>
        <w:numPr>
          <w:ilvl w:val="0"/>
          <w:numId w:val="39"/>
        </w:numPr>
        <w:spacing w:after="0" w:line="276" w:lineRule="auto"/>
        <w:jc w:val="both"/>
        <w:rPr>
          <w:rFonts w:ascii="Times New Roman" w:eastAsia="Times New Roman" w:hAnsi="Times New Roman" w:cs="Times New Roman"/>
          <w:color w:val="000000"/>
          <w:lang w:eastAsia="da-DK"/>
        </w:rPr>
      </w:pPr>
      <w:r w:rsidRPr="00CD0F75">
        <w:rPr>
          <w:rFonts w:ascii="Times New Roman" w:eastAsia="Times New Roman" w:hAnsi="Times New Roman" w:cs="Times New Roman"/>
          <w:color w:val="000000"/>
          <w:lang w:eastAsia="da-DK"/>
        </w:rPr>
        <w:t>Højeste indhandlingsværdi i 2020 for fartøjer, der har opt</w:t>
      </w:r>
      <w:r>
        <w:rPr>
          <w:rFonts w:ascii="Times New Roman" w:eastAsia="Times New Roman" w:hAnsi="Times New Roman" w:cs="Times New Roman"/>
          <w:color w:val="000000"/>
          <w:lang w:eastAsia="da-DK"/>
        </w:rPr>
        <w:t>ag af torsk var 7.394.128 kr.</w:t>
      </w:r>
    </w:p>
    <w:p w14:paraId="4A9AFB0C" w14:textId="77777777" w:rsidR="0079153C" w:rsidRDefault="0079153C" w:rsidP="00732A54">
      <w:pPr>
        <w:pStyle w:val="Listeafsnit"/>
        <w:numPr>
          <w:ilvl w:val="0"/>
          <w:numId w:val="39"/>
        </w:numPr>
        <w:spacing w:after="0" w:line="276" w:lineRule="auto"/>
        <w:jc w:val="both"/>
        <w:rPr>
          <w:rFonts w:ascii="Times New Roman" w:eastAsia="Times New Roman" w:hAnsi="Times New Roman" w:cs="Times New Roman"/>
          <w:color w:val="000000"/>
          <w:lang w:eastAsia="da-DK"/>
        </w:rPr>
      </w:pPr>
      <w:r w:rsidRPr="00CD0F75">
        <w:rPr>
          <w:rFonts w:ascii="Times New Roman" w:eastAsia="Times New Roman" w:hAnsi="Times New Roman" w:cs="Times New Roman"/>
          <w:color w:val="000000"/>
          <w:lang w:eastAsia="da-DK"/>
        </w:rPr>
        <w:t>Laveste indhandlingsværdi i 2020 for fartøjer, der har</w:t>
      </w:r>
      <w:r>
        <w:rPr>
          <w:rFonts w:ascii="Times New Roman" w:eastAsia="Times New Roman" w:hAnsi="Times New Roman" w:cs="Times New Roman"/>
          <w:color w:val="000000"/>
          <w:lang w:eastAsia="da-DK"/>
        </w:rPr>
        <w:t xml:space="preserve"> optag af torsk var 1.799 kr.</w:t>
      </w:r>
    </w:p>
    <w:p w14:paraId="369DC910" w14:textId="77777777" w:rsidR="0079153C" w:rsidRDefault="0079153C" w:rsidP="00732A54">
      <w:pPr>
        <w:pStyle w:val="Listeafsnit"/>
        <w:numPr>
          <w:ilvl w:val="0"/>
          <w:numId w:val="39"/>
        </w:numPr>
        <w:spacing w:after="0" w:line="276" w:lineRule="auto"/>
        <w:jc w:val="both"/>
        <w:rPr>
          <w:rFonts w:ascii="Times New Roman" w:eastAsia="Times New Roman" w:hAnsi="Times New Roman" w:cs="Times New Roman"/>
          <w:color w:val="000000"/>
          <w:lang w:eastAsia="da-DK"/>
        </w:rPr>
      </w:pPr>
      <w:r w:rsidRPr="00CD0F75">
        <w:rPr>
          <w:rFonts w:ascii="Times New Roman" w:eastAsia="Times New Roman" w:hAnsi="Times New Roman" w:cs="Times New Roman"/>
          <w:color w:val="000000"/>
          <w:lang w:eastAsia="da-DK"/>
        </w:rPr>
        <w:t>9 pct. af de fartøjer der havde optag af torsk havde en samlet indhandlingsværd</w:t>
      </w:r>
      <w:r>
        <w:rPr>
          <w:rFonts w:ascii="Times New Roman" w:eastAsia="Times New Roman" w:hAnsi="Times New Roman" w:cs="Times New Roman"/>
          <w:color w:val="000000"/>
          <w:lang w:eastAsia="da-DK"/>
        </w:rPr>
        <w:t>i på under 50.000 kr. i 2020.</w:t>
      </w:r>
    </w:p>
    <w:p w14:paraId="5E372C26" w14:textId="77777777" w:rsidR="0079153C" w:rsidRDefault="0079153C" w:rsidP="00732A54">
      <w:pPr>
        <w:pStyle w:val="Listeafsnit"/>
        <w:numPr>
          <w:ilvl w:val="0"/>
          <w:numId w:val="39"/>
        </w:numPr>
        <w:spacing w:after="0" w:line="276" w:lineRule="auto"/>
        <w:jc w:val="both"/>
        <w:rPr>
          <w:rFonts w:ascii="Times New Roman" w:eastAsia="Times New Roman" w:hAnsi="Times New Roman" w:cs="Times New Roman"/>
          <w:color w:val="000000"/>
          <w:lang w:eastAsia="da-DK"/>
        </w:rPr>
      </w:pPr>
      <w:r w:rsidRPr="00CD0F75">
        <w:rPr>
          <w:rFonts w:ascii="Times New Roman" w:eastAsia="Times New Roman" w:hAnsi="Times New Roman" w:cs="Times New Roman"/>
          <w:color w:val="000000"/>
          <w:lang w:eastAsia="da-DK"/>
        </w:rPr>
        <w:t>20 pct. af de fartøjer der havde optag af torsk havde en samlet indhandlingsværd</w:t>
      </w:r>
      <w:r>
        <w:rPr>
          <w:rFonts w:ascii="Times New Roman" w:eastAsia="Times New Roman" w:hAnsi="Times New Roman" w:cs="Times New Roman"/>
          <w:color w:val="000000"/>
          <w:lang w:eastAsia="da-DK"/>
        </w:rPr>
        <w:t>i på under 200.000 kr. i 2020.</w:t>
      </w:r>
    </w:p>
    <w:p w14:paraId="05A596A2" w14:textId="77777777" w:rsidR="0079153C" w:rsidRDefault="0079153C" w:rsidP="00732A54">
      <w:pPr>
        <w:pStyle w:val="Listeafsnit"/>
        <w:numPr>
          <w:ilvl w:val="0"/>
          <w:numId w:val="39"/>
        </w:numPr>
        <w:spacing w:after="0" w:line="276" w:lineRule="auto"/>
        <w:jc w:val="both"/>
        <w:rPr>
          <w:rFonts w:ascii="Times New Roman" w:eastAsia="Times New Roman" w:hAnsi="Times New Roman" w:cs="Times New Roman"/>
          <w:color w:val="000000"/>
          <w:lang w:eastAsia="da-DK"/>
        </w:rPr>
      </w:pPr>
      <w:r w:rsidRPr="00CD0F75">
        <w:rPr>
          <w:rFonts w:ascii="Times New Roman" w:eastAsia="Times New Roman" w:hAnsi="Times New Roman" w:cs="Times New Roman"/>
          <w:color w:val="000000"/>
          <w:lang w:eastAsia="da-DK"/>
        </w:rPr>
        <w:t>63 pct</w:t>
      </w:r>
      <w:r>
        <w:rPr>
          <w:rFonts w:ascii="Times New Roman" w:eastAsia="Times New Roman" w:hAnsi="Times New Roman" w:cs="Times New Roman"/>
          <w:color w:val="000000"/>
          <w:lang w:eastAsia="da-DK"/>
        </w:rPr>
        <w:t>.</w:t>
      </w:r>
      <w:r w:rsidRPr="00CD0F75">
        <w:rPr>
          <w:rFonts w:ascii="Times New Roman" w:eastAsia="Times New Roman" w:hAnsi="Times New Roman" w:cs="Times New Roman"/>
          <w:color w:val="000000"/>
          <w:lang w:eastAsia="da-DK"/>
        </w:rPr>
        <w:t xml:space="preserve"> af de fartøjer der havde optag af torsk havde en samlet indhandlingsværdi på over 500.000. kr. i 2020.</w:t>
      </w:r>
    </w:p>
    <w:p w14:paraId="3C907CC0" w14:textId="77777777" w:rsidR="0079153C" w:rsidRPr="00CD0F75" w:rsidRDefault="0079153C" w:rsidP="00732A54">
      <w:pPr>
        <w:pStyle w:val="Listeafsnit"/>
        <w:numPr>
          <w:ilvl w:val="0"/>
          <w:numId w:val="39"/>
        </w:numPr>
        <w:spacing w:after="0" w:line="276" w:lineRule="auto"/>
        <w:jc w:val="both"/>
        <w:rPr>
          <w:rFonts w:ascii="Times New Roman" w:eastAsia="Times New Roman" w:hAnsi="Times New Roman" w:cs="Times New Roman"/>
          <w:color w:val="000000"/>
          <w:lang w:eastAsia="da-DK"/>
        </w:rPr>
      </w:pPr>
      <w:r w:rsidRPr="00CD0F75">
        <w:rPr>
          <w:rFonts w:ascii="Times New Roman" w:eastAsia="Times New Roman" w:hAnsi="Times New Roman" w:cs="Times New Roman"/>
          <w:color w:val="000000"/>
          <w:lang w:eastAsia="da-DK"/>
        </w:rPr>
        <w:t>For fartøjer der fisker torsk i udgjorde den samlede værdi af andre arter 129 mio. kr. hvilket svarer til 69 % af den samlede indhandlingsværdi.</w:t>
      </w:r>
    </w:p>
    <w:p w14:paraId="0E0E9890" w14:textId="77777777" w:rsidR="0079153C" w:rsidRDefault="0079153C" w:rsidP="00732A54">
      <w:pPr>
        <w:spacing w:after="0" w:line="276" w:lineRule="auto"/>
        <w:jc w:val="both"/>
        <w:rPr>
          <w:rFonts w:ascii="Times New Roman" w:hAnsi="Times New Roman" w:cs="Times New Roman"/>
          <w:color w:val="000000"/>
          <w:shd w:val="clear" w:color="auto" w:fill="FFFFFF"/>
        </w:rPr>
      </w:pPr>
    </w:p>
    <w:p w14:paraId="60FF7260" w14:textId="06EBF43B" w:rsidR="0079153C" w:rsidRDefault="0079153C" w:rsidP="00732A54">
      <w:pPr>
        <w:spacing w:after="0" w:line="276" w:lineRule="auto"/>
        <w:jc w:val="both"/>
        <w:rPr>
          <w:rFonts w:ascii="Times New Roman" w:hAnsi="Times New Roman" w:cs="Times New Roman"/>
          <w:color w:val="000000"/>
          <w:shd w:val="clear" w:color="auto" w:fill="FFFFFF"/>
        </w:rPr>
      </w:pPr>
      <w:r w:rsidRPr="00EB2524">
        <w:rPr>
          <w:rFonts w:ascii="Times New Roman" w:hAnsi="Times New Roman" w:cs="Times New Roman"/>
          <w:color w:val="000000"/>
          <w:shd w:val="clear" w:color="auto" w:fill="FFFFFF"/>
        </w:rPr>
        <w:t xml:space="preserve">Det fremgår af figur </w:t>
      </w:r>
      <w:r w:rsidR="00BC014A">
        <w:rPr>
          <w:rFonts w:ascii="Times New Roman" w:hAnsi="Times New Roman" w:cs="Times New Roman"/>
          <w:color w:val="000000"/>
          <w:shd w:val="clear" w:color="auto" w:fill="FFFFFF"/>
        </w:rPr>
        <w:t>8</w:t>
      </w:r>
      <w:r w:rsidRPr="00EB2524">
        <w:rPr>
          <w:rFonts w:ascii="Times New Roman" w:hAnsi="Times New Roman" w:cs="Times New Roman"/>
          <w:color w:val="000000"/>
          <w:shd w:val="clear" w:color="auto" w:fill="FFFFFF"/>
        </w:rPr>
        <w:t xml:space="preserve">, at </w:t>
      </w:r>
      <w:r>
        <w:rPr>
          <w:rFonts w:ascii="Times New Roman" w:hAnsi="Times New Roman" w:cs="Times New Roman"/>
          <w:color w:val="000000"/>
          <w:shd w:val="clear" w:color="auto" w:fill="FFFFFF"/>
        </w:rPr>
        <w:t>58</w:t>
      </w:r>
      <w:r w:rsidRPr="00EB2524">
        <w:rPr>
          <w:rFonts w:ascii="Times New Roman" w:hAnsi="Times New Roman" w:cs="Times New Roman"/>
          <w:color w:val="000000"/>
          <w:shd w:val="clear" w:color="auto" w:fill="FFFFFF"/>
        </w:rPr>
        <w:t xml:space="preserve"> pct. af </w:t>
      </w:r>
      <w:r>
        <w:rPr>
          <w:rFonts w:ascii="Times New Roman" w:hAnsi="Times New Roman" w:cs="Times New Roman"/>
          <w:color w:val="000000"/>
          <w:shd w:val="clear" w:color="auto" w:fill="FFFFFF"/>
        </w:rPr>
        <w:t>fartøjerne</w:t>
      </w:r>
      <w:r w:rsidRPr="00EB2524">
        <w:rPr>
          <w:rFonts w:ascii="Times New Roman" w:hAnsi="Times New Roman" w:cs="Times New Roman"/>
          <w:color w:val="000000"/>
          <w:shd w:val="clear" w:color="auto" w:fill="FFFFFF"/>
        </w:rPr>
        <w:t xml:space="preserve"> i </w:t>
      </w:r>
      <w:r>
        <w:rPr>
          <w:rFonts w:ascii="Times New Roman" w:hAnsi="Times New Roman" w:cs="Times New Roman"/>
          <w:color w:val="000000"/>
          <w:shd w:val="clear" w:color="auto" w:fill="FFFFFF"/>
        </w:rPr>
        <w:t xml:space="preserve">det kystnære torskefiskeri </w:t>
      </w:r>
      <w:r w:rsidRPr="00EB2524">
        <w:rPr>
          <w:rFonts w:ascii="Times New Roman" w:hAnsi="Times New Roman" w:cs="Times New Roman"/>
          <w:color w:val="000000"/>
          <w:shd w:val="clear" w:color="auto" w:fill="FFFFFF"/>
        </w:rPr>
        <w:t xml:space="preserve">har indhandlet mindre end </w:t>
      </w:r>
      <w:r>
        <w:rPr>
          <w:rFonts w:ascii="Times New Roman" w:hAnsi="Times New Roman" w:cs="Times New Roman"/>
          <w:color w:val="000000"/>
          <w:shd w:val="clear" w:color="auto" w:fill="FFFFFF"/>
        </w:rPr>
        <w:t>10</w:t>
      </w:r>
      <w:r w:rsidRPr="00EB2524">
        <w:rPr>
          <w:rFonts w:ascii="Times New Roman" w:hAnsi="Times New Roman" w:cs="Times New Roman"/>
          <w:color w:val="000000"/>
          <w:shd w:val="clear" w:color="auto" w:fill="FFFFFF"/>
        </w:rPr>
        <w:t xml:space="preserve"> tons pr. </w:t>
      </w:r>
      <w:r>
        <w:rPr>
          <w:rFonts w:ascii="Times New Roman" w:hAnsi="Times New Roman" w:cs="Times New Roman"/>
          <w:color w:val="000000"/>
          <w:shd w:val="clear" w:color="auto" w:fill="FFFFFF"/>
        </w:rPr>
        <w:t>fartøj</w:t>
      </w:r>
      <w:r w:rsidRPr="00EB2524">
        <w:rPr>
          <w:rFonts w:ascii="Times New Roman" w:hAnsi="Times New Roman" w:cs="Times New Roman"/>
          <w:color w:val="000000"/>
          <w:shd w:val="clear" w:color="auto" w:fill="FFFFFF"/>
        </w:rPr>
        <w:t xml:space="preserve"> i 2020, og samlet indhandlede den gruppe </w:t>
      </w:r>
      <w:r>
        <w:rPr>
          <w:rFonts w:ascii="Times New Roman" w:hAnsi="Times New Roman" w:cs="Times New Roman"/>
          <w:color w:val="000000"/>
          <w:shd w:val="clear" w:color="auto" w:fill="FFFFFF"/>
        </w:rPr>
        <w:t>fartøjer</w:t>
      </w:r>
      <w:r w:rsidRPr="00EB2524">
        <w:rPr>
          <w:rFonts w:ascii="Times New Roman" w:hAnsi="Times New Roman" w:cs="Times New Roman"/>
          <w:color w:val="000000"/>
          <w:shd w:val="clear" w:color="auto" w:fill="FFFFFF"/>
        </w:rPr>
        <w:t xml:space="preserve"> </w:t>
      </w:r>
      <w:r w:rsidR="00826618">
        <w:rPr>
          <w:rFonts w:ascii="Times New Roman" w:hAnsi="Times New Roman" w:cs="Times New Roman"/>
          <w:color w:val="000000"/>
          <w:shd w:val="clear" w:color="auto" w:fill="FFFFFF"/>
        </w:rPr>
        <w:t>211</w:t>
      </w:r>
      <w:r w:rsidR="00826618" w:rsidRPr="00EB2524">
        <w:rPr>
          <w:rFonts w:ascii="Times New Roman" w:hAnsi="Times New Roman" w:cs="Times New Roman"/>
          <w:color w:val="000000"/>
          <w:shd w:val="clear" w:color="auto" w:fill="FFFFFF"/>
        </w:rPr>
        <w:t xml:space="preserve"> </w:t>
      </w:r>
      <w:r w:rsidRPr="00EB2524">
        <w:rPr>
          <w:rFonts w:ascii="Times New Roman" w:hAnsi="Times New Roman" w:cs="Times New Roman"/>
          <w:color w:val="000000"/>
          <w:shd w:val="clear" w:color="auto" w:fill="FFFFFF"/>
        </w:rPr>
        <w:t>tons. I alt</w:t>
      </w:r>
      <w:r>
        <w:rPr>
          <w:rFonts w:ascii="Times New Roman" w:hAnsi="Times New Roman" w:cs="Times New Roman"/>
          <w:color w:val="000000"/>
          <w:shd w:val="clear" w:color="auto" w:fill="FFFFFF"/>
        </w:rPr>
        <w:t xml:space="preserve"> 80 </w:t>
      </w:r>
      <w:r w:rsidRPr="00EB2524">
        <w:rPr>
          <w:rFonts w:ascii="Times New Roman" w:hAnsi="Times New Roman" w:cs="Times New Roman"/>
          <w:color w:val="000000"/>
          <w:shd w:val="clear" w:color="auto" w:fill="FFFFFF"/>
        </w:rPr>
        <w:t xml:space="preserve">pct. af </w:t>
      </w:r>
      <w:r>
        <w:rPr>
          <w:rFonts w:ascii="Times New Roman" w:hAnsi="Times New Roman" w:cs="Times New Roman"/>
          <w:color w:val="000000"/>
          <w:shd w:val="clear" w:color="auto" w:fill="FFFFFF"/>
        </w:rPr>
        <w:t>fartøjerne</w:t>
      </w:r>
      <w:r w:rsidRPr="00EB2524">
        <w:rPr>
          <w:rFonts w:ascii="Times New Roman" w:hAnsi="Times New Roman" w:cs="Times New Roman"/>
          <w:color w:val="000000"/>
          <w:shd w:val="clear" w:color="auto" w:fill="FFFFFF"/>
        </w:rPr>
        <w:t xml:space="preserve"> indhandlede mindre end </w:t>
      </w:r>
      <w:r>
        <w:rPr>
          <w:rFonts w:ascii="Times New Roman" w:hAnsi="Times New Roman" w:cs="Times New Roman"/>
          <w:color w:val="000000"/>
          <w:shd w:val="clear" w:color="auto" w:fill="FFFFFF"/>
        </w:rPr>
        <w:t xml:space="preserve">100 </w:t>
      </w:r>
      <w:r w:rsidRPr="00EB2524">
        <w:rPr>
          <w:rFonts w:ascii="Times New Roman" w:hAnsi="Times New Roman" w:cs="Times New Roman"/>
          <w:color w:val="000000"/>
          <w:shd w:val="clear" w:color="auto" w:fill="FFFFFF"/>
        </w:rPr>
        <w:t xml:space="preserve">tons pr. </w:t>
      </w:r>
      <w:r>
        <w:rPr>
          <w:rFonts w:ascii="Times New Roman" w:hAnsi="Times New Roman" w:cs="Times New Roman"/>
          <w:color w:val="000000"/>
          <w:shd w:val="clear" w:color="auto" w:fill="FFFFFF"/>
        </w:rPr>
        <w:t xml:space="preserve">fartøj </w:t>
      </w:r>
      <w:r w:rsidRPr="00EB2524">
        <w:rPr>
          <w:rFonts w:ascii="Times New Roman" w:hAnsi="Times New Roman" w:cs="Times New Roman"/>
          <w:color w:val="000000"/>
          <w:shd w:val="clear" w:color="auto" w:fill="FFFFFF"/>
        </w:rPr>
        <w:t xml:space="preserve">med samlet indhandlingsmængde på </w:t>
      </w:r>
      <w:r w:rsidR="0029627B">
        <w:rPr>
          <w:rFonts w:ascii="Times New Roman" w:hAnsi="Times New Roman" w:cs="Times New Roman"/>
          <w:color w:val="000000"/>
          <w:shd w:val="clear" w:color="auto" w:fill="FFFFFF"/>
        </w:rPr>
        <w:t>1.972 tons</w:t>
      </w:r>
      <w:r w:rsidRPr="00EB2524">
        <w:rPr>
          <w:rFonts w:ascii="Times New Roman" w:hAnsi="Times New Roman" w:cs="Times New Roman"/>
          <w:color w:val="000000"/>
          <w:shd w:val="clear" w:color="auto" w:fill="FFFFFF"/>
        </w:rPr>
        <w:t xml:space="preserve">, svarende til ca. </w:t>
      </w:r>
      <w:r w:rsidR="0029627B">
        <w:rPr>
          <w:rFonts w:ascii="Times New Roman" w:hAnsi="Times New Roman" w:cs="Times New Roman"/>
          <w:color w:val="000000"/>
          <w:shd w:val="clear" w:color="auto" w:fill="FFFFFF"/>
        </w:rPr>
        <w:t>20</w:t>
      </w:r>
      <w:r w:rsidR="00DC2A9D" w:rsidRPr="00EB2524">
        <w:rPr>
          <w:rFonts w:ascii="Times New Roman" w:hAnsi="Times New Roman" w:cs="Times New Roman"/>
          <w:color w:val="000000"/>
          <w:shd w:val="clear" w:color="auto" w:fill="FFFFFF"/>
        </w:rPr>
        <w:t xml:space="preserve"> </w:t>
      </w:r>
      <w:r w:rsidRPr="00EB2524">
        <w:rPr>
          <w:rFonts w:ascii="Times New Roman" w:hAnsi="Times New Roman" w:cs="Times New Roman"/>
          <w:color w:val="000000"/>
          <w:shd w:val="clear" w:color="auto" w:fill="FFFFFF"/>
        </w:rPr>
        <w:t xml:space="preserve">pct. af de samlede indhandlingsmængde </w:t>
      </w:r>
      <w:r>
        <w:rPr>
          <w:rFonts w:ascii="Times New Roman" w:hAnsi="Times New Roman" w:cs="Times New Roman"/>
          <w:color w:val="000000"/>
          <w:shd w:val="clear" w:color="auto" w:fill="FFFFFF"/>
        </w:rPr>
        <w:t>i fiskeriet med fartøjer</w:t>
      </w:r>
      <w:r w:rsidRPr="00EB2524">
        <w:rPr>
          <w:rFonts w:ascii="Times New Roman" w:hAnsi="Times New Roman" w:cs="Times New Roman"/>
          <w:color w:val="000000"/>
          <w:shd w:val="clear" w:color="auto" w:fill="FFFFFF"/>
        </w:rPr>
        <w:t xml:space="preserve">. Kun </w:t>
      </w:r>
      <w:r>
        <w:rPr>
          <w:rFonts w:ascii="Times New Roman" w:hAnsi="Times New Roman" w:cs="Times New Roman"/>
          <w:color w:val="000000"/>
          <w:shd w:val="clear" w:color="auto" w:fill="FFFFFF"/>
        </w:rPr>
        <w:t>20</w:t>
      </w:r>
      <w:r w:rsidRPr="00EB2524">
        <w:rPr>
          <w:rFonts w:ascii="Times New Roman" w:hAnsi="Times New Roman" w:cs="Times New Roman"/>
          <w:color w:val="000000"/>
          <w:shd w:val="clear" w:color="auto" w:fill="FFFFFF"/>
        </w:rPr>
        <w:t xml:space="preserve"> pct. af </w:t>
      </w:r>
      <w:r>
        <w:rPr>
          <w:rFonts w:ascii="Times New Roman" w:hAnsi="Times New Roman" w:cs="Times New Roman"/>
          <w:color w:val="000000"/>
          <w:shd w:val="clear" w:color="auto" w:fill="FFFFFF"/>
        </w:rPr>
        <w:t>fartøjerne indhandlede over 10</w:t>
      </w:r>
      <w:r w:rsidRPr="00EB2524">
        <w:rPr>
          <w:rFonts w:ascii="Times New Roman" w:hAnsi="Times New Roman" w:cs="Times New Roman"/>
          <w:color w:val="000000"/>
          <w:shd w:val="clear" w:color="auto" w:fill="FFFFFF"/>
        </w:rPr>
        <w:t xml:space="preserve">0 tons pr. </w:t>
      </w:r>
      <w:r>
        <w:rPr>
          <w:rFonts w:ascii="Times New Roman" w:hAnsi="Times New Roman" w:cs="Times New Roman"/>
          <w:color w:val="000000"/>
          <w:shd w:val="clear" w:color="auto" w:fill="FFFFFF"/>
        </w:rPr>
        <w:t xml:space="preserve">fartøj </w:t>
      </w:r>
      <w:r w:rsidRPr="00EB2524">
        <w:rPr>
          <w:rFonts w:ascii="Times New Roman" w:hAnsi="Times New Roman" w:cs="Times New Roman"/>
          <w:color w:val="000000"/>
          <w:shd w:val="clear" w:color="auto" w:fill="FFFFFF"/>
        </w:rPr>
        <w:t xml:space="preserve">i 2020 med et samlet mængde på </w:t>
      </w:r>
      <w:r w:rsidR="00DC2A9D">
        <w:rPr>
          <w:rFonts w:ascii="Times New Roman" w:hAnsi="Times New Roman" w:cs="Times New Roman"/>
          <w:color w:val="000000"/>
          <w:shd w:val="clear" w:color="auto" w:fill="FFFFFF"/>
        </w:rPr>
        <w:t>7.557</w:t>
      </w:r>
      <w:r w:rsidRPr="00EB2524">
        <w:rPr>
          <w:rFonts w:ascii="Times New Roman" w:hAnsi="Times New Roman" w:cs="Times New Roman"/>
          <w:color w:val="000000"/>
          <w:shd w:val="clear" w:color="auto" w:fill="FFFFFF"/>
        </w:rPr>
        <w:t xml:space="preserve"> tons, svarende til </w:t>
      </w:r>
      <w:r w:rsidR="0029627B">
        <w:rPr>
          <w:rFonts w:ascii="Times New Roman" w:hAnsi="Times New Roman" w:cs="Times New Roman"/>
          <w:color w:val="000000"/>
          <w:shd w:val="clear" w:color="auto" w:fill="FFFFFF"/>
        </w:rPr>
        <w:t>ca. 80</w:t>
      </w:r>
      <w:r w:rsidRPr="00EB2524">
        <w:rPr>
          <w:rFonts w:ascii="Times New Roman" w:hAnsi="Times New Roman" w:cs="Times New Roman"/>
          <w:color w:val="000000"/>
          <w:shd w:val="clear" w:color="auto" w:fill="FFFFFF"/>
        </w:rPr>
        <w:t xml:space="preserve"> pct. af </w:t>
      </w:r>
      <w:r>
        <w:rPr>
          <w:rFonts w:ascii="Times New Roman" w:hAnsi="Times New Roman" w:cs="Times New Roman"/>
          <w:color w:val="000000"/>
          <w:shd w:val="clear" w:color="auto" w:fill="FFFFFF"/>
        </w:rPr>
        <w:t>de</w:t>
      </w:r>
      <w:r w:rsidRPr="00EB2524">
        <w:rPr>
          <w:rFonts w:ascii="Times New Roman" w:hAnsi="Times New Roman" w:cs="Times New Roman"/>
          <w:color w:val="000000"/>
          <w:shd w:val="clear" w:color="auto" w:fill="FFFFFF"/>
        </w:rPr>
        <w:t xml:space="preserve"> samlede indhandlingsmængder.</w:t>
      </w:r>
      <w:r>
        <w:rPr>
          <w:rFonts w:ascii="Times New Roman" w:hAnsi="Times New Roman" w:cs="Times New Roman"/>
          <w:color w:val="000000"/>
          <w:shd w:val="clear" w:color="auto" w:fill="FFFFFF"/>
        </w:rPr>
        <w:t xml:space="preserve"> </w:t>
      </w:r>
    </w:p>
    <w:p w14:paraId="42D3B134" w14:textId="77777777" w:rsidR="0079153C" w:rsidRDefault="0079153C" w:rsidP="00732A54">
      <w:pPr>
        <w:spacing w:after="0" w:line="276" w:lineRule="auto"/>
        <w:jc w:val="both"/>
        <w:rPr>
          <w:rFonts w:ascii="Times New Roman" w:hAnsi="Times New Roman" w:cs="Times New Roman"/>
          <w:color w:val="000000"/>
          <w:shd w:val="clear" w:color="auto" w:fill="FFFFFF"/>
        </w:rPr>
      </w:pPr>
    </w:p>
    <w:p w14:paraId="4E41FA0C" w14:textId="77777777" w:rsidR="0079153C" w:rsidRPr="00EB2524" w:rsidRDefault="0079153C" w:rsidP="00732A54">
      <w:pPr>
        <w:spacing w:after="0" w:line="276" w:lineRule="auto"/>
        <w:jc w:val="both"/>
        <w:rPr>
          <w:rFonts w:ascii="Times New Roman" w:hAnsi="Times New Roman" w:cs="Times New Roman"/>
          <w:color w:val="000000"/>
          <w:shd w:val="clear" w:color="auto" w:fill="FFFFFF"/>
        </w:rPr>
      </w:pPr>
      <w:r>
        <w:rPr>
          <w:rFonts w:ascii="Times New Roman" w:hAnsi="Times New Roman" w:cs="Times New Roman"/>
        </w:rPr>
        <w:t>Den store andel af fartøjerne som fisker relativ små mængder torsk kan delvist forklares ved at del af licenserne til fartøjernes benyttes til bifangst i andre fiskerier eller kombinationsfiskeri.</w:t>
      </w:r>
    </w:p>
    <w:p w14:paraId="54227640" w14:textId="77777777" w:rsidR="0079153C" w:rsidRPr="00EB2524" w:rsidRDefault="0079153C" w:rsidP="00732A54">
      <w:pPr>
        <w:spacing w:after="0" w:line="276" w:lineRule="auto"/>
        <w:jc w:val="both"/>
        <w:rPr>
          <w:rFonts w:ascii="Times New Roman" w:hAnsi="Times New Roman" w:cs="Times New Roman"/>
          <w:color w:val="000000"/>
          <w:shd w:val="clear" w:color="auto" w:fill="FFFFFF"/>
        </w:rPr>
      </w:pPr>
    </w:p>
    <w:p w14:paraId="60DB7E21" w14:textId="77777777" w:rsidR="00ED69F3" w:rsidRDefault="00ED69F3" w:rsidP="00732A54">
      <w:pPr>
        <w:spacing w:after="0" w:line="276" w:lineRule="auto"/>
        <w:jc w:val="both"/>
        <w:rPr>
          <w:rFonts w:ascii="Times New Roman" w:hAnsi="Times New Roman" w:cs="Times New Roman"/>
          <w:color w:val="000000"/>
          <w:shd w:val="clear" w:color="auto" w:fill="FFFFFF"/>
        </w:rPr>
      </w:pPr>
    </w:p>
    <w:p w14:paraId="6B691293" w14:textId="77777777" w:rsidR="00ED69F3" w:rsidRDefault="00ED69F3" w:rsidP="00732A54">
      <w:pPr>
        <w:spacing w:after="0" w:line="276" w:lineRule="auto"/>
        <w:jc w:val="both"/>
        <w:rPr>
          <w:rFonts w:ascii="Times New Roman" w:hAnsi="Times New Roman" w:cs="Times New Roman"/>
          <w:color w:val="000000"/>
          <w:shd w:val="clear" w:color="auto" w:fill="FFFFFF"/>
        </w:rPr>
      </w:pPr>
    </w:p>
    <w:p w14:paraId="6918C441" w14:textId="77777777" w:rsidR="00ED69F3" w:rsidRDefault="00ED69F3" w:rsidP="00732A54">
      <w:pPr>
        <w:spacing w:after="0" w:line="276" w:lineRule="auto"/>
        <w:jc w:val="both"/>
        <w:rPr>
          <w:rFonts w:ascii="Times New Roman" w:hAnsi="Times New Roman" w:cs="Times New Roman"/>
          <w:color w:val="000000"/>
          <w:shd w:val="clear" w:color="auto" w:fill="FFFFFF"/>
        </w:rPr>
      </w:pPr>
    </w:p>
    <w:p w14:paraId="5E0119A1" w14:textId="77777777" w:rsidR="00ED69F3" w:rsidRDefault="00ED69F3" w:rsidP="00732A54">
      <w:pPr>
        <w:spacing w:after="0" w:line="276" w:lineRule="auto"/>
        <w:jc w:val="both"/>
        <w:rPr>
          <w:rFonts w:ascii="Times New Roman" w:hAnsi="Times New Roman" w:cs="Times New Roman"/>
          <w:color w:val="000000"/>
          <w:shd w:val="clear" w:color="auto" w:fill="FFFFFF"/>
        </w:rPr>
      </w:pPr>
    </w:p>
    <w:p w14:paraId="2DC75A09" w14:textId="77777777" w:rsidR="00ED69F3" w:rsidRDefault="00ED69F3" w:rsidP="00732A54">
      <w:pPr>
        <w:spacing w:after="0" w:line="276" w:lineRule="auto"/>
        <w:jc w:val="both"/>
        <w:rPr>
          <w:rFonts w:ascii="Times New Roman" w:hAnsi="Times New Roman" w:cs="Times New Roman"/>
          <w:color w:val="000000"/>
          <w:shd w:val="clear" w:color="auto" w:fill="FFFFFF"/>
        </w:rPr>
      </w:pPr>
    </w:p>
    <w:p w14:paraId="1B9E7ECE" w14:textId="77777777" w:rsidR="00ED69F3" w:rsidRDefault="00ED69F3" w:rsidP="00732A54">
      <w:pPr>
        <w:spacing w:after="0" w:line="276" w:lineRule="auto"/>
        <w:jc w:val="both"/>
        <w:rPr>
          <w:rFonts w:ascii="Times New Roman" w:hAnsi="Times New Roman" w:cs="Times New Roman"/>
          <w:color w:val="000000"/>
          <w:shd w:val="clear" w:color="auto" w:fill="FFFFFF"/>
        </w:rPr>
      </w:pPr>
    </w:p>
    <w:p w14:paraId="5DA75F49" w14:textId="77777777" w:rsidR="00ED69F3" w:rsidRDefault="00ED69F3" w:rsidP="00732A54">
      <w:pPr>
        <w:spacing w:after="0" w:line="276" w:lineRule="auto"/>
        <w:jc w:val="both"/>
        <w:rPr>
          <w:rFonts w:ascii="Times New Roman" w:hAnsi="Times New Roman" w:cs="Times New Roman"/>
          <w:color w:val="000000"/>
          <w:shd w:val="clear" w:color="auto" w:fill="FFFFFF"/>
        </w:rPr>
      </w:pPr>
    </w:p>
    <w:p w14:paraId="6A88738A" w14:textId="77777777" w:rsidR="00ED69F3" w:rsidRDefault="00ED69F3" w:rsidP="00732A54">
      <w:pPr>
        <w:spacing w:after="0" w:line="276" w:lineRule="auto"/>
        <w:jc w:val="both"/>
        <w:rPr>
          <w:rFonts w:ascii="Times New Roman" w:hAnsi="Times New Roman" w:cs="Times New Roman"/>
          <w:color w:val="000000"/>
          <w:shd w:val="clear" w:color="auto" w:fill="FFFFFF"/>
        </w:rPr>
      </w:pPr>
    </w:p>
    <w:p w14:paraId="491F5190" w14:textId="6E8D7B33" w:rsidR="0079153C" w:rsidRPr="00EB2524" w:rsidRDefault="0079153C" w:rsidP="00732A54">
      <w:pPr>
        <w:spacing w:after="0" w:line="276" w:lineRule="auto"/>
        <w:jc w:val="both"/>
        <w:rPr>
          <w:rFonts w:ascii="Times New Roman" w:hAnsi="Times New Roman" w:cs="Times New Roman"/>
          <w:color w:val="000000"/>
          <w:shd w:val="clear" w:color="auto" w:fill="FFFFFF"/>
        </w:rPr>
      </w:pPr>
      <w:r w:rsidRPr="00EB2524">
        <w:rPr>
          <w:rFonts w:ascii="Times New Roman" w:hAnsi="Times New Roman" w:cs="Times New Roman"/>
          <w:color w:val="000000"/>
          <w:shd w:val="clear" w:color="auto" w:fill="FFFFFF"/>
        </w:rPr>
        <w:t xml:space="preserve">Figur </w:t>
      </w:r>
      <w:r w:rsidR="00BC014A">
        <w:rPr>
          <w:rFonts w:ascii="Times New Roman" w:hAnsi="Times New Roman" w:cs="Times New Roman"/>
          <w:color w:val="000000"/>
          <w:shd w:val="clear" w:color="auto" w:fill="FFFFFF"/>
        </w:rPr>
        <w:t>8</w:t>
      </w:r>
      <w:r w:rsidRPr="00EB2524">
        <w:rPr>
          <w:rFonts w:ascii="Times New Roman" w:hAnsi="Times New Roman" w:cs="Times New Roman"/>
          <w:color w:val="000000"/>
          <w:shd w:val="clear" w:color="auto" w:fill="FFFFFF"/>
        </w:rPr>
        <w:t xml:space="preserve">: Indhandlingsmængder </w:t>
      </w:r>
      <w:r>
        <w:rPr>
          <w:rFonts w:ascii="Times New Roman" w:hAnsi="Times New Roman" w:cs="Times New Roman"/>
          <w:color w:val="000000"/>
          <w:shd w:val="clear" w:color="auto" w:fill="FFFFFF"/>
        </w:rPr>
        <w:t>torsk</w:t>
      </w:r>
      <w:r w:rsidRPr="00EB2524">
        <w:rPr>
          <w:rFonts w:ascii="Times New Roman" w:hAnsi="Times New Roman" w:cs="Times New Roman"/>
          <w:color w:val="000000"/>
          <w:shd w:val="clear" w:color="auto" w:fill="FFFFFF"/>
        </w:rPr>
        <w:t xml:space="preserve"> </w:t>
      </w:r>
      <w:r w:rsidR="00D34AFD">
        <w:rPr>
          <w:rFonts w:ascii="Times New Roman" w:hAnsi="Times New Roman" w:cs="Times New Roman"/>
          <w:color w:val="000000"/>
          <w:shd w:val="clear" w:color="auto" w:fill="FFFFFF"/>
        </w:rPr>
        <w:t>i det kystnære fiskeri</w:t>
      </w:r>
      <w:r w:rsidRPr="00EB2524">
        <w:rPr>
          <w:rFonts w:ascii="Times New Roman" w:hAnsi="Times New Roman" w:cs="Times New Roman"/>
          <w:color w:val="000000"/>
          <w:shd w:val="clear" w:color="auto" w:fill="FFFFFF"/>
        </w:rPr>
        <w:t xml:space="preserve"> pr. </w:t>
      </w:r>
      <w:r>
        <w:rPr>
          <w:rFonts w:ascii="Times New Roman" w:hAnsi="Times New Roman" w:cs="Times New Roman"/>
          <w:color w:val="000000"/>
          <w:shd w:val="clear" w:color="auto" w:fill="FFFFFF"/>
        </w:rPr>
        <w:t>fartøj</w:t>
      </w:r>
      <w:r w:rsidRPr="00EB2524">
        <w:rPr>
          <w:rFonts w:ascii="Times New Roman" w:hAnsi="Times New Roman" w:cs="Times New Roman"/>
          <w:color w:val="000000"/>
          <w:shd w:val="clear" w:color="auto" w:fill="FFFFFF"/>
        </w:rPr>
        <w:t xml:space="preserve"> fordelt på intervaller, 2020. </w:t>
      </w:r>
    </w:p>
    <w:p w14:paraId="5188D2C2" w14:textId="703DE1A2" w:rsidR="0079153C" w:rsidRDefault="00DF6E0D" w:rsidP="00732A54">
      <w:pPr>
        <w:spacing w:after="0" w:line="276" w:lineRule="auto"/>
        <w:jc w:val="both"/>
        <w:rPr>
          <w:rFonts w:ascii="Times New Roman" w:hAnsi="Times New Roman" w:cs="Times New Roman"/>
          <w:noProof/>
          <w:lang w:eastAsia="da-DK"/>
        </w:rPr>
      </w:pPr>
      <w:r>
        <w:rPr>
          <w:noProof/>
          <w:lang w:eastAsia="da-DK"/>
        </w:rPr>
        <w:drawing>
          <wp:inline distT="0" distB="0" distL="0" distR="0" wp14:anchorId="1105FBE4" wp14:editId="786D963A">
            <wp:extent cx="6000750" cy="3787140"/>
            <wp:effectExtent l="0" t="0" r="0" b="381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0A4754" w14:textId="77777777" w:rsidR="0079153C" w:rsidRPr="00EB2524" w:rsidRDefault="0079153C" w:rsidP="00732A54">
      <w:pPr>
        <w:spacing w:after="0" w:line="276" w:lineRule="auto"/>
        <w:jc w:val="both"/>
        <w:rPr>
          <w:rFonts w:ascii="Times New Roman" w:hAnsi="Times New Roman" w:cs="Times New Roman"/>
          <w:color w:val="000000"/>
          <w:sz w:val="20"/>
          <w:szCs w:val="20"/>
          <w:shd w:val="clear" w:color="auto" w:fill="FFFFFF"/>
        </w:rPr>
      </w:pPr>
      <w:r w:rsidRPr="00EB2524">
        <w:rPr>
          <w:rFonts w:ascii="Times New Roman" w:hAnsi="Times New Roman" w:cs="Times New Roman"/>
          <w:color w:val="000000"/>
          <w:sz w:val="20"/>
          <w:szCs w:val="20"/>
          <w:shd w:val="clear" w:color="auto" w:fill="FFFFFF"/>
        </w:rPr>
        <w:t>Kilde: APNN.</w:t>
      </w:r>
    </w:p>
    <w:p w14:paraId="6A5F15BD" w14:textId="77777777" w:rsidR="0079153C" w:rsidRPr="00EB2524" w:rsidRDefault="0079153C" w:rsidP="00732A54">
      <w:pPr>
        <w:spacing w:after="0" w:line="276" w:lineRule="auto"/>
        <w:jc w:val="both"/>
        <w:rPr>
          <w:rFonts w:ascii="Times New Roman" w:hAnsi="Times New Roman" w:cs="Times New Roman"/>
          <w:color w:val="000000"/>
          <w:sz w:val="20"/>
          <w:szCs w:val="20"/>
          <w:shd w:val="clear" w:color="auto" w:fill="FFFFFF"/>
        </w:rPr>
      </w:pPr>
      <w:r w:rsidRPr="00DF6E0D">
        <w:rPr>
          <w:rFonts w:ascii="Times New Roman" w:hAnsi="Times New Roman" w:cs="Times New Roman"/>
          <w:color w:val="000000"/>
          <w:sz w:val="20"/>
          <w:szCs w:val="20"/>
          <w:shd w:val="clear" w:color="auto" w:fill="FFFFFF"/>
        </w:rPr>
        <w:t>Note: Det samlede fangstmængde i hvert interval er angivet i parenteser.</w:t>
      </w:r>
    </w:p>
    <w:p w14:paraId="5CD1E4A7" w14:textId="77777777" w:rsidR="0079153C" w:rsidRPr="00EB2524" w:rsidRDefault="0079153C" w:rsidP="00732A54">
      <w:pPr>
        <w:spacing w:after="0" w:line="276" w:lineRule="auto"/>
        <w:jc w:val="both"/>
        <w:rPr>
          <w:rFonts w:ascii="Times New Roman" w:hAnsi="Times New Roman" w:cs="Times New Roman"/>
          <w:color w:val="000000"/>
          <w:shd w:val="clear" w:color="auto" w:fill="FFFFFF"/>
        </w:rPr>
      </w:pPr>
    </w:p>
    <w:p w14:paraId="7B3DB135" w14:textId="77777777" w:rsidR="0079153C" w:rsidRPr="00EB2524" w:rsidRDefault="0079153C" w:rsidP="00732A54">
      <w:pPr>
        <w:spacing w:after="0" w:line="276" w:lineRule="auto"/>
        <w:jc w:val="both"/>
        <w:rPr>
          <w:rFonts w:ascii="Times New Roman" w:hAnsi="Times New Roman" w:cs="Times New Roman"/>
          <w:color w:val="000000"/>
          <w:shd w:val="clear" w:color="auto" w:fill="FFFFFF"/>
          <w:lang w:val="is-IS"/>
        </w:rPr>
      </w:pPr>
      <w:r w:rsidRPr="00EB2524">
        <w:rPr>
          <w:rFonts w:ascii="Times New Roman" w:hAnsi="Times New Roman" w:cs="Times New Roman"/>
          <w:color w:val="000000"/>
          <w:shd w:val="clear" w:color="auto" w:fill="FFFFFF"/>
        </w:rPr>
        <w:t>Det må antages, at en meget stor del af licen</w:t>
      </w:r>
      <w:r>
        <w:rPr>
          <w:rFonts w:ascii="Times New Roman" w:hAnsi="Times New Roman" w:cs="Times New Roman"/>
          <w:color w:val="000000"/>
          <w:shd w:val="clear" w:color="auto" w:fill="FFFFFF"/>
        </w:rPr>
        <w:t xml:space="preserve">sindehaverne i fiskeriet efter torsk </w:t>
      </w:r>
      <w:r w:rsidRPr="00EB2524">
        <w:rPr>
          <w:rFonts w:ascii="Times New Roman" w:hAnsi="Times New Roman" w:cs="Times New Roman"/>
          <w:color w:val="000000"/>
          <w:shd w:val="clear" w:color="auto" w:fill="FFFFFF"/>
        </w:rPr>
        <w:t xml:space="preserve">med </w:t>
      </w:r>
      <w:r>
        <w:rPr>
          <w:rFonts w:ascii="Times New Roman" w:hAnsi="Times New Roman" w:cs="Times New Roman"/>
          <w:color w:val="000000"/>
          <w:shd w:val="clear" w:color="auto" w:fill="FFFFFF"/>
        </w:rPr>
        <w:t>fartøjer bruger licens til kombinationsfiskeri eller til bifangst af torsk i andre fiskerier. Dette fordi 69 pct. af fartøjernes indhandlingsværdi kommer fra fiskeri efter andre arter end torsk. For at se fordelingen af det enkelte fartøjs samlede fangster og indhandlingsværdi bør fordelingen laves for alle arter fartøjer fisker tværs af fiskerier.</w:t>
      </w:r>
    </w:p>
    <w:p w14:paraId="555CAD8C" w14:textId="25C4D26B" w:rsidR="00843B40" w:rsidRDefault="00843B40" w:rsidP="00732A54">
      <w:pPr>
        <w:spacing w:after="0" w:line="276" w:lineRule="auto"/>
        <w:jc w:val="both"/>
        <w:rPr>
          <w:rFonts w:ascii="Times New Roman" w:hAnsi="Times New Roman" w:cs="Times New Roman"/>
          <w:color w:val="000000" w:themeColor="text1"/>
          <w:lang w:val="is-IS"/>
        </w:rPr>
      </w:pPr>
    </w:p>
    <w:p w14:paraId="4F6FFBCB" w14:textId="0DA9AFE8" w:rsidR="006B1C10" w:rsidRPr="006B1C10" w:rsidRDefault="006B1C10" w:rsidP="00732A54">
      <w:pPr>
        <w:spacing w:after="0" w:line="276" w:lineRule="auto"/>
        <w:jc w:val="both"/>
        <w:rPr>
          <w:rFonts w:ascii="Times New Roman" w:hAnsi="Times New Roman" w:cs="Times New Roman"/>
          <w:b/>
          <w:sz w:val="24"/>
          <w:szCs w:val="24"/>
        </w:rPr>
      </w:pPr>
      <w:r w:rsidRPr="006B1C10">
        <w:rPr>
          <w:rFonts w:ascii="Times New Roman" w:hAnsi="Times New Roman" w:cs="Times New Roman"/>
          <w:b/>
          <w:sz w:val="24"/>
          <w:szCs w:val="24"/>
        </w:rPr>
        <w:t>4. Opsummering</w:t>
      </w:r>
    </w:p>
    <w:p w14:paraId="161B6D65" w14:textId="77777777" w:rsidR="006B1C10" w:rsidRDefault="006B1C10" w:rsidP="00732A54">
      <w:pPr>
        <w:spacing w:after="0" w:line="276" w:lineRule="auto"/>
        <w:jc w:val="both"/>
        <w:rPr>
          <w:rFonts w:ascii="Times New Roman" w:hAnsi="Times New Roman" w:cs="Times New Roman"/>
        </w:rPr>
      </w:pPr>
      <w:r>
        <w:rPr>
          <w:rFonts w:ascii="Times New Roman" w:hAnsi="Times New Roman" w:cs="Times New Roman"/>
        </w:rPr>
        <w:t>F</w:t>
      </w:r>
      <w:r w:rsidRPr="00260CD8">
        <w:rPr>
          <w:rFonts w:ascii="Times New Roman" w:hAnsi="Times New Roman" w:cs="Times New Roman"/>
        </w:rPr>
        <w:t xml:space="preserve">astsættelsen </w:t>
      </w:r>
      <w:r>
        <w:rPr>
          <w:rFonts w:ascii="Times New Roman" w:hAnsi="Times New Roman" w:cs="Times New Roman"/>
        </w:rPr>
        <w:t xml:space="preserve">af en TAC i det kystnære fiskeri efter torsk </w:t>
      </w:r>
      <w:r w:rsidRPr="00260CD8">
        <w:rPr>
          <w:rFonts w:ascii="Times New Roman" w:hAnsi="Times New Roman" w:cs="Times New Roman"/>
        </w:rPr>
        <w:t>har i en årrække været langt over den videnskabelige</w:t>
      </w:r>
      <w:r>
        <w:rPr>
          <w:rFonts w:ascii="Times New Roman" w:hAnsi="Times New Roman" w:cs="Times New Roman"/>
        </w:rPr>
        <w:t xml:space="preserve"> rådgivning. Dette</w:t>
      </w:r>
      <w:r w:rsidRPr="00260CD8">
        <w:rPr>
          <w:rFonts w:ascii="Times New Roman" w:hAnsi="Times New Roman" w:cs="Times New Roman"/>
        </w:rPr>
        <w:t xml:space="preserve"> i en periode hvor </w:t>
      </w:r>
      <w:r>
        <w:rPr>
          <w:rFonts w:ascii="Times New Roman" w:hAnsi="Times New Roman" w:cs="Times New Roman"/>
        </w:rPr>
        <w:t xml:space="preserve">stigningen i </w:t>
      </w:r>
      <w:r w:rsidRPr="00260CD8">
        <w:rPr>
          <w:rFonts w:ascii="Times New Roman" w:hAnsi="Times New Roman" w:cs="Times New Roman"/>
        </w:rPr>
        <w:t xml:space="preserve">antallet af licenser </w:t>
      </w:r>
      <w:r>
        <w:rPr>
          <w:rFonts w:ascii="Times New Roman" w:hAnsi="Times New Roman" w:cs="Times New Roman"/>
        </w:rPr>
        <w:t xml:space="preserve">og kapacitet i den kystnære torskeflåde </w:t>
      </w:r>
      <w:r w:rsidRPr="00260CD8">
        <w:rPr>
          <w:rFonts w:ascii="Times New Roman" w:hAnsi="Times New Roman" w:cs="Times New Roman"/>
        </w:rPr>
        <w:t xml:space="preserve">er forøget markant. Denne udvikling betyder en stadig større risiko for at det kystnære fiskeri efter torsk går tilbage, med betydelige økonomiske og sociale konsekvenser.  </w:t>
      </w:r>
    </w:p>
    <w:p w14:paraId="35407C95" w14:textId="77777777" w:rsidR="006B1C10" w:rsidRPr="00260CD8" w:rsidRDefault="006B1C10" w:rsidP="00732A54">
      <w:pPr>
        <w:spacing w:after="0" w:line="276" w:lineRule="auto"/>
        <w:jc w:val="both"/>
        <w:rPr>
          <w:rFonts w:ascii="Times New Roman" w:hAnsi="Times New Roman" w:cs="Times New Roman"/>
        </w:rPr>
      </w:pPr>
    </w:p>
    <w:p w14:paraId="05F81F26" w14:textId="77777777" w:rsidR="006B1C10" w:rsidRDefault="006B1C10" w:rsidP="00732A54">
      <w:pPr>
        <w:spacing w:after="0" w:line="276" w:lineRule="auto"/>
        <w:jc w:val="both"/>
        <w:rPr>
          <w:rFonts w:ascii="Times New Roman" w:hAnsi="Times New Roman" w:cs="Times New Roman"/>
        </w:rPr>
      </w:pPr>
      <w:r w:rsidRPr="00260CD8">
        <w:rPr>
          <w:rFonts w:ascii="Times New Roman" w:hAnsi="Times New Roman" w:cs="Times New Roman"/>
        </w:rPr>
        <w:t xml:space="preserve">Antallet af udstedte licenser er steget markant de seneste år. En fortsat udvikling vil resultere i </w:t>
      </w:r>
      <w:r>
        <w:rPr>
          <w:rFonts w:ascii="Times New Roman" w:hAnsi="Times New Roman" w:cs="Times New Roman"/>
        </w:rPr>
        <w:t xml:space="preserve">endnu </w:t>
      </w:r>
      <w:r w:rsidRPr="00260CD8">
        <w:rPr>
          <w:rFonts w:ascii="Times New Roman" w:hAnsi="Times New Roman" w:cs="Times New Roman"/>
        </w:rPr>
        <w:t xml:space="preserve">færre torsk </w:t>
      </w:r>
      <w:r>
        <w:rPr>
          <w:rFonts w:ascii="Times New Roman" w:hAnsi="Times New Roman" w:cs="Times New Roman"/>
        </w:rPr>
        <w:t>pr. licenshaver</w:t>
      </w:r>
      <w:r w:rsidRPr="00260CD8">
        <w:rPr>
          <w:rFonts w:ascii="Times New Roman" w:hAnsi="Times New Roman" w:cs="Times New Roman"/>
        </w:rPr>
        <w:t xml:space="preserve">, og </w:t>
      </w:r>
      <w:r>
        <w:rPr>
          <w:rFonts w:ascii="Times New Roman" w:hAnsi="Times New Roman" w:cs="Times New Roman"/>
        </w:rPr>
        <w:t xml:space="preserve">bidrage til at reducere rentabilitet i </w:t>
      </w:r>
      <w:r w:rsidRPr="00260CD8">
        <w:rPr>
          <w:rFonts w:ascii="Times New Roman" w:hAnsi="Times New Roman" w:cs="Times New Roman"/>
        </w:rPr>
        <w:t xml:space="preserve">det kystnære torskefiskeri </w:t>
      </w:r>
      <w:r>
        <w:rPr>
          <w:rFonts w:ascii="Times New Roman" w:hAnsi="Times New Roman" w:cs="Times New Roman"/>
        </w:rPr>
        <w:t>endnu mere</w:t>
      </w:r>
      <w:r w:rsidRPr="00260CD8">
        <w:rPr>
          <w:rFonts w:ascii="Times New Roman" w:hAnsi="Times New Roman" w:cs="Times New Roman"/>
        </w:rPr>
        <w:t>. For at sikre et bedre økonomisk grundlag for de eksisterende fiskere, er det således nødvendigt at</w:t>
      </w:r>
      <w:r>
        <w:rPr>
          <w:rFonts w:ascii="Times New Roman" w:hAnsi="Times New Roman" w:cs="Times New Roman"/>
        </w:rPr>
        <w:t xml:space="preserve"> begrænse</w:t>
      </w:r>
      <w:r w:rsidRPr="00260CD8">
        <w:rPr>
          <w:rFonts w:ascii="Times New Roman" w:hAnsi="Times New Roman" w:cs="Times New Roman"/>
        </w:rPr>
        <w:t xml:space="preserve"> antallet af nye licenser</w:t>
      </w:r>
      <w:r>
        <w:rPr>
          <w:rFonts w:ascii="Times New Roman" w:hAnsi="Times New Roman" w:cs="Times New Roman"/>
        </w:rPr>
        <w:t xml:space="preserve">, reducere det nuværende antal licenser og snarest tilpasse TAC´en til den biologiske rådgivning. </w:t>
      </w:r>
    </w:p>
    <w:p w14:paraId="1ACF9F11" w14:textId="77777777" w:rsidR="006B1C10" w:rsidRPr="00260CD8" w:rsidRDefault="006B1C10" w:rsidP="00732A54">
      <w:pPr>
        <w:spacing w:after="0" w:line="276" w:lineRule="auto"/>
        <w:jc w:val="both"/>
        <w:rPr>
          <w:rFonts w:ascii="Times New Roman" w:hAnsi="Times New Roman" w:cs="Times New Roman"/>
        </w:rPr>
      </w:pPr>
    </w:p>
    <w:p w14:paraId="2A1613BD" w14:textId="77777777" w:rsidR="006B1C10" w:rsidRDefault="006B1C10" w:rsidP="00732A54">
      <w:pPr>
        <w:spacing w:after="0" w:line="276" w:lineRule="auto"/>
        <w:jc w:val="both"/>
        <w:rPr>
          <w:rFonts w:ascii="Times New Roman" w:hAnsi="Times New Roman" w:cs="Times New Roman"/>
        </w:rPr>
      </w:pPr>
      <w:r w:rsidRPr="00260CD8">
        <w:rPr>
          <w:rFonts w:ascii="Times New Roman" w:hAnsi="Times New Roman" w:cs="Times New Roman"/>
        </w:rPr>
        <w:t xml:space="preserve">Antallet af små torsk (rekrutter), </w:t>
      </w:r>
      <w:r>
        <w:rPr>
          <w:rFonts w:ascii="Times New Roman" w:hAnsi="Times New Roman" w:cs="Times New Roman"/>
        </w:rPr>
        <w:t xml:space="preserve">der skal erstatte fangsterne i kystnære </w:t>
      </w:r>
      <w:r w:rsidRPr="00260CD8">
        <w:rPr>
          <w:rFonts w:ascii="Times New Roman" w:hAnsi="Times New Roman" w:cs="Times New Roman"/>
        </w:rPr>
        <w:t xml:space="preserve">området, er faldet siden 2010. Samtidig er antallet af torsk, der er store nok til at gyde (gydebiomassen) faldet siden 2014. </w:t>
      </w:r>
      <w:r>
        <w:rPr>
          <w:rFonts w:ascii="Times New Roman" w:hAnsi="Times New Roman" w:cs="Times New Roman"/>
        </w:rPr>
        <w:t>Det betyder, at den kystnære torskebestand</w:t>
      </w:r>
      <w:r w:rsidRPr="00260CD8">
        <w:rPr>
          <w:rFonts w:ascii="Times New Roman" w:hAnsi="Times New Roman" w:cs="Times New Roman"/>
        </w:rPr>
        <w:t xml:space="preserve"> de sidste par år er falde</w:t>
      </w:r>
      <w:r>
        <w:rPr>
          <w:rFonts w:ascii="Times New Roman" w:hAnsi="Times New Roman" w:cs="Times New Roman"/>
        </w:rPr>
        <w:t>nde</w:t>
      </w:r>
      <w:r w:rsidRPr="00260CD8">
        <w:rPr>
          <w:rFonts w:ascii="Times New Roman" w:hAnsi="Times New Roman" w:cs="Times New Roman"/>
        </w:rPr>
        <w:t xml:space="preserve">, og der er ikke udsigt til en stigning i bestandsstørrelsen. </w:t>
      </w:r>
    </w:p>
    <w:p w14:paraId="2BFFF4DB" w14:textId="77777777" w:rsidR="006B1C10" w:rsidRDefault="006B1C10" w:rsidP="00732A54">
      <w:pPr>
        <w:spacing w:after="0" w:line="276" w:lineRule="auto"/>
        <w:jc w:val="both"/>
        <w:rPr>
          <w:rFonts w:ascii="Times New Roman" w:hAnsi="Times New Roman" w:cs="Times New Roman"/>
        </w:rPr>
      </w:pPr>
    </w:p>
    <w:p w14:paraId="15613C12" w14:textId="77777777" w:rsidR="006B1C10" w:rsidRDefault="006B1C10" w:rsidP="00732A54">
      <w:pPr>
        <w:spacing w:after="0" w:line="276" w:lineRule="auto"/>
        <w:jc w:val="both"/>
        <w:rPr>
          <w:rFonts w:ascii="Times New Roman" w:hAnsi="Times New Roman" w:cs="Times New Roman"/>
        </w:rPr>
      </w:pPr>
      <w:r w:rsidRPr="00260CD8">
        <w:rPr>
          <w:rFonts w:ascii="Times New Roman" w:hAnsi="Times New Roman" w:cs="Times New Roman"/>
        </w:rPr>
        <w:t xml:space="preserve">Overordnet set vurderer ICES, at fiskeritrykket på </w:t>
      </w:r>
      <w:r>
        <w:rPr>
          <w:rFonts w:ascii="Times New Roman" w:hAnsi="Times New Roman" w:cs="Times New Roman"/>
        </w:rPr>
        <w:t>den kystnære torskebestand</w:t>
      </w:r>
      <w:r w:rsidRPr="00260CD8">
        <w:rPr>
          <w:rFonts w:ascii="Times New Roman" w:hAnsi="Times New Roman" w:cs="Times New Roman"/>
        </w:rPr>
        <w:t xml:space="preserve"> er for højt og bør reduceres markant.</w:t>
      </w:r>
      <w:r>
        <w:rPr>
          <w:rFonts w:ascii="Times New Roman" w:hAnsi="Times New Roman" w:cs="Times New Roman"/>
        </w:rPr>
        <w:t xml:space="preserve"> </w:t>
      </w:r>
      <w:r w:rsidRPr="00260CD8">
        <w:rPr>
          <w:rFonts w:ascii="Times New Roman" w:hAnsi="Times New Roman" w:cs="Times New Roman"/>
        </w:rPr>
        <w:t>Den oprindelige hensigt, i forhold til at give fritidsfiskere mulighed for at indhandle var, at det ikke skulle begrænse erhvervsfiskeriets indhandling. Med en nedadgående videnskabelig rådgivning på torsk, må det antages</w:t>
      </w:r>
      <w:r>
        <w:rPr>
          <w:rFonts w:ascii="Times New Roman" w:hAnsi="Times New Roman" w:cs="Times New Roman"/>
        </w:rPr>
        <w:t xml:space="preserve"> at fritidsfiskernes fangstmængder bidrager blot til at reducere</w:t>
      </w:r>
      <w:r w:rsidRPr="00260CD8">
        <w:rPr>
          <w:rFonts w:ascii="Times New Roman" w:hAnsi="Times New Roman" w:cs="Times New Roman"/>
        </w:rPr>
        <w:t xml:space="preserve"> erhvervsfiskeriets fiskerimuligheder. Begrebet eller forståelsen af erhvervsmæssigt fiskeri bliver i tilfældet med kystnært torskefiskeri stadig mere uklart.  En meget betydelig andel af licenshavere i det erhvervsmæssig</w:t>
      </w:r>
      <w:r>
        <w:rPr>
          <w:rFonts w:ascii="Times New Roman" w:hAnsi="Times New Roman" w:cs="Times New Roman"/>
        </w:rPr>
        <w:t>e</w:t>
      </w:r>
      <w:r w:rsidRPr="00260CD8">
        <w:rPr>
          <w:rFonts w:ascii="Times New Roman" w:hAnsi="Times New Roman" w:cs="Times New Roman"/>
        </w:rPr>
        <w:t xml:space="preserve"> torskefiskeri har meget lav omsætning fra fiskeriet generelt, og samtidig har de mest effektive fritidsfiskere en langt højere omsætning fra fiskeri sammenlignet med et stort antal erhvervsfiskere. Der er således behov for at definere klare målsætninger for den fortsatte udvikling i det kystnære torskefisker, herunder </w:t>
      </w:r>
      <w:r>
        <w:rPr>
          <w:rFonts w:ascii="Times New Roman" w:hAnsi="Times New Roman" w:cs="Times New Roman"/>
        </w:rPr>
        <w:t>om fiskeriet skal udelukkende drives som erhvervsfiskeri eller ej.</w:t>
      </w:r>
    </w:p>
    <w:p w14:paraId="4E4A2F18" w14:textId="77777777" w:rsidR="006B1C10" w:rsidRPr="00260CD8" w:rsidRDefault="006B1C10" w:rsidP="00732A54">
      <w:pPr>
        <w:spacing w:after="0" w:line="276" w:lineRule="auto"/>
        <w:jc w:val="both"/>
        <w:rPr>
          <w:rFonts w:ascii="Times New Roman" w:hAnsi="Times New Roman" w:cs="Times New Roman"/>
        </w:rPr>
      </w:pPr>
    </w:p>
    <w:p w14:paraId="0EFD7A2C" w14:textId="77777777" w:rsidR="006B1C10" w:rsidRDefault="006B1C10" w:rsidP="00732A54">
      <w:pPr>
        <w:spacing w:after="0" w:line="276" w:lineRule="auto"/>
        <w:jc w:val="both"/>
        <w:rPr>
          <w:rFonts w:ascii="Times New Roman" w:hAnsi="Times New Roman" w:cs="Times New Roman"/>
        </w:rPr>
      </w:pPr>
      <w:r w:rsidRPr="00260CD8">
        <w:rPr>
          <w:rFonts w:ascii="Times New Roman" w:hAnsi="Times New Roman" w:cs="Times New Roman"/>
        </w:rPr>
        <w:t>Et fortsat højt fiskeritryk vil med sikkerhed have alvorlig negativ indvirkning på bestanden, og dermed skade de langsigtet fiskerimuligheder. Den positive samfundsøkonomiske betydning for Grønland ved at sikre langsigtet fiskerimuligheder, er langt større end de kortsigtet gevinster ved at fiske videre på en nedadgående sårbar bestand.</w:t>
      </w:r>
    </w:p>
    <w:p w14:paraId="2D44A448" w14:textId="77777777" w:rsidR="006B1C10" w:rsidRDefault="006B1C10" w:rsidP="00732A54">
      <w:pPr>
        <w:spacing w:after="0" w:line="276" w:lineRule="auto"/>
        <w:jc w:val="both"/>
        <w:rPr>
          <w:rFonts w:ascii="Times New Roman" w:hAnsi="Times New Roman" w:cs="Times New Roman"/>
        </w:rPr>
      </w:pPr>
    </w:p>
    <w:p w14:paraId="3D5F1DC5" w14:textId="491B8AE6" w:rsidR="006B1C10" w:rsidRDefault="006B1C10" w:rsidP="00732A54">
      <w:pPr>
        <w:spacing w:after="0" w:line="276" w:lineRule="auto"/>
        <w:jc w:val="both"/>
        <w:rPr>
          <w:rFonts w:ascii="Times New Roman" w:hAnsi="Times New Roman" w:cs="Times New Roman"/>
        </w:rPr>
      </w:pPr>
      <w:r>
        <w:rPr>
          <w:rFonts w:ascii="Times New Roman" w:hAnsi="Times New Roman" w:cs="Times New Roman"/>
        </w:rPr>
        <w:t xml:space="preserve">Royal Greenlands </w:t>
      </w:r>
      <w:proofErr w:type="spellStart"/>
      <w:r w:rsidRPr="00260CD8">
        <w:rPr>
          <w:rFonts w:ascii="Times New Roman" w:hAnsi="Times New Roman" w:cs="Times New Roman"/>
        </w:rPr>
        <w:t>Nutaaq</w:t>
      </w:r>
      <w:proofErr w:type="spellEnd"/>
      <w:r w:rsidRPr="00260CD8">
        <w:rPr>
          <w:rFonts w:ascii="Times New Roman" w:hAnsi="Times New Roman" w:cs="Times New Roman"/>
        </w:rPr>
        <w:t xml:space="preserve"> </w:t>
      </w:r>
      <w:r>
        <w:rPr>
          <w:rFonts w:ascii="Times New Roman" w:hAnsi="Times New Roman" w:cs="Times New Roman"/>
        </w:rPr>
        <w:t>torske</w:t>
      </w:r>
      <w:r w:rsidRPr="00260CD8">
        <w:rPr>
          <w:rFonts w:ascii="Times New Roman" w:hAnsi="Times New Roman" w:cs="Times New Roman"/>
        </w:rPr>
        <w:t xml:space="preserve">projektet i Maniitsoq er et eksempel på innovation og nye produktionsmetoder kan øge kvalitet af torskeprodukterne og forbedre produktionen. Projektet og metoden med anvendelse af brøndbåd hvor torsken pumpes direkte op fra bundgarnene har samtidig vist sig at være meget effektivt. </w:t>
      </w:r>
      <w:r>
        <w:rPr>
          <w:rFonts w:ascii="Times New Roman" w:hAnsi="Times New Roman" w:cs="Times New Roman"/>
        </w:rPr>
        <w:t>Projektet</w:t>
      </w:r>
      <w:r w:rsidR="003B3C93">
        <w:rPr>
          <w:rFonts w:ascii="Times New Roman" w:hAnsi="Times New Roman" w:cs="Times New Roman"/>
        </w:rPr>
        <w:t xml:space="preserve"> er et</w:t>
      </w:r>
      <w:r>
        <w:rPr>
          <w:rFonts w:ascii="Times New Roman" w:hAnsi="Times New Roman" w:cs="Times New Roman"/>
        </w:rPr>
        <w:t xml:space="preserve"> godt eksempel på værdien af hver fanget fisk kan øges ved at fokusere på at udnytte fisken fuldt ud. Dette fremfor at fokusere udelukkende på at fiske flere fisk til at øge omsætningen.   </w:t>
      </w:r>
      <w:r w:rsidRPr="00260CD8">
        <w:rPr>
          <w:rFonts w:ascii="Times New Roman" w:hAnsi="Times New Roman" w:cs="Times New Roman"/>
        </w:rPr>
        <w:t xml:space="preserve">  </w:t>
      </w:r>
    </w:p>
    <w:p w14:paraId="0AC918A2" w14:textId="77777777" w:rsidR="006B1C10" w:rsidRPr="006B1C10" w:rsidRDefault="006B1C10" w:rsidP="00732A54">
      <w:pPr>
        <w:spacing w:after="0" w:line="276" w:lineRule="auto"/>
        <w:jc w:val="both"/>
        <w:rPr>
          <w:rFonts w:ascii="Times New Roman" w:hAnsi="Times New Roman" w:cs="Times New Roman"/>
          <w:color w:val="000000" w:themeColor="text1"/>
        </w:rPr>
      </w:pPr>
    </w:p>
    <w:sectPr w:rsidR="006B1C10" w:rsidRPr="006B1C10" w:rsidSect="00DA1D3E">
      <w:headerReference w:type="default" r:id="rId16"/>
      <w:footerReference w:type="default" r:id="rId17"/>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5D2A" w14:textId="77777777" w:rsidR="004C0D77" w:rsidRDefault="004C0D77" w:rsidP="00554B7A">
      <w:pPr>
        <w:spacing w:after="0" w:line="240" w:lineRule="auto"/>
      </w:pPr>
      <w:r>
        <w:separator/>
      </w:r>
    </w:p>
  </w:endnote>
  <w:endnote w:type="continuationSeparator" w:id="0">
    <w:p w14:paraId="5C355273" w14:textId="77777777" w:rsidR="004C0D77" w:rsidRDefault="004C0D77" w:rsidP="005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414969"/>
      <w:docPartObj>
        <w:docPartGallery w:val="Page Numbers (Bottom of Page)"/>
        <w:docPartUnique/>
      </w:docPartObj>
    </w:sdtPr>
    <w:sdtEndPr/>
    <w:sdtContent>
      <w:p w14:paraId="17B1F6D1" w14:textId="229479CA" w:rsidR="00C545AE" w:rsidRDefault="00C545AE">
        <w:pPr>
          <w:pStyle w:val="Sidefod"/>
          <w:jc w:val="center"/>
        </w:pPr>
        <w:r>
          <w:fldChar w:fldCharType="begin"/>
        </w:r>
        <w:r>
          <w:instrText>PAGE   \* MERGEFORMAT</w:instrText>
        </w:r>
        <w:r>
          <w:fldChar w:fldCharType="separate"/>
        </w:r>
        <w:r w:rsidR="00147C56">
          <w:rPr>
            <w:noProof/>
          </w:rPr>
          <w:t>14</w:t>
        </w:r>
        <w:r>
          <w:fldChar w:fldCharType="end"/>
        </w:r>
      </w:p>
    </w:sdtContent>
  </w:sdt>
  <w:p w14:paraId="21565F5C" w14:textId="77777777" w:rsidR="00C545AE" w:rsidRDefault="00C545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B8220" w14:textId="77777777" w:rsidR="004C0D77" w:rsidRDefault="004C0D77" w:rsidP="00554B7A">
      <w:pPr>
        <w:spacing w:after="0" w:line="240" w:lineRule="auto"/>
      </w:pPr>
      <w:r>
        <w:separator/>
      </w:r>
    </w:p>
  </w:footnote>
  <w:footnote w:type="continuationSeparator" w:id="0">
    <w:p w14:paraId="6CD52224" w14:textId="77777777" w:rsidR="004C0D77" w:rsidRDefault="004C0D77" w:rsidP="00554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1B78" w14:textId="1E1BF093" w:rsidR="00B87484" w:rsidRDefault="00B87484" w:rsidP="00B87484">
    <w:pPr>
      <w:pStyle w:val="Sidehoved"/>
    </w:pPr>
    <w:bookmarkStart w:id="2" w:name="_Hlk66204240"/>
    <w:bookmarkStart w:id="3" w:name="_Hlk66204241"/>
    <w:bookmarkStart w:id="4" w:name="_Hlk66204329"/>
    <w:bookmarkStart w:id="5" w:name="_Hlk66204330"/>
    <w:r>
      <w:t>Fiskerikommissionen</w:t>
    </w:r>
    <w:r>
      <w:tab/>
    </w:r>
    <w:proofErr w:type="gramStart"/>
    <w:r w:rsidR="007C0D82">
      <w:t>M</w:t>
    </w:r>
    <w:r>
      <w:t>arts</w:t>
    </w:r>
    <w:proofErr w:type="gramEnd"/>
    <w:r>
      <w:t xml:space="preserve"> 2021</w:t>
    </w:r>
    <w:r>
      <w:ptab w:relativeTo="margin" w:alignment="right" w:leader="none"/>
    </w:r>
    <w:bookmarkEnd w:id="2"/>
    <w:bookmarkEnd w:id="3"/>
    <w:bookmarkEnd w:id="4"/>
    <w:bookmarkEnd w:id="5"/>
  </w:p>
  <w:p w14:paraId="27EB3CE6" w14:textId="77777777" w:rsidR="00B87484" w:rsidRDefault="00B8748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66B"/>
    <w:multiLevelType w:val="hybridMultilevel"/>
    <w:tmpl w:val="E0CED49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41B2EE5"/>
    <w:multiLevelType w:val="hybridMultilevel"/>
    <w:tmpl w:val="3348B5D0"/>
    <w:lvl w:ilvl="0" w:tplc="758E3FCE">
      <w:start w:val="3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B84113"/>
    <w:multiLevelType w:val="hybridMultilevel"/>
    <w:tmpl w:val="94DEB2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252968"/>
    <w:multiLevelType w:val="hybridMultilevel"/>
    <w:tmpl w:val="8A1A8C48"/>
    <w:lvl w:ilvl="0" w:tplc="4DBCA148">
      <w:start w:val="7"/>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E6E4E3F"/>
    <w:multiLevelType w:val="hybridMultilevel"/>
    <w:tmpl w:val="AD2A928C"/>
    <w:lvl w:ilvl="0" w:tplc="7882AB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143B0"/>
    <w:multiLevelType w:val="hybridMultilevel"/>
    <w:tmpl w:val="C1544D3C"/>
    <w:lvl w:ilvl="0" w:tplc="04060003">
      <w:start w:val="1"/>
      <w:numFmt w:val="bullet"/>
      <w:lvlText w:val="o"/>
      <w:lvlJc w:val="left"/>
      <w:pPr>
        <w:ind w:left="1500" w:hanging="360"/>
      </w:pPr>
      <w:rPr>
        <w:rFonts w:ascii="Courier New" w:hAnsi="Courier New" w:cs="Courier New"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6" w15:restartNumberingAfterBreak="0">
    <w:nsid w:val="1644553F"/>
    <w:multiLevelType w:val="hybridMultilevel"/>
    <w:tmpl w:val="9CACECE2"/>
    <w:lvl w:ilvl="0" w:tplc="ED1E2396">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461DE5"/>
    <w:multiLevelType w:val="hybridMultilevel"/>
    <w:tmpl w:val="087CF62E"/>
    <w:lvl w:ilvl="0" w:tplc="9A2ADC5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607923"/>
    <w:multiLevelType w:val="hybridMultilevel"/>
    <w:tmpl w:val="F9C0EE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AEF783B"/>
    <w:multiLevelType w:val="hybridMultilevel"/>
    <w:tmpl w:val="7458B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5C460E"/>
    <w:multiLevelType w:val="hybridMultilevel"/>
    <w:tmpl w:val="A9CED1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1561863"/>
    <w:multiLevelType w:val="hybridMultilevel"/>
    <w:tmpl w:val="87E25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2F2200"/>
    <w:multiLevelType w:val="hybridMultilevel"/>
    <w:tmpl w:val="516055CA"/>
    <w:lvl w:ilvl="0" w:tplc="0406000B">
      <w:start w:val="1"/>
      <w:numFmt w:val="bullet"/>
      <w:lvlText w:val=""/>
      <w:lvlJc w:val="left"/>
      <w:pPr>
        <w:ind w:left="2029" w:hanging="360"/>
      </w:pPr>
      <w:rPr>
        <w:rFonts w:ascii="Wingdings" w:hAnsi="Wingdings" w:hint="default"/>
      </w:rPr>
    </w:lvl>
    <w:lvl w:ilvl="1" w:tplc="9A7E52BC">
      <w:start w:val="20"/>
      <w:numFmt w:val="bullet"/>
      <w:lvlText w:val="•"/>
      <w:lvlJc w:val="left"/>
      <w:pPr>
        <w:ind w:left="3019" w:hanging="630"/>
      </w:pPr>
      <w:rPr>
        <w:rFonts w:ascii="Times New Roman" w:eastAsia="Times New Roman" w:hAnsi="Times New Roman" w:cs="Times New Roman" w:hint="default"/>
      </w:rPr>
    </w:lvl>
    <w:lvl w:ilvl="2" w:tplc="04060005" w:tentative="1">
      <w:start w:val="1"/>
      <w:numFmt w:val="bullet"/>
      <w:lvlText w:val=""/>
      <w:lvlJc w:val="left"/>
      <w:pPr>
        <w:ind w:left="3469" w:hanging="360"/>
      </w:pPr>
      <w:rPr>
        <w:rFonts w:ascii="Wingdings" w:hAnsi="Wingdings" w:hint="default"/>
      </w:rPr>
    </w:lvl>
    <w:lvl w:ilvl="3" w:tplc="04060001" w:tentative="1">
      <w:start w:val="1"/>
      <w:numFmt w:val="bullet"/>
      <w:lvlText w:val=""/>
      <w:lvlJc w:val="left"/>
      <w:pPr>
        <w:ind w:left="4189" w:hanging="360"/>
      </w:pPr>
      <w:rPr>
        <w:rFonts w:ascii="Symbol" w:hAnsi="Symbol" w:hint="default"/>
      </w:rPr>
    </w:lvl>
    <w:lvl w:ilvl="4" w:tplc="04060003" w:tentative="1">
      <w:start w:val="1"/>
      <w:numFmt w:val="bullet"/>
      <w:lvlText w:val="o"/>
      <w:lvlJc w:val="left"/>
      <w:pPr>
        <w:ind w:left="4909" w:hanging="360"/>
      </w:pPr>
      <w:rPr>
        <w:rFonts w:ascii="Courier New" w:hAnsi="Courier New" w:cs="Courier New" w:hint="default"/>
      </w:rPr>
    </w:lvl>
    <w:lvl w:ilvl="5" w:tplc="04060005" w:tentative="1">
      <w:start w:val="1"/>
      <w:numFmt w:val="bullet"/>
      <w:lvlText w:val=""/>
      <w:lvlJc w:val="left"/>
      <w:pPr>
        <w:ind w:left="5629" w:hanging="360"/>
      </w:pPr>
      <w:rPr>
        <w:rFonts w:ascii="Wingdings" w:hAnsi="Wingdings" w:hint="default"/>
      </w:rPr>
    </w:lvl>
    <w:lvl w:ilvl="6" w:tplc="04060001" w:tentative="1">
      <w:start w:val="1"/>
      <w:numFmt w:val="bullet"/>
      <w:lvlText w:val=""/>
      <w:lvlJc w:val="left"/>
      <w:pPr>
        <w:ind w:left="6349" w:hanging="360"/>
      </w:pPr>
      <w:rPr>
        <w:rFonts w:ascii="Symbol" w:hAnsi="Symbol" w:hint="default"/>
      </w:rPr>
    </w:lvl>
    <w:lvl w:ilvl="7" w:tplc="04060003" w:tentative="1">
      <w:start w:val="1"/>
      <w:numFmt w:val="bullet"/>
      <w:lvlText w:val="o"/>
      <w:lvlJc w:val="left"/>
      <w:pPr>
        <w:ind w:left="7069" w:hanging="360"/>
      </w:pPr>
      <w:rPr>
        <w:rFonts w:ascii="Courier New" w:hAnsi="Courier New" w:cs="Courier New" w:hint="default"/>
      </w:rPr>
    </w:lvl>
    <w:lvl w:ilvl="8" w:tplc="04060005" w:tentative="1">
      <w:start w:val="1"/>
      <w:numFmt w:val="bullet"/>
      <w:lvlText w:val=""/>
      <w:lvlJc w:val="left"/>
      <w:pPr>
        <w:ind w:left="7789" w:hanging="360"/>
      </w:pPr>
      <w:rPr>
        <w:rFonts w:ascii="Wingdings" w:hAnsi="Wingdings" w:hint="default"/>
      </w:rPr>
    </w:lvl>
  </w:abstractNum>
  <w:abstractNum w:abstractNumId="13" w15:restartNumberingAfterBreak="0">
    <w:nsid w:val="29351AD5"/>
    <w:multiLevelType w:val="hybridMultilevel"/>
    <w:tmpl w:val="030E84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393B96"/>
    <w:multiLevelType w:val="hybridMultilevel"/>
    <w:tmpl w:val="51CC7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989320A"/>
    <w:multiLevelType w:val="hybridMultilevel"/>
    <w:tmpl w:val="DBEA1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40212E"/>
    <w:multiLevelType w:val="hybridMultilevel"/>
    <w:tmpl w:val="2A80F736"/>
    <w:lvl w:ilvl="0" w:tplc="04060001">
      <w:start w:val="1"/>
      <w:numFmt w:val="bullet"/>
      <w:lvlText w:val=""/>
      <w:lvlJc w:val="left"/>
      <w:pPr>
        <w:ind w:left="1215" w:hanging="360"/>
      </w:pPr>
      <w:rPr>
        <w:rFonts w:ascii="Symbol" w:hAnsi="Symbol" w:hint="default"/>
      </w:rPr>
    </w:lvl>
    <w:lvl w:ilvl="1" w:tplc="04060003" w:tentative="1">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17" w15:restartNumberingAfterBreak="0">
    <w:nsid w:val="2A6E79C7"/>
    <w:multiLevelType w:val="hybridMultilevel"/>
    <w:tmpl w:val="5106BFB0"/>
    <w:lvl w:ilvl="0" w:tplc="D2386B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91AF7"/>
    <w:multiLevelType w:val="hybridMultilevel"/>
    <w:tmpl w:val="5AF27A3A"/>
    <w:lvl w:ilvl="0" w:tplc="9A2ADC5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F370CD"/>
    <w:multiLevelType w:val="hybridMultilevel"/>
    <w:tmpl w:val="0DAE3228"/>
    <w:lvl w:ilvl="0" w:tplc="C24695E6">
      <w:start w:val="500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F7F279D"/>
    <w:multiLevelType w:val="hybridMultilevel"/>
    <w:tmpl w:val="4914D6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4AA7F9F"/>
    <w:multiLevelType w:val="hybridMultilevel"/>
    <w:tmpl w:val="E3861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410DEC"/>
    <w:multiLevelType w:val="hybridMultilevel"/>
    <w:tmpl w:val="35D69DFE"/>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4D7017C4"/>
    <w:multiLevelType w:val="hybridMultilevel"/>
    <w:tmpl w:val="3B8E11B2"/>
    <w:lvl w:ilvl="0" w:tplc="4B06B6E0">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83B1025"/>
    <w:multiLevelType w:val="hybridMultilevel"/>
    <w:tmpl w:val="0C7650FE"/>
    <w:lvl w:ilvl="0" w:tplc="A0929B0C">
      <w:start w:val="1"/>
      <w:numFmt w:val="bullet"/>
      <w:lvlText w:val="•"/>
      <w:lvlJc w:val="left"/>
      <w:pPr>
        <w:tabs>
          <w:tab w:val="num" w:pos="720"/>
        </w:tabs>
        <w:ind w:left="720" w:hanging="360"/>
      </w:pPr>
      <w:rPr>
        <w:rFonts w:ascii="Arial" w:hAnsi="Arial" w:hint="default"/>
      </w:rPr>
    </w:lvl>
    <w:lvl w:ilvl="1" w:tplc="A4EA1AF8" w:tentative="1">
      <w:start w:val="1"/>
      <w:numFmt w:val="bullet"/>
      <w:lvlText w:val="•"/>
      <w:lvlJc w:val="left"/>
      <w:pPr>
        <w:tabs>
          <w:tab w:val="num" w:pos="1440"/>
        </w:tabs>
        <w:ind w:left="1440" w:hanging="360"/>
      </w:pPr>
      <w:rPr>
        <w:rFonts w:ascii="Arial" w:hAnsi="Arial" w:hint="default"/>
      </w:rPr>
    </w:lvl>
    <w:lvl w:ilvl="2" w:tplc="EC9A8168" w:tentative="1">
      <w:start w:val="1"/>
      <w:numFmt w:val="bullet"/>
      <w:lvlText w:val="•"/>
      <w:lvlJc w:val="left"/>
      <w:pPr>
        <w:tabs>
          <w:tab w:val="num" w:pos="2160"/>
        </w:tabs>
        <w:ind w:left="2160" w:hanging="360"/>
      </w:pPr>
      <w:rPr>
        <w:rFonts w:ascii="Arial" w:hAnsi="Arial" w:hint="default"/>
      </w:rPr>
    </w:lvl>
    <w:lvl w:ilvl="3" w:tplc="F392B1EE" w:tentative="1">
      <w:start w:val="1"/>
      <w:numFmt w:val="bullet"/>
      <w:lvlText w:val="•"/>
      <w:lvlJc w:val="left"/>
      <w:pPr>
        <w:tabs>
          <w:tab w:val="num" w:pos="2880"/>
        </w:tabs>
        <w:ind w:left="2880" w:hanging="360"/>
      </w:pPr>
      <w:rPr>
        <w:rFonts w:ascii="Arial" w:hAnsi="Arial" w:hint="default"/>
      </w:rPr>
    </w:lvl>
    <w:lvl w:ilvl="4" w:tplc="643CE4A0" w:tentative="1">
      <w:start w:val="1"/>
      <w:numFmt w:val="bullet"/>
      <w:lvlText w:val="•"/>
      <w:lvlJc w:val="left"/>
      <w:pPr>
        <w:tabs>
          <w:tab w:val="num" w:pos="3600"/>
        </w:tabs>
        <w:ind w:left="3600" w:hanging="360"/>
      </w:pPr>
      <w:rPr>
        <w:rFonts w:ascii="Arial" w:hAnsi="Arial" w:hint="default"/>
      </w:rPr>
    </w:lvl>
    <w:lvl w:ilvl="5" w:tplc="51D6E6FA" w:tentative="1">
      <w:start w:val="1"/>
      <w:numFmt w:val="bullet"/>
      <w:lvlText w:val="•"/>
      <w:lvlJc w:val="left"/>
      <w:pPr>
        <w:tabs>
          <w:tab w:val="num" w:pos="4320"/>
        </w:tabs>
        <w:ind w:left="4320" w:hanging="360"/>
      </w:pPr>
      <w:rPr>
        <w:rFonts w:ascii="Arial" w:hAnsi="Arial" w:hint="default"/>
      </w:rPr>
    </w:lvl>
    <w:lvl w:ilvl="6" w:tplc="96D032CE" w:tentative="1">
      <w:start w:val="1"/>
      <w:numFmt w:val="bullet"/>
      <w:lvlText w:val="•"/>
      <w:lvlJc w:val="left"/>
      <w:pPr>
        <w:tabs>
          <w:tab w:val="num" w:pos="5040"/>
        </w:tabs>
        <w:ind w:left="5040" w:hanging="360"/>
      </w:pPr>
      <w:rPr>
        <w:rFonts w:ascii="Arial" w:hAnsi="Arial" w:hint="default"/>
      </w:rPr>
    </w:lvl>
    <w:lvl w:ilvl="7" w:tplc="6246890A" w:tentative="1">
      <w:start w:val="1"/>
      <w:numFmt w:val="bullet"/>
      <w:lvlText w:val="•"/>
      <w:lvlJc w:val="left"/>
      <w:pPr>
        <w:tabs>
          <w:tab w:val="num" w:pos="5760"/>
        </w:tabs>
        <w:ind w:left="5760" w:hanging="360"/>
      </w:pPr>
      <w:rPr>
        <w:rFonts w:ascii="Arial" w:hAnsi="Arial" w:hint="default"/>
      </w:rPr>
    </w:lvl>
    <w:lvl w:ilvl="8" w:tplc="D88043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6F5EE4"/>
    <w:multiLevelType w:val="hybridMultilevel"/>
    <w:tmpl w:val="C19046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D4B3F6C"/>
    <w:multiLevelType w:val="hybridMultilevel"/>
    <w:tmpl w:val="DB8869C6"/>
    <w:lvl w:ilvl="0" w:tplc="B1A8F85E">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6337957"/>
    <w:multiLevelType w:val="hybridMultilevel"/>
    <w:tmpl w:val="C0B0BF54"/>
    <w:lvl w:ilvl="0" w:tplc="03D20C58">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8513CE1"/>
    <w:multiLevelType w:val="hybridMultilevel"/>
    <w:tmpl w:val="167295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8C22EBD"/>
    <w:multiLevelType w:val="hybridMultilevel"/>
    <w:tmpl w:val="558EA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9D01864"/>
    <w:multiLevelType w:val="hybridMultilevel"/>
    <w:tmpl w:val="760C2CD0"/>
    <w:lvl w:ilvl="0" w:tplc="5B7C18B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2B13CE8"/>
    <w:multiLevelType w:val="hybridMultilevel"/>
    <w:tmpl w:val="83D404D4"/>
    <w:lvl w:ilvl="0" w:tplc="7646D6D2">
      <w:start w:val="7"/>
      <w:numFmt w:val="bullet"/>
      <w:lvlText w:val=""/>
      <w:lvlJc w:val="left"/>
      <w:pPr>
        <w:ind w:left="765" w:hanging="360"/>
      </w:pPr>
      <w:rPr>
        <w:rFonts w:ascii="Symbol" w:eastAsiaTheme="minorHAnsi" w:hAnsi="Symbol" w:cstheme="minorBid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2" w15:restartNumberingAfterBreak="0">
    <w:nsid w:val="74CD37DB"/>
    <w:multiLevelType w:val="hybridMultilevel"/>
    <w:tmpl w:val="D67AA6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6672349"/>
    <w:multiLevelType w:val="hybridMultilevel"/>
    <w:tmpl w:val="075005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9D3686C"/>
    <w:multiLevelType w:val="hybridMultilevel"/>
    <w:tmpl w:val="8862957C"/>
    <w:lvl w:ilvl="0" w:tplc="D946EAFA">
      <w:numFmt w:val="bullet"/>
      <w:lvlText w:val="-"/>
      <w:lvlJc w:val="left"/>
      <w:pPr>
        <w:ind w:left="720" w:hanging="360"/>
      </w:pPr>
      <w:rPr>
        <w:rFonts w:ascii="Calibri" w:eastAsiaTheme="minorHAnsi" w:hAnsi="Calibri" w:cs="Calibr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AC24804"/>
    <w:multiLevelType w:val="hybridMultilevel"/>
    <w:tmpl w:val="EB0E1342"/>
    <w:lvl w:ilvl="0" w:tplc="B1A8F85E">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CEC4A62"/>
    <w:multiLevelType w:val="hybridMultilevel"/>
    <w:tmpl w:val="EBBA0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6C4BE6"/>
    <w:multiLevelType w:val="hybridMultilevel"/>
    <w:tmpl w:val="B18A77A4"/>
    <w:lvl w:ilvl="0" w:tplc="A5B48E68">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EEF78EA"/>
    <w:multiLevelType w:val="hybridMultilevel"/>
    <w:tmpl w:val="259665A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34"/>
  </w:num>
  <w:num w:numId="3">
    <w:abstractNumId w:val="10"/>
  </w:num>
  <w:num w:numId="4">
    <w:abstractNumId w:val="3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26"/>
  </w:num>
  <w:num w:numId="9">
    <w:abstractNumId w:val="35"/>
  </w:num>
  <w:num w:numId="10">
    <w:abstractNumId w:val="15"/>
  </w:num>
  <w:num w:numId="11">
    <w:abstractNumId w:val="29"/>
  </w:num>
  <w:num w:numId="12">
    <w:abstractNumId w:val="36"/>
  </w:num>
  <w:num w:numId="13">
    <w:abstractNumId w:val="5"/>
  </w:num>
  <w:num w:numId="14">
    <w:abstractNumId w:val="22"/>
  </w:num>
  <w:num w:numId="15">
    <w:abstractNumId w:val="0"/>
  </w:num>
  <w:num w:numId="16">
    <w:abstractNumId w:val="31"/>
  </w:num>
  <w:num w:numId="17">
    <w:abstractNumId w:val="18"/>
  </w:num>
  <w:num w:numId="18">
    <w:abstractNumId w:val="7"/>
  </w:num>
  <w:num w:numId="19">
    <w:abstractNumId w:val="30"/>
  </w:num>
  <w:num w:numId="20">
    <w:abstractNumId w:val="20"/>
  </w:num>
  <w:num w:numId="21">
    <w:abstractNumId w:val="28"/>
  </w:num>
  <w:num w:numId="22">
    <w:abstractNumId w:val="32"/>
  </w:num>
  <w:num w:numId="23">
    <w:abstractNumId w:val="6"/>
  </w:num>
  <w:num w:numId="24">
    <w:abstractNumId w:val="2"/>
  </w:num>
  <w:num w:numId="25">
    <w:abstractNumId w:val="1"/>
  </w:num>
  <w:num w:numId="26">
    <w:abstractNumId w:val="19"/>
  </w:num>
  <w:num w:numId="27">
    <w:abstractNumId w:val="25"/>
  </w:num>
  <w:num w:numId="28">
    <w:abstractNumId w:val="27"/>
  </w:num>
  <w:num w:numId="29">
    <w:abstractNumId w:val="24"/>
  </w:num>
  <w:num w:numId="30">
    <w:abstractNumId w:val="33"/>
  </w:num>
  <w:num w:numId="31">
    <w:abstractNumId w:val="16"/>
  </w:num>
  <w:num w:numId="32">
    <w:abstractNumId w:val="38"/>
  </w:num>
  <w:num w:numId="33">
    <w:abstractNumId w:val="12"/>
  </w:num>
  <w:num w:numId="34">
    <w:abstractNumId w:val="9"/>
  </w:num>
  <w:num w:numId="35">
    <w:abstractNumId w:val="23"/>
  </w:num>
  <w:num w:numId="36">
    <w:abstractNumId w:val="3"/>
  </w:num>
  <w:num w:numId="37">
    <w:abstractNumId w:val="11"/>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E0"/>
    <w:rsid w:val="00024A1D"/>
    <w:rsid w:val="000344FE"/>
    <w:rsid w:val="0004407D"/>
    <w:rsid w:val="000522BB"/>
    <w:rsid w:val="000655BC"/>
    <w:rsid w:val="00067E99"/>
    <w:rsid w:val="00071DCF"/>
    <w:rsid w:val="00073901"/>
    <w:rsid w:val="00090228"/>
    <w:rsid w:val="000939A4"/>
    <w:rsid w:val="00093C62"/>
    <w:rsid w:val="0009441D"/>
    <w:rsid w:val="00096C2B"/>
    <w:rsid w:val="000A0478"/>
    <w:rsid w:val="000C146B"/>
    <w:rsid w:val="000C48BF"/>
    <w:rsid w:val="000E355E"/>
    <w:rsid w:val="001047BF"/>
    <w:rsid w:val="00105EF0"/>
    <w:rsid w:val="0010636B"/>
    <w:rsid w:val="00111440"/>
    <w:rsid w:val="00122808"/>
    <w:rsid w:val="0012311A"/>
    <w:rsid w:val="001245EE"/>
    <w:rsid w:val="0012713C"/>
    <w:rsid w:val="00146F8F"/>
    <w:rsid w:val="00147C56"/>
    <w:rsid w:val="0015770A"/>
    <w:rsid w:val="00164D52"/>
    <w:rsid w:val="00166D4A"/>
    <w:rsid w:val="001729B8"/>
    <w:rsid w:val="00182D9F"/>
    <w:rsid w:val="0019137A"/>
    <w:rsid w:val="00194977"/>
    <w:rsid w:val="001A5677"/>
    <w:rsid w:val="001C3E99"/>
    <w:rsid w:val="001C733E"/>
    <w:rsid w:val="001D31BC"/>
    <w:rsid w:val="001E1BEC"/>
    <w:rsid w:val="001F0578"/>
    <w:rsid w:val="001F07CD"/>
    <w:rsid w:val="001F2F66"/>
    <w:rsid w:val="001F349C"/>
    <w:rsid w:val="00200151"/>
    <w:rsid w:val="0020057C"/>
    <w:rsid w:val="00211103"/>
    <w:rsid w:val="00215C23"/>
    <w:rsid w:val="002210E7"/>
    <w:rsid w:val="00241CD3"/>
    <w:rsid w:val="00242419"/>
    <w:rsid w:val="00250A5E"/>
    <w:rsid w:val="00263AA5"/>
    <w:rsid w:val="00271D62"/>
    <w:rsid w:val="0027618E"/>
    <w:rsid w:val="002835F5"/>
    <w:rsid w:val="002868D0"/>
    <w:rsid w:val="0029627B"/>
    <w:rsid w:val="002A2251"/>
    <w:rsid w:val="002B03AB"/>
    <w:rsid w:val="002B1A03"/>
    <w:rsid w:val="002D10B9"/>
    <w:rsid w:val="002D1C68"/>
    <w:rsid w:val="002D5E8E"/>
    <w:rsid w:val="002D61F9"/>
    <w:rsid w:val="002E6911"/>
    <w:rsid w:val="002F24CE"/>
    <w:rsid w:val="00307027"/>
    <w:rsid w:val="00314291"/>
    <w:rsid w:val="00323891"/>
    <w:rsid w:val="00323AD5"/>
    <w:rsid w:val="00341567"/>
    <w:rsid w:val="003510F4"/>
    <w:rsid w:val="00352063"/>
    <w:rsid w:val="00376CF8"/>
    <w:rsid w:val="003A1115"/>
    <w:rsid w:val="003A51F1"/>
    <w:rsid w:val="003B1430"/>
    <w:rsid w:val="003B3C93"/>
    <w:rsid w:val="003B40BF"/>
    <w:rsid w:val="003B5A1D"/>
    <w:rsid w:val="003B7641"/>
    <w:rsid w:val="003E5CC8"/>
    <w:rsid w:val="003F336B"/>
    <w:rsid w:val="003F4710"/>
    <w:rsid w:val="00400B25"/>
    <w:rsid w:val="00404D32"/>
    <w:rsid w:val="00405AE0"/>
    <w:rsid w:val="00416660"/>
    <w:rsid w:val="004210C0"/>
    <w:rsid w:val="004211B6"/>
    <w:rsid w:val="004214B5"/>
    <w:rsid w:val="00424324"/>
    <w:rsid w:val="00435A9F"/>
    <w:rsid w:val="00441BCD"/>
    <w:rsid w:val="00446331"/>
    <w:rsid w:val="00446FC3"/>
    <w:rsid w:val="004504B6"/>
    <w:rsid w:val="00454B70"/>
    <w:rsid w:val="00457425"/>
    <w:rsid w:val="0046055F"/>
    <w:rsid w:val="004639CF"/>
    <w:rsid w:val="00475ED2"/>
    <w:rsid w:val="0047607C"/>
    <w:rsid w:val="00477845"/>
    <w:rsid w:val="00487F7A"/>
    <w:rsid w:val="004B6862"/>
    <w:rsid w:val="004C0BD3"/>
    <w:rsid w:val="004C0D77"/>
    <w:rsid w:val="004D1259"/>
    <w:rsid w:val="004D1289"/>
    <w:rsid w:val="004D6BCA"/>
    <w:rsid w:val="004E08D7"/>
    <w:rsid w:val="004E3139"/>
    <w:rsid w:val="004E4E40"/>
    <w:rsid w:val="004E5586"/>
    <w:rsid w:val="004E71E9"/>
    <w:rsid w:val="004F2E25"/>
    <w:rsid w:val="004F31F7"/>
    <w:rsid w:val="00500E7D"/>
    <w:rsid w:val="00501426"/>
    <w:rsid w:val="005037A7"/>
    <w:rsid w:val="00505A65"/>
    <w:rsid w:val="005119AF"/>
    <w:rsid w:val="00516CF6"/>
    <w:rsid w:val="005255D2"/>
    <w:rsid w:val="00525953"/>
    <w:rsid w:val="00554B7A"/>
    <w:rsid w:val="005632E0"/>
    <w:rsid w:val="00570F41"/>
    <w:rsid w:val="00574E80"/>
    <w:rsid w:val="0057613C"/>
    <w:rsid w:val="005827DB"/>
    <w:rsid w:val="00582AEB"/>
    <w:rsid w:val="00586F46"/>
    <w:rsid w:val="0059641B"/>
    <w:rsid w:val="005C044E"/>
    <w:rsid w:val="005C5A15"/>
    <w:rsid w:val="005C5C48"/>
    <w:rsid w:val="005D1D3B"/>
    <w:rsid w:val="005E5ADB"/>
    <w:rsid w:val="005F3FC1"/>
    <w:rsid w:val="005F51F8"/>
    <w:rsid w:val="005F76A3"/>
    <w:rsid w:val="00603BF9"/>
    <w:rsid w:val="006177AE"/>
    <w:rsid w:val="00626D7E"/>
    <w:rsid w:val="0062729B"/>
    <w:rsid w:val="006406C6"/>
    <w:rsid w:val="00652960"/>
    <w:rsid w:val="00652BB8"/>
    <w:rsid w:val="00666093"/>
    <w:rsid w:val="0067678F"/>
    <w:rsid w:val="00677A68"/>
    <w:rsid w:val="00680849"/>
    <w:rsid w:val="00682B0A"/>
    <w:rsid w:val="00683C1F"/>
    <w:rsid w:val="00693A5B"/>
    <w:rsid w:val="00694E16"/>
    <w:rsid w:val="00695F13"/>
    <w:rsid w:val="006A231D"/>
    <w:rsid w:val="006B1C10"/>
    <w:rsid w:val="006B3561"/>
    <w:rsid w:val="006B4565"/>
    <w:rsid w:val="006B7AEC"/>
    <w:rsid w:val="006B7BBA"/>
    <w:rsid w:val="006E3A69"/>
    <w:rsid w:val="00702024"/>
    <w:rsid w:val="00727126"/>
    <w:rsid w:val="007274ED"/>
    <w:rsid w:val="00730492"/>
    <w:rsid w:val="00732A54"/>
    <w:rsid w:val="00733A0E"/>
    <w:rsid w:val="00734448"/>
    <w:rsid w:val="00751546"/>
    <w:rsid w:val="007529EC"/>
    <w:rsid w:val="007534E8"/>
    <w:rsid w:val="0079153C"/>
    <w:rsid w:val="00796AE9"/>
    <w:rsid w:val="007A051B"/>
    <w:rsid w:val="007A0A18"/>
    <w:rsid w:val="007B2733"/>
    <w:rsid w:val="007B4EC2"/>
    <w:rsid w:val="007C0D82"/>
    <w:rsid w:val="007C5EC3"/>
    <w:rsid w:val="007C7E1F"/>
    <w:rsid w:val="007D181C"/>
    <w:rsid w:val="007D3793"/>
    <w:rsid w:val="007F15F8"/>
    <w:rsid w:val="007F2811"/>
    <w:rsid w:val="007F708E"/>
    <w:rsid w:val="00800E40"/>
    <w:rsid w:val="00802656"/>
    <w:rsid w:val="0081081A"/>
    <w:rsid w:val="00813ACB"/>
    <w:rsid w:val="00826618"/>
    <w:rsid w:val="0082794E"/>
    <w:rsid w:val="008319B1"/>
    <w:rsid w:val="0083790E"/>
    <w:rsid w:val="00837DD5"/>
    <w:rsid w:val="00843B40"/>
    <w:rsid w:val="0084463E"/>
    <w:rsid w:val="00871540"/>
    <w:rsid w:val="00887032"/>
    <w:rsid w:val="00895C60"/>
    <w:rsid w:val="008A2792"/>
    <w:rsid w:val="008A5EEC"/>
    <w:rsid w:val="008A6C68"/>
    <w:rsid w:val="008A6FF3"/>
    <w:rsid w:val="008B3541"/>
    <w:rsid w:val="008B5F8F"/>
    <w:rsid w:val="008C33E8"/>
    <w:rsid w:val="008C3F02"/>
    <w:rsid w:val="008C5F37"/>
    <w:rsid w:val="008D1814"/>
    <w:rsid w:val="008D2B0D"/>
    <w:rsid w:val="008F0868"/>
    <w:rsid w:val="008F1FB8"/>
    <w:rsid w:val="008F3213"/>
    <w:rsid w:val="008F5B16"/>
    <w:rsid w:val="009005E2"/>
    <w:rsid w:val="00902190"/>
    <w:rsid w:val="00912B79"/>
    <w:rsid w:val="009138E6"/>
    <w:rsid w:val="009164F1"/>
    <w:rsid w:val="00917B21"/>
    <w:rsid w:val="0092246F"/>
    <w:rsid w:val="00930C3E"/>
    <w:rsid w:val="00930FE2"/>
    <w:rsid w:val="009333DD"/>
    <w:rsid w:val="00942E32"/>
    <w:rsid w:val="009505B4"/>
    <w:rsid w:val="009517F5"/>
    <w:rsid w:val="00953580"/>
    <w:rsid w:val="00962A31"/>
    <w:rsid w:val="00966F60"/>
    <w:rsid w:val="00973E59"/>
    <w:rsid w:val="0097649E"/>
    <w:rsid w:val="00983B36"/>
    <w:rsid w:val="00987616"/>
    <w:rsid w:val="0099249F"/>
    <w:rsid w:val="00996851"/>
    <w:rsid w:val="009B1F6C"/>
    <w:rsid w:val="009C0B63"/>
    <w:rsid w:val="009C302C"/>
    <w:rsid w:val="009C3F39"/>
    <w:rsid w:val="009D45A3"/>
    <w:rsid w:val="009D6518"/>
    <w:rsid w:val="009E12B3"/>
    <w:rsid w:val="009E5D08"/>
    <w:rsid w:val="009F5E08"/>
    <w:rsid w:val="00A076F7"/>
    <w:rsid w:val="00A1084C"/>
    <w:rsid w:val="00A15892"/>
    <w:rsid w:val="00A31437"/>
    <w:rsid w:val="00A3306B"/>
    <w:rsid w:val="00A333B7"/>
    <w:rsid w:val="00A46551"/>
    <w:rsid w:val="00A562F8"/>
    <w:rsid w:val="00A6684C"/>
    <w:rsid w:val="00A86B28"/>
    <w:rsid w:val="00A92ADD"/>
    <w:rsid w:val="00A960A8"/>
    <w:rsid w:val="00AA36D6"/>
    <w:rsid w:val="00AB040F"/>
    <w:rsid w:val="00AB4B22"/>
    <w:rsid w:val="00AC4345"/>
    <w:rsid w:val="00AD182F"/>
    <w:rsid w:val="00AE7661"/>
    <w:rsid w:val="00B02DBE"/>
    <w:rsid w:val="00B06F9F"/>
    <w:rsid w:val="00B17965"/>
    <w:rsid w:val="00B209B8"/>
    <w:rsid w:val="00B21F02"/>
    <w:rsid w:val="00B3335F"/>
    <w:rsid w:val="00B336DB"/>
    <w:rsid w:val="00B42082"/>
    <w:rsid w:val="00B60959"/>
    <w:rsid w:val="00B756F3"/>
    <w:rsid w:val="00B7674B"/>
    <w:rsid w:val="00B81167"/>
    <w:rsid w:val="00B85D8F"/>
    <w:rsid w:val="00B87484"/>
    <w:rsid w:val="00B90BCC"/>
    <w:rsid w:val="00BA31E0"/>
    <w:rsid w:val="00BB262C"/>
    <w:rsid w:val="00BC014A"/>
    <w:rsid w:val="00BC3AF1"/>
    <w:rsid w:val="00BD3602"/>
    <w:rsid w:val="00BE19E2"/>
    <w:rsid w:val="00BE3B35"/>
    <w:rsid w:val="00BE6EF0"/>
    <w:rsid w:val="00C11281"/>
    <w:rsid w:val="00C11C4A"/>
    <w:rsid w:val="00C23ECE"/>
    <w:rsid w:val="00C401B0"/>
    <w:rsid w:val="00C51669"/>
    <w:rsid w:val="00C545AE"/>
    <w:rsid w:val="00C57BCD"/>
    <w:rsid w:val="00C7504D"/>
    <w:rsid w:val="00C76948"/>
    <w:rsid w:val="00C916EE"/>
    <w:rsid w:val="00CA4ED2"/>
    <w:rsid w:val="00CB0FFA"/>
    <w:rsid w:val="00CB217F"/>
    <w:rsid w:val="00CB3B91"/>
    <w:rsid w:val="00CC13A4"/>
    <w:rsid w:val="00CD79DA"/>
    <w:rsid w:val="00CF4BB5"/>
    <w:rsid w:val="00D1356A"/>
    <w:rsid w:val="00D20560"/>
    <w:rsid w:val="00D2286D"/>
    <w:rsid w:val="00D33029"/>
    <w:rsid w:val="00D34AFD"/>
    <w:rsid w:val="00D44B1B"/>
    <w:rsid w:val="00D46CAA"/>
    <w:rsid w:val="00D52731"/>
    <w:rsid w:val="00D626C4"/>
    <w:rsid w:val="00D7459B"/>
    <w:rsid w:val="00D74996"/>
    <w:rsid w:val="00D750C5"/>
    <w:rsid w:val="00D77838"/>
    <w:rsid w:val="00D80CAB"/>
    <w:rsid w:val="00D82DB5"/>
    <w:rsid w:val="00D86D07"/>
    <w:rsid w:val="00DA1D3E"/>
    <w:rsid w:val="00DB0B89"/>
    <w:rsid w:val="00DB1F15"/>
    <w:rsid w:val="00DB68A6"/>
    <w:rsid w:val="00DC2A9D"/>
    <w:rsid w:val="00DD3DE1"/>
    <w:rsid w:val="00DE090D"/>
    <w:rsid w:val="00DE35C0"/>
    <w:rsid w:val="00DF6E0D"/>
    <w:rsid w:val="00DF7A15"/>
    <w:rsid w:val="00E014F7"/>
    <w:rsid w:val="00E101E1"/>
    <w:rsid w:val="00E1287D"/>
    <w:rsid w:val="00E14AC1"/>
    <w:rsid w:val="00E16AB3"/>
    <w:rsid w:val="00E1760A"/>
    <w:rsid w:val="00E27C2E"/>
    <w:rsid w:val="00E422EE"/>
    <w:rsid w:val="00E45329"/>
    <w:rsid w:val="00E642F3"/>
    <w:rsid w:val="00E90658"/>
    <w:rsid w:val="00EA009A"/>
    <w:rsid w:val="00EA0468"/>
    <w:rsid w:val="00EA49DD"/>
    <w:rsid w:val="00EA590C"/>
    <w:rsid w:val="00EB12FF"/>
    <w:rsid w:val="00EB22E0"/>
    <w:rsid w:val="00EC2426"/>
    <w:rsid w:val="00EC5E3A"/>
    <w:rsid w:val="00EC7871"/>
    <w:rsid w:val="00ED69F3"/>
    <w:rsid w:val="00EE6050"/>
    <w:rsid w:val="00EF3002"/>
    <w:rsid w:val="00EF469B"/>
    <w:rsid w:val="00EF55D4"/>
    <w:rsid w:val="00EF5780"/>
    <w:rsid w:val="00EF6B12"/>
    <w:rsid w:val="00F0684E"/>
    <w:rsid w:val="00F07B6A"/>
    <w:rsid w:val="00F07EDD"/>
    <w:rsid w:val="00F12098"/>
    <w:rsid w:val="00F12195"/>
    <w:rsid w:val="00F13C91"/>
    <w:rsid w:val="00F16B5E"/>
    <w:rsid w:val="00F20187"/>
    <w:rsid w:val="00F3056B"/>
    <w:rsid w:val="00F34F3E"/>
    <w:rsid w:val="00F35130"/>
    <w:rsid w:val="00F52A59"/>
    <w:rsid w:val="00F60AAE"/>
    <w:rsid w:val="00F616EC"/>
    <w:rsid w:val="00F63122"/>
    <w:rsid w:val="00F6440E"/>
    <w:rsid w:val="00F726C9"/>
    <w:rsid w:val="00F73879"/>
    <w:rsid w:val="00F802B4"/>
    <w:rsid w:val="00FB5714"/>
    <w:rsid w:val="00FC1521"/>
    <w:rsid w:val="00FC51AD"/>
    <w:rsid w:val="00FC5DC2"/>
    <w:rsid w:val="00FE5498"/>
    <w:rsid w:val="00FF001F"/>
    <w:rsid w:val="00FF7A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921F2"/>
  <w15:chartTrackingRefBased/>
  <w15:docId w15:val="{789AE5FC-932D-41DB-866E-ED4F1CAD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F349C"/>
    <w:pPr>
      <w:keepNext/>
      <w:keepLines/>
      <w:spacing w:before="240" w:after="0" w:line="276" w:lineRule="auto"/>
      <w:outlineLvl w:val="0"/>
    </w:pPr>
    <w:rPr>
      <w:rFonts w:ascii="Times New Roman" w:eastAsiaTheme="majorEastAsia" w:hAnsi="Times New Roman" w:cstheme="majorBidi"/>
      <w:b/>
      <w:color w:val="000000" w:themeColor="text1"/>
      <w:sz w:val="24"/>
      <w:szCs w:val="32"/>
    </w:rPr>
  </w:style>
  <w:style w:type="paragraph" w:styleId="Overskrift2">
    <w:name w:val="heading 2"/>
    <w:basedOn w:val="Normal"/>
    <w:next w:val="Normal"/>
    <w:link w:val="Overskrift2Tegn"/>
    <w:uiPriority w:val="9"/>
    <w:unhideWhenUsed/>
    <w:qFormat/>
    <w:rsid w:val="00211103"/>
    <w:pPr>
      <w:keepNext/>
      <w:keepLines/>
      <w:spacing w:before="40" w:after="0" w:line="276" w:lineRule="auto"/>
      <w:outlineLvl w:val="1"/>
    </w:pPr>
    <w:rPr>
      <w:rFonts w:ascii="Times New Roman" w:eastAsiaTheme="majorEastAsia" w:hAnsi="Times New Roman" w:cstheme="majorBidi"/>
      <w:b/>
      <w:i/>
      <w:sz w:val="24"/>
      <w:szCs w:val="26"/>
    </w:rPr>
  </w:style>
  <w:style w:type="paragraph" w:styleId="Overskrift3">
    <w:name w:val="heading 3"/>
    <w:basedOn w:val="Normal"/>
    <w:next w:val="Normal"/>
    <w:link w:val="Overskrift3Tegn"/>
    <w:uiPriority w:val="9"/>
    <w:unhideWhenUsed/>
    <w:qFormat/>
    <w:rsid w:val="001F349C"/>
    <w:pPr>
      <w:keepNext/>
      <w:keepLines/>
      <w:spacing w:before="40" w:after="0" w:line="276" w:lineRule="auto"/>
      <w:outlineLvl w:val="2"/>
    </w:pPr>
    <w:rPr>
      <w:rFonts w:ascii="Times New Roman" w:eastAsiaTheme="majorEastAsia" w:hAnsi="Times New Roman" w:cstheme="majorBidi"/>
      <w:i/>
      <w:color w:val="000000" w:themeColor="text1"/>
      <w:sz w:val="24"/>
      <w:szCs w:val="24"/>
    </w:rPr>
  </w:style>
  <w:style w:type="paragraph" w:styleId="Overskrift4">
    <w:name w:val="heading 4"/>
    <w:basedOn w:val="Normal"/>
    <w:next w:val="Normal"/>
    <w:link w:val="Overskrift4Tegn"/>
    <w:uiPriority w:val="9"/>
    <w:unhideWhenUsed/>
    <w:qFormat/>
    <w:rsid w:val="001F349C"/>
    <w:pPr>
      <w:keepNext/>
      <w:keepLines/>
      <w:spacing w:before="40" w:after="0"/>
      <w:outlineLvl w:val="3"/>
    </w:pPr>
    <w:rPr>
      <w:rFonts w:ascii="Times New Roman" w:eastAsiaTheme="majorEastAsia" w:hAnsi="Times New Roman" w:cstheme="majorBidi"/>
      <w:b/>
      <w:i/>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271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2713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2713C"/>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2713C"/>
    <w:rPr>
      <w:rFonts w:eastAsiaTheme="minorEastAsia"/>
      <w:color w:val="5A5A5A" w:themeColor="text1" w:themeTint="A5"/>
      <w:spacing w:val="15"/>
    </w:rPr>
  </w:style>
  <w:style w:type="paragraph" w:styleId="Listeafsnit">
    <w:name w:val="List Paragraph"/>
    <w:basedOn w:val="Normal"/>
    <w:uiPriority w:val="34"/>
    <w:qFormat/>
    <w:rsid w:val="0012713C"/>
    <w:pPr>
      <w:ind w:left="720"/>
      <w:contextualSpacing/>
    </w:pPr>
  </w:style>
  <w:style w:type="character" w:styleId="Kommentarhenvisning">
    <w:name w:val="annotation reference"/>
    <w:basedOn w:val="Standardskrifttypeiafsnit"/>
    <w:uiPriority w:val="99"/>
    <w:semiHidden/>
    <w:unhideWhenUsed/>
    <w:rsid w:val="003B5A1D"/>
    <w:rPr>
      <w:sz w:val="16"/>
      <w:szCs w:val="16"/>
    </w:rPr>
  </w:style>
  <w:style w:type="paragraph" w:styleId="Kommentartekst">
    <w:name w:val="annotation text"/>
    <w:basedOn w:val="Normal"/>
    <w:link w:val="KommentartekstTegn"/>
    <w:uiPriority w:val="99"/>
    <w:semiHidden/>
    <w:unhideWhenUsed/>
    <w:rsid w:val="003B5A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B5A1D"/>
    <w:rPr>
      <w:sz w:val="20"/>
      <w:szCs w:val="20"/>
    </w:rPr>
  </w:style>
  <w:style w:type="paragraph" w:styleId="Kommentaremne">
    <w:name w:val="annotation subject"/>
    <w:basedOn w:val="Kommentartekst"/>
    <w:next w:val="Kommentartekst"/>
    <w:link w:val="KommentaremneTegn"/>
    <w:uiPriority w:val="99"/>
    <w:semiHidden/>
    <w:unhideWhenUsed/>
    <w:rsid w:val="003B5A1D"/>
    <w:rPr>
      <w:b/>
      <w:bCs/>
    </w:rPr>
  </w:style>
  <w:style w:type="character" w:customStyle="1" w:styleId="KommentaremneTegn">
    <w:name w:val="Kommentaremne Tegn"/>
    <w:basedOn w:val="KommentartekstTegn"/>
    <w:link w:val="Kommentaremne"/>
    <w:uiPriority w:val="99"/>
    <w:semiHidden/>
    <w:rsid w:val="003B5A1D"/>
    <w:rPr>
      <w:b/>
      <w:bCs/>
      <w:sz w:val="20"/>
      <w:szCs w:val="20"/>
    </w:rPr>
  </w:style>
  <w:style w:type="paragraph" w:styleId="Markeringsbobletekst">
    <w:name w:val="Balloon Text"/>
    <w:basedOn w:val="Normal"/>
    <w:link w:val="MarkeringsbobletekstTegn"/>
    <w:uiPriority w:val="99"/>
    <w:semiHidden/>
    <w:unhideWhenUsed/>
    <w:rsid w:val="003B5A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5A1D"/>
    <w:rPr>
      <w:rFonts w:ascii="Segoe UI" w:hAnsi="Segoe UI" w:cs="Segoe UI"/>
      <w:sz w:val="18"/>
      <w:szCs w:val="18"/>
    </w:rPr>
  </w:style>
  <w:style w:type="paragraph" w:styleId="Citat">
    <w:name w:val="Quote"/>
    <w:basedOn w:val="Normal"/>
    <w:next w:val="Normal"/>
    <w:link w:val="CitatTegn"/>
    <w:uiPriority w:val="29"/>
    <w:qFormat/>
    <w:rsid w:val="00E1287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E1287D"/>
    <w:rPr>
      <w:i/>
      <w:iCs/>
      <w:color w:val="404040" w:themeColor="text1" w:themeTint="BF"/>
    </w:rPr>
  </w:style>
  <w:style w:type="paragraph" w:styleId="Sidehoved">
    <w:name w:val="header"/>
    <w:basedOn w:val="Normal"/>
    <w:link w:val="SidehovedTegn"/>
    <w:uiPriority w:val="99"/>
    <w:unhideWhenUsed/>
    <w:rsid w:val="00554B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B7A"/>
  </w:style>
  <w:style w:type="paragraph" w:styleId="Sidefod">
    <w:name w:val="footer"/>
    <w:basedOn w:val="Normal"/>
    <w:link w:val="SidefodTegn"/>
    <w:uiPriority w:val="99"/>
    <w:unhideWhenUsed/>
    <w:rsid w:val="00554B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B7A"/>
  </w:style>
  <w:style w:type="table" w:styleId="Tabel-Gitter">
    <w:name w:val="Table Grid"/>
    <w:basedOn w:val="Tabel-Normal"/>
    <w:uiPriority w:val="39"/>
    <w:rsid w:val="003B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4">
    <w:name w:val="Plain Table 4"/>
    <w:basedOn w:val="Tabel-Normal"/>
    <w:uiPriority w:val="44"/>
    <w:rsid w:val="006B45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6B45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verskrift1Tegn">
    <w:name w:val="Overskrift 1 Tegn"/>
    <w:basedOn w:val="Standardskrifttypeiafsnit"/>
    <w:link w:val="Overskrift1"/>
    <w:uiPriority w:val="9"/>
    <w:rsid w:val="001F349C"/>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typeiafsnit"/>
    <w:link w:val="Overskrift2"/>
    <w:uiPriority w:val="9"/>
    <w:rsid w:val="00211103"/>
    <w:rPr>
      <w:rFonts w:ascii="Times New Roman" w:eastAsiaTheme="majorEastAsia" w:hAnsi="Times New Roman" w:cstheme="majorBidi"/>
      <w:b/>
      <w:i/>
      <w:sz w:val="24"/>
      <w:szCs w:val="26"/>
    </w:rPr>
  </w:style>
  <w:style w:type="character" w:customStyle="1" w:styleId="Overskrift3Tegn">
    <w:name w:val="Overskrift 3 Tegn"/>
    <w:basedOn w:val="Standardskrifttypeiafsnit"/>
    <w:link w:val="Overskrift3"/>
    <w:uiPriority w:val="9"/>
    <w:rsid w:val="001F349C"/>
    <w:rPr>
      <w:rFonts w:ascii="Times New Roman" w:eastAsiaTheme="majorEastAsia" w:hAnsi="Times New Roman" w:cstheme="majorBidi"/>
      <w:i/>
      <w:color w:val="000000" w:themeColor="text1"/>
      <w:sz w:val="24"/>
      <w:szCs w:val="24"/>
    </w:rPr>
  </w:style>
  <w:style w:type="numbering" w:customStyle="1" w:styleId="Ingenoversigt1">
    <w:name w:val="Ingen oversigt1"/>
    <w:next w:val="Ingenoversigt"/>
    <w:uiPriority w:val="99"/>
    <w:semiHidden/>
    <w:unhideWhenUsed/>
    <w:rsid w:val="00F6440E"/>
  </w:style>
  <w:style w:type="character" w:styleId="Pladsholdertekst">
    <w:name w:val="Placeholder Text"/>
    <w:basedOn w:val="Standardskrifttypeiafsnit"/>
    <w:uiPriority w:val="99"/>
    <w:semiHidden/>
    <w:rsid w:val="00F6440E"/>
    <w:rPr>
      <w:color w:val="808080"/>
    </w:rPr>
  </w:style>
  <w:style w:type="paragraph" w:customStyle="1" w:styleId="Lillev">
    <w:name w:val="Lille v"/>
    <w:basedOn w:val="Sidehoved"/>
    <w:link w:val="Lille1Tegn"/>
    <w:qFormat/>
    <w:rsid w:val="00F6440E"/>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6440E"/>
    <w:rPr>
      <w:rFonts w:ascii="Arial" w:eastAsia="Times New Roman" w:hAnsi="Arial" w:cs="Times New Roman"/>
      <w:sz w:val="14"/>
      <w:szCs w:val="24"/>
    </w:rPr>
  </w:style>
  <w:style w:type="paragraph" w:customStyle="1" w:styleId="Lille">
    <w:name w:val="Lille"/>
    <w:basedOn w:val="Normal"/>
    <w:link w:val="LilleTegn"/>
    <w:rsid w:val="00F6440E"/>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F6440E"/>
    <w:rPr>
      <w:rFonts w:ascii="Arial" w:eastAsia="Times New Roman" w:hAnsi="Arial" w:cs="Times New Roman"/>
      <w:sz w:val="14"/>
      <w:szCs w:val="24"/>
    </w:rPr>
  </w:style>
  <w:style w:type="character" w:styleId="Sidetal">
    <w:name w:val="page number"/>
    <w:rsid w:val="00F6440E"/>
    <w:rPr>
      <w:rFonts w:ascii="Arial" w:hAnsi="Arial"/>
      <w:sz w:val="14"/>
    </w:rPr>
  </w:style>
  <w:style w:type="paragraph" w:customStyle="1" w:styleId="Notat">
    <w:name w:val="Notat"/>
    <w:basedOn w:val="Normal"/>
    <w:rsid w:val="00F6440E"/>
    <w:pPr>
      <w:spacing w:after="0" w:line="280" w:lineRule="atLeast"/>
      <w:jc w:val="both"/>
    </w:pPr>
    <w:rPr>
      <w:rFonts w:ascii="Arial" w:eastAsia="Times New Roman" w:hAnsi="Arial" w:cs="Times New Roman"/>
      <w:b/>
      <w:sz w:val="28"/>
      <w:szCs w:val="24"/>
    </w:rPr>
  </w:style>
  <w:style w:type="paragraph" w:styleId="Billedtekst">
    <w:name w:val="caption"/>
    <w:basedOn w:val="Normal"/>
    <w:next w:val="Normal"/>
    <w:uiPriority w:val="35"/>
    <w:unhideWhenUsed/>
    <w:qFormat/>
    <w:rsid w:val="00F6440E"/>
    <w:pPr>
      <w:spacing w:after="200" w:line="240" w:lineRule="auto"/>
    </w:pPr>
    <w:rPr>
      <w:b/>
      <w:bCs/>
      <w:color w:val="5B9BD5" w:themeColor="accent1"/>
      <w:sz w:val="18"/>
      <w:szCs w:val="18"/>
    </w:rPr>
  </w:style>
  <w:style w:type="paragraph" w:styleId="Fodnotetekst">
    <w:name w:val="footnote text"/>
    <w:basedOn w:val="Normal"/>
    <w:link w:val="FodnotetekstTegn"/>
    <w:uiPriority w:val="99"/>
    <w:unhideWhenUsed/>
    <w:rsid w:val="00F6440E"/>
    <w:pPr>
      <w:spacing w:after="0" w:line="240" w:lineRule="auto"/>
    </w:pPr>
    <w:rPr>
      <w:sz w:val="20"/>
      <w:szCs w:val="20"/>
    </w:rPr>
  </w:style>
  <w:style w:type="character" w:customStyle="1" w:styleId="FodnotetekstTegn">
    <w:name w:val="Fodnotetekst Tegn"/>
    <w:basedOn w:val="Standardskrifttypeiafsnit"/>
    <w:link w:val="Fodnotetekst"/>
    <w:uiPriority w:val="99"/>
    <w:rsid w:val="00F6440E"/>
    <w:rPr>
      <w:sz w:val="20"/>
      <w:szCs w:val="20"/>
    </w:rPr>
  </w:style>
  <w:style w:type="character" w:styleId="Fodnotehenvisning">
    <w:name w:val="footnote reference"/>
    <w:basedOn w:val="Standardskrifttypeiafsnit"/>
    <w:uiPriority w:val="99"/>
    <w:unhideWhenUsed/>
    <w:rsid w:val="00F6440E"/>
    <w:rPr>
      <w:vertAlign w:val="superscript"/>
    </w:rPr>
  </w:style>
  <w:style w:type="character" w:styleId="Kraftighenvisning">
    <w:name w:val="Intense Reference"/>
    <w:basedOn w:val="Standardskrifttypeiafsnit"/>
    <w:uiPriority w:val="32"/>
    <w:qFormat/>
    <w:rsid w:val="00F6440E"/>
    <w:rPr>
      <w:b/>
      <w:bCs/>
      <w:smallCaps/>
      <w:color w:val="5B9BD5" w:themeColor="accent1"/>
      <w:spacing w:val="5"/>
    </w:rPr>
  </w:style>
  <w:style w:type="paragraph" w:styleId="Ingenafstand">
    <w:name w:val="No Spacing"/>
    <w:link w:val="IngenafstandTegn"/>
    <w:uiPriority w:val="1"/>
    <w:qFormat/>
    <w:rsid w:val="00F6440E"/>
    <w:pPr>
      <w:spacing w:after="0" w:line="240" w:lineRule="auto"/>
    </w:pPr>
  </w:style>
  <w:style w:type="character" w:customStyle="1" w:styleId="IngenafstandTegn">
    <w:name w:val="Ingen afstand Tegn"/>
    <w:basedOn w:val="Standardskrifttypeiafsnit"/>
    <w:link w:val="Ingenafstand"/>
    <w:uiPriority w:val="1"/>
    <w:rsid w:val="00F6440E"/>
  </w:style>
  <w:style w:type="character" w:customStyle="1" w:styleId="SlutnotetekstTegn">
    <w:name w:val="Slutnotetekst Tegn"/>
    <w:basedOn w:val="Standardskrifttypeiafsnit"/>
    <w:link w:val="Slutnotetekst"/>
    <w:uiPriority w:val="99"/>
    <w:semiHidden/>
    <w:rsid w:val="00F6440E"/>
    <w:rPr>
      <w:sz w:val="20"/>
      <w:szCs w:val="20"/>
    </w:rPr>
  </w:style>
  <w:style w:type="paragraph" w:styleId="Slutnotetekst">
    <w:name w:val="endnote text"/>
    <w:basedOn w:val="Normal"/>
    <w:link w:val="SlutnotetekstTegn"/>
    <w:uiPriority w:val="99"/>
    <w:semiHidden/>
    <w:unhideWhenUsed/>
    <w:rsid w:val="00F6440E"/>
    <w:pPr>
      <w:spacing w:after="0" w:line="240" w:lineRule="auto"/>
    </w:pPr>
    <w:rPr>
      <w:sz w:val="20"/>
      <w:szCs w:val="20"/>
    </w:rPr>
  </w:style>
  <w:style w:type="character" w:customStyle="1" w:styleId="SlutnotetekstTegn1">
    <w:name w:val="Slutnotetekst Tegn1"/>
    <w:basedOn w:val="Standardskrifttypeiafsnit"/>
    <w:uiPriority w:val="99"/>
    <w:semiHidden/>
    <w:rsid w:val="00F6440E"/>
    <w:rPr>
      <w:sz w:val="20"/>
      <w:szCs w:val="20"/>
    </w:rPr>
  </w:style>
  <w:style w:type="character" w:styleId="Kraftigfremhvning">
    <w:name w:val="Intense Emphasis"/>
    <w:basedOn w:val="Standardskrifttypeiafsnit"/>
    <w:uiPriority w:val="21"/>
    <w:qFormat/>
    <w:rsid w:val="00F6440E"/>
    <w:rPr>
      <w:i/>
      <w:iCs/>
      <w:color w:val="5B9BD5" w:themeColor="accent1"/>
    </w:rPr>
  </w:style>
  <w:style w:type="character" w:customStyle="1" w:styleId="Overskrift4Tegn">
    <w:name w:val="Overskrift 4 Tegn"/>
    <w:basedOn w:val="Standardskrifttypeiafsnit"/>
    <w:link w:val="Overskrift4"/>
    <w:uiPriority w:val="9"/>
    <w:rsid w:val="001F349C"/>
    <w:rPr>
      <w:rFonts w:ascii="Times New Roman" w:eastAsiaTheme="majorEastAsia" w:hAnsi="Times New Roman" w:cstheme="majorBidi"/>
      <w:b/>
      <w:i/>
      <w:iCs/>
      <w:sz w:val="24"/>
    </w:rPr>
  </w:style>
  <w:style w:type="paragraph" w:styleId="Overskrift">
    <w:name w:val="TOC Heading"/>
    <w:basedOn w:val="Overskrift1"/>
    <w:next w:val="Normal"/>
    <w:uiPriority w:val="39"/>
    <w:unhideWhenUsed/>
    <w:qFormat/>
    <w:rsid w:val="00802656"/>
    <w:pPr>
      <w:spacing w:line="259" w:lineRule="auto"/>
      <w:outlineLvl w:val="9"/>
    </w:pPr>
    <w:rPr>
      <w:rFonts w:asciiTheme="majorHAnsi" w:hAnsiTheme="majorHAnsi"/>
      <w:b w:val="0"/>
      <w:color w:val="2E74B5" w:themeColor="accent1" w:themeShade="BF"/>
      <w:sz w:val="32"/>
      <w:lang w:eastAsia="da-DK"/>
    </w:rPr>
  </w:style>
  <w:style w:type="paragraph" w:styleId="Indholdsfortegnelse1">
    <w:name w:val="toc 1"/>
    <w:basedOn w:val="Normal"/>
    <w:next w:val="Normal"/>
    <w:autoRedefine/>
    <w:uiPriority w:val="39"/>
    <w:unhideWhenUsed/>
    <w:rsid w:val="00802656"/>
    <w:pPr>
      <w:spacing w:after="100"/>
    </w:pPr>
  </w:style>
  <w:style w:type="paragraph" w:styleId="Indholdsfortegnelse3">
    <w:name w:val="toc 3"/>
    <w:basedOn w:val="Normal"/>
    <w:next w:val="Normal"/>
    <w:autoRedefine/>
    <w:uiPriority w:val="39"/>
    <w:unhideWhenUsed/>
    <w:rsid w:val="00AD182F"/>
    <w:pPr>
      <w:tabs>
        <w:tab w:val="right" w:leader="dot" w:pos="9628"/>
      </w:tabs>
      <w:spacing w:after="100"/>
      <w:ind w:left="440"/>
    </w:pPr>
    <w:rPr>
      <w:rFonts w:ascii="Times New Roman" w:hAnsi="Times New Roman" w:cs="Times New Roman"/>
      <w:i/>
      <w:noProof/>
    </w:rPr>
  </w:style>
  <w:style w:type="paragraph" w:styleId="Indholdsfortegnelse2">
    <w:name w:val="toc 2"/>
    <w:basedOn w:val="Normal"/>
    <w:next w:val="Normal"/>
    <w:autoRedefine/>
    <w:uiPriority w:val="39"/>
    <w:unhideWhenUsed/>
    <w:rsid w:val="007C7E1F"/>
    <w:pPr>
      <w:tabs>
        <w:tab w:val="right" w:leader="dot" w:pos="9628"/>
      </w:tabs>
      <w:spacing w:after="100"/>
    </w:pPr>
    <w:rPr>
      <w:rFonts w:ascii="Times New Roman" w:hAnsi="Times New Roman" w:cs="Times New Roman"/>
      <w:noProof/>
    </w:rPr>
  </w:style>
  <w:style w:type="character" w:styleId="Hyperlink">
    <w:name w:val="Hyperlink"/>
    <w:basedOn w:val="Standardskrifttypeiafsnit"/>
    <w:uiPriority w:val="99"/>
    <w:unhideWhenUsed/>
    <w:rsid w:val="00802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4211">
      <w:bodyDiv w:val="1"/>
      <w:marLeft w:val="0"/>
      <w:marRight w:val="0"/>
      <w:marTop w:val="0"/>
      <w:marBottom w:val="0"/>
      <w:divBdr>
        <w:top w:val="none" w:sz="0" w:space="0" w:color="auto"/>
        <w:left w:val="none" w:sz="0" w:space="0" w:color="auto"/>
        <w:bottom w:val="none" w:sz="0" w:space="0" w:color="auto"/>
        <w:right w:val="none" w:sz="0" w:space="0" w:color="auto"/>
      </w:divBdr>
    </w:div>
    <w:div w:id="158078471">
      <w:bodyDiv w:val="1"/>
      <w:marLeft w:val="0"/>
      <w:marRight w:val="0"/>
      <w:marTop w:val="0"/>
      <w:marBottom w:val="0"/>
      <w:divBdr>
        <w:top w:val="none" w:sz="0" w:space="0" w:color="auto"/>
        <w:left w:val="none" w:sz="0" w:space="0" w:color="auto"/>
        <w:bottom w:val="none" w:sz="0" w:space="0" w:color="auto"/>
        <w:right w:val="none" w:sz="0" w:space="0" w:color="auto"/>
      </w:divBdr>
    </w:div>
    <w:div w:id="264314521">
      <w:bodyDiv w:val="1"/>
      <w:marLeft w:val="0"/>
      <w:marRight w:val="0"/>
      <w:marTop w:val="0"/>
      <w:marBottom w:val="0"/>
      <w:divBdr>
        <w:top w:val="none" w:sz="0" w:space="0" w:color="auto"/>
        <w:left w:val="none" w:sz="0" w:space="0" w:color="auto"/>
        <w:bottom w:val="none" w:sz="0" w:space="0" w:color="auto"/>
        <w:right w:val="none" w:sz="0" w:space="0" w:color="auto"/>
      </w:divBdr>
    </w:div>
    <w:div w:id="334310872">
      <w:bodyDiv w:val="1"/>
      <w:marLeft w:val="0"/>
      <w:marRight w:val="0"/>
      <w:marTop w:val="0"/>
      <w:marBottom w:val="0"/>
      <w:divBdr>
        <w:top w:val="none" w:sz="0" w:space="0" w:color="auto"/>
        <w:left w:val="none" w:sz="0" w:space="0" w:color="auto"/>
        <w:bottom w:val="none" w:sz="0" w:space="0" w:color="auto"/>
        <w:right w:val="none" w:sz="0" w:space="0" w:color="auto"/>
      </w:divBdr>
    </w:div>
    <w:div w:id="424766147">
      <w:bodyDiv w:val="1"/>
      <w:marLeft w:val="0"/>
      <w:marRight w:val="0"/>
      <w:marTop w:val="0"/>
      <w:marBottom w:val="0"/>
      <w:divBdr>
        <w:top w:val="none" w:sz="0" w:space="0" w:color="auto"/>
        <w:left w:val="none" w:sz="0" w:space="0" w:color="auto"/>
        <w:bottom w:val="none" w:sz="0" w:space="0" w:color="auto"/>
        <w:right w:val="none" w:sz="0" w:space="0" w:color="auto"/>
      </w:divBdr>
    </w:div>
    <w:div w:id="471289594">
      <w:bodyDiv w:val="1"/>
      <w:marLeft w:val="0"/>
      <w:marRight w:val="0"/>
      <w:marTop w:val="0"/>
      <w:marBottom w:val="0"/>
      <w:divBdr>
        <w:top w:val="none" w:sz="0" w:space="0" w:color="auto"/>
        <w:left w:val="none" w:sz="0" w:space="0" w:color="auto"/>
        <w:bottom w:val="none" w:sz="0" w:space="0" w:color="auto"/>
        <w:right w:val="none" w:sz="0" w:space="0" w:color="auto"/>
      </w:divBdr>
    </w:div>
    <w:div w:id="482626676">
      <w:bodyDiv w:val="1"/>
      <w:marLeft w:val="0"/>
      <w:marRight w:val="0"/>
      <w:marTop w:val="0"/>
      <w:marBottom w:val="0"/>
      <w:divBdr>
        <w:top w:val="none" w:sz="0" w:space="0" w:color="auto"/>
        <w:left w:val="none" w:sz="0" w:space="0" w:color="auto"/>
        <w:bottom w:val="none" w:sz="0" w:space="0" w:color="auto"/>
        <w:right w:val="none" w:sz="0" w:space="0" w:color="auto"/>
      </w:divBdr>
    </w:div>
    <w:div w:id="606231886">
      <w:bodyDiv w:val="1"/>
      <w:marLeft w:val="0"/>
      <w:marRight w:val="0"/>
      <w:marTop w:val="0"/>
      <w:marBottom w:val="0"/>
      <w:divBdr>
        <w:top w:val="none" w:sz="0" w:space="0" w:color="auto"/>
        <w:left w:val="none" w:sz="0" w:space="0" w:color="auto"/>
        <w:bottom w:val="none" w:sz="0" w:space="0" w:color="auto"/>
        <w:right w:val="none" w:sz="0" w:space="0" w:color="auto"/>
      </w:divBdr>
    </w:div>
    <w:div w:id="659504418">
      <w:bodyDiv w:val="1"/>
      <w:marLeft w:val="0"/>
      <w:marRight w:val="0"/>
      <w:marTop w:val="0"/>
      <w:marBottom w:val="0"/>
      <w:divBdr>
        <w:top w:val="none" w:sz="0" w:space="0" w:color="auto"/>
        <w:left w:val="none" w:sz="0" w:space="0" w:color="auto"/>
        <w:bottom w:val="none" w:sz="0" w:space="0" w:color="auto"/>
        <w:right w:val="none" w:sz="0" w:space="0" w:color="auto"/>
      </w:divBdr>
    </w:div>
    <w:div w:id="687172549">
      <w:bodyDiv w:val="1"/>
      <w:marLeft w:val="0"/>
      <w:marRight w:val="0"/>
      <w:marTop w:val="0"/>
      <w:marBottom w:val="0"/>
      <w:divBdr>
        <w:top w:val="none" w:sz="0" w:space="0" w:color="auto"/>
        <w:left w:val="none" w:sz="0" w:space="0" w:color="auto"/>
        <w:bottom w:val="none" w:sz="0" w:space="0" w:color="auto"/>
        <w:right w:val="none" w:sz="0" w:space="0" w:color="auto"/>
      </w:divBdr>
    </w:div>
    <w:div w:id="697198308">
      <w:bodyDiv w:val="1"/>
      <w:marLeft w:val="0"/>
      <w:marRight w:val="0"/>
      <w:marTop w:val="0"/>
      <w:marBottom w:val="0"/>
      <w:divBdr>
        <w:top w:val="none" w:sz="0" w:space="0" w:color="auto"/>
        <w:left w:val="none" w:sz="0" w:space="0" w:color="auto"/>
        <w:bottom w:val="none" w:sz="0" w:space="0" w:color="auto"/>
        <w:right w:val="none" w:sz="0" w:space="0" w:color="auto"/>
      </w:divBdr>
    </w:div>
    <w:div w:id="738672393">
      <w:bodyDiv w:val="1"/>
      <w:marLeft w:val="0"/>
      <w:marRight w:val="0"/>
      <w:marTop w:val="0"/>
      <w:marBottom w:val="0"/>
      <w:divBdr>
        <w:top w:val="none" w:sz="0" w:space="0" w:color="auto"/>
        <w:left w:val="none" w:sz="0" w:space="0" w:color="auto"/>
        <w:bottom w:val="none" w:sz="0" w:space="0" w:color="auto"/>
        <w:right w:val="none" w:sz="0" w:space="0" w:color="auto"/>
      </w:divBdr>
    </w:div>
    <w:div w:id="756558194">
      <w:bodyDiv w:val="1"/>
      <w:marLeft w:val="0"/>
      <w:marRight w:val="0"/>
      <w:marTop w:val="0"/>
      <w:marBottom w:val="0"/>
      <w:divBdr>
        <w:top w:val="none" w:sz="0" w:space="0" w:color="auto"/>
        <w:left w:val="none" w:sz="0" w:space="0" w:color="auto"/>
        <w:bottom w:val="none" w:sz="0" w:space="0" w:color="auto"/>
        <w:right w:val="none" w:sz="0" w:space="0" w:color="auto"/>
      </w:divBdr>
    </w:div>
    <w:div w:id="817304895">
      <w:bodyDiv w:val="1"/>
      <w:marLeft w:val="0"/>
      <w:marRight w:val="0"/>
      <w:marTop w:val="0"/>
      <w:marBottom w:val="0"/>
      <w:divBdr>
        <w:top w:val="none" w:sz="0" w:space="0" w:color="auto"/>
        <w:left w:val="none" w:sz="0" w:space="0" w:color="auto"/>
        <w:bottom w:val="none" w:sz="0" w:space="0" w:color="auto"/>
        <w:right w:val="none" w:sz="0" w:space="0" w:color="auto"/>
      </w:divBdr>
    </w:div>
    <w:div w:id="854459013">
      <w:bodyDiv w:val="1"/>
      <w:marLeft w:val="0"/>
      <w:marRight w:val="0"/>
      <w:marTop w:val="0"/>
      <w:marBottom w:val="0"/>
      <w:divBdr>
        <w:top w:val="none" w:sz="0" w:space="0" w:color="auto"/>
        <w:left w:val="none" w:sz="0" w:space="0" w:color="auto"/>
        <w:bottom w:val="none" w:sz="0" w:space="0" w:color="auto"/>
        <w:right w:val="none" w:sz="0" w:space="0" w:color="auto"/>
      </w:divBdr>
    </w:div>
    <w:div w:id="1018970369">
      <w:bodyDiv w:val="1"/>
      <w:marLeft w:val="0"/>
      <w:marRight w:val="0"/>
      <w:marTop w:val="0"/>
      <w:marBottom w:val="0"/>
      <w:divBdr>
        <w:top w:val="none" w:sz="0" w:space="0" w:color="auto"/>
        <w:left w:val="none" w:sz="0" w:space="0" w:color="auto"/>
        <w:bottom w:val="none" w:sz="0" w:space="0" w:color="auto"/>
        <w:right w:val="none" w:sz="0" w:space="0" w:color="auto"/>
      </w:divBdr>
    </w:div>
    <w:div w:id="1175419424">
      <w:bodyDiv w:val="1"/>
      <w:marLeft w:val="0"/>
      <w:marRight w:val="0"/>
      <w:marTop w:val="0"/>
      <w:marBottom w:val="0"/>
      <w:divBdr>
        <w:top w:val="none" w:sz="0" w:space="0" w:color="auto"/>
        <w:left w:val="none" w:sz="0" w:space="0" w:color="auto"/>
        <w:bottom w:val="none" w:sz="0" w:space="0" w:color="auto"/>
        <w:right w:val="none" w:sz="0" w:space="0" w:color="auto"/>
      </w:divBdr>
    </w:div>
    <w:div w:id="1178618214">
      <w:bodyDiv w:val="1"/>
      <w:marLeft w:val="0"/>
      <w:marRight w:val="0"/>
      <w:marTop w:val="0"/>
      <w:marBottom w:val="0"/>
      <w:divBdr>
        <w:top w:val="none" w:sz="0" w:space="0" w:color="auto"/>
        <w:left w:val="none" w:sz="0" w:space="0" w:color="auto"/>
        <w:bottom w:val="none" w:sz="0" w:space="0" w:color="auto"/>
        <w:right w:val="none" w:sz="0" w:space="0" w:color="auto"/>
      </w:divBdr>
    </w:div>
    <w:div w:id="1241018938">
      <w:bodyDiv w:val="1"/>
      <w:marLeft w:val="0"/>
      <w:marRight w:val="0"/>
      <w:marTop w:val="0"/>
      <w:marBottom w:val="0"/>
      <w:divBdr>
        <w:top w:val="none" w:sz="0" w:space="0" w:color="auto"/>
        <w:left w:val="none" w:sz="0" w:space="0" w:color="auto"/>
        <w:bottom w:val="none" w:sz="0" w:space="0" w:color="auto"/>
        <w:right w:val="none" w:sz="0" w:space="0" w:color="auto"/>
      </w:divBdr>
    </w:div>
    <w:div w:id="1338195893">
      <w:bodyDiv w:val="1"/>
      <w:marLeft w:val="0"/>
      <w:marRight w:val="0"/>
      <w:marTop w:val="0"/>
      <w:marBottom w:val="0"/>
      <w:divBdr>
        <w:top w:val="none" w:sz="0" w:space="0" w:color="auto"/>
        <w:left w:val="none" w:sz="0" w:space="0" w:color="auto"/>
        <w:bottom w:val="none" w:sz="0" w:space="0" w:color="auto"/>
        <w:right w:val="none" w:sz="0" w:space="0" w:color="auto"/>
      </w:divBdr>
    </w:div>
    <w:div w:id="1475101517">
      <w:bodyDiv w:val="1"/>
      <w:marLeft w:val="0"/>
      <w:marRight w:val="0"/>
      <w:marTop w:val="0"/>
      <w:marBottom w:val="0"/>
      <w:divBdr>
        <w:top w:val="none" w:sz="0" w:space="0" w:color="auto"/>
        <w:left w:val="none" w:sz="0" w:space="0" w:color="auto"/>
        <w:bottom w:val="none" w:sz="0" w:space="0" w:color="auto"/>
        <w:right w:val="none" w:sz="0" w:space="0" w:color="auto"/>
      </w:divBdr>
    </w:div>
    <w:div w:id="1488128681">
      <w:bodyDiv w:val="1"/>
      <w:marLeft w:val="0"/>
      <w:marRight w:val="0"/>
      <w:marTop w:val="0"/>
      <w:marBottom w:val="0"/>
      <w:divBdr>
        <w:top w:val="none" w:sz="0" w:space="0" w:color="auto"/>
        <w:left w:val="none" w:sz="0" w:space="0" w:color="auto"/>
        <w:bottom w:val="none" w:sz="0" w:space="0" w:color="auto"/>
        <w:right w:val="none" w:sz="0" w:space="0" w:color="auto"/>
      </w:divBdr>
    </w:div>
    <w:div w:id="1492866166">
      <w:bodyDiv w:val="1"/>
      <w:marLeft w:val="0"/>
      <w:marRight w:val="0"/>
      <w:marTop w:val="0"/>
      <w:marBottom w:val="0"/>
      <w:divBdr>
        <w:top w:val="none" w:sz="0" w:space="0" w:color="auto"/>
        <w:left w:val="none" w:sz="0" w:space="0" w:color="auto"/>
        <w:bottom w:val="none" w:sz="0" w:space="0" w:color="auto"/>
        <w:right w:val="none" w:sz="0" w:space="0" w:color="auto"/>
      </w:divBdr>
    </w:div>
    <w:div w:id="1495951019">
      <w:bodyDiv w:val="1"/>
      <w:marLeft w:val="0"/>
      <w:marRight w:val="0"/>
      <w:marTop w:val="0"/>
      <w:marBottom w:val="0"/>
      <w:divBdr>
        <w:top w:val="none" w:sz="0" w:space="0" w:color="auto"/>
        <w:left w:val="none" w:sz="0" w:space="0" w:color="auto"/>
        <w:bottom w:val="none" w:sz="0" w:space="0" w:color="auto"/>
        <w:right w:val="none" w:sz="0" w:space="0" w:color="auto"/>
      </w:divBdr>
    </w:div>
    <w:div w:id="1503734903">
      <w:bodyDiv w:val="1"/>
      <w:marLeft w:val="0"/>
      <w:marRight w:val="0"/>
      <w:marTop w:val="0"/>
      <w:marBottom w:val="0"/>
      <w:divBdr>
        <w:top w:val="none" w:sz="0" w:space="0" w:color="auto"/>
        <w:left w:val="none" w:sz="0" w:space="0" w:color="auto"/>
        <w:bottom w:val="none" w:sz="0" w:space="0" w:color="auto"/>
        <w:right w:val="none" w:sz="0" w:space="0" w:color="auto"/>
      </w:divBdr>
    </w:div>
    <w:div w:id="1644971077">
      <w:bodyDiv w:val="1"/>
      <w:marLeft w:val="0"/>
      <w:marRight w:val="0"/>
      <w:marTop w:val="0"/>
      <w:marBottom w:val="0"/>
      <w:divBdr>
        <w:top w:val="none" w:sz="0" w:space="0" w:color="auto"/>
        <w:left w:val="none" w:sz="0" w:space="0" w:color="auto"/>
        <w:bottom w:val="none" w:sz="0" w:space="0" w:color="auto"/>
        <w:right w:val="none" w:sz="0" w:space="0" w:color="auto"/>
      </w:divBdr>
    </w:div>
    <w:div w:id="1745713725">
      <w:bodyDiv w:val="1"/>
      <w:marLeft w:val="0"/>
      <w:marRight w:val="0"/>
      <w:marTop w:val="0"/>
      <w:marBottom w:val="0"/>
      <w:divBdr>
        <w:top w:val="none" w:sz="0" w:space="0" w:color="auto"/>
        <w:left w:val="none" w:sz="0" w:space="0" w:color="auto"/>
        <w:bottom w:val="none" w:sz="0" w:space="0" w:color="auto"/>
        <w:right w:val="none" w:sz="0" w:space="0" w:color="auto"/>
      </w:divBdr>
    </w:div>
    <w:div w:id="1809082210">
      <w:bodyDiv w:val="1"/>
      <w:marLeft w:val="0"/>
      <w:marRight w:val="0"/>
      <w:marTop w:val="0"/>
      <w:marBottom w:val="0"/>
      <w:divBdr>
        <w:top w:val="none" w:sz="0" w:space="0" w:color="auto"/>
        <w:left w:val="none" w:sz="0" w:space="0" w:color="auto"/>
        <w:bottom w:val="none" w:sz="0" w:space="0" w:color="auto"/>
        <w:right w:val="none" w:sz="0" w:space="0" w:color="auto"/>
      </w:divBdr>
    </w:div>
    <w:div w:id="1852841044">
      <w:bodyDiv w:val="1"/>
      <w:marLeft w:val="0"/>
      <w:marRight w:val="0"/>
      <w:marTop w:val="0"/>
      <w:marBottom w:val="0"/>
      <w:divBdr>
        <w:top w:val="none" w:sz="0" w:space="0" w:color="auto"/>
        <w:left w:val="none" w:sz="0" w:space="0" w:color="auto"/>
        <w:bottom w:val="none" w:sz="0" w:space="0" w:color="auto"/>
        <w:right w:val="none" w:sz="0" w:space="0" w:color="auto"/>
      </w:divBdr>
    </w:div>
    <w:div w:id="1912689273">
      <w:bodyDiv w:val="1"/>
      <w:marLeft w:val="0"/>
      <w:marRight w:val="0"/>
      <w:marTop w:val="0"/>
      <w:marBottom w:val="0"/>
      <w:divBdr>
        <w:top w:val="none" w:sz="0" w:space="0" w:color="auto"/>
        <w:left w:val="none" w:sz="0" w:space="0" w:color="auto"/>
        <w:bottom w:val="none" w:sz="0" w:space="0" w:color="auto"/>
        <w:right w:val="none" w:sz="0" w:space="0" w:color="auto"/>
      </w:divBdr>
    </w:div>
    <w:div w:id="1933388149">
      <w:bodyDiv w:val="1"/>
      <w:marLeft w:val="0"/>
      <w:marRight w:val="0"/>
      <w:marTop w:val="0"/>
      <w:marBottom w:val="0"/>
      <w:divBdr>
        <w:top w:val="none" w:sz="0" w:space="0" w:color="auto"/>
        <w:left w:val="none" w:sz="0" w:space="0" w:color="auto"/>
        <w:bottom w:val="none" w:sz="0" w:space="0" w:color="auto"/>
        <w:right w:val="none" w:sz="0" w:space="0" w:color="auto"/>
      </w:divBdr>
    </w:div>
    <w:div w:id="1991447244">
      <w:bodyDiv w:val="1"/>
      <w:marLeft w:val="0"/>
      <w:marRight w:val="0"/>
      <w:marTop w:val="0"/>
      <w:marBottom w:val="0"/>
      <w:divBdr>
        <w:top w:val="none" w:sz="0" w:space="0" w:color="auto"/>
        <w:left w:val="none" w:sz="0" w:space="0" w:color="auto"/>
        <w:bottom w:val="none" w:sz="0" w:space="0" w:color="auto"/>
        <w:right w:val="none" w:sz="0" w:space="0" w:color="auto"/>
      </w:divBdr>
    </w:div>
    <w:div w:id="2014605333">
      <w:bodyDiv w:val="1"/>
      <w:marLeft w:val="0"/>
      <w:marRight w:val="0"/>
      <w:marTop w:val="0"/>
      <w:marBottom w:val="0"/>
      <w:divBdr>
        <w:top w:val="none" w:sz="0" w:space="0" w:color="auto"/>
        <w:left w:val="none" w:sz="0" w:space="0" w:color="auto"/>
        <w:bottom w:val="none" w:sz="0" w:space="0" w:color="auto"/>
        <w:right w:val="none" w:sz="0" w:space="0" w:color="auto"/>
      </w:divBdr>
    </w:div>
    <w:div w:id="20583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torsk\Tabeller%20og%20figurer%20til%20baggrundsnotat%20kystn.torsk,%2005-03-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torsk\Tabeller%20og%20figurer%20til%20baggrundsnotat%20kystn.torsk,%2005-03-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torsk\Alder%20jollefiskere%20COD%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torsk\Baggrundsnotat\Tabeller%20og%20figurer%20til%20baggrundsnotat%20kystn.torsk,%2007-03-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torsk\Tabeller%20og%20figurer%20til%20baggrundsnotat%20kystn.torsk,%2005-03-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torsk\Tabeller%20og%20figurer%20til%20baggrundsnotat%20kystn.torsk,%2005-03-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torsk\Baggrundsnotat\Tabeller%20og%20figurer%20til%20baggrundsnotat%20kystn.torsk,%2007-03-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torsk\Baggrundsnotat\Tabeller%20og%20figurer%20til%20baggrundsnotat%20kystn.torsk,%2007-03-202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 1 og 2, antal ftj og alder'!$S$5</c:f>
              <c:strCache>
                <c:ptCount val="1"/>
                <c:pt idx="0">
                  <c:v>Antal fartøjer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1 og 2, antal ftj og alder'!$U$4:$AB$4</c:f>
              <c:numCache>
                <c:formatCode>General</c:formatCode>
                <c:ptCount val="8"/>
                <c:pt idx="0">
                  <c:v>2013</c:v>
                </c:pt>
                <c:pt idx="1">
                  <c:v>2014</c:v>
                </c:pt>
                <c:pt idx="2">
                  <c:v>2015</c:v>
                </c:pt>
                <c:pt idx="3">
                  <c:v>2016</c:v>
                </c:pt>
                <c:pt idx="4">
                  <c:v>2017</c:v>
                </c:pt>
                <c:pt idx="5">
                  <c:v>2018</c:v>
                </c:pt>
                <c:pt idx="6">
                  <c:v>2019</c:v>
                </c:pt>
                <c:pt idx="7">
                  <c:v>2020</c:v>
                </c:pt>
              </c:numCache>
            </c:numRef>
          </c:cat>
          <c:val>
            <c:numRef>
              <c:f>'Fig 1 og 2, antal ftj og alder'!$U$5:$AB$5</c:f>
              <c:numCache>
                <c:formatCode>#,##0</c:formatCode>
                <c:ptCount val="8"/>
                <c:pt idx="0">
                  <c:v>170</c:v>
                </c:pt>
                <c:pt idx="1">
                  <c:v>174</c:v>
                </c:pt>
                <c:pt idx="2">
                  <c:v>177</c:v>
                </c:pt>
                <c:pt idx="3">
                  <c:v>181</c:v>
                </c:pt>
                <c:pt idx="4">
                  <c:v>178</c:v>
                </c:pt>
                <c:pt idx="5">
                  <c:v>158</c:v>
                </c:pt>
                <c:pt idx="6">
                  <c:v>163</c:v>
                </c:pt>
                <c:pt idx="7">
                  <c:v>173</c:v>
                </c:pt>
              </c:numCache>
            </c:numRef>
          </c:val>
          <c:smooth val="0"/>
          <c:extLst>
            <c:ext xmlns:c16="http://schemas.microsoft.com/office/drawing/2014/chart" uri="{C3380CC4-5D6E-409C-BE32-E72D297353CC}">
              <c16:uniqueId val="{00000000-4B3F-4D4A-BC25-E0885623479B}"/>
            </c:ext>
          </c:extLst>
        </c:ser>
        <c:ser>
          <c:idx val="1"/>
          <c:order val="1"/>
          <c:tx>
            <c:strRef>
              <c:f>'Fig 1 og 2, antal ftj og alder'!$S$6</c:f>
              <c:strCache>
                <c:ptCount val="1"/>
                <c:pt idx="0">
                  <c:v>Antal joller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1 og 2, antal ftj og alder'!$U$4:$AB$4</c:f>
              <c:numCache>
                <c:formatCode>General</c:formatCode>
                <c:ptCount val="8"/>
                <c:pt idx="0">
                  <c:v>2013</c:v>
                </c:pt>
                <c:pt idx="1">
                  <c:v>2014</c:v>
                </c:pt>
                <c:pt idx="2">
                  <c:v>2015</c:v>
                </c:pt>
                <c:pt idx="3">
                  <c:v>2016</c:v>
                </c:pt>
                <c:pt idx="4">
                  <c:v>2017</c:v>
                </c:pt>
                <c:pt idx="5">
                  <c:v>2018</c:v>
                </c:pt>
                <c:pt idx="6">
                  <c:v>2019</c:v>
                </c:pt>
                <c:pt idx="7">
                  <c:v>2020</c:v>
                </c:pt>
              </c:numCache>
            </c:numRef>
          </c:cat>
          <c:val>
            <c:numRef>
              <c:f>'Fig 1 og 2, antal ftj og alder'!$U$6:$AB$6</c:f>
              <c:numCache>
                <c:formatCode>#,##0</c:formatCode>
                <c:ptCount val="8"/>
                <c:pt idx="0">
                  <c:v>748</c:v>
                </c:pt>
                <c:pt idx="1">
                  <c:v>921</c:v>
                </c:pt>
                <c:pt idx="2">
                  <c:v>1043</c:v>
                </c:pt>
                <c:pt idx="3">
                  <c:v>1058</c:v>
                </c:pt>
                <c:pt idx="4">
                  <c:v>1109</c:v>
                </c:pt>
                <c:pt idx="5">
                  <c:v>1139</c:v>
                </c:pt>
                <c:pt idx="6">
                  <c:v>1129</c:v>
                </c:pt>
                <c:pt idx="7">
                  <c:v>1060</c:v>
                </c:pt>
              </c:numCache>
            </c:numRef>
          </c:val>
          <c:smooth val="0"/>
          <c:extLst>
            <c:ext xmlns:c16="http://schemas.microsoft.com/office/drawing/2014/chart" uri="{C3380CC4-5D6E-409C-BE32-E72D297353CC}">
              <c16:uniqueId val="{00000001-4B3F-4D4A-BC25-E0885623479B}"/>
            </c:ext>
          </c:extLst>
        </c:ser>
        <c:dLbls>
          <c:showLegendKey val="0"/>
          <c:showVal val="0"/>
          <c:showCatName val="0"/>
          <c:showSerName val="0"/>
          <c:showPercent val="0"/>
          <c:showBubbleSize val="0"/>
        </c:dLbls>
        <c:marker val="1"/>
        <c:smooth val="0"/>
        <c:axId val="639924160"/>
        <c:axId val="639923176"/>
      </c:lineChart>
      <c:catAx>
        <c:axId val="63992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39923176"/>
        <c:crosses val="autoZero"/>
        <c:auto val="1"/>
        <c:lblAlgn val="ctr"/>
        <c:lblOffset val="100"/>
        <c:noMultiLvlLbl val="0"/>
      </c:catAx>
      <c:valAx>
        <c:axId val="639923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3992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 1 og 2, antal ftj og alder'!$G$7:$G$11</c:f>
              <c:strCache>
                <c:ptCount val="5"/>
                <c:pt idx="0">
                  <c:v>Under 9 år</c:v>
                </c:pt>
                <c:pt idx="1">
                  <c:v>10-19 år</c:v>
                </c:pt>
                <c:pt idx="2">
                  <c:v>20-29 år</c:v>
                </c:pt>
                <c:pt idx="3">
                  <c:v>30-39 år</c:v>
                </c:pt>
                <c:pt idx="4">
                  <c:v>Over 40 år</c:v>
                </c:pt>
              </c:strCache>
            </c:strRef>
          </c:cat>
          <c:val>
            <c:numRef>
              <c:f>'Fig 1 og 2, antal ftj og alder'!$I$7:$I$11</c:f>
              <c:numCache>
                <c:formatCode>0.0%</c:formatCode>
                <c:ptCount val="5"/>
                <c:pt idx="0">
                  <c:v>0.28823529411764703</c:v>
                </c:pt>
                <c:pt idx="1">
                  <c:v>0.12941176470588237</c:v>
                </c:pt>
                <c:pt idx="2">
                  <c:v>0.18235294117647058</c:v>
                </c:pt>
                <c:pt idx="3">
                  <c:v>0.27058823529411763</c:v>
                </c:pt>
                <c:pt idx="4">
                  <c:v>0.12941176470588237</c:v>
                </c:pt>
              </c:numCache>
            </c:numRef>
          </c:val>
          <c:extLst>
            <c:ext xmlns:c16="http://schemas.microsoft.com/office/drawing/2014/chart" uri="{C3380CC4-5D6E-409C-BE32-E72D297353CC}">
              <c16:uniqueId val="{00000000-DBD8-4A75-905D-F901D4CCC35D}"/>
            </c:ext>
          </c:extLst>
        </c:ser>
        <c:dLbls>
          <c:showLegendKey val="0"/>
          <c:showVal val="0"/>
          <c:showCatName val="0"/>
          <c:showSerName val="0"/>
          <c:showPercent val="0"/>
          <c:showBubbleSize val="0"/>
        </c:dLbls>
        <c:gapWidth val="219"/>
        <c:overlap val="-27"/>
        <c:axId val="641343880"/>
        <c:axId val="641344536"/>
      </c:barChart>
      <c:catAx>
        <c:axId val="64134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41344536"/>
        <c:crosses val="autoZero"/>
        <c:auto val="1"/>
        <c:lblAlgn val="ctr"/>
        <c:lblOffset val="100"/>
        <c:noMultiLvlLbl val="0"/>
      </c:catAx>
      <c:valAx>
        <c:axId val="6413445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41343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58-494B-A5D5-6643F4A4A6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58-494B-A5D5-6643F4A4A6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58-494B-A5D5-6643F4A4A6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58-494B-A5D5-6643F4A4A6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58-494B-A5D5-6643F4A4A6C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D58-494B-A5D5-6643F4A4A6C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D58-494B-A5D5-6643F4A4A6C1}"/>
              </c:ext>
            </c:extLst>
          </c:dPt>
          <c:dLbls>
            <c:dLbl>
              <c:idx val="0"/>
              <c:layout>
                <c:manualLayout>
                  <c:x val="-2.5529831159164804E-3"/>
                  <c:y val="-1.1742300328400979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58-494B-A5D5-6643F4A4A6C1}"/>
                </c:ext>
              </c:extLst>
            </c:dLbl>
            <c:dLbl>
              <c:idx val="1"/>
              <c:layout>
                <c:manualLayout>
                  <c:x val="-7.582500881419682E-2"/>
                  <c:y val="0.1349471895723179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58-494B-A5D5-6643F4A4A6C1}"/>
                </c:ext>
              </c:extLst>
            </c:dLbl>
            <c:dLbl>
              <c:idx val="2"/>
              <c:layout>
                <c:manualLayout>
                  <c:x val="-0.15563648293963256"/>
                  <c:y val="6.380361875055472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D58-494B-A5D5-6643F4A4A6C1}"/>
                </c:ext>
              </c:extLst>
            </c:dLbl>
            <c:dLbl>
              <c:idx val="3"/>
              <c:layout>
                <c:manualLayout>
                  <c:x val="-8.7544364790222123E-2"/>
                  <c:y val="-0.1643244956699253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D58-494B-A5D5-6643F4A4A6C1}"/>
                </c:ext>
              </c:extLst>
            </c:dLbl>
            <c:dLbl>
              <c:idx val="4"/>
              <c:layout>
                <c:manualLayout>
                  <c:x val="0.1251378932111098"/>
                  <c:y val="-0.1095238819785208"/>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D58-494B-A5D5-6643F4A4A6C1}"/>
                </c:ext>
              </c:extLst>
            </c:dLbl>
            <c:dLbl>
              <c:idx val="5"/>
              <c:layout>
                <c:manualLayout>
                  <c:x val="6.1526031261017744E-2"/>
                  <c:y val="0.14810757350983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D58-494B-A5D5-6643F4A4A6C1}"/>
                </c:ext>
              </c:extLst>
            </c:dLbl>
            <c:dLbl>
              <c:idx val="6"/>
              <c:layout>
                <c:manualLayout>
                  <c:x val="2.5298507462686477E-2"/>
                  <c:y val="0.1072633674413886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D58-494B-A5D5-6643F4A4A6C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'Ark1'!$B$5:$B$11</c:f>
              <c:strCache>
                <c:ptCount val="7"/>
                <c:pt idx="0">
                  <c:v>Under 20 år</c:v>
                </c:pt>
                <c:pt idx="1">
                  <c:v>20-29 år</c:v>
                </c:pt>
                <c:pt idx="2">
                  <c:v>30-39 år</c:v>
                </c:pt>
                <c:pt idx="3">
                  <c:v>40-49 år</c:v>
                </c:pt>
                <c:pt idx="4">
                  <c:v>50-59 år</c:v>
                </c:pt>
                <c:pt idx="5">
                  <c:v>60-69 år</c:v>
                </c:pt>
                <c:pt idx="6">
                  <c:v>Over 69 år</c:v>
                </c:pt>
              </c:strCache>
            </c:strRef>
          </c:cat>
          <c:val>
            <c:numRef>
              <c:f>'Ark1'!$C$5:$C$11</c:f>
              <c:numCache>
                <c:formatCode>General</c:formatCode>
                <c:ptCount val="7"/>
                <c:pt idx="0">
                  <c:v>11</c:v>
                </c:pt>
                <c:pt idx="1">
                  <c:v>145</c:v>
                </c:pt>
                <c:pt idx="2">
                  <c:v>215</c:v>
                </c:pt>
                <c:pt idx="3">
                  <c:v>180</c:v>
                </c:pt>
                <c:pt idx="4">
                  <c:v>282</c:v>
                </c:pt>
                <c:pt idx="5">
                  <c:v>182</c:v>
                </c:pt>
                <c:pt idx="6">
                  <c:v>50</c:v>
                </c:pt>
              </c:numCache>
            </c:numRef>
          </c:val>
          <c:extLst>
            <c:ext xmlns:c16="http://schemas.microsoft.com/office/drawing/2014/chart" uri="{C3380CC4-5D6E-409C-BE32-E72D297353CC}">
              <c16:uniqueId val="{0000000E-AD58-494B-A5D5-6643F4A4A6C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'Tab.3 og fig 4, råd,TAC, fangst'!$B$31</c:f>
              <c:strCache>
                <c:ptCount val="1"/>
                <c:pt idx="0">
                  <c:v>Fangster som andel over  rådgivning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'Tab.3 og fig 4, råd,TAC, fangst'!$C$30:$J$30</c:f>
              <c:numCache>
                <c:formatCode>General</c:formatCode>
                <c:ptCount val="8"/>
                <c:pt idx="0">
                  <c:v>2013</c:v>
                </c:pt>
                <c:pt idx="1">
                  <c:v>2014</c:v>
                </c:pt>
                <c:pt idx="2">
                  <c:v>2015</c:v>
                </c:pt>
                <c:pt idx="3">
                  <c:v>2016</c:v>
                </c:pt>
                <c:pt idx="4">
                  <c:v>2017</c:v>
                </c:pt>
                <c:pt idx="5">
                  <c:v>2018</c:v>
                </c:pt>
                <c:pt idx="6">
                  <c:v>2019</c:v>
                </c:pt>
                <c:pt idx="7">
                  <c:v>2020</c:v>
                </c:pt>
              </c:numCache>
            </c:numRef>
          </c:cat>
          <c:val>
            <c:numRef>
              <c:f>'Tab.3 og fig 4, råd,TAC, fangst'!$C$31:$J$31</c:f>
              <c:numCache>
                <c:formatCode>0%</c:formatCode>
                <c:ptCount val="8"/>
                <c:pt idx="0">
                  <c:v>0.69113989170000201</c:v>
                </c:pt>
                <c:pt idx="1">
                  <c:v>0.53338876100472454</c:v>
                </c:pt>
                <c:pt idx="2">
                  <c:v>1.0480855710154304</c:v>
                </c:pt>
                <c:pt idx="3">
                  <c:v>1.8006691737458635</c:v>
                </c:pt>
                <c:pt idx="4">
                  <c:v>1.5827995864286279</c:v>
                </c:pt>
                <c:pt idx="5">
                  <c:v>0.64858529256020669</c:v>
                </c:pt>
                <c:pt idx="6">
                  <c:v>0.4044450310344827</c:v>
                </c:pt>
                <c:pt idx="7">
                  <c:v>0.66455936890909317</c:v>
                </c:pt>
              </c:numCache>
            </c:numRef>
          </c:val>
          <c:extLst>
            <c:ext xmlns:c16="http://schemas.microsoft.com/office/drawing/2014/chart" uri="{C3380CC4-5D6E-409C-BE32-E72D297353CC}">
              <c16:uniqueId val="{00000000-EB23-437E-A1F4-C9BB515C7344}"/>
            </c:ext>
          </c:extLst>
        </c:ser>
        <c:dLbls>
          <c:showLegendKey val="0"/>
          <c:showVal val="0"/>
          <c:showCatName val="0"/>
          <c:showSerName val="0"/>
          <c:showPercent val="0"/>
          <c:showBubbleSize val="0"/>
        </c:dLbls>
        <c:gapWidth val="219"/>
        <c:overlap val="-27"/>
        <c:axId val="548933792"/>
        <c:axId val="548934120"/>
      </c:barChart>
      <c:catAx>
        <c:axId val="54893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48934120"/>
        <c:crosses val="autoZero"/>
        <c:auto val="1"/>
        <c:lblAlgn val="ctr"/>
        <c:lblOffset val="100"/>
        <c:noMultiLvlLbl val="0"/>
      </c:catAx>
      <c:valAx>
        <c:axId val="548934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Torskefangster som andel over biologisk rådgivning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4893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 5 indh.værdi samlet'!$C$12</c:f>
              <c:strCache>
                <c:ptCount val="1"/>
                <c:pt idx="0">
                  <c:v>Fritidsfiskeri</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9E7F-44C5-A484-967DC0893B7D}"/>
                </c:ext>
              </c:extLst>
            </c:dLbl>
            <c:dLbl>
              <c:idx val="1"/>
              <c:delete val="1"/>
              <c:extLst>
                <c:ext xmlns:c15="http://schemas.microsoft.com/office/drawing/2012/chart" uri="{CE6537A1-D6FC-4f65-9D91-7224C49458BB}"/>
                <c:ext xmlns:c16="http://schemas.microsoft.com/office/drawing/2014/chart" uri="{C3380CC4-5D6E-409C-BE32-E72D297353CC}">
                  <c16:uniqueId val="{00000001-9E7F-44C5-A484-967DC0893B7D}"/>
                </c:ext>
              </c:extLst>
            </c:dLbl>
            <c:dLbl>
              <c:idx val="2"/>
              <c:delete val="1"/>
              <c:extLst>
                <c:ext xmlns:c15="http://schemas.microsoft.com/office/drawing/2012/chart" uri="{CE6537A1-D6FC-4f65-9D91-7224C49458BB}"/>
                <c:ext xmlns:c16="http://schemas.microsoft.com/office/drawing/2014/chart" uri="{C3380CC4-5D6E-409C-BE32-E72D297353CC}">
                  <c16:uniqueId val="{00000002-9E7F-44C5-A484-967DC0893B7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5 indh.værdi samlet'!$D$11:$K$11</c:f>
              <c:numCache>
                <c:formatCode>General</c:formatCode>
                <c:ptCount val="8"/>
                <c:pt idx="0">
                  <c:v>2013</c:v>
                </c:pt>
                <c:pt idx="1">
                  <c:v>2014</c:v>
                </c:pt>
                <c:pt idx="2">
                  <c:v>2015</c:v>
                </c:pt>
                <c:pt idx="3">
                  <c:v>2016</c:v>
                </c:pt>
                <c:pt idx="4">
                  <c:v>2017</c:v>
                </c:pt>
                <c:pt idx="5">
                  <c:v>2018</c:v>
                </c:pt>
                <c:pt idx="6">
                  <c:v>2019</c:v>
                </c:pt>
                <c:pt idx="7">
                  <c:v>2020</c:v>
                </c:pt>
              </c:numCache>
            </c:numRef>
          </c:cat>
          <c:val>
            <c:numRef>
              <c:f>'Fig. 5 indh.værdi samlet'!$D$12:$K$12</c:f>
              <c:numCache>
                <c:formatCode>#,##0.0_ ;\-#,##0.0\ </c:formatCode>
                <c:ptCount val="8"/>
                <c:pt idx="0">
                  <c:v>0</c:v>
                </c:pt>
                <c:pt idx="1">
                  <c:v>0</c:v>
                </c:pt>
                <c:pt idx="2">
                  <c:v>0</c:v>
                </c:pt>
                <c:pt idx="3">
                  <c:v>3.3295639499999936</c:v>
                </c:pt>
                <c:pt idx="4">
                  <c:v>3.3103044100000005</c:v>
                </c:pt>
                <c:pt idx="5">
                  <c:v>6.5649481600000028</c:v>
                </c:pt>
                <c:pt idx="6">
                  <c:v>9.7061635999999467</c:v>
                </c:pt>
                <c:pt idx="7">
                  <c:v>4.1899401599999795</c:v>
                </c:pt>
              </c:numCache>
            </c:numRef>
          </c:val>
          <c:extLst>
            <c:ext xmlns:c16="http://schemas.microsoft.com/office/drawing/2014/chart" uri="{C3380CC4-5D6E-409C-BE32-E72D297353CC}">
              <c16:uniqueId val="{00000003-9E7F-44C5-A484-967DC0893B7D}"/>
            </c:ext>
          </c:extLst>
        </c:ser>
        <c:ser>
          <c:idx val="1"/>
          <c:order val="1"/>
          <c:tx>
            <c:strRef>
              <c:f>'Fig. 5 indh.værdi samlet'!$C$13</c:f>
              <c:strCache>
                <c:ptCount val="1"/>
                <c:pt idx="0">
                  <c:v>Erhvervsfiskeri</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5 indh.værdi samlet'!$D$11:$K$11</c:f>
              <c:numCache>
                <c:formatCode>General</c:formatCode>
                <c:ptCount val="8"/>
                <c:pt idx="0">
                  <c:v>2013</c:v>
                </c:pt>
                <c:pt idx="1">
                  <c:v>2014</c:v>
                </c:pt>
                <c:pt idx="2">
                  <c:v>2015</c:v>
                </c:pt>
                <c:pt idx="3">
                  <c:v>2016</c:v>
                </c:pt>
                <c:pt idx="4">
                  <c:v>2017</c:v>
                </c:pt>
                <c:pt idx="5">
                  <c:v>2018</c:v>
                </c:pt>
                <c:pt idx="6">
                  <c:v>2019</c:v>
                </c:pt>
                <c:pt idx="7">
                  <c:v>2020</c:v>
                </c:pt>
              </c:numCache>
            </c:numRef>
          </c:cat>
          <c:val>
            <c:numRef>
              <c:f>'Fig. 5 indh.værdi samlet'!$D$13:$K$13</c:f>
              <c:numCache>
                <c:formatCode>#,##0.0_ ;\-#,##0.0\ </c:formatCode>
                <c:ptCount val="8"/>
                <c:pt idx="0">
                  <c:v>54.32430077999895</c:v>
                </c:pt>
                <c:pt idx="1">
                  <c:v>79.264612550001502</c:v>
                </c:pt>
                <c:pt idx="2">
                  <c:v>116.72895491000003</c:v>
                </c:pt>
                <c:pt idx="3">
                  <c:v>153.99266132999833</c:v>
                </c:pt>
                <c:pt idx="4">
                  <c:v>154.40792520999963</c:v>
                </c:pt>
                <c:pt idx="5">
                  <c:v>119.8428175</c:v>
                </c:pt>
                <c:pt idx="6">
                  <c:v>126.20228103000196</c:v>
                </c:pt>
                <c:pt idx="7">
                  <c:v>100.6659954199971</c:v>
                </c:pt>
              </c:numCache>
            </c:numRef>
          </c:val>
          <c:extLst>
            <c:ext xmlns:c16="http://schemas.microsoft.com/office/drawing/2014/chart" uri="{C3380CC4-5D6E-409C-BE32-E72D297353CC}">
              <c16:uniqueId val="{00000004-9E7F-44C5-A484-967DC0893B7D}"/>
            </c:ext>
          </c:extLst>
        </c:ser>
        <c:dLbls>
          <c:showLegendKey val="0"/>
          <c:showVal val="0"/>
          <c:showCatName val="0"/>
          <c:showSerName val="0"/>
          <c:showPercent val="0"/>
          <c:showBubbleSize val="0"/>
        </c:dLbls>
        <c:gapWidth val="219"/>
        <c:overlap val="-27"/>
        <c:axId val="635473416"/>
        <c:axId val="635473744"/>
      </c:barChart>
      <c:catAx>
        <c:axId val="63547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35473744"/>
        <c:crosses val="autoZero"/>
        <c:auto val="1"/>
        <c:lblAlgn val="ctr"/>
        <c:lblOffset val="100"/>
        <c:noMultiLvlLbl val="0"/>
      </c:catAx>
      <c:valAx>
        <c:axId val="63547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Indhandlingsværdi i 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35473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'Fig.6 Avg priser'!$B$10</c:f>
              <c:strCache>
                <c:ptCount val="1"/>
                <c:pt idx="0">
                  <c:v>Hel torsk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'Fig.6 Avg priser'!$C$9:$J$9</c:f>
              <c:numCache>
                <c:formatCode>General</c:formatCode>
                <c:ptCount val="8"/>
                <c:pt idx="0">
                  <c:v>2013</c:v>
                </c:pt>
                <c:pt idx="1">
                  <c:v>2014</c:v>
                </c:pt>
                <c:pt idx="2">
                  <c:v>2015</c:v>
                </c:pt>
                <c:pt idx="3">
                  <c:v>2016</c:v>
                </c:pt>
                <c:pt idx="4">
                  <c:v>2017</c:v>
                </c:pt>
                <c:pt idx="5">
                  <c:v>2018</c:v>
                </c:pt>
                <c:pt idx="6">
                  <c:v>2019</c:v>
                </c:pt>
                <c:pt idx="7">
                  <c:v>2020</c:v>
                </c:pt>
              </c:numCache>
            </c:numRef>
          </c:cat>
          <c:val>
            <c:numRef>
              <c:f>'Fig.6 Avg priser'!$C$10:$J$10</c:f>
              <c:numCache>
                <c:formatCode>#,##0.0</c:formatCode>
                <c:ptCount val="8"/>
                <c:pt idx="0">
                  <c:v>3.3941407774847425</c:v>
                </c:pt>
                <c:pt idx="1">
                  <c:v>3.0635265039419108</c:v>
                </c:pt>
                <c:pt idx="2">
                  <c:v>3.7837762349373554</c:v>
                </c:pt>
                <c:pt idx="3">
                  <c:v>3.973309761815357</c:v>
                </c:pt>
                <c:pt idx="4">
                  <c:v>4.0542087255214945</c:v>
                </c:pt>
                <c:pt idx="5">
                  <c:v>4.1994647496430781</c:v>
                </c:pt>
                <c:pt idx="6">
                  <c:v>5.2457686946361246</c:v>
                </c:pt>
                <c:pt idx="7">
                  <c:v>6.0009297769093148</c:v>
                </c:pt>
              </c:numCache>
            </c:numRef>
          </c:val>
          <c:smooth val="0"/>
          <c:extLst>
            <c:ext xmlns:c16="http://schemas.microsoft.com/office/drawing/2014/chart" uri="{C3380CC4-5D6E-409C-BE32-E72D297353CC}">
              <c16:uniqueId val="{00000000-7DE7-4E48-A025-57352437ECAD}"/>
            </c:ext>
          </c:extLst>
        </c:ser>
        <c:ser>
          <c:idx val="1"/>
          <c:order val="1"/>
          <c:tx>
            <c:strRef>
              <c:f>'Fig.6 Avg priser'!$B$11</c:f>
              <c:strCache>
                <c:ptCount val="1"/>
                <c:pt idx="0">
                  <c:v>MHUI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'Fig.6 Avg priser'!$C$9:$J$9</c:f>
              <c:numCache>
                <c:formatCode>General</c:formatCode>
                <c:ptCount val="8"/>
                <c:pt idx="0">
                  <c:v>2013</c:v>
                </c:pt>
                <c:pt idx="1">
                  <c:v>2014</c:v>
                </c:pt>
                <c:pt idx="2">
                  <c:v>2015</c:v>
                </c:pt>
                <c:pt idx="3">
                  <c:v>2016</c:v>
                </c:pt>
                <c:pt idx="4">
                  <c:v>2017</c:v>
                </c:pt>
                <c:pt idx="5">
                  <c:v>2018</c:v>
                </c:pt>
                <c:pt idx="6">
                  <c:v>2019</c:v>
                </c:pt>
                <c:pt idx="7">
                  <c:v>2020</c:v>
                </c:pt>
              </c:numCache>
            </c:numRef>
          </c:cat>
          <c:val>
            <c:numRef>
              <c:f>'Fig.6 Avg priser'!$C$11:$J$11</c:f>
              <c:numCache>
                <c:formatCode>#,##0.0</c:formatCode>
                <c:ptCount val="8"/>
                <c:pt idx="0">
                  <c:v>4.8895577698888006</c:v>
                </c:pt>
                <c:pt idx="1">
                  <c:v>5.1806433335537667</c:v>
                </c:pt>
                <c:pt idx="2">
                  <c:v>5.962144341185315</c:v>
                </c:pt>
                <c:pt idx="3">
                  <c:v>5.3892896019949079</c:v>
                </c:pt>
                <c:pt idx="4">
                  <c:v>6.1891229512029193</c:v>
                </c:pt>
                <c:pt idx="5">
                  <c:v>7.5219287087344693</c:v>
                </c:pt>
                <c:pt idx="6">
                  <c:v>8.5958190767877749</c:v>
                </c:pt>
                <c:pt idx="7">
                  <c:v>6.7627646506355497</c:v>
                </c:pt>
              </c:numCache>
            </c:numRef>
          </c:val>
          <c:smooth val="0"/>
          <c:extLst>
            <c:ext xmlns:c16="http://schemas.microsoft.com/office/drawing/2014/chart" uri="{C3380CC4-5D6E-409C-BE32-E72D297353CC}">
              <c16:uniqueId val="{00000001-7DE7-4E48-A025-57352437ECAD}"/>
            </c:ext>
          </c:extLst>
        </c:ser>
        <c:ser>
          <c:idx val="2"/>
          <c:order val="2"/>
          <c:tx>
            <c:strRef>
              <c:f>'Fig.6 Avg priser'!$B$12</c:f>
              <c:strCache>
                <c:ptCount val="1"/>
                <c:pt idx="0">
                  <c:v>UHUI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'Fig.6 Avg priser'!$C$9:$J$9</c:f>
              <c:numCache>
                <c:formatCode>General</c:formatCode>
                <c:ptCount val="8"/>
                <c:pt idx="0">
                  <c:v>2013</c:v>
                </c:pt>
                <c:pt idx="1">
                  <c:v>2014</c:v>
                </c:pt>
                <c:pt idx="2">
                  <c:v>2015</c:v>
                </c:pt>
                <c:pt idx="3">
                  <c:v>2016</c:v>
                </c:pt>
                <c:pt idx="4">
                  <c:v>2017</c:v>
                </c:pt>
                <c:pt idx="5">
                  <c:v>2018</c:v>
                </c:pt>
                <c:pt idx="6">
                  <c:v>2019</c:v>
                </c:pt>
                <c:pt idx="7">
                  <c:v>2020</c:v>
                </c:pt>
              </c:numCache>
            </c:numRef>
          </c:cat>
          <c:val>
            <c:numRef>
              <c:f>'Fig.6 Avg priser'!$C$12:$J$12</c:f>
              <c:numCache>
                <c:formatCode>#,##0.0</c:formatCode>
                <c:ptCount val="8"/>
                <c:pt idx="0">
                  <c:v>6.0633364754552224</c:v>
                </c:pt>
                <c:pt idx="1">
                  <c:v>6.617334185396377</c:v>
                </c:pt>
                <c:pt idx="2">
                  <c:v>6.8573316559931685</c:v>
                </c:pt>
                <c:pt idx="3">
                  <c:v>7.0230107753558393</c:v>
                </c:pt>
                <c:pt idx="4">
                  <c:v>7.7543566290388988</c:v>
                </c:pt>
                <c:pt idx="5">
                  <c:v>8.3967890079830809</c:v>
                </c:pt>
                <c:pt idx="6">
                  <c:v>9.7489955338090581</c:v>
                </c:pt>
                <c:pt idx="7">
                  <c:v>8.4232837977421191</c:v>
                </c:pt>
              </c:numCache>
            </c:numRef>
          </c:val>
          <c:smooth val="0"/>
          <c:extLst>
            <c:ext xmlns:c16="http://schemas.microsoft.com/office/drawing/2014/chart" uri="{C3380CC4-5D6E-409C-BE32-E72D297353CC}">
              <c16:uniqueId val="{00000002-7DE7-4E48-A025-57352437ECAD}"/>
            </c:ext>
          </c:extLst>
        </c:ser>
        <c:dLbls>
          <c:showLegendKey val="0"/>
          <c:showVal val="0"/>
          <c:showCatName val="0"/>
          <c:showSerName val="0"/>
          <c:showPercent val="0"/>
          <c:showBubbleSize val="0"/>
        </c:dLbls>
        <c:marker val="1"/>
        <c:smooth val="0"/>
        <c:axId val="684865432"/>
        <c:axId val="684865760"/>
      </c:lineChart>
      <c:catAx>
        <c:axId val="68486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84865760"/>
        <c:crosses val="autoZero"/>
        <c:auto val="1"/>
        <c:lblAlgn val="ctr"/>
        <c:lblOffset val="100"/>
        <c:noMultiLvlLbl val="0"/>
      </c:catAx>
      <c:valAx>
        <c:axId val="684865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8486543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1-A470-472B-9A89-187004FEE36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470-472B-9A89-187004FEE367}"/>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A470-472B-9A89-187004FEE367}"/>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470-472B-9A89-187004FEE367}"/>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A470-472B-9A89-187004FEE367}"/>
              </c:ext>
            </c:extLst>
          </c:dPt>
          <c:dLbls>
            <c:dLbl>
              <c:idx val="0"/>
              <c:layout>
                <c:manualLayout>
                  <c:x val="-0.20774717570784001"/>
                  <c:y val="-0.18062310873112691"/>
                </c:manualLayout>
              </c:layout>
              <c:tx>
                <c:rich>
                  <a:bodyPr/>
                  <a:lstStyle/>
                  <a:p>
                    <a:fld id="{641D9267-7C9B-4842-811F-5A8AFE9FB025}" type="PERCENTAGE">
                      <a:rPr lang="en-US"/>
                      <a:pPr/>
                      <a:t>[PROCENTDEL]</a:t>
                    </a:fld>
                    <a:r>
                      <a:rPr lang="en-US" baseline="0"/>
                      <a:t> (911 tons)</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470-472B-9A89-187004FEE367}"/>
                </c:ext>
              </c:extLst>
            </c:dLbl>
            <c:dLbl>
              <c:idx val="1"/>
              <c:layout>
                <c:manualLayout>
                  <c:x val="0.214524903819337"/>
                  <c:y val="-2.2851016862328891E-2"/>
                </c:manualLayout>
              </c:layout>
              <c:tx>
                <c:rich>
                  <a:bodyPr/>
                  <a:lstStyle/>
                  <a:p>
                    <a:fld id="{5897D47E-66EF-4F12-898B-EF73B1A720B4}" type="PERCENTAGE">
                      <a:rPr lang="en-US"/>
                      <a:pPr/>
                      <a:t>[PROCENTDEL]</a:t>
                    </a:fld>
                    <a:r>
                      <a:rPr lang="en-US"/>
                      <a:t> (898 tons)</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470-472B-9A89-187004FEE367}"/>
                </c:ext>
              </c:extLst>
            </c:dLbl>
            <c:dLbl>
              <c:idx val="2"/>
              <c:layout>
                <c:manualLayout>
                  <c:x val="0.1969210726388459"/>
                  <c:y val="0.11811261268397788"/>
                </c:manualLayout>
              </c:layout>
              <c:tx>
                <c:rich>
                  <a:bodyPr rot="1320000" spcFirstLastPara="1" vertOverflow="ellipsis" wrap="square" lIns="38100" tIns="19050" rIns="38100" bIns="19050" anchor="ctr" anchorCtr="1">
                    <a:no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7140BBDB-9C56-4586-B869-7DAD4FDE9968}" type="PERCENTAGE">
                      <a:rPr lang="en-US" sz="1000">
                        <a:solidFill>
                          <a:schemeClr val="bg1"/>
                        </a:solidFill>
                      </a:rPr>
                      <a:pPr>
                        <a:defRPr sz="1000" b="1">
                          <a:solidFill>
                            <a:schemeClr val="bg1"/>
                          </a:solidFill>
                          <a:latin typeface="Times New Roman" panose="02020603050405020304" pitchFamily="18" charset="0"/>
                          <a:cs typeface="Times New Roman" panose="02020603050405020304" pitchFamily="18" charset="0"/>
                        </a:defRPr>
                      </a:pPr>
                      <a:t>[PROCENTDEL]</a:t>
                    </a:fld>
                    <a:r>
                      <a:rPr lang="en-US" sz="1000">
                        <a:solidFill>
                          <a:schemeClr val="bg1"/>
                        </a:solidFill>
                      </a:rPr>
                      <a:t> (1.464 tons)</a:t>
                    </a:r>
                  </a:p>
                </c:rich>
              </c:tx>
              <c:spPr>
                <a:noFill/>
                <a:ln>
                  <a:noFill/>
                </a:ln>
                <a:effectLst/>
              </c:spPr>
              <c:txPr>
                <a:bodyPr rot="1320000" spcFirstLastPara="1" vertOverflow="ellipsis" wrap="square" lIns="38100" tIns="19050" rIns="38100" bIns="19050" anchor="ctr" anchorCtr="1">
                  <a:no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15:layout>
                    <c:manualLayout>
                      <c:w val="0.22076661814653081"/>
                      <c:h val="7.5939099161900531E-2"/>
                    </c:manualLayout>
                  </c15:layout>
                  <c15:dlblFieldTable/>
                  <c15:showDataLabelsRange val="0"/>
                </c:ext>
                <c:ext xmlns:c16="http://schemas.microsoft.com/office/drawing/2014/chart" uri="{C3380CC4-5D6E-409C-BE32-E72D297353CC}">
                  <c16:uniqueId val="{00000005-A470-472B-9A89-187004FEE367}"/>
                </c:ext>
              </c:extLst>
            </c:dLbl>
            <c:dLbl>
              <c:idx val="3"/>
              <c:layout>
                <c:manualLayout>
                  <c:x val="-6.0145483997906417E-2"/>
                  <c:y val="3.5303685630845426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3621EBAD-C377-4773-BDC3-D2FD268B1240}" type="PERCENTAGE">
                      <a:rPr lang="en-US">
                        <a:solidFill>
                          <a:schemeClr val="tx1"/>
                        </a:solidFill>
                      </a:rPr>
                      <a:pPr>
                        <a:defRPr sz="1000" b="1">
                          <a:solidFill>
                            <a:schemeClr val="tx1"/>
                          </a:solidFill>
                          <a:latin typeface="Times New Roman" panose="02020603050405020304" pitchFamily="18" charset="0"/>
                          <a:cs typeface="Times New Roman" panose="02020603050405020304" pitchFamily="18" charset="0"/>
                        </a:defRPr>
                      </a:pPr>
                      <a:t>[PROCENTDEL]</a:t>
                    </a:fld>
                    <a:r>
                      <a:rPr lang="en-US">
                        <a:solidFill>
                          <a:schemeClr val="tx1"/>
                        </a:solidFill>
                      </a:rPr>
                      <a:t> (961 tons)</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470-472B-9A89-187004FEE367}"/>
                </c:ext>
              </c:extLst>
            </c:dLbl>
            <c:dLbl>
              <c:idx val="4"/>
              <c:layout>
                <c:manualLayout>
                  <c:x val="-5.7445548564071414E-2"/>
                  <c:y val="1.1977376067428191E-3"/>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14412BD6-4CA0-4ED2-B076-23753B7CDE25}" type="PERCENTAGE">
                      <a:rPr lang="en-US" sz="900">
                        <a:solidFill>
                          <a:schemeClr val="tx1"/>
                        </a:solidFill>
                      </a:rPr>
                      <a:pPr>
                        <a:defRPr b="1">
                          <a:solidFill>
                            <a:schemeClr val="tx1"/>
                          </a:solidFill>
                          <a:latin typeface="Times New Roman" panose="02020603050405020304" pitchFamily="18" charset="0"/>
                          <a:cs typeface="Times New Roman" panose="02020603050405020304" pitchFamily="18" charset="0"/>
                        </a:defRPr>
                      </a:pPr>
                      <a:t>[PROCENTDEL]</a:t>
                    </a:fld>
                    <a:r>
                      <a:rPr lang="en-US" sz="900">
                        <a:solidFill>
                          <a:schemeClr val="tx1"/>
                        </a:solidFill>
                      </a:rPr>
                      <a:t> (3.764 tons)</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470-472B-9A89-187004FEE36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 7 fordeling af ind, joller'!$C$4:$C$8</c:f>
              <c:strCache>
                <c:ptCount val="5"/>
                <c:pt idx="0">
                  <c:v>0-5 tons</c:v>
                </c:pt>
                <c:pt idx="1">
                  <c:v>5-10 tons</c:v>
                </c:pt>
                <c:pt idx="2">
                  <c:v>10-20 tons</c:v>
                </c:pt>
                <c:pt idx="3">
                  <c:v>20-30 tons</c:v>
                </c:pt>
                <c:pt idx="4">
                  <c:v>Over 30 tons</c:v>
                </c:pt>
              </c:strCache>
            </c:strRef>
          </c:cat>
          <c:val>
            <c:numRef>
              <c:f>'Fig, 7 fordeling af ind, joller'!$D$4:$D$8</c:f>
              <c:numCache>
                <c:formatCode>General</c:formatCode>
                <c:ptCount val="5"/>
                <c:pt idx="0">
                  <c:v>728</c:v>
                </c:pt>
                <c:pt idx="1">
                  <c:v>123</c:v>
                </c:pt>
                <c:pt idx="2">
                  <c:v>105</c:v>
                </c:pt>
                <c:pt idx="3">
                  <c:v>39</c:v>
                </c:pt>
                <c:pt idx="4">
                  <c:v>72</c:v>
                </c:pt>
              </c:numCache>
            </c:numRef>
          </c:val>
          <c:extLst>
            <c:ext xmlns:c16="http://schemas.microsoft.com/office/drawing/2014/chart" uri="{C3380CC4-5D6E-409C-BE32-E72D297353CC}">
              <c16:uniqueId val="{0000000A-A470-472B-9A89-187004FEE367}"/>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55-4DE2-906C-B5322F507296}"/>
              </c:ext>
            </c:extLst>
          </c:dPt>
          <c:dPt>
            <c:idx val="1"/>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3-1955-4DE2-906C-B5322F507296}"/>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1955-4DE2-906C-B5322F507296}"/>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955-4DE2-906C-B5322F507296}"/>
              </c:ext>
            </c:extLst>
          </c:dPt>
          <c:dPt>
            <c:idx val="4"/>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9-1955-4DE2-906C-B5322F507296}"/>
              </c:ext>
            </c:extLst>
          </c:dPt>
          <c:dLbls>
            <c:dLbl>
              <c:idx val="0"/>
              <c:layout>
                <c:manualLayout>
                  <c:x val="-0.21017318250065911"/>
                  <c:y val="-6.6605670770026992E-2"/>
                </c:manualLayout>
              </c:layout>
              <c:tx>
                <c:rich>
                  <a:bodyPr/>
                  <a:lstStyle/>
                  <a:p>
                    <a:fld id="{A8B17A42-1CE2-486B-AA9E-04B1A990CBD7}" type="PERCENTAGE">
                      <a:rPr lang="en-US"/>
                      <a:pPr/>
                      <a:t>[PROCENTDEL]</a:t>
                    </a:fld>
                    <a:r>
                      <a:rPr lang="en-US"/>
                      <a:t> (211 tons)</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955-4DE2-906C-B5322F507296}"/>
                </c:ext>
              </c:extLst>
            </c:dLbl>
            <c:dLbl>
              <c:idx val="1"/>
              <c:layout>
                <c:manualLayout>
                  <c:x val="0.16236575777372805"/>
                  <c:y val="-0.17375644945790242"/>
                </c:manualLayout>
              </c:layout>
              <c:tx>
                <c:rich>
                  <a:bodyPr rot="-2640000" spcFirstLastPara="1" vertOverflow="ellipsis"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16F947FC-31C9-4E6B-BF9E-5534BFE3387C}" type="PERCENTAGE">
                      <a:rPr lang="en-US" sz="1000"/>
                      <a:pPr>
                        <a:defRPr sz="1000" b="1">
                          <a:solidFill>
                            <a:schemeClr val="bg1"/>
                          </a:solidFill>
                          <a:latin typeface="Times New Roman" panose="02020603050405020304" pitchFamily="18" charset="0"/>
                          <a:cs typeface="Times New Roman" panose="02020603050405020304" pitchFamily="18" charset="0"/>
                        </a:defRPr>
                      </a:pPr>
                      <a:t>[PROCENTDEL]</a:t>
                    </a:fld>
                    <a:r>
                      <a:rPr lang="en-US" sz="1000"/>
                      <a:t> (234 tons)</a:t>
                    </a:r>
                  </a:p>
                </c:rich>
              </c:tx>
              <c:spPr>
                <a:noFill/>
                <a:ln>
                  <a:noFill/>
                </a:ln>
                <a:effectLst/>
              </c:spPr>
              <c:txPr>
                <a:bodyPr rot="-2640000" spcFirstLastPara="1" vertOverflow="ellipsis"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15:layout>
                    <c:manualLayout>
                      <c:w val="0.18231689379438923"/>
                      <c:h val="0.16016228605227159"/>
                    </c:manualLayout>
                  </c15:layout>
                  <c15:dlblFieldTable/>
                  <c15:showDataLabelsRange val="0"/>
                </c:ext>
                <c:ext xmlns:c16="http://schemas.microsoft.com/office/drawing/2014/chart" uri="{C3380CC4-5D6E-409C-BE32-E72D297353CC}">
                  <c16:uniqueId val="{00000003-1955-4DE2-906C-B5322F507296}"/>
                </c:ext>
              </c:extLst>
            </c:dLbl>
            <c:dLbl>
              <c:idx val="2"/>
              <c:layout>
                <c:manualLayout>
                  <c:x val="-4.9318616832284612E-2"/>
                  <c:y val="2.4184476940382451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F3703F5C-C7D4-43D7-B16F-493A77831E41}" type="PERCENTAGE">
                      <a:rPr lang="en-US" sz="1000">
                        <a:solidFill>
                          <a:schemeClr val="tx1"/>
                        </a:solidFill>
                      </a:rPr>
                      <a:pPr>
                        <a:defRPr sz="1000" b="1">
                          <a:solidFill>
                            <a:schemeClr val="tx1"/>
                          </a:solidFill>
                          <a:latin typeface="Times New Roman" panose="02020603050405020304" pitchFamily="18" charset="0"/>
                          <a:cs typeface="Times New Roman" panose="02020603050405020304" pitchFamily="18" charset="0"/>
                        </a:defRPr>
                      </a:pPr>
                      <a:t>[PROCENTDEL]</a:t>
                    </a:fld>
                    <a:r>
                      <a:rPr lang="en-US" sz="1000">
                        <a:solidFill>
                          <a:schemeClr val="tx1"/>
                        </a:solidFill>
                      </a:rPr>
                      <a:t> (142 tons)</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955-4DE2-906C-B5322F507296}"/>
                </c:ext>
              </c:extLst>
            </c:dLbl>
            <c:dLbl>
              <c:idx val="3"/>
              <c:layout>
                <c:manualLayout>
                  <c:x val="0.21399328359064293"/>
                  <c:y val="-1.1644671176666359E-2"/>
                </c:manualLayout>
              </c:layout>
              <c:tx>
                <c:rich>
                  <a:bodyPr/>
                  <a:lstStyle/>
                  <a:p>
                    <a:fld id="{00635E0E-3E0A-4B47-A07F-345F5E9B057D}" type="PERCENTAGE">
                      <a:rPr lang="en-US"/>
                      <a:pPr/>
                      <a:t>[PROCENTDEL]</a:t>
                    </a:fld>
                    <a:r>
                      <a:rPr lang="en-US"/>
                      <a:t> (1.385 tons)</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955-4DE2-906C-B5322F507296}"/>
                </c:ext>
              </c:extLst>
            </c:dLbl>
            <c:dLbl>
              <c:idx val="4"/>
              <c:layout>
                <c:manualLayout>
                  <c:x val="0.13906100165426921"/>
                  <c:y val="0.15210317020231626"/>
                </c:manualLayout>
              </c:layout>
              <c:tx>
                <c:rich>
                  <a:bodyPr/>
                  <a:lstStyle/>
                  <a:p>
                    <a:fld id="{9EA4AD0C-5A9F-469C-9736-09438CD3436E}" type="PERCENTAGE">
                      <a:rPr lang="en-US"/>
                      <a:pPr/>
                      <a:t>[PROCENTDEL]</a:t>
                    </a:fld>
                    <a:r>
                      <a:rPr lang="en-US"/>
                      <a:t> (7.557 tons)</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955-4DE2-906C-B5322F50729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 8 fordeling af ind, ftj'!$C$4:$C$8</c:f>
              <c:strCache>
                <c:ptCount val="5"/>
                <c:pt idx="0">
                  <c:v>0-10 tons</c:v>
                </c:pt>
                <c:pt idx="1">
                  <c:v>10-30 tons</c:v>
                </c:pt>
                <c:pt idx="2">
                  <c:v>30-50 tons</c:v>
                </c:pt>
                <c:pt idx="3">
                  <c:v>50-100 tons</c:v>
                </c:pt>
                <c:pt idx="4">
                  <c:v>Over 100 tons</c:v>
                </c:pt>
              </c:strCache>
            </c:strRef>
          </c:cat>
          <c:val>
            <c:numRef>
              <c:f>'Fig, 8 fordeling af ind, ftj'!$D$4:$D$8</c:f>
              <c:numCache>
                <c:formatCode>General</c:formatCode>
                <c:ptCount val="5"/>
                <c:pt idx="0">
                  <c:v>98</c:v>
                </c:pt>
                <c:pt idx="1">
                  <c:v>15</c:v>
                </c:pt>
                <c:pt idx="2">
                  <c:v>4</c:v>
                </c:pt>
                <c:pt idx="3">
                  <c:v>19</c:v>
                </c:pt>
                <c:pt idx="4">
                  <c:v>34</c:v>
                </c:pt>
              </c:numCache>
            </c:numRef>
          </c:val>
          <c:extLst>
            <c:ext xmlns:c16="http://schemas.microsoft.com/office/drawing/2014/chart" uri="{C3380CC4-5D6E-409C-BE32-E72D297353CC}">
              <c16:uniqueId val="{0000000A-1955-4DE2-906C-B5322F507296}"/>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8ED6-6772-4FC3-8186-685D8DDB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3938</Words>
  <Characters>24028</Characters>
  <Application>Microsoft Office Word</Application>
  <DocSecurity>0</DocSecurity>
  <Lines>200</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Bæk</dc:creator>
  <cp:keywords/>
  <dc:description/>
  <cp:lastModifiedBy>Ole Ulloriaq Lønberg-Jensen</cp:lastModifiedBy>
  <cp:revision>5</cp:revision>
  <cp:lastPrinted>2021-01-30T17:00:00Z</cp:lastPrinted>
  <dcterms:created xsi:type="dcterms:W3CDTF">2021-04-09T12:11:00Z</dcterms:created>
  <dcterms:modified xsi:type="dcterms:W3CDTF">2021-05-07T17:51:00Z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